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BDB0C" w14:textId="646326BD" w:rsidR="00BC46FE" w:rsidRPr="00DB2B43" w:rsidRDefault="00BC46FE" w:rsidP="00E9346F">
      <w:pPr>
        <w:tabs>
          <w:tab w:val="left" w:pos="3969"/>
        </w:tabs>
        <w:spacing w:after="0"/>
        <w:ind w:left="567"/>
        <w:jc w:val="right"/>
        <w:rPr>
          <w:bCs/>
          <w:i/>
          <w:sz w:val="20"/>
          <w:szCs w:val="20"/>
        </w:rPr>
      </w:pPr>
      <w:bookmarkStart w:id="0" w:name="_GoBack"/>
      <w:bookmarkEnd w:id="0"/>
      <w:r w:rsidRPr="00DB2B43">
        <w:rPr>
          <w:bCs/>
          <w:i/>
          <w:sz w:val="20"/>
          <w:szCs w:val="20"/>
        </w:rPr>
        <w:t>V</w:t>
      </w:r>
      <w:r w:rsidR="00BD4446">
        <w:rPr>
          <w:bCs/>
          <w:i/>
          <w:sz w:val="20"/>
          <w:szCs w:val="20"/>
        </w:rPr>
        <w:t>5</w:t>
      </w:r>
      <w:r w:rsidR="00243F8A">
        <w:rPr>
          <w:bCs/>
          <w:i/>
          <w:sz w:val="20"/>
          <w:szCs w:val="20"/>
        </w:rPr>
        <w:t>.</w:t>
      </w:r>
      <w:r w:rsidR="009C0BA5">
        <w:rPr>
          <w:bCs/>
          <w:i/>
          <w:sz w:val="20"/>
          <w:szCs w:val="20"/>
        </w:rPr>
        <w:t>3</w:t>
      </w:r>
      <w:r w:rsidR="00ED72DC" w:rsidRPr="00DB2B43">
        <w:rPr>
          <w:bCs/>
          <w:i/>
          <w:sz w:val="20"/>
          <w:szCs w:val="20"/>
        </w:rPr>
        <w:t xml:space="preserve"> </w:t>
      </w:r>
      <w:r w:rsidR="009C0BA5">
        <w:rPr>
          <w:bCs/>
          <w:i/>
          <w:sz w:val="20"/>
          <w:szCs w:val="20"/>
        </w:rPr>
        <w:t>June</w:t>
      </w:r>
      <w:r w:rsidR="00701157">
        <w:rPr>
          <w:bCs/>
          <w:i/>
          <w:sz w:val="20"/>
          <w:szCs w:val="20"/>
        </w:rPr>
        <w:t xml:space="preserve"> </w:t>
      </w:r>
      <w:r w:rsidR="007A6241">
        <w:rPr>
          <w:bCs/>
          <w:i/>
          <w:sz w:val="20"/>
          <w:szCs w:val="20"/>
        </w:rPr>
        <w:t>25</w:t>
      </w:r>
      <w:r w:rsidR="007A6241" w:rsidRPr="00701157">
        <w:rPr>
          <w:bCs/>
          <w:i/>
          <w:sz w:val="20"/>
          <w:szCs w:val="20"/>
          <w:vertAlign w:val="superscript"/>
        </w:rPr>
        <w:t>th</w:t>
      </w:r>
      <w:r w:rsidR="007A6241">
        <w:rPr>
          <w:bCs/>
          <w:i/>
          <w:sz w:val="20"/>
          <w:szCs w:val="20"/>
        </w:rPr>
        <w:t>, 2019</w:t>
      </w:r>
    </w:p>
    <w:p w14:paraId="27827470" w14:textId="20EB9FBD" w:rsidR="00AC26E6" w:rsidRPr="00DB2B43" w:rsidRDefault="003142E7" w:rsidP="00E9346F">
      <w:pPr>
        <w:tabs>
          <w:tab w:val="left" w:pos="3969"/>
        </w:tabs>
        <w:ind w:left="567"/>
        <w:rPr>
          <w:bCs/>
          <w:sz w:val="28"/>
        </w:rPr>
      </w:pPr>
      <w:r w:rsidRPr="00DB2B43">
        <w:rPr>
          <w:bCs/>
          <w:sz w:val="28"/>
        </w:rPr>
        <w:t xml:space="preserve">IOF-ESCEO </w:t>
      </w:r>
      <w:r w:rsidR="00DE1167" w:rsidRPr="00DB2B43">
        <w:rPr>
          <w:bCs/>
          <w:sz w:val="28"/>
        </w:rPr>
        <w:t>POSITION PAPER</w:t>
      </w:r>
    </w:p>
    <w:p w14:paraId="3AA2FA06" w14:textId="7F80491F" w:rsidR="00F1179A" w:rsidRDefault="00F1179A" w:rsidP="00512931">
      <w:pPr>
        <w:spacing w:line="360" w:lineRule="auto"/>
        <w:ind w:left="567"/>
        <w:jc w:val="center"/>
        <w:rPr>
          <w:rFonts w:eastAsia="MS Gothic"/>
          <w:b/>
          <w:bCs/>
          <w:sz w:val="28"/>
          <w:szCs w:val="28"/>
        </w:rPr>
      </w:pPr>
      <w:r>
        <w:rPr>
          <w:rFonts w:eastAsia="MS Gothic"/>
          <w:b/>
          <w:bCs/>
          <w:sz w:val="28"/>
          <w:szCs w:val="28"/>
        </w:rPr>
        <w:t>Algorithm for the management of patients at low, high and very high risk of osteoporotic fractures</w:t>
      </w:r>
    </w:p>
    <w:p w14:paraId="26329857" w14:textId="1729D824" w:rsidR="001412DF" w:rsidRPr="00512931" w:rsidRDefault="001412DF" w:rsidP="00E9346F">
      <w:pPr>
        <w:tabs>
          <w:tab w:val="left" w:pos="426"/>
        </w:tabs>
        <w:spacing w:after="0" w:line="276" w:lineRule="auto"/>
        <w:ind w:left="567" w:right="-720"/>
        <w:rPr>
          <w:rFonts w:eastAsia="MS Gothic"/>
          <w:b/>
          <w:bCs/>
          <w:sz w:val="24"/>
          <w:szCs w:val="24"/>
        </w:rPr>
      </w:pPr>
      <w:r w:rsidRPr="00512931">
        <w:rPr>
          <w:rFonts w:eastAsia="MS Gothic"/>
          <w:b/>
          <w:bCs/>
          <w:sz w:val="24"/>
          <w:szCs w:val="24"/>
        </w:rPr>
        <w:t>O</w:t>
      </w:r>
      <w:r w:rsidR="00DD74E1" w:rsidRPr="00512931">
        <w:rPr>
          <w:rFonts w:eastAsia="MS Gothic"/>
          <w:b/>
          <w:bCs/>
          <w:sz w:val="24"/>
          <w:szCs w:val="24"/>
        </w:rPr>
        <w:t xml:space="preserve">utcomes </w:t>
      </w:r>
      <w:r w:rsidR="00512931" w:rsidRPr="00512931">
        <w:rPr>
          <w:rFonts w:eastAsia="MS Gothic"/>
          <w:b/>
          <w:bCs/>
          <w:sz w:val="24"/>
          <w:szCs w:val="24"/>
        </w:rPr>
        <w:t>of an experts</w:t>
      </w:r>
      <w:r w:rsidR="00512931">
        <w:rPr>
          <w:rFonts w:eastAsia="MS Gothic"/>
          <w:b/>
          <w:bCs/>
          <w:sz w:val="24"/>
          <w:szCs w:val="24"/>
        </w:rPr>
        <w:t>’</w:t>
      </w:r>
      <w:r w:rsidR="00512931" w:rsidRPr="00512931">
        <w:rPr>
          <w:rFonts w:eastAsia="MS Gothic"/>
          <w:b/>
          <w:bCs/>
          <w:sz w:val="24"/>
          <w:szCs w:val="24"/>
        </w:rPr>
        <w:t xml:space="preserve"> consensus meeting jointly organized by the </w:t>
      </w:r>
      <w:r w:rsidR="00DD74E1" w:rsidRPr="00512931">
        <w:rPr>
          <w:rFonts w:eastAsia="MS Gothic"/>
          <w:b/>
          <w:bCs/>
          <w:sz w:val="24"/>
          <w:szCs w:val="24"/>
        </w:rPr>
        <w:t>European Society for Clinical and Economic Aspects of Osteoporosis, Osteoarthritis and Musculoskeletal Diseases (ESCEO) and the International Osteoporosis Foundation (IOF)</w:t>
      </w:r>
    </w:p>
    <w:p w14:paraId="0A98FC8E" w14:textId="77777777" w:rsidR="001412DF" w:rsidRDefault="001412DF" w:rsidP="00E9346F">
      <w:pPr>
        <w:tabs>
          <w:tab w:val="left" w:pos="426"/>
        </w:tabs>
        <w:spacing w:after="0" w:line="276" w:lineRule="auto"/>
        <w:ind w:left="567" w:right="-720"/>
        <w:rPr>
          <w:rFonts w:eastAsia="MS Gothic"/>
          <w:b/>
          <w:bCs/>
          <w:sz w:val="28"/>
          <w:szCs w:val="28"/>
        </w:rPr>
      </w:pPr>
    </w:p>
    <w:p w14:paraId="24D57BA3" w14:textId="4123ADFD" w:rsidR="003F1EAA" w:rsidRPr="00E40394" w:rsidRDefault="003F1EAA" w:rsidP="00E9346F">
      <w:pPr>
        <w:tabs>
          <w:tab w:val="left" w:pos="426"/>
        </w:tabs>
        <w:spacing w:after="0" w:line="276" w:lineRule="auto"/>
        <w:ind w:left="567" w:right="-720"/>
        <w:rPr>
          <w:sz w:val="24"/>
          <w:szCs w:val="24"/>
        </w:rPr>
      </w:pPr>
      <w:r w:rsidRPr="00E40394">
        <w:rPr>
          <w:sz w:val="24"/>
          <w:szCs w:val="24"/>
        </w:rPr>
        <w:t>JA Kanis</w:t>
      </w:r>
      <w:bookmarkStart w:id="1" w:name="_Hlk5113888"/>
      <w:r w:rsidRPr="00E40394">
        <w:rPr>
          <w:sz w:val="24"/>
          <w:szCs w:val="24"/>
        </w:rPr>
        <w:t xml:space="preserve"> </w:t>
      </w:r>
      <w:r w:rsidR="000D0B8C" w:rsidRPr="00DF5E6D">
        <w:rPr>
          <w:sz w:val="24"/>
          <w:szCs w:val="24"/>
          <w:vertAlign w:val="superscript"/>
        </w:rPr>
        <w:t>1</w:t>
      </w:r>
      <w:r w:rsidR="008E233D" w:rsidRPr="00DF5E6D">
        <w:rPr>
          <w:sz w:val="24"/>
          <w:szCs w:val="24"/>
          <w:vertAlign w:val="superscript"/>
        </w:rPr>
        <w:t>,2</w:t>
      </w:r>
      <w:r w:rsidRPr="00E40394">
        <w:rPr>
          <w:sz w:val="24"/>
          <w:szCs w:val="24"/>
        </w:rPr>
        <w:t xml:space="preserve">· </w:t>
      </w:r>
      <w:bookmarkEnd w:id="1"/>
      <w:r w:rsidRPr="00E40394">
        <w:rPr>
          <w:sz w:val="24"/>
          <w:szCs w:val="24"/>
        </w:rPr>
        <w:t>NC Harvey</w:t>
      </w:r>
      <w:r w:rsidR="00A50DE4">
        <w:rPr>
          <w:sz w:val="24"/>
          <w:szCs w:val="24"/>
        </w:rPr>
        <w:t xml:space="preserve"> </w:t>
      </w:r>
      <w:r w:rsidR="00A50DE4" w:rsidRPr="008D2D5C">
        <w:rPr>
          <w:sz w:val="24"/>
          <w:szCs w:val="24"/>
          <w:vertAlign w:val="superscript"/>
        </w:rPr>
        <w:t>3</w:t>
      </w:r>
      <w:r w:rsidRPr="00E40394">
        <w:rPr>
          <w:sz w:val="24"/>
          <w:szCs w:val="24"/>
        </w:rPr>
        <w:t xml:space="preserve"> · E McCloskey </w:t>
      </w:r>
      <w:r w:rsidR="00A50DE4" w:rsidRPr="008D2D5C">
        <w:rPr>
          <w:sz w:val="24"/>
          <w:szCs w:val="24"/>
          <w:vertAlign w:val="superscript"/>
        </w:rPr>
        <w:t>4,5</w:t>
      </w:r>
      <w:r w:rsidRPr="00E40394">
        <w:rPr>
          <w:sz w:val="24"/>
          <w:szCs w:val="24"/>
        </w:rPr>
        <w:t xml:space="preserve">· O Bruyère </w:t>
      </w:r>
      <w:r w:rsidR="00072A75" w:rsidRPr="008D2D5C">
        <w:rPr>
          <w:sz w:val="24"/>
          <w:szCs w:val="24"/>
          <w:vertAlign w:val="superscript"/>
        </w:rPr>
        <w:t>6</w:t>
      </w:r>
      <w:r w:rsidRPr="00E40394">
        <w:rPr>
          <w:sz w:val="24"/>
          <w:szCs w:val="24"/>
        </w:rPr>
        <w:t xml:space="preserve">· N Veronese </w:t>
      </w:r>
      <w:r w:rsidR="00AF3D16" w:rsidRPr="008D2D5C">
        <w:rPr>
          <w:sz w:val="24"/>
          <w:szCs w:val="24"/>
          <w:vertAlign w:val="superscript"/>
        </w:rPr>
        <w:t>7</w:t>
      </w:r>
      <w:r w:rsidRPr="00E40394">
        <w:rPr>
          <w:sz w:val="24"/>
          <w:szCs w:val="24"/>
        </w:rPr>
        <w:t>·</w:t>
      </w:r>
      <w:r w:rsidR="00D37869" w:rsidRPr="00E40394">
        <w:rPr>
          <w:sz w:val="24"/>
          <w:szCs w:val="24"/>
        </w:rPr>
        <w:t xml:space="preserve"> </w:t>
      </w:r>
      <w:r w:rsidRPr="00E40394">
        <w:rPr>
          <w:sz w:val="24"/>
          <w:szCs w:val="24"/>
        </w:rPr>
        <w:t>M Lorentzon</w:t>
      </w:r>
      <w:r w:rsidR="00B77C4D">
        <w:rPr>
          <w:sz w:val="24"/>
          <w:szCs w:val="24"/>
        </w:rPr>
        <w:t xml:space="preserve"> </w:t>
      </w:r>
      <w:r w:rsidR="007918D8" w:rsidRPr="008D2D5C">
        <w:rPr>
          <w:sz w:val="24"/>
          <w:szCs w:val="24"/>
          <w:vertAlign w:val="superscript"/>
        </w:rPr>
        <w:t>2,</w:t>
      </w:r>
      <w:r w:rsidR="00B77C4D" w:rsidRPr="008D2D5C">
        <w:rPr>
          <w:sz w:val="24"/>
          <w:szCs w:val="24"/>
          <w:vertAlign w:val="superscript"/>
        </w:rPr>
        <w:t>8</w:t>
      </w:r>
      <w:r w:rsidR="007918D8" w:rsidRPr="008D2D5C">
        <w:rPr>
          <w:sz w:val="24"/>
          <w:szCs w:val="24"/>
          <w:vertAlign w:val="superscript"/>
        </w:rPr>
        <w:t>,9</w:t>
      </w:r>
      <w:r w:rsidRPr="00E40394">
        <w:rPr>
          <w:sz w:val="24"/>
          <w:szCs w:val="24"/>
        </w:rPr>
        <w:t xml:space="preserve"> · C Cooper </w:t>
      </w:r>
      <w:r w:rsidR="002B2EA2" w:rsidRPr="008D2D5C">
        <w:rPr>
          <w:sz w:val="24"/>
          <w:szCs w:val="24"/>
          <w:vertAlign w:val="superscript"/>
        </w:rPr>
        <w:t>3</w:t>
      </w:r>
      <w:r w:rsidR="00A22048" w:rsidRPr="008D2D5C">
        <w:rPr>
          <w:sz w:val="24"/>
          <w:szCs w:val="24"/>
          <w:vertAlign w:val="superscript"/>
        </w:rPr>
        <w:t>,10</w:t>
      </w:r>
      <w:r w:rsidRPr="00E40394">
        <w:rPr>
          <w:sz w:val="24"/>
          <w:szCs w:val="24"/>
        </w:rPr>
        <w:t xml:space="preserve">· R Rizzoli </w:t>
      </w:r>
      <w:r w:rsidR="00CF3F07" w:rsidRPr="003A2891">
        <w:rPr>
          <w:sz w:val="24"/>
          <w:szCs w:val="24"/>
          <w:vertAlign w:val="superscript"/>
        </w:rPr>
        <w:t>11</w:t>
      </w:r>
      <w:r w:rsidRPr="00E40394">
        <w:rPr>
          <w:sz w:val="24"/>
          <w:szCs w:val="24"/>
        </w:rPr>
        <w:t>·</w:t>
      </w:r>
      <w:r w:rsidR="000A290A" w:rsidRPr="00E40394">
        <w:rPr>
          <w:sz w:val="24"/>
          <w:szCs w:val="24"/>
        </w:rPr>
        <w:t xml:space="preserve"> G Adi</w:t>
      </w:r>
      <w:r w:rsidR="002A2AC7" w:rsidRPr="00E40394">
        <w:rPr>
          <w:sz w:val="24"/>
          <w:szCs w:val="24"/>
        </w:rPr>
        <w:t>b</w:t>
      </w:r>
      <w:r w:rsidR="007F2B55" w:rsidRPr="00E40394">
        <w:rPr>
          <w:sz w:val="24"/>
          <w:szCs w:val="24"/>
        </w:rPr>
        <w:t xml:space="preserve"> </w:t>
      </w:r>
      <w:r w:rsidR="00CD4E7A" w:rsidRPr="003A2891">
        <w:rPr>
          <w:sz w:val="24"/>
          <w:szCs w:val="24"/>
          <w:vertAlign w:val="superscript"/>
        </w:rPr>
        <w:t>12</w:t>
      </w:r>
      <w:r w:rsidR="007F2B55" w:rsidRPr="00E40394">
        <w:rPr>
          <w:sz w:val="24"/>
          <w:szCs w:val="24"/>
        </w:rPr>
        <w:t xml:space="preserve">· </w:t>
      </w:r>
      <w:r w:rsidR="002A2AC7" w:rsidRPr="00E40394">
        <w:rPr>
          <w:sz w:val="24"/>
          <w:szCs w:val="24"/>
        </w:rPr>
        <w:t xml:space="preserve">N </w:t>
      </w:r>
      <w:r w:rsidRPr="00E40394">
        <w:rPr>
          <w:sz w:val="24"/>
          <w:szCs w:val="24"/>
        </w:rPr>
        <w:t>Al-Daghri</w:t>
      </w:r>
      <w:r w:rsidR="007F2B55" w:rsidRPr="00E40394">
        <w:rPr>
          <w:sz w:val="24"/>
          <w:szCs w:val="24"/>
        </w:rPr>
        <w:t xml:space="preserve"> </w:t>
      </w:r>
      <w:r w:rsidR="006320C7" w:rsidRPr="003A2891">
        <w:rPr>
          <w:sz w:val="24"/>
          <w:szCs w:val="24"/>
          <w:vertAlign w:val="superscript"/>
        </w:rPr>
        <w:t>13</w:t>
      </w:r>
      <w:r w:rsidR="007F2B55" w:rsidRPr="00E40394">
        <w:rPr>
          <w:sz w:val="24"/>
          <w:szCs w:val="24"/>
        </w:rPr>
        <w:t>·</w:t>
      </w:r>
      <w:r w:rsidRPr="00E40394">
        <w:rPr>
          <w:sz w:val="24"/>
          <w:szCs w:val="24"/>
        </w:rPr>
        <w:t xml:space="preserve"> C Campusano</w:t>
      </w:r>
      <w:r w:rsidR="007F2B55" w:rsidRPr="00E40394">
        <w:rPr>
          <w:sz w:val="24"/>
          <w:szCs w:val="24"/>
        </w:rPr>
        <w:t xml:space="preserve"> </w:t>
      </w:r>
      <w:r w:rsidR="006020A3" w:rsidRPr="003A2891">
        <w:rPr>
          <w:sz w:val="24"/>
          <w:szCs w:val="24"/>
          <w:vertAlign w:val="superscript"/>
        </w:rPr>
        <w:t>14</w:t>
      </w:r>
      <w:r w:rsidR="007F2B55" w:rsidRPr="00E40394">
        <w:rPr>
          <w:sz w:val="24"/>
          <w:szCs w:val="24"/>
        </w:rPr>
        <w:t xml:space="preserve">· </w:t>
      </w:r>
      <w:r w:rsidRPr="00E40394">
        <w:rPr>
          <w:sz w:val="24"/>
          <w:szCs w:val="24"/>
        </w:rPr>
        <w:t>M Chandran</w:t>
      </w:r>
      <w:r w:rsidR="007F2B55" w:rsidRPr="00E40394">
        <w:rPr>
          <w:sz w:val="24"/>
          <w:szCs w:val="24"/>
        </w:rPr>
        <w:t xml:space="preserve"> </w:t>
      </w:r>
      <w:r w:rsidR="006020A3" w:rsidRPr="003A2891">
        <w:rPr>
          <w:sz w:val="24"/>
          <w:szCs w:val="24"/>
          <w:vertAlign w:val="superscript"/>
        </w:rPr>
        <w:t>15</w:t>
      </w:r>
      <w:r w:rsidR="007F2B55" w:rsidRPr="00E40394">
        <w:rPr>
          <w:sz w:val="24"/>
          <w:szCs w:val="24"/>
        </w:rPr>
        <w:t xml:space="preserve">· </w:t>
      </w:r>
      <w:r w:rsidR="002A2AC7" w:rsidRPr="00E40394">
        <w:rPr>
          <w:sz w:val="24"/>
          <w:szCs w:val="24"/>
        </w:rPr>
        <w:t>B</w:t>
      </w:r>
      <w:r w:rsidRPr="00E40394">
        <w:rPr>
          <w:sz w:val="24"/>
          <w:szCs w:val="24"/>
        </w:rPr>
        <w:t xml:space="preserve"> Dawson-Hughes</w:t>
      </w:r>
      <w:r w:rsidR="007F2B55" w:rsidRPr="00E40394">
        <w:rPr>
          <w:sz w:val="24"/>
          <w:szCs w:val="24"/>
        </w:rPr>
        <w:t xml:space="preserve"> </w:t>
      </w:r>
      <w:r w:rsidR="00D45111" w:rsidRPr="00704C2B">
        <w:rPr>
          <w:sz w:val="24"/>
          <w:szCs w:val="24"/>
          <w:vertAlign w:val="superscript"/>
        </w:rPr>
        <w:t>16</w:t>
      </w:r>
      <w:r w:rsidR="007F2B55" w:rsidRPr="00E40394">
        <w:rPr>
          <w:sz w:val="24"/>
          <w:szCs w:val="24"/>
        </w:rPr>
        <w:t xml:space="preserve">· </w:t>
      </w:r>
      <w:r w:rsidRPr="00E40394">
        <w:rPr>
          <w:sz w:val="24"/>
          <w:szCs w:val="24"/>
        </w:rPr>
        <w:t>K Javaid</w:t>
      </w:r>
      <w:r w:rsidR="007F2B55" w:rsidRPr="00E40394">
        <w:rPr>
          <w:sz w:val="24"/>
          <w:szCs w:val="24"/>
        </w:rPr>
        <w:t xml:space="preserve"> </w:t>
      </w:r>
      <w:r w:rsidR="00911023" w:rsidRPr="00704C2B">
        <w:rPr>
          <w:sz w:val="24"/>
          <w:szCs w:val="24"/>
          <w:vertAlign w:val="superscript"/>
        </w:rPr>
        <w:t>17</w:t>
      </w:r>
      <w:r w:rsidR="007F2B55" w:rsidRPr="00E40394">
        <w:rPr>
          <w:sz w:val="24"/>
          <w:szCs w:val="24"/>
        </w:rPr>
        <w:t xml:space="preserve">· </w:t>
      </w:r>
      <w:r w:rsidRPr="00E40394">
        <w:rPr>
          <w:sz w:val="24"/>
          <w:szCs w:val="24"/>
        </w:rPr>
        <w:t>F Jiwa</w:t>
      </w:r>
      <w:r w:rsidR="007F2B55" w:rsidRPr="00E40394">
        <w:rPr>
          <w:sz w:val="24"/>
          <w:szCs w:val="24"/>
        </w:rPr>
        <w:t xml:space="preserve"> </w:t>
      </w:r>
      <w:r w:rsidR="00911023" w:rsidRPr="00704C2B">
        <w:rPr>
          <w:sz w:val="24"/>
          <w:szCs w:val="24"/>
          <w:vertAlign w:val="superscript"/>
        </w:rPr>
        <w:t>18</w:t>
      </w:r>
      <w:r w:rsidR="007F2B55" w:rsidRPr="00E40394">
        <w:rPr>
          <w:sz w:val="24"/>
          <w:szCs w:val="24"/>
        </w:rPr>
        <w:t xml:space="preserve">· </w:t>
      </w:r>
      <w:r w:rsidR="00D37869" w:rsidRPr="00E40394">
        <w:rPr>
          <w:sz w:val="24"/>
          <w:szCs w:val="24"/>
        </w:rPr>
        <w:t>H Johansson</w:t>
      </w:r>
      <w:r w:rsidR="006501A1">
        <w:rPr>
          <w:sz w:val="24"/>
          <w:szCs w:val="24"/>
        </w:rPr>
        <w:t xml:space="preserve"> </w:t>
      </w:r>
      <w:r w:rsidR="006501A1" w:rsidRPr="00704C2B">
        <w:rPr>
          <w:sz w:val="24"/>
          <w:szCs w:val="24"/>
          <w:vertAlign w:val="superscript"/>
        </w:rPr>
        <w:t>1,2</w:t>
      </w:r>
      <w:r w:rsidR="007F2B55" w:rsidRPr="00E40394">
        <w:rPr>
          <w:sz w:val="24"/>
          <w:szCs w:val="24"/>
        </w:rPr>
        <w:t xml:space="preserve"> · </w:t>
      </w:r>
      <w:r w:rsidR="003E171C" w:rsidRPr="003E171C">
        <w:rPr>
          <w:sz w:val="24"/>
          <w:szCs w:val="24"/>
        </w:rPr>
        <w:t xml:space="preserve">JK Lee </w:t>
      </w:r>
      <w:r w:rsidR="00EF5FBB" w:rsidRPr="00704C2B">
        <w:rPr>
          <w:sz w:val="24"/>
          <w:szCs w:val="24"/>
          <w:vertAlign w:val="superscript"/>
        </w:rPr>
        <w:t>19</w:t>
      </w:r>
      <w:r w:rsidR="003E171C" w:rsidRPr="003E171C">
        <w:rPr>
          <w:sz w:val="24"/>
          <w:szCs w:val="24"/>
        </w:rPr>
        <w:t xml:space="preserve">· </w:t>
      </w:r>
      <w:r w:rsidR="00D92F2A">
        <w:rPr>
          <w:sz w:val="24"/>
          <w:szCs w:val="24"/>
        </w:rPr>
        <w:t>E Liu</w:t>
      </w:r>
      <w:r w:rsidR="00BC6A3B" w:rsidRPr="00E40394">
        <w:rPr>
          <w:sz w:val="24"/>
          <w:szCs w:val="24"/>
        </w:rPr>
        <w:t xml:space="preserve"> </w:t>
      </w:r>
      <w:r w:rsidR="00EF5FBB" w:rsidRPr="00704C2B">
        <w:rPr>
          <w:sz w:val="24"/>
          <w:szCs w:val="24"/>
          <w:vertAlign w:val="superscript"/>
        </w:rPr>
        <w:t>2</w:t>
      </w:r>
      <w:r w:rsidR="00BC6A3B" w:rsidRPr="00E40394">
        <w:rPr>
          <w:sz w:val="24"/>
          <w:szCs w:val="24"/>
        </w:rPr>
        <w:t xml:space="preserve">· </w:t>
      </w:r>
      <w:r w:rsidRPr="00E40394">
        <w:rPr>
          <w:sz w:val="24"/>
          <w:szCs w:val="24"/>
        </w:rPr>
        <w:t>D</w:t>
      </w:r>
      <w:r w:rsidR="00C95481" w:rsidRPr="00E40394">
        <w:rPr>
          <w:sz w:val="24"/>
          <w:szCs w:val="24"/>
        </w:rPr>
        <w:t xml:space="preserve"> </w:t>
      </w:r>
      <w:r w:rsidRPr="00E40394">
        <w:rPr>
          <w:sz w:val="24"/>
          <w:szCs w:val="24"/>
        </w:rPr>
        <w:t>Messina</w:t>
      </w:r>
      <w:r w:rsidR="0070245A" w:rsidRPr="00E40394">
        <w:rPr>
          <w:sz w:val="24"/>
          <w:szCs w:val="24"/>
        </w:rPr>
        <w:t xml:space="preserve"> </w:t>
      </w:r>
      <w:r w:rsidR="00EE7A86" w:rsidRPr="00704C2B">
        <w:rPr>
          <w:sz w:val="24"/>
          <w:szCs w:val="24"/>
          <w:vertAlign w:val="superscript"/>
        </w:rPr>
        <w:t>20</w:t>
      </w:r>
      <w:r w:rsidR="0070245A" w:rsidRPr="00E40394">
        <w:rPr>
          <w:sz w:val="24"/>
          <w:szCs w:val="24"/>
        </w:rPr>
        <w:t xml:space="preserve">· </w:t>
      </w:r>
      <w:r w:rsidRPr="00E40394">
        <w:rPr>
          <w:sz w:val="24"/>
          <w:szCs w:val="24"/>
        </w:rPr>
        <w:t>O</w:t>
      </w:r>
      <w:r w:rsidR="00D37869" w:rsidRPr="00E40394">
        <w:rPr>
          <w:sz w:val="24"/>
          <w:szCs w:val="24"/>
        </w:rPr>
        <w:t xml:space="preserve"> </w:t>
      </w:r>
      <w:r w:rsidRPr="00E40394">
        <w:rPr>
          <w:sz w:val="24"/>
          <w:szCs w:val="24"/>
        </w:rPr>
        <w:t>Mkinsi</w:t>
      </w:r>
      <w:bookmarkStart w:id="2" w:name="_Hlk7165659"/>
      <w:r w:rsidR="0070245A" w:rsidRPr="00E40394">
        <w:rPr>
          <w:sz w:val="24"/>
          <w:szCs w:val="24"/>
        </w:rPr>
        <w:t xml:space="preserve"> </w:t>
      </w:r>
      <w:r w:rsidR="007E1678" w:rsidRPr="00704C2B">
        <w:rPr>
          <w:sz w:val="24"/>
          <w:szCs w:val="24"/>
          <w:vertAlign w:val="superscript"/>
        </w:rPr>
        <w:t>21</w:t>
      </w:r>
      <w:r w:rsidR="0070245A" w:rsidRPr="00E40394">
        <w:rPr>
          <w:sz w:val="24"/>
          <w:szCs w:val="24"/>
        </w:rPr>
        <w:t xml:space="preserve">· </w:t>
      </w:r>
      <w:r w:rsidRPr="00E40394">
        <w:rPr>
          <w:sz w:val="24"/>
          <w:szCs w:val="24"/>
        </w:rPr>
        <w:t xml:space="preserve"> </w:t>
      </w:r>
      <w:bookmarkEnd w:id="2"/>
      <w:r w:rsidRPr="00E40394">
        <w:rPr>
          <w:sz w:val="24"/>
          <w:szCs w:val="24"/>
        </w:rPr>
        <w:t>D</w:t>
      </w:r>
      <w:r w:rsidR="00C95481" w:rsidRPr="00E40394">
        <w:rPr>
          <w:sz w:val="24"/>
          <w:szCs w:val="24"/>
        </w:rPr>
        <w:t xml:space="preserve"> </w:t>
      </w:r>
      <w:r w:rsidRPr="00E40394">
        <w:rPr>
          <w:sz w:val="24"/>
          <w:szCs w:val="24"/>
        </w:rPr>
        <w:t>Pinto</w:t>
      </w:r>
      <w:r w:rsidR="00090172" w:rsidRPr="00E40394">
        <w:rPr>
          <w:sz w:val="24"/>
          <w:szCs w:val="24"/>
        </w:rPr>
        <w:t xml:space="preserve"> </w:t>
      </w:r>
      <w:r w:rsidR="00D84BC0" w:rsidRPr="00704C2B">
        <w:rPr>
          <w:sz w:val="24"/>
          <w:szCs w:val="24"/>
          <w:vertAlign w:val="superscript"/>
        </w:rPr>
        <w:t>22</w:t>
      </w:r>
      <w:r w:rsidR="00584792" w:rsidRPr="00704C2B">
        <w:rPr>
          <w:sz w:val="24"/>
          <w:szCs w:val="24"/>
          <w:vertAlign w:val="superscript"/>
        </w:rPr>
        <w:t>,23</w:t>
      </w:r>
      <w:r w:rsidR="00090172" w:rsidRPr="00E40394">
        <w:rPr>
          <w:sz w:val="24"/>
          <w:szCs w:val="24"/>
        </w:rPr>
        <w:t xml:space="preserve">·  </w:t>
      </w:r>
      <w:r w:rsidR="0044084E" w:rsidRPr="00E40394">
        <w:rPr>
          <w:sz w:val="24"/>
          <w:szCs w:val="24"/>
        </w:rPr>
        <w:t xml:space="preserve">D Prieto-Alhambra </w:t>
      </w:r>
      <w:r w:rsidR="00D84BC0" w:rsidRPr="00704C2B">
        <w:rPr>
          <w:sz w:val="24"/>
          <w:szCs w:val="24"/>
          <w:vertAlign w:val="superscript"/>
        </w:rPr>
        <w:t>2</w:t>
      </w:r>
      <w:r w:rsidR="007D5207" w:rsidRPr="00704C2B">
        <w:rPr>
          <w:sz w:val="24"/>
          <w:szCs w:val="24"/>
          <w:vertAlign w:val="superscript"/>
        </w:rPr>
        <w:t>4</w:t>
      </w:r>
      <w:r w:rsidR="00B66518" w:rsidRPr="00704C2B">
        <w:rPr>
          <w:sz w:val="24"/>
          <w:szCs w:val="24"/>
          <w:vertAlign w:val="superscript"/>
        </w:rPr>
        <w:t>,2</w:t>
      </w:r>
      <w:r w:rsidR="007D5207" w:rsidRPr="00704C2B">
        <w:rPr>
          <w:sz w:val="24"/>
          <w:szCs w:val="24"/>
          <w:vertAlign w:val="superscript"/>
        </w:rPr>
        <w:t>5</w:t>
      </w:r>
      <w:r w:rsidR="0044084E" w:rsidRPr="00E40394">
        <w:rPr>
          <w:sz w:val="24"/>
          <w:szCs w:val="24"/>
        </w:rPr>
        <w:t xml:space="preserve">· </w:t>
      </w:r>
      <w:r w:rsidRPr="00E40394">
        <w:rPr>
          <w:sz w:val="24"/>
          <w:szCs w:val="24"/>
        </w:rPr>
        <w:t>K Saag</w:t>
      </w:r>
      <w:r w:rsidR="0070245A" w:rsidRPr="00E40394">
        <w:rPr>
          <w:sz w:val="24"/>
          <w:szCs w:val="24"/>
        </w:rPr>
        <w:t xml:space="preserve"> </w:t>
      </w:r>
      <w:r w:rsidR="00C976A8" w:rsidRPr="00704C2B">
        <w:rPr>
          <w:sz w:val="24"/>
          <w:szCs w:val="24"/>
          <w:vertAlign w:val="superscript"/>
        </w:rPr>
        <w:t>26</w:t>
      </w:r>
      <w:r w:rsidR="0070245A" w:rsidRPr="00E40394">
        <w:rPr>
          <w:sz w:val="24"/>
          <w:szCs w:val="24"/>
        </w:rPr>
        <w:t xml:space="preserve">· </w:t>
      </w:r>
      <w:r w:rsidRPr="00E40394">
        <w:rPr>
          <w:sz w:val="24"/>
          <w:szCs w:val="24"/>
        </w:rPr>
        <w:t>W Xia</w:t>
      </w:r>
      <w:r w:rsidR="0070245A" w:rsidRPr="00E40394">
        <w:rPr>
          <w:sz w:val="24"/>
          <w:szCs w:val="24"/>
        </w:rPr>
        <w:t xml:space="preserve"> </w:t>
      </w:r>
      <w:r w:rsidR="003568D1" w:rsidRPr="00704C2B">
        <w:rPr>
          <w:sz w:val="24"/>
          <w:szCs w:val="24"/>
          <w:vertAlign w:val="superscript"/>
        </w:rPr>
        <w:t>27</w:t>
      </w:r>
      <w:r w:rsidR="0070245A" w:rsidRPr="00E40394">
        <w:rPr>
          <w:sz w:val="24"/>
          <w:szCs w:val="24"/>
        </w:rPr>
        <w:t xml:space="preserve">· </w:t>
      </w:r>
      <w:r w:rsidRPr="00E40394">
        <w:rPr>
          <w:sz w:val="24"/>
          <w:szCs w:val="24"/>
        </w:rPr>
        <w:t>L Zakraoui</w:t>
      </w:r>
      <w:r w:rsidR="007A19A5">
        <w:rPr>
          <w:sz w:val="24"/>
          <w:szCs w:val="24"/>
        </w:rPr>
        <w:t xml:space="preserve"> </w:t>
      </w:r>
      <w:r w:rsidR="003568D1" w:rsidRPr="00704C2B">
        <w:rPr>
          <w:sz w:val="24"/>
          <w:szCs w:val="24"/>
          <w:vertAlign w:val="superscript"/>
        </w:rPr>
        <w:t>28</w:t>
      </w:r>
      <w:r w:rsidR="007A19A5" w:rsidRPr="007A19A5">
        <w:rPr>
          <w:sz w:val="24"/>
          <w:szCs w:val="24"/>
        </w:rPr>
        <w:t>·  J-Y Reginster</w:t>
      </w:r>
      <w:r w:rsidR="00B47521">
        <w:rPr>
          <w:sz w:val="24"/>
          <w:szCs w:val="24"/>
        </w:rPr>
        <w:t xml:space="preserve"> </w:t>
      </w:r>
      <w:r w:rsidR="00B47521" w:rsidRPr="00704C2B">
        <w:rPr>
          <w:sz w:val="24"/>
          <w:szCs w:val="24"/>
          <w:vertAlign w:val="superscript"/>
        </w:rPr>
        <w:t>13,</w:t>
      </w:r>
      <w:r w:rsidR="00F476C1" w:rsidRPr="00704C2B">
        <w:rPr>
          <w:sz w:val="24"/>
          <w:szCs w:val="24"/>
          <w:vertAlign w:val="superscript"/>
        </w:rPr>
        <w:t>29</w:t>
      </w:r>
    </w:p>
    <w:p w14:paraId="7B1804CF" w14:textId="77777777" w:rsidR="003F1EAA" w:rsidRPr="00A9667D" w:rsidRDefault="003F1EAA" w:rsidP="00E9346F">
      <w:pPr>
        <w:spacing w:line="360" w:lineRule="auto"/>
        <w:ind w:left="567"/>
        <w:rPr>
          <w:b/>
          <w:sz w:val="28"/>
          <w:szCs w:val="28"/>
        </w:rPr>
      </w:pPr>
    </w:p>
    <w:p w14:paraId="3F9EC57C" w14:textId="61C3570A" w:rsidR="00AF38F1" w:rsidRDefault="00C95481" w:rsidP="00E9346F">
      <w:pPr>
        <w:tabs>
          <w:tab w:val="left" w:pos="3969"/>
        </w:tabs>
        <w:ind w:left="567"/>
        <w:rPr>
          <w:b/>
          <w:noProof/>
          <w:sz w:val="24"/>
          <w:szCs w:val="24"/>
        </w:rPr>
      </w:pPr>
      <w:r w:rsidRPr="00571868">
        <w:rPr>
          <w:b/>
          <w:noProof/>
          <w:sz w:val="24"/>
          <w:szCs w:val="24"/>
        </w:rPr>
        <w:t>Affiliations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7990"/>
      </w:tblGrid>
      <w:tr w:rsidR="00962106" w:rsidRPr="00ED360C" w14:paraId="0A0EA79C" w14:textId="77777777" w:rsidTr="00E5401A">
        <w:tc>
          <w:tcPr>
            <w:tcW w:w="460" w:type="dxa"/>
          </w:tcPr>
          <w:p w14:paraId="7CC4A956" w14:textId="0D4CFB17" w:rsidR="00962106" w:rsidRPr="00C272DC" w:rsidRDefault="00D64F7F" w:rsidP="00EB063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w:t>
            </w:r>
          </w:p>
        </w:tc>
        <w:tc>
          <w:tcPr>
            <w:tcW w:w="7990" w:type="dxa"/>
          </w:tcPr>
          <w:p w14:paraId="1FA14CDE" w14:textId="6C2A1EEE" w:rsidR="00962106" w:rsidRPr="00ED360C" w:rsidRDefault="00D8385F" w:rsidP="00962106">
            <w:pPr>
              <w:tabs>
                <w:tab w:val="left" w:pos="3969"/>
              </w:tabs>
              <w:spacing w:line="276" w:lineRule="auto"/>
              <w:rPr>
                <w:rFonts w:asciiTheme="minorHAnsi" w:hAnsiTheme="minorHAnsi" w:cstheme="minorHAnsi"/>
                <w:bCs/>
                <w:noProof/>
              </w:rPr>
            </w:pPr>
            <w:r w:rsidRPr="00ED360C">
              <w:rPr>
                <w:rFonts w:asciiTheme="minorHAnsi" w:hAnsiTheme="minorHAnsi" w:cstheme="minorHAnsi"/>
                <w:bCs/>
                <w:noProof/>
              </w:rPr>
              <w:t>Centre for Metabolic Bone Diseases, University of Sheffield Medical School, Sheffield, UK</w:t>
            </w:r>
          </w:p>
        </w:tc>
      </w:tr>
      <w:tr w:rsidR="00D8385F" w:rsidRPr="00ED360C" w14:paraId="5C109505" w14:textId="77777777" w:rsidTr="00E5401A">
        <w:tc>
          <w:tcPr>
            <w:tcW w:w="460" w:type="dxa"/>
          </w:tcPr>
          <w:p w14:paraId="6F40BFAB" w14:textId="5D495401" w:rsidR="00D8385F" w:rsidRPr="00C272DC" w:rsidRDefault="00D8385F" w:rsidP="00D8385F">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w:t>
            </w:r>
          </w:p>
        </w:tc>
        <w:tc>
          <w:tcPr>
            <w:tcW w:w="7990" w:type="dxa"/>
          </w:tcPr>
          <w:p w14:paraId="22060593" w14:textId="22AF82FC" w:rsidR="00D8385F" w:rsidRPr="00ED360C" w:rsidRDefault="00D8385F" w:rsidP="00D8385F">
            <w:pPr>
              <w:tabs>
                <w:tab w:val="left" w:pos="3969"/>
              </w:tabs>
              <w:spacing w:line="276" w:lineRule="auto"/>
              <w:rPr>
                <w:rFonts w:asciiTheme="minorHAnsi" w:hAnsiTheme="minorHAnsi" w:cstheme="minorHAnsi"/>
                <w:bCs/>
                <w:noProof/>
              </w:rPr>
            </w:pPr>
            <w:r w:rsidRPr="00ED360C">
              <w:rPr>
                <w:rFonts w:asciiTheme="minorHAnsi" w:hAnsiTheme="minorHAnsi" w:cstheme="minorHAnsi"/>
              </w:rPr>
              <w:t xml:space="preserve"> Mary McKillop Health Institute, Australian Catholic University, Melbourne, Australia</w:t>
            </w:r>
          </w:p>
        </w:tc>
      </w:tr>
      <w:tr w:rsidR="00D8385F" w:rsidRPr="00ED360C" w14:paraId="7898F7BB" w14:textId="77777777" w:rsidTr="00E5401A">
        <w:tc>
          <w:tcPr>
            <w:tcW w:w="460" w:type="dxa"/>
          </w:tcPr>
          <w:p w14:paraId="0331B8A3" w14:textId="6128A279" w:rsidR="00D8385F" w:rsidRPr="00C272DC" w:rsidRDefault="00D8385F" w:rsidP="00D8385F">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3</w:t>
            </w:r>
          </w:p>
        </w:tc>
        <w:tc>
          <w:tcPr>
            <w:tcW w:w="7990" w:type="dxa"/>
          </w:tcPr>
          <w:p w14:paraId="2584F432" w14:textId="4240C960" w:rsidR="00D8385F" w:rsidRPr="00ED360C" w:rsidRDefault="00D8385F" w:rsidP="00D8385F">
            <w:pPr>
              <w:tabs>
                <w:tab w:val="left" w:pos="3969"/>
              </w:tabs>
              <w:spacing w:line="276" w:lineRule="auto"/>
              <w:rPr>
                <w:rFonts w:asciiTheme="minorHAnsi" w:hAnsiTheme="minorHAnsi" w:cstheme="minorHAnsi"/>
                <w:bCs/>
                <w:noProof/>
              </w:rPr>
            </w:pPr>
            <w:r w:rsidRPr="00ED360C">
              <w:rPr>
                <w:rFonts w:asciiTheme="minorHAnsi" w:hAnsiTheme="minorHAnsi" w:cstheme="minorHAnsi"/>
              </w:rPr>
              <w:t>MRC Lifecourse Epidemiology Unit, University of Southampton, Southampton, UK</w:t>
            </w:r>
          </w:p>
        </w:tc>
      </w:tr>
      <w:tr w:rsidR="00C52C6E" w:rsidRPr="00ED360C" w14:paraId="7951107E" w14:textId="77777777" w:rsidTr="00E5401A">
        <w:tc>
          <w:tcPr>
            <w:tcW w:w="460" w:type="dxa"/>
          </w:tcPr>
          <w:p w14:paraId="1F64C269" w14:textId="6EEDDC50" w:rsidR="00C52C6E" w:rsidRPr="00C272DC" w:rsidRDefault="00C52C6E" w:rsidP="00C52C6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4</w:t>
            </w:r>
          </w:p>
        </w:tc>
        <w:tc>
          <w:tcPr>
            <w:tcW w:w="7990" w:type="dxa"/>
          </w:tcPr>
          <w:p w14:paraId="77830B2F" w14:textId="7C6EE8FC" w:rsidR="00C52C6E" w:rsidRPr="00ED360C" w:rsidRDefault="00C52C6E" w:rsidP="00C52C6E">
            <w:pPr>
              <w:tabs>
                <w:tab w:val="left" w:pos="3969"/>
              </w:tabs>
              <w:spacing w:line="276" w:lineRule="auto"/>
              <w:rPr>
                <w:rFonts w:asciiTheme="minorHAnsi" w:hAnsiTheme="minorHAnsi" w:cstheme="minorHAnsi"/>
                <w:bCs/>
                <w:noProof/>
              </w:rPr>
            </w:pPr>
            <w:r w:rsidRPr="00ED360C">
              <w:rPr>
                <w:rFonts w:asciiTheme="minorHAnsi" w:hAnsiTheme="minorHAnsi" w:cstheme="minorHAnsi"/>
              </w:rPr>
              <w:t>Centre for Metabolic Bone Diseases, University of Sheffield Medical School, Sheffield, UK</w:t>
            </w:r>
          </w:p>
        </w:tc>
      </w:tr>
      <w:tr w:rsidR="00C52C6E" w:rsidRPr="00ED360C" w14:paraId="3F9C9B78" w14:textId="77777777" w:rsidTr="00E5401A">
        <w:tc>
          <w:tcPr>
            <w:tcW w:w="460" w:type="dxa"/>
          </w:tcPr>
          <w:p w14:paraId="35F2ACE2" w14:textId="3629D988" w:rsidR="00C52C6E" w:rsidRPr="00C272DC" w:rsidRDefault="00C52C6E" w:rsidP="00C52C6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5</w:t>
            </w:r>
          </w:p>
        </w:tc>
        <w:tc>
          <w:tcPr>
            <w:tcW w:w="7990" w:type="dxa"/>
          </w:tcPr>
          <w:p w14:paraId="39DF1E5D" w14:textId="7FC5B837" w:rsidR="00C52C6E" w:rsidRPr="00ED360C" w:rsidRDefault="00C52C6E" w:rsidP="00C52C6E">
            <w:pPr>
              <w:tabs>
                <w:tab w:val="left" w:pos="3969"/>
              </w:tabs>
              <w:spacing w:line="276" w:lineRule="auto"/>
              <w:rPr>
                <w:rFonts w:asciiTheme="minorHAnsi" w:hAnsiTheme="minorHAnsi" w:cstheme="minorHAnsi"/>
                <w:bCs/>
                <w:noProof/>
              </w:rPr>
            </w:pPr>
            <w:r w:rsidRPr="00ED360C">
              <w:rPr>
                <w:rFonts w:asciiTheme="minorHAnsi" w:hAnsiTheme="minorHAnsi" w:cstheme="minorHAnsi"/>
              </w:rPr>
              <w:t xml:space="preserve">MRC and Arthritis Research UK Centre for Integrated Research in Musculoskeletal Ageing, Mellanby </w:t>
            </w:r>
          </w:p>
        </w:tc>
      </w:tr>
      <w:tr w:rsidR="00C52C6E" w:rsidRPr="00ED360C" w14:paraId="4721632E" w14:textId="77777777" w:rsidTr="00E5401A">
        <w:tc>
          <w:tcPr>
            <w:tcW w:w="460" w:type="dxa"/>
          </w:tcPr>
          <w:p w14:paraId="76052195" w14:textId="7E8B029B" w:rsidR="00C52C6E" w:rsidRPr="00C272DC" w:rsidRDefault="00C52C6E" w:rsidP="00C52C6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6</w:t>
            </w:r>
          </w:p>
        </w:tc>
        <w:tc>
          <w:tcPr>
            <w:tcW w:w="7990" w:type="dxa"/>
          </w:tcPr>
          <w:p w14:paraId="3DE64CE9" w14:textId="5F3925EB" w:rsidR="00C52C6E" w:rsidRPr="00ED360C" w:rsidRDefault="00C52C6E" w:rsidP="00C52C6E">
            <w:pPr>
              <w:tabs>
                <w:tab w:val="left" w:pos="3969"/>
              </w:tabs>
              <w:spacing w:line="276" w:lineRule="auto"/>
              <w:rPr>
                <w:rFonts w:asciiTheme="minorHAnsi" w:hAnsiTheme="minorHAnsi" w:cstheme="minorHAnsi"/>
                <w:bCs/>
                <w:noProof/>
              </w:rPr>
            </w:pPr>
            <w:r w:rsidRPr="00ED360C">
              <w:rPr>
                <w:rFonts w:asciiTheme="minorHAnsi" w:hAnsiTheme="minorHAnsi" w:cstheme="minorHAnsi"/>
              </w:rPr>
              <w:t>World Health Organization Collaborating Center for the Public Health Aspects of Musculoskeletal Health and Aging, Department of Public Health, Epidemiology and Health Economics, University of Liège, Liège, Belgium</w:t>
            </w:r>
          </w:p>
        </w:tc>
      </w:tr>
      <w:tr w:rsidR="00C52C6E" w:rsidRPr="00ED360C" w14:paraId="1A244553" w14:textId="77777777" w:rsidTr="00E5401A">
        <w:tc>
          <w:tcPr>
            <w:tcW w:w="460" w:type="dxa"/>
          </w:tcPr>
          <w:p w14:paraId="66E6C210" w14:textId="35EFEA19" w:rsidR="00C52C6E" w:rsidRPr="00C272DC" w:rsidRDefault="00C52C6E" w:rsidP="00C52C6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7</w:t>
            </w:r>
          </w:p>
        </w:tc>
        <w:tc>
          <w:tcPr>
            <w:tcW w:w="7990" w:type="dxa"/>
          </w:tcPr>
          <w:p w14:paraId="3DAFBE4C" w14:textId="16090332" w:rsidR="00C52C6E" w:rsidRPr="00ED360C" w:rsidRDefault="00C52C6E" w:rsidP="00C52C6E">
            <w:pPr>
              <w:tabs>
                <w:tab w:val="left" w:pos="3969"/>
              </w:tabs>
              <w:spacing w:line="276" w:lineRule="auto"/>
              <w:rPr>
                <w:rFonts w:asciiTheme="minorHAnsi" w:hAnsiTheme="minorHAnsi" w:cstheme="minorHAnsi"/>
                <w:bCs/>
                <w:noProof/>
              </w:rPr>
            </w:pPr>
            <w:r w:rsidRPr="00ED360C">
              <w:rPr>
                <w:rFonts w:asciiTheme="minorHAnsi" w:hAnsiTheme="minorHAnsi" w:cstheme="minorHAnsi"/>
              </w:rPr>
              <w:t xml:space="preserve"> 7 National Research Council, Neuroscience Institute, Aging Branch, Via Giustiniani, 2, 35128, Padova, Italy.</w:t>
            </w:r>
          </w:p>
        </w:tc>
      </w:tr>
      <w:tr w:rsidR="00962106" w:rsidRPr="00ED360C" w14:paraId="7BD13A10" w14:textId="77777777" w:rsidTr="00E5401A">
        <w:tc>
          <w:tcPr>
            <w:tcW w:w="460" w:type="dxa"/>
          </w:tcPr>
          <w:p w14:paraId="7C844136" w14:textId="4FF4893D" w:rsidR="00962106" w:rsidRPr="00C272DC" w:rsidRDefault="00D64F7F" w:rsidP="00EB063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8</w:t>
            </w:r>
          </w:p>
        </w:tc>
        <w:tc>
          <w:tcPr>
            <w:tcW w:w="7990" w:type="dxa"/>
          </w:tcPr>
          <w:p w14:paraId="78C6C06E" w14:textId="67BCD7DF" w:rsidR="00962106" w:rsidRPr="00ED360C" w:rsidRDefault="00D2346A" w:rsidP="00962106">
            <w:pPr>
              <w:tabs>
                <w:tab w:val="left" w:pos="3969"/>
              </w:tabs>
              <w:spacing w:line="276" w:lineRule="auto"/>
              <w:rPr>
                <w:rFonts w:asciiTheme="minorHAnsi" w:hAnsiTheme="minorHAnsi" w:cstheme="minorHAnsi"/>
                <w:bCs/>
                <w:noProof/>
              </w:rPr>
            </w:pPr>
            <w:r w:rsidRPr="00ED360C">
              <w:rPr>
                <w:rFonts w:asciiTheme="minorHAnsi" w:hAnsiTheme="minorHAnsi" w:cstheme="minorHAnsi"/>
                <w:bCs/>
                <w:noProof/>
              </w:rPr>
              <w:t>Geriatric Medicine, Department of Internal Medicine and Clinical Nutrition, Institute of Medicine and Clinical Nutrition, Sahlgrenska Academy, University of Gothenburg.</w:t>
            </w:r>
          </w:p>
        </w:tc>
      </w:tr>
      <w:tr w:rsidR="00EB063E" w:rsidRPr="00ED360C" w14:paraId="4254F874" w14:textId="77777777" w:rsidTr="00E5401A">
        <w:tc>
          <w:tcPr>
            <w:tcW w:w="460" w:type="dxa"/>
          </w:tcPr>
          <w:p w14:paraId="1E593C2B" w14:textId="0D7E4E7C" w:rsidR="00EB063E" w:rsidRPr="00C272DC" w:rsidRDefault="00EB063E" w:rsidP="00EB063E">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lastRenderedPageBreak/>
              <w:t>9</w:t>
            </w:r>
          </w:p>
        </w:tc>
        <w:tc>
          <w:tcPr>
            <w:tcW w:w="7990" w:type="dxa"/>
          </w:tcPr>
          <w:p w14:paraId="6065F42B" w14:textId="1C779A0E" w:rsidR="00EB063E" w:rsidRPr="00ED360C" w:rsidRDefault="00ED360C" w:rsidP="00962106">
            <w:pPr>
              <w:tabs>
                <w:tab w:val="left" w:pos="3969"/>
              </w:tabs>
              <w:spacing w:line="276" w:lineRule="auto"/>
              <w:rPr>
                <w:rFonts w:asciiTheme="minorHAnsi" w:hAnsiTheme="minorHAnsi" w:cstheme="minorHAnsi"/>
                <w:bCs/>
                <w:noProof/>
              </w:rPr>
            </w:pPr>
            <w:r w:rsidRPr="00ED360C">
              <w:rPr>
                <w:rFonts w:asciiTheme="minorHAnsi" w:hAnsiTheme="minorHAnsi" w:cstheme="minorHAnsi"/>
                <w:bCs/>
                <w:noProof/>
              </w:rPr>
              <w:t>Region Västra Götaland, Geriatric Medicine Clinic, Sahlgrenska University Hospital, Gothenburg, Sweden.</w:t>
            </w:r>
          </w:p>
        </w:tc>
      </w:tr>
      <w:tr w:rsidR="00D01087" w:rsidRPr="00ED360C" w14:paraId="7B65DA8D" w14:textId="77777777" w:rsidTr="00E5401A">
        <w:tc>
          <w:tcPr>
            <w:tcW w:w="460" w:type="dxa"/>
          </w:tcPr>
          <w:p w14:paraId="55924D59" w14:textId="22CA198B" w:rsidR="00D01087" w:rsidRPr="00C272DC" w:rsidRDefault="00D01087" w:rsidP="00D01087">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10</w:t>
            </w:r>
          </w:p>
        </w:tc>
        <w:tc>
          <w:tcPr>
            <w:tcW w:w="7990" w:type="dxa"/>
          </w:tcPr>
          <w:p w14:paraId="68AE2247" w14:textId="391EDF76" w:rsidR="00D01087" w:rsidRPr="00ED360C" w:rsidRDefault="00D01087" w:rsidP="00D01087">
            <w:pPr>
              <w:tabs>
                <w:tab w:val="left" w:pos="3969"/>
              </w:tabs>
              <w:spacing w:line="276" w:lineRule="auto"/>
              <w:rPr>
                <w:rFonts w:asciiTheme="minorHAnsi" w:hAnsiTheme="minorHAnsi" w:cstheme="minorHAnsi"/>
                <w:bCs/>
                <w:noProof/>
              </w:rPr>
            </w:pPr>
            <w:r w:rsidRPr="00B1089F">
              <w:t>NIHR Musculoskeletal Biomedical Research Unit, University of Oxford, Oxford, UK</w:t>
            </w:r>
          </w:p>
        </w:tc>
      </w:tr>
      <w:tr w:rsidR="00D01087" w:rsidRPr="00ED360C" w14:paraId="30410DB2" w14:textId="77777777" w:rsidTr="00E5401A">
        <w:tc>
          <w:tcPr>
            <w:tcW w:w="460" w:type="dxa"/>
          </w:tcPr>
          <w:p w14:paraId="028A1A01" w14:textId="21FC0F8A" w:rsidR="00D01087" w:rsidRPr="00C272DC" w:rsidRDefault="00D01087" w:rsidP="00D01087">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11</w:t>
            </w:r>
          </w:p>
        </w:tc>
        <w:tc>
          <w:tcPr>
            <w:tcW w:w="7990" w:type="dxa"/>
          </w:tcPr>
          <w:p w14:paraId="071448FF" w14:textId="706F8A21" w:rsidR="00D01087" w:rsidRPr="00ED360C" w:rsidRDefault="00D01087" w:rsidP="00D01087">
            <w:pPr>
              <w:tabs>
                <w:tab w:val="left" w:pos="3969"/>
              </w:tabs>
              <w:spacing w:line="276" w:lineRule="auto"/>
              <w:rPr>
                <w:rFonts w:asciiTheme="minorHAnsi" w:hAnsiTheme="minorHAnsi" w:cstheme="minorHAnsi"/>
                <w:bCs/>
                <w:noProof/>
              </w:rPr>
            </w:pPr>
            <w:r w:rsidRPr="00B1089F">
              <w:t>Service of Bone Diseases, Geneva University Hospitals and Faculty of Medicine, Geneva, Switzerland</w:t>
            </w:r>
          </w:p>
        </w:tc>
      </w:tr>
      <w:tr w:rsidR="00D01087" w:rsidRPr="00ED360C" w14:paraId="0A117457" w14:textId="77777777" w:rsidTr="00E5401A">
        <w:tc>
          <w:tcPr>
            <w:tcW w:w="460" w:type="dxa"/>
          </w:tcPr>
          <w:p w14:paraId="4FB42DE0" w14:textId="619F769A" w:rsidR="00D01087" w:rsidRPr="00C272DC" w:rsidRDefault="00D01087" w:rsidP="00D01087">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12</w:t>
            </w:r>
          </w:p>
        </w:tc>
        <w:tc>
          <w:tcPr>
            <w:tcW w:w="7990" w:type="dxa"/>
          </w:tcPr>
          <w:p w14:paraId="4E50BA8C" w14:textId="02131325" w:rsidR="00D01087" w:rsidRPr="00ED360C" w:rsidRDefault="00D01087" w:rsidP="00D01087">
            <w:pPr>
              <w:tabs>
                <w:tab w:val="left" w:pos="3969"/>
              </w:tabs>
              <w:spacing w:line="276" w:lineRule="auto"/>
              <w:rPr>
                <w:rFonts w:asciiTheme="minorHAnsi" w:hAnsiTheme="minorHAnsi" w:cstheme="minorHAnsi"/>
                <w:bCs/>
                <w:noProof/>
              </w:rPr>
            </w:pPr>
            <w:r w:rsidRPr="00B1089F">
              <w:t>Syrian National Osteoporosis Society, Damascus, Syria.</w:t>
            </w:r>
          </w:p>
        </w:tc>
      </w:tr>
      <w:tr w:rsidR="00D01087" w:rsidRPr="00ED360C" w14:paraId="757DBEE6" w14:textId="77777777" w:rsidTr="00E5401A">
        <w:tc>
          <w:tcPr>
            <w:tcW w:w="460" w:type="dxa"/>
          </w:tcPr>
          <w:p w14:paraId="4E3E162A" w14:textId="37E2A23E" w:rsidR="00D01087" w:rsidRPr="00C272DC" w:rsidRDefault="00D01087" w:rsidP="00D01087">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13</w:t>
            </w:r>
          </w:p>
        </w:tc>
        <w:tc>
          <w:tcPr>
            <w:tcW w:w="7990" w:type="dxa"/>
          </w:tcPr>
          <w:p w14:paraId="3EE515AF" w14:textId="336B4685" w:rsidR="00D01087" w:rsidRPr="00ED360C" w:rsidRDefault="00D01087" w:rsidP="00D01087">
            <w:pPr>
              <w:tabs>
                <w:tab w:val="left" w:pos="3969"/>
              </w:tabs>
              <w:spacing w:line="276" w:lineRule="auto"/>
              <w:rPr>
                <w:rFonts w:asciiTheme="minorHAnsi" w:hAnsiTheme="minorHAnsi" w:cstheme="minorHAnsi"/>
                <w:bCs/>
                <w:noProof/>
              </w:rPr>
            </w:pPr>
            <w:r w:rsidRPr="00B1089F">
              <w:t xml:space="preserve">Chair for Biomarkers </w:t>
            </w:r>
            <w:r w:rsidR="006D41C2">
              <w:t>of</w:t>
            </w:r>
            <w:r w:rsidRPr="00B1089F">
              <w:t xml:space="preserve"> Chronic Diseases, Biochemistry Dept, College of Science, King Saud University, Riyadh, </w:t>
            </w:r>
            <w:r w:rsidR="006B3275">
              <w:t xml:space="preserve">Kingdom of </w:t>
            </w:r>
            <w:r w:rsidRPr="00B1089F">
              <w:t>Saudi Arabia</w:t>
            </w:r>
          </w:p>
        </w:tc>
      </w:tr>
      <w:tr w:rsidR="00D01087" w:rsidRPr="00ED360C" w14:paraId="3CAA1035" w14:textId="77777777" w:rsidTr="00E5401A">
        <w:tc>
          <w:tcPr>
            <w:tcW w:w="460" w:type="dxa"/>
          </w:tcPr>
          <w:p w14:paraId="0966E9E8" w14:textId="4AFAD39D" w:rsidR="00D01087" w:rsidRPr="00C272DC" w:rsidRDefault="00D01087" w:rsidP="00D01087">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14</w:t>
            </w:r>
          </w:p>
        </w:tc>
        <w:tc>
          <w:tcPr>
            <w:tcW w:w="7990" w:type="dxa"/>
          </w:tcPr>
          <w:p w14:paraId="4C282F44" w14:textId="1FA78D4D" w:rsidR="00D01087" w:rsidRPr="00ED360C" w:rsidRDefault="00D01087" w:rsidP="00D01087">
            <w:pPr>
              <w:tabs>
                <w:tab w:val="left" w:pos="3969"/>
              </w:tabs>
              <w:spacing w:line="276" w:lineRule="auto"/>
              <w:rPr>
                <w:rFonts w:asciiTheme="minorHAnsi" w:hAnsiTheme="minorHAnsi" w:cstheme="minorHAnsi"/>
                <w:bCs/>
                <w:noProof/>
              </w:rPr>
            </w:pPr>
            <w:r w:rsidRPr="00B1089F">
              <w:t xml:space="preserve">Clinica Universidad de los Andes and Faculty of Medicine, Universidad de los </w:t>
            </w:r>
            <w:r w:rsidR="006B3275" w:rsidRPr="00B1089F">
              <w:t>Andes, Santiago</w:t>
            </w:r>
            <w:r w:rsidRPr="00B1089F">
              <w:t>, Chile</w:t>
            </w:r>
          </w:p>
        </w:tc>
      </w:tr>
      <w:tr w:rsidR="00C664A0" w:rsidRPr="00ED360C" w14:paraId="17D2685E" w14:textId="77777777" w:rsidTr="00E5401A">
        <w:tc>
          <w:tcPr>
            <w:tcW w:w="460" w:type="dxa"/>
          </w:tcPr>
          <w:p w14:paraId="58BE7882" w14:textId="34FB2BE6" w:rsidR="00C664A0" w:rsidRPr="00C272DC" w:rsidRDefault="00C664A0" w:rsidP="00C664A0">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15</w:t>
            </w:r>
          </w:p>
        </w:tc>
        <w:tc>
          <w:tcPr>
            <w:tcW w:w="7990" w:type="dxa"/>
          </w:tcPr>
          <w:p w14:paraId="1E21F576" w14:textId="49E758D3" w:rsidR="00C664A0" w:rsidRPr="00ED360C" w:rsidRDefault="00C664A0" w:rsidP="00C664A0">
            <w:pPr>
              <w:tabs>
                <w:tab w:val="left" w:pos="3969"/>
              </w:tabs>
              <w:spacing w:line="276" w:lineRule="auto"/>
              <w:rPr>
                <w:rFonts w:asciiTheme="minorHAnsi" w:hAnsiTheme="minorHAnsi" w:cstheme="minorHAnsi"/>
                <w:bCs/>
                <w:noProof/>
              </w:rPr>
            </w:pPr>
            <w:r w:rsidRPr="008B4F25">
              <w:t xml:space="preserve">Osteoporosis and Bone Metabolism Unit, Department of Endocrinology, Singapore General Hospital, ACADEMIA, 20, College Road, Singapore, 169856, Singapore. </w:t>
            </w:r>
          </w:p>
        </w:tc>
      </w:tr>
      <w:tr w:rsidR="00C664A0" w:rsidRPr="00ED360C" w14:paraId="2CF7CE36" w14:textId="77777777" w:rsidTr="00E5401A">
        <w:tc>
          <w:tcPr>
            <w:tcW w:w="460" w:type="dxa"/>
          </w:tcPr>
          <w:p w14:paraId="3E2174ED" w14:textId="0A413768" w:rsidR="00C664A0" w:rsidRPr="00C272DC" w:rsidRDefault="00C664A0" w:rsidP="00C664A0">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16</w:t>
            </w:r>
          </w:p>
        </w:tc>
        <w:tc>
          <w:tcPr>
            <w:tcW w:w="7990" w:type="dxa"/>
          </w:tcPr>
          <w:p w14:paraId="248F6A90" w14:textId="4B47657A" w:rsidR="00C664A0" w:rsidRPr="00ED360C" w:rsidRDefault="00C664A0" w:rsidP="00C664A0">
            <w:pPr>
              <w:tabs>
                <w:tab w:val="left" w:pos="3969"/>
              </w:tabs>
              <w:spacing w:line="276" w:lineRule="auto"/>
              <w:rPr>
                <w:rFonts w:asciiTheme="minorHAnsi" w:hAnsiTheme="minorHAnsi" w:cstheme="minorHAnsi"/>
                <w:bCs/>
                <w:noProof/>
              </w:rPr>
            </w:pPr>
            <w:r w:rsidRPr="008B4F25">
              <w:t xml:space="preserve">Jean Mayer USDA Human Nutrition Research Center on Aging at Tufts University, Boston, MA </w:t>
            </w:r>
          </w:p>
        </w:tc>
      </w:tr>
      <w:tr w:rsidR="00C664A0" w:rsidRPr="00ED360C" w14:paraId="7A0694DD" w14:textId="77777777" w:rsidTr="00E5401A">
        <w:tc>
          <w:tcPr>
            <w:tcW w:w="460" w:type="dxa"/>
          </w:tcPr>
          <w:p w14:paraId="10F9E585" w14:textId="651071FB" w:rsidR="00C664A0" w:rsidRPr="00C272DC" w:rsidRDefault="00C664A0" w:rsidP="00C664A0">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17</w:t>
            </w:r>
          </w:p>
        </w:tc>
        <w:tc>
          <w:tcPr>
            <w:tcW w:w="7990" w:type="dxa"/>
          </w:tcPr>
          <w:p w14:paraId="5DE6CB00" w14:textId="0D0CD676" w:rsidR="00C664A0" w:rsidRPr="00ED360C" w:rsidRDefault="00C664A0" w:rsidP="00C664A0">
            <w:pPr>
              <w:tabs>
                <w:tab w:val="left" w:pos="3969"/>
              </w:tabs>
              <w:spacing w:line="276" w:lineRule="auto"/>
              <w:rPr>
                <w:rFonts w:asciiTheme="minorHAnsi" w:hAnsiTheme="minorHAnsi" w:cstheme="minorHAnsi"/>
                <w:bCs/>
                <w:noProof/>
              </w:rPr>
            </w:pPr>
            <w:r w:rsidRPr="008B4F25">
              <w:t>National Institute for Health Research (NIHR) Musculoskeletal Biomedical Research Unit, University of Oxford, Oxford, UK.</w:t>
            </w:r>
          </w:p>
        </w:tc>
      </w:tr>
      <w:tr w:rsidR="00C664A0" w:rsidRPr="00ED360C" w14:paraId="568802AB" w14:textId="77777777" w:rsidTr="00E5401A">
        <w:tc>
          <w:tcPr>
            <w:tcW w:w="460" w:type="dxa"/>
          </w:tcPr>
          <w:p w14:paraId="48EA45D6" w14:textId="48488D00" w:rsidR="00C664A0" w:rsidRPr="00C272DC" w:rsidRDefault="00C664A0" w:rsidP="00C664A0">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18</w:t>
            </w:r>
          </w:p>
        </w:tc>
        <w:tc>
          <w:tcPr>
            <w:tcW w:w="7990" w:type="dxa"/>
          </w:tcPr>
          <w:p w14:paraId="5E860559" w14:textId="408C17E0" w:rsidR="00C664A0" w:rsidRPr="00ED360C" w:rsidRDefault="00C664A0" w:rsidP="00C664A0">
            <w:pPr>
              <w:tabs>
                <w:tab w:val="left" w:pos="3969"/>
              </w:tabs>
              <w:spacing w:line="276" w:lineRule="auto"/>
              <w:rPr>
                <w:rFonts w:asciiTheme="minorHAnsi" w:hAnsiTheme="minorHAnsi" w:cstheme="minorHAnsi"/>
                <w:bCs/>
                <w:noProof/>
              </w:rPr>
            </w:pPr>
            <w:r w:rsidRPr="008B4F25">
              <w:t>Chair of the Committee of Patients Societies at the International Osteoporosis Foundation, Osteoporosis Canada, Toronto, Canada</w:t>
            </w:r>
          </w:p>
        </w:tc>
      </w:tr>
      <w:tr w:rsidR="00C664A0" w:rsidRPr="00ED360C" w14:paraId="4F284FC8" w14:textId="77777777" w:rsidTr="00E5401A">
        <w:tc>
          <w:tcPr>
            <w:tcW w:w="460" w:type="dxa"/>
          </w:tcPr>
          <w:p w14:paraId="65712013" w14:textId="58CD6E6B" w:rsidR="00C664A0" w:rsidRPr="00C272DC" w:rsidRDefault="00C664A0" w:rsidP="00C664A0">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19</w:t>
            </w:r>
          </w:p>
        </w:tc>
        <w:tc>
          <w:tcPr>
            <w:tcW w:w="7990" w:type="dxa"/>
          </w:tcPr>
          <w:p w14:paraId="3FE85597" w14:textId="597CD041" w:rsidR="00C664A0" w:rsidRPr="00ED360C" w:rsidRDefault="00C664A0" w:rsidP="00C664A0">
            <w:pPr>
              <w:tabs>
                <w:tab w:val="left" w:pos="3969"/>
              </w:tabs>
              <w:spacing w:line="276" w:lineRule="auto"/>
              <w:rPr>
                <w:rFonts w:asciiTheme="minorHAnsi" w:hAnsiTheme="minorHAnsi" w:cstheme="minorHAnsi"/>
                <w:bCs/>
                <w:noProof/>
              </w:rPr>
            </w:pPr>
            <w:r w:rsidRPr="008B4F25">
              <w:t>Beacon International Specialist Centre, Malaysia</w:t>
            </w:r>
          </w:p>
        </w:tc>
      </w:tr>
      <w:tr w:rsidR="00A8016B" w:rsidRPr="00ED360C" w14:paraId="614E7FE0" w14:textId="77777777" w:rsidTr="00E5401A">
        <w:tc>
          <w:tcPr>
            <w:tcW w:w="460" w:type="dxa"/>
          </w:tcPr>
          <w:p w14:paraId="485EF594" w14:textId="6C9840C4" w:rsidR="00A8016B" w:rsidRPr="00C272DC" w:rsidRDefault="00A8016B" w:rsidP="00A8016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20</w:t>
            </w:r>
          </w:p>
        </w:tc>
        <w:tc>
          <w:tcPr>
            <w:tcW w:w="7990" w:type="dxa"/>
          </w:tcPr>
          <w:p w14:paraId="7E0001B5" w14:textId="61F503D7" w:rsidR="00A8016B" w:rsidRPr="00ED360C" w:rsidRDefault="00B56BED" w:rsidP="00A963E8">
            <w:pPr>
              <w:tabs>
                <w:tab w:val="left" w:pos="3969"/>
              </w:tabs>
              <w:spacing w:line="276" w:lineRule="auto"/>
              <w:rPr>
                <w:rFonts w:asciiTheme="minorHAnsi" w:hAnsiTheme="minorHAnsi" w:cstheme="minorHAnsi"/>
                <w:bCs/>
                <w:noProof/>
              </w:rPr>
            </w:pPr>
            <w:r>
              <w:t>IRO Medical Research Center, Buenos Aires and Rheumatology section, Cosme Argerich</w:t>
            </w:r>
            <w:r w:rsidR="00A963E8">
              <w:t xml:space="preserve">, </w:t>
            </w:r>
            <w:r>
              <w:t>Buenos Aires</w:t>
            </w:r>
            <w:r w:rsidR="00A8016B" w:rsidRPr="008A2DA6">
              <w:t>, Argentina.</w:t>
            </w:r>
          </w:p>
        </w:tc>
      </w:tr>
      <w:tr w:rsidR="00A8016B" w:rsidRPr="00ED360C" w14:paraId="4DFBAA18" w14:textId="77777777" w:rsidTr="00E5401A">
        <w:tc>
          <w:tcPr>
            <w:tcW w:w="460" w:type="dxa"/>
          </w:tcPr>
          <w:p w14:paraId="6EF1B13C" w14:textId="6E599E56" w:rsidR="00A8016B" w:rsidRPr="00C272DC" w:rsidRDefault="00A8016B" w:rsidP="00A8016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21</w:t>
            </w:r>
          </w:p>
        </w:tc>
        <w:tc>
          <w:tcPr>
            <w:tcW w:w="7990" w:type="dxa"/>
          </w:tcPr>
          <w:p w14:paraId="49293C50" w14:textId="08562CED" w:rsidR="00A8016B" w:rsidRPr="00ED360C" w:rsidRDefault="00A8016B" w:rsidP="00A8016B">
            <w:pPr>
              <w:tabs>
                <w:tab w:val="left" w:pos="3969"/>
              </w:tabs>
              <w:spacing w:line="276" w:lineRule="auto"/>
              <w:rPr>
                <w:rFonts w:asciiTheme="minorHAnsi" w:hAnsiTheme="minorHAnsi" w:cstheme="minorHAnsi"/>
                <w:bCs/>
                <w:noProof/>
              </w:rPr>
            </w:pPr>
            <w:r w:rsidRPr="008A2DA6">
              <w:t>Department of Rheumatology, Ibn Rochd University Hospital, Casablanca, Morocco.</w:t>
            </w:r>
          </w:p>
        </w:tc>
      </w:tr>
      <w:tr w:rsidR="00A8016B" w:rsidRPr="00ED360C" w14:paraId="1B05C4C7" w14:textId="77777777" w:rsidTr="00E5401A">
        <w:tc>
          <w:tcPr>
            <w:tcW w:w="460" w:type="dxa"/>
          </w:tcPr>
          <w:p w14:paraId="32D0F5D6" w14:textId="7AAAB2A0" w:rsidR="00A8016B" w:rsidRPr="00C272DC" w:rsidRDefault="00A8016B" w:rsidP="00A8016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22</w:t>
            </w:r>
          </w:p>
        </w:tc>
        <w:tc>
          <w:tcPr>
            <w:tcW w:w="7990" w:type="dxa"/>
          </w:tcPr>
          <w:p w14:paraId="1573EADC" w14:textId="6D063C7D" w:rsidR="00A8016B" w:rsidRPr="00ED360C" w:rsidRDefault="00A8016B" w:rsidP="00A8016B">
            <w:pPr>
              <w:tabs>
                <w:tab w:val="left" w:pos="3969"/>
              </w:tabs>
              <w:spacing w:line="276" w:lineRule="auto"/>
              <w:rPr>
                <w:rFonts w:asciiTheme="minorHAnsi" w:hAnsiTheme="minorHAnsi" w:cstheme="minorHAnsi"/>
                <w:bCs/>
                <w:noProof/>
              </w:rPr>
            </w:pPr>
            <w:r w:rsidRPr="008A2DA6">
              <w:t>Department of Physical Therapy, Marquette University, Milwaukee, USA</w:t>
            </w:r>
          </w:p>
        </w:tc>
      </w:tr>
      <w:tr w:rsidR="00A8016B" w:rsidRPr="00ED360C" w14:paraId="0AE9FABF" w14:textId="77777777" w:rsidTr="00E5401A">
        <w:tc>
          <w:tcPr>
            <w:tcW w:w="460" w:type="dxa"/>
          </w:tcPr>
          <w:p w14:paraId="04D50DDC" w14:textId="15735A87" w:rsidR="00A8016B" w:rsidRPr="00C272DC" w:rsidRDefault="00A8016B" w:rsidP="00A8016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23</w:t>
            </w:r>
          </w:p>
        </w:tc>
        <w:tc>
          <w:tcPr>
            <w:tcW w:w="7990" w:type="dxa"/>
          </w:tcPr>
          <w:p w14:paraId="7C816419" w14:textId="234B70B0" w:rsidR="00A8016B" w:rsidRPr="00ED360C" w:rsidRDefault="00A8016B" w:rsidP="00A8016B">
            <w:pPr>
              <w:tabs>
                <w:tab w:val="left" w:pos="3969"/>
              </w:tabs>
              <w:spacing w:line="276" w:lineRule="auto"/>
              <w:rPr>
                <w:rFonts w:asciiTheme="minorHAnsi" w:hAnsiTheme="minorHAnsi" w:cstheme="minorHAnsi"/>
                <w:bCs/>
                <w:noProof/>
              </w:rPr>
            </w:pPr>
            <w:r w:rsidRPr="008A2DA6">
              <w:t>Department of Medical Social Sciences, Feinberg School of Medicine, Northwestern University</w:t>
            </w:r>
          </w:p>
        </w:tc>
      </w:tr>
      <w:tr w:rsidR="00A8016B" w:rsidRPr="00ED360C" w14:paraId="0D6943F9" w14:textId="77777777" w:rsidTr="00E5401A">
        <w:tc>
          <w:tcPr>
            <w:tcW w:w="460" w:type="dxa"/>
          </w:tcPr>
          <w:p w14:paraId="253D51D5" w14:textId="02323731" w:rsidR="00A8016B" w:rsidRPr="00C272DC" w:rsidRDefault="00A8016B" w:rsidP="00A8016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24</w:t>
            </w:r>
          </w:p>
        </w:tc>
        <w:tc>
          <w:tcPr>
            <w:tcW w:w="7990" w:type="dxa"/>
          </w:tcPr>
          <w:p w14:paraId="3C791D63" w14:textId="202ECB5C" w:rsidR="00A8016B" w:rsidRPr="00ED360C" w:rsidRDefault="00A8016B" w:rsidP="00A8016B">
            <w:pPr>
              <w:tabs>
                <w:tab w:val="left" w:pos="3969"/>
              </w:tabs>
              <w:spacing w:line="276" w:lineRule="auto"/>
              <w:rPr>
                <w:rFonts w:asciiTheme="minorHAnsi" w:hAnsiTheme="minorHAnsi" w:cstheme="minorHAnsi"/>
                <w:bCs/>
                <w:noProof/>
              </w:rPr>
            </w:pPr>
            <w:r w:rsidRPr="008A2DA6">
              <w:t>National Institute for Health Research (NIHR) Musculoskeletal Biomedical Research Unit, University of Oxford, Oxford, UK</w:t>
            </w:r>
          </w:p>
        </w:tc>
      </w:tr>
      <w:tr w:rsidR="00771CFB" w:rsidRPr="00ED360C" w14:paraId="6DD687C8" w14:textId="77777777" w:rsidTr="00E5401A">
        <w:tc>
          <w:tcPr>
            <w:tcW w:w="460" w:type="dxa"/>
          </w:tcPr>
          <w:p w14:paraId="0A5A053A" w14:textId="3D30F440" w:rsidR="00771CFB" w:rsidRPr="00C272DC" w:rsidRDefault="00771CFB" w:rsidP="00771CF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25</w:t>
            </w:r>
          </w:p>
        </w:tc>
        <w:tc>
          <w:tcPr>
            <w:tcW w:w="7990" w:type="dxa"/>
          </w:tcPr>
          <w:p w14:paraId="3A872656" w14:textId="398ADEA5" w:rsidR="00771CFB" w:rsidRPr="00ED360C" w:rsidRDefault="00771CFB" w:rsidP="00771CFB">
            <w:pPr>
              <w:tabs>
                <w:tab w:val="left" w:pos="3969"/>
              </w:tabs>
              <w:spacing w:line="276" w:lineRule="auto"/>
              <w:rPr>
                <w:rFonts w:asciiTheme="minorHAnsi" w:hAnsiTheme="minorHAnsi" w:cstheme="minorHAnsi"/>
                <w:bCs/>
                <w:noProof/>
              </w:rPr>
            </w:pPr>
            <w:r w:rsidRPr="00771CFB">
              <w:t>GREMPAL Research Group, CIBERFes and Idiap Jordi Gol, Instituto de Salud Carlos III and Universitat Autonoma de Barcelona, Barcelona, Spain</w:t>
            </w:r>
          </w:p>
        </w:tc>
      </w:tr>
      <w:tr w:rsidR="00771CFB" w:rsidRPr="00ED360C" w14:paraId="06A64310" w14:textId="77777777" w:rsidTr="00E5401A">
        <w:tc>
          <w:tcPr>
            <w:tcW w:w="460" w:type="dxa"/>
          </w:tcPr>
          <w:p w14:paraId="09913314" w14:textId="04656FF3" w:rsidR="00771CFB" w:rsidRPr="00C272DC" w:rsidRDefault="00771CFB" w:rsidP="00771CFB">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26</w:t>
            </w:r>
          </w:p>
        </w:tc>
        <w:tc>
          <w:tcPr>
            <w:tcW w:w="7990" w:type="dxa"/>
          </w:tcPr>
          <w:p w14:paraId="226137CC" w14:textId="467F29E2" w:rsidR="00771CFB" w:rsidRPr="00ED360C" w:rsidRDefault="00771CFB" w:rsidP="00771CFB">
            <w:pPr>
              <w:tabs>
                <w:tab w:val="left" w:pos="3969"/>
              </w:tabs>
              <w:spacing w:line="276" w:lineRule="auto"/>
              <w:rPr>
                <w:rFonts w:asciiTheme="minorHAnsi" w:hAnsiTheme="minorHAnsi" w:cstheme="minorHAnsi"/>
                <w:bCs/>
                <w:noProof/>
              </w:rPr>
            </w:pPr>
            <w:r w:rsidRPr="007E1273">
              <w:t>University of Alabama at Birmingham, Birmingham, Alabama, USA.</w:t>
            </w:r>
          </w:p>
        </w:tc>
      </w:tr>
      <w:tr w:rsidR="00C272DC" w:rsidRPr="00ED360C" w14:paraId="32EF9F2A" w14:textId="77777777" w:rsidTr="00E5401A">
        <w:tc>
          <w:tcPr>
            <w:tcW w:w="460" w:type="dxa"/>
          </w:tcPr>
          <w:p w14:paraId="0ED699E5" w14:textId="70A6AE19" w:rsidR="00C272DC" w:rsidRPr="00C272DC" w:rsidRDefault="00C272DC" w:rsidP="00C272DC">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lastRenderedPageBreak/>
              <w:t>27</w:t>
            </w:r>
          </w:p>
        </w:tc>
        <w:tc>
          <w:tcPr>
            <w:tcW w:w="7990" w:type="dxa"/>
          </w:tcPr>
          <w:p w14:paraId="59DA9E16" w14:textId="63B28284" w:rsidR="00C272DC" w:rsidRPr="00ED360C" w:rsidRDefault="00C272DC" w:rsidP="00C272DC">
            <w:pPr>
              <w:tabs>
                <w:tab w:val="left" w:pos="3969"/>
              </w:tabs>
              <w:spacing w:line="276" w:lineRule="auto"/>
              <w:rPr>
                <w:rFonts w:asciiTheme="minorHAnsi" w:hAnsiTheme="minorHAnsi" w:cstheme="minorHAnsi"/>
                <w:bCs/>
                <w:noProof/>
              </w:rPr>
            </w:pPr>
            <w:r w:rsidRPr="006B10F9">
              <w:rPr>
                <w:rFonts w:hint="eastAsia"/>
              </w:rPr>
              <w:t>Department of Endocrinology</w:t>
            </w:r>
            <w:r w:rsidRPr="006B10F9">
              <w:rPr>
                <w:rFonts w:ascii="MS Mincho" w:hAnsi="MS Mincho" w:cs="MS Mincho" w:hint="eastAsia"/>
              </w:rPr>
              <w:t>，</w:t>
            </w:r>
            <w:r w:rsidRPr="006B10F9">
              <w:rPr>
                <w:rFonts w:hint="eastAsia"/>
              </w:rPr>
              <w:t xml:space="preserve">Key Laboratory of Endocrinology, Ministry of Health, Peking Union Medical College Hospital, Chinese Academy of Medical Sciences &amp; Peking Union Medical College Shuaifuyuan No. 1, Wangfujing, Dongcheng District, Beijing 100730, </w:t>
            </w:r>
            <w:r w:rsidRPr="006B10F9">
              <w:t>China.</w:t>
            </w:r>
          </w:p>
        </w:tc>
      </w:tr>
      <w:tr w:rsidR="00C272DC" w:rsidRPr="00ED360C" w14:paraId="155CE3B3" w14:textId="77777777" w:rsidTr="00E5401A">
        <w:tc>
          <w:tcPr>
            <w:tcW w:w="460" w:type="dxa"/>
          </w:tcPr>
          <w:p w14:paraId="6330AF7F" w14:textId="3DF5F933" w:rsidR="00C272DC" w:rsidRPr="00C272DC" w:rsidRDefault="00C272DC" w:rsidP="00C272DC">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28</w:t>
            </w:r>
          </w:p>
        </w:tc>
        <w:tc>
          <w:tcPr>
            <w:tcW w:w="7990" w:type="dxa"/>
          </w:tcPr>
          <w:p w14:paraId="5DC97A12" w14:textId="5245DC17" w:rsidR="00C272DC" w:rsidRPr="00ED360C" w:rsidRDefault="00C272DC" w:rsidP="00C272DC">
            <w:pPr>
              <w:tabs>
                <w:tab w:val="left" w:pos="3969"/>
              </w:tabs>
              <w:spacing w:line="276" w:lineRule="auto"/>
              <w:rPr>
                <w:rFonts w:asciiTheme="minorHAnsi" w:hAnsiTheme="minorHAnsi" w:cstheme="minorHAnsi"/>
                <w:bCs/>
                <w:noProof/>
              </w:rPr>
            </w:pPr>
            <w:r w:rsidRPr="006B10F9">
              <w:t>University Tunis Manar and Hôpital Mongi-Slim, service de rhumatologie, la Marsa, Tunisie</w:t>
            </w:r>
          </w:p>
        </w:tc>
      </w:tr>
      <w:tr w:rsidR="00C272DC" w:rsidRPr="00ED360C" w14:paraId="37C504C8" w14:textId="77777777" w:rsidTr="00E5401A">
        <w:tc>
          <w:tcPr>
            <w:tcW w:w="460" w:type="dxa"/>
          </w:tcPr>
          <w:p w14:paraId="7D1881A9" w14:textId="7F5EEF89" w:rsidR="00C272DC" w:rsidRPr="00C272DC" w:rsidRDefault="00C272DC" w:rsidP="00C272DC">
            <w:pPr>
              <w:tabs>
                <w:tab w:val="left" w:pos="3969"/>
              </w:tabs>
              <w:spacing w:line="276" w:lineRule="auto"/>
              <w:jc w:val="right"/>
              <w:rPr>
                <w:rFonts w:asciiTheme="minorHAnsi" w:hAnsiTheme="minorHAnsi" w:cstheme="minorHAnsi"/>
                <w:bCs/>
                <w:noProof/>
                <w:vertAlign w:val="superscript"/>
              </w:rPr>
            </w:pPr>
            <w:r w:rsidRPr="00C272DC">
              <w:rPr>
                <w:rFonts w:asciiTheme="minorHAnsi" w:hAnsiTheme="minorHAnsi" w:cstheme="minorHAnsi"/>
                <w:bCs/>
                <w:noProof/>
                <w:vertAlign w:val="superscript"/>
              </w:rPr>
              <w:t>29</w:t>
            </w:r>
          </w:p>
        </w:tc>
        <w:tc>
          <w:tcPr>
            <w:tcW w:w="7990" w:type="dxa"/>
          </w:tcPr>
          <w:p w14:paraId="303336AB" w14:textId="5D194BE6" w:rsidR="00C272DC" w:rsidRPr="00ED360C" w:rsidRDefault="00C272DC" w:rsidP="00C272DC">
            <w:pPr>
              <w:tabs>
                <w:tab w:val="left" w:pos="3969"/>
              </w:tabs>
              <w:spacing w:line="276" w:lineRule="auto"/>
              <w:rPr>
                <w:rFonts w:asciiTheme="minorHAnsi" w:hAnsiTheme="minorHAnsi" w:cstheme="minorHAnsi"/>
                <w:bCs/>
                <w:noProof/>
              </w:rPr>
            </w:pPr>
            <w:r w:rsidRPr="006B10F9">
              <w:t>Department of Public Health, Epidemiology and Health Economics, University of Liège, Liège, Belgium</w:t>
            </w:r>
          </w:p>
        </w:tc>
      </w:tr>
    </w:tbl>
    <w:p w14:paraId="28D6AD29" w14:textId="77777777" w:rsidR="00CB5CD8" w:rsidRDefault="00CB5CD8" w:rsidP="00E9346F">
      <w:pPr>
        <w:tabs>
          <w:tab w:val="left" w:pos="426"/>
        </w:tabs>
        <w:spacing w:line="240" w:lineRule="auto"/>
        <w:ind w:left="567" w:right="-720"/>
        <w:rPr>
          <w:b/>
          <w:lang w:val="fr-FR"/>
        </w:rPr>
      </w:pPr>
      <w:bookmarkStart w:id="3" w:name="_Hlk358688"/>
      <w:bookmarkStart w:id="4" w:name="_Hlk358917"/>
    </w:p>
    <w:p w14:paraId="645DA177" w14:textId="131507BE" w:rsidR="004106F8" w:rsidRPr="004106F8" w:rsidRDefault="004106F8" w:rsidP="00E9346F">
      <w:pPr>
        <w:tabs>
          <w:tab w:val="left" w:pos="426"/>
        </w:tabs>
        <w:spacing w:line="240" w:lineRule="auto"/>
        <w:ind w:left="567" w:right="-720"/>
        <w:rPr>
          <w:b/>
          <w:lang w:val="fr-FR"/>
        </w:rPr>
      </w:pPr>
      <w:r w:rsidRPr="004106F8">
        <w:rPr>
          <w:b/>
          <w:lang w:val="fr-FR"/>
        </w:rPr>
        <w:t xml:space="preserve">Corresponding author </w:t>
      </w:r>
    </w:p>
    <w:p w14:paraId="59C2A023" w14:textId="77777777" w:rsidR="00CB6EB2" w:rsidRDefault="004106F8" w:rsidP="00E9346F">
      <w:pPr>
        <w:tabs>
          <w:tab w:val="left" w:pos="426"/>
        </w:tabs>
        <w:spacing w:after="0" w:line="240" w:lineRule="auto"/>
        <w:ind w:left="567" w:right="-720"/>
        <w:rPr>
          <w:lang w:val="fr-FR"/>
        </w:rPr>
      </w:pPr>
      <w:r w:rsidRPr="004106F8">
        <w:rPr>
          <w:lang w:val="fr-FR"/>
        </w:rPr>
        <w:t xml:space="preserve">Prof. J. A. Kanis, </w:t>
      </w:r>
    </w:p>
    <w:p w14:paraId="2B53E454" w14:textId="77777777" w:rsidR="00CB6EB2" w:rsidRDefault="004106F8" w:rsidP="00E9346F">
      <w:pPr>
        <w:tabs>
          <w:tab w:val="left" w:pos="426"/>
        </w:tabs>
        <w:spacing w:after="0" w:line="240" w:lineRule="auto"/>
        <w:ind w:left="567" w:right="-720"/>
        <w:rPr>
          <w:lang w:val="fr-FR"/>
        </w:rPr>
      </w:pPr>
      <w:r w:rsidRPr="004106F8">
        <w:rPr>
          <w:lang w:val="fr-FR"/>
        </w:rPr>
        <w:t xml:space="preserve">Centre for Metabolic Bone Diseases, </w:t>
      </w:r>
    </w:p>
    <w:p w14:paraId="45D49AA6" w14:textId="77777777" w:rsidR="00CB6EB2" w:rsidRDefault="004106F8" w:rsidP="00E9346F">
      <w:pPr>
        <w:tabs>
          <w:tab w:val="left" w:pos="426"/>
        </w:tabs>
        <w:spacing w:after="0" w:line="240" w:lineRule="auto"/>
        <w:ind w:left="567" w:right="-720"/>
        <w:rPr>
          <w:lang w:val="fr-FR"/>
        </w:rPr>
      </w:pPr>
      <w:r w:rsidRPr="004106F8">
        <w:rPr>
          <w:lang w:val="fr-FR"/>
        </w:rPr>
        <w:t xml:space="preserve">University of Sheffield Medical School, </w:t>
      </w:r>
    </w:p>
    <w:p w14:paraId="439CBB1C" w14:textId="77777777" w:rsidR="00CB6EB2" w:rsidRDefault="004106F8" w:rsidP="00E9346F">
      <w:pPr>
        <w:tabs>
          <w:tab w:val="left" w:pos="426"/>
        </w:tabs>
        <w:spacing w:after="0" w:line="240" w:lineRule="auto"/>
        <w:ind w:left="567" w:right="-720"/>
        <w:rPr>
          <w:lang w:val="fr-FR"/>
        </w:rPr>
      </w:pPr>
      <w:r w:rsidRPr="004106F8">
        <w:rPr>
          <w:lang w:val="fr-FR"/>
        </w:rPr>
        <w:t xml:space="preserve">Beech Hill Road, Sheffield, S10 2RX, UK. </w:t>
      </w:r>
    </w:p>
    <w:p w14:paraId="77084F82" w14:textId="083DBD88" w:rsidR="004106F8" w:rsidRPr="004106F8" w:rsidRDefault="004106F8" w:rsidP="00E9346F">
      <w:pPr>
        <w:tabs>
          <w:tab w:val="left" w:pos="426"/>
        </w:tabs>
        <w:spacing w:after="0" w:line="240" w:lineRule="auto"/>
        <w:ind w:left="567" w:right="-720"/>
        <w:rPr>
          <w:lang w:val="fr-FR"/>
        </w:rPr>
      </w:pPr>
      <w:r w:rsidRPr="004106F8">
        <w:rPr>
          <w:lang w:val="fr-FR"/>
        </w:rPr>
        <w:t>Telephone: +44 114 285 1109</w:t>
      </w:r>
    </w:p>
    <w:p w14:paraId="5606A072" w14:textId="14DF230B" w:rsidR="004106F8" w:rsidRPr="00707ED6" w:rsidRDefault="004106F8" w:rsidP="00E9346F">
      <w:pPr>
        <w:tabs>
          <w:tab w:val="left" w:pos="426"/>
        </w:tabs>
        <w:spacing w:after="0" w:line="240" w:lineRule="auto"/>
        <w:ind w:left="567" w:right="-720"/>
        <w:rPr>
          <w:lang w:val="fr-FR"/>
        </w:rPr>
      </w:pPr>
      <w:r w:rsidRPr="004106F8">
        <w:rPr>
          <w:lang w:val="fr-FR"/>
        </w:rPr>
        <w:t>Email: w.j.Pontefract@shef.ac.uk</w:t>
      </w:r>
    </w:p>
    <w:bookmarkEnd w:id="3"/>
    <w:bookmarkEnd w:id="4"/>
    <w:p w14:paraId="7BAD2CE5" w14:textId="77777777" w:rsidR="00E60769" w:rsidRPr="007F4348" w:rsidRDefault="00363038" w:rsidP="00E9346F">
      <w:pPr>
        <w:pStyle w:val="Heading2"/>
        <w:ind w:left="567"/>
        <w:rPr>
          <w:lang w:val="fr-FR"/>
        </w:rPr>
      </w:pPr>
      <w:r w:rsidRPr="007F4348">
        <w:rPr>
          <w:lang w:val="fr-FR"/>
        </w:rPr>
        <w:br w:type="page"/>
      </w:r>
    </w:p>
    <w:p w14:paraId="65A5B3B4" w14:textId="77777777" w:rsidR="00E60769" w:rsidRPr="00E60769" w:rsidRDefault="00E60769" w:rsidP="00A236D2">
      <w:pPr>
        <w:autoSpaceDE w:val="0"/>
        <w:autoSpaceDN w:val="0"/>
        <w:adjustRightInd w:val="0"/>
        <w:spacing w:after="240" w:line="276" w:lineRule="auto"/>
        <w:ind w:left="567"/>
        <w:jc w:val="both"/>
        <w:rPr>
          <w:b/>
          <w:bCs/>
          <w:color w:val="141314"/>
        </w:rPr>
      </w:pPr>
      <w:r w:rsidRPr="00E60769">
        <w:rPr>
          <w:b/>
          <w:bCs/>
          <w:color w:val="141314"/>
        </w:rPr>
        <w:lastRenderedPageBreak/>
        <w:t>Abstract</w:t>
      </w:r>
    </w:p>
    <w:p w14:paraId="20EBE8C5" w14:textId="7996042A" w:rsidR="00E60769" w:rsidRPr="00E60769" w:rsidRDefault="00E60769" w:rsidP="00A236D2">
      <w:pPr>
        <w:autoSpaceDE w:val="0"/>
        <w:autoSpaceDN w:val="0"/>
        <w:adjustRightInd w:val="0"/>
        <w:spacing w:after="240" w:line="276" w:lineRule="auto"/>
        <w:ind w:left="567"/>
        <w:jc w:val="both"/>
        <w:rPr>
          <w:color w:val="141314"/>
        </w:rPr>
      </w:pPr>
      <w:r w:rsidRPr="00E60769">
        <w:rPr>
          <w:i/>
          <w:iCs/>
          <w:color w:val="141314"/>
        </w:rPr>
        <w:t>Summary</w:t>
      </w:r>
      <w:r w:rsidRPr="00E60769">
        <w:rPr>
          <w:color w:val="141314"/>
        </w:rPr>
        <w:t xml:space="preserve"> Guidance is provided in a</w:t>
      </w:r>
      <w:r w:rsidRPr="00A236D2">
        <w:rPr>
          <w:color w:val="141314"/>
        </w:rPr>
        <w:t>n</w:t>
      </w:r>
      <w:r w:rsidRPr="00E60769">
        <w:rPr>
          <w:color w:val="141314"/>
        </w:rPr>
        <w:t xml:space="preserve"> </w:t>
      </w:r>
      <w:r w:rsidRPr="00A236D2">
        <w:rPr>
          <w:color w:val="141314"/>
        </w:rPr>
        <w:t>international</w:t>
      </w:r>
      <w:r w:rsidRPr="00E60769">
        <w:rPr>
          <w:color w:val="141314"/>
        </w:rPr>
        <w:t xml:space="preserve"> setting on the assessment and </w:t>
      </w:r>
      <w:r w:rsidR="00317F3C">
        <w:rPr>
          <w:color w:val="141314"/>
        </w:rPr>
        <w:t xml:space="preserve">specific </w:t>
      </w:r>
      <w:r w:rsidRPr="00E60769">
        <w:rPr>
          <w:color w:val="141314"/>
        </w:rPr>
        <w:t xml:space="preserve">treatment of postmenopausal women at </w:t>
      </w:r>
      <w:r w:rsidRPr="00A236D2">
        <w:rPr>
          <w:color w:val="141314"/>
        </w:rPr>
        <w:t xml:space="preserve">low, high and very high </w:t>
      </w:r>
      <w:r w:rsidRPr="00E60769">
        <w:rPr>
          <w:color w:val="141314"/>
        </w:rPr>
        <w:t xml:space="preserve">risk </w:t>
      </w:r>
      <w:r w:rsidR="00D65273">
        <w:rPr>
          <w:color w:val="141314"/>
        </w:rPr>
        <w:t>of</w:t>
      </w:r>
      <w:r w:rsidRPr="00E60769">
        <w:rPr>
          <w:color w:val="141314"/>
        </w:rPr>
        <w:t xml:space="preserve"> </w:t>
      </w:r>
      <w:r w:rsidR="00B77220">
        <w:rPr>
          <w:color w:val="141314"/>
        </w:rPr>
        <w:t xml:space="preserve">fragility </w:t>
      </w:r>
      <w:r w:rsidRPr="00E60769">
        <w:rPr>
          <w:color w:val="141314"/>
        </w:rPr>
        <w:t>fractures.</w:t>
      </w:r>
    </w:p>
    <w:p w14:paraId="154D8205" w14:textId="43723C09" w:rsidR="00E60769" w:rsidRPr="00E60769" w:rsidRDefault="00E60769" w:rsidP="00A236D2">
      <w:pPr>
        <w:autoSpaceDE w:val="0"/>
        <w:autoSpaceDN w:val="0"/>
        <w:adjustRightInd w:val="0"/>
        <w:spacing w:after="240" w:line="276" w:lineRule="auto"/>
        <w:ind w:left="567"/>
        <w:jc w:val="both"/>
        <w:rPr>
          <w:color w:val="141314"/>
        </w:rPr>
      </w:pPr>
      <w:r w:rsidRPr="00E60769">
        <w:rPr>
          <w:i/>
          <w:iCs/>
          <w:color w:val="141314"/>
        </w:rPr>
        <w:t>Introduction</w:t>
      </w:r>
      <w:r w:rsidRPr="00E60769">
        <w:rPr>
          <w:color w:val="141314"/>
        </w:rPr>
        <w:t xml:space="preserve"> The International Osteoporosis Foundation and European</w:t>
      </w:r>
      <w:r w:rsidRPr="00E60769">
        <w:rPr>
          <w:rFonts w:eastAsia="Times New Roman"/>
          <w:lang w:eastAsia="fr-FR"/>
        </w:rPr>
        <w:t xml:space="preserve"> Society for Clinical and Economic Aspects of Osteoporosis and Osteoarthritis</w:t>
      </w:r>
      <w:r w:rsidRPr="00E60769">
        <w:rPr>
          <w:color w:val="141314"/>
        </w:rPr>
        <w:t xml:space="preserve"> published guidance for the diagnosis and management of osteoporosis in 201</w:t>
      </w:r>
      <w:r w:rsidR="00BD6773">
        <w:rPr>
          <w:color w:val="141314"/>
        </w:rPr>
        <w:t>9</w:t>
      </w:r>
      <w:r w:rsidRPr="00E60769">
        <w:rPr>
          <w:color w:val="141314"/>
        </w:rPr>
        <w:t xml:space="preserve">. This manuscript </w:t>
      </w:r>
      <w:r w:rsidR="00560D26" w:rsidRPr="00560D26">
        <w:rPr>
          <w:color w:val="141314"/>
        </w:rPr>
        <w:t>seeks to apply</w:t>
      </w:r>
      <w:r w:rsidRPr="00E60769">
        <w:rPr>
          <w:color w:val="141314"/>
        </w:rPr>
        <w:t xml:space="preserve"> th</w:t>
      </w:r>
      <w:r w:rsidR="00F10F6F">
        <w:rPr>
          <w:color w:val="141314"/>
        </w:rPr>
        <w:t>is</w:t>
      </w:r>
      <w:r w:rsidRPr="00E60769">
        <w:rPr>
          <w:color w:val="141314"/>
        </w:rPr>
        <w:t xml:space="preserve"> in a</w:t>
      </w:r>
      <w:r w:rsidRPr="00A236D2">
        <w:rPr>
          <w:color w:val="141314"/>
        </w:rPr>
        <w:t>n</w:t>
      </w:r>
      <w:r w:rsidRPr="00E60769">
        <w:rPr>
          <w:color w:val="141314"/>
        </w:rPr>
        <w:t xml:space="preserve"> </w:t>
      </w:r>
      <w:r w:rsidRPr="00A236D2">
        <w:rPr>
          <w:color w:val="141314"/>
        </w:rPr>
        <w:t>international</w:t>
      </w:r>
      <w:r w:rsidRPr="00E60769">
        <w:rPr>
          <w:color w:val="141314"/>
        </w:rPr>
        <w:t xml:space="preserve"> setting</w:t>
      </w:r>
      <w:r w:rsidR="00D65273">
        <w:rPr>
          <w:color w:val="141314"/>
        </w:rPr>
        <w:t xml:space="preserve">, taking additional account of </w:t>
      </w:r>
      <w:r w:rsidR="00BD6773">
        <w:rPr>
          <w:color w:val="141314"/>
        </w:rPr>
        <w:t>further categorisation</w:t>
      </w:r>
      <w:r w:rsidR="00D65273">
        <w:rPr>
          <w:color w:val="141314"/>
        </w:rPr>
        <w:t xml:space="preserve"> of </w:t>
      </w:r>
      <w:r w:rsidR="00BD6773">
        <w:rPr>
          <w:color w:val="141314"/>
        </w:rPr>
        <w:t xml:space="preserve">increased </w:t>
      </w:r>
      <w:r w:rsidR="00D65273">
        <w:rPr>
          <w:color w:val="141314"/>
        </w:rPr>
        <w:t>risk</w:t>
      </w:r>
      <w:r w:rsidR="00BD6773">
        <w:rPr>
          <w:color w:val="141314"/>
        </w:rPr>
        <w:t xml:space="preserve"> of fracture</w:t>
      </w:r>
      <w:r w:rsidR="008C29FF" w:rsidRPr="008C29FF">
        <w:rPr>
          <w:color w:val="141314"/>
        </w:rPr>
        <w:t>, which may inform choice of therapeutic approach</w:t>
      </w:r>
      <w:r w:rsidR="00D65273">
        <w:rPr>
          <w:color w:val="141314"/>
        </w:rPr>
        <w:t>.</w:t>
      </w:r>
    </w:p>
    <w:p w14:paraId="5981B2FC" w14:textId="501AF655" w:rsidR="00E60769" w:rsidRPr="00E60769" w:rsidRDefault="00E60769" w:rsidP="00A236D2">
      <w:pPr>
        <w:autoSpaceDE w:val="0"/>
        <w:autoSpaceDN w:val="0"/>
        <w:adjustRightInd w:val="0"/>
        <w:spacing w:after="240" w:line="276" w:lineRule="auto"/>
        <w:ind w:left="567"/>
        <w:jc w:val="both"/>
        <w:rPr>
          <w:color w:val="141314"/>
        </w:rPr>
      </w:pPr>
      <w:r w:rsidRPr="00E60769">
        <w:rPr>
          <w:i/>
          <w:color w:val="141314"/>
        </w:rPr>
        <w:t>Methods</w:t>
      </w:r>
      <w:r w:rsidRPr="00E60769">
        <w:rPr>
          <w:color w:val="141314"/>
        </w:rPr>
        <w:t xml:space="preserve"> </w:t>
      </w:r>
      <w:r w:rsidR="002B35E7">
        <w:rPr>
          <w:color w:val="141314"/>
        </w:rPr>
        <w:t>/clinical perspective and u</w:t>
      </w:r>
      <w:r w:rsidRPr="00E60769">
        <w:rPr>
          <w:color w:val="141314"/>
        </w:rPr>
        <w:t xml:space="preserve">pdated </w:t>
      </w:r>
      <w:r w:rsidR="002B35E7">
        <w:rPr>
          <w:color w:val="141314"/>
        </w:rPr>
        <w:t>literature search</w:t>
      </w:r>
      <w:r w:rsidRPr="00E60769">
        <w:rPr>
          <w:color w:val="141314"/>
        </w:rPr>
        <w:t>.</w:t>
      </w:r>
    </w:p>
    <w:p w14:paraId="5FBC5E16" w14:textId="787E08FB" w:rsidR="00E60769" w:rsidRPr="00E60769" w:rsidRDefault="00E60769" w:rsidP="00A236D2">
      <w:pPr>
        <w:autoSpaceDE w:val="0"/>
        <w:autoSpaceDN w:val="0"/>
        <w:adjustRightInd w:val="0"/>
        <w:spacing w:after="240" w:line="276" w:lineRule="auto"/>
        <w:ind w:left="567"/>
        <w:jc w:val="both"/>
        <w:rPr>
          <w:color w:val="141314"/>
        </w:rPr>
      </w:pPr>
      <w:r w:rsidRPr="00E60769">
        <w:rPr>
          <w:i/>
          <w:iCs/>
          <w:color w:val="141314"/>
        </w:rPr>
        <w:t>Results</w:t>
      </w:r>
      <w:r w:rsidRPr="00E60769">
        <w:rPr>
          <w:color w:val="141314"/>
        </w:rPr>
        <w:t xml:space="preserve"> The following areas are reviewed: </w:t>
      </w:r>
      <w:r w:rsidR="00AF131B">
        <w:rPr>
          <w:color w:val="141314"/>
        </w:rPr>
        <w:t>categorisation</w:t>
      </w:r>
      <w:r w:rsidRPr="00E60769">
        <w:rPr>
          <w:color w:val="141314"/>
        </w:rPr>
        <w:t xml:space="preserve"> of fracture risk; general pharmacological management of osteoporosis</w:t>
      </w:r>
      <w:r w:rsidR="00750492">
        <w:rPr>
          <w:color w:val="141314"/>
        </w:rPr>
        <w:t>.</w:t>
      </w:r>
      <w:r w:rsidRPr="00E60769">
        <w:rPr>
          <w:color w:val="141314"/>
        </w:rPr>
        <w:t xml:space="preserve"> </w:t>
      </w:r>
    </w:p>
    <w:p w14:paraId="58726B73" w14:textId="5DF2D69E" w:rsidR="00E60769" w:rsidRPr="00E60769" w:rsidRDefault="00D65273" w:rsidP="00A236D2">
      <w:pPr>
        <w:autoSpaceDE w:val="0"/>
        <w:autoSpaceDN w:val="0"/>
        <w:adjustRightInd w:val="0"/>
        <w:spacing w:after="240" w:line="276" w:lineRule="auto"/>
        <w:ind w:left="567"/>
        <w:jc w:val="both"/>
        <w:rPr>
          <w:color w:val="141314"/>
        </w:rPr>
      </w:pPr>
      <w:r>
        <w:rPr>
          <w:i/>
          <w:iCs/>
          <w:color w:val="141314"/>
        </w:rPr>
        <w:t>C</w:t>
      </w:r>
      <w:r w:rsidR="00E60769" w:rsidRPr="00E60769">
        <w:rPr>
          <w:i/>
          <w:iCs/>
          <w:color w:val="141314"/>
        </w:rPr>
        <w:t>onclusions</w:t>
      </w:r>
      <w:r w:rsidR="00E60769" w:rsidRPr="00E60769">
        <w:rPr>
          <w:color w:val="141314"/>
        </w:rPr>
        <w:t xml:space="preserve"> A platform is provided on which specific guidelines can be developed for national use</w:t>
      </w:r>
      <w:r w:rsidR="00F10F6F">
        <w:rPr>
          <w:color w:val="141314"/>
        </w:rPr>
        <w:t xml:space="preserve"> to characterise fracture risk and direct interventions</w:t>
      </w:r>
      <w:r w:rsidR="00E60769" w:rsidRPr="00E60769">
        <w:rPr>
          <w:color w:val="141314"/>
        </w:rPr>
        <w:t>.</w:t>
      </w:r>
    </w:p>
    <w:p w14:paraId="3891057A" w14:textId="77777777" w:rsidR="00E60769" w:rsidRPr="00E60769" w:rsidRDefault="00E60769" w:rsidP="00A236D2">
      <w:pPr>
        <w:autoSpaceDE w:val="0"/>
        <w:autoSpaceDN w:val="0"/>
        <w:adjustRightInd w:val="0"/>
        <w:spacing w:after="240" w:line="276" w:lineRule="auto"/>
        <w:ind w:left="567"/>
        <w:jc w:val="both"/>
        <w:rPr>
          <w:color w:val="141314"/>
        </w:rPr>
      </w:pPr>
    </w:p>
    <w:p w14:paraId="2E8BE5F9" w14:textId="33B64AAA" w:rsidR="00E60769" w:rsidRPr="00E60769" w:rsidRDefault="00E60769" w:rsidP="00A236D2">
      <w:pPr>
        <w:autoSpaceDE w:val="0"/>
        <w:autoSpaceDN w:val="0"/>
        <w:adjustRightInd w:val="0"/>
        <w:spacing w:after="240" w:line="276" w:lineRule="auto"/>
        <w:ind w:left="567"/>
        <w:jc w:val="both"/>
        <w:rPr>
          <w:rFonts w:eastAsia="Times New Roman"/>
          <w:lang w:eastAsia="fr-FR"/>
        </w:rPr>
      </w:pPr>
      <w:r w:rsidRPr="00E60769">
        <w:rPr>
          <w:b/>
          <w:bCs/>
        </w:rPr>
        <w:t>Keywords</w:t>
      </w:r>
      <w:r w:rsidRPr="00E60769">
        <w:t xml:space="preserve"> Fracture risk assessment </w:t>
      </w:r>
      <w:bookmarkStart w:id="5" w:name="_Hlk363271"/>
      <w:r w:rsidRPr="00E60769">
        <w:t xml:space="preserve">∙ </w:t>
      </w:r>
      <w:bookmarkEnd w:id="5"/>
      <w:r w:rsidRPr="00E60769">
        <w:t>FRAX ∙ Treatment of osteoporosis</w:t>
      </w:r>
      <w:r w:rsidR="00F10F6F">
        <w:t xml:space="preserve"> </w:t>
      </w:r>
      <w:r w:rsidR="00F85878" w:rsidRPr="00F85878">
        <w:t xml:space="preserve">∙ </w:t>
      </w:r>
      <w:r w:rsidR="00F10F6F">
        <w:t xml:space="preserve">Inhibitors of bone resorption </w:t>
      </w:r>
      <w:r w:rsidR="00F85878" w:rsidRPr="00F85878">
        <w:t xml:space="preserve">∙ </w:t>
      </w:r>
      <w:r w:rsidR="00F10F6F">
        <w:t xml:space="preserve">Anabolic </w:t>
      </w:r>
      <w:r w:rsidR="00F85878">
        <w:t>agents</w:t>
      </w:r>
      <w:r w:rsidRPr="00E60769">
        <w:t xml:space="preserve"> </w:t>
      </w:r>
    </w:p>
    <w:p w14:paraId="474D89E4" w14:textId="77777777" w:rsidR="00E60769" w:rsidRDefault="00E60769" w:rsidP="00A23FE7">
      <w:pPr>
        <w:pStyle w:val="Heading2"/>
      </w:pPr>
    </w:p>
    <w:p w14:paraId="2C41BF7A" w14:textId="77777777" w:rsidR="00B00960" w:rsidRDefault="006148B0" w:rsidP="00A23FE7">
      <w:pPr>
        <w:pStyle w:val="Heading2"/>
      </w:pPr>
      <w:r w:rsidRPr="00085A0A">
        <w:br w:type="page"/>
      </w:r>
    </w:p>
    <w:p w14:paraId="2D99F34B" w14:textId="77777777" w:rsidR="00B00960" w:rsidRPr="00B00960" w:rsidRDefault="00B00960" w:rsidP="00B00960">
      <w:pPr>
        <w:spacing w:after="0" w:line="276" w:lineRule="auto"/>
        <w:ind w:left="567"/>
        <w:jc w:val="both"/>
        <w:rPr>
          <w:rFonts w:eastAsia="Times New Roman"/>
          <w:b/>
          <w:bCs/>
          <w:lang w:eastAsia="fr-FR"/>
        </w:rPr>
      </w:pPr>
      <w:r w:rsidRPr="00B00960">
        <w:rPr>
          <w:rFonts w:eastAsia="Times New Roman"/>
          <w:b/>
          <w:bCs/>
          <w:lang w:eastAsia="fr-FR"/>
        </w:rPr>
        <w:lastRenderedPageBreak/>
        <w:t>Introduction</w:t>
      </w:r>
    </w:p>
    <w:p w14:paraId="0617407E" w14:textId="77777777" w:rsidR="00B00960" w:rsidRPr="00B00960" w:rsidRDefault="00B00960" w:rsidP="00B00960">
      <w:pPr>
        <w:spacing w:after="0" w:line="276" w:lineRule="auto"/>
        <w:ind w:left="567"/>
        <w:jc w:val="both"/>
        <w:rPr>
          <w:rFonts w:eastAsia="Times New Roman"/>
          <w:b/>
          <w:bCs/>
          <w:lang w:eastAsia="fr-FR"/>
        </w:rPr>
      </w:pPr>
      <w:r w:rsidRPr="00B00960">
        <w:rPr>
          <w:rFonts w:eastAsia="Times New Roman"/>
          <w:b/>
          <w:bCs/>
          <w:lang w:eastAsia="fr-FR"/>
        </w:rPr>
        <w:t xml:space="preserve">  </w:t>
      </w:r>
    </w:p>
    <w:p w14:paraId="4524BB92" w14:textId="6A1925E0" w:rsidR="00577030" w:rsidRPr="00A236D2" w:rsidRDefault="00B00960" w:rsidP="00B00960">
      <w:pPr>
        <w:spacing w:after="240" w:line="276" w:lineRule="auto"/>
        <w:ind w:left="567"/>
        <w:jc w:val="both"/>
        <w:rPr>
          <w:rFonts w:eastAsia="Times New Roman"/>
          <w:lang w:eastAsia="fr-FR"/>
        </w:rPr>
      </w:pPr>
      <w:r w:rsidRPr="00B00960">
        <w:rPr>
          <w:rFonts w:eastAsia="Times New Roman"/>
          <w:lang w:eastAsia="fr-FR"/>
        </w:rPr>
        <w:t xml:space="preserve">In </w:t>
      </w:r>
      <w:r w:rsidRPr="00A236D2">
        <w:rPr>
          <w:rFonts w:eastAsia="Times New Roman"/>
          <w:lang w:eastAsia="fr-FR"/>
        </w:rPr>
        <w:t>2018</w:t>
      </w:r>
      <w:r w:rsidRPr="00B00960">
        <w:rPr>
          <w:rFonts w:eastAsia="Times New Roman"/>
          <w:lang w:eastAsia="fr-FR"/>
        </w:rPr>
        <w:t xml:space="preserve"> the International Osteoporosis Foundation</w:t>
      </w:r>
      <w:r w:rsidR="005B43F6">
        <w:rPr>
          <w:rFonts w:eastAsia="Times New Roman"/>
          <w:lang w:eastAsia="fr-FR"/>
        </w:rPr>
        <w:t xml:space="preserve"> (</w:t>
      </w:r>
      <w:r w:rsidRPr="00B00960">
        <w:rPr>
          <w:rFonts w:eastAsia="Times New Roman"/>
          <w:lang w:eastAsia="fr-FR"/>
        </w:rPr>
        <w:t>IOF</w:t>
      </w:r>
      <w:r w:rsidR="005B43F6">
        <w:rPr>
          <w:rFonts w:eastAsia="Times New Roman"/>
          <w:lang w:eastAsia="fr-FR"/>
        </w:rPr>
        <w:t>)</w:t>
      </w:r>
      <w:r w:rsidRPr="00B00960">
        <w:rPr>
          <w:rFonts w:eastAsia="Times New Roman"/>
          <w:lang w:eastAsia="fr-FR"/>
        </w:rPr>
        <w:t xml:space="preserve"> and </w:t>
      </w:r>
      <w:r w:rsidR="00750492">
        <w:rPr>
          <w:rFonts w:eastAsia="Times New Roman"/>
          <w:lang w:eastAsia="fr-FR"/>
        </w:rPr>
        <w:t xml:space="preserve">the </w:t>
      </w:r>
      <w:r w:rsidRPr="00B00960">
        <w:rPr>
          <w:rFonts w:eastAsia="Times New Roman"/>
          <w:lang w:eastAsia="fr-FR"/>
        </w:rPr>
        <w:t>European Society for Clinical and Economic Evaluation of Osteoporosis and Osteoarthritis (ESCEO)</w:t>
      </w:r>
      <w:r w:rsidRPr="00A236D2">
        <w:t xml:space="preserve"> </w:t>
      </w:r>
      <w:r w:rsidR="00560D26" w:rsidRPr="00560D26">
        <w:rPr>
          <w:rFonts w:eastAsia="Times New Roman"/>
          <w:lang w:eastAsia="fr-FR"/>
        </w:rPr>
        <w:t>updated</w:t>
      </w:r>
      <w:r w:rsidRPr="00A236D2">
        <w:rPr>
          <w:rFonts w:eastAsia="Times New Roman"/>
          <w:lang w:eastAsia="fr-FR"/>
        </w:rPr>
        <w:t xml:space="preserve"> guidelines for the </w:t>
      </w:r>
      <w:r w:rsidRPr="00D20AC7">
        <w:rPr>
          <w:rFonts w:eastAsia="Times New Roman"/>
          <w:lang w:eastAsia="fr-FR"/>
        </w:rPr>
        <w:t xml:space="preserve">diagnosis and management of </w:t>
      </w:r>
      <w:r w:rsidR="00B936B6" w:rsidRPr="00D20AC7">
        <w:rPr>
          <w:rFonts w:eastAsia="Times New Roman"/>
          <w:lang w:eastAsia="fr-FR"/>
        </w:rPr>
        <w:t xml:space="preserve">postmenopausal </w:t>
      </w:r>
      <w:r w:rsidRPr="00D20AC7">
        <w:rPr>
          <w:rFonts w:eastAsia="Times New Roman"/>
          <w:lang w:eastAsia="fr-FR"/>
        </w:rPr>
        <w:t xml:space="preserve">osteoporosis, subsequently published in </w:t>
      </w:r>
      <w:r w:rsidR="005A2F24">
        <w:rPr>
          <w:rFonts w:eastAsia="Times New Roman"/>
          <w:lang w:eastAsia="fr-FR"/>
        </w:rPr>
        <w:t xml:space="preserve">full in </w:t>
      </w:r>
      <w:r w:rsidRPr="00D20AC7">
        <w:rPr>
          <w:rFonts w:eastAsia="Times New Roman"/>
          <w:lang w:eastAsia="fr-FR"/>
        </w:rPr>
        <w:t>2019 [</w:t>
      </w:r>
      <w:r w:rsidR="00FE4EAA">
        <w:rPr>
          <w:rFonts w:eastAsia="Times New Roman"/>
          <w:lang w:eastAsia="fr-FR"/>
        </w:rPr>
        <w:t>1</w:t>
      </w:r>
      <w:r w:rsidRPr="00D20AC7">
        <w:rPr>
          <w:rFonts w:eastAsia="Times New Roman"/>
          <w:lang w:eastAsia="fr-FR"/>
        </w:rPr>
        <w:t>]</w:t>
      </w:r>
      <w:r w:rsidR="00C96300">
        <w:rPr>
          <w:rFonts w:eastAsia="Times New Roman"/>
          <w:lang w:eastAsia="fr-FR"/>
        </w:rPr>
        <w:t xml:space="preserve"> and as executive </w:t>
      </w:r>
      <w:r w:rsidR="00784CCA">
        <w:rPr>
          <w:rFonts w:eastAsia="Times New Roman"/>
          <w:lang w:eastAsia="fr-FR"/>
        </w:rPr>
        <w:t>summaries</w:t>
      </w:r>
      <w:r w:rsidR="00C96300">
        <w:rPr>
          <w:rFonts w:eastAsia="Times New Roman"/>
          <w:lang w:eastAsia="fr-FR"/>
        </w:rPr>
        <w:t xml:space="preserve"> [</w:t>
      </w:r>
      <w:r w:rsidR="00FE4EAA">
        <w:rPr>
          <w:rFonts w:eastAsia="Times New Roman"/>
          <w:lang w:eastAsia="fr-FR"/>
        </w:rPr>
        <w:t>2,3</w:t>
      </w:r>
      <w:r w:rsidR="00393EDE">
        <w:rPr>
          <w:rFonts w:eastAsia="Times New Roman"/>
          <w:lang w:eastAsia="fr-FR"/>
        </w:rPr>
        <w:t>]</w:t>
      </w:r>
      <w:r w:rsidRPr="00D20AC7">
        <w:rPr>
          <w:rFonts w:eastAsia="Times New Roman"/>
          <w:lang w:eastAsia="fr-FR"/>
        </w:rPr>
        <w:t xml:space="preserve">.  </w:t>
      </w:r>
      <w:r w:rsidR="000D43BC" w:rsidRPr="000D43BC">
        <w:rPr>
          <w:rFonts w:eastAsia="Times New Roman"/>
          <w:lang w:eastAsia="fr-FR"/>
        </w:rPr>
        <w:t xml:space="preserve">Translation of this guideline into easy to use, practical algorithms </w:t>
      </w:r>
      <w:r w:rsidR="00D6311B">
        <w:rPr>
          <w:rFonts w:eastAsia="Times New Roman"/>
          <w:lang w:eastAsia="fr-FR"/>
        </w:rPr>
        <w:t>is</w:t>
      </w:r>
      <w:r w:rsidR="000D43BC" w:rsidRPr="000D43BC">
        <w:rPr>
          <w:rFonts w:eastAsia="Times New Roman"/>
          <w:lang w:eastAsia="fr-FR"/>
        </w:rPr>
        <w:t xml:space="preserve"> needed to facilitate the recognition and treatment of women at increased risk of fracture.  This translation </w:t>
      </w:r>
      <w:r w:rsidR="00D6311B">
        <w:rPr>
          <w:rFonts w:eastAsia="Times New Roman"/>
          <w:lang w:eastAsia="fr-FR"/>
        </w:rPr>
        <w:t>could</w:t>
      </w:r>
      <w:r w:rsidR="000D43BC" w:rsidRPr="000D43BC">
        <w:rPr>
          <w:rFonts w:eastAsia="Times New Roman"/>
          <w:lang w:eastAsia="fr-FR"/>
        </w:rPr>
        <w:t xml:space="preserve"> also enable the incorporation of several recent developments that significantly impact on strategies for the management of patients.</w:t>
      </w:r>
      <w:r w:rsidR="000D43BC">
        <w:rPr>
          <w:rFonts w:eastAsia="Times New Roman"/>
          <w:lang w:eastAsia="fr-FR"/>
        </w:rPr>
        <w:t xml:space="preserve"> </w:t>
      </w:r>
      <w:r w:rsidR="00B936B6" w:rsidRPr="00D20AC7">
        <w:rPr>
          <w:rFonts w:eastAsia="Times New Roman"/>
          <w:lang w:eastAsia="fr-FR"/>
        </w:rPr>
        <w:t xml:space="preserve">The first is the </w:t>
      </w:r>
      <w:r w:rsidR="00886CAB" w:rsidRPr="00D20AC7">
        <w:rPr>
          <w:rFonts w:eastAsia="Times New Roman"/>
          <w:lang w:eastAsia="fr-FR"/>
        </w:rPr>
        <w:t xml:space="preserve">widespread recognition that </w:t>
      </w:r>
      <w:r w:rsidR="008A162D" w:rsidRPr="00D20AC7">
        <w:rPr>
          <w:rFonts w:eastAsia="Times New Roman"/>
          <w:lang w:eastAsia="fr-FR"/>
        </w:rPr>
        <w:t>the risk of a subsequent osteoporotic fracture is particularly acute immediately after an index fracture and wanes progressively with time</w:t>
      </w:r>
      <w:r w:rsidR="00F71C2A" w:rsidRPr="00D20AC7">
        <w:rPr>
          <w:rFonts w:eastAsia="Times New Roman"/>
          <w:lang w:eastAsia="fr-FR"/>
        </w:rPr>
        <w:t xml:space="preserve"> [</w:t>
      </w:r>
      <w:r w:rsidR="00FE4EAA">
        <w:rPr>
          <w:rFonts w:eastAsia="Times New Roman"/>
          <w:lang w:eastAsia="fr-FR"/>
        </w:rPr>
        <w:t>4</w:t>
      </w:r>
      <w:r w:rsidR="00CA1560">
        <w:rPr>
          <w:rFonts w:eastAsia="Times New Roman"/>
          <w:lang w:eastAsia="fr-FR"/>
        </w:rPr>
        <w:t>-9</w:t>
      </w:r>
      <w:r w:rsidR="00F71C2A" w:rsidRPr="00D20AC7">
        <w:rPr>
          <w:rFonts w:eastAsia="Times New Roman"/>
          <w:lang w:eastAsia="fr-FR"/>
        </w:rPr>
        <w:t>]</w:t>
      </w:r>
      <w:r w:rsidR="008A162D" w:rsidRPr="00D20AC7">
        <w:rPr>
          <w:rFonts w:eastAsia="Times New Roman"/>
          <w:lang w:eastAsia="fr-FR"/>
        </w:rPr>
        <w:t>.</w:t>
      </w:r>
      <w:r w:rsidR="008A162D" w:rsidRPr="00D20AC7">
        <w:t xml:space="preserve"> </w:t>
      </w:r>
      <w:r w:rsidR="000D43BC" w:rsidRPr="000D43BC">
        <w:rPr>
          <w:rFonts w:eastAsia="Times New Roman"/>
          <w:lang w:eastAsia="fr-FR"/>
        </w:rPr>
        <w:t xml:space="preserve">This </w:t>
      </w:r>
      <w:r w:rsidR="00D6311B">
        <w:rPr>
          <w:rFonts w:eastAsia="Times New Roman"/>
          <w:lang w:eastAsia="fr-FR"/>
        </w:rPr>
        <w:t xml:space="preserve">very </w:t>
      </w:r>
      <w:r w:rsidR="000D43BC" w:rsidRPr="000D43BC">
        <w:rPr>
          <w:rFonts w:eastAsia="Times New Roman"/>
          <w:lang w:eastAsia="fr-FR"/>
        </w:rPr>
        <w:t>high fracture risk, and the consequent further utility loss immediately after a subsequent fracture</w:t>
      </w:r>
      <w:r w:rsidR="00D6311B">
        <w:rPr>
          <w:rFonts w:eastAsia="Times New Roman"/>
          <w:lang w:eastAsia="fr-FR"/>
        </w:rPr>
        <w:t xml:space="preserve"> </w:t>
      </w:r>
      <w:r w:rsidR="00D6311B" w:rsidRPr="00D6311B">
        <w:rPr>
          <w:rFonts w:eastAsia="Times New Roman"/>
          <w:lang w:eastAsia="fr-FR"/>
        </w:rPr>
        <w:t>(often termed “imminent risk” because of the temporal association)</w:t>
      </w:r>
      <w:r w:rsidR="000D43BC" w:rsidRPr="000D43BC">
        <w:rPr>
          <w:rFonts w:eastAsia="Times New Roman"/>
          <w:lang w:eastAsia="fr-FR"/>
        </w:rPr>
        <w:t>, suggest</w:t>
      </w:r>
      <w:r w:rsidR="00494758">
        <w:rPr>
          <w:rFonts w:eastAsia="Times New Roman"/>
          <w:lang w:eastAsia="fr-FR"/>
        </w:rPr>
        <w:t>s</w:t>
      </w:r>
      <w:r w:rsidR="000D43BC" w:rsidRPr="000D43BC">
        <w:rPr>
          <w:rFonts w:eastAsia="Times New Roman"/>
          <w:lang w:eastAsia="fr-FR"/>
        </w:rPr>
        <w:t xml:space="preserve"> that </w:t>
      </w:r>
      <w:r w:rsidR="00FB56DA">
        <w:rPr>
          <w:rFonts w:eastAsia="Times New Roman"/>
          <w:lang w:eastAsia="fr-FR"/>
        </w:rPr>
        <w:t xml:space="preserve">preventive </w:t>
      </w:r>
      <w:r w:rsidR="000D43BC" w:rsidRPr="000D43BC">
        <w:rPr>
          <w:rFonts w:eastAsia="Times New Roman"/>
          <w:lang w:eastAsia="fr-FR"/>
        </w:rPr>
        <w:t xml:space="preserve">treatment given as soon as possible after fracture would avoid a higher number of new fractures </w:t>
      </w:r>
      <w:r w:rsidR="00D6311B" w:rsidRPr="00D6311B">
        <w:rPr>
          <w:rFonts w:eastAsia="Times New Roman"/>
          <w:lang w:eastAsia="fr-FR"/>
        </w:rPr>
        <w:t>and reduce the attendant morbidity</w:t>
      </w:r>
      <w:r w:rsidR="00D6311B">
        <w:rPr>
          <w:rFonts w:eastAsia="Times New Roman"/>
          <w:lang w:eastAsia="fr-FR"/>
        </w:rPr>
        <w:t>,</w:t>
      </w:r>
      <w:r w:rsidR="00D6311B" w:rsidRPr="00D6311B">
        <w:rPr>
          <w:rFonts w:eastAsia="Times New Roman"/>
          <w:lang w:eastAsia="fr-FR"/>
        </w:rPr>
        <w:t xml:space="preserve"> </w:t>
      </w:r>
      <w:r w:rsidR="000D43BC" w:rsidRPr="000D43BC">
        <w:rPr>
          <w:rFonts w:eastAsia="Times New Roman"/>
          <w:lang w:eastAsia="fr-FR"/>
        </w:rPr>
        <w:t xml:space="preserve">compared with treatment given later.  This provides the rationale for very early intervention immediately after a sentinel fracture and necessitates treatment with agents that have the most rapid effect on fracture reduction.  A further recent development is the demonstration </w:t>
      </w:r>
      <w:r w:rsidR="003123D1" w:rsidRPr="000D43BC">
        <w:rPr>
          <w:rFonts w:eastAsia="Times New Roman"/>
          <w:lang w:eastAsia="fr-FR"/>
        </w:rPr>
        <w:t xml:space="preserve">of </w:t>
      </w:r>
      <w:r w:rsidR="003123D1">
        <w:rPr>
          <w:rFonts w:eastAsia="Times New Roman"/>
          <w:lang w:eastAsia="fr-FR"/>
        </w:rPr>
        <w:t>a</w:t>
      </w:r>
      <w:r w:rsidR="000D43BC" w:rsidRPr="000D43BC">
        <w:rPr>
          <w:rFonts w:eastAsia="Times New Roman"/>
          <w:lang w:eastAsia="fr-FR"/>
        </w:rPr>
        <w:t xml:space="preserve"> more rapid </w:t>
      </w:r>
      <w:r w:rsidR="00CF687E">
        <w:rPr>
          <w:rFonts w:eastAsia="Times New Roman"/>
          <w:lang w:eastAsia="fr-FR"/>
        </w:rPr>
        <w:t xml:space="preserve">and greater </w:t>
      </w:r>
      <w:r w:rsidR="00D6311B" w:rsidRPr="00D6311B">
        <w:rPr>
          <w:rFonts w:eastAsia="Times New Roman"/>
          <w:lang w:eastAsia="fr-FR"/>
        </w:rPr>
        <w:t>fracture risk reduction</w:t>
      </w:r>
      <w:r w:rsidR="00D6311B">
        <w:rPr>
          <w:rFonts w:eastAsia="Times New Roman"/>
          <w:lang w:eastAsia="fr-FR"/>
        </w:rPr>
        <w:t xml:space="preserve"> </w:t>
      </w:r>
      <w:r w:rsidR="003123D1" w:rsidRPr="000D43BC">
        <w:rPr>
          <w:rFonts w:eastAsia="Times New Roman"/>
          <w:lang w:eastAsia="fr-FR"/>
        </w:rPr>
        <w:t>of anabolic</w:t>
      </w:r>
      <w:r w:rsidR="000D43BC" w:rsidRPr="000D43BC">
        <w:rPr>
          <w:rFonts w:eastAsia="Times New Roman"/>
          <w:lang w:eastAsia="fr-FR"/>
        </w:rPr>
        <w:t xml:space="preserve"> compared to antiresorptive treatments</w:t>
      </w:r>
      <w:r w:rsidR="003123D1">
        <w:rPr>
          <w:rFonts w:eastAsia="Times New Roman"/>
          <w:lang w:eastAsia="fr-FR"/>
        </w:rPr>
        <w:t xml:space="preserve"> [</w:t>
      </w:r>
      <w:r w:rsidR="004C0D7C">
        <w:rPr>
          <w:rFonts w:eastAsia="Times New Roman"/>
          <w:lang w:eastAsia="fr-FR"/>
        </w:rPr>
        <w:t xml:space="preserve">10 </w:t>
      </w:r>
      <w:r w:rsidR="0026660E">
        <w:rPr>
          <w:rFonts w:eastAsia="Times New Roman"/>
          <w:lang w:eastAsia="fr-FR"/>
        </w:rPr>
        <w:t>11 12 13 14</w:t>
      </w:r>
      <w:r w:rsidR="003123D1">
        <w:rPr>
          <w:rFonts w:eastAsia="Times New Roman"/>
          <w:lang w:eastAsia="fr-FR"/>
        </w:rPr>
        <w:t>]</w:t>
      </w:r>
      <w:r w:rsidR="000D43BC" w:rsidRPr="000D43BC">
        <w:rPr>
          <w:rFonts w:eastAsia="Times New Roman"/>
          <w:lang w:eastAsia="fr-FR"/>
        </w:rPr>
        <w:t xml:space="preserve">, </w:t>
      </w:r>
      <w:r w:rsidR="00D6311B" w:rsidRPr="000D43BC">
        <w:rPr>
          <w:rFonts w:eastAsia="Times New Roman"/>
          <w:lang w:eastAsia="fr-FR"/>
        </w:rPr>
        <w:t>with the</w:t>
      </w:r>
      <w:r w:rsidR="000D43BC" w:rsidRPr="000D43BC">
        <w:rPr>
          <w:rFonts w:eastAsia="Times New Roman"/>
          <w:lang w:eastAsia="fr-FR"/>
        </w:rPr>
        <w:t xml:space="preserve"> potential to revolutionise treatment strategies, particularly in individuals at very high fracture risk [</w:t>
      </w:r>
      <w:r w:rsidR="001133B0">
        <w:rPr>
          <w:rFonts w:eastAsia="Times New Roman"/>
          <w:lang w:eastAsia="fr-FR"/>
        </w:rPr>
        <w:t>15 16</w:t>
      </w:r>
      <w:r w:rsidR="000D43BC" w:rsidRPr="000D43BC">
        <w:rPr>
          <w:rFonts w:eastAsia="Times New Roman"/>
          <w:lang w:eastAsia="fr-FR"/>
        </w:rPr>
        <w:t xml:space="preserve">].  </w:t>
      </w:r>
      <w:r w:rsidR="0098301F">
        <w:rPr>
          <w:rFonts w:eastAsia="Times New Roman"/>
          <w:lang w:eastAsia="fr-FR"/>
        </w:rPr>
        <w:t xml:space="preserve"> </w:t>
      </w:r>
    </w:p>
    <w:p w14:paraId="4511D6BF" w14:textId="2CA24057" w:rsidR="00B00960" w:rsidRPr="00B00960" w:rsidRDefault="00B00960" w:rsidP="00B00960">
      <w:pPr>
        <w:spacing w:after="240" w:line="276" w:lineRule="auto"/>
        <w:ind w:left="567"/>
        <w:jc w:val="both"/>
        <w:rPr>
          <w:rFonts w:eastAsia="Times New Roman"/>
          <w:lang w:eastAsia="fr-FR"/>
        </w:rPr>
      </w:pPr>
      <w:r w:rsidRPr="00B00960">
        <w:rPr>
          <w:rFonts w:eastAsia="Times New Roman"/>
          <w:lang w:eastAsia="fr-FR"/>
        </w:rPr>
        <w:t xml:space="preserve">The scope of the present </w:t>
      </w:r>
      <w:r w:rsidR="004248E9" w:rsidRPr="00A236D2">
        <w:rPr>
          <w:rFonts w:eastAsia="Times New Roman"/>
          <w:lang w:eastAsia="fr-FR"/>
        </w:rPr>
        <w:t>report</w:t>
      </w:r>
      <w:r w:rsidRPr="00B00960">
        <w:rPr>
          <w:rFonts w:eastAsia="Times New Roman"/>
          <w:lang w:eastAsia="fr-FR"/>
        </w:rPr>
        <w:t xml:space="preserve"> is to review and update the assessment of osteoporosis, </w:t>
      </w:r>
      <w:r w:rsidR="0012337C" w:rsidRPr="00A236D2">
        <w:rPr>
          <w:rFonts w:eastAsia="Times New Roman"/>
          <w:lang w:eastAsia="fr-FR"/>
        </w:rPr>
        <w:t xml:space="preserve">in particular </w:t>
      </w:r>
      <w:r w:rsidRPr="00B00960">
        <w:rPr>
          <w:rFonts w:eastAsia="Times New Roman"/>
          <w:lang w:eastAsia="fr-FR"/>
        </w:rPr>
        <w:t xml:space="preserve">the </w:t>
      </w:r>
      <w:r w:rsidR="0012337C" w:rsidRPr="00A236D2">
        <w:rPr>
          <w:rFonts w:eastAsia="Times New Roman"/>
          <w:lang w:eastAsia="fr-FR"/>
        </w:rPr>
        <w:t xml:space="preserve">categorisation of risk to better target </w:t>
      </w:r>
      <w:r w:rsidRPr="00B00960">
        <w:rPr>
          <w:rFonts w:eastAsia="Times New Roman"/>
          <w:lang w:eastAsia="fr-FR"/>
        </w:rPr>
        <w:t>therapeutic interventions for the prevention of fragility fracture in postmenopausal women. The guideline is intended for all healthcare professionals involved in the management of osteoporosis.  Where available, systematic reviews, meta-analyses and randomized controlled trials have been used to provide the evidence</w:t>
      </w:r>
      <w:r w:rsidR="00750492">
        <w:rPr>
          <w:rFonts w:eastAsia="Times New Roman"/>
          <w:lang w:eastAsia="fr-FR"/>
        </w:rPr>
        <w:t>-</w:t>
      </w:r>
      <w:r w:rsidRPr="00B00960">
        <w:rPr>
          <w:rFonts w:eastAsia="Times New Roman"/>
          <w:lang w:eastAsia="fr-FR"/>
        </w:rPr>
        <w:t>base</w:t>
      </w:r>
      <w:r w:rsidR="00643BFA" w:rsidRPr="00643BFA">
        <w:t xml:space="preserve"> </w:t>
      </w:r>
      <w:r w:rsidR="00643BFA" w:rsidRPr="00643BFA">
        <w:rPr>
          <w:rFonts w:eastAsia="Times New Roman"/>
          <w:lang w:eastAsia="fr-FR"/>
        </w:rPr>
        <w:t xml:space="preserve">with the available literature </w:t>
      </w:r>
      <w:r w:rsidR="00643BFA">
        <w:rPr>
          <w:rFonts w:eastAsia="Times New Roman"/>
          <w:lang w:eastAsia="fr-FR"/>
        </w:rPr>
        <w:t xml:space="preserve">updated </w:t>
      </w:r>
      <w:r w:rsidRPr="00B00960">
        <w:rPr>
          <w:rFonts w:eastAsia="Times New Roman"/>
          <w:lang w:eastAsia="fr-FR"/>
        </w:rPr>
        <w:t>using PubMed to identify systematic reviews and meta-analyses from January 20</w:t>
      </w:r>
      <w:r w:rsidR="00886CAB" w:rsidRPr="00A236D2">
        <w:rPr>
          <w:rFonts w:eastAsia="Times New Roman"/>
          <w:lang w:eastAsia="fr-FR"/>
        </w:rPr>
        <w:t>17</w:t>
      </w:r>
      <w:r w:rsidRPr="00B00960">
        <w:rPr>
          <w:rFonts w:eastAsia="Times New Roman"/>
          <w:lang w:eastAsia="fr-FR"/>
        </w:rPr>
        <w:t xml:space="preserve"> to December 201</w:t>
      </w:r>
      <w:r w:rsidR="00886CAB" w:rsidRPr="00A236D2">
        <w:rPr>
          <w:rFonts w:eastAsia="Times New Roman"/>
          <w:lang w:eastAsia="fr-FR"/>
        </w:rPr>
        <w:t>8</w:t>
      </w:r>
      <w:r w:rsidR="00643BFA">
        <w:rPr>
          <w:rFonts w:eastAsia="Times New Roman"/>
          <w:lang w:eastAsia="fr-FR"/>
        </w:rPr>
        <w:t>,</w:t>
      </w:r>
      <w:r w:rsidR="00643BFA" w:rsidRPr="00643BFA">
        <w:t xml:space="preserve"> </w:t>
      </w:r>
      <w:r w:rsidR="00643BFA" w:rsidRPr="00643BFA">
        <w:rPr>
          <w:rFonts w:eastAsia="Times New Roman"/>
          <w:lang w:eastAsia="fr-FR"/>
        </w:rPr>
        <w:t>subsequent to the generation of the recent European Guidelines</w:t>
      </w:r>
      <w:r w:rsidRPr="00B00960">
        <w:rPr>
          <w:rFonts w:eastAsia="Times New Roman"/>
          <w:lang w:eastAsia="fr-FR"/>
        </w:rPr>
        <w:t xml:space="preserve">. </w:t>
      </w:r>
      <w:r w:rsidR="00F62728" w:rsidRPr="00F62728">
        <w:rPr>
          <w:rFonts w:eastAsia="Times New Roman"/>
          <w:lang w:eastAsia="fr-FR"/>
        </w:rPr>
        <w:t>The recommendations in this guid</w:t>
      </w:r>
      <w:r w:rsidR="00F62728">
        <w:rPr>
          <w:rFonts w:eastAsia="Times New Roman"/>
          <w:lang w:eastAsia="fr-FR"/>
        </w:rPr>
        <w:t>ance</w:t>
      </w:r>
      <w:r w:rsidR="00F62728" w:rsidRPr="00F62728">
        <w:rPr>
          <w:rFonts w:eastAsia="Times New Roman"/>
          <w:lang w:eastAsia="fr-FR"/>
        </w:rPr>
        <w:t xml:space="preserve"> have been endorsed by the Scientific Advisory Board of ESCEO and the Committee of Scientific Advisors and the Committee of National Societies of the IOF.</w:t>
      </w:r>
    </w:p>
    <w:p w14:paraId="7E4391BD" w14:textId="34411573" w:rsidR="002236C8" w:rsidRPr="00A236D2" w:rsidRDefault="007F0D70" w:rsidP="00706C7E">
      <w:pPr>
        <w:spacing w:after="240" w:line="276" w:lineRule="auto"/>
        <w:ind w:left="567"/>
        <w:jc w:val="both"/>
        <w:rPr>
          <w:rFonts w:asciiTheme="minorHAnsi" w:eastAsia="Times New Roman" w:hAnsiTheme="minorHAnsi"/>
          <w:b/>
          <w:lang w:eastAsia="fr-FR"/>
        </w:rPr>
      </w:pPr>
      <w:r w:rsidRPr="00A236D2">
        <w:rPr>
          <w:rFonts w:asciiTheme="minorHAnsi" w:eastAsia="Times New Roman" w:hAnsiTheme="minorHAnsi"/>
          <w:b/>
          <w:lang w:eastAsia="fr-FR"/>
        </w:rPr>
        <w:t>Risk assessment</w:t>
      </w:r>
    </w:p>
    <w:p w14:paraId="1414D47A" w14:textId="375C5458" w:rsidR="00706C7E" w:rsidRPr="00D20AC7" w:rsidRDefault="007F0D70" w:rsidP="00706C7E">
      <w:pPr>
        <w:autoSpaceDE w:val="0"/>
        <w:autoSpaceDN w:val="0"/>
        <w:adjustRightInd w:val="0"/>
        <w:spacing w:after="240" w:line="276" w:lineRule="auto"/>
        <w:ind w:left="567"/>
        <w:rPr>
          <w:rFonts w:asciiTheme="minorHAnsi" w:hAnsiTheme="minorHAnsi"/>
          <w:color w:val="000000"/>
          <w:lang w:eastAsia="en-US"/>
        </w:rPr>
      </w:pPr>
      <w:r w:rsidRPr="00A236D2">
        <w:rPr>
          <w:rFonts w:asciiTheme="minorHAnsi" w:hAnsiTheme="minorHAnsi"/>
          <w:color w:val="000000"/>
          <w:lang w:eastAsia="en-US"/>
        </w:rPr>
        <w:t xml:space="preserve">The IOF and ESCEO recommend that risk of fracture should be expressed as an absolute risk, i.e. probability of fracture over a ten-year </w:t>
      </w:r>
      <w:r w:rsidRPr="00D20AC7">
        <w:rPr>
          <w:rFonts w:asciiTheme="minorHAnsi" w:hAnsiTheme="minorHAnsi"/>
          <w:color w:val="000000"/>
          <w:lang w:eastAsia="en-US"/>
        </w:rPr>
        <w:t>interval</w:t>
      </w:r>
      <w:r w:rsidR="009D452E" w:rsidRPr="00D20AC7">
        <w:rPr>
          <w:rFonts w:asciiTheme="minorHAnsi" w:hAnsiTheme="minorHAnsi"/>
          <w:color w:val="000000"/>
          <w:lang w:eastAsia="en-US"/>
        </w:rPr>
        <w:t xml:space="preserve"> [</w:t>
      </w:r>
      <w:r w:rsidR="00B45903">
        <w:rPr>
          <w:rFonts w:asciiTheme="minorHAnsi" w:hAnsiTheme="minorHAnsi"/>
          <w:color w:val="000000"/>
          <w:lang w:eastAsia="en-US"/>
        </w:rPr>
        <w:t>1</w:t>
      </w:r>
      <w:r w:rsidR="009D452E" w:rsidRPr="00D20AC7">
        <w:rPr>
          <w:rFonts w:asciiTheme="minorHAnsi" w:hAnsiTheme="minorHAnsi"/>
          <w:color w:val="000000"/>
          <w:lang w:eastAsia="en-US"/>
        </w:rPr>
        <w:t>]</w:t>
      </w:r>
      <w:r w:rsidRPr="00D20AC7">
        <w:rPr>
          <w:rFonts w:asciiTheme="minorHAnsi" w:hAnsiTheme="minorHAnsi"/>
          <w:color w:val="000000"/>
          <w:lang w:eastAsia="en-US"/>
        </w:rPr>
        <w:t>. The</w:t>
      </w:r>
      <w:r w:rsidRPr="00A236D2">
        <w:rPr>
          <w:rFonts w:asciiTheme="minorHAnsi" w:hAnsiTheme="minorHAnsi"/>
          <w:color w:val="000000"/>
          <w:lang w:eastAsia="en-US"/>
        </w:rPr>
        <w:t xml:space="preserve"> absolute risk of fracture depends upon age and life expectancy as well as the current </w:t>
      </w:r>
      <w:r w:rsidR="00823E76">
        <w:rPr>
          <w:rFonts w:asciiTheme="minorHAnsi" w:hAnsiTheme="minorHAnsi"/>
          <w:color w:val="000000"/>
          <w:lang w:eastAsia="en-US"/>
        </w:rPr>
        <w:t>fracture</w:t>
      </w:r>
      <w:r w:rsidRPr="00A236D2">
        <w:rPr>
          <w:rFonts w:asciiTheme="minorHAnsi" w:hAnsiTheme="minorHAnsi"/>
          <w:color w:val="000000"/>
          <w:lang w:eastAsia="en-US"/>
        </w:rPr>
        <w:t xml:space="preserve"> risk. </w:t>
      </w:r>
      <w:r w:rsidR="00252BD2" w:rsidRPr="00252BD2">
        <w:rPr>
          <w:rFonts w:asciiTheme="minorHAnsi" w:hAnsiTheme="minorHAnsi"/>
          <w:color w:val="000000"/>
          <w:lang w:eastAsia="en-US"/>
        </w:rPr>
        <w:t>The period of 10 years was chosen to cover the likely length of treatment and the time over which benefits may continue or risks arise if treatment is stopped</w:t>
      </w:r>
      <w:r w:rsidR="00EF30AD">
        <w:rPr>
          <w:rFonts w:asciiTheme="minorHAnsi" w:hAnsiTheme="minorHAnsi"/>
          <w:color w:val="000000"/>
          <w:lang w:eastAsia="en-US"/>
        </w:rPr>
        <w:t xml:space="preserve"> [</w:t>
      </w:r>
      <w:r w:rsidR="00084A94">
        <w:rPr>
          <w:rFonts w:asciiTheme="minorHAnsi" w:hAnsiTheme="minorHAnsi"/>
          <w:color w:val="000000"/>
          <w:lang w:eastAsia="en-US"/>
        </w:rPr>
        <w:t>17</w:t>
      </w:r>
      <w:r w:rsidR="00EF30AD">
        <w:rPr>
          <w:rFonts w:asciiTheme="minorHAnsi" w:hAnsiTheme="minorHAnsi"/>
          <w:color w:val="000000"/>
          <w:lang w:eastAsia="en-US"/>
        </w:rPr>
        <w:t>]</w:t>
      </w:r>
      <w:r w:rsidRPr="00A236D2">
        <w:rPr>
          <w:rFonts w:asciiTheme="minorHAnsi" w:hAnsiTheme="minorHAnsi"/>
          <w:color w:val="000000"/>
          <w:lang w:eastAsia="en-US"/>
        </w:rPr>
        <w:t xml:space="preserve">. Algorithms that integrate the weight of clinical risk factors for fracture risk, with or without information on BMD, </w:t>
      </w:r>
      <w:r w:rsidR="003C1779">
        <w:rPr>
          <w:rFonts w:asciiTheme="minorHAnsi" w:hAnsiTheme="minorHAnsi"/>
          <w:color w:val="000000"/>
          <w:lang w:eastAsia="en-US"/>
        </w:rPr>
        <w:t>were</w:t>
      </w:r>
      <w:r w:rsidRPr="00A236D2">
        <w:rPr>
          <w:rFonts w:asciiTheme="minorHAnsi" w:hAnsiTheme="minorHAnsi"/>
          <w:color w:val="000000"/>
          <w:lang w:eastAsia="en-US"/>
        </w:rPr>
        <w:t xml:space="preserve"> developed </w:t>
      </w:r>
      <w:r w:rsidR="003C1779">
        <w:rPr>
          <w:rFonts w:asciiTheme="minorHAnsi" w:hAnsiTheme="minorHAnsi"/>
          <w:color w:val="000000"/>
          <w:lang w:eastAsia="en-US"/>
        </w:rPr>
        <w:t xml:space="preserve">in 2007 </w:t>
      </w:r>
      <w:r w:rsidRPr="00A236D2">
        <w:rPr>
          <w:rFonts w:asciiTheme="minorHAnsi" w:hAnsiTheme="minorHAnsi"/>
          <w:color w:val="000000"/>
          <w:lang w:eastAsia="en-US"/>
        </w:rPr>
        <w:t xml:space="preserve">by the </w:t>
      </w:r>
      <w:r w:rsidR="003123D1">
        <w:rPr>
          <w:rFonts w:asciiTheme="minorHAnsi" w:hAnsiTheme="minorHAnsi"/>
          <w:color w:val="000000"/>
          <w:lang w:eastAsia="en-US"/>
        </w:rPr>
        <w:t xml:space="preserve">then </w:t>
      </w:r>
      <w:r w:rsidRPr="00A236D2">
        <w:rPr>
          <w:rFonts w:asciiTheme="minorHAnsi" w:hAnsiTheme="minorHAnsi"/>
          <w:color w:val="000000"/>
          <w:lang w:eastAsia="en-US"/>
        </w:rPr>
        <w:t xml:space="preserve">WHO Collaborating Centre for Metabolic Bone Diseases at Sheffield. The </w:t>
      </w:r>
      <w:r w:rsidR="006B130C">
        <w:rPr>
          <w:rFonts w:asciiTheme="minorHAnsi" w:hAnsiTheme="minorHAnsi"/>
          <w:color w:val="000000"/>
          <w:lang w:eastAsia="en-US"/>
        </w:rPr>
        <w:t xml:space="preserve">resulting </w:t>
      </w:r>
      <w:r w:rsidRPr="00A236D2">
        <w:rPr>
          <w:rFonts w:asciiTheme="minorHAnsi" w:hAnsiTheme="minorHAnsi"/>
          <w:color w:val="000000"/>
          <w:lang w:eastAsia="en-US"/>
        </w:rPr>
        <w:t>FRAX tool (</w:t>
      </w:r>
      <w:r w:rsidRPr="00A236D2">
        <w:rPr>
          <w:rFonts w:asciiTheme="minorHAnsi" w:hAnsiTheme="minorHAnsi"/>
          <w:color w:val="000000"/>
          <w:u w:val="single"/>
          <w:lang w:eastAsia="en-US"/>
        </w:rPr>
        <w:t>www.shef.ac.uk/FRAX</w:t>
      </w:r>
      <w:r w:rsidRPr="00A236D2">
        <w:rPr>
          <w:rFonts w:asciiTheme="minorHAnsi" w:hAnsiTheme="minorHAnsi"/>
          <w:color w:val="000000"/>
          <w:lang w:eastAsia="en-US"/>
        </w:rPr>
        <w:t xml:space="preserve">) computes the 10-year probability of hip fracture or a major </w:t>
      </w:r>
      <w:r w:rsidRPr="00A236D2">
        <w:rPr>
          <w:rFonts w:asciiTheme="minorHAnsi" w:hAnsiTheme="minorHAnsi"/>
          <w:color w:val="000000"/>
          <w:lang w:eastAsia="en-US"/>
        </w:rPr>
        <w:lastRenderedPageBreak/>
        <w:t>osteoporotic fracture</w:t>
      </w:r>
      <w:r w:rsidR="003123D1">
        <w:rPr>
          <w:rFonts w:asciiTheme="minorHAnsi" w:hAnsiTheme="minorHAnsi"/>
          <w:color w:val="000000"/>
          <w:lang w:eastAsia="en-US"/>
        </w:rPr>
        <w:t>, the latter comprising</w:t>
      </w:r>
      <w:r w:rsidRPr="00A236D2">
        <w:rPr>
          <w:rFonts w:asciiTheme="minorHAnsi" w:hAnsiTheme="minorHAnsi"/>
          <w:color w:val="000000"/>
          <w:lang w:eastAsia="en-US"/>
        </w:rPr>
        <w:t xml:space="preserve"> </w:t>
      </w:r>
      <w:r w:rsidRPr="00D20AC7">
        <w:rPr>
          <w:rFonts w:asciiTheme="minorHAnsi" w:hAnsiTheme="minorHAnsi"/>
          <w:color w:val="000000"/>
          <w:lang w:eastAsia="en-US"/>
        </w:rPr>
        <w:t>a clinical spine, hip, forearm or humerus fracture. The tool has been externally validated in independent cohorts</w:t>
      </w:r>
      <w:r w:rsidR="009D452E" w:rsidRPr="00D20AC7">
        <w:rPr>
          <w:rFonts w:asciiTheme="minorHAnsi" w:hAnsiTheme="minorHAnsi"/>
          <w:color w:val="000000"/>
          <w:lang w:eastAsia="en-US"/>
        </w:rPr>
        <w:t xml:space="preserve"> [</w:t>
      </w:r>
      <w:r w:rsidR="006D07F6">
        <w:rPr>
          <w:rFonts w:asciiTheme="minorHAnsi" w:hAnsiTheme="minorHAnsi"/>
          <w:color w:val="000000"/>
          <w:lang w:eastAsia="en-US"/>
        </w:rPr>
        <w:t>18</w:t>
      </w:r>
      <w:r w:rsidR="009D452E" w:rsidRPr="00D20AC7">
        <w:rPr>
          <w:rFonts w:asciiTheme="minorHAnsi" w:hAnsiTheme="minorHAnsi"/>
          <w:color w:val="000000"/>
          <w:lang w:eastAsia="en-US"/>
        </w:rPr>
        <w:t>]</w:t>
      </w:r>
      <w:r w:rsidRPr="00D20AC7">
        <w:rPr>
          <w:rFonts w:asciiTheme="minorHAnsi" w:hAnsiTheme="minorHAnsi" w:cs="Helvetica 55 Roman"/>
          <w:b/>
          <w:bCs/>
          <w:color w:val="000000"/>
          <w:lang w:eastAsia="en-US"/>
        </w:rPr>
        <w:t xml:space="preserve"> </w:t>
      </w:r>
      <w:r w:rsidR="00706C7E" w:rsidRPr="00D20AC7">
        <w:rPr>
          <w:rFonts w:asciiTheme="minorHAnsi" w:hAnsiTheme="minorHAnsi" w:cs="Helvetica 55 Roman"/>
          <w:bCs/>
          <w:color w:val="000000"/>
          <w:lang w:eastAsia="en-US"/>
        </w:rPr>
        <w:t>and calibrated to the epidemiology of fracture and death in 6</w:t>
      </w:r>
      <w:r w:rsidR="00660287">
        <w:rPr>
          <w:rFonts w:asciiTheme="minorHAnsi" w:hAnsiTheme="minorHAnsi" w:cs="Helvetica 55 Roman"/>
          <w:bCs/>
          <w:color w:val="000000"/>
          <w:lang w:eastAsia="en-US"/>
        </w:rPr>
        <w:t>7</w:t>
      </w:r>
      <w:r w:rsidR="00706C7E" w:rsidRPr="00D20AC7">
        <w:rPr>
          <w:rFonts w:asciiTheme="minorHAnsi" w:hAnsiTheme="minorHAnsi" w:cs="Helvetica 55 Roman"/>
          <w:bCs/>
          <w:color w:val="000000"/>
          <w:lang w:eastAsia="en-US"/>
        </w:rPr>
        <w:t xml:space="preserve"> countries covering more than 80% of the world population at risk [</w:t>
      </w:r>
      <w:r w:rsidR="00703B19">
        <w:rPr>
          <w:rFonts w:asciiTheme="minorHAnsi" w:hAnsiTheme="minorHAnsi" w:cs="Helvetica 55 Roman"/>
          <w:bCs/>
          <w:color w:val="000000"/>
          <w:lang w:eastAsia="en-US"/>
        </w:rPr>
        <w:t>19</w:t>
      </w:r>
      <w:r w:rsidR="00706C7E" w:rsidRPr="00D20AC7">
        <w:rPr>
          <w:rFonts w:asciiTheme="minorHAnsi" w:hAnsiTheme="minorHAnsi" w:cs="Helvetica 55 Roman"/>
          <w:bCs/>
          <w:color w:val="000000"/>
          <w:lang w:eastAsia="en-US"/>
        </w:rPr>
        <w:t>].</w:t>
      </w:r>
      <w:r w:rsidRPr="00D20AC7">
        <w:rPr>
          <w:rFonts w:asciiTheme="minorHAnsi" w:hAnsiTheme="minorHAnsi"/>
          <w:color w:val="000000"/>
          <w:lang w:eastAsia="en-US"/>
        </w:rPr>
        <w:t xml:space="preserve"> </w:t>
      </w:r>
    </w:p>
    <w:p w14:paraId="5D32F001" w14:textId="5D74B797" w:rsidR="00706C7E" w:rsidRPr="00D20AC7" w:rsidRDefault="00706C7E" w:rsidP="00706C7E">
      <w:pPr>
        <w:autoSpaceDE w:val="0"/>
        <w:autoSpaceDN w:val="0"/>
        <w:adjustRightInd w:val="0"/>
        <w:spacing w:after="240" w:line="276" w:lineRule="auto"/>
        <w:ind w:left="567"/>
        <w:rPr>
          <w:rFonts w:asciiTheme="minorHAnsi" w:hAnsiTheme="minorHAnsi"/>
          <w:b/>
          <w:color w:val="000000"/>
          <w:lang w:eastAsia="en-US"/>
        </w:rPr>
      </w:pPr>
      <w:r w:rsidRPr="00D20AC7">
        <w:rPr>
          <w:rFonts w:asciiTheme="minorHAnsi" w:hAnsiTheme="minorHAnsi"/>
          <w:b/>
          <w:color w:val="000000"/>
          <w:lang w:eastAsia="en-US"/>
        </w:rPr>
        <w:t>Intervention and assessment thresholds</w:t>
      </w:r>
    </w:p>
    <w:p w14:paraId="2EADA114" w14:textId="69821D5E" w:rsidR="00F92E3B" w:rsidRDefault="00964C5B" w:rsidP="00706C7E">
      <w:pPr>
        <w:autoSpaceDE w:val="0"/>
        <w:autoSpaceDN w:val="0"/>
        <w:adjustRightInd w:val="0"/>
        <w:spacing w:after="240" w:line="276" w:lineRule="auto"/>
        <w:ind w:left="567"/>
        <w:rPr>
          <w:noProof/>
        </w:rPr>
      </w:pPr>
      <w:r w:rsidRPr="002D6FAC">
        <w:rPr>
          <w:rFonts w:asciiTheme="minorHAnsi" w:hAnsiTheme="minorHAnsi"/>
          <w:noProof/>
          <w:color w:val="000000"/>
          <w:lang w:eastAsia="en-GB"/>
        </w:rPr>
        <w:drawing>
          <wp:anchor distT="0" distB="0" distL="114300" distR="114300" simplePos="0" relativeHeight="251685888" behindDoc="0" locked="0" layoutInCell="1" allowOverlap="1" wp14:anchorId="20733B61" wp14:editId="1D8656A2">
            <wp:simplePos x="0" y="0"/>
            <wp:positionH relativeFrom="margin">
              <wp:align>center</wp:align>
            </wp:positionH>
            <wp:positionV relativeFrom="paragraph">
              <wp:posOffset>779780</wp:posOffset>
            </wp:positionV>
            <wp:extent cx="4572000" cy="32429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416"/>
                    <a:stretch/>
                  </pic:blipFill>
                  <pic:spPr bwMode="auto">
                    <a:xfrm>
                      <a:off x="0" y="0"/>
                      <a:ext cx="4572000" cy="32429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236D2" w:rsidRPr="00D20AC7">
        <w:rPr>
          <w:rFonts w:asciiTheme="minorHAnsi" w:hAnsiTheme="minorHAnsi"/>
          <w:color w:val="000000"/>
          <w:lang w:eastAsia="en-US"/>
        </w:rPr>
        <w:t>FRAX has been incorporated into more than 100 guidelines worldwide but the approach to intervention thresholds has varied widely [</w:t>
      </w:r>
      <w:r w:rsidR="004B724D">
        <w:rPr>
          <w:rFonts w:asciiTheme="minorHAnsi" w:hAnsiTheme="minorHAnsi"/>
          <w:color w:val="000000"/>
          <w:lang w:eastAsia="en-US"/>
        </w:rPr>
        <w:t>19, 20</w:t>
      </w:r>
      <w:r w:rsidR="00A236D2" w:rsidRPr="00D20AC7">
        <w:rPr>
          <w:rFonts w:asciiTheme="minorHAnsi" w:hAnsiTheme="minorHAnsi"/>
          <w:color w:val="000000"/>
          <w:lang w:eastAsia="en-US"/>
        </w:rPr>
        <w:t xml:space="preserve">].  </w:t>
      </w:r>
      <w:r w:rsidR="00363279" w:rsidRPr="00D20AC7">
        <w:rPr>
          <w:rFonts w:asciiTheme="minorHAnsi" w:hAnsiTheme="minorHAnsi"/>
          <w:color w:val="000000"/>
          <w:lang w:eastAsia="en-US"/>
        </w:rPr>
        <w:t xml:space="preserve">For the purposes of this report, the guidance of the </w:t>
      </w:r>
      <w:r w:rsidR="0052018F" w:rsidRPr="00D20AC7">
        <w:rPr>
          <w:rFonts w:asciiTheme="minorHAnsi" w:hAnsiTheme="minorHAnsi"/>
          <w:color w:val="000000"/>
          <w:lang w:eastAsia="en-US"/>
        </w:rPr>
        <w:t xml:space="preserve">IOF and ESCEO </w:t>
      </w:r>
      <w:r w:rsidR="00363279" w:rsidRPr="00D20AC7">
        <w:rPr>
          <w:rFonts w:asciiTheme="minorHAnsi" w:hAnsiTheme="minorHAnsi"/>
          <w:color w:val="000000"/>
          <w:lang w:eastAsia="en-US"/>
        </w:rPr>
        <w:t>[</w:t>
      </w:r>
      <w:r w:rsidR="00A41A8D">
        <w:rPr>
          <w:rFonts w:asciiTheme="minorHAnsi" w:hAnsiTheme="minorHAnsi"/>
          <w:color w:val="000000"/>
          <w:lang w:eastAsia="en-US"/>
        </w:rPr>
        <w:t>1</w:t>
      </w:r>
      <w:r w:rsidR="00363279" w:rsidRPr="00D20AC7">
        <w:rPr>
          <w:rFonts w:asciiTheme="minorHAnsi" w:hAnsiTheme="minorHAnsi"/>
          <w:color w:val="000000"/>
          <w:lang w:eastAsia="en-US"/>
        </w:rPr>
        <w:t>] is used</w:t>
      </w:r>
      <w:r w:rsidR="00363279">
        <w:rPr>
          <w:rFonts w:asciiTheme="minorHAnsi" w:hAnsiTheme="minorHAnsi"/>
          <w:color w:val="000000"/>
          <w:lang w:eastAsia="en-US"/>
        </w:rPr>
        <w:t xml:space="preserve"> as an example and shown in </w:t>
      </w:r>
      <w:r w:rsidR="00C733A3" w:rsidRPr="002C1701">
        <w:rPr>
          <w:rFonts w:asciiTheme="minorHAnsi" w:hAnsiTheme="minorHAnsi"/>
          <w:color w:val="000000"/>
          <w:lang w:eastAsia="en-US"/>
        </w:rPr>
        <w:t>F</w:t>
      </w:r>
      <w:r w:rsidR="00363279" w:rsidRPr="002C1701">
        <w:rPr>
          <w:rFonts w:asciiTheme="minorHAnsi" w:hAnsiTheme="minorHAnsi"/>
          <w:color w:val="000000"/>
          <w:lang w:eastAsia="en-US"/>
        </w:rPr>
        <w:t>igure 1.</w:t>
      </w:r>
      <w:r w:rsidR="00AE2BCC" w:rsidRPr="00AE2BCC">
        <w:rPr>
          <w:noProof/>
        </w:rPr>
        <w:t xml:space="preserve"> </w:t>
      </w:r>
    </w:p>
    <w:p w14:paraId="2C54415B" w14:textId="08D83551" w:rsidR="00F92E3B" w:rsidRPr="00F92E3B" w:rsidRDefault="00363279" w:rsidP="002D6FAC">
      <w:pPr>
        <w:autoSpaceDE w:val="0"/>
        <w:autoSpaceDN w:val="0"/>
        <w:adjustRightInd w:val="0"/>
        <w:spacing w:after="240" w:line="276" w:lineRule="auto"/>
        <w:ind w:left="1134" w:right="522"/>
        <w:rPr>
          <w:rFonts w:eastAsia="Times New Roman"/>
          <w:sz w:val="20"/>
          <w:szCs w:val="20"/>
          <w:lang w:eastAsia="fr-FR"/>
        </w:rPr>
      </w:pPr>
      <w:r>
        <w:rPr>
          <w:rFonts w:asciiTheme="minorHAnsi" w:hAnsiTheme="minorHAnsi"/>
          <w:color w:val="000000"/>
          <w:lang w:eastAsia="en-US"/>
        </w:rPr>
        <w:t xml:space="preserve"> </w:t>
      </w:r>
      <w:r w:rsidR="00F92E3B" w:rsidRPr="00F92E3B">
        <w:rPr>
          <w:rFonts w:eastAsia="Times New Roman"/>
          <w:b/>
          <w:bCs/>
          <w:sz w:val="20"/>
          <w:szCs w:val="20"/>
          <w:lang w:eastAsia="fr-FR"/>
        </w:rPr>
        <w:t xml:space="preserve">Fig. </w:t>
      </w:r>
      <w:r w:rsidR="00F92E3B">
        <w:rPr>
          <w:rFonts w:eastAsia="Times New Roman"/>
          <w:b/>
          <w:bCs/>
          <w:sz w:val="20"/>
          <w:szCs w:val="20"/>
          <w:lang w:eastAsia="fr-FR"/>
        </w:rPr>
        <w:t>1</w:t>
      </w:r>
      <w:r w:rsidR="00F92E3B" w:rsidRPr="00F92E3B">
        <w:rPr>
          <w:rFonts w:eastAsia="Times New Roman"/>
          <w:sz w:val="20"/>
          <w:szCs w:val="20"/>
          <w:lang w:eastAsia="fr-FR"/>
        </w:rPr>
        <w:t xml:space="preserve"> Assessment guidelines based on the ten-year probability of a major osteoporotic fracture (%).  The dotted line denotes the intervention threshold.  Where assessment is made in the absence of BMD, a BMD test is recommended for individuals where the probability assessment lies in the orange region</w:t>
      </w:r>
      <w:r w:rsidR="00AE2BCC">
        <w:rPr>
          <w:rFonts w:eastAsia="Times New Roman"/>
          <w:sz w:val="20"/>
          <w:szCs w:val="20"/>
          <w:lang w:eastAsia="fr-FR"/>
        </w:rPr>
        <w:t xml:space="preserve"> i.e. between the lower assessment threshold (LAT) and the upper assessment threshold (UAT)</w:t>
      </w:r>
      <w:r w:rsidR="00F92E3B" w:rsidRPr="00F92E3B">
        <w:rPr>
          <w:rFonts w:eastAsia="Times New Roman"/>
          <w:sz w:val="20"/>
          <w:szCs w:val="20"/>
          <w:lang w:eastAsia="fr-FR"/>
        </w:rPr>
        <w:t xml:space="preserve">. The intervention </w:t>
      </w:r>
      <w:r w:rsidR="00F92E3B" w:rsidRPr="00D20AC7">
        <w:rPr>
          <w:rFonts w:eastAsia="Times New Roman"/>
          <w:sz w:val="20"/>
          <w:szCs w:val="20"/>
          <w:lang w:eastAsia="fr-FR"/>
        </w:rPr>
        <w:t xml:space="preserve">threshold and BMD assessment thresholds used are those derived from </w:t>
      </w:r>
      <w:r w:rsidR="00F92E3B" w:rsidRPr="00D20AC7">
        <w:rPr>
          <w:rFonts w:eastAsia="Times New Roman"/>
          <w:sz w:val="20"/>
          <w:szCs w:val="20"/>
          <w:lang w:eastAsia="fr-FR"/>
        </w:rPr>
        <w:fldChar w:fldCharType="begin">
          <w:fldData xml:space="preserve">PEVuZE5vdGU+PENpdGU+PEF1dGhvcj5LYW5pczwvQXV0aG9yPjxZZWFyPjIwMTM8L1llYXI+PFJl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PjwvYWx0LXBlcmlvZGljYWw+PHBhZ2VzPjIzLTU3PC9wYWdlcz48dm9sdW1lPjI0PC92b2x1bWU+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</w:fldData>
        </w:fldChar>
      </w:r>
      <w:r w:rsidR="00F92E3B" w:rsidRPr="00D20AC7">
        <w:rPr>
          <w:rFonts w:eastAsia="Times New Roman"/>
          <w:sz w:val="20"/>
          <w:szCs w:val="20"/>
          <w:lang w:eastAsia="fr-FR"/>
        </w:rPr>
        <w:instrText xml:space="preserve"> ADDIN EN.CITE </w:instrText>
      </w:r>
      <w:r w:rsidR="00F92E3B" w:rsidRPr="00D20AC7">
        <w:rPr>
          <w:rFonts w:eastAsia="Times New Roman"/>
          <w:sz w:val="20"/>
          <w:szCs w:val="20"/>
          <w:lang w:eastAsia="fr-FR"/>
        </w:rPr>
        <w:fldChar w:fldCharType="begin">
          <w:fldData xml:space="preserve">PEVuZE5vdGU+PENpdGU+PEF1dGhvcj5LYW5pczwvQXV0aG9yPjxZZWFyPjIwMTM8L1llYXI+PFJl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PjwvYWx0LXBlcmlvZGljYWw+PHBhZ2VzPjIzLTU3PC9wYWdlcz48dm9sdW1lPjI0PC92b2x1bWU+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</w:fldData>
        </w:fldChar>
      </w:r>
      <w:r w:rsidR="00F92E3B" w:rsidRPr="00D20AC7">
        <w:rPr>
          <w:rFonts w:eastAsia="Times New Roman"/>
          <w:sz w:val="20"/>
          <w:szCs w:val="20"/>
          <w:lang w:eastAsia="fr-FR"/>
        </w:rPr>
        <w:instrText xml:space="preserve"> ADDIN EN.CITE.DATA </w:instrText>
      </w:r>
      <w:r w:rsidR="00F92E3B" w:rsidRPr="00D20AC7">
        <w:rPr>
          <w:rFonts w:eastAsia="Times New Roman"/>
          <w:sz w:val="20"/>
          <w:szCs w:val="20"/>
          <w:lang w:eastAsia="fr-FR"/>
        </w:rPr>
      </w:r>
      <w:r w:rsidR="00F92E3B" w:rsidRPr="00D20AC7">
        <w:rPr>
          <w:rFonts w:eastAsia="Times New Roman"/>
          <w:sz w:val="20"/>
          <w:szCs w:val="20"/>
          <w:lang w:eastAsia="fr-FR"/>
        </w:rPr>
        <w:fldChar w:fldCharType="end"/>
      </w:r>
      <w:r w:rsidR="00F92E3B" w:rsidRPr="00D20AC7">
        <w:rPr>
          <w:rFonts w:eastAsia="Times New Roman"/>
          <w:sz w:val="20"/>
          <w:szCs w:val="20"/>
          <w:lang w:eastAsia="fr-FR"/>
        </w:rPr>
      </w:r>
      <w:r w:rsidR="00F92E3B" w:rsidRPr="00D20AC7">
        <w:rPr>
          <w:rFonts w:eastAsia="Times New Roman"/>
          <w:sz w:val="20"/>
          <w:szCs w:val="20"/>
          <w:lang w:eastAsia="fr-FR"/>
        </w:rPr>
        <w:fldChar w:fldCharType="separate"/>
      </w:r>
      <w:r w:rsidR="00F92E3B" w:rsidRPr="00D20AC7">
        <w:rPr>
          <w:rFonts w:eastAsia="Times New Roman"/>
          <w:noProof/>
          <w:sz w:val="20"/>
          <w:szCs w:val="20"/>
          <w:lang w:eastAsia="fr-FR"/>
        </w:rPr>
        <w:t>[</w:t>
      </w:r>
      <w:r w:rsidR="00273B43">
        <w:rPr>
          <w:rFonts w:eastAsia="Times New Roman"/>
          <w:noProof/>
          <w:sz w:val="20"/>
          <w:szCs w:val="20"/>
          <w:lang w:eastAsia="fr-FR"/>
        </w:rPr>
        <w:t>1</w:t>
      </w:r>
      <w:r w:rsidR="00F92E3B" w:rsidRPr="00D20AC7">
        <w:rPr>
          <w:rFonts w:eastAsia="Times New Roman"/>
          <w:noProof/>
          <w:sz w:val="20"/>
          <w:szCs w:val="20"/>
          <w:lang w:eastAsia="fr-FR"/>
        </w:rPr>
        <w:t>]</w:t>
      </w:r>
      <w:r w:rsidR="00F92E3B" w:rsidRPr="00D20AC7">
        <w:rPr>
          <w:rFonts w:eastAsia="Times New Roman"/>
          <w:sz w:val="20"/>
          <w:szCs w:val="20"/>
          <w:lang w:eastAsia="fr-FR"/>
        </w:rPr>
        <w:fldChar w:fldCharType="end"/>
      </w:r>
      <w:r w:rsidR="000033B7">
        <w:rPr>
          <w:rFonts w:eastAsia="Times New Roman"/>
          <w:sz w:val="20"/>
          <w:szCs w:val="20"/>
          <w:lang w:eastAsia="fr-FR"/>
        </w:rPr>
        <w:t xml:space="preserve"> and reproduced in </w:t>
      </w:r>
      <w:r w:rsidR="00BD6773">
        <w:rPr>
          <w:rFonts w:eastAsia="Times New Roman"/>
          <w:sz w:val="20"/>
          <w:szCs w:val="20"/>
          <w:lang w:eastAsia="fr-FR"/>
        </w:rPr>
        <w:t xml:space="preserve">the </w:t>
      </w:r>
      <w:r w:rsidR="000033B7">
        <w:rPr>
          <w:rFonts w:eastAsia="Times New Roman"/>
          <w:sz w:val="20"/>
          <w:szCs w:val="20"/>
          <w:lang w:eastAsia="fr-FR"/>
        </w:rPr>
        <w:t>Appendix</w:t>
      </w:r>
      <w:r w:rsidR="00BD6773">
        <w:rPr>
          <w:rFonts w:eastAsia="Times New Roman"/>
          <w:sz w:val="20"/>
          <w:szCs w:val="20"/>
          <w:lang w:eastAsia="fr-FR"/>
        </w:rPr>
        <w:t xml:space="preserve">, </w:t>
      </w:r>
      <w:r w:rsidR="00BD6773" w:rsidRPr="002C1701">
        <w:rPr>
          <w:rFonts w:eastAsia="Times New Roman"/>
          <w:sz w:val="20"/>
          <w:szCs w:val="20"/>
          <w:lang w:eastAsia="fr-FR"/>
        </w:rPr>
        <w:t>Table A1</w:t>
      </w:r>
      <w:r w:rsidR="00F92E3B" w:rsidRPr="002C1701">
        <w:rPr>
          <w:rFonts w:eastAsia="Times New Roman"/>
          <w:sz w:val="20"/>
          <w:szCs w:val="20"/>
          <w:lang w:eastAsia="fr-FR"/>
        </w:rPr>
        <w:t>,</w:t>
      </w:r>
      <w:r w:rsidR="00F92E3B" w:rsidRPr="00D20AC7">
        <w:rPr>
          <w:rFonts w:eastAsia="Times New Roman"/>
          <w:sz w:val="20"/>
          <w:szCs w:val="20"/>
          <w:lang w:eastAsia="fr-FR"/>
        </w:rPr>
        <w:t xml:space="preserve"> </w:t>
      </w:r>
      <w:bookmarkStart w:id="6" w:name="_Hlk481799"/>
      <w:r w:rsidR="00F92E3B" w:rsidRPr="00D20AC7">
        <w:rPr>
          <w:rFonts w:eastAsia="Times New Roman"/>
          <w:sz w:val="20"/>
          <w:szCs w:val="20"/>
          <w:lang w:eastAsia="fr-FR"/>
        </w:rPr>
        <w:t>with kind permission</w:t>
      </w:r>
      <w:r w:rsidR="00F92E3B" w:rsidRPr="00F92E3B">
        <w:rPr>
          <w:rFonts w:eastAsia="Times New Roman"/>
          <w:sz w:val="20"/>
          <w:szCs w:val="20"/>
          <w:lang w:eastAsia="fr-FR"/>
        </w:rPr>
        <w:t xml:space="preserve"> </w:t>
      </w:r>
      <w:r w:rsidR="00F92E3B" w:rsidRPr="0022272C">
        <w:rPr>
          <w:rFonts w:eastAsia="Times New Roman"/>
          <w:sz w:val="20"/>
          <w:szCs w:val="20"/>
          <w:lang w:eastAsia="fr-FR"/>
        </w:rPr>
        <w:t>from Springer Science and Business Media.</w:t>
      </w:r>
      <w:bookmarkEnd w:id="6"/>
    </w:p>
    <w:p w14:paraId="30F70869" w14:textId="715C4117" w:rsidR="003624FB" w:rsidRDefault="009A11AC" w:rsidP="00DE39B0">
      <w:pPr>
        <w:autoSpaceDE w:val="0"/>
        <w:autoSpaceDN w:val="0"/>
        <w:adjustRightInd w:val="0"/>
        <w:spacing w:after="240" w:line="276" w:lineRule="auto"/>
        <w:ind w:left="567"/>
        <w:rPr>
          <w:rFonts w:asciiTheme="minorHAnsi" w:hAnsiTheme="minorHAnsi"/>
          <w:color w:val="000000"/>
          <w:lang w:eastAsia="en-US"/>
        </w:rPr>
      </w:pPr>
      <w:r>
        <w:rPr>
          <w:rFonts w:asciiTheme="minorHAnsi" w:hAnsiTheme="minorHAnsi"/>
          <w:color w:val="000000"/>
          <w:lang w:eastAsia="en-US"/>
        </w:rPr>
        <w:t xml:space="preserve">In the European guidance, it is recommended that </w:t>
      </w:r>
      <w:r w:rsidR="004D780E">
        <w:rPr>
          <w:rFonts w:asciiTheme="minorHAnsi" w:hAnsiTheme="minorHAnsi"/>
          <w:color w:val="000000"/>
          <w:lang w:eastAsia="en-US"/>
        </w:rPr>
        <w:t xml:space="preserve">postmenopausal </w:t>
      </w:r>
      <w:r>
        <w:rPr>
          <w:rFonts w:asciiTheme="minorHAnsi" w:hAnsiTheme="minorHAnsi"/>
          <w:color w:val="000000"/>
          <w:lang w:eastAsia="en-US"/>
        </w:rPr>
        <w:t>w</w:t>
      </w:r>
      <w:r w:rsidRPr="00A236D2">
        <w:rPr>
          <w:rFonts w:asciiTheme="minorHAnsi" w:hAnsiTheme="minorHAnsi"/>
          <w:color w:val="000000"/>
          <w:lang w:eastAsia="en-US"/>
        </w:rPr>
        <w:t xml:space="preserve">omen with a prior fragility fracture should be </w:t>
      </w:r>
      <w:r>
        <w:rPr>
          <w:rFonts w:asciiTheme="minorHAnsi" w:hAnsiTheme="minorHAnsi"/>
          <w:color w:val="000000"/>
          <w:lang w:eastAsia="en-US"/>
        </w:rPr>
        <w:t>treated</w:t>
      </w:r>
      <w:r w:rsidRPr="00A236D2">
        <w:rPr>
          <w:rFonts w:asciiTheme="minorHAnsi" w:hAnsiTheme="minorHAnsi"/>
          <w:color w:val="000000"/>
          <w:lang w:eastAsia="en-US"/>
        </w:rPr>
        <w:t xml:space="preserve"> without further assessment</w:t>
      </w:r>
      <w:r w:rsidR="00DE39B0" w:rsidRPr="00A236D2">
        <w:rPr>
          <w:rFonts w:asciiTheme="minorHAnsi" w:hAnsiTheme="minorHAnsi"/>
          <w:color w:val="000000"/>
          <w:lang w:eastAsia="en-US"/>
        </w:rPr>
        <w:t xml:space="preserve">, although BMD measurement </w:t>
      </w:r>
      <w:r w:rsidR="003123D1" w:rsidRPr="003123D1">
        <w:rPr>
          <w:rFonts w:asciiTheme="minorHAnsi" w:hAnsiTheme="minorHAnsi"/>
          <w:color w:val="000000"/>
          <w:lang w:eastAsia="en-US"/>
        </w:rPr>
        <w:t>and incorporation into the FRAX calculation is</w:t>
      </w:r>
      <w:r w:rsidR="00DE39B0" w:rsidRPr="00A236D2">
        <w:rPr>
          <w:rFonts w:asciiTheme="minorHAnsi" w:hAnsiTheme="minorHAnsi"/>
          <w:color w:val="000000"/>
          <w:lang w:eastAsia="en-US"/>
        </w:rPr>
        <w:t xml:space="preserve"> sometimes appropriate, particularly in younger postmenopausal women. In women without a previous fragility fracture, </w:t>
      </w:r>
      <w:r w:rsidR="003123D1">
        <w:rPr>
          <w:rFonts w:asciiTheme="minorHAnsi" w:hAnsiTheme="minorHAnsi"/>
          <w:color w:val="000000"/>
          <w:lang w:eastAsia="en-US"/>
        </w:rPr>
        <w:t xml:space="preserve">the </w:t>
      </w:r>
      <w:r w:rsidR="00DE39B0" w:rsidRPr="00A236D2">
        <w:rPr>
          <w:rFonts w:asciiTheme="minorHAnsi" w:hAnsiTheme="minorHAnsi"/>
          <w:color w:val="000000"/>
          <w:lang w:eastAsia="en-US"/>
        </w:rPr>
        <w:t xml:space="preserve">management strategy should be based on assessment of the ten-year probability of a major osteoporotic fracture (clinical spine, hip, forearm or humerus). </w:t>
      </w:r>
      <w:r w:rsidR="00363279">
        <w:rPr>
          <w:rFonts w:asciiTheme="minorHAnsi" w:hAnsiTheme="minorHAnsi"/>
          <w:color w:val="000000"/>
          <w:lang w:eastAsia="en-US"/>
        </w:rPr>
        <w:t>W</w:t>
      </w:r>
      <w:r w:rsidR="00DE39B0" w:rsidRPr="00A236D2">
        <w:rPr>
          <w:rFonts w:asciiTheme="minorHAnsi" w:hAnsiTheme="minorHAnsi"/>
          <w:color w:val="000000"/>
          <w:lang w:eastAsia="en-US"/>
        </w:rPr>
        <w:t xml:space="preserve">omen with probabilities below the lower assessment threshold can be </w:t>
      </w:r>
      <w:r w:rsidR="00BB6151">
        <w:rPr>
          <w:rFonts w:asciiTheme="minorHAnsi" w:hAnsiTheme="minorHAnsi"/>
          <w:color w:val="000000"/>
          <w:lang w:eastAsia="en-US"/>
        </w:rPr>
        <w:t>considered at low risk</w:t>
      </w:r>
      <w:r w:rsidR="00DE39B0" w:rsidRPr="00A236D2">
        <w:rPr>
          <w:rFonts w:asciiTheme="minorHAnsi" w:hAnsiTheme="minorHAnsi"/>
          <w:color w:val="000000"/>
          <w:lang w:eastAsia="en-US"/>
        </w:rPr>
        <w:t xml:space="preserve">. </w:t>
      </w:r>
      <w:r w:rsidR="00627CEE">
        <w:rPr>
          <w:rFonts w:asciiTheme="minorHAnsi" w:hAnsiTheme="minorHAnsi"/>
          <w:color w:val="000000"/>
          <w:lang w:eastAsia="en-US"/>
        </w:rPr>
        <w:t>W</w:t>
      </w:r>
      <w:r w:rsidR="00DE39B0" w:rsidRPr="00A236D2">
        <w:rPr>
          <w:rFonts w:asciiTheme="minorHAnsi" w:hAnsiTheme="minorHAnsi"/>
          <w:color w:val="000000"/>
          <w:lang w:eastAsia="en-US"/>
        </w:rPr>
        <w:t xml:space="preserve">omen with probabilities above the upper assessment threshold can be considered for treatment. </w:t>
      </w:r>
      <w:r w:rsidR="00B1689B">
        <w:rPr>
          <w:rFonts w:asciiTheme="minorHAnsi" w:hAnsiTheme="minorHAnsi"/>
          <w:color w:val="000000"/>
          <w:lang w:eastAsia="en-US"/>
        </w:rPr>
        <w:t>W</w:t>
      </w:r>
      <w:r w:rsidR="00DE39B0" w:rsidRPr="00A236D2">
        <w:rPr>
          <w:rFonts w:asciiTheme="minorHAnsi" w:hAnsiTheme="minorHAnsi"/>
          <w:color w:val="000000"/>
          <w:lang w:eastAsia="en-US"/>
        </w:rPr>
        <w:t xml:space="preserve">omen with probabilities </w:t>
      </w:r>
      <w:r w:rsidR="00DE39B0" w:rsidRPr="00A236D2">
        <w:rPr>
          <w:rFonts w:asciiTheme="minorHAnsi" w:hAnsiTheme="minorHAnsi"/>
          <w:color w:val="000000"/>
          <w:lang w:eastAsia="en-US"/>
        </w:rPr>
        <w:lastRenderedPageBreak/>
        <w:t xml:space="preserve">between the upper and </w:t>
      </w:r>
      <w:r w:rsidR="00DE39B0" w:rsidRPr="00D20AC7">
        <w:rPr>
          <w:rFonts w:asciiTheme="minorHAnsi" w:hAnsiTheme="minorHAnsi"/>
          <w:color w:val="000000"/>
          <w:lang w:eastAsia="en-US"/>
        </w:rPr>
        <w:t>lower assessment threshold should be referred for BMD measurements and their fracture probability reassessed [</w:t>
      </w:r>
      <w:r w:rsidR="00273B43">
        <w:rPr>
          <w:rFonts w:asciiTheme="minorHAnsi" w:hAnsiTheme="minorHAnsi"/>
          <w:color w:val="000000"/>
          <w:lang w:eastAsia="en-US"/>
        </w:rPr>
        <w:t>1</w:t>
      </w:r>
      <w:r w:rsidR="00DE39B0" w:rsidRPr="00D20AC7">
        <w:rPr>
          <w:rFonts w:asciiTheme="minorHAnsi" w:hAnsiTheme="minorHAnsi"/>
          <w:color w:val="000000"/>
          <w:lang w:eastAsia="en-US"/>
        </w:rPr>
        <w:t xml:space="preserve">]. </w:t>
      </w:r>
      <w:r w:rsidR="00236537">
        <w:rPr>
          <w:rFonts w:asciiTheme="minorHAnsi" w:hAnsiTheme="minorHAnsi"/>
          <w:color w:val="000000"/>
          <w:lang w:eastAsia="en-US"/>
        </w:rPr>
        <w:t xml:space="preserve"> </w:t>
      </w:r>
      <w:r w:rsidR="00B1689B" w:rsidRPr="00D20AC7">
        <w:rPr>
          <w:rFonts w:asciiTheme="minorHAnsi" w:hAnsiTheme="minorHAnsi"/>
          <w:color w:val="000000"/>
          <w:lang w:eastAsia="en-US"/>
        </w:rPr>
        <w:t xml:space="preserve">The </w:t>
      </w:r>
      <w:r>
        <w:rPr>
          <w:rFonts w:asciiTheme="minorHAnsi" w:hAnsiTheme="minorHAnsi"/>
          <w:color w:val="000000"/>
          <w:lang w:eastAsia="en-US"/>
        </w:rPr>
        <w:t xml:space="preserve">age-dependent </w:t>
      </w:r>
      <w:r w:rsidR="00B1689B" w:rsidRPr="00D20AC7">
        <w:rPr>
          <w:rFonts w:asciiTheme="minorHAnsi" w:hAnsiTheme="minorHAnsi"/>
          <w:color w:val="000000"/>
          <w:lang w:eastAsia="en-US"/>
        </w:rPr>
        <w:t>intervention threshold is set at a risk equivalent to that associated with a prior fracture</w:t>
      </w:r>
      <w:r w:rsidR="003123D1" w:rsidRPr="003123D1">
        <w:t xml:space="preserve"> </w:t>
      </w:r>
      <w:r w:rsidR="003123D1" w:rsidRPr="003123D1">
        <w:rPr>
          <w:rFonts w:asciiTheme="minorHAnsi" w:hAnsiTheme="minorHAnsi"/>
          <w:color w:val="000000"/>
          <w:lang w:eastAsia="en-US"/>
        </w:rPr>
        <w:t xml:space="preserve">in a woman </w:t>
      </w:r>
      <w:r w:rsidRPr="009A11AC">
        <w:rPr>
          <w:rFonts w:asciiTheme="minorHAnsi" w:hAnsiTheme="minorHAnsi"/>
          <w:color w:val="000000"/>
          <w:lang w:eastAsia="en-US"/>
        </w:rPr>
        <w:t xml:space="preserve">of the same age </w:t>
      </w:r>
      <w:r w:rsidR="003123D1" w:rsidRPr="003123D1">
        <w:rPr>
          <w:rFonts w:asciiTheme="minorHAnsi" w:hAnsiTheme="minorHAnsi"/>
          <w:color w:val="000000"/>
          <w:lang w:eastAsia="en-US"/>
        </w:rPr>
        <w:t>with average BMI</w:t>
      </w:r>
      <w:r>
        <w:rPr>
          <w:rFonts w:asciiTheme="minorHAnsi" w:hAnsiTheme="minorHAnsi"/>
          <w:color w:val="000000"/>
          <w:lang w:eastAsia="en-US"/>
        </w:rPr>
        <w:t xml:space="preserve"> </w:t>
      </w:r>
      <w:r w:rsidR="00B1689B" w:rsidRPr="00D20AC7">
        <w:rPr>
          <w:rFonts w:asciiTheme="minorHAnsi" w:hAnsiTheme="minorHAnsi"/>
          <w:color w:val="000000"/>
          <w:lang w:eastAsia="en-US"/>
        </w:rPr>
        <w:t>and</w:t>
      </w:r>
      <w:r>
        <w:rPr>
          <w:rFonts w:asciiTheme="minorHAnsi" w:hAnsiTheme="minorHAnsi"/>
          <w:color w:val="000000"/>
          <w:lang w:eastAsia="en-US"/>
        </w:rPr>
        <w:t>,</w:t>
      </w:r>
      <w:r w:rsidR="00B1689B" w:rsidRPr="00D20AC7">
        <w:rPr>
          <w:rFonts w:asciiTheme="minorHAnsi" w:hAnsiTheme="minorHAnsi"/>
          <w:color w:val="000000"/>
          <w:lang w:eastAsia="en-US"/>
        </w:rPr>
        <w:t xml:space="preserve"> therefore</w:t>
      </w:r>
      <w:r>
        <w:rPr>
          <w:rFonts w:asciiTheme="minorHAnsi" w:hAnsiTheme="minorHAnsi"/>
          <w:color w:val="000000"/>
          <w:lang w:eastAsia="en-US"/>
        </w:rPr>
        <w:t>,</w:t>
      </w:r>
      <w:r w:rsidR="00B1689B" w:rsidRPr="00D20AC7">
        <w:rPr>
          <w:rFonts w:asciiTheme="minorHAnsi" w:hAnsiTheme="minorHAnsi"/>
          <w:color w:val="000000"/>
          <w:lang w:eastAsia="en-US"/>
        </w:rPr>
        <w:t xml:space="preserve"> rises with age [</w:t>
      </w:r>
      <w:r w:rsidR="000B5F3F">
        <w:rPr>
          <w:rFonts w:asciiTheme="minorHAnsi" w:hAnsiTheme="minorHAnsi"/>
          <w:color w:val="000000"/>
          <w:lang w:eastAsia="en-US"/>
        </w:rPr>
        <w:t>21</w:t>
      </w:r>
      <w:r w:rsidR="009A7EE2" w:rsidRPr="009A7EE2">
        <w:rPr>
          <w:rFonts w:asciiTheme="minorHAnsi" w:hAnsiTheme="minorHAnsi"/>
          <w:lang w:eastAsia="en-US"/>
        </w:rPr>
        <w:t>]</w:t>
      </w:r>
      <w:r w:rsidR="00B1689B" w:rsidRPr="009A7EE2">
        <w:rPr>
          <w:rFonts w:asciiTheme="minorHAnsi" w:hAnsiTheme="minorHAnsi"/>
          <w:lang w:eastAsia="en-US"/>
        </w:rPr>
        <w:t>.</w:t>
      </w:r>
      <w:r w:rsidR="00B1689B" w:rsidRPr="00C75869">
        <w:rPr>
          <w:rFonts w:asciiTheme="minorHAnsi" w:hAnsiTheme="minorHAnsi"/>
          <w:color w:val="FF0000"/>
          <w:lang w:eastAsia="en-US"/>
        </w:rPr>
        <w:t xml:space="preserve"> </w:t>
      </w:r>
      <w:r w:rsidR="001B7DBA" w:rsidRPr="00C75869">
        <w:rPr>
          <w:rFonts w:asciiTheme="minorHAnsi" w:hAnsiTheme="minorHAnsi"/>
          <w:lang w:eastAsia="en-US"/>
        </w:rPr>
        <w:t>The same thresholds are used in men since</w:t>
      </w:r>
      <w:r w:rsidR="001E510F" w:rsidRPr="00C75869">
        <w:rPr>
          <w:rFonts w:asciiTheme="minorHAnsi" w:hAnsiTheme="minorHAnsi"/>
          <w:lang w:eastAsia="en-US"/>
        </w:rPr>
        <w:t xml:space="preserve"> the cost-</w:t>
      </w:r>
      <w:r w:rsidR="009F0F74" w:rsidRPr="00C75869">
        <w:rPr>
          <w:rFonts w:asciiTheme="minorHAnsi" w:hAnsiTheme="minorHAnsi"/>
          <w:lang w:eastAsia="en-US"/>
        </w:rPr>
        <w:t>effect</w:t>
      </w:r>
      <w:r w:rsidR="00D86416" w:rsidRPr="00C75869">
        <w:rPr>
          <w:rFonts w:asciiTheme="minorHAnsi" w:hAnsiTheme="minorHAnsi"/>
          <w:lang w:eastAsia="en-US"/>
        </w:rPr>
        <w:t xml:space="preserve">iveness of </w:t>
      </w:r>
      <w:r w:rsidR="001E510F" w:rsidRPr="00C75869">
        <w:rPr>
          <w:rFonts w:asciiTheme="minorHAnsi" w:hAnsiTheme="minorHAnsi"/>
          <w:lang w:eastAsia="en-US"/>
        </w:rPr>
        <w:t xml:space="preserve">interventions </w:t>
      </w:r>
      <w:r w:rsidR="009F0F74" w:rsidRPr="00C75869">
        <w:rPr>
          <w:rFonts w:asciiTheme="minorHAnsi" w:hAnsiTheme="minorHAnsi"/>
          <w:lang w:eastAsia="en-US"/>
        </w:rPr>
        <w:t xml:space="preserve">is broadly </w:t>
      </w:r>
      <w:r w:rsidR="009F0F74">
        <w:rPr>
          <w:rFonts w:asciiTheme="minorHAnsi" w:hAnsiTheme="minorHAnsi"/>
          <w:color w:val="000000"/>
          <w:lang w:eastAsia="en-US"/>
        </w:rPr>
        <w:t xml:space="preserve">similar in men and </w:t>
      </w:r>
      <w:r w:rsidR="009F0F74" w:rsidRPr="00A320B0">
        <w:rPr>
          <w:rFonts w:asciiTheme="minorHAnsi" w:hAnsiTheme="minorHAnsi"/>
          <w:color w:val="000000"/>
          <w:lang w:eastAsia="en-US"/>
        </w:rPr>
        <w:t>women [</w:t>
      </w:r>
      <w:r w:rsidR="001F6317">
        <w:rPr>
          <w:rFonts w:asciiTheme="minorHAnsi" w:hAnsiTheme="minorHAnsi"/>
          <w:color w:val="000000"/>
          <w:lang w:eastAsia="en-US"/>
        </w:rPr>
        <w:t xml:space="preserve">22, </w:t>
      </w:r>
      <w:r w:rsidR="00246311">
        <w:rPr>
          <w:rFonts w:asciiTheme="minorHAnsi" w:hAnsiTheme="minorHAnsi"/>
          <w:color w:val="000000"/>
          <w:lang w:eastAsia="en-US"/>
        </w:rPr>
        <w:t>23</w:t>
      </w:r>
      <w:r w:rsidR="00C75869">
        <w:rPr>
          <w:rFonts w:asciiTheme="minorHAnsi" w:hAnsiTheme="minorHAnsi"/>
          <w:color w:val="000000"/>
          <w:lang w:eastAsia="en-US"/>
        </w:rPr>
        <w:t>]</w:t>
      </w:r>
      <w:r w:rsidR="00430DC5">
        <w:rPr>
          <w:rFonts w:asciiTheme="minorHAnsi" w:hAnsiTheme="minorHAnsi"/>
          <w:color w:val="000000"/>
          <w:lang w:eastAsia="en-US"/>
        </w:rPr>
        <w:t>.</w:t>
      </w:r>
      <w:r w:rsidR="009955D0">
        <w:rPr>
          <w:rFonts w:asciiTheme="minorHAnsi" w:hAnsiTheme="minorHAnsi"/>
          <w:color w:val="000000"/>
          <w:lang w:eastAsia="en-US"/>
        </w:rPr>
        <w:t xml:space="preserve"> </w:t>
      </w:r>
    </w:p>
    <w:p w14:paraId="6BAD10E8" w14:textId="7B3A0750" w:rsidR="00B1689B" w:rsidRDefault="009D588B" w:rsidP="00DE39B0">
      <w:pPr>
        <w:autoSpaceDE w:val="0"/>
        <w:autoSpaceDN w:val="0"/>
        <w:adjustRightInd w:val="0"/>
        <w:spacing w:after="240" w:line="276" w:lineRule="auto"/>
        <w:ind w:left="567"/>
        <w:rPr>
          <w:rFonts w:asciiTheme="minorHAnsi" w:hAnsiTheme="minorHAnsi"/>
          <w:color w:val="000000"/>
          <w:lang w:eastAsia="en-US"/>
        </w:rPr>
      </w:pPr>
      <w:r>
        <w:rPr>
          <w:rFonts w:asciiTheme="minorHAnsi" w:hAnsiTheme="minorHAnsi"/>
          <w:color w:val="000000"/>
          <w:lang w:eastAsia="en-US"/>
        </w:rPr>
        <w:t>S</w:t>
      </w:r>
      <w:r w:rsidR="00100646">
        <w:rPr>
          <w:rFonts w:asciiTheme="minorHAnsi" w:hAnsiTheme="minorHAnsi"/>
          <w:color w:val="000000"/>
          <w:lang w:eastAsia="en-US"/>
        </w:rPr>
        <w:t xml:space="preserve">ome </w:t>
      </w:r>
      <w:r w:rsidR="00BC2976">
        <w:rPr>
          <w:rFonts w:asciiTheme="minorHAnsi" w:hAnsiTheme="minorHAnsi"/>
          <w:color w:val="000000"/>
          <w:lang w:eastAsia="en-US"/>
        </w:rPr>
        <w:t xml:space="preserve">agencies </w:t>
      </w:r>
      <w:r>
        <w:rPr>
          <w:rFonts w:asciiTheme="minorHAnsi" w:hAnsiTheme="minorHAnsi"/>
          <w:color w:val="000000"/>
          <w:lang w:eastAsia="en-US"/>
        </w:rPr>
        <w:t>have been reluctant to reimburse</w:t>
      </w:r>
      <w:r w:rsidR="00D32F32">
        <w:rPr>
          <w:rFonts w:asciiTheme="minorHAnsi" w:hAnsiTheme="minorHAnsi"/>
          <w:color w:val="000000"/>
          <w:lang w:eastAsia="en-US"/>
        </w:rPr>
        <w:t xml:space="preserve"> treatments on the basis of fracture probability, particularly at younger ag</w:t>
      </w:r>
      <w:r w:rsidR="00CE1E30">
        <w:rPr>
          <w:rFonts w:asciiTheme="minorHAnsi" w:hAnsiTheme="minorHAnsi"/>
          <w:color w:val="000000"/>
          <w:lang w:eastAsia="en-US"/>
        </w:rPr>
        <w:t>e</w:t>
      </w:r>
      <w:r w:rsidR="00D32F32">
        <w:rPr>
          <w:rFonts w:asciiTheme="minorHAnsi" w:hAnsiTheme="minorHAnsi"/>
          <w:color w:val="000000"/>
          <w:lang w:eastAsia="en-US"/>
        </w:rPr>
        <w:t>s</w:t>
      </w:r>
      <w:r w:rsidR="008F3818">
        <w:rPr>
          <w:rFonts w:asciiTheme="minorHAnsi" w:hAnsiTheme="minorHAnsi"/>
          <w:color w:val="000000"/>
          <w:lang w:eastAsia="en-US"/>
        </w:rPr>
        <w:t xml:space="preserve"> where the 10-</w:t>
      </w:r>
      <w:r w:rsidR="007A1584">
        <w:rPr>
          <w:rFonts w:asciiTheme="minorHAnsi" w:hAnsiTheme="minorHAnsi"/>
          <w:color w:val="000000"/>
          <w:lang w:eastAsia="en-US"/>
        </w:rPr>
        <w:t xml:space="preserve">year </w:t>
      </w:r>
      <w:r w:rsidR="002E733F">
        <w:rPr>
          <w:rFonts w:asciiTheme="minorHAnsi" w:hAnsiTheme="minorHAnsi"/>
          <w:color w:val="000000"/>
          <w:lang w:eastAsia="en-US"/>
        </w:rPr>
        <w:t>probability</w:t>
      </w:r>
      <w:r w:rsidR="007A1584">
        <w:rPr>
          <w:rFonts w:asciiTheme="minorHAnsi" w:hAnsiTheme="minorHAnsi"/>
          <w:color w:val="000000"/>
          <w:lang w:eastAsia="en-US"/>
        </w:rPr>
        <w:t xml:space="preserve"> of a major osteoporotic fracture is less than 10</w:t>
      </w:r>
      <w:r w:rsidR="002E733F">
        <w:rPr>
          <w:rFonts w:asciiTheme="minorHAnsi" w:hAnsiTheme="minorHAnsi"/>
          <w:color w:val="000000"/>
          <w:lang w:eastAsia="en-US"/>
        </w:rPr>
        <w:t xml:space="preserve">%.  In the UK, for example, the </w:t>
      </w:r>
      <w:r w:rsidR="007D0EE2">
        <w:rPr>
          <w:rFonts w:asciiTheme="minorHAnsi" w:hAnsiTheme="minorHAnsi"/>
          <w:color w:val="000000"/>
          <w:lang w:eastAsia="en-US"/>
        </w:rPr>
        <w:t xml:space="preserve">intervention threshold for women age 50-54 </w:t>
      </w:r>
      <w:r w:rsidR="00B9440F">
        <w:rPr>
          <w:rFonts w:asciiTheme="minorHAnsi" w:hAnsiTheme="minorHAnsi"/>
          <w:color w:val="000000"/>
          <w:lang w:eastAsia="en-US"/>
        </w:rPr>
        <w:t xml:space="preserve">years </w:t>
      </w:r>
      <w:r w:rsidR="007D0EE2">
        <w:rPr>
          <w:rFonts w:asciiTheme="minorHAnsi" w:hAnsiTheme="minorHAnsi"/>
          <w:color w:val="000000"/>
          <w:lang w:eastAsia="en-US"/>
        </w:rPr>
        <w:t xml:space="preserve">is </w:t>
      </w:r>
      <w:r w:rsidR="007D0EE2" w:rsidRPr="007D0EE2">
        <w:rPr>
          <w:rFonts w:asciiTheme="minorHAnsi" w:hAnsiTheme="minorHAnsi"/>
          <w:color w:val="000000"/>
          <w:lang w:eastAsia="en-US"/>
        </w:rPr>
        <w:t>8.18</w:t>
      </w:r>
      <w:r w:rsidR="00AF155C">
        <w:rPr>
          <w:rFonts w:asciiTheme="minorHAnsi" w:hAnsiTheme="minorHAnsi"/>
          <w:color w:val="000000"/>
          <w:lang w:eastAsia="en-US"/>
        </w:rPr>
        <w:t xml:space="preserve">%.  </w:t>
      </w:r>
      <w:r w:rsidR="008D5267">
        <w:rPr>
          <w:rFonts w:asciiTheme="minorHAnsi" w:hAnsiTheme="minorHAnsi"/>
          <w:color w:val="000000"/>
          <w:lang w:eastAsia="en-US"/>
        </w:rPr>
        <w:t>At the same age</w:t>
      </w:r>
      <w:r w:rsidR="00825F73">
        <w:rPr>
          <w:rFonts w:asciiTheme="minorHAnsi" w:hAnsiTheme="minorHAnsi"/>
          <w:color w:val="000000"/>
          <w:lang w:eastAsia="en-US"/>
        </w:rPr>
        <w:t>, h</w:t>
      </w:r>
      <w:r w:rsidR="00AF155C">
        <w:rPr>
          <w:rFonts w:asciiTheme="minorHAnsi" w:hAnsiTheme="minorHAnsi"/>
          <w:color w:val="000000"/>
          <w:lang w:eastAsia="en-US"/>
        </w:rPr>
        <w:t>owever</w:t>
      </w:r>
      <w:r w:rsidR="00A769F6">
        <w:rPr>
          <w:rFonts w:asciiTheme="minorHAnsi" w:hAnsiTheme="minorHAnsi"/>
          <w:color w:val="000000"/>
          <w:lang w:eastAsia="en-US"/>
        </w:rPr>
        <w:t>,</w:t>
      </w:r>
      <w:r w:rsidR="00AF155C">
        <w:rPr>
          <w:rFonts w:asciiTheme="minorHAnsi" w:hAnsiTheme="minorHAnsi"/>
          <w:color w:val="000000"/>
          <w:lang w:eastAsia="en-US"/>
        </w:rPr>
        <w:t xml:space="preserve"> t</w:t>
      </w:r>
      <w:r w:rsidR="00ED4CA3">
        <w:rPr>
          <w:rFonts w:asciiTheme="minorHAnsi" w:hAnsiTheme="minorHAnsi"/>
          <w:color w:val="000000"/>
          <w:lang w:eastAsia="en-US"/>
        </w:rPr>
        <w:t>he remaining lifetime probability of a ma</w:t>
      </w:r>
      <w:r w:rsidR="00E650FD">
        <w:rPr>
          <w:rFonts w:asciiTheme="minorHAnsi" w:hAnsiTheme="minorHAnsi"/>
          <w:color w:val="000000"/>
          <w:lang w:eastAsia="en-US"/>
        </w:rPr>
        <w:t>j</w:t>
      </w:r>
      <w:r w:rsidR="00ED4CA3">
        <w:rPr>
          <w:rFonts w:asciiTheme="minorHAnsi" w:hAnsiTheme="minorHAnsi"/>
          <w:color w:val="000000"/>
          <w:lang w:eastAsia="en-US"/>
        </w:rPr>
        <w:t xml:space="preserve">or </w:t>
      </w:r>
      <w:r w:rsidR="00E650FD">
        <w:rPr>
          <w:rFonts w:asciiTheme="minorHAnsi" w:hAnsiTheme="minorHAnsi"/>
          <w:color w:val="000000"/>
          <w:lang w:eastAsia="en-US"/>
        </w:rPr>
        <w:t>fracture is high</w:t>
      </w:r>
      <w:r w:rsidR="00343208">
        <w:rPr>
          <w:rFonts w:asciiTheme="minorHAnsi" w:hAnsiTheme="minorHAnsi"/>
          <w:color w:val="000000"/>
          <w:lang w:eastAsia="en-US"/>
        </w:rPr>
        <w:t xml:space="preserve"> </w:t>
      </w:r>
      <w:r w:rsidR="00E650FD">
        <w:rPr>
          <w:rFonts w:asciiTheme="minorHAnsi" w:hAnsiTheme="minorHAnsi"/>
          <w:color w:val="000000"/>
          <w:lang w:eastAsia="en-US"/>
        </w:rPr>
        <w:t>(</w:t>
      </w:r>
      <w:r w:rsidR="007D0EE2" w:rsidRPr="007D0EE2">
        <w:rPr>
          <w:rFonts w:asciiTheme="minorHAnsi" w:hAnsiTheme="minorHAnsi"/>
          <w:color w:val="000000"/>
          <w:lang w:eastAsia="en-US"/>
        </w:rPr>
        <w:t>57</w:t>
      </w:r>
      <w:r w:rsidR="00343208">
        <w:rPr>
          <w:rFonts w:asciiTheme="minorHAnsi" w:hAnsiTheme="minorHAnsi"/>
          <w:color w:val="000000"/>
          <w:lang w:eastAsia="en-US"/>
        </w:rPr>
        <w:t>%).  Moreover, there are cost-</w:t>
      </w:r>
      <w:r w:rsidR="0007596B">
        <w:rPr>
          <w:rFonts w:asciiTheme="minorHAnsi" w:hAnsiTheme="minorHAnsi"/>
          <w:color w:val="000000"/>
          <w:lang w:eastAsia="en-US"/>
        </w:rPr>
        <w:t>effective scenarios for treatment available</w:t>
      </w:r>
      <w:r w:rsidR="00D00384">
        <w:rPr>
          <w:rFonts w:asciiTheme="minorHAnsi" w:hAnsiTheme="minorHAnsi"/>
          <w:color w:val="000000"/>
          <w:lang w:eastAsia="en-US"/>
        </w:rPr>
        <w:t xml:space="preserve"> at these levels of risk</w:t>
      </w:r>
      <w:r w:rsidR="00EE2355">
        <w:rPr>
          <w:rFonts w:asciiTheme="minorHAnsi" w:hAnsiTheme="minorHAnsi"/>
          <w:color w:val="000000"/>
          <w:lang w:eastAsia="en-US"/>
        </w:rPr>
        <w:t xml:space="preserve"> [</w:t>
      </w:r>
      <w:r w:rsidR="00246311">
        <w:rPr>
          <w:rFonts w:asciiTheme="minorHAnsi" w:hAnsiTheme="minorHAnsi"/>
          <w:color w:val="000000"/>
          <w:lang w:eastAsia="en-US"/>
        </w:rPr>
        <w:t>1</w:t>
      </w:r>
      <w:r w:rsidR="00EE2355">
        <w:rPr>
          <w:rFonts w:asciiTheme="minorHAnsi" w:hAnsiTheme="minorHAnsi"/>
          <w:color w:val="000000"/>
          <w:lang w:eastAsia="en-US"/>
        </w:rPr>
        <w:t>]</w:t>
      </w:r>
      <w:r w:rsidR="00D00384">
        <w:rPr>
          <w:rFonts w:asciiTheme="minorHAnsi" w:hAnsiTheme="minorHAnsi"/>
          <w:color w:val="000000"/>
          <w:lang w:eastAsia="en-US"/>
        </w:rPr>
        <w:t>.</w:t>
      </w:r>
    </w:p>
    <w:p w14:paraId="7878EDF0" w14:textId="5958C8A3" w:rsidR="00FD44CF" w:rsidRDefault="00DE39B0" w:rsidP="001D328A">
      <w:pPr>
        <w:autoSpaceDE w:val="0"/>
        <w:autoSpaceDN w:val="0"/>
        <w:adjustRightInd w:val="0"/>
        <w:spacing w:after="240" w:line="276" w:lineRule="auto"/>
        <w:ind w:left="567"/>
        <w:rPr>
          <w:rFonts w:asciiTheme="minorHAnsi" w:hAnsiTheme="minorHAnsi"/>
          <w:color w:val="000000"/>
          <w:lang w:eastAsia="en-US"/>
        </w:rPr>
      </w:pPr>
      <w:r w:rsidRPr="00A236D2">
        <w:rPr>
          <w:rFonts w:asciiTheme="minorHAnsi" w:hAnsiTheme="minorHAnsi"/>
          <w:color w:val="000000"/>
          <w:lang w:eastAsia="en-US"/>
        </w:rPr>
        <w:t xml:space="preserve">In addition to the 10-year probability of a major osteoporotic fracture, the </w:t>
      </w:r>
      <w:r w:rsidR="00627CEE">
        <w:rPr>
          <w:rFonts w:asciiTheme="minorHAnsi" w:hAnsiTheme="minorHAnsi"/>
          <w:color w:val="000000"/>
          <w:lang w:eastAsia="en-US"/>
        </w:rPr>
        <w:t>European guidance</w:t>
      </w:r>
      <w:r w:rsidRPr="00A236D2">
        <w:rPr>
          <w:rFonts w:asciiTheme="minorHAnsi" w:hAnsiTheme="minorHAnsi"/>
          <w:color w:val="000000"/>
          <w:lang w:eastAsia="en-US"/>
        </w:rPr>
        <w:t xml:space="preserve"> also provides intervention thresholds that are based on the 10-year probability of hip fracture.  Either or both thresholds can be used; indeed, the </w:t>
      </w:r>
      <w:r w:rsidR="001D328A" w:rsidRPr="001D328A">
        <w:rPr>
          <w:rFonts w:asciiTheme="minorHAnsi" w:hAnsiTheme="minorHAnsi"/>
          <w:color w:val="000000"/>
          <w:lang w:eastAsia="en-US"/>
        </w:rPr>
        <w:t>screening for prevention of</w:t>
      </w:r>
      <w:r w:rsidR="00D63685">
        <w:rPr>
          <w:rFonts w:asciiTheme="minorHAnsi" w:hAnsiTheme="minorHAnsi"/>
          <w:color w:val="000000"/>
          <w:lang w:eastAsia="en-US"/>
        </w:rPr>
        <w:t xml:space="preserve"> </w:t>
      </w:r>
      <w:r w:rsidR="001D328A" w:rsidRPr="001D328A">
        <w:rPr>
          <w:rFonts w:asciiTheme="minorHAnsi" w:hAnsiTheme="minorHAnsi"/>
          <w:color w:val="000000"/>
          <w:lang w:eastAsia="en-US"/>
        </w:rPr>
        <w:t xml:space="preserve">fractures in </w:t>
      </w:r>
      <w:bookmarkStart w:id="7" w:name="_Hlk366380"/>
      <w:r w:rsidR="00D63685" w:rsidRPr="00D63685">
        <w:rPr>
          <w:rFonts w:asciiTheme="minorHAnsi" w:hAnsiTheme="minorHAnsi"/>
          <w:color w:val="000000"/>
          <w:lang w:eastAsia="en-US"/>
        </w:rPr>
        <w:t>older women (SCOOP) trial showed that a screening strategy decreased the incidence of hip fracture</w:t>
      </w:r>
      <w:r w:rsidR="00E44063">
        <w:rPr>
          <w:rFonts w:asciiTheme="minorHAnsi" w:hAnsiTheme="minorHAnsi"/>
          <w:color w:val="000000"/>
          <w:lang w:eastAsia="en-US"/>
        </w:rPr>
        <w:t xml:space="preserve"> </w:t>
      </w:r>
      <w:r w:rsidR="00385430" w:rsidRPr="00385430">
        <w:rPr>
          <w:rFonts w:asciiTheme="minorHAnsi" w:hAnsiTheme="minorHAnsi"/>
          <w:color w:val="000000"/>
          <w:lang w:eastAsia="en-US"/>
        </w:rPr>
        <w:t>(but not other fractures)</w:t>
      </w:r>
      <w:r w:rsidR="00D63685" w:rsidRPr="00D63685">
        <w:rPr>
          <w:rFonts w:asciiTheme="minorHAnsi" w:hAnsiTheme="minorHAnsi"/>
          <w:color w:val="000000"/>
          <w:lang w:eastAsia="en-US"/>
        </w:rPr>
        <w:t xml:space="preserve">, based on treatment targeted by hip fracture </w:t>
      </w:r>
      <w:r w:rsidR="00D63685" w:rsidRPr="00D20AC7">
        <w:rPr>
          <w:rFonts w:asciiTheme="minorHAnsi" w:hAnsiTheme="minorHAnsi"/>
          <w:color w:val="000000"/>
          <w:lang w:eastAsia="en-US"/>
        </w:rPr>
        <w:t>probability [</w:t>
      </w:r>
      <w:r w:rsidR="007E27B8">
        <w:rPr>
          <w:rFonts w:asciiTheme="minorHAnsi" w:hAnsiTheme="minorHAnsi"/>
          <w:color w:val="000000"/>
          <w:lang w:eastAsia="en-US"/>
        </w:rPr>
        <w:t>24</w:t>
      </w:r>
      <w:r w:rsidR="00D63685" w:rsidRPr="00D20AC7">
        <w:rPr>
          <w:rFonts w:asciiTheme="minorHAnsi" w:hAnsiTheme="minorHAnsi"/>
          <w:color w:val="000000"/>
          <w:lang w:eastAsia="en-US"/>
        </w:rPr>
        <w:t>].</w:t>
      </w:r>
      <w:r w:rsidR="001D328A" w:rsidRPr="001D328A">
        <w:rPr>
          <w:rFonts w:asciiTheme="minorHAnsi" w:hAnsiTheme="minorHAnsi"/>
          <w:color w:val="000000"/>
          <w:lang w:eastAsia="en-US"/>
        </w:rPr>
        <w:t xml:space="preserve"> </w:t>
      </w:r>
    </w:p>
    <w:p w14:paraId="262C0C49" w14:textId="56D90616" w:rsidR="00BE6243" w:rsidRPr="00BE6243" w:rsidRDefault="00BE6243" w:rsidP="00BE6243">
      <w:pPr>
        <w:autoSpaceDE w:val="0"/>
        <w:autoSpaceDN w:val="0"/>
        <w:adjustRightInd w:val="0"/>
        <w:spacing w:after="240" w:line="276" w:lineRule="auto"/>
        <w:ind w:left="567"/>
        <w:rPr>
          <w:rFonts w:asciiTheme="minorHAnsi" w:hAnsiTheme="minorHAnsi"/>
          <w:color w:val="000000"/>
          <w:lang w:eastAsia="en-US"/>
        </w:rPr>
      </w:pPr>
      <w:r w:rsidRPr="00BE6243">
        <w:rPr>
          <w:rFonts w:asciiTheme="minorHAnsi" w:hAnsiTheme="minorHAnsi"/>
          <w:color w:val="000000"/>
          <w:lang w:eastAsia="en-US"/>
        </w:rPr>
        <w:t xml:space="preserve">To </w:t>
      </w:r>
      <w:r>
        <w:rPr>
          <w:rFonts w:asciiTheme="minorHAnsi" w:hAnsiTheme="minorHAnsi"/>
          <w:color w:val="000000"/>
          <w:lang w:eastAsia="en-US"/>
        </w:rPr>
        <w:t>enhance fracture risk assessment</w:t>
      </w:r>
      <w:r w:rsidRPr="00BE6243">
        <w:rPr>
          <w:rFonts w:asciiTheme="minorHAnsi" w:hAnsiTheme="minorHAnsi"/>
          <w:color w:val="000000"/>
          <w:lang w:eastAsia="en-US"/>
        </w:rPr>
        <w:t xml:space="preserve">, relatively simple arithmetic adjustments have been </w:t>
      </w:r>
      <w:r w:rsidR="00C83564">
        <w:rPr>
          <w:rFonts w:asciiTheme="minorHAnsi" w:hAnsiTheme="minorHAnsi"/>
          <w:color w:val="000000"/>
          <w:lang w:eastAsia="en-US"/>
        </w:rPr>
        <w:t>developed</w:t>
      </w:r>
      <w:r w:rsidRPr="00BE6243">
        <w:rPr>
          <w:rFonts w:asciiTheme="minorHAnsi" w:hAnsiTheme="minorHAnsi"/>
          <w:color w:val="000000"/>
          <w:lang w:eastAsia="en-US"/>
        </w:rPr>
        <w:t>, which can be applied to conventional FRAX estimates of probabilities of hip fracture and a major fracture to adjust the probability assessment with knowledge of:</w:t>
      </w:r>
    </w:p>
    <w:p w14:paraId="02E02563" w14:textId="7859B71F"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high, moderate, and low exposure to glucocorticoids [</w:t>
      </w:r>
      <w:r w:rsidR="001B72E8">
        <w:rPr>
          <w:rFonts w:asciiTheme="minorHAnsi" w:hAnsiTheme="minorHAnsi"/>
          <w:color w:val="000000"/>
          <w:lang w:eastAsia="en-US"/>
        </w:rPr>
        <w:t>25</w:t>
      </w:r>
      <w:r w:rsidRPr="00BE6243">
        <w:rPr>
          <w:rFonts w:asciiTheme="minorHAnsi" w:hAnsiTheme="minorHAnsi"/>
          <w:color w:val="000000"/>
          <w:lang w:eastAsia="en-US"/>
        </w:rPr>
        <w:t xml:space="preserve">] </w:t>
      </w:r>
    </w:p>
    <w:p w14:paraId="6C070AC6" w14:textId="38DE4A27"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concurrent data on lumbar spine BMD [</w:t>
      </w:r>
      <w:r w:rsidR="00066823">
        <w:rPr>
          <w:rFonts w:asciiTheme="minorHAnsi" w:hAnsiTheme="minorHAnsi"/>
          <w:color w:val="000000"/>
          <w:lang w:eastAsia="en-US"/>
        </w:rPr>
        <w:t>26</w:t>
      </w:r>
      <w:r w:rsidR="004C5B89">
        <w:rPr>
          <w:rFonts w:asciiTheme="minorHAnsi" w:hAnsiTheme="minorHAnsi"/>
          <w:color w:val="000000"/>
          <w:lang w:eastAsia="en-US"/>
        </w:rPr>
        <w:t>, 27</w:t>
      </w:r>
      <w:r w:rsidRPr="00BE6243">
        <w:rPr>
          <w:rFonts w:asciiTheme="minorHAnsi" w:hAnsiTheme="minorHAnsi"/>
          <w:color w:val="000000"/>
          <w:lang w:eastAsia="en-US"/>
        </w:rPr>
        <w:t xml:space="preserve">] </w:t>
      </w:r>
    </w:p>
    <w:p w14:paraId="65353688" w14:textId="3C8371AF"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trabecular bone score</w:t>
      </w:r>
      <w:r>
        <w:rPr>
          <w:rFonts w:asciiTheme="minorHAnsi" w:hAnsiTheme="minorHAnsi"/>
          <w:color w:val="000000"/>
          <w:lang w:eastAsia="en-US"/>
        </w:rPr>
        <w:t xml:space="preserve"> of the lumbar spine</w:t>
      </w:r>
      <w:r w:rsidRPr="00BE6243">
        <w:rPr>
          <w:rFonts w:asciiTheme="minorHAnsi" w:hAnsiTheme="minorHAnsi"/>
          <w:color w:val="000000"/>
          <w:lang w:eastAsia="en-US"/>
        </w:rPr>
        <w:t xml:space="preserve"> [</w:t>
      </w:r>
      <w:r w:rsidR="004C5B89">
        <w:rPr>
          <w:rFonts w:asciiTheme="minorHAnsi" w:hAnsiTheme="minorHAnsi"/>
          <w:color w:val="000000"/>
          <w:lang w:eastAsia="en-US"/>
        </w:rPr>
        <w:t xml:space="preserve"> </w:t>
      </w:r>
      <w:r w:rsidR="006D1B7A">
        <w:rPr>
          <w:rFonts w:asciiTheme="minorHAnsi" w:hAnsiTheme="minorHAnsi"/>
          <w:color w:val="000000"/>
          <w:lang w:eastAsia="en-US"/>
        </w:rPr>
        <w:t xml:space="preserve">28 </w:t>
      </w:r>
      <w:r w:rsidR="00D1708C">
        <w:rPr>
          <w:rFonts w:asciiTheme="minorHAnsi" w:hAnsiTheme="minorHAnsi"/>
          <w:color w:val="000000"/>
          <w:lang w:eastAsia="en-US"/>
        </w:rPr>
        <w:t xml:space="preserve">29 </w:t>
      </w:r>
      <w:r w:rsidR="00BD2508">
        <w:rPr>
          <w:rFonts w:asciiTheme="minorHAnsi" w:hAnsiTheme="minorHAnsi"/>
          <w:color w:val="000000"/>
          <w:lang w:eastAsia="en-US"/>
        </w:rPr>
        <w:t>30</w:t>
      </w:r>
      <w:r w:rsidRPr="00BE6243">
        <w:rPr>
          <w:rFonts w:asciiTheme="minorHAnsi" w:hAnsiTheme="minorHAnsi"/>
          <w:color w:val="000000"/>
          <w:lang w:eastAsia="en-US"/>
        </w:rPr>
        <w:t xml:space="preserve">] </w:t>
      </w:r>
    </w:p>
    <w:p w14:paraId="4579DFD7" w14:textId="19AD1613"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hip axis length [</w:t>
      </w:r>
      <w:r w:rsidR="00EB6893">
        <w:rPr>
          <w:rFonts w:asciiTheme="minorHAnsi" w:hAnsiTheme="minorHAnsi"/>
          <w:color w:val="000000"/>
          <w:lang w:eastAsia="en-US"/>
        </w:rPr>
        <w:t>31</w:t>
      </w:r>
      <w:r w:rsidRPr="00BE6243">
        <w:rPr>
          <w:rFonts w:asciiTheme="minorHAnsi" w:hAnsiTheme="minorHAnsi"/>
          <w:color w:val="000000"/>
          <w:lang w:eastAsia="en-US"/>
        </w:rPr>
        <w:t xml:space="preserve">] </w:t>
      </w:r>
    </w:p>
    <w:p w14:paraId="6F8D0C2D" w14:textId="2034A607"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falls history [</w:t>
      </w:r>
      <w:r w:rsidR="009E2C81">
        <w:rPr>
          <w:rFonts w:asciiTheme="minorHAnsi" w:hAnsiTheme="minorHAnsi"/>
          <w:color w:val="000000"/>
          <w:lang w:eastAsia="en-US"/>
        </w:rPr>
        <w:t>32</w:t>
      </w:r>
      <w:r w:rsidRPr="00BE6243">
        <w:rPr>
          <w:rFonts w:asciiTheme="minorHAnsi" w:hAnsiTheme="minorHAnsi"/>
          <w:color w:val="000000"/>
          <w:lang w:eastAsia="en-US"/>
        </w:rPr>
        <w:t xml:space="preserve">] </w:t>
      </w:r>
    </w:p>
    <w:p w14:paraId="111908B8" w14:textId="1ED22D31" w:rsidR="00BE6243" w:rsidRP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immigration status [</w:t>
      </w:r>
      <w:r w:rsidR="00096B3B">
        <w:rPr>
          <w:rFonts w:asciiTheme="minorHAnsi" w:hAnsiTheme="minorHAnsi"/>
          <w:color w:val="000000"/>
          <w:lang w:eastAsia="en-US"/>
        </w:rPr>
        <w:t>33</w:t>
      </w:r>
      <w:r w:rsidRPr="00BE6243">
        <w:rPr>
          <w:rFonts w:asciiTheme="minorHAnsi" w:hAnsiTheme="minorHAnsi"/>
          <w:color w:val="000000"/>
          <w:lang w:eastAsia="en-US"/>
        </w:rPr>
        <w:t xml:space="preserve">] </w:t>
      </w:r>
    </w:p>
    <w:p w14:paraId="7B969C21" w14:textId="001C71B1" w:rsidR="00BE6243" w:rsidRDefault="00BE6243" w:rsidP="00131A17">
      <w:pPr>
        <w:autoSpaceDE w:val="0"/>
        <w:autoSpaceDN w:val="0"/>
        <w:adjustRightInd w:val="0"/>
        <w:spacing w:after="0" w:line="276" w:lineRule="auto"/>
        <w:ind w:left="1134"/>
        <w:rPr>
          <w:rFonts w:asciiTheme="minorHAnsi" w:hAnsiTheme="minorHAnsi"/>
          <w:color w:val="000000"/>
          <w:lang w:eastAsia="en-US"/>
        </w:rPr>
      </w:pPr>
      <w:r w:rsidRPr="00BE6243">
        <w:rPr>
          <w:rFonts w:asciiTheme="minorHAnsi" w:hAnsiTheme="minorHAnsi"/>
          <w:color w:val="000000"/>
          <w:lang w:eastAsia="en-US"/>
        </w:rPr>
        <w:t>type 2 diabetes [</w:t>
      </w:r>
      <w:r w:rsidR="00A34B3E">
        <w:rPr>
          <w:rFonts w:asciiTheme="minorHAnsi" w:hAnsiTheme="minorHAnsi"/>
          <w:color w:val="000000"/>
          <w:lang w:eastAsia="en-US"/>
        </w:rPr>
        <w:t xml:space="preserve">34, </w:t>
      </w:r>
      <w:r w:rsidR="00B055D1">
        <w:rPr>
          <w:rFonts w:asciiTheme="minorHAnsi" w:hAnsiTheme="minorHAnsi"/>
          <w:color w:val="000000"/>
          <w:lang w:eastAsia="en-US"/>
        </w:rPr>
        <w:t>35</w:t>
      </w:r>
      <w:r w:rsidRPr="00BE6243">
        <w:rPr>
          <w:rFonts w:asciiTheme="minorHAnsi" w:hAnsiTheme="minorHAnsi"/>
          <w:color w:val="000000"/>
          <w:lang w:eastAsia="en-US"/>
        </w:rPr>
        <w:t>]</w:t>
      </w:r>
    </w:p>
    <w:p w14:paraId="2EFFA076" w14:textId="5E425250" w:rsidR="003D5E08" w:rsidRDefault="003D5E08" w:rsidP="00131A17">
      <w:pPr>
        <w:autoSpaceDE w:val="0"/>
        <w:autoSpaceDN w:val="0"/>
        <w:adjustRightInd w:val="0"/>
        <w:spacing w:after="0" w:line="276" w:lineRule="auto"/>
        <w:ind w:left="1134"/>
        <w:rPr>
          <w:rFonts w:asciiTheme="minorHAnsi" w:hAnsiTheme="minorHAnsi"/>
          <w:color w:val="000000"/>
          <w:lang w:eastAsia="en-US"/>
        </w:rPr>
      </w:pPr>
      <w:r>
        <w:rPr>
          <w:rFonts w:asciiTheme="minorHAnsi" w:hAnsiTheme="minorHAnsi"/>
          <w:color w:val="000000"/>
          <w:lang w:eastAsia="en-US"/>
        </w:rPr>
        <w:t>chroni</w:t>
      </w:r>
      <w:r w:rsidR="0040240D">
        <w:rPr>
          <w:rFonts w:asciiTheme="minorHAnsi" w:hAnsiTheme="minorHAnsi"/>
          <w:color w:val="000000"/>
          <w:lang w:eastAsia="en-US"/>
        </w:rPr>
        <w:t>c</w:t>
      </w:r>
      <w:r>
        <w:rPr>
          <w:rFonts w:asciiTheme="minorHAnsi" w:hAnsiTheme="minorHAnsi"/>
          <w:color w:val="000000"/>
          <w:lang w:eastAsia="en-US"/>
        </w:rPr>
        <w:t xml:space="preserve"> kidney disease</w:t>
      </w:r>
      <w:r w:rsidR="004B3699">
        <w:rPr>
          <w:rFonts w:asciiTheme="minorHAnsi" w:hAnsiTheme="minorHAnsi"/>
          <w:color w:val="000000"/>
          <w:lang w:eastAsia="en-US"/>
        </w:rPr>
        <w:t xml:space="preserve"> [</w:t>
      </w:r>
      <w:r w:rsidR="003B5224">
        <w:rPr>
          <w:rFonts w:asciiTheme="minorHAnsi" w:hAnsiTheme="minorHAnsi"/>
          <w:color w:val="000000"/>
          <w:lang w:eastAsia="en-US"/>
        </w:rPr>
        <w:t>36</w:t>
      </w:r>
      <w:r w:rsidR="006065AD">
        <w:rPr>
          <w:rFonts w:asciiTheme="minorHAnsi" w:hAnsiTheme="minorHAnsi"/>
          <w:color w:val="000000"/>
          <w:lang w:eastAsia="en-US"/>
        </w:rPr>
        <w:t>]</w:t>
      </w:r>
    </w:p>
    <w:p w14:paraId="4CB970A4" w14:textId="315CBE0D" w:rsidR="00BE6243" w:rsidRDefault="00131A17" w:rsidP="00131A17">
      <w:pPr>
        <w:autoSpaceDE w:val="0"/>
        <w:autoSpaceDN w:val="0"/>
        <w:adjustRightInd w:val="0"/>
        <w:spacing w:after="0" w:line="276" w:lineRule="auto"/>
        <w:ind w:left="1134"/>
        <w:rPr>
          <w:rFonts w:asciiTheme="minorHAnsi" w:hAnsiTheme="minorHAnsi"/>
          <w:color w:val="000000"/>
          <w:lang w:eastAsia="en-US"/>
        </w:rPr>
      </w:pPr>
      <w:r>
        <w:rPr>
          <w:rFonts w:asciiTheme="minorHAnsi" w:hAnsiTheme="minorHAnsi"/>
          <w:color w:val="000000"/>
          <w:lang w:eastAsia="en-US"/>
        </w:rPr>
        <w:t>recency of fracture [</w:t>
      </w:r>
      <w:r w:rsidR="00E623DF">
        <w:rPr>
          <w:rFonts w:asciiTheme="minorHAnsi" w:hAnsiTheme="minorHAnsi"/>
          <w:color w:val="000000"/>
          <w:lang w:eastAsia="en-US"/>
        </w:rPr>
        <w:t>9</w:t>
      </w:r>
      <w:r w:rsidR="006E249F">
        <w:rPr>
          <w:rFonts w:asciiTheme="minorHAnsi" w:hAnsiTheme="minorHAnsi"/>
          <w:color w:val="000000"/>
          <w:lang w:eastAsia="en-US"/>
        </w:rPr>
        <w:t xml:space="preserve">, </w:t>
      </w:r>
      <w:r w:rsidR="00D70B86">
        <w:rPr>
          <w:rFonts w:asciiTheme="minorHAnsi" w:hAnsiTheme="minorHAnsi"/>
          <w:color w:val="000000"/>
          <w:lang w:eastAsia="en-US"/>
        </w:rPr>
        <w:t>37</w:t>
      </w:r>
      <w:r>
        <w:rPr>
          <w:rFonts w:asciiTheme="minorHAnsi" w:hAnsiTheme="minorHAnsi"/>
          <w:color w:val="000000"/>
          <w:lang w:eastAsia="en-US"/>
        </w:rPr>
        <w:t>]</w:t>
      </w:r>
    </w:p>
    <w:p w14:paraId="1E8B5DEB" w14:textId="0B9345A0" w:rsidR="00BD6773" w:rsidRDefault="00BD6773" w:rsidP="001D328A">
      <w:pPr>
        <w:autoSpaceDE w:val="0"/>
        <w:autoSpaceDN w:val="0"/>
        <w:adjustRightInd w:val="0"/>
        <w:spacing w:after="240" w:line="276" w:lineRule="auto"/>
        <w:ind w:left="567"/>
        <w:rPr>
          <w:rFonts w:asciiTheme="minorHAnsi" w:hAnsiTheme="minorHAnsi"/>
          <w:color w:val="000000"/>
          <w:lang w:eastAsia="en-US"/>
        </w:rPr>
      </w:pPr>
    </w:p>
    <w:p w14:paraId="1FC968D2" w14:textId="77777777" w:rsidR="0092060A" w:rsidRPr="0092060A" w:rsidRDefault="0092060A" w:rsidP="0092060A">
      <w:pPr>
        <w:autoSpaceDE w:val="0"/>
        <w:autoSpaceDN w:val="0"/>
        <w:adjustRightInd w:val="0"/>
        <w:spacing w:after="240" w:line="276" w:lineRule="auto"/>
        <w:ind w:left="567"/>
        <w:rPr>
          <w:rFonts w:asciiTheme="minorHAnsi" w:hAnsiTheme="minorHAnsi"/>
          <w:b/>
          <w:color w:val="000000"/>
          <w:lang w:eastAsia="en-US"/>
        </w:rPr>
      </w:pPr>
      <w:r w:rsidRPr="0092060A">
        <w:rPr>
          <w:rFonts w:asciiTheme="minorHAnsi" w:hAnsiTheme="minorHAnsi"/>
          <w:b/>
          <w:color w:val="000000"/>
          <w:lang w:eastAsia="en-US"/>
        </w:rPr>
        <w:t>Categorisation of risk</w:t>
      </w:r>
    </w:p>
    <w:p w14:paraId="2984D96F" w14:textId="5014875E" w:rsidR="00D810B4" w:rsidRDefault="0092060A" w:rsidP="0092060A">
      <w:pPr>
        <w:autoSpaceDE w:val="0"/>
        <w:autoSpaceDN w:val="0"/>
        <w:adjustRightInd w:val="0"/>
        <w:spacing w:after="240" w:line="276" w:lineRule="auto"/>
        <w:ind w:left="567"/>
        <w:rPr>
          <w:rFonts w:asciiTheme="minorHAnsi" w:hAnsiTheme="minorHAnsi"/>
          <w:color w:val="000000"/>
          <w:lang w:eastAsia="en-US"/>
        </w:rPr>
      </w:pPr>
      <w:r w:rsidRPr="0092060A">
        <w:rPr>
          <w:rFonts w:asciiTheme="minorHAnsi" w:hAnsiTheme="minorHAnsi"/>
          <w:color w:val="000000"/>
          <w:lang w:eastAsia="en-US"/>
        </w:rPr>
        <w:t xml:space="preserve">The assessment strategy above permits the classification of risk.  In addition to the categories of low and high risk espoused in the current IOF-ESCEO guideline, very high </w:t>
      </w:r>
      <w:r w:rsidR="001A0E1C" w:rsidRPr="0092060A">
        <w:rPr>
          <w:rFonts w:asciiTheme="minorHAnsi" w:hAnsiTheme="minorHAnsi"/>
          <w:color w:val="000000"/>
          <w:lang w:eastAsia="en-US"/>
        </w:rPr>
        <w:t>risk can</w:t>
      </w:r>
      <w:r w:rsidRPr="0092060A">
        <w:rPr>
          <w:rFonts w:asciiTheme="minorHAnsi" w:hAnsiTheme="minorHAnsi"/>
          <w:color w:val="000000"/>
          <w:lang w:eastAsia="en-US"/>
        </w:rPr>
        <w:t xml:space="preserve"> be identified as outlined in Figure 2.  </w:t>
      </w:r>
      <w:r w:rsidR="00E866B4" w:rsidRPr="00E866B4">
        <w:rPr>
          <w:rFonts w:asciiTheme="minorHAnsi" w:hAnsiTheme="minorHAnsi"/>
          <w:color w:val="000000"/>
          <w:lang w:eastAsia="en-US"/>
        </w:rPr>
        <w:t xml:space="preserve">Very high risk is defined as a fracture probability that lies above the upper assessment threshold after a FRAX assessment, with </w:t>
      </w:r>
      <w:r w:rsidR="003645E2" w:rsidRPr="00E866B4">
        <w:rPr>
          <w:rFonts w:asciiTheme="minorHAnsi" w:hAnsiTheme="minorHAnsi"/>
          <w:color w:val="000000"/>
          <w:lang w:eastAsia="en-US"/>
        </w:rPr>
        <w:t>or without</w:t>
      </w:r>
      <w:r w:rsidR="00E866B4" w:rsidRPr="00E866B4">
        <w:rPr>
          <w:rFonts w:asciiTheme="minorHAnsi" w:hAnsiTheme="minorHAnsi"/>
          <w:color w:val="000000"/>
          <w:lang w:eastAsia="en-US"/>
        </w:rPr>
        <w:t xml:space="preserve"> the inclusion of BMD, i.e. where BMD testing is unavailable, the same probability threshold can be used.  </w:t>
      </w:r>
      <w:r w:rsidR="001E615E">
        <w:rPr>
          <w:rFonts w:asciiTheme="minorHAnsi" w:hAnsiTheme="minorHAnsi"/>
          <w:color w:val="000000"/>
          <w:lang w:eastAsia="en-US"/>
        </w:rPr>
        <w:t xml:space="preserve">The numerical data for these thresholds </w:t>
      </w:r>
      <w:r w:rsidR="009F1443">
        <w:rPr>
          <w:rFonts w:asciiTheme="minorHAnsi" w:hAnsiTheme="minorHAnsi"/>
          <w:color w:val="000000"/>
          <w:lang w:eastAsia="en-US"/>
        </w:rPr>
        <w:t xml:space="preserve">are </w:t>
      </w:r>
      <w:r w:rsidR="001E615E">
        <w:rPr>
          <w:rFonts w:asciiTheme="minorHAnsi" w:hAnsiTheme="minorHAnsi"/>
          <w:color w:val="000000"/>
          <w:lang w:eastAsia="en-US"/>
        </w:rPr>
        <w:t xml:space="preserve">given in </w:t>
      </w:r>
      <w:r w:rsidR="007A7900">
        <w:rPr>
          <w:rFonts w:asciiTheme="minorHAnsi" w:hAnsiTheme="minorHAnsi"/>
          <w:color w:val="000000"/>
          <w:lang w:eastAsia="en-US"/>
        </w:rPr>
        <w:t xml:space="preserve">the </w:t>
      </w:r>
      <w:r w:rsidR="00C839BF">
        <w:rPr>
          <w:rFonts w:asciiTheme="minorHAnsi" w:hAnsiTheme="minorHAnsi"/>
          <w:color w:val="000000"/>
          <w:lang w:eastAsia="en-US"/>
        </w:rPr>
        <w:t>Appendix (Table A1)</w:t>
      </w:r>
      <w:r w:rsidR="0013323A">
        <w:rPr>
          <w:rFonts w:asciiTheme="minorHAnsi" w:hAnsiTheme="minorHAnsi"/>
          <w:color w:val="000000"/>
          <w:lang w:eastAsia="en-US"/>
        </w:rPr>
        <w:t xml:space="preserve"> base</w:t>
      </w:r>
      <w:r w:rsidR="00BA037C">
        <w:rPr>
          <w:rFonts w:asciiTheme="minorHAnsi" w:hAnsiTheme="minorHAnsi"/>
          <w:color w:val="000000"/>
          <w:lang w:eastAsia="en-US"/>
        </w:rPr>
        <w:t>d</w:t>
      </w:r>
      <w:r w:rsidR="0013323A">
        <w:rPr>
          <w:rFonts w:asciiTheme="minorHAnsi" w:hAnsiTheme="minorHAnsi"/>
          <w:color w:val="000000"/>
          <w:lang w:eastAsia="en-US"/>
        </w:rPr>
        <w:t xml:space="preserve"> on the </w:t>
      </w:r>
      <w:r w:rsidR="0013323A">
        <w:rPr>
          <w:rFonts w:asciiTheme="minorHAnsi" w:hAnsiTheme="minorHAnsi"/>
          <w:color w:val="000000"/>
          <w:lang w:eastAsia="en-US"/>
        </w:rPr>
        <w:lastRenderedPageBreak/>
        <w:t>weighted avera</w:t>
      </w:r>
      <w:r w:rsidR="00BA037C">
        <w:rPr>
          <w:rFonts w:asciiTheme="minorHAnsi" w:hAnsiTheme="minorHAnsi"/>
          <w:color w:val="000000"/>
          <w:lang w:eastAsia="en-US"/>
        </w:rPr>
        <w:t>ge of 5 European countries (</w:t>
      </w:r>
      <w:r w:rsidR="001504F3">
        <w:rPr>
          <w:rFonts w:asciiTheme="minorHAnsi" w:hAnsiTheme="minorHAnsi"/>
          <w:color w:val="000000"/>
          <w:lang w:eastAsia="en-US"/>
        </w:rPr>
        <w:t>Ger</w:t>
      </w:r>
      <w:r w:rsidR="005B240D">
        <w:rPr>
          <w:rFonts w:asciiTheme="minorHAnsi" w:hAnsiTheme="minorHAnsi"/>
          <w:color w:val="000000"/>
          <w:lang w:eastAsia="en-US"/>
        </w:rPr>
        <w:t>many</w:t>
      </w:r>
      <w:r w:rsidR="001504F3">
        <w:rPr>
          <w:rFonts w:asciiTheme="minorHAnsi" w:hAnsiTheme="minorHAnsi"/>
          <w:color w:val="000000"/>
          <w:lang w:eastAsia="en-US"/>
        </w:rPr>
        <w:t>, France, Italy, Spain and the UK)</w:t>
      </w:r>
      <w:r w:rsidR="005B240D">
        <w:rPr>
          <w:rFonts w:asciiTheme="minorHAnsi" w:hAnsiTheme="minorHAnsi"/>
          <w:color w:val="000000"/>
          <w:lang w:eastAsia="en-US"/>
        </w:rPr>
        <w:t xml:space="preserve"> </w:t>
      </w:r>
      <w:r w:rsidR="00CE45BA">
        <w:rPr>
          <w:rFonts w:asciiTheme="minorHAnsi" w:hAnsiTheme="minorHAnsi"/>
          <w:color w:val="000000"/>
          <w:lang w:eastAsia="en-US"/>
        </w:rPr>
        <w:t>but will vary by country.</w:t>
      </w:r>
      <w:r w:rsidR="0013323A">
        <w:rPr>
          <w:rFonts w:asciiTheme="minorHAnsi" w:hAnsiTheme="minorHAnsi"/>
          <w:color w:val="000000"/>
          <w:lang w:eastAsia="en-US"/>
        </w:rPr>
        <w:t xml:space="preserve"> </w:t>
      </w:r>
    </w:p>
    <w:p w14:paraId="04844482" w14:textId="4C00181E" w:rsidR="00D260C9" w:rsidRPr="000F2E6C" w:rsidRDefault="00D260C9" w:rsidP="00B1205C">
      <w:pPr>
        <w:autoSpaceDE w:val="0"/>
        <w:autoSpaceDN w:val="0"/>
        <w:adjustRightInd w:val="0"/>
        <w:spacing w:after="240" w:line="276" w:lineRule="auto"/>
        <w:ind w:left="1134" w:right="522"/>
        <w:rPr>
          <w:rFonts w:asciiTheme="minorHAnsi" w:hAnsiTheme="minorHAnsi"/>
          <w:color w:val="000000"/>
          <w:sz w:val="20"/>
          <w:szCs w:val="20"/>
          <w:lang w:eastAsia="en-US"/>
        </w:rPr>
      </w:pPr>
      <w:r w:rsidRPr="000F2E6C">
        <w:rPr>
          <w:rFonts w:asciiTheme="minorHAnsi" w:hAnsiTheme="minorHAnsi"/>
          <w:b/>
          <w:noProof/>
          <w:color w:val="000000"/>
          <w:sz w:val="20"/>
          <w:szCs w:val="20"/>
          <w:lang w:eastAsia="en-GB"/>
        </w:rPr>
        <w:drawing>
          <wp:anchor distT="0" distB="0" distL="114300" distR="114300" simplePos="0" relativeHeight="251687936" behindDoc="0" locked="0" layoutInCell="1" allowOverlap="1" wp14:anchorId="7B46AA99" wp14:editId="3C5266E7">
            <wp:simplePos x="0" y="0"/>
            <wp:positionH relativeFrom="margin">
              <wp:posOffset>913765</wp:posOffset>
            </wp:positionH>
            <wp:positionV relativeFrom="paragraph">
              <wp:posOffset>3429000</wp:posOffset>
            </wp:positionV>
            <wp:extent cx="4166870" cy="342900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229" t="1111" r="5625" b="-1111"/>
                    <a:stretch/>
                  </pic:blipFill>
                  <pic:spPr bwMode="auto">
                    <a:xfrm>
                      <a:off x="0" y="0"/>
                      <a:ext cx="4166870" cy="342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F75E3" w:rsidRPr="000F2E6C">
        <w:rPr>
          <w:rFonts w:asciiTheme="minorHAnsi" w:hAnsiTheme="minorHAnsi"/>
          <w:b/>
          <w:noProof/>
          <w:color w:val="000000"/>
          <w:sz w:val="20"/>
          <w:szCs w:val="20"/>
          <w:lang w:eastAsia="en-GB"/>
        </w:rPr>
        <w:drawing>
          <wp:anchor distT="0" distB="0" distL="114300" distR="114300" simplePos="0" relativeHeight="251686912" behindDoc="0" locked="0" layoutInCell="1" allowOverlap="1" wp14:anchorId="1D750993" wp14:editId="38FD4420">
            <wp:simplePos x="0" y="0"/>
            <wp:positionH relativeFrom="margin">
              <wp:align>center</wp:align>
            </wp:positionH>
            <wp:positionV relativeFrom="paragraph">
              <wp:posOffset>0</wp:posOffset>
            </wp:positionV>
            <wp:extent cx="4357370" cy="342900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4687"/>
                    <a:stretch/>
                  </pic:blipFill>
                  <pic:spPr bwMode="auto">
                    <a:xfrm>
                      <a:off x="0" y="0"/>
                      <a:ext cx="4357370" cy="342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F2E6C" w:rsidRPr="000F2E6C">
        <w:rPr>
          <w:rFonts w:asciiTheme="minorHAnsi" w:hAnsiTheme="minorHAnsi"/>
          <w:b/>
          <w:color w:val="000000"/>
          <w:sz w:val="20"/>
          <w:szCs w:val="20"/>
          <w:lang w:eastAsia="en-US"/>
        </w:rPr>
        <w:t>Fig. 2</w:t>
      </w:r>
      <w:r w:rsidR="000F2E6C" w:rsidRPr="000F2E6C">
        <w:rPr>
          <w:rFonts w:asciiTheme="minorHAnsi" w:hAnsiTheme="minorHAnsi"/>
          <w:color w:val="000000"/>
          <w:sz w:val="20"/>
          <w:szCs w:val="20"/>
          <w:lang w:eastAsia="en-US"/>
        </w:rPr>
        <w:t xml:space="preserve">.  Infographic outlining the characterisation of fracture risk </w:t>
      </w:r>
      <w:r w:rsidR="00624825" w:rsidRPr="00624825">
        <w:rPr>
          <w:rFonts w:asciiTheme="minorHAnsi" w:hAnsiTheme="minorHAnsi"/>
          <w:color w:val="000000"/>
          <w:sz w:val="20"/>
          <w:szCs w:val="20"/>
          <w:lang w:eastAsia="en-US"/>
        </w:rPr>
        <w:t xml:space="preserve">by FRAX major osteoporotic fracture probability </w:t>
      </w:r>
      <w:r w:rsidR="000F2E6C" w:rsidRPr="000F2E6C">
        <w:rPr>
          <w:rFonts w:asciiTheme="minorHAnsi" w:hAnsiTheme="minorHAnsi"/>
          <w:color w:val="000000"/>
          <w:sz w:val="20"/>
          <w:szCs w:val="20"/>
          <w:lang w:eastAsia="en-US"/>
        </w:rPr>
        <w:t xml:space="preserve">in postmenopausal women.  Initial risk assessment uses FRAX with clinical risk factors alone. FRAX probability in the red zone indicates very high risk and that an initial course of anabolic treatment followed by anti-resorptive therapy may be appropriate. FRAX probability in the green zone suggests low risk, with advice to </w:t>
      </w:r>
      <w:r w:rsidR="000F2E6C" w:rsidRPr="000F2E6C">
        <w:rPr>
          <w:rFonts w:asciiTheme="minorHAnsi" w:hAnsiTheme="minorHAnsi"/>
          <w:color w:val="000000"/>
          <w:sz w:val="20"/>
          <w:szCs w:val="20"/>
          <w:lang w:eastAsia="en-US"/>
        </w:rPr>
        <w:lastRenderedPageBreak/>
        <w:t xml:space="preserve">be given on lifestyle, calcium and vitamin D nutrition and menopausal hormone treatment considered. FRAX probability in the intermediate (orange) zone should be followed by BMD assessment and recalculation of FRAX probability including femoral neck BMD. After recalculation, risk may be in the red zone (very high risk), </w:t>
      </w:r>
      <w:r w:rsidR="007F0E05">
        <w:rPr>
          <w:rFonts w:asciiTheme="minorHAnsi" w:hAnsiTheme="minorHAnsi"/>
          <w:color w:val="000000"/>
          <w:sz w:val="20"/>
          <w:szCs w:val="20"/>
          <w:lang w:eastAsia="en-US"/>
        </w:rPr>
        <w:t>orange</w:t>
      </w:r>
      <w:r w:rsidR="000F2E6C" w:rsidRPr="000F2E6C">
        <w:rPr>
          <w:rFonts w:asciiTheme="minorHAnsi" w:hAnsiTheme="minorHAnsi"/>
          <w:color w:val="000000"/>
          <w:sz w:val="20"/>
          <w:szCs w:val="20"/>
          <w:lang w:eastAsia="en-US"/>
        </w:rPr>
        <w:t xml:space="preserve"> zone (high risk, which suggests initial anti-resorptive therapy) or green zone (low risk, either in the original green zone, or in the original orange zone but below the intervention threshold).  </w:t>
      </w:r>
      <w:r w:rsidR="000F2E6C" w:rsidRPr="001B28CC">
        <w:rPr>
          <w:rFonts w:asciiTheme="minorHAnsi" w:hAnsiTheme="minorHAnsi"/>
          <w:i/>
          <w:color w:val="000000"/>
          <w:sz w:val="20"/>
          <w:szCs w:val="20"/>
          <w:lang w:eastAsia="en-US"/>
        </w:rPr>
        <w:t xml:space="preserve">Note that patients with a prior fragility fracture are at least designated at high risk and possibly at very high risk dependent on the FRAX </w:t>
      </w:r>
      <w:r w:rsidR="00C474A6" w:rsidRPr="001B28CC">
        <w:rPr>
          <w:rFonts w:asciiTheme="minorHAnsi" w:hAnsiTheme="minorHAnsi"/>
          <w:i/>
          <w:color w:val="000000"/>
          <w:sz w:val="20"/>
          <w:szCs w:val="20"/>
          <w:lang w:eastAsia="en-US"/>
        </w:rPr>
        <w:t>probabili</w:t>
      </w:r>
      <w:r w:rsidR="00B7166C" w:rsidRPr="001B28CC">
        <w:rPr>
          <w:rFonts w:asciiTheme="minorHAnsi" w:hAnsiTheme="minorHAnsi"/>
          <w:i/>
          <w:color w:val="000000"/>
          <w:sz w:val="20"/>
          <w:szCs w:val="20"/>
          <w:lang w:eastAsia="en-US"/>
        </w:rPr>
        <w:t>ty</w:t>
      </w:r>
      <w:r w:rsidR="000F2E6C" w:rsidRPr="001B28CC">
        <w:rPr>
          <w:rFonts w:asciiTheme="minorHAnsi" w:hAnsiTheme="minorHAnsi"/>
          <w:i/>
          <w:color w:val="000000"/>
          <w:sz w:val="20"/>
          <w:szCs w:val="20"/>
          <w:lang w:eastAsia="en-US"/>
        </w:rPr>
        <w:t>.</w:t>
      </w:r>
    </w:p>
    <w:p w14:paraId="104B7CAB" w14:textId="7F30C797" w:rsidR="0079370F" w:rsidRPr="0079370F" w:rsidRDefault="00A2170B" w:rsidP="0092060A">
      <w:pPr>
        <w:autoSpaceDE w:val="0"/>
        <w:autoSpaceDN w:val="0"/>
        <w:adjustRightInd w:val="0"/>
        <w:spacing w:after="240" w:line="276" w:lineRule="auto"/>
        <w:ind w:left="567"/>
        <w:rPr>
          <w:rFonts w:asciiTheme="minorHAnsi" w:hAnsiTheme="minorHAnsi"/>
          <w:b/>
          <w:color w:val="000000"/>
          <w:lang w:eastAsia="en-US"/>
        </w:rPr>
      </w:pPr>
      <w:r w:rsidRPr="0079370F">
        <w:rPr>
          <w:rFonts w:asciiTheme="minorHAnsi" w:hAnsiTheme="minorHAnsi"/>
          <w:b/>
          <w:color w:val="000000"/>
          <w:lang w:eastAsia="en-US"/>
        </w:rPr>
        <w:t>Impact on treatment</w:t>
      </w:r>
    </w:p>
    <w:p w14:paraId="376B2FF4" w14:textId="09323F14" w:rsidR="0092060A" w:rsidRDefault="0079370F" w:rsidP="0092060A">
      <w:pPr>
        <w:autoSpaceDE w:val="0"/>
        <w:autoSpaceDN w:val="0"/>
        <w:adjustRightInd w:val="0"/>
        <w:spacing w:after="240" w:line="276" w:lineRule="auto"/>
        <w:ind w:left="567"/>
        <w:rPr>
          <w:rFonts w:asciiTheme="minorHAnsi" w:hAnsiTheme="minorHAnsi"/>
          <w:color w:val="000000"/>
          <w:lang w:eastAsia="en-US"/>
        </w:rPr>
      </w:pPr>
      <w:r w:rsidRPr="0079370F">
        <w:rPr>
          <w:rFonts w:asciiTheme="minorHAnsi" w:hAnsiTheme="minorHAnsi"/>
          <w:b/>
          <w:noProof/>
          <w:color w:val="000000"/>
          <w:lang w:eastAsia="en-GB"/>
        </w:rPr>
        <w:drawing>
          <wp:anchor distT="0" distB="0" distL="114300" distR="114300" simplePos="0" relativeHeight="251688960" behindDoc="0" locked="0" layoutInCell="1" allowOverlap="1" wp14:anchorId="5A90AB42" wp14:editId="1AE9E417">
            <wp:simplePos x="0" y="0"/>
            <wp:positionH relativeFrom="margin">
              <wp:align>center</wp:align>
            </wp:positionH>
            <wp:positionV relativeFrom="paragraph">
              <wp:posOffset>1555115</wp:posOffset>
            </wp:positionV>
            <wp:extent cx="4281170" cy="3429000"/>
            <wp:effectExtent l="0" t="0" r="508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6354"/>
                    <a:stretch/>
                  </pic:blipFill>
                  <pic:spPr bwMode="auto">
                    <a:xfrm>
                      <a:off x="0" y="0"/>
                      <a:ext cx="4281170" cy="342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2060A" w:rsidRPr="0092060A">
        <w:rPr>
          <w:rFonts w:asciiTheme="minorHAnsi" w:hAnsiTheme="minorHAnsi"/>
          <w:color w:val="000000"/>
          <w:lang w:eastAsia="en-US"/>
        </w:rPr>
        <w:t>The rationale for the more refined characterisation</w:t>
      </w:r>
      <w:r w:rsidR="00D810B4">
        <w:rPr>
          <w:rFonts w:asciiTheme="minorHAnsi" w:hAnsiTheme="minorHAnsi"/>
          <w:color w:val="000000"/>
          <w:lang w:eastAsia="en-US"/>
        </w:rPr>
        <w:t xml:space="preserve"> of risk</w:t>
      </w:r>
      <w:r w:rsidR="0092060A" w:rsidRPr="0092060A">
        <w:rPr>
          <w:rFonts w:asciiTheme="minorHAnsi" w:hAnsiTheme="minorHAnsi"/>
          <w:color w:val="000000"/>
          <w:lang w:eastAsia="en-US"/>
        </w:rPr>
        <w:t xml:space="preserve"> is to direct appropriate interventions. </w:t>
      </w:r>
      <w:r w:rsidR="007D13EF" w:rsidRPr="007D13EF">
        <w:rPr>
          <w:rFonts w:asciiTheme="minorHAnsi" w:hAnsiTheme="minorHAnsi"/>
          <w:color w:val="000000"/>
          <w:lang w:eastAsia="en-US"/>
        </w:rPr>
        <w:t xml:space="preserve">Thus, initial treatment recommendations for women at high risk might most usually </w:t>
      </w:r>
      <w:r w:rsidR="00491CE5">
        <w:rPr>
          <w:rFonts w:asciiTheme="minorHAnsi" w:hAnsiTheme="minorHAnsi"/>
          <w:color w:val="000000"/>
          <w:lang w:eastAsia="en-US"/>
        </w:rPr>
        <w:t>start</w:t>
      </w:r>
      <w:r w:rsidR="007D13EF" w:rsidRPr="007D13EF">
        <w:rPr>
          <w:rFonts w:asciiTheme="minorHAnsi" w:hAnsiTheme="minorHAnsi"/>
          <w:color w:val="000000"/>
          <w:lang w:eastAsia="en-US"/>
        </w:rPr>
        <w:t xml:space="preserve"> with an inhibitor of bone resorption.  </w:t>
      </w:r>
      <w:r w:rsidR="00921ACC" w:rsidRPr="00921ACC">
        <w:rPr>
          <w:rFonts w:asciiTheme="minorHAnsi" w:hAnsiTheme="minorHAnsi"/>
          <w:color w:val="000000"/>
          <w:lang w:eastAsia="en-US"/>
        </w:rPr>
        <w:t xml:space="preserve">For example, the UK National Institute for Clinical Excellence (NICE) and the IOF/ESCEO guidelines </w:t>
      </w:r>
      <w:r w:rsidR="00DA6179">
        <w:rPr>
          <w:rFonts w:asciiTheme="minorHAnsi" w:hAnsiTheme="minorHAnsi"/>
          <w:color w:val="000000"/>
          <w:lang w:eastAsia="en-US"/>
        </w:rPr>
        <w:t>recommend</w:t>
      </w:r>
      <w:r w:rsidR="0092060A" w:rsidRPr="0092060A">
        <w:rPr>
          <w:rFonts w:asciiTheme="minorHAnsi" w:hAnsiTheme="minorHAnsi"/>
          <w:color w:val="000000"/>
          <w:lang w:eastAsia="en-US"/>
        </w:rPr>
        <w:t xml:space="preserve"> oral bisphosphonates</w:t>
      </w:r>
      <w:r w:rsidR="00DA6179">
        <w:rPr>
          <w:rFonts w:asciiTheme="minorHAnsi" w:hAnsiTheme="minorHAnsi"/>
          <w:color w:val="000000"/>
          <w:lang w:eastAsia="en-US"/>
        </w:rPr>
        <w:t xml:space="preserve"> </w:t>
      </w:r>
      <w:r w:rsidR="0092060A" w:rsidRPr="0092060A">
        <w:rPr>
          <w:rFonts w:asciiTheme="minorHAnsi" w:hAnsiTheme="minorHAnsi"/>
          <w:color w:val="000000"/>
          <w:lang w:eastAsia="en-US"/>
        </w:rPr>
        <w:t>[</w:t>
      </w:r>
      <w:r w:rsidR="00270895">
        <w:rPr>
          <w:rFonts w:asciiTheme="minorHAnsi" w:hAnsiTheme="minorHAnsi"/>
          <w:color w:val="000000"/>
          <w:lang w:eastAsia="en-US"/>
        </w:rPr>
        <w:t xml:space="preserve">1, </w:t>
      </w:r>
      <w:r w:rsidR="00681B53">
        <w:rPr>
          <w:rFonts w:asciiTheme="minorHAnsi" w:hAnsiTheme="minorHAnsi"/>
          <w:color w:val="000000"/>
          <w:lang w:eastAsia="en-US"/>
        </w:rPr>
        <w:t>38</w:t>
      </w:r>
      <w:r w:rsidR="00194CC0">
        <w:rPr>
          <w:rFonts w:asciiTheme="minorHAnsi" w:hAnsiTheme="minorHAnsi"/>
          <w:color w:val="000000"/>
          <w:lang w:eastAsia="en-US"/>
        </w:rPr>
        <w:t>, 39</w:t>
      </w:r>
      <w:r w:rsidR="0092060A" w:rsidRPr="0092060A">
        <w:rPr>
          <w:rFonts w:asciiTheme="minorHAnsi" w:hAnsiTheme="minorHAnsi"/>
          <w:color w:val="000000"/>
          <w:lang w:eastAsia="en-US"/>
        </w:rPr>
        <w:t>]</w:t>
      </w:r>
      <w:r w:rsidR="00821E86">
        <w:rPr>
          <w:rFonts w:asciiTheme="minorHAnsi" w:hAnsiTheme="minorHAnsi"/>
          <w:color w:val="000000"/>
          <w:lang w:eastAsia="en-US"/>
        </w:rPr>
        <w:t xml:space="preserve"> </w:t>
      </w:r>
      <w:r w:rsidR="00855CAA">
        <w:rPr>
          <w:rFonts w:asciiTheme="minorHAnsi" w:hAnsiTheme="minorHAnsi"/>
          <w:color w:val="000000"/>
          <w:lang w:eastAsia="en-US"/>
        </w:rPr>
        <w:t>b</w:t>
      </w:r>
      <w:r w:rsidR="00821E86">
        <w:rPr>
          <w:rFonts w:asciiTheme="minorHAnsi" w:hAnsiTheme="minorHAnsi"/>
          <w:color w:val="000000"/>
          <w:lang w:eastAsia="en-US"/>
        </w:rPr>
        <w:t>ut a v</w:t>
      </w:r>
      <w:r w:rsidR="00855CAA">
        <w:rPr>
          <w:rFonts w:asciiTheme="minorHAnsi" w:hAnsiTheme="minorHAnsi"/>
          <w:color w:val="000000"/>
          <w:lang w:eastAsia="en-US"/>
        </w:rPr>
        <w:t>e</w:t>
      </w:r>
      <w:r w:rsidR="00821E86">
        <w:rPr>
          <w:rFonts w:asciiTheme="minorHAnsi" w:hAnsiTheme="minorHAnsi"/>
          <w:color w:val="000000"/>
          <w:lang w:eastAsia="en-US"/>
        </w:rPr>
        <w:t>ry large range o</w:t>
      </w:r>
      <w:r w:rsidR="00855CAA">
        <w:rPr>
          <w:rFonts w:asciiTheme="minorHAnsi" w:hAnsiTheme="minorHAnsi"/>
          <w:color w:val="000000"/>
          <w:lang w:eastAsia="en-US"/>
        </w:rPr>
        <w:t>f pharmacological interventions are recommended worl</w:t>
      </w:r>
      <w:r w:rsidR="00605B83">
        <w:rPr>
          <w:rFonts w:asciiTheme="minorHAnsi" w:hAnsiTheme="minorHAnsi"/>
          <w:color w:val="000000"/>
          <w:lang w:eastAsia="en-US"/>
        </w:rPr>
        <w:t>d</w:t>
      </w:r>
      <w:r w:rsidR="00855CAA">
        <w:rPr>
          <w:rFonts w:asciiTheme="minorHAnsi" w:hAnsiTheme="minorHAnsi"/>
          <w:color w:val="000000"/>
          <w:lang w:eastAsia="en-US"/>
        </w:rPr>
        <w:t>wide</w:t>
      </w:r>
      <w:r w:rsidR="00605B83">
        <w:rPr>
          <w:rFonts w:asciiTheme="minorHAnsi" w:hAnsiTheme="minorHAnsi"/>
          <w:color w:val="000000"/>
          <w:lang w:eastAsia="en-US"/>
        </w:rPr>
        <w:t xml:space="preserve"> </w:t>
      </w:r>
      <w:r w:rsidR="00605B83" w:rsidRPr="00FD2F19">
        <w:rPr>
          <w:rFonts w:asciiTheme="minorHAnsi" w:hAnsiTheme="minorHAnsi"/>
          <w:color w:val="000000"/>
          <w:lang w:eastAsia="en-US"/>
        </w:rPr>
        <w:t>(Appendix, Table A2)</w:t>
      </w:r>
      <w:r w:rsidR="0092060A" w:rsidRPr="00FD2F19">
        <w:rPr>
          <w:rFonts w:asciiTheme="minorHAnsi" w:hAnsiTheme="minorHAnsi"/>
          <w:color w:val="000000"/>
          <w:lang w:eastAsia="en-US"/>
        </w:rPr>
        <w:t>.</w:t>
      </w:r>
      <w:r w:rsidR="0092060A" w:rsidRPr="0092060A">
        <w:rPr>
          <w:rFonts w:asciiTheme="minorHAnsi" w:hAnsiTheme="minorHAnsi"/>
          <w:color w:val="000000"/>
          <w:lang w:eastAsia="en-US"/>
        </w:rPr>
        <w:t xml:space="preserve">  In contrast, women at very high risk might be more suitably treated with an anabolic treatment followed thereafter by an inhibitor of bone resorption [</w:t>
      </w:r>
      <w:r w:rsidR="00DD7519">
        <w:rPr>
          <w:rFonts w:asciiTheme="minorHAnsi" w:hAnsiTheme="minorHAnsi"/>
          <w:color w:val="000000"/>
          <w:lang w:eastAsia="en-US"/>
        </w:rPr>
        <w:t>40</w:t>
      </w:r>
      <w:r w:rsidR="0092060A" w:rsidRPr="0092060A">
        <w:rPr>
          <w:rFonts w:asciiTheme="minorHAnsi" w:hAnsiTheme="minorHAnsi"/>
          <w:color w:val="000000"/>
          <w:lang w:eastAsia="en-US"/>
        </w:rPr>
        <w:t>]</w:t>
      </w:r>
      <w:r w:rsidR="00B44C4D">
        <w:rPr>
          <w:rFonts w:asciiTheme="minorHAnsi" w:hAnsiTheme="minorHAnsi"/>
          <w:color w:val="000000"/>
          <w:lang w:eastAsia="en-US"/>
        </w:rPr>
        <w:t xml:space="preserve"> (</w:t>
      </w:r>
      <w:r w:rsidR="00B44C4D" w:rsidRPr="00FD2F19">
        <w:rPr>
          <w:rFonts w:asciiTheme="minorHAnsi" w:hAnsiTheme="minorHAnsi"/>
          <w:color w:val="000000"/>
          <w:lang w:eastAsia="en-US"/>
        </w:rPr>
        <w:t>Figure 3)</w:t>
      </w:r>
      <w:r w:rsidR="0092060A" w:rsidRPr="00FD2F19">
        <w:rPr>
          <w:rFonts w:asciiTheme="minorHAnsi" w:hAnsiTheme="minorHAnsi"/>
          <w:color w:val="000000"/>
          <w:lang w:eastAsia="en-US"/>
        </w:rPr>
        <w:t>.</w:t>
      </w:r>
    </w:p>
    <w:p w14:paraId="2A74C824" w14:textId="64D47EE2" w:rsidR="00EA2163" w:rsidRDefault="00EA2163" w:rsidP="007F4348">
      <w:pPr>
        <w:spacing w:after="0" w:line="276" w:lineRule="auto"/>
        <w:ind w:left="567"/>
        <w:rPr>
          <w:rFonts w:asciiTheme="minorHAnsi" w:hAnsiTheme="minorHAnsi"/>
          <w:color w:val="000000"/>
          <w:lang w:eastAsia="en-US"/>
        </w:rPr>
      </w:pPr>
    </w:p>
    <w:p w14:paraId="305AFF73" w14:textId="7366AC4C" w:rsidR="008D136F" w:rsidRDefault="008D136F" w:rsidP="008A11A9">
      <w:pPr>
        <w:spacing w:after="0" w:line="276" w:lineRule="auto"/>
        <w:ind w:left="1560" w:right="1230"/>
        <w:rPr>
          <w:rFonts w:asciiTheme="minorHAnsi" w:hAnsiTheme="minorHAnsi"/>
          <w:color w:val="000000"/>
          <w:lang w:eastAsia="en-US"/>
        </w:rPr>
      </w:pPr>
      <w:r w:rsidRPr="008D136F">
        <w:rPr>
          <w:rFonts w:asciiTheme="minorHAnsi" w:hAnsiTheme="minorHAnsi"/>
          <w:color w:val="000000"/>
          <w:lang w:eastAsia="en-US"/>
        </w:rPr>
        <w:t xml:space="preserve">Fig. </w:t>
      </w:r>
      <w:r w:rsidR="001B1379">
        <w:rPr>
          <w:rFonts w:asciiTheme="minorHAnsi" w:hAnsiTheme="minorHAnsi"/>
          <w:color w:val="000000"/>
          <w:lang w:eastAsia="en-US"/>
        </w:rPr>
        <w:t>3</w:t>
      </w:r>
      <w:r w:rsidRPr="008D136F">
        <w:rPr>
          <w:rFonts w:asciiTheme="minorHAnsi" w:hAnsiTheme="minorHAnsi"/>
          <w:color w:val="000000"/>
          <w:lang w:eastAsia="en-US"/>
        </w:rPr>
        <w:t xml:space="preserve">  Treatment pathways according to the categorisation of fracture risk. For treatment modalities (inhibitors of bone resorption, anabolic agents etc) see Appendix, Table A2</w:t>
      </w:r>
      <w:r w:rsidR="008A11A9">
        <w:rPr>
          <w:rFonts w:asciiTheme="minorHAnsi" w:hAnsiTheme="minorHAnsi"/>
          <w:color w:val="000000"/>
          <w:lang w:eastAsia="en-US"/>
        </w:rPr>
        <w:t>.</w:t>
      </w:r>
    </w:p>
    <w:p w14:paraId="3F6C626F" w14:textId="77777777" w:rsidR="008A11A9" w:rsidRDefault="008A11A9" w:rsidP="007F4348">
      <w:pPr>
        <w:spacing w:after="0" w:line="276" w:lineRule="auto"/>
        <w:ind w:left="567"/>
        <w:rPr>
          <w:rFonts w:asciiTheme="minorHAnsi" w:hAnsiTheme="minorHAnsi"/>
          <w:color w:val="000000"/>
          <w:lang w:eastAsia="en-US"/>
        </w:rPr>
      </w:pPr>
    </w:p>
    <w:p w14:paraId="27D3D5A2" w14:textId="038D9AE8" w:rsidR="004A44D6" w:rsidRDefault="00A97D5E" w:rsidP="007F4348">
      <w:pPr>
        <w:spacing w:after="0" w:line="276" w:lineRule="auto"/>
        <w:ind w:left="567"/>
        <w:rPr>
          <w:rFonts w:asciiTheme="minorHAnsi" w:hAnsiTheme="minorHAnsi"/>
          <w:color w:val="000000"/>
          <w:lang w:eastAsia="en-US"/>
        </w:rPr>
      </w:pPr>
      <w:r w:rsidRPr="00A97D5E">
        <w:rPr>
          <w:rFonts w:asciiTheme="minorHAnsi" w:hAnsiTheme="minorHAnsi"/>
          <w:color w:val="000000"/>
          <w:lang w:eastAsia="en-US"/>
        </w:rPr>
        <w:t>Non-pharmacological management should be considered for all patients but may be adapted according to the category of fracture risk [</w:t>
      </w:r>
      <w:r w:rsidR="00147F6B">
        <w:rPr>
          <w:rFonts w:asciiTheme="minorHAnsi" w:hAnsiTheme="minorHAnsi"/>
          <w:color w:val="000000"/>
          <w:lang w:eastAsia="en-US"/>
        </w:rPr>
        <w:t xml:space="preserve">41, </w:t>
      </w:r>
      <w:r w:rsidR="00E12FED">
        <w:rPr>
          <w:rFonts w:asciiTheme="minorHAnsi" w:hAnsiTheme="minorHAnsi"/>
          <w:color w:val="000000"/>
          <w:lang w:eastAsia="en-US"/>
        </w:rPr>
        <w:t>42</w:t>
      </w:r>
      <w:r w:rsidRPr="00A97D5E">
        <w:rPr>
          <w:rFonts w:asciiTheme="minorHAnsi" w:hAnsiTheme="minorHAnsi"/>
          <w:color w:val="000000"/>
          <w:lang w:eastAsia="en-US"/>
        </w:rPr>
        <w:t xml:space="preserve">].  For all patients, education on osteoporosis </w:t>
      </w:r>
      <w:r w:rsidRPr="00A97D5E">
        <w:rPr>
          <w:rFonts w:asciiTheme="minorHAnsi" w:hAnsiTheme="minorHAnsi"/>
          <w:color w:val="000000"/>
          <w:lang w:eastAsia="en-US"/>
        </w:rPr>
        <w:lastRenderedPageBreak/>
        <w:t>(e.g. knowledge of osteoporosis, medications, diet and exercise) and advice for daily weight-bearing physical activity are appropriate [</w:t>
      </w:r>
      <w:r w:rsidR="001D4C8F">
        <w:rPr>
          <w:rFonts w:asciiTheme="minorHAnsi" w:hAnsiTheme="minorHAnsi"/>
          <w:color w:val="000000"/>
          <w:lang w:eastAsia="en-US"/>
        </w:rPr>
        <w:t>43</w:t>
      </w:r>
      <w:r w:rsidR="00D42117">
        <w:rPr>
          <w:rFonts w:asciiTheme="minorHAnsi" w:hAnsiTheme="minorHAnsi"/>
          <w:color w:val="000000"/>
          <w:lang w:eastAsia="en-US"/>
        </w:rPr>
        <w:t xml:space="preserve">, 44, </w:t>
      </w:r>
      <w:r w:rsidR="00760C7E">
        <w:rPr>
          <w:rFonts w:asciiTheme="minorHAnsi" w:hAnsiTheme="minorHAnsi"/>
          <w:color w:val="000000"/>
          <w:lang w:eastAsia="en-US"/>
        </w:rPr>
        <w:t>45</w:t>
      </w:r>
      <w:r w:rsidRPr="00A97D5E">
        <w:rPr>
          <w:rFonts w:asciiTheme="minorHAnsi" w:hAnsiTheme="minorHAnsi"/>
          <w:color w:val="000000"/>
          <w:lang w:eastAsia="en-US"/>
        </w:rPr>
        <w:t>].   Where indicated, the addition of fall prevention measures, including supervised exercise and/or rehabilitation, has been shown to be useful in reducing falls [</w:t>
      </w:r>
      <w:r w:rsidR="00712554">
        <w:rPr>
          <w:rFonts w:asciiTheme="minorHAnsi" w:hAnsiTheme="minorHAnsi"/>
          <w:color w:val="000000"/>
          <w:lang w:eastAsia="en-US"/>
        </w:rPr>
        <w:t xml:space="preserve">46, </w:t>
      </w:r>
      <w:r w:rsidR="004409A5">
        <w:rPr>
          <w:rFonts w:asciiTheme="minorHAnsi" w:hAnsiTheme="minorHAnsi"/>
          <w:color w:val="000000"/>
          <w:lang w:eastAsia="en-US"/>
        </w:rPr>
        <w:t>47</w:t>
      </w:r>
      <w:r w:rsidRPr="00A97D5E">
        <w:rPr>
          <w:rFonts w:asciiTheme="minorHAnsi" w:hAnsiTheme="minorHAnsi"/>
          <w:color w:val="000000"/>
          <w:lang w:eastAsia="en-US"/>
        </w:rPr>
        <w:t>] but the effects on fracture risk remain uncertain [</w:t>
      </w:r>
      <w:r w:rsidR="003019F6">
        <w:rPr>
          <w:rFonts w:asciiTheme="minorHAnsi" w:hAnsiTheme="minorHAnsi"/>
          <w:color w:val="000000"/>
          <w:lang w:eastAsia="en-US"/>
        </w:rPr>
        <w:t>47</w:t>
      </w:r>
      <w:r w:rsidRPr="00A97D5E">
        <w:rPr>
          <w:rFonts w:asciiTheme="minorHAnsi" w:hAnsiTheme="minorHAnsi"/>
          <w:color w:val="000000"/>
          <w:lang w:eastAsia="en-US"/>
        </w:rPr>
        <w:t>]. Programs should continue over a duration of at least 50 hours, be progressive in nature, and include strength and balance training components [</w:t>
      </w:r>
      <w:r w:rsidR="00EF6BF1">
        <w:rPr>
          <w:rFonts w:asciiTheme="minorHAnsi" w:hAnsiTheme="minorHAnsi"/>
          <w:color w:val="000000"/>
          <w:lang w:eastAsia="en-US"/>
        </w:rPr>
        <w:t>48,</w:t>
      </w:r>
      <w:r w:rsidR="00D61CD2">
        <w:rPr>
          <w:rFonts w:asciiTheme="minorHAnsi" w:hAnsiTheme="minorHAnsi"/>
          <w:color w:val="000000"/>
          <w:lang w:eastAsia="en-US"/>
        </w:rPr>
        <w:t xml:space="preserve"> 49, </w:t>
      </w:r>
      <w:r w:rsidR="007F048A">
        <w:rPr>
          <w:rFonts w:asciiTheme="minorHAnsi" w:hAnsiTheme="minorHAnsi"/>
          <w:color w:val="000000"/>
          <w:lang w:eastAsia="en-US"/>
        </w:rPr>
        <w:t>50</w:t>
      </w:r>
      <w:r w:rsidRPr="00A97D5E">
        <w:rPr>
          <w:rFonts w:asciiTheme="minorHAnsi" w:hAnsiTheme="minorHAnsi"/>
          <w:color w:val="000000"/>
          <w:lang w:eastAsia="en-US"/>
        </w:rPr>
        <w:t>].</w:t>
      </w:r>
    </w:p>
    <w:p w14:paraId="7403FBE8" w14:textId="77777777" w:rsidR="00882131" w:rsidRDefault="00882131" w:rsidP="007F4348">
      <w:pPr>
        <w:spacing w:after="0" w:line="276" w:lineRule="auto"/>
        <w:ind w:left="567"/>
        <w:rPr>
          <w:rFonts w:asciiTheme="minorHAnsi" w:hAnsiTheme="minorHAnsi"/>
          <w:color w:val="000000"/>
          <w:lang w:eastAsia="en-US"/>
        </w:rPr>
      </w:pPr>
    </w:p>
    <w:bookmarkEnd w:id="7"/>
    <w:p w14:paraId="055CE693" w14:textId="71DAB730" w:rsidR="00F479F8" w:rsidRDefault="00F479F8" w:rsidP="00EB5C0E">
      <w:pPr>
        <w:autoSpaceDE w:val="0"/>
        <w:autoSpaceDN w:val="0"/>
        <w:adjustRightInd w:val="0"/>
        <w:spacing w:after="240" w:line="276" w:lineRule="auto"/>
        <w:ind w:left="567"/>
        <w:rPr>
          <w:rFonts w:asciiTheme="minorHAnsi" w:hAnsiTheme="minorHAnsi"/>
          <w:color w:val="000000"/>
          <w:lang w:eastAsia="en-US"/>
        </w:rPr>
      </w:pPr>
      <w:r w:rsidRPr="009357AC">
        <w:rPr>
          <w:rFonts w:asciiTheme="minorHAnsi" w:hAnsiTheme="minorHAnsi"/>
          <w:noProof/>
          <w:color w:val="000000"/>
          <w:lang w:eastAsia="en-GB"/>
        </w:rPr>
        <w:drawing>
          <wp:anchor distT="0" distB="0" distL="114300" distR="114300" simplePos="0" relativeHeight="251689984" behindDoc="0" locked="0" layoutInCell="1" allowOverlap="1" wp14:anchorId="562A7402" wp14:editId="4091DE92">
            <wp:simplePos x="0" y="0"/>
            <wp:positionH relativeFrom="column">
              <wp:posOffset>571500</wp:posOffset>
            </wp:positionH>
            <wp:positionV relativeFrom="paragraph">
              <wp:posOffset>1376680</wp:posOffset>
            </wp:positionV>
            <wp:extent cx="4571560" cy="2800350"/>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4027" b="14298"/>
                    <a:stretch/>
                  </pic:blipFill>
                  <pic:spPr bwMode="auto">
                    <a:xfrm>
                      <a:off x="0" y="0"/>
                      <a:ext cx="4571560" cy="2800350"/>
                    </a:xfrm>
                    <a:prstGeom prst="rect">
                      <a:avLst/>
                    </a:prstGeom>
                    <a:ln>
                      <a:noFill/>
                    </a:ln>
                    <a:extLst>
                      <a:ext uri="{53640926-AAD7-44D8-BBD7-CCE9431645EC}">
                        <a14:shadowObscured xmlns:a14="http://schemas.microsoft.com/office/drawing/2010/main"/>
                      </a:ext>
                    </a:extLst>
                  </pic:spPr>
                </pic:pic>
              </a:graphicData>
            </a:graphic>
          </wp:anchor>
        </w:drawing>
      </w:r>
      <w:r w:rsidR="007D68F9">
        <w:rPr>
          <w:rFonts w:asciiTheme="minorHAnsi" w:hAnsiTheme="minorHAnsi"/>
          <w:color w:val="000000"/>
          <w:lang w:eastAsia="en-US"/>
        </w:rPr>
        <w:t xml:space="preserve">The implications </w:t>
      </w:r>
      <w:r w:rsidR="00A101E2">
        <w:rPr>
          <w:rFonts w:asciiTheme="minorHAnsi" w:hAnsiTheme="minorHAnsi"/>
          <w:color w:val="000000"/>
          <w:lang w:eastAsia="en-US"/>
        </w:rPr>
        <w:t xml:space="preserve">of the categorisation of risk on the use of anabolic regimens </w:t>
      </w:r>
      <w:r w:rsidR="0010500C">
        <w:rPr>
          <w:rFonts w:asciiTheme="minorHAnsi" w:hAnsiTheme="minorHAnsi"/>
          <w:color w:val="000000"/>
          <w:lang w:eastAsia="en-US"/>
        </w:rPr>
        <w:t xml:space="preserve">in this way </w:t>
      </w:r>
      <w:r w:rsidR="00F421E2">
        <w:rPr>
          <w:rFonts w:asciiTheme="minorHAnsi" w:hAnsiTheme="minorHAnsi"/>
          <w:color w:val="000000"/>
          <w:lang w:eastAsia="en-US"/>
        </w:rPr>
        <w:t>are</w:t>
      </w:r>
      <w:r w:rsidR="00A101E2">
        <w:rPr>
          <w:rFonts w:asciiTheme="minorHAnsi" w:hAnsiTheme="minorHAnsi"/>
          <w:color w:val="000000"/>
          <w:lang w:eastAsia="en-US"/>
        </w:rPr>
        <w:t xml:space="preserve"> shown in </w:t>
      </w:r>
      <w:r w:rsidR="00F421E2">
        <w:rPr>
          <w:rFonts w:asciiTheme="minorHAnsi" w:hAnsiTheme="minorHAnsi"/>
          <w:color w:val="000000"/>
          <w:lang w:eastAsia="en-US"/>
        </w:rPr>
        <w:t xml:space="preserve">Figure </w:t>
      </w:r>
      <w:r w:rsidR="008A11A9">
        <w:rPr>
          <w:rFonts w:asciiTheme="minorHAnsi" w:hAnsiTheme="minorHAnsi"/>
          <w:color w:val="000000"/>
          <w:lang w:eastAsia="en-US"/>
        </w:rPr>
        <w:t>4</w:t>
      </w:r>
      <w:r w:rsidR="00007007">
        <w:rPr>
          <w:rFonts w:asciiTheme="minorHAnsi" w:hAnsiTheme="minorHAnsi"/>
          <w:color w:val="000000"/>
          <w:lang w:eastAsia="en-US"/>
        </w:rPr>
        <w:t xml:space="preserve"> as applied to the age-specific NOGG</w:t>
      </w:r>
      <w:r w:rsidR="00B5291B">
        <w:rPr>
          <w:rFonts w:asciiTheme="minorHAnsi" w:hAnsiTheme="minorHAnsi"/>
          <w:color w:val="000000"/>
          <w:lang w:eastAsia="en-US"/>
        </w:rPr>
        <w:t xml:space="preserve"> guidance</w:t>
      </w:r>
      <w:r w:rsidR="006738CE">
        <w:rPr>
          <w:rFonts w:asciiTheme="minorHAnsi" w:hAnsiTheme="minorHAnsi"/>
          <w:color w:val="000000"/>
          <w:lang w:eastAsia="en-US"/>
        </w:rPr>
        <w:t xml:space="preserve"> [21]</w:t>
      </w:r>
      <w:r w:rsidR="00F421E2">
        <w:rPr>
          <w:rFonts w:asciiTheme="minorHAnsi" w:hAnsiTheme="minorHAnsi"/>
          <w:color w:val="000000"/>
          <w:lang w:eastAsia="en-US"/>
        </w:rPr>
        <w:t>.</w:t>
      </w:r>
      <w:r w:rsidR="00A101E2">
        <w:rPr>
          <w:rFonts w:asciiTheme="minorHAnsi" w:hAnsiTheme="minorHAnsi"/>
          <w:color w:val="000000"/>
          <w:lang w:eastAsia="en-US"/>
        </w:rPr>
        <w:t xml:space="preserve"> </w:t>
      </w:r>
      <w:r w:rsidR="00F421E2" w:rsidRPr="00F421E2">
        <w:rPr>
          <w:rFonts w:asciiTheme="minorHAnsi" w:hAnsiTheme="minorHAnsi"/>
          <w:color w:val="000000"/>
          <w:lang w:eastAsia="en-US"/>
        </w:rPr>
        <w:t>As would be expected, the proportion of women characterised at low risk decreased with age and, conversely, those at high risk increased with age.   The proportion of women characterised at very high risk increased with age though the quantum of effect was modest.</w:t>
      </w:r>
      <w:r w:rsidR="00F421E2">
        <w:rPr>
          <w:rFonts w:asciiTheme="minorHAnsi" w:hAnsiTheme="minorHAnsi"/>
          <w:color w:val="000000"/>
          <w:lang w:eastAsia="en-US"/>
        </w:rPr>
        <w:t xml:space="preserve"> Overall in women age 50 years or more, 64.8% were categorised at low risk, 19.</w:t>
      </w:r>
      <w:r w:rsidR="00EB5C0E">
        <w:rPr>
          <w:rFonts w:asciiTheme="minorHAnsi" w:hAnsiTheme="minorHAnsi"/>
          <w:color w:val="000000"/>
          <w:lang w:eastAsia="en-US"/>
        </w:rPr>
        <w:t>7</w:t>
      </w:r>
      <w:r w:rsidR="00F421E2">
        <w:rPr>
          <w:rFonts w:asciiTheme="minorHAnsi" w:hAnsiTheme="minorHAnsi"/>
          <w:color w:val="000000"/>
          <w:lang w:eastAsia="en-US"/>
        </w:rPr>
        <w:t>% at high risk and 15.6% at very high risk.</w:t>
      </w:r>
      <w:r w:rsidR="00EB5C0E">
        <w:rPr>
          <w:rFonts w:asciiTheme="minorHAnsi" w:hAnsiTheme="minorHAnsi"/>
          <w:color w:val="000000"/>
          <w:lang w:eastAsia="en-US"/>
        </w:rPr>
        <w:t xml:space="preserve"> Numerical </w:t>
      </w:r>
      <w:r w:rsidR="00C153B5">
        <w:rPr>
          <w:rFonts w:asciiTheme="minorHAnsi" w:hAnsiTheme="minorHAnsi"/>
          <w:color w:val="000000"/>
          <w:lang w:eastAsia="en-US"/>
        </w:rPr>
        <w:t>data by</w:t>
      </w:r>
      <w:r w:rsidR="00EB5C0E">
        <w:rPr>
          <w:rFonts w:asciiTheme="minorHAnsi" w:hAnsiTheme="minorHAnsi"/>
          <w:color w:val="000000"/>
          <w:lang w:eastAsia="en-US"/>
        </w:rPr>
        <w:t xml:space="preserve"> age </w:t>
      </w:r>
      <w:r w:rsidR="00735461">
        <w:rPr>
          <w:rFonts w:asciiTheme="minorHAnsi" w:hAnsiTheme="minorHAnsi"/>
          <w:color w:val="000000"/>
          <w:lang w:eastAsia="en-US"/>
        </w:rPr>
        <w:t>are</w:t>
      </w:r>
      <w:r w:rsidR="00EB5C0E">
        <w:rPr>
          <w:rFonts w:asciiTheme="minorHAnsi" w:hAnsiTheme="minorHAnsi"/>
          <w:color w:val="000000"/>
          <w:lang w:eastAsia="en-US"/>
        </w:rPr>
        <w:t xml:space="preserve"> given in </w:t>
      </w:r>
      <w:r w:rsidR="00C153B5">
        <w:rPr>
          <w:rFonts w:asciiTheme="minorHAnsi" w:hAnsiTheme="minorHAnsi"/>
          <w:color w:val="000000"/>
          <w:lang w:eastAsia="en-US"/>
        </w:rPr>
        <w:t xml:space="preserve">the </w:t>
      </w:r>
      <w:r w:rsidR="00EB5C0E">
        <w:rPr>
          <w:rFonts w:asciiTheme="minorHAnsi" w:hAnsiTheme="minorHAnsi"/>
          <w:color w:val="000000"/>
          <w:lang w:eastAsia="en-US"/>
        </w:rPr>
        <w:t>Appendix (Table A2).</w:t>
      </w:r>
      <w:r w:rsidR="00F421E2">
        <w:rPr>
          <w:rFonts w:asciiTheme="minorHAnsi" w:hAnsiTheme="minorHAnsi"/>
          <w:color w:val="000000"/>
          <w:lang w:eastAsia="en-US"/>
        </w:rPr>
        <w:t xml:space="preserve"> </w:t>
      </w:r>
    </w:p>
    <w:p w14:paraId="5BC37605" w14:textId="483FAF6E" w:rsidR="00F421E2" w:rsidRPr="00F421E2" w:rsidRDefault="00F421E2" w:rsidP="006D5E63">
      <w:pPr>
        <w:autoSpaceDE w:val="0"/>
        <w:autoSpaceDN w:val="0"/>
        <w:adjustRightInd w:val="0"/>
        <w:spacing w:after="240" w:line="276" w:lineRule="auto"/>
        <w:ind w:left="993" w:right="947"/>
        <w:rPr>
          <w:color w:val="000000"/>
          <w:sz w:val="20"/>
          <w:szCs w:val="20"/>
          <w:lang w:eastAsia="en-US"/>
        </w:rPr>
      </w:pPr>
      <w:r w:rsidRPr="00F421E2">
        <w:rPr>
          <w:b/>
          <w:color w:val="000000"/>
          <w:sz w:val="20"/>
          <w:szCs w:val="20"/>
          <w:lang w:eastAsia="en-US"/>
        </w:rPr>
        <w:t xml:space="preserve">Fig </w:t>
      </w:r>
      <w:r w:rsidR="008A11A9">
        <w:rPr>
          <w:b/>
          <w:color w:val="000000"/>
          <w:sz w:val="20"/>
          <w:szCs w:val="20"/>
          <w:lang w:eastAsia="en-US"/>
        </w:rPr>
        <w:t>4</w:t>
      </w:r>
      <w:r w:rsidRPr="00F421E2">
        <w:rPr>
          <w:color w:val="000000"/>
          <w:sz w:val="20"/>
          <w:szCs w:val="20"/>
          <w:lang w:eastAsia="en-US"/>
        </w:rPr>
        <w:t xml:space="preserve">. Proportion (%) of postmenopausal women by age in a </w:t>
      </w:r>
      <w:r w:rsidR="009B4D3A" w:rsidRPr="00F421E2">
        <w:rPr>
          <w:color w:val="000000"/>
          <w:sz w:val="20"/>
          <w:szCs w:val="20"/>
          <w:lang w:eastAsia="en-US"/>
        </w:rPr>
        <w:t>simulat</w:t>
      </w:r>
      <w:r w:rsidR="009B4D3A">
        <w:rPr>
          <w:color w:val="000000"/>
          <w:sz w:val="20"/>
          <w:szCs w:val="20"/>
          <w:lang w:eastAsia="en-US"/>
        </w:rPr>
        <w:t>ed</w:t>
      </w:r>
      <w:r w:rsidR="009B4D3A" w:rsidRPr="00F421E2">
        <w:rPr>
          <w:color w:val="000000"/>
          <w:sz w:val="20"/>
          <w:szCs w:val="20"/>
          <w:lang w:eastAsia="en-US"/>
        </w:rPr>
        <w:t xml:space="preserve"> </w:t>
      </w:r>
      <w:r w:rsidR="007805F7">
        <w:rPr>
          <w:color w:val="000000"/>
          <w:sz w:val="20"/>
          <w:szCs w:val="20"/>
          <w:lang w:eastAsia="en-US"/>
        </w:rPr>
        <w:t>normal population</w:t>
      </w:r>
      <w:r w:rsidR="007805F7" w:rsidRPr="00F421E2">
        <w:rPr>
          <w:color w:val="000000"/>
          <w:sz w:val="20"/>
          <w:szCs w:val="20"/>
          <w:lang w:eastAsia="en-US"/>
        </w:rPr>
        <w:t xml:space="preserve"> </w:t>
      </w:r>
      <w:r w:rsidRPr="00F421E2">
        <w:rPr>
          <w:color w:val="000000"/>
          <w:sz w:val="20"/>
          <w:szCs w:val="20"/>
          <w:lang w:eastAsia="en-US"/>
        </w:rPr>
        <w:t>of 50633 women from the UK [</w:t>
      </w:r>
      <w:r w:rsidR="0043517D">
        <w:rPr>
          <w:color w:val="000000"/>
          <w:sz w:val="20"/>
          <w:szCs w:val="20"/>
          <w:lang w:eastAsia="en-US"/>
        </w:rPr>
        <w:t>51</w:t>
      </w:r>
      <w:r w:rsidRPr="00F421E2">
        <w:rPr>
          <w:color w:val="000000"/>
          <w:sz w:val="20"/>
          <w:szCs w:val="20"/>
          <w:lang w:eastAsia="en-US"/>
        </w:rPr>
        <w:t>] characterised at low, high and very high risk.  The high risk category</w:t>
      </w:r>
      <w:r w:rsidRPr="00F421E2">
        <w:rPr>
          <w:rFonts w:ascii="Times New Roman" w:eastAsia="Calibri" w:hAnsi="Times New Roman"/>
          <w:sz w:val="24"/>
          <w:szCs w:val="24"/>
          <w:lang w:eastAsia="en-US"/>
        </w:rPr>
        <w:t xml:space="preserve"> </w:t>
      </w:r>
      <w:r w:rsidR="004B1C85">
        <w:rPr>
          <w:color w:val="000000"/>
          <w:sz w:val="20"/>
          <w:szCs w:val="20"/>
          <w:lang w:eastAsia="en-US"/>
        </w:rPr>
        <w:t>i</w:t>
      </w:r>
      <w:r w:rsidRPr="00F421E2">
        <w:rPr>
          <w:color w:val="000000"/>
          <w:sz w:val="20"/>
          <w:szCs w:val="20"/>
          <w:lang w:eastAsia="en-US"/>
        </w:rPr>
        <w:t>ncludes women with a prior fracture not characterised at very high risk.</w:t>
      </w:r>
      <w:r w:rsidR="00076802">
        <w:rPr>
          <w:color w:val="000000"/>
          <w:sz w:val="20"/>
          <w:szCs w:val="20"/>
          <w:lang w:eastAsia="en-US"/>
        </w:rPr>
        <w:t xml:space="preserve"> Numbers in the high and very high risk categories refer to the percentage so characterised at each age interval</w:t>
      </w:r>
      <w:r w:rsidR="00B52B08">
        <w:rPr>
          <w:color w:val="000000"/>
          <w:sz w:val="20"/>
          <w:szCs w:val="20"/>
          <w:lang w:eastAsia="en-US"/>
        </w:rPr>
        <w:t>.</w:t>
      </w:r>
    </w:p>
    <w:p w14:paraId="34A8A687" w14:textId="73CC8B0C" w:rsidR="00A101E2" w:rsidRDefault="00A101E2" w:rsidP="00706C7E">
      <w:pPr>
        <w:autoSpaceDE w:val="0"/>
        <w:autoSpaceDN w:val="0"/>
        <w:adjustRightInd w:val="0"/>
        <w:spacing w:after="240" w:line="276" w:lineRule="auto"/>
        <w:ind w:left="567"/>
        <w:rPr>
          <w:rFonts w:asciiTheme="minorHAnsi" w:hAnsiTheme="minorHAnsi"/>
          <w:b/>
          <w:color w:val="000000"/>
          <w:lang w:eastAsia="en-US"/>
        </w:rPr>
      </w:pPr>
      <w:r w:rsidRPr="00A101E2">
        <w:rPr>
          <w:rFonts w:asciiTheme="minorHAnsi" w:hAnsiTheme="minorHAnsi"/>
          <w:b/>
          <w:color w:val="000000"/>
          <w:lang w:eastAsia="en-US"/>
        </w:rPr>
        <w:t xml:space="preserve">Examples of </w:t>
      </w:r>
      <w:r w:rsidR="000C052C">
        <w:rPr>
          <w:rFonts w:asciiTheme="minorHAnsi" w:hAnsiTheme="minorHAnsi"/>
          <w:b/>
          <w:color w:val="000000"/>
          <w:lang w:eastAsia="en-US"/>
        </w:rPr>
        <w:t>very high</w:t>
      </w:r>
      <w:r w:rsidRPr="00A101E2">
        <w:rPr>
          <w:rFonts w:asciiTheme="minorHAnsi" w:hAnsiTheme="minorHAnsi"/>
          <w:b/>
          <w:color w:val="000000"/>
          <w:lang w:eastAsia="en-US"/>
        </w:rPr>
        <w:t xml:space="preserve"> risk</w:t>
      </w:r>
    </w:p>
    <w:p w14:paraId="5FEFA430" w14:textId="4E39F5FD" w:rsidR="00DB2B43" w:rsidRDefault="009B57D1" w:rsidP="00706C7E">
      <w:pPr>
        <w:autoSpaceDE w:val="0"/>
        <w:autoSpaceDN w:val="0"/>
        <w:adjustRightInd w:val="0"/>
        <w:spacing w:after="240" w:line="276" w:lineRule="auto"/>
        <w:ind w:left="567"/>
      </w:pPr>
      <w:r w:rsidRPr="009B57D1">
        <w:rPr>
          <w:rFonts w:asciiTheme="minorHAnsi" w:hAnsiTheme="minorHAnsi"/>
          <w:color w:val="000000"/>
          <w:lang w:eastAsia="en-US"/>
        </w:rPr>
        <w:t>A prior fragility fracture provides informative example</w:t>
      </w:r>
      <w:r w:rsidR="003F6C56">
        <w:rPr>
          <w:rFonts w:asciiTheme="minorHAnsi" w:hAnsiTheme="minorHAnsi"/>
          <w:color w:val="000000"/>
          <w:lang w:eastAsia="en-US"/>
        </w:rPr>
        <w:t>s</w:t>
      </w:r>
      <w:r w:rsidRPr="009B57D1">
        <w:rPr>
          <w:rFonts w:asciiTheme="minorHAnsi" w:hAnsiTheme="minorHAnsi"/>
          <w:color w:val="000000"/>
          <w:lang w:eastAsia="en-US"/>
        </w:rPr>
        <w:t xml:space="preserve"> of the categorisation of risk</w:t>
      </w:r>
      <w:r>
        <w:rPr>
          <w:rFonts w:asciiTheme="minorHAnsi" w:hAnsiTheme="minorHAnsi"/>
          <w:color w:val="000000"/>
          <w:lang w:eastAsia="en-US"/>
        </w:rPr>
        <w:t xml:space="preserve"> and recommendations for treatment </w:t>
      </w:r>
      <w:r w:rsidR="003F6C56">
        <w:rPr>
          <w:rFonts w:asciiTheme="minorHAnsi" w:hAnsiTheme="minorHAnsi"/>
          <w:color w:val="000000"/>
          <w:lang w:eastAsia="en-US"/>
        </w:rPr>
        <w:t>which are illustrated</w:t>
      </w:r>
      <w:r>
        <w:rPr>
          <w:rFonts w:asciiTheme="minorHAnsi" w:hAnsiTheme="minorHAnsi"/>
          <w:color w:val="000000"/>
          <w:lang w:eastAsia="en-US"/>
        </w:rPr>
        <w:t xml:space="preserve"> for a woman age 70 years </w:t>
      </w:r>
      <w:r w:rsidRPr="00AC7DB4">
        <w:rPr>
          <w:rFonts w:asciiTheme="minorHAnsi" w:hAnsiTheme="minorHAnsi"/>
          <w:color w:val="000000"/>
          <w:lang w:eastAsia="en-US"/>
        </w:rPr>
        <w:t xml:space="preserve">in Table </w:t>
      </w:r>
      <w:r w:rsidR="00AD3FBC" w:rsidRPr="00AC7DB4">
        <w:rPr>
          <w:rFonts w:asciiTheme="minorHAnsi" w:hAnsiTheme="minorHAnsi"/>
          <w:color w:val="000000"/>
          <w:lang w:eastAsia="en-US"/>
        </w:rPr>
        <w:t>1</w:t>
      </w:r>
      <w:r w:rsidRPr="00AC7DB4">
        <w:rPr>
          <w:rFonts w:asciiTheme="minorHAnsi" w:hAnsiTheme="minorHAnsi"/>
          <w:color w:val="000000"/>
          <w:lang w:eastAsia="en-US"/>
        </w:rPr>
        <w:t xml:space="preserve">.  </w:t>
      </w:r>
      <w:bookmarkStart w:id="8" w:name="_Hlk352530"/>
      <w:r w:rsidRPr="00AC7DB4">
        <w:rPr>
          <w:rFonts w:asciiTheme="minorHAnsi" w:hAnsiTheme="minorHAnsi"/>
          <w:color w:val="000000"/>
          <w:lang w:eastAsia="en-US"/>
        </w:rPr>
        <w:t>A</w:t>
      </w:r>
      <w:r>
        <w:rPr>
          <w:rFonts w:asciiTheme="minorHAnsi" w:hAnsiTheme="minorHAnsi"/>
          <w:color w:val="000000"/>
          <w:lang w:eastAsia="en-US"/>
        </w:rPr>
        <w:t xml:space="preserve"> prior fragility fracture of </w:t>
      </w:r>
      <w:r w:rsidR="00E80284">
        <w:rPr>
          <w:rFonts w:asciiTheme="minorHAnsi" w:hAnsiTheme="minorHAnsi"/>
          <w:color w:val="000000"/>
          <w:lang w:eastAsia="en-US"/>
        </w:rPr>
        <w:t>undetermined</w:t>
      </w:r>
      <w:r>
        <w:rPr>
          <w:rFonts w:asciiTheme="minorHAnsi" w:hAnsiTheme="minorHAnsi"/>
          <w:color w:val="000000"/>
          <w:lang w:eastAsia="en-US"/>
        </w:rPr>
        <w:t xml:space="preserve"> recency </w:t>
      </w:r>
      <w:bookmarkEnd w:id="8"/>
      <w:r>
        <w:rPr>
          <w:rFonts w:asciiTheme="minorHAnsi" w:hAnsiTheme="minorHAnsi"/>
          <w:color w:val="000000"/>
          <w:lang w:eastAsia="en-US"/>
        </w:rPr>
        <w:t xml:space="preserve">is associated with a 10-year probability of a major osteoporotic fracture of 16%.  Whereas this probability is designated as low, treatment with an inhibitor of bone resorption </w:t>
      </w:r>
      <w:r w:rsidRPr="00D20AC7">
        <w:rPr>
          <w:rFonts w:asciiTheme="minorHAnsi" w:hAnsiTheme="minorHAnsi"/>
          <w:color w:val="000000"/>
          <w:lang w:eastAsia="en-US"/>
        </w:rPr>
        <w:t xml:space="preserve">is indicated by the IOF-ESCEO guidance and many other </w:t>
      </w:r>
      <w:r w:rsidR="00B4773E" w:rsidRPr="00D20AC7">
        <w:rPr>
          <w:rFonts w:asciiTheme="minorHAnsi" w:hAnsiTheme="minorHAnsi"/>
          <w:color w:val="000000"/>
          <w:lang w:eastAsia="en-US"/>
        </w:rPr>
        <w:t>guidelines</w:t>
      </w:r>
      <w:r w:rsidR="000C052C">
        <w:rPr>
          <w:rFonts w:asciiTheme="minorHAnsi" w:hAnsiTheme="minorHAnsi"/>
          <w:color w:val="000000"/>
          <w:lang w:eastAsia="en-US"/>
        </w:rPr>
        <w:t xml:space="preserve"> by virtue of the prior fracture</w:t>
      </w:r>
      <w:r w:rsidR="00B4773E" w:rsidRPr="00D20AC7">
        <w:rPr>
          <w:rFonts w:asciiTheme="minorHAnsi" w:hAnsiTheme="minorHAnsi"/>
          <w:color w:val="000000"/>
          <w:lang w:eastAsia="en-US"/>
        </w:rPr>
        <w:t xml:space="preserve"> [</w:t>
      </w:r>
      <w:r w:rsidR="00E64113">
        <w:rPr>
          <w:rFonts w:asciiTheme="minorHAnsi" w:hAnsiTheme="minorHAnsi"/>
          <w:color w:val="000000"/>
          <w:lang w:eastAsia="en-US"/>
        </w:rPr>
        <w:t>19</w:t>
      </w:r>
      <w:r w:rsidR="00B4773E" w:rsidRPr="00D20AC7">
        <w:rPr>
          <w:rFonts w:asciiTheme="minorHAnsi" w:hAnsiTheme="minorHAnsi"/>
          <w:color w:val="000000"/>
          <w:lang w:eastAsia="en-US"/>
        </w:rPr>
        <w:t>]</w:t>
      </w:r>
      <w:r w:rsidRPr="00D20AC7">
        <w:rPr>
          <w:rFonts w:asciiTheme="minorHAnsi" w:hAnsiTheme="minorHAnsi"/>
          <w:color w:val="000000"/>
          <w:lang w:eastAsia="en-US"/>
        </w:rPr>
        <w:t>.</w:t>
      </w:r>
      <w:r w:rsidR="00B4773E" w:rsidRPr="00D20AC7">
        <w:rPr>
          <w:rFonts w:asciiTheme="minorHAnsi" w:hAnsiTheme="minorHAnsi"/>
          <w:color w:val="000000"/>
          <w:lang w:eastAsia="en-US"/>
        </w:rPr>
        <w:t xml:space="preserve">  A family history of hip fracture in the absence of any other risk factors provides a similar fracture probability</w:t>
      </w:r>
      <w:r w:rsidR="00B4773E">
        <w:rPr>
          <w:rFonts w:asciiTheme="minorHAnsi" w:hAnsiTheme="minorHAnsi"/>
          <w:color w:val="000000"/>
          <w:lang w:eastAsia="en-US"/>
        </w:rPr>
        <w:t xml:space="preserve">, is characterised at low risk and </w:t>
      </w:r>
      <w:r w:rsidR="00B4773E">
        <w:rPr>
          <w:rFonts w:asciiTheme="minorHAnsi" w:hAnsiTheme="minorHAnsi"/>
          <w:color w:val="000000"/>
          <w:lang w:eastAsia="en-US"/>
        </w:rPr>
        <w:lastRenderedPageBreak/>
        <w:t xml:space="preserve">lifestyle advice recommended.  </w:t>
      </w:r>
      <w:r w:rsidR="00B4773E" w:rsidRPr="00B4773E">
        <w:rPr>
          <w:rFonts w:asciiTheme="minorHAnsi" w:hAnsiTheme="minorHAnsi"/>
          <w:color w:val="000000"/>
          <w:lang w:eastAsia="en-US"/>
        </w:rPr>
        <w:t>The combination of</w:t>
      </w:r>
      <w:r w:rsidR="00B4773E" w:rsidRPr="00B4773E">
        <w:t xml:space="preserve"> </w:t>
      </w:r>
      <w:bookmarkStart w:id="9" w:name="_Hlk354193"/>
      <w:r w:rsidR="00B4773E">
        <w:rPr>
          <w:rFonts w:asciiTheme="minorHAnsi" w:hAnsiTheme="minorHAnsi"/>
          <w:color w:val="000000"/>
          <w:lang w:eastAsia="en-US"/>
        </w:rPr>
        <w:t>a</w:t>
      </w:r>
      <w:r w:rsidR="00B4773E" w:rsidRPr="00B4773E">
        <w:rPr>
          <w:rFonts w:asciiTheme="minorHAnsi" w:hAnsiTheme="minorHAnsi"/>
          <w:color w:val="000000"/>
          <w:lang w:eastAsia="en-US"/>
        </w:rPr>
        <w:t xml:space="preserve"> prior fragility fracture of uncertain recency</w:t>
      </w:r>
      <w:r w:rsidR="00B4773E">
        <w:rPr>
          <w:rFonts w:asciiTheme="minorHAnsi" w:hAnsiTheme="minorHAnsi"/>
          <w:color w:val="000000"/>
          <w:lang w:eastAsia="en-US"/>
        </w:rPr>
        <w:t xml:space="preserve"> </w:t>
      </w:r>
      <w:bookmarkEnd w:id="9"/>
      <w:r w:rsidR="00B4773E">
        <w:rPr>
          <w:rFonts w:asciiTheme="minorHAnsi" w:hAnsiTheme="minorHAnsi"/>
          <w:color w:val="000000"/>
          <w:lang w:eastAsia="en-US"/>
        </w:rPr>
        <w:t>and a</w:t>
      </w:r>
      <w:r w:rsidR="00B4773E" w:rsidRPr="00B4773E">
        <w:rPr>
          <w:rFonts w:asciiTheme="minorHAnsi" w:hAnsiTheme="minorHAnsi"/>
          <w:color w:val="000000"/>
          <w:lang w:eastAsia="en-US"/>
        </w:rPr>
        <w:t xml:space="preserve"> family history of hip fracture</w:t>
      </w:r>
      <w:r w:rsidR="00B4773E">
        <w:rPr>
          <w:rFonts w:asciiTheme="minorHAnsi" w:hAnsiTheme="minorHAnsi"/>
          <w:color w:val="000000"/>
          <w:lang w:eastAsia="en-US"/>
        </w:rPr>
        <w:t xml:space="preserve"> is associated with a much higher risk than either risk factor alone</w:t>
      </w:r>
      <w:r w:rsidR="00675A4B">
        <w:rPr>
          <w:rFonts w:asciiTheme="minorHAnsi" w:hAnsiTheme="minorHAnsi"/>
          <w:color w:val="000000"/>
          <w:lang w:eastAsia="en-US"/>
        </w:rPr>
        <w:t>,</w:t>
      </w:r>
      <w:r w:rsidR="00B4773E">
        <w:rPr>
          <w:rFonts w:asciiTheme="minorHAnsi" w:hAnsiTheme="minorHAnsi"/>
          <w:color w:val="000000"/>
          <w:lang w:eastAsia="en-US"/>
        </w:rPr>
        <w:t xml:space="preserve"> and falls into the category of </w:t>
      </w:r>
      <w:r w:rsidR="003F6C56">
        <w:rPr>
          <w:rFonts w:asciiTheme="minorHAnsi" w:hAnsiTheme="minorHAnsi"/>
          <w:color w:val="000000"/>
          <w:lang w:eastAsia="en-US"/>
        </w:rPr>
        <w:t>very high</w:t>
      </w:r>
      <w:r w:rsidR="00B4773E">
        <w:rPr>
          <w:rFonts w:asciiTheme="minorHAnsi" w:hAnsiTheme="minorHAnsi"/>
          <w:color w:val="000000"/>
          <w:lang w:eastAsia="en-US"/>
        </w:rPr>
        <w:t xml:space="preserve"> risk where an anabolic regimen might be recommended.</w:t>
      </w:r>
      <w:r w:rsidR="00B4773E" w:rsidRPr="00B4773E">
        <w:t xml:space="preserve"> </w:t>
      </w:r>
    </w:p>
    <w:p w14:paraId="77FC8F28" w14:textId="7A15C15A" w:rsidR="002C082C" w:rsidRDefault="002C082C" w:rsidP="00706C7E">
      <w:pPr>
        <w:autoSpaceDE w:val="0"/>
        <w:autoSpaceDN w:val="0"/>
        <w:adjustRightInd w:val="0"/>
        <w:spacing w:after="240" w:line="276" w:lineRule="auto"/>
        <w:ind w:left="567"/>
      </w:pPr>
      <w:r w:rsidRPr="002C082C">
        <w:t xml:space="preserve">A further example of the interaction of risk factors on the categorisation of risk is provided in the context of exposure to glucocorticoids (see Table </w:t>
      </w:r>
      <w:r w:rsidR="00AD3FBC">
        <w:t>1</w:t>
      </w:r>
      <w:r w:rsidRPr="002C082C">
        <w:t>).  A woman age 60 years exposed to average doses of glucocorticoids and a femoral neck T-score of -1.5 would be characterised as being at low risk in the absence of other clinical risk factors.  A lower T-score of -2.0 would place her in the category of high risk. However, for high doses (&gt;7.5 mg daily), probabilities should be upward-revised by about 15% [</w:t>
      </w:r>
      <w:r w:rsidR="003862B1">
        <w:t xml:space="preserve">25, </w:t>
      </w:r>
      <w:r w:rsidR="00F203E5">
        <w:t>52</w:t>
      </w:r>
      <w:r w:rsidRPr="002C082C">
        <w:t>] which would place the patient at very high risk.</w:t>
      </w:r>
    </w:p>
    <w:p w14:paraId="5B96698A" w14:textId="2E2D2284" w:rsidR="00701368" w:rsidRPr="00B05D21" w:rsidRDefault="00701368" w:rsidP="00701368">
      <w:pPr>
        <w:autoSpaceDE w:val="0"/>
        <w:autoSpaceDN w:val="0"/>
        <w:adjustRightInd w:val="0"/>
        <w:spacing w:after="240" w:line="276" w:lineRule="auto"/>
        <w:ind w:left="567"/>
        <w:rPr>
          <w:rFonts w:asciiTheme="minorHAnsi" w:hAnsiTheme="minorHAnsi"/>
          <w:color w:val="000000"/>
          <w:sz w:val="20"/>
          <w:szCs w:val="20"/>
          <w:lang w:eastAsia="en-US"/>
        </w:rPr>
      </w:pPr>
      <w:r w:rsidRPr="00BB22EC">
        <w:rPr>
          <w:rFonts w:asciiTheme="minorHAnsi" w:hAnsiTheme="minorHAnsi"/>
          <w:b/>
          <w:color w:val="000000"/>
          <w:sz w:val="20"/>
          <w:szCs w:val="20"/>
          <w:lang w:eastAsia="en-US"/>
        </w:rPr>
        <w:t xml:space="preserve">Table </w:t>
      </w:r>
      <w:r w:rsidR="00AD3FBC" w:rsidRPr="00BB22EC">
        <w:rPr>
          <w:rFonts w:asciiTheme="minorHAnsi" w:hAnsiTheme="minorHAnsi"/>
          <w:b/>
          <w:color w:val="000000"/>
          <w:sz w:val="20"/>
          <w:szCs w:val="20"/>
          <w:lang w:eastAsia="en-US"/>
        </w:rPr>
        <w:t>1</w:t>
      </w:r>
      <w:r w:rsidR="0040671E">
        <w:rPr>
          <w:rFonts w:asciiTheme="minorHAnsi" w:hAnsiTheme="minorHAnsi"/>
          <w:b/>
          <w:color w:val="000000"/>
          <w:sz w:val="20"/>
          <w:szCs w:val="20"/>
          <w:lang w:eastAsia="en-US"/>
        </w:rPr>
        <w:t xml:space="preserve"> </w:t>
      </w:r>
      <w:r w:rsidRPr="00BB22EC">
        <w:rPr>
          <w:rFonts w:asciiTheme="minorHAnsi" w:hAnsiTheme="minorHAnsi"/>
          <w:b/>
          <w:color w:val="000000"/>
          <w:sz w:val="20"/>
          <w:szCs w:val="20"/>
          <w:lang w:eastAsia="en-US"/>
        </w:rPr>
        <w:t xml:space="preserve">  </w:t>
      </w:r>
      <w:r w:rsidRPr="00BB22EC">
        <w:rPr>
          <w:rFonts w:asciiTheme="minorHAnsi" w:hAnsiTheme="minorHAnsi"/>
          <w:color w:val="000000"/>
          <w:sz w:val="20"/>
          <w:szCs w:val="20"/>
          <w:lang w:eastAsia="en-US"/>
        </w:rPr>
        <w:t>Examples</w:t>
      </w:r>
      <w:r w:rsidRPr="00B05D21">
        <w:rPr>
          <w:rFonts w:asciiTheme="minorHAnsi" w:hAnsiTheme="minorHAnsi"/>
          <w:color w:val="000000"/>
          <w:sz w:val="20"/>
          <w:szCs w:val="20"/>
          <w:lang w:eastAsia="en-US"/>
        </w:rPr>
        <w:t xml:space="preserve"> of risk assessment in women from the UK (BMI set to 25kg/m</w:t>
      </w:r>
      <w:r w:rsidRPr="00B05D21">
        <w:rPr>
          <w:rFonts w:asciiTheme="minorHAnsi" w:hAnsiTheme="minorHAnsi"/>
          <w:color w:val="000000"/>
          <w:sz w:val="20"/>
          <w:szCs w:val="20"/>
          <w:vertAlign w:val="superscript"/>
          <w:lang w:eastAsia="en-US"/>
        </w:rPr>
        <w:t>2</w:t>
      </w:r>
      <w:r w:rsidRPr="00B05D21">
        <w:rPr>
          <w:rFonts w:asciiTheme="minorHAnsi" w:hAnsiTheme="minorHAnsi"/>
          <w:color w:val="000000"/>
          <w:sz w:val="20"/>
          <w:szCs w:val="20"/>
          <w:lang w:eastAsia="en-US"/>
        </w:rPr>
        <w:t xml:space="preserve">).  Risk factors include prior fracture (of uncertain recency), prior </w:t>
      </w:r>
      <w:r>
        <w:rPr>
          <w:rFonts w:asciiTheme="minorHAnsi" w:hAnsiTheme="minorHAnsi"/>
          <w:color w:val="000000"/>
          <w:sz w:val="20"/>
          <w:szCs w:val="20"/>
          <w:lang w:eastAsia="en-US"/>
        </w:rPr>
        <w:t xml:space="preserve">clinical </w:t>
      </w:r>
      <w:r w:rsidRPr="00B05D21">
        <w:rPr>
          <w:rFonts w:asciiTheme="minorHAnsi" w:hAnsiTheme="minorHAnsi"/>
          <w:color w:val="000000"/>
          <w:sz w:val="20"/>
          <w:szCs w:val="20"/>
          <w:lang w:eastAsia="en-US"/>
        </w:rPr>
        <w:t xml:space="preserve">vertebral fracture within the past two years, </w:t>
      </w:r>
      <w:r w:rsidR="00FE380A">
        <w:rPr>
          <w:rFonts w:asciiTheme="minorHAnsi" w:hAnsiTheme="minorHAnsi"/>
          <w:color w:val="000000"/>
          <w:sz w:val="20"/>
          <w:szCs w:val="20"/>
          <w:lang w:eastAsia="en-US"/>
        </w:rPr>
        <w:t>f</w:t>
      </w:r>
      <w:r w:rsidRPr="00B05D21">
        <w:rPr>
          <w:rFonts w:asciiTheme="minorHAnsi" w:hAnsiTheme="minorHAnsi"/>
          <w:color w:val="000000"/>
          <w:sz w:val="20"/>
          <w:szCs w:val="20"/>
          <w:lang w:eastAsia="en-US"/>
        </w:rPr>
        <w:t xml:space="preserve">amily history of hip fracture, exposure to glucocorticoids, exposure to higher than average doses of glucocorticoids and bone mineral density (BMD) T-score at the femoral neck.  </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936"/>
        <w:gridCol w:w="934"/>
        <w:gridCol w:w="847"/>
        <w:gridCol w:w="554"/>
        <w:gridCol w:w="644"/>
        <w:gridCol w:w="1061"/>
        <w:gridCol w:w="1276"/>
        <w:gridCol w:w="1328"/>
      </w:tblGrid>
      <w:tr w:rsidR="00701368" w:rsidRPr="00FA419B" w14:paraId="233EE604" w14:textId="77777777" w:rsidTr="00701368">
        <w:tc>
          <w:tcPr>
            <w:tcW w:w="831" w:type="dxa"/>
            <w:tcBorders>
              <w:top w:val="single" w:sz="4" w:space="0" w:color="auto"/>
              <w:bottom w:val="single" w:sz="4" w:space="0" w:color="auto"/>
            </w:tcBorders>
          </w:tcPr>
          <w:p w14:paraId="345BA927"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Age (years)</w:t>
            </w:r>
          </w:p>
        </w:tc>
        <w:tc>
          <w:tcPr>
            <w:tcW w:w="936" w:type="dxa"/>
            <w:tcBorders>
              <w:top w:val="single" w:sz="4" w:space="0" w:color="auto"/>
              <w:bottom w:val="single" w:sz="4" w:space="0" w:color="auto"/>
            </w:tcBorders>
          </w:tcPr>
          <w:p w14:paraId="3B7504BA"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Prior fracture</w:t>
            </w:r>
          </w:p>
        </w:tc>
        <w:tc>
          <w:tcPr>
            <w:tcW w:w="934" w:type="dxa"/>
            <w:tcBorders>
              <w:top w:val="single" w:sz="4" w:space="0" w:color="auto"/>
              <w:bottom w:val="single" w:sz="4" w:space="0" w:color="auto"/>
            </w:tcBorders>
          </w:tcPr>
          <w:p w14:paraId="134318F5"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Recent spine fracture</w:t>
            </w:r>
          </w:p>
        </w:tc>
        <w:tc>
          <w:tcPr>
            <w:tcW w:w="847" w:type="dxa"/>
            <w:tcBorders>
              <w:top w:val="single" w:sz="4" w:space="0" w:color="auto"/>
              <w:bottom w:val="single" w:sz="4" w:space="0" w:color="auto"/>
            </w:tcBorders>
          </w:tcPr>
          <w:p w14:paraId="10212A20"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Family history</w:t>
            </w:r>
          </w:p>
        </w:tc>
        <w:tc>
          <w:tcPr>
            <w:tcW w:w="554" w:type="dxa"/>
            <w:tcBorders>
              <w:top w:val="single" w:sz="4" w:space="0" w:color="auto"/>
              <w:bottom w:val="single" w:sz="4" w:space="0" w:color="auto"/>
            </w:tcBorders>
          </w:tcPr>
          <w:p w14:paraId="6359CD2A"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GC</w:t>
            </w:r>
          </w:p>
        </w:tc>
        <w:tc>
          <w:tcPr>
            <w:tcW w:w="644" w:type="dxa"/>
            <w:tcBorders>
              <w:top w:val="single" w:sz="4" w:space="0" w:color="auto"/>
              <w:bottom w:val="single" w:sz="4" w:space="0" w:color="auto"/>
            </w:tcBorders>
          </w:tcPr>
          <w:p w14:paraId="07209F4D"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r w:rsidRPr="00FA419B">
              <w:rPr>
                <w:rFonts w:asciiTheme="minorHAnsi" w:hAnsiTheme="minorHAnsi"/>
                <w:sz w:val="20"/>
                <w:szCs w:val="20"/>
              </w:rPr>
              <w:t>GC high dose</w:t>
            </w:r>
          </w:p>
        </w:tc>
        <w:tc>
          <w:tcPr>
            <w:tcW w:w="1061" w:type="dxa"/>
            <w:tcBorders>
              <w:top w:val="single" w:sz="4" w:space="0" w:color="auto"/>
              <w:bottom w:val="single" w:sz="4" w:space="0" w:color="auto"/>
            </w:tcBorders>
          </w:tcPr>
          <w:p w14:paraId="098BF4B0"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sz w:val="20"/>
                <w:szCs w:val="20"/>
              </w:rPr>
              <w:t>BMD (T-score)</w:t>
            </w:r>
          </w:p>
        </w:tc>
        <w:tc>
          <w:tcPr>
            <w:tcW w:w="1276" w:type="dxa"/>
            <w:tcBorders>
              <w:top w:val="single" w:sz="4" w:space="0" w:color="auto"/>
              <w:bottom w:val="single" w:sz="4" w:space="0" w:color="auto"/>
            </w:tcBorders>
          </w:tcPr>
          <w:p w14:paraId="5936C1C1"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10-year probability (%)</w:t>
            </w:r>
          </w:p>
        </w:tc>
        <w:tc>
          <w:tcPr>
            <w:tcW w:w="1328" w:type="dxa"/>
            <w:tcBorders>
              <w:top w:val="single" w:sz="4" w:space="0" w:color="auto"/>
              <w:bottom w:val="single" w:sz="4" w:space="0" w:color="auto"/>
            </w:tcBorders>
            <w:shd w:val="clear" w:color="auto" w:fill="auto"/>
          </w:tcPr>
          <w:p w14:paraId="24B3DD56"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Category of risk</w:t>
            </w:r>
          </w:p>
        </w:tc>
      </w:tr>
      <w:tr w:rsidR="0054555B" w:rsidRPr="00FA419B" w14:paraId="23B06C58" w14:textId="77777777" w:rsidTr="00B8398E">
        <w:tc>
          <w:tcPr>
            <w:tcW w:w="831" w:type="dxa"/>
            <w:tcBorders>
              <w:top w:val="single" w:sz="4" w:space="0" w:color="auto"/>
            </w:tcBorders>
          </w:tcPr>
          <w:p w14:paraId="3F0ADCA7"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70</w:t>
            </w:r>
          </w:p>
        </w:tc>
        <w:tc>
          <w:tcPr>
            <w:tcW w:w="936" w:type="dxa"/>
            <w:tcBorders>
              <w:top w:val="single" w:sz="4" w:space="0" w:color="auto"/>
            </w:tcBorders>
          </w:tcPr>
          <w:p w14:paraId="1EBFCB29"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934" w:type="dxa"/>
            <w:tcBorders>
              <w:top w:val="single" w:sz="4" w:space="0" w:color="auto"/>
            </w:tcBorders>
          </w:tcPr>
          <w:p w14:paraId="3EE1AB3A"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847" w:type="dxa"/>
            <w:tcBorders>
              <w:top w:val="single" w:sz="4" w:space="0" w:color="auto"/>
            </w:tcBorders>
          </w:tcPr>
          <w:p w14:paraId="7272A6E9"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554" w:type="dxa"/>
            <w:tcBorders>
              <w:top w:val="single" w:sz="4" w:space="0" w:color="auto"/>
            </w:tcBorders>
          </w:tcPr>
          <w:p w14:paraId="337A267E"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644" w:type="dxa"/>
            <w:tcBorders>
              <w:top w:val="single" w:sz="4" w:space="0" w:color="auto"/>
            </w:tcBorders>
          </w:tcPr>
          <w:p w14:paraId="70236E56" w14:textId="77777777" w:rsidR="0054555B" w:rsidRPr="00FA419B" w:rsidRDefault="0054555B" w:rsidP="0054555B">
            <w:pPr>
              <w:autoSpaceDE w:val="0"/>
              <w:autoSpaceDN w:val="0"/>
              <w:adjustRightInd w:val="0"/>
              <w:spacing w:after="240" w:line="276" w:lineRule="auto"/>
              <w:rPr>
                <w:rFonts w:asciiTheme="minorHAnsi" w:hAnsiTheme="minorHAnsi"/>
                <w:sz w:val="20"/>
                <w:szCs w:val="20"/>
              </w:rPr>
            </w:pPr>
          </w:p>
        </w:tc>
        <w:tc>
          <w:tcPr>
            <w:tcW w:w="1061" w:type="dxa"/>
            <w:tcBorders>
              <w:top w:val="single" w:sz="4" w:space="0" w:color="auto"/>
            </w:tcBorders>
          </w:tcPr>
          <w:p w14:paraId="1A4CCCC9"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sz w:val="20"/>
                <w:szCs w:val="20"/>
              </w:rPr>
              <w:t>-</w:t>
            </w:r>
          </w:p>
        </w:tc>
        <w:tc>
          <w:tcPr>
            <w:tcW w:w="1276" w:type="dxa"/>
            <w:tcBorders>
              <w:top w:val="single" w:sz="4" w:space="0" w:color="auto"/>
              <w:right w:val="single" w:sz="4" w:space="0" w:color="auto"/>
            </w:tcBorders>
          </w:tcPr>
          <w:p w14:paraId="0F58F218" w14:textId="14B3876C"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Pr>
                <w:rFonts w:asciiTheme="minorHAnsi" w:hAnsiTheme="minorHAnsi"/>
                <w:color w:val="000000"/>
                <w:sz w:val="20"/>
                <w:szCs w:val="20"/>
                <w:lang w:eastAsia="en-US"/>
              </w:rPr>
              <w:t>20</w:t>
            </w:r>
          </w:p>
        </w:tc>
        <w:tc>
          <w:tcPr>
            <w:tcW w:w="1328" w:type="dxa"/>
            <w:tcBorders>
              <w:top w:val="single" w:sz="4" w:space="0" w:color="auto"/>
              <w:left w:val="single" w:sz="4" w:space="0" w:color="auto"/>
              <w:bottom w:val="single" w:sz="4" w:space="0" w:color="auto"/>
              <w:right w:val="single" w:sz="4" w:space="0" w:color="auto"/>
            </w:tcBorders>
            <w:shd w:val="clear" w:color="auto" w:fill="ED7D31" w:themeFill="accent2"/>
          </w:tcPr>
          <w:p w14:paraId="624C4999" w14:textId="77777777" w:rsidR="0054555B" w:rsidRPr="003436D5" w:rsidRDefault="0054555B" w:rsidP="0054555B">
            <w:pPr>
              <w:autoSpaceDE w:val="0"/>
              <w:autoSpaceDN w:val="0"/>
              <w:adjustRightInd w:val="0"/>
              <w:spacing w:after="240" w:line="276" w:lineRule="auto"/>
              <w:rPr>
                <w:rFonts w:asciiTheme="minorHAnsi" w:hAnsiTheme="minorHAnsi"/>
                <w:color w:val="FFFFFF" w:themeColor="background1"/>
                <w:sz w:val="20"/>
                <w:szCs w:val="20"/>
                <w:highlight w:val="green"/>
                <w:lang w:eastAsia="en-US"/>
              </w:rPr>
            </w:pPr>
            <w:r w:rsidRPr="003436D5">
              <w:rPr>
                <w:rFonts w:asciiTheme="minorHAnsi" w:hAnsiTheme="minorHAnsi"/>
                <w:color w:val="FFFFFF" w:themeColor="background1"/>
                <w:sz w:val="20"/>
                <w:szCs w:val="20"/>
                <w:lang w:eastAsia="en-US"/>
              </w:rPr>
              <w:t xml:space="preserve">Low </w:t>
            </w:r>
            <w:r w:rsidRPr="003436D5">
              <w:rPr>
                <w:rFonts w:asciiTheme="minorHAnsi" w:hAnsiTheme="minorHAnsi"/>
                <w:color w:val="FFFFFF" w:themeColor="background1"/>
                <w:sz w:val="20"/>
                <w:szCs w:val="20"/>
                <w:vertAlign w:val="superscript"/>
                <w:lang w:eastAsia="en-US"/>
              </w:rPr>
              <w:t>1</w:t>
            </w:r>
          </w:p>
        </w:tc>
      </w:tr>
      <w:tr w:rsidR="0054555B" w:rsidRPr="00FA419B" w14:paraId="049C1789" w14:textId="77777777" w:rsidTr="00701368">
        <w:tc>
          <w:tcPr>
            <w:tcW w:w="831" w:type="dxa"/>
          </w:tcPr>
          <w:p w14:paraId="423925D0"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70</w:t>
            </w:r>
          </w:p>
        </w:tc>
        <w:tc>
          <w:tcPr>
            <w:tcW w:w="936" w:type="dxa"/>
          </w:tcPr>
          <w:p w14:paraId="256C7F18"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934" w:type="dxa"/>
          </w:tcPr>
          <w:p w14:paraId="4E549016"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847" w:type="dxa"/>
          </w:tcPr>
          <w:p w14:paraId="1D288A10"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554" w:type="dxa"/>
          </w:tcPr>
          <w:p w14:paraId="37455B22"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644" w:type="dxa"/>
          </w:tcPr>
          <w:p w14:paraId="7AC60097" w14:textId="77777777" w:rsidR="0054555B" w:rsidRPr="00FA419B" w:rsidRDefault="0054555B" w:rsidP="0054555B">
            <w:pPr>
              <w:autoSpaceDE w:val="0"/>
              <w:autoSpaceDN w:val="0"/>
              <w:adjustRightInd w:val="0"/>
              <w:spacing w:after="240" w:line="276" w:lineRule="auto"/>
              <w:rPr>
                <w:rFonts w:asciiTheme="minorHAnsi" w:hAnsiTheme="minorHAnsi"/>
                <w:sz w:val="20"/>
                <w:szCs w:val="20"/>
              </w:rPr>
            </w:pPr>
          </w:p>
        </w:tc>
        <w:tc>
          <w:tcPr>
            <w:tcW w:w="1061" w:type="dxa"/>
          </w:tcPr>
          <w:p w14:paraId="19118783"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sz w:val="20"/>
                <w:szCs w:val="20"/>
              </w:rPr>
              <w:t>-</w:t>
            </w:r>
          </w:p>
        </w:tc>
        <w:tc>
          <w:tcPr>
            <w:tcW w:w="1276" w:type="dxa"/>
            <w:tcBorders>
              <w:right w:val="single" w:sz="4" w:space="0" w:color="auto"/>
            </w:tcBorders>
          </w:tcPr>
          <w:p w14:paraId="50885A5F" w14:textId="465EFD25"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1</w:t>
            </w:r>
            <w:r>
              <w:rPr>
                <w:rFonts w:asciiTheme="minorHAnsi" w:hAnsiTheme="minorHAnsi"/>
                <w:color w:val="000000"/>
                <w:sz w:val="20"/>
                <w:szCs w:val="20"/>
                <w:lang w:eastAsia="en-US"/>
              </w:rPr>
              <w:t>7</w:t>
            </w:r>
          </w:p>
        </w:tc>
        <w:tc>
          <w:tcPr>
            <w:tcW w:w="1328" w:type="dxa"/>
            <w:tcBorders>
              <w:top w:val="single" w:sz="4" w:space="0" w:color="auto"/>
              <w:left w:val="single" w:sz="4" w:space="0" w:color="auto"/>
              <w:bottom w:val="single" w:sz="4" w:space="0" w:color="auto"/>
              <w:right w:val="single" w:sz="4" w:space="0" w:color="auto"/>
            </w:tcBorders>
            <w:shd w:val="clear" w:color="auto" w:fill="92D050"/>
          </w:tcPr>
          <w:p w14:paraId="19FFC7AE" w14:textId="77777777" w:rsidR="0054555B" w:rsidRPr="003436D5" w:rsidRDefault="0054555B" w:rsidP="0054555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Low</w:t>
            </w:r>
          </w:p>
        </w:tc>
      </w:tr>
      <w:tr w:rsidR="0054555B" w:rsidRPr="00FA419B" w14:paraId="72A5676C" w14:textId="77777777" w:rsidTr="00B8398E">
        <w:tc>
          <w:tcPr>
            <w:tcW w:w="831" w:type="dxa"/>
          </w:tcPr>
          <w:p w14:paraId="733F9485"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70</w:t>
            </w:r>
          </w:p>
        </w:tc>
        <w:tc>
          <w:tcPr>
            <w:tcW w:w="936" w:type="dxa"/>
          </w:tcPr>
          <w:p w14:paraId="6931A388"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934" w:type="dxa"/>
          </w:tcPr>
          <w:p w14:paraId="305B83EE"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847" w:type="dxa"/>
          </w:tcPr>
          <w:p w14:paraId="41E10E0A"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554" w:type="dxa"/>
          </w:tcPr>
          <w:p w14:paraId="71E46188"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644" w:type="dxa"/>
          </w:tcPr>
          <w:p w14:paraId="617E9EAF" w14:textId="77777777" w:rsidR="0054555B" w:rsidRPr="00FA419B" w:rsidRDefault="0054555B" w:rsidP="0054555B">
            <w:pPr>
              <w:autoSpaceDE w:val="0"/>
              <w:autoSpaceDN w:val="0"/>
              <w:adjustRightInd w:val="0"/>
              <w:spacing w:after="240" w:line="276" w:lineRule="auto"/>
              <w:rPr>
                <w:rFonts w:asciiTheme="minorHAnsi" w:hAnsiTheme="minorHAnsi"/>
                <w:sz w:val="20"/>
                <w:szCs w:val="20"/>
              </w:rPr>
            </w:pPr>
          </w:p>
        </w:tc>
        <w:tc>
          <w:tcPr>
            <w:tcW w:w="1061" w:type="dxa"/>
          </w:tcPr>
          <w:p w14:paraId="519A7837"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sz w:val="20"/>
                <w:szCs w:val="20"/>
              </w:rPr>
              <w:t>-</w:t>
            </w:r>
          </w:p>
        </w:tc>
        <w:tc>
          <w:tcPr>
            <w:tcW w:w="1276" w:type="dxa"/>
            <w:tcBorders>
              <w:right w:val="single" w:sz="4" w:space="0" w:color="auto"/>
            </w:tcBorders>
          </w:tcPr>
          <w:p w14:paraId="2E02AB40" w14:textId="45225626"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Pr>
                <w:rFonts w:asciiTheme="minorHAnsi" w:hAnsiTheme="minorHAnsi"/>
                <w:color w:val="000000"/>
                <w:sz w:val="20"/>
                <w:szCs w:val="20"/>
                <w:lang w:eastAsia="en-US"/>
              </w:rPr>
              <w:t>30</w:t>
            </w:r>
          </w:p>
        </w:tc>
        <w:tc>
          <w:tcPr>
            <w:tcW w:w="1328" w:type="dxa"/>
            <w:tcBorders>
              <w:top w:val="single" w:sz="4" w:space="0" w:color="auto"/>
              <w:left w:val="single" w:sz="4" w:space="0" w:color="auto"/>
              <w:bottom w:val="single" w:sz="4" w:space="0" w:color="auto"/>
              <w:right w:val="single" w:sz="4" w:space="0" w:color="auto"/>
            </w:tcBorders>
            <w:shd w:val="clear" w:color="auto" w:fill="FF0000"/>
          </w:tcPr>
          <w:p w14:paraId="377084DA" w14:textId="77777777" w:rsidR="0054555B" w:rsidRPr="003436D5" w:rsidRDefault="0054555B" w:rsidP="0054555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Very high</w:t>
            </w:r>
          </w:p>
        </w:tc>
      </w:tr>
      <w:tr w:rsidR="0054555B" w:rsidRPr="00FA419B" w14:paraId="1F459A15" w14:textId="77777777" w:rsidTr="00B8398E">
        <w:tc>
          <w:tcPr>
            <w:tcW w:w="831" w:type="dxa"/>
          </w:tcPr>
          <w:p w14:paraId="4E7D9E55"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70</w:t>
            </w:r>
          </w:p>
        </w:tc>
        <w:tc>
          <w:tcPr>
            <w:tcW w:w="936" w:type="dxa"/>
          </w:tcPr>
          <w:p w14:paraId="443005B6"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934" w:type="dxa"/>
          </w:tcPr>
          <w:p w14:paraId="0157E100"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847" w:type="dxa"/>
          </w:tcPr>
          <w:p w14:paraId="235F7439"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554" w:type="dxa"/>
          </w:tcPr>
          <w:p w14:paraId="1FFA8388"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p>
        </w:tc>
        <w:tc>
          <w:tcPr>
            <w:tcW w:w="644" w:type="dxa"/>
          </w:tcPr>
          <w:p w14:paraId="6894A8B2" w14:textId="77777777" w:rsidR="0054555B" w:rsidRPr="00FA419B" w:rsidRDefault="0054555B" w:rsidP="0054555B">
            <w:pPr>
              <w:autoSpaceDE w:val="0"/>
              <w:autoSpaceDN w:val="0"/>
              <w:adjustRightInd w:val="0"/>
              <w:spacing w:after="240" w:line="276" w:lineRule="auto"/>
              <w:rPr>
                <w:rFonts w:asciiTheme="minorHAnsi" w:hAnsiTheme="minorHAnsi"/>
                <w:sz w:val="20"/>
                <w:szCs w:val="20"/>
              </w:rPr>
            </w:pPr>
          </w:p>
        </w:tc>
        <w:tc>
          <w:tcPr>
            <w:tcW w:w="1061" w:type="dxa"/>
          </w:tcPr>
          <w:p w14:paraId="2A18A445" w14:textId="77777777"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sz w:val="20"/>
                <w:szCs w:val="20"/>
              </w:rPr>
              <w:t>-</w:t>
            </w:r>
          </w:p>
        </w:tc>
        <w:tc>
          <w:tcPr>
            <w:tcW w:w="1276" w:type="dxa"/>
            <w:tcBorders>
              <w:right w:val="single" w:sz="4" w:space="0" w:color="auto"/>
            </w:tcBorders>
          </w:tcPr>
          <w:p w14:paraId="0E62C6EF" w14:textId="514FC440" w:rsidR="0054555B" w:rsidRPr="00FA419B" w:rsidRDefault="0054555B" w:rsidP="0054555B">
            <w:pPr>
              <w:autoSpaceDE w:val="0"/>
              <w:autoSpaceDN w:val="0"/>
              <w:adjustRightInd w:val="0"/>
              <w:spacing w:after="240" w:line="276" w:lineRule="auto"/>
              <w:rPr>
                <w:rFonts w:asciiTheme="minorHAnsi" w:hAnsiTheme="minorHAnsi"/>
                <w:color w:val="000000"/>
                <w:sz w:val="20"/>
                <w:szCs w:val="20"/>
                <w:lang w:eastAsia="en-US"/>
              </w:rPr>
            </w:pPr>
            <w:r>
              <w:rPr>
                <w:rFonts w:asciiTheme="minorHAnsi" w:hAnsiTheme="minorHAnsi"/>
                <w:color w:val="000000"/>
                <w:sz w:val="20"/>
                <w:szCs w:val="20"/>
                <w:lang w:eastAsia="en-US"/>
              </w:rPr>
              <w:t>30</w:t>
            </w:r>
          </w:p>
        </w:tc>
        <w:tc>
          <w:tcPr>
            <w:tcW w:w="1328" w:type="dxa"/>
            <w:tcBorders>
              <w:top w:val="single" w:sz="4" w:space="0" w:color="auto"/>
              <w:left w:val="single" w:sz="4" w:space="0" w:color="auto"/>
              <w:bottom w:val="single" w:sz="4" w:space="0" w:color="auto"/>
              <w:right w:val="single" w:sz="4" w:space="0" w:color="auto"/>
            </w:tcBorders>
            <w:shd w:val="clear" w:color="auto" w:fill="FF0000"/>
          </w:tcPr>
          <w:p w14:paraId="7E766675" w14:textId="77777777" w:rsidR="0054555B" w:rsidRPr="003436D5" w:rsidRDefault="0054555B" w:rsidP="0054555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Very high</w:t>
            </w:r>
          </w:p>
        </w:tc>
      </w:tr>
      <w:tr w:rsidR="00701368" w:rsidRPr="00FA419B" w14:paraId="63EB1A5F" w14:textId="77777777" w:rsidTr="00701368">
        <w:tc>
          <w:tcPr>
            <w:tcW w:w="831" w:type="dxa"/>
          </w:tcPr>
          <w:p w14:paraId="4C34C99B"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60</w:t>
            </w:r>
          </w:p>
        </w:tc>
        <w:tc>
          <w:tcPr>
            <w:tcW w:w="936" w:type="dxa"/>
          </w:tcPr>
          <w:p w14:paraId="20271F12"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934" w:type="dxa"/>
          </w:tcPr>
          <w:p w14:paraId="17DFAE43"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847" w:type="dxa"/>
          </w:tcPr>
          <w:p w14:paraId="7B2D0712"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554" w:type="dxa"/>
          </w:tcPr>
          <w:p w14:paraId="0975295D"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644" w:type="dxa"/>
          </w:tcPr>
          <w:p w14:paraId="6EC096F2"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p>
        </w:tc>
        <w:tc>
          <w:tcPr>
            <w:tcW w:w="1061" w:type="dxa"/>
          </w:tcPr>
          <w:p w14:paraId="6D6BAAA9"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r w:rsidRPr="00FA419B">
              <w:rPr>
                <w:rFonts w:asciiTheme="minorHAnsi" w:hAnsiTheme="minorHAnsi"/>
                <w:sz w:val="20"/>
                <w:szCs w:val="20"/>
              </w:rPr>
              <w:t>-1.5</w:t>
            </w:r>
          </w:p>
        </w:tc>
        <w:tc>
          <w:tcPr>
            <w:tcW w:w="1276" w:type="dxa"/>
            <w:tcBorders>
              <w:right w:val="single" w:sz="4" w:space="0" w:color="auto"/>
            </w:tcBorders>
          </w:tcPr>
          <w:p w14:paraId="567F1333" w14:textId="77777777" w:rsidR="00701368" w:rsidRPr="006F0FC9"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6F0FC9">
              <w:rPr>
                <w:rFonts w:asciiTheme="minorHAnsi" w:hAnsiTheme="minorHAnsi"/>
                <w:color w:val="000000"/>
                <w:sz w:val="20"/>
                <w:szCs w:val="20"/>
                <w:lang w:eastAsia="en-US"/>
              </w:rPr>
              <w:t>10</w:t>
            </w:r>
          </w:p>
        </w:tc>
        <w:tc>
          <w:tcPr>
            <w:tcW w:w="1328" w:type="dxa"/>
            <w:tcBorders>
              <w:top w:val="single" w:sz="4" w:space="0" w:color="auto"/>
              <w:left w:val="single" w:sz="4" w:space="0" w:color="auto"/>
              <w:bottom w:val="single" w:sz="4" w:space="0" w:color="auto"/>
              <w:right w:val="single" w:sz="4" w:space="0" w:color="auto"/>
            </w:tcBorders>
            <w:shd w:val="clear" w:color="auto" w:fill="92D050"/>
          </w:tcPr>
          <w:p w14:paraId="64106477" w14:textId="77777777" w:rsidR="00701368" w:rsidRPr="003436D5" w:rsidRDefault="00701368" w:rsidP="00704C2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L</w:t>
            </w:r>
            <w:r w:rsidRPr="003436D5">
              <w:rPr>
                <w:rFonts w:asciiTheme="minorHAnsi" w:hAnsiTheme="minorHAnsi"/>
                <w:color w:val="FFFFFF" w:themeColor="background1"/>
                <w:sz w:val="20"/>
                <w:szCs w:val="20"/>
                <w:shd w:val="clear" w:color="auto" w:fill="92D050"/>
                <w:lang w:eastAsia="en-US"/>
              </w:rPr>
              <w:t>ow</w:t>
            </w:r>
          </w:p>
        </w:tc>
      </w:tr>
      <w:tr w:rsidR="00701368" w:rsidRPr="00FA419B" w14:paraId="3C02C421" w14:textId="77777777" w:rsidTr="00B8398E">
        <w:tc>
          <w:tcPr>
            <w:tcW w:w="831" w:type="dxa"/>
          </w:tcPr>
          <w:p w14:paraId="4D5F92FD"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60</w:t>
            </w:r>
          </w:p>
        </w:tc>
        <w:tc>
          <w:tcPr>
            <w:tcW w:w="936" w:type="dxa"/>
          </w:tcPr>
          <w:p w14:paraId="6696E400"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934" w:type="dxa"/>
          </w:tcPr>
          <w:p w14:paraId="45B5CA03"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847" w:type="dxa"/>
          </w:tcPr>
          <w:p w14:paraId="6A13B226"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554" w:type="dxa"/>
          </w:tcPr>
          <w:p w14:paraId="10A64C93"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644" w:type="dxa"/>
          </w:tcPr>
          <w:p w14:paraId="56D4650A"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p>
        </w:tc>
        <w:tc>
          <w:tcPr>
            <w:tcW w:w="1061" w:type="dxa"/>
          </w:tcPr>
          <w:p w14:paraId="2D350EF8"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r w:rsidRPr="00FA419B">
              <w:rPr>
                <w:rFonts w:asciiTheme="minorHAnsi" w:hAnsiTheme="minorHAnsi"/>
                <w:sz w:val="20"/>
                <w:szCs w:val="20"/>
              </w:rPr>
              <w:t>-2.0</w:t>
            </w:r>
          </w:p>
        </w:tc>
        <w:tc>
          <w:tcPr>
            <w:tcW w:w="1276" w:type="dxa"/>
            <w:tcBorders>
              <w:right w:val="single" w:sz="4" w:space="0" w:color="auto"/>
            </w:tcBorders>
          </w:tcPr>
          <w:p w14:paraId="678C0DDE"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13</w:t>
            </w:r>
          </w:p>
        </w:tc>
        <w:tc>
          <w:tcPr>
            <w:tcW w:w="1328" w:type="dxa"/>
            <w:tcBorders>
              <w:top w:val="single" w:sz="4" w:space="0" w:color="auto"/>
              <w:left w:val="single" w:sz="4" w:space="0" w:color="auto"/>
              <w:bottom w:val="single" w:sz="4" w:space="0" w:color="auto"/>
              <w:right w:val="single" w:sz="4" w:space="0" w:color="auto"/>
            </w:tcBorders>
            <w:shd w:val="clear" w:color="auto" w:fill="ED7D31" w:themeFill="accent2"/>
          </w:tcPr>
          <w:p w14:paraId="02FCEC52" w14:textId="77777777" w:rsidR="00701368" w:rsidRPr="003436D5" w:rsidRDefault="00701368" w:rsidP="00704C2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High</w:t>
            </w:r>
          </w:p>
        </w:tc>
      </w:tr>
      <w:tr w:rsidR="00701368" w:rsidRPr="00FA419B" w14:paraId="177CB16D" w14:textId="77777777" w:rsidTr="00B8398E">
        <w:tc>
          <w:tcPr>
            <w:tcW w:w="831" w:type="dxa"/>
          </w:tcPr>
          <w:p w14:paraId="512B04A0"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60</w:t>
            </w:r>
          </w:p>
        </w:tc>
        <w:tc>
          <w:tcPr>
            <w:tcW w:w="936" w:type="dxa"/>
          </w:tcPr>
          <w:p w14:paraId="7A5D4869"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934" w:type="dxa"/>
          </w:tcPr>
          <w:p w14:paraId="67AFDFA0"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847" w:type="dxa"/>
          </w:tcPr>
          <w:p w14:paraId="6122E426"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p>
        </w:tc>
        <w:tc>
          <w:tcPr>
            <w:tcW w:w="554" w:type="dxa"/>
          </w:tcPr>
          <w:p w14:paraId="12977CA5"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yes</w:t>
            </w:r>
          </w:p>
        </w:tc>
        <w:tc>
          <w:tcPr>
            <w:tcW w:w="644" w:type="dxa"/>
          </w:tcPr>
          <w:p w14:paraId="58957C90"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r w:rsidRPr="00FA419B">
              <w:rPr>
                <w:rFonts w:asciiTheme="minorHAnsi" w:hAnsiTheme="minorHAnsi"/>
                <w:sz w:val="20"/>
                <w:szCs w:val="20"/>
              </w:rPr>
              <w:t>yes</w:t>
            </w:r>
          </w:p>
        </w:tc>
        <w:tc>
          <w:tcPr>
            <w:tcW w:w="1061" w:type="dxa"/>
          </w:tcPr>
          <w:p w14:paraId="79D88A1C" w14:textId="77777777" w:rsidR="00701368" w:rsidRPr="00FA419B" w:rsidRDefault="00701368" w:rsidP="00704C2B">
            <w:pPr>
              <w:autoSpaceDE w:val="0"/>
              <w:autoSpaceDN w:val="0"/>
              <w:adjustRightInd w:val="0"/>
              <w:spacing w:after="240" w:line="276" w:lineRule="auto"/>
              <w:rPr>
                <w:rFonts w:asciiTheme="minorHAnsi" w:hAnsiTheme="minorHAnsi"/>
                <w:sz w:val="20"/>
                <w:szCs w:val="20"/>
              </w:rPr>
            </w:pPr>
            <w:r w:rsidRPr="00FA419B">
              <w:rPr>
                <w:rFonts w:asciiTheme="minorHAnsi" w:hAnsiTheme="minorHAnsi"/>
                <w:sz w:val="20"/>
                <w:szCs w:val="20"/>
              </w:rPr>
              <w:t>-2.0</w:t>
            </w:r>
          </w:p>
        </w:tc>
        <w:tc>
          <w:tcPr>
            <w:tcW w:w="1276" w:type="dxa"/>
            <w:tcBorders>
              <w:right w:val="single" w:sz="4" w:space="0" w:color="auto"/>
            </w:tcBorders>
          </w:tcPr>
          <w:p w14:paraId="0337404C" w14:textId="77777777" w:rsidR="00701368" w:rsidRPr="00FA419B" w:rsidRDefault="00701368" w:rsidP="00704C2B">
            <w:pPr>
              <w:autoSpaceDE w:val="0"/>
              <w:autoSpaceDN w:val="0"/>
              <w:adjustRightInd w:val="0"/>
              <w:spacing w:after="240" w:line="276" w:lineRule="auto"/>
              <w:rPr>
                <w:rFonts w:asciiTheme="minorHAnsi" w:hAnsiTheme="minorHAnsi"/>
                <w:color w:val="000000"/>
                <w:sz w:val="20"/>
                <w:szCs w:val="20"/>
                <w:lang w:eastAsia="en-US"/>
              </w:rPr>
            </w:pPr>
            <w:r w:rsidRPr="00FA419B">
              <w:rPr>
                <w:rFonts w:asciiTheme="minorHAnsi" w:hAnsiTheme="minorHAnsi"/>
                <w:color w:val="000000"/>
                <w:sz w:val="20"/>
                <w:szCs w:val="20"/>
                <w:lang w:eastAsia="en-US"/>
              </w:rPr>
              <w:t>1</w:t>
            </w:r>
            <w:r>
              <w:rPr>
                <w:rFonts w:asciiTheme="minorHAnsi" w:hAnsiTheme="minorHAnsi"/>
                <w:color w:val="000000"/>
                <w:sz w:val="20"/>
                <w:szCs w:val="20"/>
                <w:lang w:eastAsia="en-US"/>
              </w:rPr>
              <w:t>5</w:t>
            </w:r>
          </w:p>
        </w:tc>
        <w:tc>
          <w:tcPr>
            <w:tcW w:w="1328" w:type="dxa"/>
            <w:tcBorders>
              <w:top w:val="single" w:sz="4" w:space="0" w:color="auto"/>
              <w:left w:val="single" w:sz="4" w:space="0" w:color="auto"/>
              <w:bottom w:val="single" w:sz="4" w:space="0" w:color="auto"/>
              <w:right w:val="single" w:sz="4" w:space="0" w:color="auto"/>
            </w:tcBorders>
            <w:shd w:val="clear" w:color="auto" w:fill="FF0000"/>
          </w:tcPr>
          <w:p w14:paraId="79AA5B47" w14:textId="77777777" w:rsidR="00701368" w:rsidRPr="003436D5" w:rsidRDefault="00701368" w:rsidP="00704C2B">
            <w:pPr>
              <w:autoSpaceDE w:val="0"/>
              <w:autoSpaceDN w:val="0"/>
              <w:adjustRightInd w:val="0"/>
              <w:spacing w:after="240" w:line="276" w:lineRule="auto"/>
              <w:rPr>
                <w:rFonts w:asciiTheme="minorHAnsi" w:hAnsiTheme="minorHAnsi"/>
                <w:color w:val="FFFFFF" w:themeColor="background1"/>
                <w:sz w:val="20"/>
                <w:szCs w:val="20"/>
                <w:lang w:eastAsia="en-US"/>
              </w:rPr>
            </w:pPr>
            <w:r w:rsidRPr="003436D5">
              <w:rPr>
                <w:rFonts w:asciiTheme="minorHAnsi" w:hAnsiTheme="minorHAnsi"/>
                <w:color w:val="FFFFFF" w:themeColor="background1"/>
                <w:sz w:val="20"/>
                <w:szCs w:val="20"/>
                <w:lang w:eastAsia="en-US"/>
              </w:rPr>
              <w:t>Very high</w:t>
            </w:r>
          </w:p>
        </w:tc>
      </w:tr>
    </w:tbl>
    <w:p w14:paraId="25AF6C1B" w14:textId="77777777" w:rsidR="00701368" w:rsidRPr="002D3386" w:rsidRDefault="00701368" w:rsidP="00701368">
      <w:pPr>
        <w:autoSpaceDE w:val="0"/>
        <w:autoSpaceDN w:val="0"/>
        <w:adjustRightInd w:val="0"/>
        <w:spacing w:after="240" w:line="276" w:lineRule="auto"/>
        <w:ind w:left="567"/>
        <w:rPr>
          <w:rFonts w:asciiTheme="minorHAnsi" w:hAnsiTheme="minorHAnsi"/>
          <w:b/>
          <w:color w:val="000000"/>
          <w:sz w:val="20"/>
          <w:szCs w:val="20"/>
          <w:lang w:eastAsia="en-US"/>
        </w:rPr>
      </w:pPr>
      <w:r w:rsidRPr="002D3386">
        <w:rPr>
          <w:rFonts w:asciiTheme="minorHAnsi" w:hAnsiTheme="minorHAnsi"/>
          <w:b/>
          <w:color w:val="000000"/>
          <w:sz w:val="20"/>
          <w:szCs w:val="20"/>
          <w:vertAlign w:val="superscript"/>
          <w:lang w:eastAsia="en-US"/>
        </w:rPr>
        <w:t>1</w:t>
      </w:r>
      <w:r w:rsidRPr="002D3386">
        <w:rPr>
          <w:rFonts w:asciiTheme="minorHAnsi" w:hAnsiTheme="minorHAnsi"/>
          <w:b/>
          <w:color w:val="000000"/>
          <w:sz w:val="20"/>
          <w:szCs w:val="20"/>
          <w:lang w:eastAsia="en-US"/>
        </w:rPr>
        <w:t xml:space="preserve"> </w:t>
      </w:r>
      <w:r w:rsidRPr="002D3386">
        <w:rPr>
          <w:rFonts w:asciiTheme="minorHAnsi" w:hAnsiTheme="minorHAnsi"/>
          <w:color w:val="000000"/>
          <w:sz w:val="20"/>
          <w:szCs w:val="20"/>
          <w:lang w:eastAsia="en-US"/>
        </w:rPr>
        <w:t>Qualifies for treatment by virtue of a prior fracture</w:t>
      </w:r>
    </w:p>
    <w:p w14:paraId="224E42FB" w14:textId="77777777" w:rsidR="00701368" w:rsidRDefault="00701368" w:rsidP="00706C7E">
      <w:pPr>
        <w:autoSpaceDE w:val="0"/>
        <w:autoSpaceDN w:val="0"/>
        <w:adjustRightInd w:val="0"/>
        <w:spacing w:after="240" w:line="276" w:lineRule="auto"/>
        <w:ind w:left="567"/>
      </w:pPr>
    </w:p>
    <w:p w14:paraId="0A28D358" w14:textId="34F0B153" w:rsidR="00FA419B" w:rsidRDefault="00B4773E" w:rsidP="00706C7E">
      <w:pPr>
        <w:autoSpaceDE w:val="0"/>
        <w:autoSpaceDN w:val="0"/>
        <w:adjustRightInd w:val="0"/>
        <w:spacing w:after="240" w:line="276" w:lineRule="auto"/>
        <w:ind w:left="567"/>
        <w:rPr>
          <w:noProof/>
        </w:rPr>
      </w:pPr>
      <w:r w:rsidRPr="00B4773E">
        <w:rPr>
          <w:rFonts w:asciiTheme="minorHAnsi" w:hAnsiTheme="minorHAnsi"/>
          <w:color w:val="000000"/>
          <w:lang w:eastAsia="en-US"/>
        </w:rPr>
        <w:t xml:space="preserve">There is </w:t>
      </w:r>
      <w:r w:rsidR="00C7365C">
        <w:rPr>
          <w:rFonts w:asciiTheme="minorHAnsi" w:hAnsiTheme="minorHAnsi"/>
          <w:color w:val="000000"/>
          <w:lang w:eastAsia="en-US"/>
        </w:rPr>
        <w:t>now a substantial</w:t>
      </w:r>
      <w:r w:rsidRPr="00B4773E">
        <w:rPr>
          <w:rFonts w:asciiTheme="minorHAnsi" w:hAnsiTheme="minorHAnsi"/>
          <w:color w:val="000000"/>
          <w:lang w:eastAsia="en-US"/>
        </w:rPr>
        <w:t xml:space="preserve"> body of evidence that the risk of a subsequent osteoporotic fracture is </w:t>
      </w:r>
      <w:r w:rsidRPr="00D20AC7">
        <w:rPr>
          <w:rFonts w:asciiTheme="minorHAnsi" w:hAnsiTheme="minorHAnsi"/>
          <w:color w:val="000000"/>
          <w:lang w:eastAsia="en-US"/>
        </w:rPr>
        <w:t>particularly acute immediately after the index fracture and wanes progressively with time</w:t>
      </w:r>
      <w:r w:rsidR="00C7365C" w:rsidRPr="00D20AC7">
        <w:rPr>
          <w:rFonts w:asciiTheme="minorHAnsi" w:hAnsiTheme="minorHAnsi"/>
          <w:color w:val="000000"/>
          <w:lang w:eastAsia="en-US"/>
        </w:rPr>
        <w:t xml:space="preserve"> [</w:t>
      </w:r>
      <w:r w:rsidR="006E2E8D">
        <w:rPr>
          <w:rFonts w:asciiTheme="minorHAnsi" w:hAnsiTheme="minorHAnsi"/>
          <w:color w:val="000000"/>
          <w:lang w:eastAsia="en-US"/>
        </w:rPr>
        <w:t xml:space="preserve">4, 5, </w:t>
      </w:r>
      <w:r w:rsidR="00CF2F48" w:rsidRPr="00CF2F48">
        <w:rPr>
          <w:rFonts w:asciiTheme="minorHAnsi" w:hAnsiTheme="minorHAnsi"/>
          <w:color w:val="000000"/>
          <w:lang w:eastAsia="en-US"/>
        </w:rPr>
        <w:t>6,</w:t>
      </w:r>
      <w:r w:rsidR="00CF2F48">
        <w:rPr>
          <w:rFonts w:asciiTheme="minorHAnsi" w:hAnsiTheme="minorHAnsi"/>
          <w:color w:val="000000"/>
          <w:lang w:eastAsia="en-US"/>
        </w:rPr>
        <w:t xml:space="preserve"> </w:t>
      </w:r>
      <w:r w:rsidR="008C6EA2">
        <w:rPr>
          <w:rFonts w:asciiTheme="minorHAnsi" w:hAnsiTheme="minorHAnsi"/>
          <w:color w:val="000000"/>
          <w:lang w:eastAsia="en-US"/>
        </w:rPr>
        <w:t>7</w:t>
      </w:r>
      <w:r w:rsidR="00111A8C">
        <w:rPr>
          <w:rFonts w:asciiTheme="minorHAnsi" w:hAnsiTheme="minorHAnsi"/>
          <w:color w:val="000000"/>
          <w:lang w:eastAsia="en-US"/>
        </w:rPr>
        <w:t xml:space="preserve">, </w:t>
      </w:r>
      <w:r w:rsidR="00CF2F48" w:rsidRPr="00CF2F48">
        <w:rPr>
          <w:rFonts w:asciiTheme="minorHAnsi" w:hAnsiTheme="minorHAnsi"/>
          <w:color w:val="000000"/>
          <w:lang w:eastAsia="en-US"/>
        </w:rPr>
        <w:t>8</w:t>
      </w:r>
      <w:r w:rsidR="00CF2F48">
        <w:rPr>
          <w:rFonts w:asciiTheme="minorHAnsi" w:hAnsiTheme="minorHAnsi"/>
          <w:color w:val="000000"/>
          <w:lang w:eastAsia="en-US"/>
        </w:rPr>
        <w:t xml:space="preserve">, </w:t>
      </w:r>
      <w:r w:rsidR="00111A8C">
        <w:rPr>
          <w:rFonts w:asciiTheme="minorHAnsi" w:hAnsiTheme="minorHAnsi"/>
          <w:color w:val="000000"/>
          <w:lang w:eastAsia="en-US"/>
        </w:rPr>
        <w:t xml:space="preserve">53, </w:t>
      </w:r>
      <w:r w:rsidR="0097688A">
        <w:rPr>
          <w:rFonts w:asciiTheme="minorHAnsi" w:hAnsiTheme="minorHAnsi"/>
          <w:color w:val="000000"/>
          <w:lang w:eastAsia="en-US"/>
        </w:rPr>
        <w:t>5</w:t>
      </w:r>
      <w:r w:rsidR="002D3300">
        <w:rPr>
          <w:rFonts w:asciiTheme="minorHAnsi" w:hAnsiTheme="minorHAnsi"/>
          <w:color w:val="000000"/>
          <w:lang w:eastAsia="en-US"/>
        </w:rPr>
        <w:t>4</w:t>
      </w:r>
      <w:r w:rsidR="0097688A">
        <w:rPr>
          <w:rFonts w:asciiTheme="minorHAnsi" w:hAnsiTheme="minorHAnsi"/>
          <w:color w:val="000000"/>
          <w:lang w:eastAsia="en-US"/>
        </w:rPr>
        <w:t xml:space="preserve">, </w:t>
      </w:r>
      <w:r w:rsidR="004B2D7C">
        <w:rPr>
          <w:rFonts w:asciiTheme="minorHAnsi" w:hAnsiTheme="minorHAnsi"/>
          <w:color w:val="000000"/>
          <w:lang w:eastAsia="en-US"/>
        </w:rPr>
        <w:t>55, 56</w:t>
      </w:r>
      <w:r w:rsidR="005E7C77">
        <w:rPr>
          <w:rFonts w:asciiTheme="minorHAnsi" w:hAnsiTheme="minorHAnsi"/>
          <w:color w:val="000000"/>
          <w:lang w:eastAsia="en-US"/>
        </w:rPr>
        <w:t>, 57</w:t>
      </w:r>
      <w:r w:rsidR="00C7365C" w:rsidRPr="00DB2B43">
        <w:rPr>
          <w:rFonts w:asciiTheme="minorHAnsi" w:hAnsiTheme="minorHAnsi"/>
          <w:color w:val="000000"/>
          <w:lang w:eastAsia="en-US"/>
        </w:rPr>
        <w:t>]</w:t>
      </w:r>
      <w:r w:rsidRPr="00DB2B43">
        <w:rPr>
          <w:rFonts w:asciiTheme="minorHAnsi" w:hAnsiTheme="minorHAnsi"/>
          <w:color w:val="000000"/>
          <w:lang w:eastAsia="en-US"/>
        </w:rPr>
        <w:t xml:space="preserve">.  </w:t>
      </w:r>
      <w:r w:rsidR="003F6C56" w:rsidRPr="00DB2B43">
        <w:rPr>
          <w:rFonts w:asciiTheme="minorHAnsi" w:hAnsiTheme="minorHAnsi"/>
          <w:color w:val="000000"/>
          <w:lang w:eastAsia="en-US"/>
        </w:rPr>
        <w:t>Thus</w:t>
      </w:r>
      <w:r w:rsidR="003F6C56" w:rsidRPr="003F6C56">
        <w:rPr>
          <w:rFonts w:asciiTheme="minorHAnsi" w:hAnsiTheme="minorHAnsi"/>
          <w:color w:val="000000"/>
          <w:lang w:eastAsia="en-US"/>
        </w:rPr>
        <w:t>, the incidence of second fracture in those who will sustain a further fracture is particularly high in the first 2 year</w:t>
      </w:r>
      <w:r w:rsidR="003F6C56">
        <w:rPr>
          <w:rFonts w:asciiTheme="minorHAnsi" w:hAnsiTheme="minorHAnsi"/>
          <w:color w:val="000000"/>
          <w:lang w:eastAsia="en-US"/>
        </w:rPr>
        <w:t>s</w:t>
      </w:r>
      <w:r w:rsidR="00643BFA" w:rsidRPr="00643BFA">
        <w:t xml:space="preserve"> </w:t>
      </w:r>
      <w:r w:rsidR="00643BFA" w:rsidRPr="00643BFA">
        <w:rPr>
          <w:rFonts w:asciiTheme="minorHAnsi" w:hAnsiTheme="minorHAnsi"/>
          <w:color w:val="000000"/>
          <w:lang w:eastAsia="en-US"/>
        </w:rPr>
        <w:t>after the index event</w:t>
      </w:r>
      <w:r w:rsidR="003F6C56" w:rsidRPr="003F6C56">
        <w:rPr>
          <w:rFonts w:asciiTheme="minorHAnsi" w:hAnsiTheme="minorHAnsi"/>
          <w:color w:val="000000"/>
          <w:lang w:eastAsia="en-US"/>
        </w:rPr>
        <w:t xml:space="preserve"> </w:t>
      </w:r>
      <w:r w:rsidR="0058722C">
        <w:rPr>
          <w:rFonts w:asciiTheme="minorHAnsi" w:hAnsiTheme="minorHAnsi"/>
          <w:color w:val="000000"/>
          <w:lang w:eastAsia="en-US"/>
        </w:rPr>
        <w:t>[</w:t>
      </w:r>
      <w:r w:rsidR="00E10D8B">
        <w:rPr>
          <w:rFonts w:asciiTheme="minorHAnsi" w:hAnsiTheme="minorHAnsi"/>
          <w:color w:val="000000"/>
          <w:lang w:eastAsia="en-US"/>
        </w:rPr>
        <w:t>5</w:t>
      </w:r>
      <w:r w:rsidR="00C4073C">
        <w:rPr>
          <w:rFonts w:asciiTheme="minorHAnsi" w:hAnsiTheme="minorHAnsi"/>
          <w:color w:val="000000"/>
          <w:lang w:eastAsia="en-US"/>
        </w:rPr>
        <w:t>8</w:t>
      </w:r>
      <w:r w:rsidR="006F497E">
        <w:rPr>
          <w:rFonts w:asciiTheme="minorHAnsi" w:hAnsiTheme="minorHAnsi"/>
          <w:color w:val="000000"/>
          <w:lang w:eastAsia="en-US"/>
        </w:rPr>
        <w:t>]</w:t>
      </w:r>
      <w:r w:rsidR="003F6C56" w:rsidRPr="003F6C56">
        <w:rPr>
          <w:rFonts w:asciiTheme="minorHAnsi" w:hAnsiTheme="minorHAnsi"/>
          <w:color w:val="000000"/>
          <w:lang w:eastAsia="en-US"/>
        </w:rPr>
        <w:t xml:space="preserve">.  </w:t>
      </w:r>
      <w:r w:rsidR="00DB2B43">
        <w:rPr>
          <w:rFonts w:asciiTheme="minorHAnsi" w:hAnsiTheme="minorHAnsi"/>
          <w:color w:val="000000"/>
          <w:lang w:eastAsia="en-US"/>
        </w:rPr>
        <w:t xml:space="preserve">In the case of hip fracture, 61% of </w:t>
      </w:r>
      <w:r w:rsidR="00F65E9B">
        <w:rPr>
          <w:rFonts w:asciiTheme="minorHAnsi" w:hAnsiTheme="minorHAnsi"/>
          <w:color w:val="000000"/>
          <w:lang w:eastAsia="en-US"/>
        </w:rPr>
        <w:t>subsequent</w:t>
      </w:r>
      <w:r w:rsidR="00DB2B43">
        <w:rPr>
          <w:rFonts w:asciiTheme="minorHAnsi" w:hAnsiTheme="minorHAnsi"/>
          <w:color w:val="000000"/>
          <w:lang w:eastAsia="en-US"/>
        </w:rPr>
        <w:t xml:space="preserve"> fractures over a 10-year time horizon will occur within the first two years.  For forearm, spine and humerus fractures the recurrence </w:t>
      </w:r>
      <w:r w:rsidR="001B7DBA">
        <w:rPr>
          <w:rFonts w:asciiTheme="minorHAnsi" w:hAnsiTheme="minorHAnsi"/>
          <w:color w:val="000000"/>
          <w:lang w:eastAsia="en-US"/>
        </w:rPr>
        <w:t xml:space="preserve">within two years </w:t>
      </w:r>
      <w:r w:rsidR="00DB2B43">
        <w:rPr>
          <w:rFonts w:asciiTheme="minorHAnsi" w:hAnsiTheme="minorHAnsi"/>
          <w:color w:val="000000"/>
          <w:lang w:eastAsia="en-US"/>
        </w:rPr>
        <w:t xml:space="preserve">is 54, 42 and 53%, respectively.  </w:t>
      </w:r>
      <w:r w:rsidR="00DB2B43" w:rsidRPr="00DB2B43">
        <w:rPr>
          <w:rFonts w:asciiTheme="minorHAnsi" w:hAnsiTheme="minorHAnsi"/>
          <w:color w:val="000000"/>
          <w:lang w:eastAsia="en-US"/>
        </w:rPr>
        <w:t xml:space="preserve">A recent population-based study demonstrated </w:t>
      </w:r>
      <w:r w:rsidR="00DB2B43" w:rsidRPr="00DB2B43">
        <w:rPr>
          <w:rFonts w:asciiTheme="minorHAnsi" w:hAnsiTheme="minorHAnsi"/>
          <w:color w:val="000000"/>
          <w:lang w:eastAsia="en-US"/>
        </w:rPr>
        <w:lastRenderedPageBreak/>
        <w:t>that the phenomenon of immediate risk was also age-dependent [</w:t>
      </w:r>
      <w:r w:rsidR="00D33359">
        <w:rPr>
          <w:rFonts w:asciiTheme="minorHAnsi" w:hAnsiTheme="minorHAnsi"/>
          <w:color w:val="000000"/>
          <w:lang w:eastAsia="en-US"/>
        </w:rPr>
        <w:t>9</w:t>
      </w:r>
      <w:r w:rsidR="00DB2B43" w:rsidRPr="00DB2B43">
        <w:rPr>
          <w:rFonts w:asciiTheme="minorHAnsi" w:hAnsiTheme="minorHAnsi"/>
          <w:color w:val="000000"/>
          <w:lang w:eastAsia="en-US"/>
        </w:rPr>
        <w:t>].</w:t>
      </w:r>
      <w:r w:rsidRPr="00B4773E">
        <w:rPr>
          <w:rFonts w:asciiTheme="minorHAnsi" w:hAnsiTheme="minorHAnsi"/>
          <w:color w:val="000000"/>
          <w:lang w:eastAsia="en-US"/>
        </w:rPr>
        <w:t xml:space="preserve"> </w:t>
      </w:r>
      <w:r w:rsidR="00BA5D82">
        <w:rPr>
          <w:rFonts w:asciiTheme="minorHAnsi" w:hAnsiTheme="minorHAnsi"/>
          <w:color w:val="000000"/>
          <w:lang w:eastAsia="en-US"/>
        </w:rPr>
        <w:t xml:space="preserve"> </w:t>
      </w:r>
      <w:r w:rsidR="00314272" w:rsidRPr="00314272">
        <w:rPr>
          <w:rFonts w:asciiTheme="minorHAnsi" w:hAnsiTheme="minorHAnsi"/>
          <w:color w:val="000000"/>
          <w:lang w:eastAsia="en-US"/>
        </w:rPr>
        <w:t xml:space="preserve">For a woman at </w:t>
      </w:r>
      <w:r w:rsidR="00B977A1">
        <w:rPr>
          <w:rFonts w:asciiTheme="minorHAnsi" w:hAnsiTheme="minorHAnsi"/>
          <w:color w:val="000000"/>
          <w:lang w:eastAsia="en-US"/>
        </w:rPr>
        <w:t xml:space="preserve">age </w:t>
      </w:r>
      <w:r w:rsidR="00314272" w:rsidRPr="00314272">
        <w:rPr>
          <w:rFonts w:asciiTheme="minorHAnsi" w:hAnsiTheme="minorHAnsi"/>
          <w:color w:val="000000"/>
          <w:lang w:eastAsia="en-US"/>
        </w:rPr>
        <w:t xml:space="preserve">70 years, a prior </w:t>
      </w:r>
      <w:r w:rsidR="00B977A1">
        <w:rPr>
          <w:rFonts w:asciiTheme="minorHAnsi" w:hAnsiTheme="minorHAnsi"/>
          <w:color w:val="000000"/>
          <w:lang w:eastAsia="en-US"/>
        </w:rPr>
        <w:t xml:space="preserve">clinical </w:t>
      </w:r>
      <w:r w:rsidR="00314272" w:rsidRPr="00314272">
        <w:rPr>
          <w:rFonts w:asciiTheme="minorHAnsi" w:hAnsiTheme="minorHAnsi"/>
          <w:color w:val="000000"/>
          <w:lang w:eastAsia="en-US"/>
        </w:rPr>
        <w:t>vertebral fracture within the past two years is associated with a 1.52-fold higher fracture probability than for a woman of the same age with a prior fragility fracture of uncertain recency [</w:t>
      </w:r>
      <w:r w:rsidR="000C045F">
        <w:rPr>
          <w:rFonts w:asciiTheme="minorHAnsi" w:hAnsiTheme="minorHAnsi"/>
          <w:color w:val="000000"/>
          <w:lang w:eastAsia="en-US"/>
        </w:rPr>
        <w:t>5</w:t>
      </w:r>
      <w:r w:rsidR="00112EE2">
        <w:rPr>
          <w:rFonts w:asciiTheme="minorHAnsi" w:hAnsiTheme="minorHAnsi"/>
          <w:color w:val="000000"/>
          <w:lang w:eastAsia="en-US"/>
        </w:rPr>
        <w:t>9</w:t>
      </w:r>
      <w:r w:rsidR="00314272" w:rsidRPr="00E02B73">
        <w:rPr>
          <w:rFonts w:asciiTheme="minorHAnsi" w:hAnsiTheme="minorHAnsi"/>
          <w:color w:val="000000"/>
          <w:lang w:eastAsia="en-US"/>
        </w:rPr>
        <w:t xml:space="preserve">] (Table </w:t>
      </w:r>
      <w:r w:rsidR="00E63C26" w:rsidRPr="00E02B73">
        <w:rPr>
          <w:rFonts w:asciiTheme="minorHAnsi" w:hAnsiTheme="minorHAnsi"/>
          <w:color w:val="000000"/>
          <w:lang w:eastAsia="en-US"/>
        </w:rPr>
        <w:t>2</w:t>
      </w:r>
      <w:r w:rsidR="00314272" w:rsidRPr="00E02B73">
        <w:rPr>
          <w:rFonts w:asciiTheme="minorHAnsi" w:hAnsiTheme="minorHAnsi"/>
          <w:color w:val="000000"/>
          <w:lang w:eastAsia="en-US"/>
        </w:rPr>
        <w:t xml:space="preserve">).  Thus, a recent </w:t>
      </w:r>
      <w:r w:rsidR="0095089A" w:rsidRPr="00E02B73">
        <w:rPr>
          <w:rFonts w:asciiTheme="minorHAnsi" w:hAnsiTheme="minorHAnsi"/>
          <w:color w:val="000000"/>
          <w:lang w:eastAsia="en-US"/>
        </w:rPr>
        <w:t xml:space="preserve">clinical </w:t>
      </w:r>
      <w:r w:rsidR="00314272" w:rsidRPr="00E02B73">
        <w:rPr>
          <w:rFonts w:asciiTheme="minorHAnsi" w:hAnsiTheme="minorHAnsi"/>
          <w:color w:val="000000"/>
          <w:lang w:eastAsia="en-US"/>
        </w:rPr>
        <w:t xml:space="preserve">vertebral fracture uplifts the fracture probability from 16 to 24% and would place the woman in the category of very high risk (see Table </w:t>
      </w:r>
      <w:r w:rsidR="00E63C26" w:rsidRPr="00E02B73">
        <w:rPr>
          <w:rFonts w:asciiTheme="minorHAnsi" w:hAnsiTheme="minorHAnsi"/>
          <w:color w:val="000000"/>
          <w:lang w:eastAsia="en-US"/>
        </w:rPr>
        <w:t>1</w:t>
      </w:r>
      <w:r w:rsidR="00314272" w:rsidRPr="00E02B73">
        <w:rPr>
          <w:rFonts w:asciiTheme="minorHAnsi" w:hAnsiTheme="minorHAnsi"/>
          <w:color w:val="000000"/>
          <w:lang w:eastAsia="en-US"/>
        </w:rPr>
        <w:t>).</w:t>
      </w:r>
      <w:r w:rsidR="00BE44DE" w:rsidRPr="00BE44DE">
        <w:rPr>
          <w:noProof/>
        </w:rPr>
        <w:t xml:space="preserve"> </w:t>
      </w:r>
    </w:p>
    <w:p w14:paraId="36177BA2" w14:textId="33197A49" w:rsidR="00E13428" w:rsidRPr="006A745A" w:rsidRDefault="00E13428" w:rsidP="00E13428">
      <w:pPr>
        <w:spacing w:after="120" w:line="240" w:lineRule="auto"/>
        <w:ind w:left="567"/>
        <w:rPr>
          <w:rFonts w:eastAsia="Calibri" w:cs="Calibri"/>
          <w:b/>
          <w:bCs/>
          <w:lang w:val="en-US" w:eastAsia="en-US"/>
        </w:rPr>
      </w:pPr>
      <w:r w:rsidRPr="00E02B73">
        <w:rPr>
          <w:rFonts w:eastAsia="Calibri" w:cs="Calibri"/>
          <w:b/>
          <w:bCs/>
          <w:lang w:val="en-US" w:eastAsia="en-US"/>
        </w:rPr>
        <w:t xml:space="preserve">Table </w:t>
      </w:r>
      <w:r w:rsidR="00E63C26" w:rsidRPr="00E02B73">
        <w:rPr>
          <w:rFonts w:eastAsia="Calibri" w:cs="Calibri"/>
          <w:b/>
          <w:bCs/>
          <w:lang w:val="en-US" w:eastAsia="en-US"/>
        </w:rPr>
        <w:t>2</w:t>
      </w:r>
      <w:r w:rsidRPr="00E02B73">
        <w:rPr>
          <w:rFonts w:eastAsia="Calibri" w:cs="Calibri"/>
          <w:b/>
          <w:bCs/>
          <w:lang w:val="en-US" w:eastAsia="en-US"/>
        </w:rPr>
        <w:t xml:space="preserve"> </w:t>
      </w:r>
      <w:r w:rsidRPr="00E02B73">
        <w:rPr>
          <w:rFonts w:eastAsia="Calibri" w:cs="Calibri"/>
          <w:bCs/>
          <w:lang w:val="en-US" w:eastAsia="en-US"/>
        </w:rPr>
        <w:t>1</w:t>
      </w:r>
      <w:r w:rsidRPr="006A745A">
        <w:rPr>
          <w:rFonts w:eastAsia="Calibri" w:cs="Calibri"/>
          <w:bCs/>
          <w:lang w:val="en-US" w:eastAsia="en-US"/>
        </w:rPr>
        <w:t xml:space="preserve">0-year probability of </w:t>
      </w:r>
      <w:r>
        <w:rPr>
          <w:rFonts w:eastAsia="Calibri" w:cs="Calibri"/>
          <w:bCs/>
          <w:lang w:val="en-US" w:eastAsia="en-US"/>
        </w:rPr>
        <w:t>major osteoporotic fracture</w:t>
      </w:r>
      <w:r w:rsidRPr="006A745A">
        <w:rPr>
          <w:rFonts w:eastAsia="Calibri" w:cs="Calibri"/>
          <w:bCs/>
          <w:lang w:val="en-US" w:eastAsia="en-US"/>
        </w:rPr>
        <w:t xml:space="preserve"> </w:t>
      </w:r>
      <w:r w:rsidR="00FB2240">
        <w:rPr>
          <w:rFonts w:eastAsia="Calibri" w:cs="Calibri"/>
          <w:bCs/>
          <w:lang w:val="en-US" w:eastAsia="en-US"/>
        </w:rPr>
        <w:t xml:space="preserve">(MOF) </w:t>
      </w:r>
      <w:r w:rsidRPr="006A745A">
        <w:rPr>
          <w:rFonts w:eastAsia="Calibri" w:cs="Calibri"/>
          <w:bCs/>
          <w:lang w:val="en-US" w:eastAsia="en-US"/>
        </w:rPr>
        <w:t xml:space="preserve">for Icelandic women at different ages, categorized by </w:t>
      </w:r>
      <w:r>
        <w:rPr>
          <w:rFonts w:eastAsia="Calibri" w:cs="Calibri"/>
          <w:bCs/>
          <w:lang w:val="en-US" w:eastAsia="en-US"/>
        </w:rPr>
        <w:t xml:space="preserve">(A) a clinical vertebral </w:t>
      </w:r>
      <w:r w:rsidRPr="006A745A">
        <w:rPr>
          <w:rFonts w:eastAsia="Calibri" w:cs="Calibri"/>
          <w:bCs/>
          <w:lang w:val="en-US" w:eastAsia="en-US"/>
        </w:rPr>
        <w:t>fracture</w:t>
      </w:r>
      <w:r>
        <w:rPr>
          <w:rFonts w:eastAsia="Calibri" w:cs="Calibri"/>
          <w:bCs/>
          <w:lang w:val="en-US" w:eastAsia="en-US"/>
        </w:rPr>
        <w:t xml:space="preserve"> within the previous 2 years and (B) a prior fracture of undetermined recency.  </w:t>
      </w:r>
      <w:r w:rsidRPr="006A745A">
        <w:rPr>
          <w:rFonts w:eastAsia="Calibri" w:cs="Calibri"/>
          <w:bCs/>
          <w:lang w:val="en-US" w:eastAsia="en-US"/>
        </w:rPr>
        <w:t xml:space="preserve"> </w:t>
      </w:r>
      <w:r>
        <w:rPr>
          <w:rFonts w:eastAsia="Calibri" w:cs="Calibri"/>
          <w:bCs/>
          <w:lang w:val="en-US" w:eastAsia="en-US"/>
        </w:rPr>
        <w:t xml:space="preserve">The right-hand column provides the ratio by which to adjust FRAX </w:t>
      </w:r>
      <w:r w:rsidRPr="00D20AC7">
        <w:rPr>
          <w:rFonts w:eastAsia="Calibri" w:cs="Calibri"/>
          <w:bCs/>
          <w:lang w:val="en-US" w:eastAsia="en-US"/>
        </w:rPr>
        <w:t>probabilities by virtue of a recent clinical vertebral fracture. From [</w:t>
      </w:r>
      <w:r w:rsidR="00454477" w:rsidRPr="00112EE2">
        <w:rPr>
          <w:rFonts w:eastAsia="Calibri" w:cs="Calibri"/>
          <w:bCs/>
          <w:lang w:val="en-US" w:eastAsia="en-US"/>
        </w:rPr>
        <w:t>5</w:t>
      </w:r>
      <w:r w:rsidR="00112EE2" w:rsidRPr="00112EE2">
        <w:rPr>
          <w:rFonts w:eastAsia="Calibri" w:cs="Calibri"/>
          <w:bCs/>
          <w:lang w:val="en-US" w:eastAsia="en-US"/>
        </w:rPr>
        <w:t>9</w:t>
      </w:r>
      <w:r w:rsidRPr="00112EE2">
        <w:rPr>
          <w:rFonts w:eastAsia="Calibri" w:cs="Calibri"/>
          <w:bCs/>
          <w:lang w:val="en-US" w:eastAsia="en-US"/>
        </w:rPr>
        <w:t>]</w:t>
      </w:r>
      <w:r w:rsidRPr="00D20AC7">
        <w:rPr>
          <w:rFonts w:eastAsia="Calibri" w:cs="Calibri"/>
          <w:bCs/>
          <w:lang w:val="en-US" w:eastAsia="en-US"/>
        </w:rPr>
        <w:t xml:space="preserve"> with kind</w:t>
      </w:r>
      <w:r>
        <w:rPr>
          <w:rFonts w:eastAsia="Calibri" w:cs="Calibri"/>
          <w:bCs/>
          <w:lang w:val="en-US" w:eastAsia="en-US"/>
        </w:rPr>
        <w:t xml:space="preserve"> permission</w:t>
      </w:r>
      <w:r w:rsidRPr="00D20AC7">
        <w:t xml:space="preserve"> </w:t>
      </w:r>
      <w:r w:rsidRPr="00D20AC7">
        <w:rPr>
          <w:rFonts w:eastAsia="Calibri" w:cs="Calibri"/>
          <w:bCs/>
          <w:lang w:val="en-US" w:eastAsia="en-US"/>
        </w:rPr>
        <w:t>from Springer Science and Business Media</w:t>
      </w:r>
    </w:p>
    <w:tbl>
      <w:tblPr>
        <w:tblStyle w:val="TableGrid2"/>
        <w:tblW w:w="8175" w:type="dxa"/>
        <w:tblInd w:w="8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222"/>
        <w:gridCol w:w="2581"/>
        <w:gridCol w:w="222"/>
        <w:gridCol w:w="2555"/>
        <w:gridCol w:w="222"/>
        <w:gridCol w:w="1249"/>
      </w:tblGrid>
      <w:tr w:rsidR="00E13428" w:rsidRPr="006A745A" w14:paraId="5F78219F" w14:textId="77777777" w:rsidTr="00704C2B">
        <w:trPr>
          <w:trHeight w:val="20"/>
        </w:trPr>
        <w:tc>
          <w:tcPr>
            <w:tcW w:w="0" w:type="auto"/>
            <w:tcBorders>
              <w:bottom w:val="nil"/>
            </w:tcBorders>
          </w:tcPr>
          <w:p w14:paraId="3DEEB4B8" w14:textId="77777777" w:rsidR="00E13428" w:rsidRPr="006A745A" w:rsidRDefault="00E13428" w:rsidP="00704C2B">
            <w:pPr>
              <w:spacing w:after="120" w:line="360" w:lineRule="auto"/>
              <w:ind w:left="567"/>
              <w:jc w:val="both"/>
              <w:rPr>
                <w:rFonts w:cs="Calibri"/>
                <w:lang w:val="en-US" w:eastAsia="en-US"/>
              </w:rPr>
            </w:pPr>
          </w:p>
        </w:tc>
        <w:tc>
          <w:tcPr>
            <w:tcW w:w="0" w:type="auto"/>
            <w:tcBorders>
              <w:bottom w:val="nil"/>
            </w:tcBorders>
          </w:tcPr>
          <w:p w14:paraId="0997B989" w14:textId="77777777" w:rsidR="00E13428" w:rsidRPr="006A745A" w:rsidRDefault="00E13428" w:rsidP="00704C2B">
            <w:pPr>
              <w:spacing w:after="120" w:line="360" w:lineRule="auto"/>
              <w:ind w:left="567"/>
              <w:jc w:val="center"/>
              <w:rPr>
                <w:rFonts w:cs="Calibri"/>
                <w:bCs/>
                <w:lang w:val="en-US" w:eastAsia="en-US"/>
              </w:rPr>
            </w:pPr>
          </w:p>
        </w:tc>
        <w:tc>
          <w:tcPr>
            <w:tcW w:w="0" w:type="auto"/>
            <w:gridSpan w:val="3"/>
            <w:tcBorders>
              <w:bottom w:val="nil"/>
            </w:tcBorders>
          </w:tcPr>
          <w:p w14:paraId="1CB56336" w14:textId="77777777" w:rsidR="00E13428" w:rsidRPr="006A745A" w:rsidRDefault="00E13428" w:rsidP="00704C2B">
            <w:pPr>
              <w:spacing w:after="120" w:line="360" w:lineRule="auto"/>
              <w:ind w:left="567"/>
              <w:jc w:val="center"/>
              <w:rPr>
                <w:rFonts w:cs="Calibri"/>
                <w:lang w:val="en-US" w:eastAsia="en-US"/>
              </w:rPr>
            </w:pPr>
            <w:r w:rsidRPr="006A745A">
              <w:rPr>
                <w:rFonts w:cs="Calibri"/>
                <w:bCs/>
                <w:lang w:val="en-US" w:eastAsia="en-US"/>
              </w:rPr>
              <w:t>10-year probability of MOF</w:t>
            </w:r>
          </w:p>
        </w:tc>
        <w:tc>
          <w:tcPr>
            <w:tcW w:w="0" w:type="auto"/>
            <w:tcBorders>
              <w:bottom w:val="nil"/>
            </w:tcBorders>
          </w:tcPr>
          <w:p w14:paraId="75ABC90F" w14:textId="77777777" w:rsidR="00E13428" w:rsidRPr="006A745A" w:rsidRDefault="00E13428" w:rsidP="00704C2B">
            <w:pPr>
              <w:spacing w:after="120" w:line="360" w:lineRule="auto"/>
              <w:ind w:left="567"/>
              <w:jc w:val="both"/>
              <w:rPr>
                <w:rFonts w:cs="Calibri"/>
                <w:lang w:val="en-US" w:eastAsia="en-US"/>
              </w:rPr>
            </w:pPr>
          </w:p>
        </w:tc>
        <w:tc>
          <w:tcPr>
            <w:tcW w:w="0" w:type="auto"/>
            <w:vMerge w:val="restart"/>
            <w:tcBorders>
              <w:bottom w:val="nil"/>
            </w:tcBorders>
          </w:tcPr>
          <w:p w14:paraId="5A4D385D"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Ratio</w:t>
            </w:r>
          </w:p>
        </w:tc>
      </w:tr>
      <w:tr w:rsidR="00E13428" w:rsidRPr="006A745A" w14:paraId="7461F466" w14:textId="77777777" w:rsidTr="00704C2B">
        <w:trPr>
          <w:trHeight w:val="20"/>
        </w:trPr>
        <w:tc>
          <w:tcPr>
            <w:tcW w:w="0" w:type="auto"/>
            <w:tcBorders>
              <w:top w:val="nil"/>
              <w:bottom w:val="single" w:sz="4" w:space="0" w:color="auto"/>
            </w:tcBorders>
          </w:tcPr>
          <w:p w14:paraId="1EAEC8CD"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Age</w:t>
            </w:r>
          </w:p>
        </w:tc>
        <w:tc>
          <w:tcPr>
            <w:tcW w:w="0" w:type="auto"/>
            <w:tcBorders>
              <w:top w:val="nil"/>
              <w:bottom w:val="single" w:sz="4" w:space="0" w:color="auto"/>
            </w:tcBorders>
          </w:tcPr>
          <w:p w14:paraId="325A1380" w14:textId="77777777" w:rsidR="00E13428" w:rsidRPr="006A745A" w:rsidRDefault="00E13428" w:rsidP="00704C2B">
            <w:pPr>
              <w:spacing w:after="120" w:line="360" w:lineRule="auto"/>
              <w:ind w:left="567"/>
              <w:jc w:val="center"/>
              <w:rPr>
                <w:rFonts w:cs="Calibri"/>
                <w:lang w:val="en-US" w:eastAsia="en-US"/>
              </w:rPr>
            </w:pPr>
          </w:p>
        </w:tc>
        <w:tc>
          <w:tcPr>
            <w:tcW w:w="0" w:type="auto"/>
            <w:tcBorders>
              <w:top w:val="nil"/>
              <w:bottom w:val="single" w:sz="4" w:space="0" w:color="auto"/>
            </w:tcBorders>
          </w:tcPr>
          <w:p w14:paraId="44AAE3BA" w14:textId="77777777" w:rsidR="00E13428" w:rsidRPr="006A745A" w:rsidRDefault="00E13428" w:rsidP="00704C2B">
            <w:pPr>
              <w:spacing w:after="120" w:line="360" w:lineRule="auto"/>
              <w:ind w:left="567"/>
              <w:jc w:val="center"/>
              <w:rPr>
                <w:rFonts w:cs="Calibri"/>
                <w:lang w:val="en-US" w:eastAsia="en-US"/>
              </w:rPr>
            </w:pPr>
            <w:r>
              <w:rPr>
                <w:rFonts w:cs="Calibri"/>
                <w:lang w:val="en-US" w:eastAsia="en-US"/>
              </w:rPr>
              <w:t>(A) Recent</w:t>
            </w:r>
            <w:r w:rsidRPr="006A745A">
              <w:rPr>
                <w:rFonts w:cs="Calibri"/>
                <w:lang w:val="en-US" w:eastAsia="en-US"/>
              </w:rPr>
              <w:t xml:space="preserve"> vertebral </w:t>
            </w:r>
          </w:p>
          <w:p w14:paraId="6AEF2252"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 xml:space="preserve">fracture </w:t>
            </w:r>
          </w:p>
        </w:tc>
        <w:tc>
          <w:tcPr>
            <w:tcW w:w="0" w:type="auto"/>
            <w:tcBorders>
              <w:top w:val="nil"/>
              <w:bottom w:val="single" w:sz="4" w:space="0" w:color="auto"/>
            </w:tcBorders>
          </w:tcPr>
          <w:p w14:paraId="73049620" w14:textId="77777777" w:rsidR="00E13428" w:rsidRPr="006A745A" w:rsidRDefault="00E13428" w:rsidP="00704C2B">
            <w:pPr>
              <w:spacing w:after="120" w:line="360" w:lineRule="auto"/>
              <w:ind w:left="567"/>
              <w:jc w:val="center"/>
              <w:rPr>
                <w:rFonts w:cs="Calibri"/>
                <w:lang w:val="en-US" w:eastAsia="en-US"/>
              </w:rPr>
            </w:pPr>
          </w:p>
        </w:tc>
        <w:tc>
          <w:tcPr>
            <w:tcW w:w="0" w:type="auto"/>
            <w:tcBorders>
              <w:top w:val="nil"/>
              <w:bottom w:val="single" w:sz="4" w:space="0" w:color="auto"/>
            </w:tcBorders>
          </w:tcPr>
          <w:p w14:paraId="12005106" w14:textId="77777777" w:rsidR="00E13428" w:rsidRPr="006A745A" w:rsidRDefault="00E13428" w:rsidP="00704C2B">
            <w:pPr>
              <w:spacing w:after="120" w:line="360" w:lineRule="auto"/>
              <w:ind w:left="567"/>
              <w:jc w:val="center"/>
              <w:rPr>
                <w:rFonts w:cs="Calibri"/>
                <w:lang w:val="en-US" w:eastAsia="en-US"/>
              </w:rPr>
            </w:pPr>
            <w:r>
              <w:rPr>
                <w:rFonts w:cs="Calibri"/>
                <w:lang w:val="en-US" w:eastAsia="en-US"/>
              </w:rPr>
              <w:t>(B) Prior</w:t>
            </w:r>
            <w:r w:rsidRPr="006A745A">
              <w:rPr>
                <w:rFonts w:cs="Calibri"/>
                <w:lang w:val="en-US" w:eastAsia="en-US"/>
              </w:rPr>
              <w:t xml:space="preserve"> </w:t>
            </w:r>
          </w:p>
          <w:p w14:paraId="31310F59"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fracture in adult life</w:t>
            </w:r>
          </w:p>
        </w:tc>
        <w:tc>
          <w:tcPr>
            <w:tcW w:w="0" w:type="auto"/>
            <w:tcBorders>
              <w:top w:val="nil"/>
              <w:bottom w:val="single" w:sz="4" w:space="0" w:color="auto"/>
            </w:tcBorders>
          </w:tcPr>
          <w:p w14:paraId="42269DB4" w14:textId="77777777" w:rsidR="00E13428" w:rsidRPr="006A745A" w:rsidRDefault="00E13428" w:rsidP="00704C2B">
            <w:pPr>
              <w:spacing w:after="120" w:line="360" w:lineRule="auto"/>
              <w:ind w:left="567"/>
              <w:jc w:val="both"/>
              <w:rPr>
                <w:rFonts w:cs="Calibri"/>
                <w:lang w:val="en-US" w:eastAsia="en-US"/>
              </w:rPr>
            </w:pPr>
          </w:p>
        </w:tc>
        <w:tc>
          <w:tcPr>
            <w:tcW w:w="0" w:type="auto"/>
            <w:vMerge/>
            <w:tcBorders>
              <w:top w:val="nil"/>
              <w:bottom w:val="single" w:sz="4" w:space="0" w:color="auto"/>
            </w:tcBorders>
          </w:tcPr>
          <w:p w14:paraId="5E7CCA18" w14:textId="77777777" w:rsidR="00E13428" w:rsidRPr="006A745A" w:rsidRDefault="00E13428" w:rsidP="00704C2B">
            <w:pPr>
              <w:spacing w:after="120" w:line="360" w:lineRule="auto"/>
              <w:ind w:left="567"/>
              <w:jc w:val="both"/>
              <w:rPr>
                <w:rFonts w:cs="Calibri"/>
                <w:lang w:val="en-US" w:eastAsia="en-US"/>
              </w:rPr>
            </w:pPr>
          </w:p>
        </w:tc>
      </w:tr>
      <w:tr w:rsidR="00E13428" w:rsidRPr="006A745A" w14:paraId="17559D80" w14:textId="77777777" w:rsidTr="00704C2B">
        <w:trPr>
          <w:trHeight w:val="20"/>
        </w:trPr>
        <w:tc>
          <w:tcPr>
            <w:tcW w:w="0" w:type="auto"/>
            <w:tcBorders>
              <w:top w:val="single" w:sz="4" w:space="0" w:color="auto"/>
            </w:tcBorders>
          </w:tcPr>
          <w:p w14:paraId="6CE9ECA8"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50</w:t>
            </w:r>
          </w:p>
        </w:tc>
        <w:tc>
          <w:tcPr>
            <w:tcW w:w="0" w:type="auto"/>
            <w:tcBorders>
              <w:top w:val="single" w:sz="4" w:space="0" w:color="auto"/>
            </w:tcBorders>
          </w:tcPr>
          <w:p w14:paraId="6528CFC2" w14:textId="77777777" w:rsidR="00E13428" w:rsidRPr="006A745A" w:rsidRDefault="00E13428" w:rsidP="00704C2B">
            <w:pPr>
              <w:spacing w:after="120" w:line="360" w:lineRule="auto"/>
              <w:ind w:left="567"/>
              <w:jc w:val="center"/>
              <w:rPr>
                <w:rFonts w:cs="Calibri"/>
                <w:lang w:val="en-US" w:eastAsia="en-US"/>
              </w:rPr>
            </w:pPr>
          </w:p>
        </w:tc>
        <w:tc>
          <w:tcPr>
            <w:tcW w:w="0" w:type="auto"/>
            <w:tcBorders>
              <w:top w:val="single" w:sz="4" w:space="0" w:color="auto"/>
            </w:tcBorders>
          </w:tcPr>
          <w:p w14:paraId="69B72083"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29.0</w:t>
            </w:r>
          </w:p>
        </w:tc>
        <w:tc>
          <w:tcPr>
            <w:tcW w:w="0" w:type="auto"/>
            <w:tcBorders>
              <w:top w:val="single" w:sz="4" w:space="0" w:color="auto"/>
            </w:tcBorders>
          </w:tcPr>
          <w:p w14:paraId="31673608" w14:textId="77777777" w:rsidR="00E13428" w:rsidRPr="006A745A" w:rsidRDefault="00E13428" w:rsidP="00704C2B">
            <w:pPr>
              <w:spacing w:after="120" w:line="360" w:lineRule="auto"/>
              <w:ind w:left="567"/>
              <w:jc w:val="center"/>
              <w:rPr>
                <w:rFonts w:cs="Calibri"/>
                <w:lang w:val="en-US" w:eastAsia="en-US"/>
              </w:rPr>
            </w:pPr>
          </w:p>
        </w:tc>
        <w:tc>
          <w:tcPr>
            <w:tcW w:w="0" w:type="auto"/>
            <w:tcBorders>
              <w:top w:val="single" w:sz="4" w:space="0" w:color="auto"/>
            </w:tcBorders>
          </w:tcPr>
          <w:p w14:paraId="5F908EB8"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11.7</w:t>
            </w:r>
          </w:p>
        </w:tc>
        <w:tc>
          <w:tcPr>
            <w:tcW w:w="0" w:type="auto"/>
            <w:tcBorders>
              <w:top w:val="single" w:sz="4" w:space="0" w:color="auto"/>
            </w:tcBorders>
          </w:tcPr>
          <w:p w14:paraId="47C0236D" w14:textId="77777777" w:rsidR="00E13428" w:rsidRPr="006A745A" w:rsidRDefault="00E13428" w:rsidP="00704C2B">
            <w:pPr>
              <w:spacing w:after="120" w:line="360" w:lineRule="auto"/>
              <w:ind w:left="567"/>
              <w:jc w:val="both"/>
              <w:rPr>
                <w:rFonts w:cs="Calibri"/>
                <w:lang w:val="en-US" w:eastAsia="en-US"/>
              </w:rPr>
            </w:pPr>
          </w:p>
        </w:tc>
        <w:tc>
          <w:tcPr>
            <w:tcW w:w="0" w:type="auto"/>
            <w:tcBorders>
              <w:top w:val="single" w:sz="4" w:space="0" w:color="auto"/>
            </w:tcBorders>
          </w:tcPr>
          <w:p w14:paraId="311BECBB"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2.47</w:t>
            </w:r>
          </w:p>
        </w:tc>
      </w:tr>
      <w:tr w:rsidR="00E13428" w:rsidRPr="006A745A" w14:paraId="287F714D" w14:textId="77777777" w:rsidTr="00704C2B">
        <w:trPr>
          <w:trHeight w:val="20"/>
        </w:trPr>
        <w:tc>
          <w:tcPr>
            <w:tcW w:w="0" w:type="auto"/>
          </w:tcPr>
          <w:p w14:paraId="4A87E9A0"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60</w:t>
            </w:r>
          </w:p>
        </w:tc>
        <w:tc>
          <w:tcPr>
            <w:tcW w:w="0" w:type="auto"/>
          </w:tcPr>
          <w:p w14:paraId="5B1A8CD2"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24992B22"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36.1</w:t>
            </w:r>
          </w:p>
        </w:tc>
        <w:tc>
          <w:tcPr>
            <w:tcW w:w="0" w:type="auto"/>
          </w:tcPr>
          <w:p w14:paraId="23187ED6"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7DC69627"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19.4</w:t>
            </w:r>
          </w:p>
        </w:tc>
        <w:tc>
          <w:tcPr>
            <w:tcW w:w="0" w:type="auto"/>
          </w:tcPr>
          <w:p w14:paraId="467B6222" w14:textId="77777777" w:rsidR="00E13428" w:rsidRPr="006A745A" w:rsidRDefault="00E13428" w:rsidP="00704C2B">
            <w:pPr>
              <w:spacing w:after="120" w:line="360" w:lineRule="auto"/>
              <w:ind w:left="567"/>
              <w:jc w:val="both"/>
              <w:rPr>
                <w:rFonts w:cs="Calibri"/>
                <w:lang w:val="en-US" w:eastAsia="en-US"/>
              </w:rPr>
            </w:pPr>
          </w:p>
        </w:tc>
        <w:tc>
          <w:tcPr>
            <w:tcW w:w="0" w:type="auto"/>
          </w:tcPr>
          <w:p w14:paraId="067097E2"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1.86</w:t>
            </w:r>
          </w:p>
        </w:tc>
      </w:tr>
      <w:tr w:rsidR="00E13428" w:rsidRPr="006A745A" w14:paraId="1AB41B2C" w14:textId="77777777" w:rsidTr="00704C2B">
        <w:trPr>
          <w:trHeight w:val="20"/>
        </w:trPr>
        <w:tc>
          <w:tcPr>
            <w:tcW w:w="0" w:type="auto"/>
          </w:tcPr>
          <w:p w14:paraId="3C2A534A"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70</w:t>
            </w:r>
          </w:p>
        </w:tc>
        <w:tc>
          <w:tcPr>
            <w:tcW w:w="0" w:type="auto"/>
          </w:tcPr>
          <w:p w14:paraId="3ECA2030"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6B41B743"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41.9</w:t>
            </w:r>
          </w:p>
        </w:tc>
        <w:tc>
          <w:tcPr>
            <w:tcW w:w="0" w:type="auto"/>
          </w:tcPr>
          <w:p w14:paraId="53207FC6"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20D2A147"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27.6</w:t>
            </w:r>
          </w:p>
        </w:tc>
        <w:tc>
          <w:tcPr>
            <w:tcW w:w="0" w:type="auto"/>
          </w:tcPr>
          <w:p w14:paraId="4B81EC2C" w14:textId="77777777" w:rsidR="00E13428" w:rsidRPr="006A745A" w:rsidRDefault="00E13428" w:rsidP="00704C2B">
            <w:pPr>
              <w:spacing w:after="120" w:line="360" w:lineRule="auto"/>
              <w:ind w:left="567"/>
              <w:jc w:val="both"/>
              <w:rPr>
                <w:rFonts w:cs="Calibri"/>
                <w:lang w:val="en-US" w:eastAsia="en-US"/>
              </w:rPr>
            </w:pPr>
          </w:p>
        </w:tc>
        <w:tc>
          <w:tcPr>
            <w:tcW w:w="0" w:type="auto"/>
          </w:tcPr>
          <w:p w14:paraId="524E237C"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1.52</w:t>
            </w:r>
          </w:p>
        </w:tc>
      </w:tr>
      <w:tr w:rsidR="00E13428" w:rsidRPr="006A745A" w14:paraId="4654C32C" w14:textId="77777777" w:rsidTr="00704C2B">
        <w:trPr>
          <w:trHeight w:val="20"/>
        </w:trPr>
        <w:tc>
          <w:tcPr>
            <w:tcW w:w="0" w:type="auto"/>
          </w:tcPr>
          <w:p w14:paraId="0A8339A2"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80</w:t>
            </w:r>
          </w:p>
        </w:tc>
        <w:tc>
          <w:tcPr>
            <w:tcW w:w="0" w:type="auto"/>
          </w:tcPr>
          <w:p w14:paraId="6746BCBD"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1FC3840A"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42.5</w:t>
            </w:r>
          </w:p>
        </w:tc>
        <w:tc>
          <w:tcPr>
            <w:tcW w:w="0" w:type="auto"/>
          </w:tcPr>
          <w:p w14:paraId="2AAD4442"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54205C89"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34.2</w:t>
            </w:r>
          </w:p>
        </w:tc>
        <w:tc>
          <w:tcPr>
            <w:tcW w:w="0" w:type="auto"/>
          </w:tcPr>
          <w:p w14:paraId="788AD553" w14:textId="77777777" w:rsidR="00E13428" w:rsidRPr="006A745A" w:rsidRDefault="00E13428" w:rsidP="00704C2B">
            <w:pPr>
              <w:spacing w:after="120" w:line="360" w:lineRule="auto"/>
              <w:ind w:left="567"/>
              <w:jc w:val="both"/>
              <w:rPr>
                <w:rFonts w:cs="Calibri"/>
                <w:lang w:val="en-US" w:eastAsia="en-US"/>
              </w:rPr>
            </w:pPr>
          </w:p>
        </w:tc>
        <w:tc>
          <w:tcPr>
            <w:tcW w:w="0" w:type="auto"/>
          </w:tcPr>
          <w:p w14:paraId="0126BE07"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1.24</w:t>
            </w:r>
          </w:p>
        </w:tc>
      </w:tr>
      <w:tr w:rsidR="00E13428" w:rsidRPr="006A745A" w14:paraId="14C940F6" w14:textId="77777777" w:rsidTr="00704C2B">
        <w:trPr>
          <w:trHeight w:val="20"/>
        </w:trPr>
        <w:tc>
          <w:tcPr>
            <w:tcW w:w="0" w:type="auto"/>
          </w:tcPr>
          <w:p w14:paraId="3CD04468"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90</w:t>
            </w:r>
          </w:p>
        </w:tc>
        <w:tc>
          <w:tcPr>
            <w:tcW w:w="0" w:type="auto"/>
          </w:tcPr>
          <w:p w14:paraId="1CDD0B6C"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670BE634"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34.7</w:t>
            </w:r>
          </w:p>
        </w:tc>
        <w:tc>
          <w:tcPr>
            <w:tcW w:w="0" w:type="auto"/>
          </w:tcPr>
          <w:p w14:paraId="4E8B4D07" w14:textId="77777777" w:rsidR="00E13428" w:rsidRPr="006A745A" w:rsidRDefault="00E13428" w:rsidP="00704C2B">
            <w:pPr>
              <w:spacing w:after="120" w:line="360" w:lineRule="auto"/>
              <w:ind w:left="567"/>
              <w:jc w:val="center"/>
              <w:rPr>
                <w:rFonts w:cs="Calibri"/>
                <w:lang w:val="en-US" w:eastAsia="en-US"/>
              </w:rPr>
            </w:pPr>
          </w:p>
        </w:tc>
        <w:tc>
          <w:tcPr>
            <w:tcW w:w="0" w:type="auto"/>
          </w:tcPr>
          <w:p w14:paraId="5116F436" w14:textId="77777777" w:rsidR="00E13428" w:rsidRPr="006A745A" w:rsidRDefault="00E13428" w:rsidP="00704C2B">
            <w:pPr>
              <w:spacing w:after="120" w:line="360" w:lineRule="auto"/>
              <w:ind w:left="567"/>
              <w:jc w:val="center"/>
              <w:rPr>
                <w:rFonts w:cs="Calibri"/>
                <w:lang w:val="en-US" w:eastAsia="en-US"/>
              </w:rPr>
            </w:pPr>
            <w:r w:rsidRPr="006A745A">
              <w:rPr>
                <w:rFonts w:cs="Calibri"/>
                <w:lang w:val="en-US" w:eastAsia="en-US"/>
              </w:rPr>
              <w:t>33.3</w:t>
            </w:r>
          </w:p>
        </w:tc>
        <w:tc>
          <w:tcPr>
            <w:tcW w:w="0" w:type="auto"/>
          </w:tcPr>
          <w:p w14:paraId="78A3A051" w14:textId="77777777" w:rsidR="00E13428" w:rsidRPr="006A745A" w:rsidRDefault="00E13428" w:rsidP="00704C2B">
            <w:pPr>
              <w:spacing w:after="120" w:line="360" w:lineRule="auto"/>
              <w:ind w:left="567"/>
              <w:jc w:val="both"/>
              <w:rPr>
                <w:rFonts w:cs="Calibri"/>
                <w:lang w:val="en-US" w:eastAsia="en-US"/>
              </w:rPr>
            </w:pPr>
          </w:p>
        </w:tc>
        <w:tc>
          <w:tcPr>
            <w:tcW w:w="0" w:type="auto"/>
          </w:tcPr>
          <w:p w14:paraId="384A486D" w14:textId="77777777" w:rsidR="00E13428" w:rsidRPr="006A745A" w:rsidRDefault="00E13428" w:rsidP="00704C2B">
            <w:pPr>
              <w:spacing w:after="120" w:line="360" w:lineRule="auto"/>
              <w:ind w:left="567"/>
              <w:jc w:val="both"/>
              <w:rPr>
                <w:rFonts w:cs="Calibri"/>
                <w:lang w:val="en-US" w:eastAsia="en-US"/>
              </w:rPr>
            </w:pPr>
            <w:r w:rsidRPr="006A745A">
              <w:rPr>
                <w:rFonts w:cs="Calibri"/>
                <w:lang w:val="en-US" w:eastAsia="en-US"/>
              </w:rPr>
              <w:t>1.04</w:t>
            </w:r>
          </w:p>
        </w:tc>
      </w:tr>
    </w:tbl>
    <w:p w14:paraId="07CDDC29" w14:textId="77777777" w:rsidR="00E13428" w:rsidRDefault="00E13428" w:rsidP="00E13428">
      <w:pPr>
        <w:spacing w:after="120" w:line="360" w:lineRule="auto"/>
        <w:ind w:left="567"/>
        <w:jc w:val="both"/>
        <w:rPr>
          <w:rFonts w:cs="Calibri"/>
          <w:lang w:val="en-US" w:eastAsia="en-US"/>
        </w:rPr>
      </w:pPr>
      <w:r w:rsidRPr="00A108AF">
        <w:rPr>
          <w:rFonts w:cs="Calibri"/>
          <w:lang w:val="en-US" w:eastAsia="en-US"/>
        </w:rPr>
        <w:t>Risk stratification with NOGG guidelines*</w:t>
      </w:r>
      <w:r>
        <w:rPr>
          <w:rFonts w:cs="Calibri"/>
          <w:lang w:val="en-US" w:eastAsia="en-US"/>
        </w:rPr>
        <w:t xml:space="preserve"> BMI set at 25kg/m</w:t>
      </w:r>
      <w:r w:rsidRPr="000554E9">
        <w:rPr>
          <w:rFonts w:cs="Calibri"/>
          <w:vertAlign w:val="superscript"/>
          <w:lang w:val="en-US" w:eastAsia="en-US"/>
        </w:rPr>
        <w:t>2</w:t>
      </w:r>
    </w:p>
    <w:p w14:paraId="4CA3DFAC" w14:textId="07DB14F0" w:rsidR="00E13428" w:rsidRPr="00E02B73" w:rsidRDefault="00FE476C" w:rsidP="00706C7E">
      <w:pPr>
        <w:autoSpaceDE w:val="0"/>
        <w:autoSpaceDN w:val="0"/>
        <w:adjustRightInd w:val="0"/>
        <w:spacing w:after="240" w:line="276" w:lineRule="auto"/>
        <w:ind w:left="567"/>
        <w:rPr>
          <w:rFonts w:asciiTheme="minorHAnsi" w:hAnsiTheme="minorHAnsi"/>
          <w:color w:val="000000"/>
          <w:lang w:eastAsia="en-US"/>
        </w:rPr>
      </w:pPr>
      <w:r>
        <w:rPr>
          <w:rFonts w:asciiTheme="minorHAnsi" w:hAnsiTheme="minorHAnsi"/>
          <w:color w:val="000000"/>
          <w:lang w:eastAsia="en-US"/>
        </w:rPr>
        <w:t xml:space="preserve">The ratios </w:t>
      </w:r>
      <w:r w:rsidRPr="00E02B73">
        <w:rPr>
          <w:rFonts w:asciiTheme="minorHAnsi" w:hAnsiTheme="minorHAnsi"/>
          <w:color w:val="000000"/>
          <w:lang w:eastAsia="en-US"/>
        </w:rPr>
        <w:t xml:space="preserve">given in Table </w:t>
      </w:r>
      <w:r w:rsidR="00014F48" w:rsidRPr="00E02B73">
        <w:rPr>
          <w:rFonts w:asciiTheme="minorHAnsi" w:hAnsiTheme="minorHAnsi"/>
          <w:color w:val="000000"/>
          <w:lang w:eastAsia="en-US"/>
        </w:rPr>
        <w:t>2</w:t>
      </w:r>
      <w:r w:rsidR="00B428C5" w:rsidRPr="00E02B73">
        <w:rPr>
          <w:rFonts w:asciiTheme="minorHAnsi" w:hAnsiTheme="minorHAnsi"/>
          <w:color w:val="000000"/>
          <w:lang w:eastAsia="en-US"/>
        </w:rPr>
        <w:t xml:space="preserve"> can be used to adjust</w:t>
      </w:r>
      <w:r w:rsidR="00260BC6" w:rsidRPr="00E02B73">
        <w:rPr>
          <w:rFonts w:asciiTheme="minorHAnsi" w:hAnsiTheme="minorHAnsi"/>
          <w:color w:val="000000"/>
          <w:lang w:eastAsia="en-US"/>
        </w:rPr>
        <w:t xml:space="preserve"> fracture probabilities</w:t>
      </w:r>
      <w:r w:rsidR="00825524" w:rsidRPr="00E02B73">
        <w:rPr>
          <w:rFonts w:asciiTheme="minorHAnsi" w:hAnsiTheme="minorHAnsi"/>
          <w:color w:val="000000"/>
          <w:lang w:eastAsia="en-US"/>
        </w:rPr>
        <w:t xml:space="preserve"> derived from FRAX for recency of </w:t>
      </w:r>
      <w:r w:rsidR="00C000E2" w:rsidRPr="00E02B73">
        <w:rPr>
          <w:rFonts w:asciiTheme="minorHAnsi" w:hAnsiTheme="minorHAnsi"/>
          <w:color w:val="000000"/>
          <w:lang w:eastAsia="en-US"/>
        </w:rPr>
        <w:t>clinical vertebral fracture</w:t>
      </w:r>
      <w:r w:rsidR="00221AE4" w:rsidRPr="00E02B73">
        <w:rPr>
          <w:rFonts w:asciiTheme="minorHAnsi" w:hAnsiTheme="minorHAnsi"/>
          <w:color w:val="000000"/>
          <w:lang w:eastAsia="en-US"/>
        </w:rPr>
        <w:t xml:space="preserve">. </w:t>
      </w:r>
      <w:r w:rsidR="00C000E2" w:rsidRPr="00E02B73">
        <w:rPr>
          <w:rFonts w:asciiTheme="minorHAnsi" w:hAnsiTheme="minorHAnsi"/>
          <w:color w:val="000000"/>
          <w:lang w:eastAsia="en-US"/>
        </w:rPr>
        <w:t xml:space="preserve"> </w:t>
      </w:r>
      <w:r w:rsidR="00EA58A5" w:rsidRPr="00E02B73">
        <w:rPr>
          <w:rFonts w:asciiTheme="minorHAnsi" w:hAnsiTheme="minorHAnsi"/>
          <w:color w:val="000000"/>
          <w:lang w:eastAsia="en-US"/>
        </w:rPr>
        <w:t xml:space="preserve">Table </w:t>
      </w:r>
      <w:r w:rsidR="00014F48" w:rsidRPr="00E02B73">
        <w:rPr>
          <w:rFonts w:asciiTheme="minorHAnsi" w:hAnsiTheme="minorHAnsi"/>
          <w:color w:val="000000"/>
          <w:lang w:eastAsia="en-US"/>
        </w:rPr>
        <w:t>3</w:t>
      </w:r>
      <w:r w:rsidR="00291C25" w:rsidRPr="00E02B73">
        <w:rPr>
          <w:rFonts w:asciiTheme="minorHAnsi" w:hAnsiTheme="minorHAnsi"/>
          <w:color w:val="000000"/>
          <w:lang w:eastAsia="en-US"/>
        </w:rPr>
        <w:t xml:space="preserve"> </w:t>
      </w:r>
      <w:r w:rsidR="003F268A" w:rsidRPr="00E02B73">
        <w:rPr>
          <w:rFonts w:asciiTheme="minorHAnsi" w:hAnsiTheme="minorHAnsi"/>
          <w:color w:val="000000"/>
          <w:lang w:eastAsia="en-US"/>
        </w:rPr>
        <w:t xml:space="preserve">gives the </w:t>
      </w:r>
      <w:r w:rsidR="00BC2F37">
        <w:rPr>
          <w:rFonts w:asciiTheme="minorHAnsi" w:hAnsiTheme="minorHAnsi"/>
          <w:color w:val="000000"/>
          <w:lang w:eastAsia="en-US"/>
        </w:rPr>
        <w:t>current</w:t>
      </w:r>
      <w:r w:rsidR="003F268A" w:rsidRPr="00E02B73">
        <w:rPr>
          <w:rFonts w:asciiTheme="minorHAnsi" w:hAnsiTheme="minorHAnsi"/>
          <w:color w:val="000000"/>
          <w:lang w:eastAsia="en-US"/>
        </w:rPr>
        <w:t xml:space="preserve"> </w:t>
      </w:r>
      <w:r w:rsidR="004B2C29" w:rsidRPr="00E02B73">
        <w:rPr>
          <w:rFonts w:asciiTheme="minorHAnsi" w:hAnsiTheme="minorHAnsi"/>
          <w:color w:val="000000"/>
          <w:lang w:eastAsia="en-US"/>
        </w:rPr>
        <w:t>probabilities</w:t>
      </w:r>
      <w:r w:rsidR="002F7833" w:rsidRPr="00E02B73">
        <w:rPr>
          <w:rFonts w:asciiTheme="minorHAnsi" w:hAnsiTheme="minorHAnsi"/>
          <w:color w:val="000000"/>
          <w:lang w:eastAsia="en-US"/>
        </w:rPr>
        <w:t xml:space="preserve"> of a major fracture in women with a prior </w:t>
      </w:r>
      <w:r w:rsidR="004B2C29" w:rsidRPr="00E02B73">
        <w:rPr>
          <w:rFonts w:asciiTheme="minorHAnsi" w:hAnsiTheme="minorHAnsi"/>
          <w:color w:val="000000"/>
          <w:lang w:eastAsia="en-US"/>
        </w:rPr>
        <w:t>fragility fracture</w:t>
      </w:r>
      <w:r w:rsidR="0014723B" w:rsidRPr="0014723B">
        <w:rPr>
          <w:rFonts w:asciiTheme="minorHAnsi" w:hAnsiTheme="minorHAnsi"/>
          <w:color w:val="000000"/>
          <w:lang w:eastAsia="en-US"/>
        </w:rPr>
        <w:t xml:space="preserve"> </w:t>
      </w:r>
      <w:r w:rsidR="0014723B">
        <w:rPr>
          <w:rFonts w:asciiTheme="minorHAnsi" w:hAnsiTheme="minorHAnsi"/>
          <w:color w:val="000000"/>
          <w:lang w:eastAsia="en-US"/>
        </w:rPr>
        <w:t>of uncertain recency</w:t>
      </w:r>
      <w:r w:rsidR="004B2C29" w:rsidRPr="00E02B73">
        <w:rPr>
          <w:rFonts w:asciiTheme="minorHAnsi" w:hAnsiTheme="minorHAnsi"/>
          <w:color w:val="000000"/>
          <w:lang w:eastAsia="en-US"/>
        </w:rPr>
        <w:t xml:space="preserve"> </w:t>
      </w:r>
      <w:r w:rsidR="00C54507">
        <w:rPr>
          <w:rFonts w:asciiTheme="minorHAnsi" w:hAnsiTheme="minorHAnsi"/>
          <w:color w:val="000000"/>
          <w:lang w:eastAsia="en-US"/>
        </w:rPr>
        <w:t>using</w:t>
      </w:r>
      <w:r w:rsidR="00291C25" w:rsidRPr="00E02B73">
        <w:rPr>
          <w:rFonts w:asciiTheme="minorHAnsi" w:hAnsiTheme="minorHAnsi"/>
          <w:color w:val="000000"/>
          <w:lang w:eastAsia="en-US"/>
        </w:rPr>
        <w:t xml:space="preserve"> the UK FRAX mo</w:t>
      </w:r>
      <w:r w:rsidR="00DA1EF5" w:rsidRPr="00E02B73">
        <w:rPr>
          <w:rFonts w:asciiTheme="minorHAnsi" w:hAnsiTheme="minorHAnsi"/>
          <w:color w:val="000000"/>
          <w:lang w:eastAsia="en-US"/>
        </w:rPr>
        <w:t>del</w:t>
      </w:r>
      <w:r w:rsidR="006E47A0" w:rsidRPr="00E02B73">
        <w:rPr>
          <w:rFonts w:asciiTheme="minorHAnsi" w:hAnsiTheme="minorHAnsi"/>
          <w:color w:val="000000"/>
          <w:lang w:eastAsia="en-US"/>
        </w:rPr>
        <w:t xml:space="preserve"> together with the </w:t>
      </w:r>
      <w:r w:rsidR="000C109F" w:rsidRPr="00E02B73">
        <w:rPr>
          <w:rFonts w:asciiTheme="minorHAnsi" w:hAnsiTheme="minorHAnsi"/>
          <w:color w:val="000000"/>
          <w:lang w:eastAsia="en-US"/>
        </w:rPr>
        <w:t xml:space="preserve">adjusted probabilities </w:t>
      </w:r>
      <w:r w:rsidR="00004AE4" w:rsidRPr="00E02B73">
        <w:rPr>
          <w:rFonts w:asciiTheme="minorHAnsi" w:hAnsiTheme="minorHAnsi"/>
          <w:color w:val="000000"/>
          <w:lang w:eastAsia="en-US"/>
        </w:rPr>
        <w:t xml:space="preserve">for women with a clinical vertebral </w:t>
      </w:r>
      <w:r w:rsidR="00513E49" w:rsidRPr="00E02B73">
        <w:rPr>
          <w:rFonts w:asciiTheme="minorHAnsi" w:hAnsiTheme="minorHAnsi"/>
          <w:color w:val="000000"/>
          <w:lang w:eastAsia="en-US"/>
        </w:rPr>
        <w:t>fracture</w:t>
      </w:r>
      <w:r w:rsidR="00004AE4" w:rsidRPr="00E02B73">
        <w:rPr>
          <w:rFonts w:asciiTheme="minorHAnsi" w:hAnsiTheme="minorHAnsi"/>
          <w:color w:val="000000"/>
          <w:lang w:eastAsia="en-US"/>
        </w:rPr>
        <w:t xml:space="preserve"> within the past two years</w:t>
      </w:r>
      <w:r w:rsidR="00513E49" w:rsidRPr="00E02B73">
        <w:rPr>
          <w:rFonts w:asciiTheme="minorHAnsi" w:hAnsiTheme="minorHAnsi"/>
          <w:color w:val="000000"/>
          <w:lang w:eastAsia="en-US"/>
        </w:rPr>
        <w:t>.</w:t>
      </w:r>
      <w:r w:rsidR="000C109F" w:rsidRPr="00E02B73">
        <w:rPr>
          <w:rFonts w:asciiTheme="minorHAnsi" w:hAnsiTheme="minorHAnsi"/>
          <w:color w:val="000000"/>
          <w:lang w:eastAsia="en-US"/>
        </w:rPr>
        <w:t xml:space="preserve"> </w:t>
      </w:r>
    </w:p>
    <w:p w14:paraId="7957A9E8" w14:textId="4AFBA501" w:rsidR="007016A0" w:rsidRPr="0070799D" w:rsidRDefault="007016A0" w:rsidP="0070799D">
      <w:pPr>
        <w:autoSpaceDE w:val="0"/>
        <w:autoSpaceDN w:val="0"/>
        <w:adjustRightInd w:val="0"/>
        <w:spacing w:after="0" w:line="276" w:lineRule="auto"/>
        <w:ind w:left="567"/>
        <w:rPr>
          <w:rFonts w:asciiTheme="minorHAnsi" w:hAnsiTheme="minorHAnsi"/>
          <w:color w:val="000000"/>
          <w:sz w:val="20"/>
          <w:szCs w:val="20"/>
          <w:lang w:eastAsia="en-US"/>
        </w:rPr>
      </w:pPr>
      <w:r w:rsidRPr="00E02B73">
        <w:rPr>
          <w:rFonts w:asciiTheme="minorHAnsi" w:hAnsiTheme="minorHAnsi"/>
          <w:b/>
          <w:color w:val="000000"/>
          <w:sz w:val="20"/>
          <w:szCs w:val="20"/>
          <w:lang w:eastAsia="en-US"/>
        </w:rPr>
        <w:t xml:space="preserve">Table </w:t>
      </w:r>
      <w:r w:rsidR="00014F48" w:rsidRPr="00E02B73">
        <w:rPr>
          <w:rFonts w:asciiTheme="minorHAnsi" w:hAnsiTheme="minorHAnsi"/>
          <w:b/>
          <w:color w:val="000000"/>
          <w:sz w:val="20"/>
          <w:szCs w:val="20"/>
          <w:lang w:eastAsia="en-US"/>
        </w:rPr>
        <w:t>3</w:t>
      </w:r>
      <w:r w:rsidR="001079D2" w:rsidRPr="00E02B73">
        <w:rPr>
          <w:rFonts w:asciiTheme="minorHAnsi" w:hAnsiTheme="minorHAnsi"/>
          <w:color w:val="000000"/>
          <w:sz w:val="20"/>
          <w:szCs w:val="20"/>
          <w:lang w:eastAsia="en-US"/>
        </w:rPr>
        <w:t xml:space="preserve"> </w:t>
      </w:r>
      <w:r w:rsidRPr="00E02B73">
        <w:rPr>
          <w:rFonts w:asciiTheme="minorHAnsi" w:hAnsiTheme="minorHAnsi"/>
          <w:color w:val="000000"/>
          <w:sz w:val="20"/>
          <w:szCs w:val="20"/>
          <w:lang w:eastAsia="en-US"/>
        </w:rPr>
        <w:t xml:space="preserve"> </w:t>
      </w:r>
      <w:r w:rsidR="00020418">
        <w:rPr>
          <w:rFonts w:asciiTheme="minorHAnsi" w:hAnsiTheme="minorHAnsi"/>
          <w:color w:val="000000"/>
          <w:sz w:val="20"/>
          <w:szCs w:val="20"/>
          <w:lang w:eastAsia="en-US"/>
        </w:rPr>
        <w:t xml:space="preserve"> </w:t>
      </w:r>
      <w:r w:rsidR="001079D2" w:rsidRPr="00E02B73">
        <w:rPr>
          <w:rFonts w:asciiTheme="minorHAnsi" w:hAnsiTheme="minorHAnsi"/>
          <w:color w:val="000000"/>
          <w:sz w:val="20"/>
          <w:szCs w:val="20"/>
          <w:lang w:eastAsia="en-US"/>
        </w:rPr>
        <w:t>U</w:t>
      </w:r>
      <w:r w:rsidRPr="00E02B73">
        <w:rPr>
          <w:rFonts w:asciiTheme="minorHAnsi" w:hAnsiTheme="minorHAnsi"/>
          <w:color w:val="000000"/>
          <w:sz w:val="20"/>
          <w:szCs w:val="20"/>
          <w:lang w:eastAsia="en-US"/>
        </w:rPr>
        <w:t>n</w:t>
      </w:r>
      <w:r w:rsidRPr="0070799D">
        <w:rPr>
          <w:rFonts w:asciiTheme="minorHAnsi" w:hAnsiTheme="minorHAnsi"/>
          <w:color w:val="000000"/>
          <w:sz w:val="20"/>
          <w:szCs w:val="20"/>
          <w:lang w:eastAsia="en-US"/>
        </w:rPr>
        <w:t>adjusted probabilities of a major fracture in women with a prior fragility fracture</w:t>
      </w:r>
      <w:r w:rsidR="001079D2" w:rsidRPr="0070799D">
        <w:rPr>
          <w:rFonts w:asciiTheme="minorHAnsi" w:hAnsiTheme="minorHAnsi"/>
          <w:color w:val="000000"/>
          <w:sz w:val="20"/>
          <w:szCs w:val="20"/>
          <w:lang w:eastAsia="en-US"/>
        </w:rPr>
        <w:t xml:space="preserve"> by </w:t>
      </w:r>
      <w:r w:rsidR="000A55A9" w:rsidRPr="0070799D">
        <w:rPr>
          <w:rFonts w:asciiTheme="minorHAnsi" w:hAnsiTheme="minorHAnsi"/>
          <w:color w:val="000000"/>
          <w:sz w:val="20"/>
          <w:szCs w:val="20"/>
          <w:lang w:eastAsia="en-US"/>
        </w:rPr>
        <w:t xml:space="preserve">age </w:t>
      </w:r>
      <w:r w:rsidR="000A55A9">
        <w:rPr>
          <w:rFonts w:asciiTheme="minorHAnsi" w:hAnsiTheme="minorHAnsi"/>
          <w:color w:val="000000"/>
          <w:sz w:val="20"/>
          <w:szCs w:val="20"/>
          <w:lang w:eastAsia="en-US"/>
        </w:rPr>
        <w:t>using</w:t>
      </w:r>
      <w:r w:rsidRPr="0070799D">
        <w:rPr>
          <w:rFonts w:asciiTheme="minorHAnsi" w:hAnsiTheme="minorHAnsi"/>
          <w:color w:val="000000"/>
          <w:sz w:val="20"/>
          <w:szCs w:val="20"/>
          <w:lang w:eastAsia="en-US"/>
        </w:rPr>
        <w:t xml:space="preserve"> the UK FRAX model together with the categories of risk</w:t>
      </w:r>
      <w:r w:rsidR="00727B85" w:rsidRPr="0070799D">
        <w:rPr>
          <w:rFonts w:asciiTheme="minorHAnsi" w:hAnsiTheme="minorHAnsi"/>
          <w:color w:val="000000"/>
          <w:sz w:val="20"/>
          <w:szCs w:val="20"/>
          <w:lang w:eastAsia="en-US"/>
        </w:rPr>
        <w:t xml:space="preserve"> and adjusted FRA</w:t>
      </w:r>
      <w:r w:rsidR="00C34D54" w:rsidRPr="0070799D">
        <w:rPr>
          <w:rFonts w:asciiTheme="minorHAnsi" w:hAnsiTheme="minorHAnsi"/>
          <w:color w:val="000000"/>
          <w:sz w:val="20"/>
          <w:szCs w:val="20"/>
          <w:lang w:eastAsia="en-US"/>
        </w:rPr>
        <w:t>X</w:t>
      </w:r>
      <w:r w:rsidR="00727B85" w:rsidRPr="0070799D">
        <w:rPr>
          <w:rFonts w:asciiTheme="minorHAnsi" w:hAnsiTheme="minorHAnsi"/>
          <w:color w:val="000000"/>
          <w:sz w:val="20"/>
          <w:szCs w:val="20"/>
          <w:lang w:eastAsia="en-US"/>
        </w:rPr>
        <w:t xml:space="preserve"> probabilities</w:t>
      </w:r>
      <w:r w:rsidR="00C34D54" w:rsidRPr="0070799D">
        <w:rPr>
          <w:rFonts w:asciiTheme="minorHAnsi" w:hAnsiTheme="minorHAnsi"/>
          <w:color w:val="000000"/>
          <w:sz w:val="20"/>
          <w:szCs w:val="20"/>
          <w:lang w:eastAsia="en-US"/>
        </w:rPr>
        <w:t xml:space="preserve"> for women with a recent clinical </w:t>
      </w:r>
      <w:r w:rsidR="0070799D" w:rsidRPr="0070799D">
        <w:rPr>
          <w:rFonts w:asciiTheme="minorHAnsi" w:hAnsiTheme="minorHAnsi"/>
          <w:color w:val="000000"/>
          <w:sz w:val="20"/>
          <w:szCs w:val="20"/>
          <w:lang w:eastAsia="en-US"/>
        </w:rPr>
        <w:t>vertebral fracture.</w:t>
      </w:r>
      <w:r w:rsidR="00305DAB" w:rsidRPr="00305DAB">
        <w:t xml:space="preserve"> </w:t>
      </w:r>
      <w:r w:rsidR="00305DAB" w:rsidRPr="00305DAB">
        <w:rPr>
          <w:rFonts w:asciiTheme="minorHAnsi" w:hAnsiTheme="minorHAnsi"/>
          <w:color w:val="000000"/>
          <w:sz w:val="20"/>
          <w:szCs w:val="20"/>
          <w:lang w:eastAsia="en-US"/>
        </w:rPr>
        <w:t>BMI set at 2</w:t>
      </w:r>
      <w:r w:rsidR="00CC0D7D">
        <w:rPr>
          <w:rFonts w:asciiTheme="minorHAnsi" w:hAnsiTheme="minorHAnsi"/>
          <w:color w:val="000000"/>
          <w:sz w:val="20"/>
          <w:szCs w:val="20"/>
          <w:lang w:eastAsia="en-US"/>
        </w:rPr>
        <w:t>4</w:t>
      </w:r>
      <w:r w:rsidR="00305DAB" w:rsidRPr="00305DAB">
        <w:rPr>
          <w:rFonts w:asciiTheme="minorHAnsi" w:hAnsiTheme="minorHAnsi"/>
          <w:color w:val="000000"/>
          <w:sz w:val="20"/>
          <w:szCs w:val="20"/>
          <w:lang w:eastAsia="en-US"/>
        </w:rPr>
        <w:t>kg/m</w:t>
      </w:r>
      <w:r w:rsidR="00305DAB" w:rsidRPr="00112EE2">
        <w:rPr>
          <w:rFonts w:asciiTheme="minorHAnsi" w:hAnsiTheme="minorHAnsi"/>
          <w:color w:val="000000"/>
          <w:sz w:val="20"/>
          <w:szCs w:val="20"/>
          <w:vertAlign w:val="superscript"/>
          <w:lang w:eastAsia="en-US"/>
        </w:rPr>
        <w:t>2</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36"/>
        <w:gridCol w:w="1647"/>
        <w:gridCol w:w="1843"/>
        <w:gridCol w:w="283"/>
        <w:gridCol w:w="1559"/>
        <w:gridCol w:w="1651"/>
      </w:tblGrid>
      <w:tr w:rsidR="00FD4A32" w14:paraId="09231CE7" w14:textId="77777777" w:rsidTr="002056A9">
        <w:tc>
          <w:tcPr>
            <w:tcW w:w="1231" w:type="dxa"/>
          </w:tcPr>
          <w:p w14:paraId="58B3E636" w14:textId="77777777" w:rsidR="00FD4A32" w:rsidRDefault="00FD4A32" w:rsidP="009A380E">
            <w:pPr>
              <w:autoSpaceDE w:val="0"/>
              <w:autoSpaceDN w:val="0"/>
              <w:adjustRightInd w:val="0"/>
              <w:spacing w:after="0" w:line="360" w:lineRule="auto"/>
              <w:rPr>
                <w:rFonts w:asciiTheme="minorHAnsi" w:hAnsiTheme="minorHAnsi"/>
                <w:color w:val="000000"/>
                <w:lang w:eastAsia="en-US"/>
              </w:rPr>
            </w:pPr>
          </w:p>
        </w:tc>
        <w:tc>
          <w:tcPr>
            <w:tcW w:w="236" w:type="dxa"/>
          </w:tcPr>
          <w:p w14:paraId="0893884D" w14:textId="77777777" w:rsidR="00FD4A32" w:rsidRDefault="00FD4A32" w:rsidP="009A380E">
            <w:pPr>
              <w:autoSpaceDE w:val="0"/>
              <w:autoSpaceDN w:val="0"/>
              <w:adjustRightInd w:val="0"/>
              <w:spacing w:after="0" w:line="360" w:lineRule="auto"/>
              <w:rPr>
                <w:rFonts w:asciiTheme="minorHAnsi" w:hAnsiTheme="minorHAnsi"/>
                <w:color w:val="000000"/>
                <w:lang w:eastAsia="en-US"/>
              </w:rPr>
            </w:pPr>
          </w:p>
        </w:tc>
        <w:tc>
          <w:tcPr>
            <w:tcW w:w="3490" w:type="dxa"/>
            <w:gridSpan w:val="2"/>
            <w:tcBorders>
              <w:top w:val="single" w:sz="4" w:space="0" w:color="auto"/>
              <w:bottom w:val="single" w:sz="4" w:space="0" w:color="auto"/>
            </w:tcBorders>
          </w:tcPr>
          <w:p w14:paraId="2C7CCFD6" w14:textId="4E79A5A9" w:rsidR="00FD4A32" w:rsidRDefault="00FD4A32" w:rsidP="009A380E">
            <w:pPr>
              <w:autoSpaceDE w:val="0"/>
              <w:autoSpaceDN w:val="0"/>
              <w:adjustRightInd w:val="0"/>
              <w:spacing w:after="0" w:line="360" w:lineRule="auto"/>
              <w:rPr>
                <w:rFonts w:asciiTheme="minorHAnsi" w:hAnsiTheme="minorHAnsi"/>
                <w:color w:val="000000"/>
                <w:lang w:eastAsia="en-US"/>
              </w:rPr>
            </w:pPr>
            <w:r w:rsidRPr="00BB6FD9">
              <w:rPr>
                <w:rFonts w:asciiTheme="minorHAnsi" w:hAnsiTheme="minorHAnsi"/>
                <w:color w:val="000000"/>
                <w:lang w:eastAsia="en-US"/>
              </w:rPr>
              <w:t>Prior fracture in adult life</w:t>
            </w:r>
          </w:p>
        </w:tc>
        <w:tc>
          <w:tcPr>
            <w:tcW w:w="283" w:type="dxa"/>
          </w:tcPr>
          <w:p w14:paraId="4B3E18D0" w14:textId="77777777" w:rsidR="00FD4A32" w:rsidRDefault="00FD4A32" w:rsidP="009A380E">
            <w:pPr>
              <w:autoSpaceDE w:val="0"/>
              <w:autoSpaceDN w:val="0"/>
              <w:adjustRightInd w:val="0"/>
              <w:spacing w:after="0" w:line="360" w:lineRule="auto"/>
              <w:rPr>
                <w:rFonts w:asciiTheme="minorHAnsi" w:hAnsiTheme="minorHAnsi"/>
                <w:color w:val="000000"/>
                <w:lang w:eastAsia="en-US"/>
              </w:rPr>
            </w:pPr>
          </w:p>
        </w:tc>
        <w:tc>
          <w:tcPr>
            <w:tcW w:w="3210" w:type="dxa"/>
            <w:gridSpan w:val="2"/>
            <w:tcBorders>
              <w:top w:val="single" w:sz="4" w:space="0" w:color="auto"/>
              <w:bottom w:val="single" w:sz="4" w:space="0" w:color="auto"/>
            </w:tcBorders>
          </w:tcPr>
          <w:p w14:paraId="552BB748" w14:textId="212E2248" w:rsidR="00FD4A32" w:rsidRDefault="00FD4A32" w:rsidP="009A380E">
            <w:pPr>
              <w:autoSpaceDE w:val="0"/>
              <w:autoSpaceDN w:val="0"/>
              <w:adjustRightInd w:val="0"/>
              <w:spacing w:after="0" w:line="360" w:lineRule="auto"/>
              <w:rPr>
                <w:rFonts w:asciiTheme="minorHAnsi" w:hAnsiTheme="minorHAnsi"/>
                <w:color w:val="000000"/>
                <w:lang w:eastAsia="en-US"/>
              </w:rPr>
            </w:pPr>
            <w:r w:rsidRPr="00FD4A32">
              <w:rPr>
                <w:rFonts w:asciiTheme="minorHAnsi" w:hAnsiTheme="minorHAnsi"/>
                <w:color w:val="000000"/>
                <w:lang w:val="en-US" w:eastAsia="en-US"/>
              </w:rPr>
              <w:t>Recent clinical vertebral fracture</w:t>
            </w:r>
          </w:p>
        </w:tc>
      </w:tr>
      <w:tr w:rsidR="002056A9" w14:paraId="4CC65F89" w14:textId="77777777" w:rsidTr="00A66CCB">
        <w:tc>
          <w:tcPr>
            <w:tcW w:w="1231" w:type="dxa"/>
            <w:tcBorders>
              <w:bottom w:val="single" w:sz="4" w:space="0" w:color="auto"/>
            </w:tcBorders>
          </w:tcPr>
          <w:p w14:paraId="231871EF" w14:textId="5F6D1D53" w:rsidR="00F972C2" w:rsidRDefault="00F972C2" w:rsidP="00F972C2">
            <w:pPr>
              <w:autoSpaceDE w:val="0"/>
              <w:autoSpaceDN w:val="0"/>
              <w:adjustRightInd w:val="0"/>
              <w:spacing w:after="0" w:line="240" w:lineRule="auto"/>
              <w:rPr>
                <w:rFonts w:asciiTheme="minorHAnsi" w:hAnsiTheme="minorHAnsi"/>
                <w:color w:val="000000"/>
                <w:lang w:eastAsia="en-US"/>
              </w:rPr>
            </w:pPr>
            <w:r>
              <w:rPr>
                <w:rFonts w:asciiTheme="minorHAnsi" w:hAnsiTheme="minorHAnsi"/>
                <w:color w:val="000000"/>
                <w:lang w:eastAsia="en-US"/>
              </w:rPr>
              <w:t xml:space="preserve">Age </w:t>
            </w:r>
          </w:p>
        </w:tc>
        <w:tc>
          <w:tcPr>
            <w:tcW w:w="236" w:type="dxa"/>
            <w:tcBorders>
              <w:bottom w:val="single" w:sz="4" w:space="0" w:color="auto"/>
            </w:tcBorders>
          </w:tcPr>
          <w:p w14:paraId="7BD79126" w14:textId="77777777" w:rsidR="00F972C2" w:rsidRDefault="00F972C2" w:rsidP="00F972C2">
            <w:pPr>
              <w:autoSpaceDE w:val="0"/>
              <w:autoSpaceDN w:val="0"/>
              <w:adjustRightInd w:val="0"/>
              <w:spacing w:after="0" w:line="240" w:lineRule="auto"/>
              <w:rPr>
                <w:rFonts w:asciiTheme="minorHAnsi" w:hAnsiTheme="minorHAnsi"/>
                <w:color w:val="000000"/>
                <w:lang w:eastAsia="en-US"/>
              </w:rPr>
            </w:pPr>
          </w:p>
        </w:tc>
        <w:tc>
          <w:tcPr>
            <w:tcW w:w="1647" w:type="dxa"/>
            <w:tcBorders>
              <w:top w:val="single" w:sz="4" w:space="0" w:color="auto"/>
              <w:bottom w:val="single" w:sz="4" w:space="0" w:color="auto"/>
            </w:tcBorders>
          </w:tcPr>
          <w:p w14:paraId="17E848E8" w14:textId="392581AA" w:rsidR="00F972C2" w:rsidRDefault="00F972C2" w:rsidP="00F972C2">
            <w:pPr>
              <w:autoSpaceDE w:val="0"/>
              <w:autoSpaceDN w:val="0"/>
              <w:adjustRightInd w:val="0"/>
              <w:spacing w:after="0" w:line="240" w:lineRule="auto"/>
              <w:rPr>
                <w:rFonts w:asciiTheme="minorHAnsi" w:hAnsiTheme="minorHAnsi"/>
                <w:color w:val="000000"/>
                <w:lang w:eastAsia="en-US"/>
              </w:rPr>
            </w:pPr>
            <w:r>
              <w:rPr>
                <w:rFonts w:asciiTheme="minorHAnsi" w:hAnsiTheme="minorHAnsi"/>
                <w:color w:val="000000"/>
                <w:lang w:eastAsia="en-US"/>
              </w:rPr>
              <w:t>Probability (%)</w:t>
            </w:r>
          </w:p>
        </w:tc>
        <w:tc>
          <w:tcPr>
            <w:tcW w:w="1843" w:type="dxa"/>
            <w:tcBorders>
              <w:top w:val="single" w:sz="4" w:space="0" w:color="auto"/>
              <w:bottom w:val="single" w:sz="4" w:space="0" w:color="auto"/>
            </w:tcBorders>
          </w:tcPr>
          <w:p w14:paraId="4541A78D" w14:textId="5751A937" w:rsidR="00F972C2" w:rsidRDefault="00F972C2" w:rsidP="00F972C2">
            <w:pPr>
              <w:autoSpaceDE w:val="0"/>
              <w:autoSpaceDN w:val="0"/>
              <w:adjustRightInd w:val="0"/>
              <w:spacing w:after="0" w:line="240" w:lineRule="auto"/>
              <w:rPr>
                <w:rFonts w:asciiTheme="minorHAnsi" w:hAnsiTheme="minorHAnsi"/>
                <w:color w:val="000000"/>
                <w:lang w:eastAsia="en-US"/>
              </w:rPr>
            </w:pPr>
            <w:r w:rsidRPr="00FD4A32">
              <w:rPr>
                <w:rFonts w:asciiTheme="minorHAnsi" w:hAnsiTheme="minorHAnsi"/>
                <w:color w:val="000000"/>
                <w:lang w:eastAsia="en-US"/>
              </w:rPr>
              <w:t>Category of risk</w:t>
            </w:r>
          </w:p>
        </w:tc>
        <w:tc>
          <w:tcPr>
            <w:tcW w:w="283" w:type="dxa"/>
            <w:tcBorders>
              <w:bottom w:val="single" w:sz="4" w:space="0" w:color="auto"/>
            </w:tcBorders>
          </w:tcPr>
          <w:p w14:paraId="02C599B4" w14:textId="77777777" w:rsidR="00F972C2" w:rsidRDefault="00F972C2" w:rsidP="00F972C2">
            <w:pPr>
              <w:autoSpaceDE w:val="0"/>
              <w:autoSpaceDN w:val="0"/>
              <w:adjustRightInd w:val="0"/>
              <w:spacing w:after="0" w:line="240" w:lineRule="auto"/>
              <w:rPr>
                <w:rFonts w:asciiTheme="minorHAnsi" w:hAnsiTheme="minorHAnsi"/>
                <w:color w:val="000000"/>
                <w:lang w:eastAsia="en-US"/>
              </w:rPr>
            </w:pPr>
          </w:p>
        </w:tc>
        <w:tc>
          <w:tcPr>
            <w:tcW w:w="1559" w:type="dxa"/>
            <w:tcBorders>
              <w:top w:val="single" w:sz="4" w:space="0" w:color="auto"/>
              <w:bottom w:val="single" w:sz="4" w:space="0" w:color="auto"/>
            </w:tcBorders>
          </w:tcPr>
          <w:p w14:paraId="71A63AD2" w14:textId="38E244EF" w:rsidR="00F972C2" w:rsidRDefault="00F972C2" w:rsidP="00F972C2">
            <w:pPr>
              <w:autoSpaceDE w:val="0"/>
              <w:autoSpaceDN w:val="0"/>
              <w:adjustRightInd w:val="0"/>
              <w:spacing w:after="0" w:line="240" w:lineRule="auto"/>
              <w:rPr>
                <w:rFonts w:asciiTheme="minorHAnsi" w:hAnsiTheme="minorHAnsi"/>
                <w:color w:val="000000"/>
                <w:lang w:eastAsia="en-US"/>
              </w:rPr>
            </w:pPr>
            <w:r>
              <w:rPr>
                <w:rFonts w:asciiTheme="minorHAnsi" w:hAnsiTheme="minorHAnsi"/>
                <w:color w:val="000000"/>
                <w:lang w:eastAsia="en-US"/>
              </w:rPr>
              <w:t>Probability (%)</w:t>
            </w:r>
          </w:p>
        </w:tc>
        <w:tc>
          <w:tcPr>
            <w:tcW w:w="1651" w:type="dxa"/>
            <w:tcBorders>
              <w:top w:val="single" w:sz="4" w:space="0" w:color="auto"/>
              <w:bottom w:val="single" w:sz="4" w:space="0" w:color="auto"/>
            </w:tcBorders>
          </w:tcPr>
          <w:p w14:paraId="112B7F7C" w14:textId="23733965" w:rsidR="00F972C2" w:rsidRDefault="00F972C2" w:rsidP="00F972C2">
            <w:pPr>
              <w:autoSpaceDE w:val="0"/>
              <w:autoSpaceDN w:val="0"/>
              <w:adjustRightInd w:val="0"/>
              <w:spacing w:after="0" w:line="240" w:lineRule="auto"/>
              <w:rPr>
                <w:rFonts w:asciiTheme="minorHAnsi" w:hAnsiTheme="minorHAnsi"/>
                <w:color w:val="000000"/>
                <w:lang w:eastAsia="en-US"/>
              </w:rPr>
            </w:pPr>
            <w:r w:rsidRPr="00FD4A32">
              <w:rPr>
                <w:rFonts w:asciiTheme="minorHAnsi" w:hAnsiTheme="minorHAnsi"/>
                <w:color w:val="000000"/>
                <w:lang w:eastAsia="en-US"/>
              </w:rPr>
              <w:t>Category of risk</w:t>
            </w:r>
          </w:p>
        </w:tc>
      </w:tr>
      <w:tr w:rsidR="000C49D0" w14:paraId="4B7FD6B1" w14:textId="77777777" w:rsidTr="00A66CCB">
        <w:tc>
          <w:tcPr>
            <w:tcW w:w="1231" w:type="dxa"/>
            <w:tcBorders>
              <w:top w:val="single" w:sz="4" w:space="0" w:color="auto"/>
            </w:tcBorders>
          </w:tcPr>
          <w:p w14:paraId="714BDA0A" w14:textId="55BF483B" w:rsidR="000C49D0" w:rsidRDefault="000C49D0"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50</w:t>
            </w:r>
          </w:p>
        </w:tc>
        <w:tc>
          <w:tcPr>
            <w:tcW w:w="236" w:type="dxa"/>
            <w:tcBorders>
              <w:top w:val="single" w:sz="4" w:space="0" w:color="auto"/>
            </w:tcBorders>
          </w:tcPr>
          <w:p w14:paraId="05F8B895"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647" w:type="dxa"/>
            <w:tcBorders>
              <w:top w:val="single" w:sz="4" w:space="0" w:color="auto"/>
              <w:right w:val="single" w:sz="4" w:space="0" w:color="auto"/>
            </w:tcBorders>
            <w:shd w:val="clear" w:color="auto" w:fill="auto"/>
          </w:tcPr>
          <w:p w14:paraId="31CDE4DA" w14:textId="3D8A5373"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7.3</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14:paraId="42D145EE" w14:textId="6EB77AD5" w:rsidR="000C49D0" w:rsidRDefault="004F0224"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High</w:t>
            </w:r>
          </w:p>
        </w:tc>
        <w:tc>
          <w:tcPr>
            <w:tcW w:w="283" w:type="dxa"/>
            <w:tcBorders>
              <w:top w:val="single" w:sz="4" w:space="0" w:color="auto"/>
              <w:left w:val="single" w:sz="4" w:space="0" w:color="auto"/>
            </w:tcBorders>
          </w:tcPr>
          <w:p w14:paraId="717480EB"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559" w:type="dxa"/>
            <w:tcBorders>
              <w:top w:val="single" w:sz="4" w:space="0" w:color="auto"/>
              <w:right w:val="single" w:sz="4" w:space="0" w:color="auto"/>
            </w:tcBorders>
            <w:shd w:val="clear" w:color="auto" w:fill="auto"/>
          </w:tcPr>
          <w:p w14:paraId="1D829FD3" w14:textId="053998BB"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18.0</w:t>
            </w:r>
          </w:p>
        </w:tc>
        <w:tc>
          <w:tcPr>
            <w:tcW w:w="1651" w:type="dxa"/>
            <w:tcBorders>
              <w:top w:val="single" w:sz="4" w:space="0" w:color="auto"/>
              <w:left w:val="single" w:sz="4" w:space="0" w:color="auto"/>
              <w:bottom w:val="single" w:sz="4" w:space="0" w:color="auto"/>
              <w:right w:val="single" w:sz="4" w:space="0" w:color="auto"/>
            </w:tcBorders>
            <w:shd w:val="clear" w:color="auto" w:fill="FF0000"/>
          </w:tcPr>
          <w:p w14:paraId="373A1D39" w14:textId="05D1AF1B"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r>
      <w:tr w:rsidR="000C49D0" w14:paraId="4FD0A749" w14:textId="77777777" w:rsidTr="00A66CCB">
        <w:tc>
          <w:tcPr>
            <w:tcW w:w="1231" w:type="dxa"/>
          </w:tcPr>
          <w:p w14:paraId="025C2CFB" w14:textId="6D56E6F2" w:rsidR="000C49D0" w:rsidRDefault="000C49D0"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60</w:t>
            </w:r>
          </w:p>
        </w:tc>
        <w:tc>
          <w:tcPr>
            <w:tcW w:w="236" w:type="dxa"/>
          </w:tcPr>
          <w:p w14:paraId="25364325"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647" w:type="dxa"/>
            <w:tcBorders>
              <w:right w:val="single" w:sz="4" w:space="0" w:color="auto"/>
            </w:tcBorders>
            <w:shd w:val="clear" w:color="auto" w:fill="auto"/>
          </w:tcPr>
          <w:p w14:paraId="2DBAB17F" w14:textId="737511F1"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12.</w:t>
            </w:r>
            <w:r w:rsidR="0022026E">
              <w:rPr>
                <w:rFonts w:cs="Calibri"/>
                <w:lang w:val="en-US"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14:paraId="6E381174" w14:textId="7921FA06" w:rsidR="000C49D0" w:rsidRDefault="004F0224"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High</w:t>
            </w:r>
          </w:p>
        </w:tc>
        <w:tc>
          <w:tcPr>
            <w:tcW w:w="283" w:type="dxa"/>
            <w:tcBorders>
              <w:left w:val="single" w:sz="4" w:space="0" w:color="auto"/>
            </w:tcBorders>
          </w:tcPr>
          <w:p w14:paraId="78027172"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559" w:type="dxa"/>
            <w:tcBorders>
              <w:right w:val="single" w:sz="4" w:space="0" w:color="auto"/>
            </w:tcBorders>
            <w:shd w:val="clear" w:color="auto" w:fill="auto"/>
          </w:tcPr>
          <w:p w14:paraId="10C7083F" w14:textId="6D3E3911" w:rsidR="000C49D0" w:rsidRDefault="006605A0" w:rsidP="000C49D0">
            <w:pPr>
              <w:autoSpaceDE w:val="0"/>
              <w:autoSpaceDN w:val="0"/>
              <w:adjustRightInd w:val="0"/>
              <w:spacing w:after="0" w:line="360" w:lineRule="auto"/>
              <w:rPr>
                <w:rFonts w:asciiTheme="minorHAnsi" w:hAnsiTheme="minorHAnsi"/>
                <w:color w:val="000000"/>
                <w:lang w:eastAsia="en-US"/>
              </w:rPr>
            </w:pPr>
            <w:r>
              <w:rPr>
                <w:rFonts w:cs="Calibri"/>
                <w:lang w:val="en-US" w:eastAsia="en-US"/>
              </w:rPr>
              <w:t>22.7</w:t>
            </w:r>
          </w:p>
        </w:tc>
        <w:tc>
          <w:tcPr>
            <w:tcW w:w="1651" w:type="dxa"/>
            <w:tcBorders>
              <w:top w:val="single" w:sz="4" w:space="0" w:color="auto"/>
              <w:left w:val="single" w:sz="4" w:space="0" w:color="auto"/>
              <w:bottom w:val="single" w:sz="4" w:space="0" w:color="auto"/>
              <w:right w:val="single" w:sz="4" w:space="0" w:color="auto"/>
            </w:tcBorders>
            <w:shd w:val="clear" w:color="auto" w:fill="FF0000"/>
          </w:tcPr>
          <w:p w14:paraId="3E9406AB" w14:textId="58374BFD"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r>
      <w:tr w:rsidR="000C49D0" w14:paraId="013DE209" w14:textId="77777777" w:rsidTr="00A66CCB">
        <w:tc>
          <w:tcPr>
            <w:tcW w:w="1231" w:type="dxa"/>
          </w:tcPr>
          <w:p w14:paraId="12AE7B35" w14:textId="635D4594" w:rsidR="000C49D0" w:rsidRDefault="000C49D0"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70</w:t>
            </w:r>
          </w:p>
        </w:tc>
        <w:tc>
          <w:tcPr>
            <w:tcW w:w="236" w:type="dxa"/>
          </w:tcPr>
          <w:p w14:paraId="4AB95202"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647" w:type="dxa"/>
            <w:tcBorders>
              <w:right w:val="single" w:sz="4" w:space="0" w:color="auto"/>
            </w:tcBorders>
            <w:shd w:val="clear" w:color="auto" w:fill="auto"/>
          </w:tcPr>
          <w:p w14:paraId="428BE195" w14:textId="4BEF759A"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20.3</w:t>
            </w:r>
          </w:p>
        </w:tc>
        <w:tc>
          <w:tcPr>
            <w:tcW w:w="1843" w:type="dxa"/>
            <w:tcBorders>
              <w:top w:val="single" w:sz="4" w:space="0" w:color="auto"/>
              <w:left w:val="single" w:sz="4" w:space="0" w:color="auto"/>
              <w:bottom w:val="single" w:sz="4" w:space="0" w:color="auto"/>
              <w:right w:val="single" w:sz="4" w:space="0" w:color="auto"/>
            </w:tcBorders>
            <w:shd w:val="clear" w:color="auto" w:fill="FFC000"/>
          </w:tcPr>
          <w:p w14:paraId="0B59D637" w14:textId="2A3FEAF2" w:rsidR="000C49D0" w:rsidRDefault="004F0224"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High</w:t>
            </w:r>
          </w:p>
        </w:tc>
        <w:tc>
          <w:tcPr>
            <w:tcW w:w="283" w:type="dxa"/>
            <w:tcBorders>
              <w:left w:val="single" w:sz="4" w:space="0" w:color="auto"/>
            </w:tcBorders>
          </w:tcPr>
          <w:p w14:paraId="107BC198"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559" w:type="dxa"/>
            <w:tcBorders>
              <w:right w:val="single" w:sz="4" w:space="0" w:color="auto"/>
            </w:tcBorders>
            <w:shd w:val="clear" w:color="auto" w:fill="auto"/>
          </w:tcPr>
          <w:p w14:paraId="76BE8DE0" w14:textId="0DFEA19A"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30.9</w:t>
            </w:r>
          </w:p>
        </w:tc>
        <w:tc>
          <w:tcPr>
            <w:tcW w:w="1651" w:type="dxa"/>
            <w:tcBorders>
              <w:top w:val="single" w:sz="4" w:space="0" w:color="auto"/>
              <w:left w:val="single" w:sz="4" w:space="0" w:color="auto"/>
              <w:bottom w:val="single" w:sz="4" w:space="0" w:color="auto"/>
              <w:right w:val="single" w:sz="4" w:space="0" w:color="auto"/>
            </w:tcBorders>
            <w:shd w:val="clear" w:color="auto" w:fill="FF0000"/>
          </w:tcPr>
          <w:p w14:paraId="0755CA48" w14:textId="70AB8DFE"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r>
      <w:tr w:rsidR="000C49D0" w14:paraId="18B1CF87" w14:textId="77777777" w:rsidTr="00A66CCB">
        <w:tc>
          <w:tcPr>
            <w:tcW w:w="1231" w:type="dxa"/>
          </w:tcPr>
          <w:p w14:paraId="3E151763" w14:textId="09DF2CC3" w:rsidR="000C49D0" w:rsidRDefault="000C49D0"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lastRenderedPageBreak/>
              <w:t>80</w:t>
            </w:r>
          </w:p>
        </w:tc>
        <w:tc>
          <w:tcPr>
            <w:tcW w:w="236" w:type="dxa"/>
          </w:tcPr>
          <w:p w14:paraId="4A2EF992"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647" w:type="dxa"/>
            <w:tcBorders>
              <w:right w:val="single" w:sz="4" w:space="0" w:color="auto"/>
            </w:tcBorders>
            <w:shd w:val="clear" w:color="auto" w:fill="auto"/>
          </w:tcPr>
          <w:p w14:paraId="07293BB8" w14:textId="3C7F74C7"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27.6</w:t>
            </w:r>
          </w:p>
        </w:tc>
        <w:tc>
          <w:tcPr>
            <w:tcW w:w="1843" w:type="dxa"/>
            <w:tcBorders>
              <w:top w:val="single" w:sz="4" w:space="0" w:color="auto"/>
              <w:left w:val="single" w:sz="4" w:space="0" w:color="auto"/>
              <w:bottom w:val="single" w:sz="4" w:space="0" w:color="auto"/>
              <w:right w:val="single" w:sz="4" w:space="0" w:color="auto"/>
            </w:tcBorders>
            <w:shd w:val="clear" w:color="auto" w:fill="FF0000"/>
          </w:tcPr>
          <w:p w14:paraId="53E4C7FA" w14:textId="3F61352F"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c>
          <w:tcPr>
            <w:tcW w:w="283" w:type="dxa"/>
            <w:tcBorders>
              <w:left w:val="single" w:sz="4" w:space="0" w:color="auto"/>
            </w:tcBorders>
          </w:tcPr>
          <w:p w14:paraId="0AD89C43"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559" w:type="dxa"/>
            <w:tcBorders>
              <w:right w:val="single" w:sz="4" w:space="0" w:color="auto"/>
            </w:tcBorders>
            <w:shd w:val="clear" w:color="auto" w:fill="auto"/>
          </w:tcPr>
          <w:p w14:paraId="32EF7308" w14:textId="7C8A45FE"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34.2</w:t>
            </w:r>
          </w:p>
        </w:tc>
        <w:tc>
          <w:tcPr>
            <w:tcW w:w="1651" w:type="dxa"/>
            <w:tcBorders>
              <w:top w:val="single" w:sz="4" w:space="0" w:color="auto"/>
              <w:left w:val="single" w:sz="4" w:space="0" w:color="auto"/>
              <w:bottom w:val="single" w:sz="4" w:space="0" w:color="auto"/>
              <w:right w:val="single" w:sz="4" w:space="0" w:color="auto"/>
            </w:tcBorders>
            <w:shd w:val="clear" w:color="auto" w:fill="FF0000"/>
          </w:tcPr>
          <w:p w14:paraId="271CD8B1" w14:textId="0073304E"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r>
      <w:tr w:rsidR="000C49D0" w14:paraId="3DC4969F" w14:textId="77777777" w:rsidTr="00A66CCB">
        <w:tc>
          <w:tcPr>
            <w:tcW w:w="1231" w:type="dxa"/>
          </w:tcPr>
          <w:p w14:paraId="2C9498F4" w14:textId="03944CBE" w:rsidR="000C49D0" w:rsidRDefault="000C49D0"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90</w:t>
            </w:r>
          </w:p>
        </w:tc>
        <w:tc>
          <w:tcPr>
            <w:tcW w:w="236" w:type="dxa"/>
          </w:tcPr>
          <w:p w14:paraId="5BBC839C"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647" w:type="dxa"/>
            <w:tcBorders>
              <w:right w:val="single" w:sz="4" w:space="0" w:color="auto"/>
            </w:tcBorders>
            <w:shd w:val="clear" w:color="auto" w:fill="auto"/>
          </w:tcPr>
          <w:p w14:paraId="6A11CFA3" w14:textId="244EAECB" w:rsidR="000C49D0" w:rsidRPr="00D405B8" w:rsidRDefault="000C49D0" w:rsidP="000C49D0">
            <w:pPr>
              <w:autoSpaceDE w:val="0"/>
              <w:autoSpaceDN w:val="0"/>
              <w:adjustRightInd w:val="0"/>
              <w:spacing w:after="0" w:line="360" w:lineRule="auto"/>
              <w:rPr>
                <w:rFonts w:cs="Calibri"/>
                <w:lang w:val="en-US" w:eastAsia="en-US"/>
              </w:rPr>
            </w:pPr>
            <w:r w:rsidRPr="000C49D0">
              <w:rPr>
                <w:rFonts w:cs="Calibri"/>
                <w:lang w:val="en-US" w:eastAsia="en-US"/>
              </w:rPr>
              <w:t>33.9</w:t>
            </w:r>
          </w:p>
        </w:tc>
        <w:tc>
          <w:tcPr>
            <w:tcW w:w="1843" w:type="dxa"/>
            <w:tcBorders>
              <w:top w:val="single" w:sz="4" w:space="0" w:color="auto"/>
              <w:left w:val="single" w:sz="4" w:space="0" w:color="auto"/>
              <w:bottom w:val="single" w:sz="4" w:space="0" w:color="auto"/>
              <w:right w:val="single" w:sz="4" w:space="0" w:color="auto"/>
            </w:tcBorders>
            <w:shd w:val="clear" w:color="auto" w:fill="FF0000"/>
          </w:tcPr>
          <w:p w14:paraId="4857837F" w14:textId="3B873830"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c>
          <w:tcPr>
            <w:tcW w:w="283" w:type="dxa"/>
            <w:tcBorders>
              <w:left w:val="single" w:sz="4" w:space="0" w:color="auto"/>
            </w:tcBorders>
          </w:tcPr>
          <w:p w14:paraId="605C6C76" w14:textId="77777777" w:rsidR="000C49D0" w:rsidRDefault="000C49D0" w:rsidP="000C49D0">
            <w:pPr>
              <w:autoSpaceDE w:val="0"/>
              <w:autoSpaceDN w:val="0"/>
              <w:adjustRightInd w:val="0"/>
              <w:spacing w:after="0" w:line="360" w:lineRule="auto"/>
              <w:rPr>
                <w:rFonts w:asciiTheme="minorHAnsi" w:hAnsiTheme="minorHAnsi"/>
                <w:color w:val="000000"/>
                <w:lang w:eastAsia="en-US"/>
              </w:rPr>
            </w:pPr>
          </w:p>
        </w:tc>
        <w:tc>
          <w:tcPr>
            <w:tcW w:w="1559" w:type="dxa"/>
            <w:tcBorders>
              <w:right w:val="single" w:sz="4" w:space="0" w:color="auto"/>
            </w:tcBorders>
            <w:shd w:val="clear" w:color="auto" w:fill="auto"/>
          </w:tcPr>
          <w:p w14:paraId="54B9D617" w14:textId="5FAC1230" w:rsidR="000C49D0" w:rsidRDefault="000C49D0" w:rsidP="000C49D0">
            <w:pPr>
              <w:autoSpaceDE w:val="0"/>
              <w:autoSpaceDN w:val="0"/>
              <w:adjustRightInd w:val="0"/>
              <w:spacing w:after="0" w:line="360" w:lineRule="auto"/>
              <w:rPr>
                <w:rFonts w:asciiTheme="minorHAnsi" w:hAnsiTheme="minorHAnsi"/>
                <w:color w:val="000000"/>
                <w:lang w:eastAsia="en-US"/>
              </w:rPr>
            </w:pPr>
            <w:r w:rsidRPr="00D405B8">
              <w:rPr>
                <w:rFonts w:cs="Calibri"/>
                <w:lang w:val="en-US" w:eastAsia="en-US"/>
              </w:rPr>
              <w:t>35.3</w:t>
            </w:r>
          </w:p>
        </w:tc>
        <w:tc>
          <w:tcPr>
            <w:tcW w:w="1651" w:type="dxa"/>
            <w:tcBorders>
              <w:top w:val="single" w:sz="4" w:space="0" w:color="auto"/>
              <w:left w:val="single" w:sz="4" w:space="0" w:color="auto"/>
              <w:bottom w:val="single" w:sz="4" w:space="0" w:color="auto"/>
              <w:right w:val="single" w:sz="4" w:space="0" w:color="auto"/>
            </w:tcBorders>
            <w:shd w:val="clear" w:color="auto" w:fill="FF0000"/>
          </w:tcPr>
          <w:p w14:paraId="7857076B" w14:textId="4B802C35" w:rsidR="000C49D0" w:rsidRDefault="0074609E" w:rsidP="000C49D0">
            <w:pPr>
              <w:autoSpaceDE w:val="0"/>
              <w:autoSpaceDN w:val="0"/>
              <w:adjustRightInd w:val="0"/>
              <w:spacing w:after="0" w:line="360" w:lineRule="auto"/>
              <w:rPr>
                <w:rFonts w:asciiTheme="minorHAnsi" w:hAnsiTheme="minorHAnsi"/>
                <w:color w:val="000000"/>
                <w:lang w:eastAsia="en-US"/>
              </w:rPr>
            </w:pPr>
            <w:r>
              <w:rPr>
                <w:rFonts w:asciiTheme="minorHAnsi" w:hAnsiTheme="minorHAnsi"/>
                <w:color w:val="000000"/>
                <w:lang w:eastAsia="en-US"/>
              </w:rPr>
              <w:t>Very high</w:t>
            </w:r>
          </w:p>
        </w:tc>
      </w:tr>
    </w:tbl>
    <w:p w14:paraId="5E8B2E14" w14:textId="77777777" w:rsidR="00DA1EF5" w:rsidRDefault="00DA1EF5" w:rsidP="00706C7E">
      <w:pPr>
        <w:autoSpaceDE w:val="0"/>
        <w:autoSpaceDN w:val="0"/>
        <w:adjustRightInd w:val="0"/>
        <w:spacing w:after="240" w:line="276" w:lineRule="auto"/>
        <w:ind w:left="567"/>
        <w:rPr>
          <w:rFonts w:asciiTheme="minorHAnsi" w:hAnsiTheme="minorHAnsi"/>
          <w:color w:val="000000"/>
          <w:lang w:eastAsia="en-US"/>
        </w:rPr>
      </w:pPr>
    </w:p>
    <w:p w14:paraId="13C077E6" w14:textId="77777777" w:rsidR="0027343D" w:rsidRPr="0027343D" w:rsidRDefault="0027343D" w:rsidP="0027343D">
      <w:pPr>
        <w:autoSpaceDE w:val="0"/>
        <w:autoSpaceDN w:val="0"/>
        <w:adjustRightInd w:val="0"/>
        <w:spacing w:after="240" w:line="276" w:lineRule="auto"/>
        <w:ind w:left="567"/>
        <w:rPr>
          <w:rFonts w:asciiTheme="minorHAnsi" w:hAnsiTheme="minorHAnsi"/>
          <w:b/>
          <w:color w:val="000000"/>
          <w:lang w:eastAsia="en-US"/>
        </w:rPr>
      </w:pPr>
      <w:r w:rsidRPr="0027343D">
        <w:rPr>
          <w:rFonts w:asciiTheme="minorHAnsi" w:hAnsiTheme="minorHAnsi"/>
          <w:b/>
          <w:color w:val="000000"/>
          <w:lang w:eastAsia="en-US"/>
        </w:rPr>
        <w:t>Impact of sequential treatment on fracture</w:t>
      </w:r>
    </w:p>
    <w:p w14:paraId="59C4711E" w14:textId="18E74821" w:rsidR="0027343D" w:rsidRPr="0027343D" w:rsidRDefault="0027343D" w:rsidP="0027343D">
      <w:pPr>
        <w:autoSpaceDE w:val="0"/>
        <w:autoSpaceDN w:val="0"/>
        <w:adjustRightInd w:val="0"/>
        <w:spacing w:after="240" w:line="276" w:lineRule="auto"/>
        <w:ind w:left="567"/>
        <w:rPr>
          <w:rFonts w:asciiTheme="minorHAnsi" w:hAnsiTheme="minorHAnsi"/>
          <w:color w:val="000000"/>
          <w:lang w:eastAsia="en-US"/>
        </w:rPr>
      </w:pPr>
      <w:r w:rsidRPr="0027343D">
        <w:rPr>
          <w:rFonts w:asciiTheme="minorHAnsi" w:hAnsiTheme="minorHAnsi"/>
          <w:color w:val="000000"/>
          <w:lang w:eastAsia="en-US"/>
        </w:rPr>
        <w:t>In patients at very high risk of fracture, starting treatment with an anabolic agent seems most appropriate to promptly reduce the fracture risk [</w:t>
      </w:r>
      <w:r w:rsidR="002C6625">
        <w:rPr>
          <w:rFonts w:asciiTheme="minorHAnsi" w:hAnsiTheme="minorHAnsi"/>
          <w:color w:val="000000"/>
          <w:lang w:eastAsia="en-US"/>
        </w:rPr>
        <w:t>60</w:t>
      </w:r>
      <w:r w:rsidR="00A90526">
        <w:rPr>
          <w:rFonts w:asciiTheme="minorHAnsi" w:hAnsiTheme="minorHAnsi"/>
          <w:color w:val="000000"/>
          <w:lang w:eastAsia="en-US"/>
        </w:rPr>
        <w:t xml:space="preserve">, </w:t>
      </w:r>
      <w:r w:rsidR="002C6625">
        <w:rPr>
          <w:rFonts w:asciiTheme="minorHAnsi" w:hAnsiTheme="minorHAnsi"/>
          <w:color w:val="000000"/>
          <w:lang w:eastAsia="en-US"/>
        </w:rPr>
        <w:t>61</w:t>
      </w:r>
      <w:r w:rsidR="00C76D06">
        <w:rPr>
          <w:rFonts w:asciiTheme="minorHAnsi" w:hAnsiTheme="minorHAnsi"/>
          <w:color w:val="000000"/>
          <w:lang w:eastAsia="en-US"/>
        </w:rPr>
        <w:t xml:space="preserve">, </w:t>
      </w:r>
      <w:r w:rsidR="002C6625">
        <w:rPr>
          <w:rFonts w:asciiTheme="minorHAnsi" w:hAnsiTheme="minorHAnsi"/>
          <w:color w:val="000000"/>
          <w:lang w:eastAsia="en-US"/>
        </w:rPr>
        <w:t>62</w:t>
      </w:r>
      <w:r w:rsidRPr="0027343D">
        <w:rPr>
          <w:rFonts w:asciiTheme="minorHAnsi" w:hAnsiTheme="minorHAnsi"/>
          <w:color w:val="000000"/>
          <w:lang w:eastAsia="en-US"/>
        </w:rPr>
        <w:t xml:space="preserve">]. Given that treatments with anabolic agents are limited to </w:t>
      </w:r>
      <w:r w:rsidR="008F4BAA">
        <w:rPr>
          <w:rFonts w:asciiTheme="minorHAnsi" w:hAnsiTheme="minorHAnsi"/>
          <w:color w:val="000000"/>
          <w:lang w:eastAsia="en-US"/>
        </w:rPr>
        <w:t>12</w:t>
      </w:r>
      <w:r w:rsidRPr="0027343D">
        <w:rPr>
          <w:rFonts w:asciiTheme="minorHAnsi" w:hAnsiTheme="minorHAnsi"/>
          <w:color w:val="000000"/>
          <w:lang w:eastAsia="en-US"/>
        </w:rPr>
        <w:t xml:space="preserve">–24 months and that efficacy will wane once treatment is stopped, the real potential of the anabolic treatments is that their greater effect on BMD and fracture can be maintained with the inhibitors of bone turnover once </w:t>
      </w:r>
      <w:r w:rsidR="00C326E7">
        <w:rPr>
          <w:rFonts w:asciiTheme="minorHAnsi" w:hAnsiTheme="minorHAnsi"/>
          <w:color w:val="000000"/>
          <w:lang w:eastAsia="en-US"/>
        </w:rPr>
        <w:t xml:space="preserve">anabolic </w:t>
      </w:r>
      <w:r w:rsidRPr="0027343D">
        <w:rPr>
          <w:rFonts w:asciiTheme="minorHAnsi" w:hAnsiTheme="minorHAnsi"/>
          <w:color w:val="000000"/>
          <w:lang w:eastAsia="en-US"/>
        </w:rPr>
        <w:t>treatment is stopped [</w:t>
      </w:r>
      <w:r w:rsidR="00260699">
        <w:rPr>
          <w:rFonts w:asciiTheme="minorHAnsi" w:hAnsiTheme="minorHAnsi"/>
          <w:color w:val="000000"/>
          <w:lang w:eastAsia="en-US"/>
        </w:rPr>
        <w:t xml:space="preserve">11, </w:t>
      </w:r>
      <w:r w:rsidR="002D40B2">
        <w:rPr>
          <w:rFonts w:asciiTheme="minorHAnsi" w:hAnsiTheme="minorHAnsi"/>
          <w:color w:val="000000"/>
          <w:lang w:eastAsia="en-US"/>
        </w:rPr>
        <w:t>6</w:t>
      </w:r>
      <w:r w:rsidR="006754E6">
        <w:rPr>
          <w:rFonts w:asciiTheme="minorHAnsi" w:hAnsiTheme="minorHAnsi"/>
          <w:color w:val="000000"/>
          <w:lang w:eastAsia="en-US"/>
        </w:rPr>
        <w:t>3</w:t>
      </w:r>
      <w:r w:rsidR="002D40B2">
        <w:rPr>
          <w:rFonts w:asciiTheme="minorHAnsi" w:hAnsiTheme="minorHAnsi"/>
          <w:color w:val="000000"/>
          <w:lang w:eastAsia="en-US"/>
        </w:rPr>
        <w:t xml:space="preserve">, </w:t>
      </w:r>
      <w:r w:rsidR="00167D43">
        <w:rPr>
          <w:rFonts w:asciiTheme="minorHAnsi" w:hAnsiTheme="minorHAnsi"/>
          <w:color w:val="000000"/>
          <w:lang w:eastAsia="en-US"/>
        </w:rPr>
        <w:t>6</w:t>
      </w:r>
      <w:r w:rsidR="006754E6">
        <w:rPr>
          <w:rFonts w:asciiTheme="minorHAnsi" w:hAnsiTheme="minorHAnsi"/>
          <w:color w:val="000000"/>
          <w:lang w:eastAsia="en-US"/>
        </w:rPr>
        <w:t>4</w:t>
      </w:r>
      <w:r w:rsidRPr="0027343D">
        <w:rPr>
          <w:rFonts w:asciiTheme="minorHAnsi" w:hAnsiTheme="minorHAnsi"/>
          <w:color w:val="000000"/>
          <w:lang w:eastAsia="en-US"/>
        </w:rPr>
        <w:t>].</w:t>
      </w:r>
      <w:r w:rsidR="007D7E27">
        <w:rPr>
          <w:rFonts w:asciiTheme="minorHAnsi" w:hAnsiTheme="minorHAnsi"/>
          <w:color w:val="000000"/>
          <w:lang w:eastAsia="en-US"/>
        </w:rPr>
        <w:t xml:space="preserve">  Take, for example </w:t>
      </w:r>
      <w:r w:rsidR="0078090F">
        <w:rPr>
          <w:rFonts w:asciiTheme="minorHAnsi" w:hAnsiTheme="minorHAnsi"/>
          <w:color w:val="000000"/>
          <w:lang w:eastAsia="en-US"/>
        </w:rPr>
        <w:t>a</w:t>
      </w:r>
      <w:r w:rsidR="007D7E27">
        <w:rPr>
          <w:rFonts w:asciiTheme="minorHAnsi" w:hAnsiTheme="minorHAnsi"/>
          <w:color w:val="000000"/>
          <w:lang w:eastAsia="en-US"/>
        </w:rPr>
        <w:t xml:space="preserve"> h</w:t>
      </w:r>
      <w:r w:rsidR="00FA377E">
        <w:rPr>
          <w:rFonts w:asciiTheme="minorHAnsi" w:hAnsiTheme="minorHAnsi"/>
          <w:color w:val="000000"/>
          <w:lang w:eastAsia="en-US"/>
        </w:rPr>
        <w:t>y</w:t>
      </w:r>
      <w:r w:rsidR="007D7E27">
        <w:rPr>
          <w:rFonts w:asciiTheme="minorHAnsi" w:hAnsiTheme="minorHAnsi"/>
          <w:color w:val="000000"/>
          <w:lang w:eastAsia="en-US"/>
        </w:rPr>
        <w:t>potheti</w:t>
      </w:r>
      <w:r w:rsidR="00FA377E">
        <w:rPr>
          <w:rFonts w:asciiTheme="minorHAnsi" w:hAnsiTheme="minorHAnsi"/>
          <w:color w:val="000000"/>
          <w:lang w:eastAsia="en-US"/>
        </w:rPr>
        <w:t>cal</w:t>
      </w:r>
      <w:r w:rsidRPr="0027343D">
        <w:rPr>
          <w:rFonts w:asciiTheme="minorHAnsi" w:hAnsiTheme="minorHAnsi"/>
          <w:color w:val="000000"/>
          <w:lang w:eastAsia="en-US"/>
        </w:rPr>
        <w:t xml:space="preserve"> </w:t>
      </w:r>
      <w:r w:rsidR="005D014F">
        <w:rPr>
          <w:rFonts w:asciiTheme="minorHAnsi" w:hAnsiTheme="minorHAnsi"/>
          <w:color w:val="000000"/>
          <w:lang w:eastAsia="en-US"/>
        </w:rPr>
        <w:t>anabolic agent</w:t>
      </w:r>
      <w:r w:rsidR="00466157">
        <w:rPr>
          <w:rFonts w:asciiTheme="minorHAnsi" w:hAnsiTheme="minorHAnsi"/>
          <w:color w:val="000000"/>
          <w:lang w:eastAsia="en-US"/>
        </w:rPr>
        <w:t xml:space="preserve"> that redu</w:t>
      </w:r>
      <w:r w:rsidR="00552361">
        <w:rPr>
          <w:rFonts w:asciiTheme="minorHAnsi" w:hAnsiTheme="minorHAnsi"/>
          <w:color w:val="000000"/>
          <w:lang w:eastAsia="en-US"/>
        </w:rPr>
        <w:t xml:space="preserve">ced the risk of hip </w:t>
      </w:r>
      <w:r w:rsidR="00552361" w:rsidRPr="00AF2E8E">
        <w:rPr>
          <w:rFonts w:asciiTheme="minorHAnsi" w:hAnsiTheme="minorHAnsi"/>
          <w:color w:val="000000"/>
          <w:lang w:eastAsia="en-US"/>
        </w:rPr>
        <w:t xml:space="preserve">fracture by </w:t>
      </w:r>
      <w:r w:rsidR="00A7251E" w:rsidRPr="00AF2E8E">
        <w:rPr>
          <w:rFonts w:asciiTheme="minorHAnsi" w:hAnsiTheme="minorHAnsi"/>
          <w:color w:val="000000"/>
          <w:lang w:eastAsia="en-US"/>
        </w:rPr>
        <w:t>7</w:t>
      </w:r>
      <w:r w:rsidR="00552361" w:rsidRPr="00AF2E8E">
        <w:rPr>
          <w:rFonts w:asciiTheme="minorHAnsi" w:hAnsiTheme="minorHAnsi"/>
          <w:color w:val="000000"/>
          <w:lang w:eastAsia="en-US"/>
        </w:rPr>
        <w:t>0%</w:t>
      </w:r>
      <w:r w:rsidR="005D014F" w:rsidRPr="00AF2E8E">
        <w:rPr>
          <w:rFonts w:asciiTheme="minorHAnsi" w:hAnsiTheme="minorHAnsi"/>
          <w:color w:val="000000"/>
          <w:lang w:eastAsia="en-US"/>
        </w:rPr>
        <w:t xml:space="preserve"> </w:t>
      </w:r>
      <w:r w:rsidR="00674278" w:rsidRPr="00AF2E8E">
        <w:rPr>
          <w:rFonts w:asciiTheme="minorHAnsi" w:hAnsiTheme="minorHAnsi"/>
          <w:color w:val="000000"/>
          <w:lang w:eastAsia="en-US"/>
        </w:rPr>
        <w:t>(Relative Risk Reduction, RRR=</w:t>
      </w:r>
      <w:r w:rsidR="00A7251E" w:rsidRPr="00AF2E8E">
        <w:rPr>
          <w:rFonts w:asciiTheme="minorHAnsi" w:hAnsiTheme="minorHAnsi"/>
          <w:color w:val="000000"/>
          <w:lang w:eastAsia="en-US"/>
        </w:rPr>
        <w:t>7</w:t>
      </w:r>
      <w:r w:rsidR="00674278" w:rsidRPr="00AF2E8E">
        <w:rPr>
          <w:rFonts w:asciiTheme="minorHAnsi" w:hAnsiTheme="minorHAnsi"/>
          <w:color w:val="000000"/>
          <w:lang w:eastAsia="en-US"/>
        </w:rPr>
        <w:t>0%)</w:t>
      </w:r>
      <w:r w:rsidR="00E71146" w:rsidRPr="00AF2E8E">
        <w:rPr>
          <w:rFonts w:asciiTheme="minorHAnsi" w:hAnsiTheme="minorHAnsi"/>
          <w:color w:val="000000"/>
          <w:lang w:eastAsia="en-US"/>
        </w:rPr>
        <w:t xml:space="preserve">. </w:t>
      </w:r>
      <w:r w:rsidRPr="00AF2E8E">
        <w:rPr>
          <w:rFonts w:asciiTheme="minorHAnsi" w:hAnsiTheme="minorHAnsi"/>
          <w:color w:val="000000"/>
          <w:lang w:eastAsia="en-US"/>
        </w:rPr>
        <w:t>In th</w:t>
      </w:r>
      <w:r w:rsidR="00E71146" w:rsidRPr="00AF2E8E">
        <w:rPr>
          <w:rFonts w:asciiTheme="minorHAnsi" w:hAnsiTheme="minorHAnsi"/>
          <w:color w:val="000000"/>
          <w:lang w:eastAsia="en-US"/>
        </w:rPr>
        <w:t>is case</w:t>
      </w:r>
      <w:r w:rsidR="00E71146">
        <w:rPr>
          <w:rFonts w:asciiTheme="minorHAnsi" w:hAnsiTheme="minorHAnsi"/>
          <w:color w:val="000000"/>
          <w:lang w:eastAsia="en-US"/>
        </w:rPr>
        <w:t>,</w:t>
      </w:r>
      <w:r w:rsidRPr="0027343D">
        <w:rPr>
          <w:rFonts w:asciiTheme="minorHAnsi" w:hAnsiTheme="minorHAnsi"/>
          <w:color w:val="000000"/>
          <w:lang w:eastAsia="en-US"/>
        </w:rPr>
        <w:t xml:space="preserve"> </w:t>
      </w:r>
      <w:r w:rsidR="00E71146">
        <w:rPr>
          <w:rFonts w:asciiTheme="minorHAnsi" w:hAnsiTheme="minorHAnsi"/>
          <w:color w:val="000000"/>
          <w:lang w:eastAsia="en-US"/>
        </w:rPr>
        <w:t xml:space="preserve">the </w:t>
      </w:r>
      <w:r w:rsidR="00E71146" w:rsidRPr="0027343D">
        <w:rPr>
          <w:rFonts w:asciiTheme="minorHAnsi" w:hAnsiTheme="minorHAnsi"/>
          <w:color w:val="000000"/>
          <w:lang w:eastAsia="en-US"/>
        </w:rPr>
        <w:t>anabolic</w:t>
      </w:r>
      <w:r w:rsidRPr="0027343D">
        <w:rPr>
          <w:rFonts w:asciiTheme="minorHAnsi" w:hAnsiTheme="minorHAnsi"/>
          <w:color w:val="000000"/>
          <w:lang w:eastAsia="en-US"/>
        </w:rPr>
        <w:t xml:space="preserve"> agent</w:t>
      </w:r>
      <w:r w:rsidR="001D4753">
        <w:rPr>
          <w:rFonts w:asciiTheme="minorHAnsi" w:hAnsiTheme="minorHAnsi"/>
          <w:color w:val="000000"/>
          <w:lang w:eastAsia="en-US"/>
        </w:rPr>
        <w:t>,</w:t>
      </w:r>
      <w:r w:rsidRPr="0027343D">
        <w:rPr>
          <w:rFonts w:asciiTheme="minorHAnsi" w:hAnsiTheme="minorHAnsi"/>
          <w:color w:val="000000"/>
          <w:lang w:eastAsia="en-US"/>
        </w:rPr>
        <w:t xml:space="preserve"> followed by an antiresorptive </w:t>
      </w:r>
      <w:r w:rsidR="00A05F94">
        <w:rPr>
          <w:rFonts w:asciiTheme="minorHAnsi" w:hAnsiTheme="minorHAnsi"/>
          <w:color w:val="000000"/>
          <w:lang w:eastAsia="en-US"/>
        </w:rPr>
        <w:t>to maintain the effect</w:t>
      </w:r>
      <w:r w:rsidRPr="0027343D">
        <w:rPr>
          <w:rFonts w:asciiTheme="minorHAnsi" w:hAnsiTheme="minorHAnsi"/>
          <w:color w:val="000000"/>
          <w:lang w:eastAsia="en-US"/>
        </w:rPr>
        <w:t xml:space="preserve"> for a total of 10 years</w:t>
      </w:r>
      <w:r w:rsidR="001D4753">
        <w:rPr>
          <w:rFonts w:asciiTheme="minorHAnsi" w:hAnsiTheme="minorHAnsi"/>
          <w:color w:val="000000"/>
          <w:lang w:eastAsia="en-US"/>
        </w:rPr>
        <w:t>,</w:t>
      </w:r>
      <w:r w:rsidRPr="0027343D">
        <w:rPr>
          <w:rFonts w:asciiTheme="minorHAnsi" w:hAnsiTheme="minorHAnsi"/>
          <w:color w:val="000000"/>
          <w:lang w:eastAsia="en-US"/>
        </w:rPr>
        <w:t xml:space="preserve"> might be expected to </w:t>
      </w:r>
      <w:r w:rsidRPr="00AF2E8E">
        <w:rPr>
          <w:rFonts w:asciiTheme="minorHAnsi" w:hAnsiTheme="minorHAnsi"/>
          <w:color w:val="000000"/>
          <w:lang w:eastAsia="en-US"/>
        </w:rPr>
        <w:t xml:space="preserve">save </w:t>
      </w:r>
      <w:r w:rsidR="00AF2E8E" w:rsidRPr="00AF2E8E">
        <w:rPr>
          <w:rFonts w:asciiTheme="minorHAnsi" w:hAnsiTheme="minorHAnsi"/>
          <w:color w:val="000000"/>
          <w:lang w:eastAsia="en-US"/>
        </w:rPr>
        <w:t>33.8</w:t>
      </w:r>
      <w:r w:rsidRPr="00AF2E8E">
        <w:rPr>
          <w:rFonts w:asciiTheme="minorHAnsi" w:hAnsiTheme="minorHAnsi"/>
          <w:color w:val="000000"/>
          <w:lang w:eastAsia="en-US"/>
        </w:rPr>
        <w:t xml:space="preserve"> hip fractures</w:t>
      </w:r>
      <w:r w:rsidRPr="0027343D">
        <w:rPr>
          <w:rFonts w:asciiTheme="minorHAnsi" w:hAnsiTheme="minorHAnsi"/>
          <w:color w:val="000000"/>
          <w:lang w:eastAsia="en-US"/>
        </w:rPr>
        <w:t>/1000 patient years in women age 70 years with a recent fragility fracture.  In contrast, an antiresorptive (</w:t>
      </w:r>
      <w:r w:rsidR="00C852AE" w:rsidRPr="007B0576">
        <w:rPr>
          <w:rFonts w:asciiTheme="minorHAnsi" w:hAnsiTheme="minorHAnsi"/>
          <w:color w:val="000000"/>
          <w:lang w:eastAsia="en-US"/>
        </w:rPr>
        <w:t>RRR</w:t>
      </w:r>
      <w:r w:rsidRPr="0027343D">
        <w:rPr>
          <w:rFonts w:asciiTheme="minorHAnsi" w:hAnsiTheme="minorHAnsi"/>
          <w:color w:val="000000"/>
          <w:lang w:eastAsia="en-US"/>
        </w:rPr>
        <w:t>=</w:t>
      </w:r>
      <w:r w:rsidR="00C852AE" w:rsidRPr="007B0576">
        <w:rPr>
          <w:rFonts w:asciiTheme="minorHAnsi" w:hAnsiTheme="minorHAnsi"/>
          <w:color w:val="000000"/>
          <w:lang w:eastAsia="en-US"/>
        </w:rPr>
        <w:t>40</w:t>
      </w:r>
      <w:r w:rsidR="00762F52" w:rsidRPr="007B0576">
        <w:rPr>
          <w:rFonts w:asciiTheme="minorHAnsi" w:hAnsiTheme="minorHAnsi"/>
          <w:color w:val="000000"/>
          <w:lang w:eastAsia="en-US"/>
        </w:rPr>
        <w:t>%</w:t>
      </w:r>
      <w:r w:rsidRPr="0027343D">
        <w:rPr>
          <w:rFonts w:asciiTheme="minorHAnsi" w:hAnsiTheme="minorHAnsi"/>
          <w:color w:val="000000"/>
          <w:lang w:eastAsia="en-US"/>
        </w:rPr>
        <w:t xml:space="preserve">) followed by an anabolic regimen for the last 18 months of a 10-year treatment would </w:t>
      </w:r>
      <w:r w:rsidRPr="008609F8">
        <w:rPr>
          <w:rFonts w:asciiTheme="minorHAnsi" w:hAnsiTheme="minorHAnsi"/>
          <w:color w:val="000000"/>
          <w:lang w:eastAsia="en-US"/>
        </w:rPr>
        <w:t xml:space="preserve">save only </w:t>
      </w:r>
      <w:r w:rsidR="00AF2E8E" w:rsidRPr="008609F8">
        <w:rPr>
          <w:rFonts w:asciiTheme="minorHAnsi" w:hAnsiTheme="minorHAnsi"/>
          <w:color w:val="000000"/>
          <w:lang w:eastAsia="en-US"/>
        </w:rPr>
        <w:t>20.</w:t>
      </w:r>
      <w:r w:rsidR="008609F8" w:rsidRPr="008609F8">
        <w:rPr>
          <w:rFonts w:asciiTheme="minorHAnsi" w:hAnsiTheme="minorHAnsi"/>
          <w:color w:val="000000"/>
          <w:lang w:eastAsia="en-US"/>
        </w:rPr>
        <w:t>0</w:t>
      </w:r>
      <w:r w:rsidRPr="008609F8">
        <w:rPr>
          <w:rFonts w:asciiTheme="minorHAnsi" w:hAnsiTheme="minorHAnsi"/>
          <w:color w:val="000000"/>
          <w:lang w:eastAsia="en-US"/>
        </w:rPr>
        <w:t xml:space="preserve"> hip</w:t>
      </w:r>
      <w:r w:rsidRPr="0027343D">
        <w:rPr>
          <w:rFonts w:asciiTheme="minorHAnsi" w:hAnsiTheme="minorHAnsi"/>
          <w:color w:val="000000"/>
          <w:lang w:eastAsia="en-US"/>
        </w:rPr>
        <w:t xml:space="preserve"> fractures/1000 patient years.  The difference illustrates the importance of the sequence. The assumptions used and data for other ages are given in Table </w:t>
      </w:r>
      <w:r w:rsidR="00014F48" w:rsidRPr="007B0576">
        <w:rPr>
          <w:rFonts w:asciiTheme="minorHAnsi" w:hAnsiTheme="minorHAnsi"/>
          <w:color w:val="000000"/>
          <w:lang w:eastAsia="en-US"/>
        </w:rPr>
        <w:t>4</w:t>
      </w:r>
      <w:r w:rsidRPr="0027343D">
        <w:rPr>
          <w:rFonts w:asciiTheme="minorHAnsi" w:hAnsiTheme="minorHAnsi"/>
          <w:color w:val="000000"/>
          <w:lang w:eastAsia="en-US"/>
        </w:rPr>
        <w:t xml:space="preserve">. </w:t>
      </w:r>
    </w:p>
    <w:p w14:paraId="60347F70" w14:textId="095A1776" w:rsidR="0027343D" w:rsidRPr="0027343D" w:rsidRDefault="0027343D" w:rsidP="0027343D">
      <w:pPr>
        <w:autoSpaceDE w:val="0"/>
        <w:autoSpaceDN w:val="0"/>
        <w:adjustRightInd w:val="0"/>
        <w:spacing w:after="240" w:line="276" w:lineRule="auto"/>
        <w:ind w:left="567"/>
        <w:rPr>
          <w:rFonts w:asciiTheme="minorHAnsi" w:hAnsiTheme="minorHAnsi"/>
          <w:color w:val="000000"/>
          <w:sz w:val="20"/>
          <w:szCs w:val="20"/>
          <w:lang w:eastAsia="en-US"/>
        </w:rPr>
      </w:pPr>
      <w:r w:rsidRPr="0027343D">
        <w:rPr>
          <w:rFonts w:asciiTheme="minorHAnsi" w:hAnsiTheme="minorHAnsi"/>
          <w:b/>
          <w:color w:val="000000"/>
          <w:sz w:val="20"/>
          <w:szCs w:val="20"/>
          <w:lang w:eastAsia="en-US"/>
        </w:rPr>
        <w:t xml:space="preserve">Table </w:t>
      </w:r>
      <w:r w:rsidR="00014F48" w:rsidRPr="007B0576">
        <w:rPr>
          <w:rFonts w:asciiTheme="minorHAnsi" w:hAnsiTheme="minorHAnsi"/>
          <w:b/>
          <w:color w:val="000000"/>
          <w:sz w:val="20"/>
          <w:szCs w:val="20"/>
          <w:lang w:eastAsia="en-US"/>
        </w:rPr>
        <w:t>4</w:t>
      </w:r>
      <w:r w:rsidRPr="0027343D">
        <w:rPr>
          <w:rFonts w:asciiTheme="minorHAnsi" w:hAnsiTheme="minorHAnsi"/>
          <w:color w:val="000000"/>
          <w:sz w:val="20"/>
          <w:szCs w:val="20"/>
          <w:lang w:eastAsia="en-US"/>
        </w:rPr>
        <w:t xml:space="preserve">  </w:t>
      </w:r>
      <w:r w:rsidR="00020418">
        <w:rPr>
          <w:rFonts w:asciiTheme="minorHAnsi" w:hAnsiTheme="minorHAnsi"/>
          <w:color w:val="000000"/>
          <w:sz w:val="20"/>
          <w:szCs w:val="20"/>
          <w:lang w:eastAsia="en-US"/>
        </w:rPr>
        <w:t xml:space="preserve"> </w:t>
      </w:r>
      <w:r w:rsidRPr="0027343D">
        <w:rPr>
          <w:rFonts w:asciiTheme="minorHAnsi" w:hAnsiTheme="minorHAnsi"/>
          <w:color w:val="000000"/>
          <w:sz w:val="20"/>
          <w:szCs w:val="20"/>
          <w:lang w:eastAsia="en-US"/>
        </w:rPr>
        <w:t xml:space="preserve">The effect on hip fracture (number /1000 patient years) of an anabolic </w:t>
      </w:r>
      <w:r w:rsidR="008E7323" w:rsidRPr="0027343D">
        <w:rPr>
          <w:rFonts w:asciiTheme="minorHAnsi" w:hAnsiTheme="minorHAnsi"/>
          <w:color w:val="000000"/>
          <w:sz w:val="20"/>
          <w:szCs w:val="20"/>
          <w:lang w:eastAsia="en-US"/>
        </w:rPr>
        <w:t xml:space="preserve">agent </w:t>
      </w:r>
      <w:r w:rsidR="008E7323">
        <w:rPr>
          <w:rFonts w:asciiTheme="minorHAnsi" w:hAnsiTheme="minorHAnsi"/>
          <w:color w:val="000000"/>
          <w:sz w:val="20"/>
          <w:szCs w:val="20"/>
          <w:lang w:eastAsia="en-US"/>
        </w:rPr>
        <w:t>(</w:t>
      </w:r>
      <w:r w:rsidR="007C452D">
        <w:rPr>
          <w:rFonts w:asciiTheme="minorHAnsi" w:hAnsiTheme="minorHAnsi"/>
          <w:color w:val="000000"/>
          <w:sz w:val="20"/>
          <w:szCs w:val="20"/>
          <w:lang w:eastAsia="en-US"/>
        </w:rPr>
        <w:t xml:space="preserve">AA) </w:t>
      </w:r>
      <w:r w:rsidRPr="0027343D">
        <w:rPr>
          <w:rFonts w:asciiTheme="minorHAnsi" w:hAnsiTheme="minorHAnsi"/>
          <w:color w:val="000000"/>
          <w:sz w:val="20"/>
          <w:szCs w:val="20"/>
          <w:lang w:eastAsia="en-US"/>
        </w:rPr>
        <w:t xml:space="preserve">given for the first 18 months followed by an antiresorptive </w:t>
      </w:r>
      <w:r w:rsidR="00B27BAC">
        <w:rPr>
          <w:rFonts w:asciiTheme="minorHAnsi" w:hAnsiTheme="minorHAnsi"/>
          <w:color w:val="000000"/>
          <w:sz w:val="20"/>
          <w:szCs w:val="20"/>
          <w:lang w:eastAsia="en-US"/>
        </w:rPr>
        <w:t>(AR)</w:t>
      </w:r>
      <w:r w:rsidR="001012C8">
        <w:rPr>
          <w:rFonts w:asciiTheme="minorHAnsi" w:hAnsiTheme="minorHAnsi"/>
          <w:color w:val="000000"/>
          <w:sz w:val="20"/>
          <w:szCs w:val="20"/>
          <w:lang w:eastAsia="en-US"/>
        </w:rPr>
        <w:t xml:space="preserve"> </w:t>
      </w:r>
      <w:r w:rsidRPr="0027343D">
        <w:rPr>
          <w:rFonts w:asciiTheme="minorHAnsi" w:hAnsiTheme="minorHAnsi"/>
          <w:color w:val="000000"/>
          <w:sz w:val="20"/>
          <w:szCs w:val="20"/>
          <w:lang w:eastAsia="en-US"/>
        </w:rPr>
        <w:t xml:space="preserve">for a total of 10 years.  The clinical scenario is a postmenopausal woman from the UK with a recent major osteoporotic fracture.  The efficacy (RRR) of the anabolic agent is modelled at </w:t>
      </w:r>
      <w:r w:rsidR="000E2852">
        <w:rPr>
          <w:rFonts w:asciiTheme="minorHAnsi" w:hAnsiTheme="minorHAnsi"/>
          <w:color w:val="000000"/>
          <w:sz w:val="20"/>
          <w:szCs w:val="20"/>
          <w:lang w:eastAsia="en-US"/>
        </w:rPr>
        <w:t>7</w:t>
      </w:r>
      <w:r w:rsidRPr="0027343D">
        <w:rPr>
          <w:rFonts w:asciiTheme="minorHAnsi" w:hAnsiTheme="minorHAnsi"/>
          <w:color w:val="000000"/>
          <w:sz w:val="20"/>
          <w:szCs w:val="20"/>
          <w:lang w:eastAsia="en-US"/>
        </w:rPr>
        <w:t>0% and that of the antiresorptive at 40%.  The time course of a subsequent hip fracture is non-linear as given in [</w:t>
      </w:r>
      <w:r w:rsidR="00C07C16">
        <w:rPr>
          <w:rFonts w:asciiTheme="minorHAnsi" w:hAnsiTheme="minorHAnsi"/>
          <w:color w:val="000000"/>
          <w:sz w:val="20"/>
          <w:szCs w:val="20"/>
          <w:lang w:eastAsia="en-US"/>
        </w:rPr>
        <w:t>5</w:t>
      </w:r>
      <w:r w:rsidR="005264DE">
        <w:rPr>
          <w:rFonts w:asciiTheme="minorHAnsi" w:hAnsiTheme="minorHAnsi"/>
          <w:color w:val="000000"/>
          <w:sz w:val="20"/>
          <w:szCs w:val="20"/>
          <w:lang w:eastAsia="en-US"/>
        </w:rPr>
        <w:t>8</w:t>
      </w:r>
      <w:r w:rsidRPr="0027343D">
        <w:rPr>
          <w:rFonts w:asciiTheme="minorHAnsi" w:hAnsiTheme="minorHAnsi"/>
          <w:color w:val="000000"/>
          <w:sz w:val="20"/>
          <w:szCs w:val="20"/>
          <w:lang w:eastAsia="en-US"/>
        </w:rPr>
        <w:t>].  The two right-hand columns show the effects of an antiresorptive followed by an anabolic agent for the last 18 months of a 10-year treatment.</w:t>
      </w:r>
    </w:p>
    <w:tbl>
      <w:tblPr>
        <w:tblStyle w:val="TableGrid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249"/>
        <w:gridCol w:w="293"/>
        <w:gridCol w:w="1275"/>
        <w:gridCol w:w="1418"/>
        <w:gridCol w:w="283"/>
        <w:gridCol w:w="1276"/>
        <w:gridCol w:w="1509"/>
      </w:tblGrid>
      <w:tr w:rsidR="0027343D" w:rsidRPr="0027343D" w14:paraId="14C6813C" w14:textId="77777777" w:rsidTr="00704C2B">
        <w:tc>
          <w:tcPr>
            <w:tcW w:w="1152" w:type="dxa"/>
            <w:tcBorders>
              <w:top w:val="single" w:sz="4" w:space="0" w:color="auto"/>
            </w:tcBorders>
          </w:tcPr>
          <w:p w14:paraId="5909C8F9"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p>
        </w:tc>
        <w:tc>
          <w:tcPr>
            <w:tcW w:w="1249" w:type="dxa"/>
            <w:tcBorders>
              <w:top w:val="single" w:sz="4" w:space="0" w:color="auto"/>
              <w:bottom w:val="single" w:sz="4" w:space="0" w:color="auto"/>
            </w:tcBorders>
          </w:tcPr>
          <w:p w14:paraId="676FD7C4"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Untreated</w:t>
            </w:r>
          </w:p>
        </w:tc>
        <w:tc>
          <w:tcPr>
            <w:tcW w:w="293" w:type="dxa"/>
            <w:tcBorders>
              <w:top w:val="single" w:sz="4" w:space="0" w:color="auto"/>
            </w:tcBorders>
          </w:tcPr>
          <w:p w14:paraId="48B555D7"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p>
        </w:tc>
        <w:tc>
          <w:tcPr>
            <w:tcW w:w="1275" w:type="dxa"/>
            <w:tcBorders>
              <w:top w:val="single" w:sz="4" w:space="0" w:color="auto"/>
              <w:bottom w:val="single" w:sz="4" w:space="0" w:color="auto"/>
            </w:tcBorders>
          </w:tcPr>
          <w:p w14:paraId="6FAAF890" w14:textId="268074B3" w:rsidR="003A2CE2" w:rsidRPr="0027343D" w:rsidRDefault="00A140FC" w:rsidP="00913EB7">
            <w:pPr>
              <w:spacing w:after="160" w:line="259" w:lineRule="auto"/>
              <w:jc w:val="center"/>
              <w:rPr>
                <w:rFonts w:asciiTheme="minorHAnsi" w:eastAsia="MS Mincho" w:hAnsiTheme="minorHAnsi" w:cstheme="minorHAnsi"/>
                <w:sz w:val="20"/>
                <w:szCs w:val="20"/>
                <w:lang w:val="en-GB" w:eastAsia="en-US"/>
              </w:rPr>
            </w:pPr>
            <w:r>
              <w:rPr>
                <w:rFonts w:asciiTheme="minorHAnsi" w:eastAsia="MS Mincho" w:hAnsiTheme="minorHAnsi" w:cstheme="minorHAnsi"/>
                <w:sz w:val="20"/>
                <w:szCs w:val="20"/>
                <w:lang w:val="en-GB" w:eastAsia="en-US"/>
              </w:rPr>
              <w:t>AA/AR</w:t>
            </w:r>
            <w:r w:rsidR="003A2CE2">
              <w:rPr>
                <w:rFonts w:asciiTheme="minorHAnsi" w:eastAsia="MS Mincho" w:hAnsiTheme="minorHAnsi" w:cstheme="minorHAnsi"/>
                <w:sz w:val="20"/>
                <w:szCs w:val="20"/>
                <w:lang w:val="en-GB" w:eastAsia="en-US"/>
              </w:rPr>
              <w:br/>
            </w:r>
            <w:r w:rsidR="003A2CE2" w:rsidRPr="003A2CE2">
              <w:rPr>
                <w:rFonts w:asciiTheme="minorHAnsi" w:eastAsia="MS Mincho" w:hAnsiTheme="minorHAnsi" w:cstheme="minorHAnsi"/>
                <w:sz w:val="20"/>
                <w:szCs w:val="20"/>
                <w:lang w:val="en-GB" w:eastAsia="en-US"/>
              </w:rPr>
              <w:t>RRR 70/40%</w:t>
            </w:r>
            <w:r w:rsidR="00F36BB7" w:rsidRPr="00F36BB7">
              <w:rPr>
                <w:rFonts w:asciiTheme="minorHAnsi" w:eastAsia="MS Mincho" w:hAnsiTheme="minorHAnsi" w:cstheme="minorHAnsi"/>
                <w:sz w:val="20"/>
                <w:szCs w:val="20"/>
                <w:vertAlign w:val="superscript"/>
                <w:lang w:val="en-GB" w:eastAsia="en-US"/>
              </w:rPr>
              <w:t>a</w:t>
            </w:r>
          </w:p>
        </w:tc>
        <w:tc>
          <w:tcPr>
            <w:tcW w:w="1418" w:type="dxa"/>
            <w:tcBorders>
              <w:top w:val="single" w:sz="4" w:space="0" w:color="auto"/>
              <w:bottom w:val="single" w:sz="4" w:space="0" w:color="auto"/>
            </w:tcBorders>
          </w:tcPr>
          <w:p w14:paraId="0D0E95E4" w14:textId="734C239E"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Fractures saved</w:t>
            </w:r>
            <w:r w:rsidR="00F36BB7">
              <w:rPr>
                <w:rFonts w:asciiTheme="minorHAnsi" w:hAnsiTheme="minorHAnsi" w:cstheme="minorHAnsi"/>
                <w:sz w:val="20"/>
                <w:szCs w:val="20"/>
                <w:vertAlign w:val="superscript"/>
                <w:lang w:eastAsia="en-US"/>
              </w:rPr>
              <w:t>b</w:t>
            </w:r>
          </w:p>
        </w:tc>
        <w:tc>
          <w:tcPr>
            <w:tcW w:w="283" w:type="dxa"/>
            <w:tcBorders>
              <w:top w:val="single" w:sz="4" w:space="0" w:color="auto"/>
            </w:tcBorders>
          </w:tcPr>
          <w:p w14:paraId="0398FCC3"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p>
        </w:tc>
        <w:tc>
          <w:tcPr>
            <w:tcW w:w="1276" w:type="dxa"/>
            <w:tcBorders>
              <w:top w:val="single" w:sz="4" w:space="0" w:color="auto"/>
              <w:bottom w:val="single" w:sz="4" w:space="0" w:color="auto"/>
            </w:tcBorders>
          </w:tcPr>
          <w:p w14:paraId="1F256968" w14:textId="70D71E71" w:rsidR="0027343D" w:rsidRPr="0027343D" w:rsidRDefault="00A140FC" w:rsidP="00913EB7">
            <w:pPr>
              <w:spacing w:after="160" w:line="259" w:lineRule="auto"/>
              <w:jc w:val="center"/>
              <w:rPr>
                <w:rFonts w:asciiTheme="minorHAnsi" w:eastAsia="MS Mincho" w:hAnsiTheme="minorHAnsi" w:cstheme="minorHAnsi"/>
                <w:sz w:val="20"/>
                <w:szCs w:val="20"/>
                <w:lang w:val="en-GB" w:eastAsia="en-US"/>
              </w:rPr>
            </w:pPr>
            <w:r>
              <w:rPr>
                <w:rFonts w:asciiTheme="minorHAnsi" w:eastAsia="MS Mincho" w:hAnsiTheme="minorHAnsi" w:cstheme="minorHAnsi"/>
                <w:sz w:val="20"/>
                <w:szCs w:val="20"/>
                <w:lang w:val="en-GB" w:eastAsia="en-US"/>
              </w:rPr>
              <w:t>AR/AN</w:t>
            </w:r>
            <w:r w:rsidR="00913EB7">
              <w:rPr>
                <w:rFonts w:asciiTheme="minorHAnsi" w:eastAsia="MS Mincho" w:hAnsiTheme="minorHAnsi" w:cstheme="minorHAnsi"/>
                <w:sz w:val="20"/>
                <w:szCs w:val="20"/>
                <w:lang w:val="en-GB" w:eastAsia="en-US"/>
              </w:rPr>
              <w:br/>
            </w:r>
            <w:r w:rsidR="00913EB7" w:rsidRPr="00913EB7">
              <w:rPr>
                <w:rFonts w:asciiTheme="minorHAnsi" w:eastAsia="MS Mincho" w:hAnsiTheme="minorHAnsi" w:cstheme="minorHAnsi"/>
                <w:sz w:val="20"/>
                <w:szCs w:val="20"/>
                <w:lang w:val="en-GB" w:eastAsia="en-US"/>
              </w:rPr>
              <w:t>RRR 40/70%</w:t>
            </w:r>
          </w:p>
        </w:tc>
        <w:tc>
          <w:tcPr>
            <w:tcW w:w="1509" w:type="dxa"/>
            <w:tcBorders>
              <w:top w:val="single" w:sz="4" w:space="0" w:color="auto"/>
              <w:bottom w:val="single" w:sz="4" w:space="0" w:color="auto"/>
            </w:tcBorders>
          </w:tcPr>
          <w:p w14:paraId="794986D5" w14:textId="42393FE6"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Fractures saved</w:t>
            </w:r>
            <w:r w:rsidR="00F36BB7">
              <w:rPr>
                <w:rFonts w:asciiTheme="minorHAnsi" w:hAnsiTheme="minorHAnsi" w:cstheme="minorHAnsi"/>
                <w:sz w:val="20"/>
                <w:szCs w:val="20"/>
                <w:vertAlign w:val="superscript"/>
                <w:lang w:eastAsia="en-US"/>
              </w:rPr>
              <w:t>b</w:t>
            </w:r>
          </w:p>
        </w:tc>
      </w:tr>
      <w:tr w:rsidR="0027343D" w:rsidRPr="0027343D" w14:paraId="5F1DFF84" w14:textId="77777777" w:rsidTr="00A7251E">
        <w:tc>
          <w:tcPr>
            <w:tcW w:w="1152" w:type="dxa"/>
            <w:tcBorders>
              <w:bottom w:val="single" w:sz="4" w:space="0" w:color="auto"/>
            </w:tcBorders>
          </w:tcPr>
          <w:p w14:paraId="1E5884FC"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Age</w:t>
            </w:r>
          </w:p>
        </w:tc>
        <w:tc>
          <w:tcPr>
            <w:tcW w:w="1249" w:type="dxa"/>
            <w:tcBorders>
              <w:top w:val="single" w:sz="4" w:space="0" w:color="auto"/>
              <w:bottom w:val="single" w:sz="4" w:space="0" w:color="auto"/>
            </w:tcBorders>
          </w:tcPr>
          <w:p w14:paraId="44F27523"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N/1000</w:t>
            </w:r>
          </w:p>
        </w:tc>
        <w:tc>
          <w:tcPr>
            <w:tcW w:w="293" w:type="dxa"/>
            <w:tcBorders>
              <w:bottom w:val="single" w:sz="4" w:space="0" w:color="auto"/>
            </w:tcBorders>
          </w:tcPr>
          <w:p w14:paraId="2484A565" w14:textId="77777777" w:rsidR="0027343D" w:rsidRPr="0027343D" w:rsidRDefault="0027343D" w:rsidP="0027343D">
            <w:pPr>
              <w:spacing w:after="160" w:line="259" w:lineRule="auto"/>
              <w:rPr>
                <w:rFonts w:asciiTheme="minorHAnsi" w:eastAsia="MS Mincho" w:hAnsiTheme="minorHAnsi" w:cstheme="minorHAnsi"/>
                <w:sz w:val="20"/>
                <w:szCs w:val="20"/>
                <w:lang w:val="en-GB" w:eastAsia="en-US"/>
              </w:rPr>
            </w:pPr>
          </w:p>
        </w:tc>
        <w:tc>
          <w:tcPr>
            <w:tcW w:w="1275" w:type="dxa"/>
            <w:tcBorders>
              <w:top w:val="single" w:sz="4" w:space="0" w:color="auto"/>
              <w:bottom w:val="single" w:sz="4" w:space="0" w:color="auto"/>
            </w:tcBorders>
          </w:tcPr>
          <w:p w14:paraId="0FC9D9D4"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N/1000</w:t>
            </w:r>
          </w:p>
        </w:tc>
        <w:tc>
          <w:tcPr>
            <w:tcW w:w="1418" w:type="dxa"/>
            <w:tcBorders>
              <w:top w:val="single" w:sz="4" w:space="0" w:color="auto"/>
              <w:bottom w:val="single" w:sz="4" w:space="0" w:color="auto"/>
            </w:tcBorders>
          </w:tcPr>
          <w:p w14:paraId="4DB64E17"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N/1000</w:t>
            </w:r>
          </w:p>
        </w:tc>
        <w:tc>
          <w:tcPr>
            <w:tcW w:w="283" w:type="dxa"/>
            <w:tcBorders>
              <w:bottom w:val="single" w:sz="4" w:space="0" w:color="auto"/>
            </w:tcBorders>
          </w:tcPr>
          <w:p w14:paraId="65DEAB69"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p>
        </w:tc>
        <w:tc>
          <w:tcPr>
            <w:tcW w:w="1276" w:type="dxa"/>
            <w:tcBorders>
              <w:top w:val="single" w:sz="4" w:space="0" w:color="auto"/>
              <w:bottom w:val="single" w:sz="4" w:space="0" w:color="auto"/>
            </w:tcBorders>
          </w:tcPr>
          <w:p w14:paraId="2A62B9EE"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N/1000</w:t>
            </w:r>
          </w:p>
        </w:tc>
        <w:tc>
          <w:tcPr>
            <w:tcW w:w="1509" w:type="dxa"/>
            <w:tcBorders>
              <w:top w:val="single" w:sz="4" w:space="0" w:color="auto"/>
              <w:bottom w:val="single" w:sz="4" w:space="0" w:color="auto"/>
            </w:tcBorders>
          </w:tcPr>
          <w:p w14:paraId="2883B0AF" w14:textId="77777777" w:rsidR="0027343D" w:rsidRPr="0027343D" w:rsidRDefault="0027343D" w:rsidP="00913EB7">
            <w:pPr>
              <w:spacing w:after="160" w:line="259" w:lineRule="auto"/>
              <w:jc w:val="center"/>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N/1000</w:t>
            </w:r>
          </w:p>
        </w:tc>
      </w:tr>
      <w:tr w:rsidR="004D518F" w:rsidRPr="0027343D" w14:paraId="667BD09A" w14:textId="77777777" w:rsidTr="00A7251E">
        <w:tc>
          <w:tcPr>
            <w:tcW w:w="1152" w:type="dxa"/>
            <w:tcBorders>
              <w:top w:val="single" w:sz="4" w:space="0" w:color="auto"/>
            </w:tcBorders>
          </w:tcPr>
          <w:p w14:paraId="1CE051E8"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50</w:t>
            </w:r>
          </w:p>
        </w:tc>
        <w:tc>
          <w:tcPr>
            <w:tcW w:w="1249" w:type="dxa"/>
            <w:tcBorders>
              <w:top w:val="single" w:sz="4" w:space="0" w:color="auto"/>
            </w:tcBorders>
          </w:tcPr>
          <w:p w14:paraId="64B2FAC9" w14:textId="0534CB99"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8.1</w:t>
            </w:r>
          </w:p>
        </w:tc>
        <w:tc>
          <w:tcPr>
            <w:tcW w:w="293" w:type="dxa"/>
            <w:tcBorders>
              <w:top w:val="single" w:sz="4" w:space="0" w:color="auto"/>
            </w:tcBorders>
          </w:tcPr>
          <w:p w14:paraId="414BD220"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tcBorders>
              <w:top w:val="single" w:sz="4" w:space="0" w:color="auto"/>
            </w:tcBorders>
            <w:shd w:val="clear" w:color="auto" w:fill="auto"/>
            <w:vAlign w:val="bottom"/>
          </w:tcPr>
          <w:p w14:paraId="14C8FF0D" w14:textId="4644709B"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2.4</w:t>
            </w:r>
          </w:p>
        </w:tc>
        <w:tc>
          <w:tcPr>
            <w:tcW w:w="1418" w:type="dxa"/>
            <w:tcBorders>
              <w:top w:val="single" w:sz="4" w:space="0" w:color="auto"/>
            </w:tcBorders>
            <w:shd w:val="clear" w:color="auto" w:fill="auto"/>
            <w:vAlign w:val="bottom"/>
          </w:tcPr>
          <w:p w14:paraId="7DED5F00" w14:textId="120814B5"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5.</w:t>
            </w:r>
            <w:r>
              <w:rPr>
                <w:rFonts w:cs="Calibri"/>
                <w:color w:val="000000"/>
                <w:sz w:val="20"/>
                <w:szCs w:val="20"/>
              </w:rPr>
              <w:t>7</w:t>
            </w:r>
          </w:p>
        </w:tc>
        <w:tc>
          <w:tcPr>
            <w:tcW w:w="283" w:type="dxa"/>
            <w:tcBorders>
              <w:top w:val="single" w:sz="4" w:space="0" w:color="auto"/>
            </w:tcBorders>
          </w:tcPr>
          <w:p w14:paraId="16627591"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tcBorders>
              <w:top w:val="single" w:sz="4" w:space="0" w:color="auto"/>
            </w:tcBorders>
            <w:shd w:val="clear" w:color="auto" w:fill="auto"/>
            <w:vAlign w:val="bottom"/>
          </w:tcPr>
          <w:p w14:paraId="5A450B2C" w14:textId="6E81F284"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4.7</w:t>
            </w:r>
          </w:p>
        </w:tc>
        <w:tc>
          <w:tcPr>
            <w:tcW w:w="1509" w:type="dxa"/>
            <w:tcBorders>
              <w:top w:val="single" w:sz="4" w:space="0" w:color="auto"/>
            </w:tcBorders>
            <w:shd w:val="clear" w:color="auto" w:fill="auto"/>
            <w:vAlign w:val="bottom"/>
          </w:tcPr>
          <w:p w14:paraId="25CA8C79" w14:textId="11CA6368"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3.</w:t>
            </w:r>
            <w:r>
              <w:rPr>
                <w:rFonts w:cs="Calibri"/>
                <w:sz w:val="20"/>
                <w:szCs w:val="20"/>
              </w:rPr>
              <w:t>4</w:t>
            </w:r>
          </w:p>
        </w:tc>
      </w:tr>
      <w:tr w:rsidR="004D518F" w:rsidRPr="0027343D" w14:paraId="5C819DF1" w14:textId="77777777" w:rsidTr="00A7251E">
        <w:tc>
          <w:tcPr>
            <w:tcW w:w="1152" w:type="dxa"/>
          </w:tcPr>
          <w:p w14:paraId="36FE8B33"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55</w:t>
            </w:r>
          </w:p>
        </w:tc>
        <w:tc>
          <w:tcPr>
            <w:tcW w:w="1249" w:type="dxa"/>
          </w:tcPr>
          <w:p w14:paraId="5E2EE28A" w14:textId="6917BFCA"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12.8</w:t>
            </w:r>
          </w:p>
        </w:tc>
        <w:tc>
          <w:tcPr>
            <w:tcW w:w="293" w:type="dxa"/>
          </w:tcPr>
          <w:p w14:paraId="47B5BF1E"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2271CCD3" w14:textId="71CCFF2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3.8</w:t>
            </w:r>
          </w:p>
        </w:tc>
        <w:tc>
          <w:tcPr>
            <w:tcW w:w="1418" w:type="dxa"/>
            <w:shd w:val="clear" w:color="auto" w:fill="auto"/>
            <w:vAlign w:val="bottom"/>
          </w:tcPr>
          <w:p w14:paraId="02CB75DA" w14:textId="30EA154C"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Pr>
                <w:rFonts w:cs="Calibri"/>
                <w:color w:val="000000"/>
                <w:sz w:val="20"/>
                <w:szCs w:val="20"/>
              </w:rPr>
              <w:t>9.0</w:t>
            </w:r>
          </w:p>
        </w:tc>
        <w:tc>
          <w:tcPr>
            <w:tcW w:w="283" w:type="dxa"/>
          </w:tcPr>
          <w:p w14:paraId="5274CC57"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65CFFC86" w14:textId="6D06F8D2"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7.</w:t>
            </w:r>
            <w:r>
              <w:rPr>
                <w:rFonts w:cs="Calibri"/>
                <w:sz w:val="20"/>
                <w:szCs w:val="20"/>
              </w:rPr>
              <w:t>5</w:t>
            </w:r>
          </w:p>
        </w:tc>
        <w:tc>
          <w:tcPr>
            <w:tcW w:w="1509" w:type="dxa"/>
            <w:shd w:val="clear" w:color="auto" w:fill="auto"/>
            <w:vAlign w:val="bottom"/>
          </w:tcPr>
          <w:p w14:paraId="77178621" w14:textId="5BD8E13F"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5.3</w:t>
            </w:r>
          </w:p>
        </w:tc>
      </w:tr>
      <w:tr w:rsidR="004D518F" w:rsidRPr="0027343D" w14:paraId="24FC9424" w14:textId="77777777" w:rsidTr="00A7251E">
        <w:tc>
          <w:tcPr>
            <w:tcW w:w="1152" w:type="dxa"/>
          </w:tcPr>
          <w:p w14:paraId="73950D6D"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60</w:t>
            </w:r>
          </w:p>
        </w:tc>
        <w:tc>
          <w:tcPr>
            <w:tcW w:w="1249" w:type="dxa"/>
          </w:tcPr>
          <w:p w14:paraId="3830F780" w14:textId="5C91D182"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20.4</w:t>
            </w:r>
          </w:p>
        </w:tc>
        <w:tc>
          <w:tcPr>
            <w:tcW w:w="293" w:type="dxa"/>
          </w:tcPr>
          <w:p w14:paraId="4993A85D"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40AEE0D6" w14:textId="07A0B311"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6.1</w:t>
            </w:r>
          </w:p>
        </w:tc>
        <w:tc>
          <w:tcPr>
            <w:tcW w:w="1418" w:type="dxa"/>
            <w:shd w:val="clear" w:color="auto" w:fill="auto"/>
            <w:vAlign w:val="bottom"/>
          </w:tcPr>
          <w:p w14:paraId="0FF43E8C" w14:textId="6171656F"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14.</w:t>
            </w:r>
            <w:r>
              <w:rPr>
                <w:rFonts w:cs="Calibri"/>
                <w:color w:val="000000"/>
                <w:sz w:val="20"/>
                <w:szCs w:val="20"/>
              </w:rPr>
              <w:t>3</w:t>
            </w:r>
          </w:p>
        </w:tc>
        <w:tc>
          <w:tcPr>
            <w:tcW w:w="283" w:type="dxa"/>
          </w:tcPr>
          <w:p w14:paraId="28103B4E"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11BFECE4" w14:textId="6B26464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11.9</w:t>
            </w:r>
          </w:p>
        </w:tc>
        <w:tc>
          <w:tcPr>
            <w:tcW w:w="1509" w:type="dxa"/>
            <w:shd w:val="clear" w:color="auto" w:fill="auto"/>
            <w:vAlign w:val="bottom"/>
          </w:tcPr>
          <w:p w14:paraId="0AEF9A3C" w14:textId="11A7D61C"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8.</w:t>
            </w:r>
            <w:r>
              <w:rPr>
                <w:rFonts w:cs="Calibri"/>
                <w:sz w:val="20"/>
                <w:szCs w:val="20"/>
              </w:rPr>
              <w:t>5</w:t>
            </w:r>
          </w:p>
        </w:tc>
      </w:tr>
      <w:tr w:rsidR="004D518F" w:rsidRPr="0027343D" w14:paraId="017E45E7" w14:textId="77777777" w:rsidTr="00A7251E">
        <w:tc>
          <w:tcPr>
            <w:tcW w:w="1152" w:type="dxa"/>
          </w:tcPr>
          <w:p w14:paraId="08CBE03B"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65</w:t>
            </w:r>
          </w:p>
        </w:tc>
        <w:tc>
          <w:tcPr>
            <w:tcW w:w="1249" w:type="dxa"/>
          </w:tcPr>
          <w:p w14:paraId="1065DEED" w14:textId="61681059"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31.3</w:t>
            </w:r>
          </w:p>
        </w:tc>
        <w:tc>
          <w:tcPr>
            <w:tcW w:w="293" w:type="dxa"/>
          </w:tcPr>
          <w:p w14:paraId="2F25D303"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591CD44F" w14:textId="15E22229"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9.</w:t>
            </w:r>
            <w:r>
              <w:rPr>
                <w:rFonts w:cs="Calibri"/>
                <w:color w:val="000000"/>
                <w:sz w:val="20"/>
                <w:szCs w:val="20"/>
              </w:rPr>
              <w:t>4</w:t>
            </w:r>
          </w:p>
        </w:tc>
        <w:tc>
          <w:tcPr>
            <w:tcW w:w="1418" w:type="dxa"/>
            <w:shd w:val="clear" w:color="auto" w:fill="auto"/>
            <w:vAlign w:val="bottom"/>
          </w:tcPr>
          <w:p w14:paraId="4209B9B5" w14:textId="3B45C838"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21.9</w:t>
            </w:r>
          </w:p>
        </w:tc>
        <w:tc>
          <w:tcPr>
            <w:tcW w:w="283" w:type="dxa"/>
          </w:tcPr>
          <w:p w14:paraId="0A263AE3"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77ADB9AE" w14:textId="61379650"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18.3</w:t>
            </w:r>
          </w:p>
        </w:tc>
        <w:tc>
          <w:tcPr>
            <w:tcW w:w="1509" w:type="dxa"/>
            <w:shd w:val="clear" w:color="auto" w:fill="auto"/>
            <w:vAlign w:val="bottom"/>
          </w:tcPr>
          <w:p w14:paraId="5EB93049" w14:textId="6B72F28E"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1</w:t>
            </w:r>
            <w:r>
              <w:rPr>
                <w:rFonts w:cs="Calibri"/>
                <w:sz w:val="20"/>
                <w:szCs w:val="20"/>
              </w:rPr>
              <w:t>3</w:t>
            </w:r>
            <w:r w:rsidRPr="006C75C2">
              <w:rPr>
                <w:rFonts w:cs="Calibri"/>
                <w:sz w:val="20"/>
                <w:szCs w:val="20"/>
              </w:rPr>
              <w:t>.</w:t>
            </w:r>
            <w:r>
              <w:rPr>
                <w:rFonts w:cs="Calibri"/>
                <w:sz w:val="20"/>
                <w:szCs w:val="20"/>
              </w:rPr>
              <w:t>0</w:t>
            </w:r>
          </w:p>
        </w:tc>
      </w:tr>
      <w:tr w:rsidR="004D518F" w:rsidRPr="0027343D" w14:paraId="3FFB4C98" w14:textId="77777777" w:rsidTr="00A7251E">
        <w:tc>
          <w:tcPr>
            <w:tcW w:w="1152" w:type="dxa"/>
          </w:tcPr>
          <w:p w14:paraId="644C592D"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70</w:t>
            </w:r>
          </w:p>
        </w:tc>
        <w:tc>
          <w:tcPr>
            <w:tcW w:w="1249" w:type="dxa"/>
          </w:tcPr>
          <w:p w14:paraId="6005FE45" w14:textId="5010DDCF"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48.3</w:t>
            </w:r>
          </w:p>
        </w:tc>
        <w:tc>
          <w:tcPr>
            <w:tcW w:w="293" w:type="dxa"/>
          </w:tcPr>
          <w:p w14:paraId="60F88A16"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39D652D9" w14:textId="30F4B401"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14.</w:t>
            </w:r>
            <w:r>
              <w:rPr>
                <w:rFonts w:cs="Calibri"/>
                <w:color w:val="000000"/>
                <w:sz w:val="20"/>
                <w:szCs w:val="20"/>
              </w:rPr>
              <w:t>5</w:t>
            </w:r>
          </w:p>
        </w:tc>
        <w:tc>
          <w:tcPr>
            <w:tcW w:w="1418" w:type="dxa"/>
            <w:shd w:val="clear" w:color="auto" w:fill="auto"/>
            <w:vAlign w:val="bottom"/>
          </w:tcPr>
          <w:p w14:paraId="6E35150A" w14:textId="3F6EAC1C"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33.8</w:t>
            </w:r>
          </w:p>
        </w:tc>
        <w:tc>
          <w:tcPr>
            <w:tcW w:w="283" w:type="dxa"/>
          </w:tcPr>
          <w:p w14:paraId="0575020B"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74DC1890" w14:textId="4E27156D"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28.</w:t>
            </w:r>
            <w:r>
              <w:rPr>
                <w:rFonts w:cs="Calibri"/>
                <w:sz w:val="20"/>
                <w:szCs w:val="20"/>
              </w:rPr>
              <w:t>3</w:t>
            </w:r>
          </w:p>
        </w:tc>
        <w:tc>
          <w:tcPr>
            <w:tcW w:w="1509" w:type="dxa"/>
            <w:shd w:val="clear" w:color="auto" w:fill="auto"/>
            <w:vAlign w:val="bottom"/>
          </w:tcPr>
          <w:p w14:paraId="3AA751D6" w14:textId="2CF33E13"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20.0</w:t>
            </w:r>
          </w:p>
        </w:tc>
      </w:tr>
      <w:tr w:rsidR="004D518F" w:rsidRPr="0027343D" w14:paraId="18818B21" w14:textId="77777777" w:rsidTr="00A7251E">
        <w:tc>
          <w:tcPr>
            <w:tcW w:w="1152" w:type="dxa"/>
          </w:tcPr>
          <w:p w14:paraId="26B6327F"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75</w:t>
            </w:r>
          </w:p>
        </w:tc>
        <w:tc>
          <w:tcPr>
            <w:tcW w:w="1249" w:type="dxa"/>
          </w:tcPr>
          <w:p w14:paraId="36BBEC5B" w14:textId="64CB910C"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73.6</w:t>
            </w:r>
          </w:p>
        </w:tc>
        <w:tc>
          <w:tcPr>
            <w:tcW w:w="293" w:type="dxa"/>
          </w:tcPr>
          <w:p w14:paraId="62673E11"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2DC4F84E" w14:textId="3E2B00CE"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22.</w:t>
            </w:r>
            <w:r>
              <w:rPr>
                <w:rFonts w:cs="Calibri"/>
                <w:color w:val="000000"/>
                <w:sz w:val="20"/>
                <w:szCs w:val="20"/>
              </w:rPr>
              <w:t>1</w:t>
            </w:r>
          </w:p>
        </w:tc>
        <w:tc>
          <w:tcPr>
            <w:tcW w:w="1418" w:type="dxa"/>
            <w:shd w:val="clear" w:color="auto" w:fill="auto"/>
            <w:vAlign w:val="bottom"/>
          </w:tcPr>
          <w:p w14:paraId="787691EA" w14:textId="0518E22A"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51.5</w:t>
            </w:r>
          </w:p>
        </w:tc>
        <w:tc>
          <w:tcPr>
            <w:tcW w:w="283" w:type="dxa"/>
          </w:tcPr>
          <w:p w14:paraId="77C8A615"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67985901" w14:textId="3E2CCCBB"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43.</w:t>
            </w:r>
            <w:r>
              <w:rPr>
                <w:rFonts w:cs="Calibri"/>
                <w:sz w:val="20"/>
                <w:szCs w:val="20"/>
              </w:rPr>
              <w:t>1</w:t>
            </w:r>
          </w:p>
        </w:tc>
        <w:tc>
          <w:tcPr>
            <w:tcW w:w="1509" w:type="dxa"/>
            <w:shd w:val="clear" w:color="auto" w:fill="auto"/>
            <w:vAlign w:val="bottom"/>
          </w:tcPr>
          <w:p w14:paraId="5A9B726C" w14:textId="214A7396"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30.5</w:t>
            </w:r>
          </w:p>
        </w:tc>
      </w:tr>
      <w:tr w:rsidR="004D518F" w:rsidRPr="0027343D" w14:paraId="4FE2E537" w14:textId="77777777" w:rsidTr="00A7251E">
        <w:tc>
          <w:tcPr>
            <w:tcW w:w="1152" w:type="dxa"/>
          </w:tcPr>
          <w:p w14:paraId="3CC32810"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80</w:t>
            </w:r>
          </w:p>
        </w:tc>
        <w:tc>
          <w:tcPr>
            <w:tcW w:w="1249" w:type="dxa"/>
          </w:tcPr>
          <w:p w14:paraId="25E4B4B2" w14:textId="1B8BEB85"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104.7</w:t>
            </w:r>
          </w:p>
        </w:tc>
        <w:tc>
          <w:tcPr>
            <w:tcW w:w="293" w:type="dxa"/>
          </w:tcPr>
          <w:p w14:paraId="51F4E40F"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3ADDF3A8" w14:textId="13AA565D"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31.4</w:t>
            </w:r>
          </w:p>
        </w:tc>
        <w:tc>
          <w:tcPr>
            <w:tcW w:w="1418" w:type="dxa"/>
            <w:shd w:val="clear" w:color="auto" w:fill="auto"/>
            <w:vAlign w:val="bottom"/>
          </w:tcPr>
          <w:p w14:paraId="6FD9568F" w14:textId="475674CD"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73.</w:t>
            </w:r>
            <w:r>
              <w:rPr>
                <w:rFonts w:cs="Calibri"/>
                <w:color w:val="000000"/>
                <w:sz w:val="20"/>
                <w:szCs w:val="20"/>
              </w:rPr>
              <w:t>3</w:t>
            </w:r>
          </w:p>
        </w:tc>
        <w:tc>
          <w:tcPr>
            <w:tcW w:w="283" w:type="dxa"/>
          </w:tcPr>
          <w:p w14:paraId="7FDAA6AE"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02394F6F" w14:textId="5399B2AF"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61.2</w:t>
            </w:r>
          </w:p>
        </w:tc>
        <w:tc>
          <w:tcPr>
            <w:tcW w:w="1509" w:type="dxa"/>
            <w:shd w:val="clear" w:color="auto" w:fill="auto"/>
            <w:vAlign w:val="bottom"/>
          </w:tcPr>
          <w:p w14:paraId="6BA9104A" w14:textId="2ECFE1D6"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43</w:t>
            </w:r>
            <w:r>
              <w:rPr>
                <w:rFonts w:cs="Calibri"/>
                <w:sz w:val="20"/>
                <w:szCs w:val="20"/>
              </w:rPr>
              <w:t>.</w:t>
            </w:r>
            <w:r w:rsidRPr="006C75C2">
              <w:rPr>
                <w:rFonts w:cs="Calibri"/>
                <w:sz w:val="20"/>
                <w:szCs w:val="20"/>
              </w:rPr>
              <w:t>5</w:t>
            </w:r>
          </w:p>
        </w:tc>
      </w:tr>
      <w:tr w:rsidR="004D518F" w:rsidRPr="0027343D" w14:paraId="639C4B4B" w14:textId="77777777" w:rsidTr="00A7251E">
        <w:tc>
          <w:tcPr>
            <w:tcW w:w="1152" w:type="dxa"/>
          </w:tcPr>
          <w:p w14:paraId="4E8042F9"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85</w:t>
            </w:r>
          </w:p>
        </w:tc>
        <w:tc>
          <w:tcPr>
            <w:tcW w:w="1249" w:type="dxa"/>
          </w:tcPr>
          <w:p w14:paraId="29963C0D" w14:textId="3DD6775F"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160.4</w:t>
            </w:r>
          </w:p>
        </w:tc>
        <w:tc>
          <w:tcPr>
            <w:tcW w:w="293" w:type="dxa"/>
          </w:tcPr>
          <w:p w14:paraId="038A804A"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shd w:val="clear" w:color="auto" w:fill="auto"/>
            <w:vAlign w:val="bottom"/>
          </w:tcPr>
          <w:p w14:paraId="736847E2" w14:textId="2517BF82"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48.1</w:t>
            </w:r>
          </w:p>
        </w:tc>
        <w:tc>
          <w:tcPr>
            <w:tcW w:w="1418" w:type="dxa"/>
            <w:shd w:val="clear" w:color="auto" w:fill="auto"/>
            <w:vAlign w:val="bottom"/>
          </w:tcPr>
          <w:p w14:paraId="029AA15E" w14:textId="67C71BDE"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112.</w:t>
            </w:r>
            <w:r>
              <w:rPr>
                <w:rFonts w:cs="Calibri"/>
                <w:color w:val="000000"/>
                <w:sz w:val="20"/>
                <w:szCs w:val="20"/>
              </w:rPr>
              <w:t>3</w:t>
            </w:r>
          </w:p>
        </w:tc>
        <w:tc>
          <w:tcPr>
            <w:tcW w:w="283" w:type="dxa"/>
          </w:tcPr>
          <w:p w14:paraId="012D34CC"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shd w:val="clear" w:color="auto" w:fill="auto"/>
            <w:vAlign w:val="bottom"/>
          </w:tcPr>
          <w:p w14:paraId="3E4F1894" w14:textId="75DF0051"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93.8</w:t>
            </w:r>
          </w:p>
        </w:tc>
        <w:tc>
          <w:tcPr>
            <w:tcW w:w="1509" w:type="dxa"/>
            <w:shd w:val="clear" w:color="auto" w:fill="auto"/>
            <w:vAlign w:val="bottom"/>
          </w:tcPr>
          <w:p w14:paraId="7B6EC584" w14:textId="5B620253"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66. 6</w:t>
            </w:r>
          </w:p>
        </w:tc>
      </w:tr>
      <w:tr w:rsidR="004D518F" w:rsidRPr="0027343D" w14:paraId="7E2A2528" w14:textId="77777777" w:rsidTr="00A7251E">
        <w:tc>
          <w:tcPr>
            <w:tcW w:w="1152" w:type="dxa"/>
            <w:tcBorders>
              <w:bottom w:val="single" w:sz="4" w:space="0" w:color="auto"/>
            </w:tcBorders>
          </w:tcPr>
          <w:p w14:paraId="7E015D46"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27343D">
              <w:rPr>
                <w:rFonts w:asciiTheme="minorHAnsi" w:eastAsia="MS Mincho" w:hAnsiTheme="minorHAnsi" w:cstheme="minorHAnsi"/>
                <w:sz w:val="20"/>
                <w:szCs w:val="20"/>
                <w:lang w:val="en-GB" w:eastAsia="en-US"/>
              </w:rPr>
              <w:t>90</w:t>
            </w:r>
          </w:p>
        </w:tc>
        <w:tc>
          <w:tcPr>
            <w:tcW w:w="1249" w:type="dxa"/>
            <w:tcBorders>
              <w:bottom w:val="single" w:sz="4" w:space="0" w:color="auto"/>
            </w:tcBorders>
          </w:tcPr>
          <w:p w14:paraId="15644F40" w14:textId="4DB4584C" w:rsidR="004D518F" w:rsidRPr="0027343D" w:rsidRDefault="004D518F" w:rsidP="004D518F">
            <w:pPr>
              <w:spacing w:after="160" w:line="259" w:lineRule="auto"/>
              <w:rPr>
                <w:rFonts w:asciiTheme="minorHAnsi" w:eastAsia="MS Mincho" w:hAnsiTheme="minorHAnsi" w:cstheme="minorHAnsi"/>
                <w:sz w:val="20"/>
                <w:szCs w:val="20"/>
                <w:lang w:val="en-GB" w:eastAsia="en-US"/>
              </w:rPr>
            </w:pPr>
            <w:r w:rsidRPr="004D61A7">
              <w:rPr>
                <w:rFonts w:eastAsia="MS Mincho" w:cs="Calibri"/>
                <w:sz w:val="20"/>
                <w:szCs w:val="20"/>
              </w:rPr>
              <w:t>180.9</w:t>
            </w:r>
          </w:p>
        </w:tc>
        <w:tc>
          <w:tcPr>
            <w:tcW w:w="293" w:type="dxa"/>
            <w:tcBorders>
              <w:bottom w:val="single" w:sz="4" w:space="0" w:color="auto"/>
            </w:tcBorders>
          </w:tcPr>
          <w:p w14:paraId="444117CD" w14:textId="77777777" w:rsidR="004D518F" w:rsidRPr="0027343D" w:rsidRDefault="004D518F" w:rsidP="004D518F">
            <w:pPr>
              <w:spacing w:after="160" w:line="259" w:lineRule="auto"/>
              <w:rPr>
                <w:rFonts w:asciiTheme="minorHAnsi" w:eastAsia="MS Mincho" w:hAnsiTheme="minorHAnsi" w:cstheme="minorHAnsi"/>
                <w:sz w:val="20"/>
                <w:szCs w:val="20"/>
                <w:lang w:val="en-GB" w:eastAsia="en-US"/>
              </w:rPr>
            </w:pPr>
          </w:p>
        </w:tc>
        <w:tc>
          <w:tcPr>
            <w:tcW w:w="1275" w:type="dxa"/>
            <w:tcBorders>
              <w:bottom w:val="single" w:sz="4" w:space="0" w:color="auto"/>
            </w:tcBorders>
            <w:shd w:val="clear" w:color="auto" w:fill="auto"/>
            <w:vAlign w:val="bottom"/>
          </w:tcPr>
          <w:p w14:paraId="103AED3D" w14:textId="5E235093"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54.</w:t>
            </w:r>
            <w:r>
              <w:rPr>
                <w:rFonts w:cs="Calibri"/>
                <w:color w:val="000000"/>
                <w:sz w:val="20"/>
                <w:szCs w:val="20"/>
              </w:rPr>
              <w:t>3</w:t>
            </w:r>
          </w:p>
        </w:tc>
        <w:tc>
          <w:tcPr>
            <w:tcW w:w="1418" w:type="dxa"/>
            <w:tcBorders>
              <w:bottom w:val="single" w:sz="4" w:space="0" w:color="auto"/>
            </w:tcBorders>
            <w:shd w:val="clear" w:color="auto" w:fill="auto"/>
            <w:vAlign w:val="bottom"/>
          </w:tcPr>
          <w:p w14:paraId="3FAC07DD" w14:textId="50F17DAF"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702BBD">
              <w:rPr>
                <w:rFonts w:cs="Calibri"/>
                <w:color w:val="000000"/>
                <w:sz w:val="20"/>
                <w:szCs w:val="20"/>
              </w:rPr>
              <w:t>126.6</w:t>
            </w:r>
          </w:p>
        </w:tc>
        <w:tc>
          <w:tcPr>
            <w:tcW w:w="283" w:type="dxa"/>
            <w:tcBorders>
              <w:bottom w:val="single" w:sz="4" w:space="0" w:color="auto"/>
            </w:tcBorders>
          </w:tcPr>
          <w:p w14:paraId="45B686CC" w14:textId="77777777"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p>
        </w:tc>
        <w:tc>
          <w:tcPr>
            <w:tcW w:w="1276" w:type="dxa"/>
            <w:tcBorders>
              <w:bottom w:val="single" w:sz="4" w:space="0" w:color="auto"/>
            </w:tcBorders>
            <w:shd w:val="clear" w:color="auto" w:fill="auto"/>
            <w:vAlign w:val="bottom"/>
          </w:tcPr>
          <w:p w14:paraId="065E0DF7" w14:textId="617A43DB"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105.8</w:t>
            </w:r>
          </w:p>
        </w:tc>
        <w:tc>
          <w:tcPr>
            <w:tcW w:w="1509" w:type="dxa"/>
            <w:tcBorders>
              <w:bottom w:val="single" w:sz="4" w:space="0" w:color="auto"/>
            </w:tcBorders>
            <w:shd w:val="clear" w:color="auto" w:fill="auto"/>
            <w:vAlign w:val="bottom"/>
          </w:tcPr>
          <w:p w14:paraId="614A65A4" w14:textId="0E341614" w:rsidR="004D518F" w:rsidRPr="00167A15" w:rsidRDefault="004D518F" w:rsidP="00913EB7">
            <w:pPr>
              <w:spacing w:after="160" w:line="259" w:lineRule="auto"/>
              <w:jc w:val="center"/>
              <w:rPr>
                <w:rFonts w:asciiTheme="minorHAnsi" w:eastAsia="MS Mincho" w:hAnsiTheme="minorHAnsi" w:cstheme="minorHAnsi"/>
                <w:sz w:val="20"/>
                <w:szCs w:val="20"/>
                <w:highlight w:val="yellow"/>
                <w:lang w:val="en-GB" w:eastAsia="en-US"/>
              </w:rPr>
            </w:pPr>
            <w:r w:rsidRPr="006C75C2">
              <w:rPr>
                <w:rFonts w:cs="Calibri"/>
                <w:sz w:val="20"/>
                <w:szCs w:val="20"/>
              </w:rPr>
              <w:t>75.</w:t>
            </w:r>
            <w:r>
              <w:rPr>
                <w:rFonts w:cs="Calibri"/>
                <w:sz w:val="20"/>
                <w:szCs w:val="20"/>
              </w:rPr>
              <w:t>1</w:t>
            </w:r>
          </w:p>
        </w:tc>
      </w:tr>
    </w:tbl>
    <w:p w14:paraId="7C5BC406" w14:textId="37B5EAAB" w:rsidR="000D3F8D" w:rsidRPr="0027343D" w:rsidRDefault="000D3F8D" w:rsidP="000D3F8D">
      <w:pPr>
        <w:autoSpaceDE w:val="0"/>
        <w:autoSpaceDN w:val="0"/>
        <w:adjustRightInd w:val="0"/>
        <w:spacing w:after="240" w:line="276" w:lineRule="auto"/>
        <w:ind w:left="567"/>
        <w:rPr>
          <w:rFonts w:asciiTheme="minorHAnsi" w:hAnsiTheme="minorHAnsi"/>
          <w:color w:val="000000"/>
          <w:lang w:eastAsia="en-US"/>
        </w:rPr>
      </w:pPr>
      <w:r w:rsidRPr="00EF0BB1">
        <w:rPr>
          <w:rFonts w:asciiTheme="minorHAnsi" w:hAnsiTheme="minorHAnsi"/>
          <w:color w:val="000000"/>
          <w:vertAlign w:val="superscript"/>
          <w:lang w:eastAsia="en-US"/>
        </w:rPr>
        <w:lastRenderedPageBreak/>
        <w:t xml:space="preserve">a </w:t>
      </w:r>
      <w:r>
        <w:rPr>
          <w:rFonts w:asciiTheme="minorHAnsi" w:hAnsiTheme="minorHAnsi"/>
          <w:color w:val="000000"/>
          <w:lang w:eastAsia="en-US"/>
        </w:rPr>
        <w:t xml:space="preserve"> It is assumed </w:t>
      </w:r>
      <w:r w:rsidR="00783BA3">
        <w:rPr>
          <w:rFonts w:asciiTheme="minorHAnsi" w:hAnsiTheme="minorHAnsi"/>
          <w:color w:val="000000"/>
          <w:lang w:eastAsia="en-US"/>
        </w:rPr>
        <w:t>t</w:t>
      </w:r>
      <w:r>
        <w:rPr>
          <w:rFonts w:asciiTheme="minorHAnsi" w:hAnsiTheme="minorHAnsi"/>
          <w:color w:val="000000"/>
          <w:lang w:eastAsia="en-US"/>
        </w:rPr>
        <w:t>hat the effect of the anabolic agent is ma</w:t>
      </w:r>
      <w:r w:rsidR="00675893">
        <w:rPr>
          <w:rFonts w:asciiTheme="minorHAnsi" w:hAnsiTheme="minorHAnsi"/>
          <w:color w:val="000000"/>
          <w:lang w:eastAsia="en-US"/>
        </w:rPr>
        <w:t xml:space="preserve">intained with the subsequent </w:t>
      </w:r>
      <w:r w:rsidR="00783BA3">
        <w:rPr>
          <w:rFonts w:asciiTheme="minorHAnsi" w:hAnsiTheme="minorHAnsi"/>
          <w:color w:val="000000"/>
          <w:lang w:eastAsia="en-US"/>
        </w:rPr>
        <w:t>antiresorptive agent</w:t>
      </w:r>
      <w:r>
        <w:rPr>
          <w:rFonts w:asciiTheme="minorHAnsi" w:hAnsiTheme="minorHAnsi"/>
          <w:color w:val="000000"/>
          <w:lang w:eastAsia="en-US"/>
        </w:rPr>
        <w:t xml:space="preserve"> </w:t>
      </w:r>
    </w:p>
    <w:p w14:paraId="31E074E8" w14:textId="42A79174" w:rsidR="0027343D" w:rsidRPr="0027343D" w:rsidRDefault="00783BA3" w:rsidP="0027343D">
      <w:pPr>
        <w:autoSpaceDE w:val="0"/>
        <w:autoSpaceDN w:val="0"/>
        <w:adjustRightInd w:val="0"/>
        <w:spacing w:after="240" w:line="276" w:lineRule="auto"/>
        <w:ind w:left="567"/>
        <w:rPr>
          <w:rFonts w:asciiTheme="minorHAnsi" w:hAnsiTheme="minorHAnsi"/>
          <w:color w:val="000000"/>
          <w:lang w:eastAsia="en-US"/>
        </w:rPr>
      </w:pPr>
      <w:bookmarkStart w:id="10" w:name="_Hlk19283438"/>
      <w:r>
        <w:rPr>
          <w:rFonts w:asciiTheme="minorHAnsi" w:hAnsiTheme="minorHAnsi"/>
          <w:color w:val="000000"/>
          <w:vertAlign w:val="superscript"/>
          <w:lang w:eastAsia="en-US"/>
        </w:rPr>
        <w:t>b</w:t>
      </w:r>
      <w:r w:rsidR="00B361BA" w:rsidRPr="00EF0BB1">
        <w:rPr>
          <w:rFonts w:asciiTheme="minorHAnsi" w:hAnsiTheme="minorHAnsi"/>
          <w:color w:val="000000"/>
          <w:vertAlign w:val="superscript"/>
          <w:lang w:eastAsia="en-US"/>
        </w:rPr>
        <w:t xml:space="preserve"> </w:t>
      </w:r>
      <w:r w:rsidR="00B361BA">
        <w:rPr>
          <w:rFonts w:asciiTheme="minorHAnsi" w:hAnsiTheme="minorHAnsi"/>
          <w:color w:val="000000"/>
          <w:lang w:eastAsia="en-US"/>
        </w:rPr>
        <w:t xml:space="preserve"> </w:t>
      </w:r>
      <w:r w:rsidR="00D1514D">
        <w:rPr>
          <w:rFonts w:asciiTheme="minorHAnsi" w:hAnsiTheme="minorHAnsi"/>
          <w:color w:val="000000"/>
          <w:lang w:eastAsia="en-US"/>
        </w:rPr>
        <w:t xml:space="preserve">First fractures </w:t>
      </w:r>
    </w:p>
    <w:bookmarkEnd w:id="10"/>
    <w:p w14:paraId="57C1863B" w14:textId="77777777" w:rsidR="0027343D" w:rsidRDefault="0027343D" w:rsidP="004C0185">
      <w:pPr>
        <w:spacing w:after="120" w:line="276" w:lineRule="auto"/>
        <w:ind w:left="567"/>
        <w:jc w:val="both"/>
        <w:rPr>
          <w:rFonts w:cs="Calibri"/>
          <w:b/>
          <w:lang w:val="en-US" w:eastAsia="en-US"/>
        </w:rPr>
      </w:pPr>
    </w:p>
    <w:p w14:paraId="6A839915" w14:textId="77777777" w:rsidR="0027343D" w:rsidRDefault="0027343D" w:rsidP="004C0185">
      <w:pPr>
        <w:spacing w:after="120" w:line="276" w:lineRule="auto"/>
        <w:ind w:left="567"/>
        <w:jc w:val="both"/>
        <w:rPr>
          <w:rFonts w:cs="Calibri"/>
          <w:b/>
          <w:lang w:val="en-US" w:eastAsia="en-US"/>
        </w:rPr>
      </w:pPr>
    </w:p>
    <w:p w14:paraId="4EB0C30A" w14:textId="36475B3A" w:rsidR="0077711C" w:rsidRPr="0077711C" w:rsidRDefault="0077711C" w:rsidP="004C0185">
      <w:pPr>
        <w:spacing w:after="120" w:line="276" w:lineRule="auto"/>
        <w:ind w:left="567"/>
        <w:jc w:val="both"/>
        <w:rPr>
          <w:rFonts w:cs="Calibri"/>
          <w:b/>
          <w:lang w:val="en-US" w:eastAsia="en-US"/>
        </w:rPr>
      </w:pPr>
      <w:r w:rsidRPr="0077711C">
        <w:rPr>
          <w:rFonts w:cs="Calibri"/>
          <w:b/>
          <w:lang w:val="en-US" w:eastAsia="en-US"/>
        </w:rPr>
        <w:t>Conclusion</w:t>
      </w:r>
    </w:p>
    <w:p w14:paraId="1A618B1B" w14:textId="2951BC65" w:rsidR="00643BFA" w:rsidRPr="006A745A" w:rsidRDefault="00643BFA" w:rsidP="004C0185">
      <w:pPr>
        <w:spacing w:after="120" w:line="276" w:lineRule="auto"/>
        <w:ind w:left="567"/>
        <w:jc w:val="both"/>
        <w:rPr>
          <w:rFonts w:cs="Calibri"/>
          <w:lang w:val="en-US" w:eastAsia="en-US"/>
        </w:rPr>
      </w:pPr>
      <w:r w:rsidRPr="00643BFA">
        <w:rPr>
          <w:rFonts w:cs="Calibri"/>
          <w:lang w:val="en-US" w:eastAsia="en-US"/>
        </w:rPr>
        <w:t>The risk categorisation of individuals deemed to merit treatment</w:t>
      </w:r>
      <w:r w:rsidR="00801469">
        <w:rPr>
          <w:rFonts w:cs="Calibri"/>
          <w:lang w:val="en-US" w:eastAsia="en-US"/>
        </w:rPr>
        <w:t xml:space="preserve"> into high and very high risk</w:t>
      </w:r>
      <w:r w:rsidRPr="00643BFA">
        <w:rPr>
          <w:rFonts w:cs="Calibri"/>
          <w:lang w:val="en-US" w:eastAsia="en-US"/>
        </w:rPr>
        <w:t xml:space="preserve">, </w:t>
      </w:r>
      <w:r w:rsidR="00E61B3E">
        <w:rPr>
          <w:rFonts w:cs="Calibri"/>
          <w:lang w:val="en-US" w:eastAsia="en-US"/>
        </w:rPr>
        <w:t xml:space="preserve">aids the targeting </w:t>
      </w:r>
      <w:r w:rsidR="002639D0">
        <w:rPr>
          <w:rFonts w:cs="Calibri"/>
          <w:lang w:val="en-US" w:eastAsia="en-US"/>
        </w:rPr>
        <w:t xml:space="preserve">of </w:t>
      </w:r>
      <w:r w:rsidR="002639D0" w:rsidRPr="00643BFA">
        <w:rPr>
          <w:rFonts w:cs="Calibri"/>
          <w:lang w:val="en-US" w:eastAsia="en-US"/>
        </w:rPr>
        <w:t>anabolic</w:t>
      </w:r>
      <w:r w:rsidRPr="00643BFA">
        <w:rPr>
          <w:rFonts w:cs="Calibri"/>
          <w:lang w:val="en-US" w:eastAsia="en-US"/>
        </w:rPr>
        <w:t xml:space="preserve"> therapy followed by anti-resorptive medications.</w:t>
      </w:r>
    </w:p>
    <w:p w14:paraId="4D395797" w14:textId="77777777" w:rsidR="00643BFA" w:rsidRDefault="00643BFA" w:rsidP="00E80284">
      <w:pPr>
        <w:autoSpaceDE w:val="0"/>
        <w:autoSpaceDN w:val="0"/>
        <w:adjustRightInd w:val="0"/>
        <w:spacing w:after="240" w:line="276" w:lineRule="auto"/>
        <w:ind w:left="567"/>
        <w:rPr>
          <w:rFonts w:asciiTheme="minorHAnsi" w:hAnsiTheme="minorHAnsi"/>
          <w:b/>
          <w:color w:val="000000"/>
          <w:lang w:eastAsia="en-US"/>
        </w:rPr>
      </w:pPr>
    </w:p>
    <w:p w14:paraId="2A72E402" w14:textId="57775667" w:rsidR="006A745A" w:rsidRDefault="001965D4" w:rsidP="00E80284">
      <w:pPr>
        <w:autoSpaceDE w:val="0"/>
        <w:autoSpaceDN w:val="0"/>
        <w:adjustRightInd w:val="0"/>
        <w:spacing w:after="240" w:line="276" w:lineRule="auto"/>
        <w:ind w:left="567"/>
        <w:rPr>
          <w:rFonts w:asciiTheme="minorHAnsi" w:hAnsiTheme="minorHAnsi"/>
          <w:b/>
          <w:color w:val="000000"/>
          <w:lang w:eastAsia="en-US"/>
        </w:rPr>
      </w:pPr>
      <w:r w:rsidRPr="001965D4">
        <w:rPr>
          <w:rFonts w:asciiTheme="minorHAnsi" w:hAnsiTheme="minorHAnsi"/>
          <w:b/>
          <w:color w:val="000000"/>
          <w:lang w:eastAsia="en-US"/>
        </w:rPr>
        <w:t>Acknowledgements</w:t>
      </w:r>
    </w:p>
    <w:p w14:paraId="183A969F" w14:textId="2666EFF4" w:rsidR="00CF687E" w:rsidRPr="00CF687E" w:rsidRDefault="00FF496F" w:rsidP="00E80284">
      <w:pPr>
        <w:autoSpaceDE w:val="0"/>
        <w:autoSpaceDN w:val="0"/>
        <w:adjustRightInd w:val="0"/>
        <w:spacing w:after="240" w:line="276" w:lineRule="auto"/>
        <w:ind w:left="567"/>
        <w:rPr>
          <w:rFonts w:asciiTheme="minorHAnsi" w:hAnsiTheme="minorHAnsi"/>
          <w:color w:val="000000"/>
          <w:lang w:eastAsia="en-US"/>
        </w:rPr>
      </w:pPr>
      <w:r>
        <w:rPr>
          <w:rFonts w:asciiTheme="minorHAnsi" w:hAnsiTheme="minorHAnsi"/>
          <w:color w:val="000000"/>
          <w:lang w:eastAsia="en-US"/>
        </w:rPr>
        <w:t xml:space="preserve">We are </w:t>
      </w:r>
      <w:r w:rsidR="00421B26">
        <w:rPr>
          <w:rFonts w:asciiTheme="minorHAnsi" w:hAnsiTheme="minorHAnsi"/>
          <w:color w:val="000000"/>
          <w:lang w:eastAsia="en-US"/>
        </w:rPr>
        <w:t xml:space="preserve">grateful to the </w:t>
      </w:r>
      <w:r w:rsidR="00421B26" w:rsidRPr="00421B26">
        <w:rPr>
          <w:rFonts w:asciiTheme="minorHAnsi" w:hAnsiTheme="minorHAnsi"/>
          <w:color w:val="000000"/>
          <w:lang w:eastAsia="en-US"/>
        </w:rPr>
        <w:t>Scientific Advisory Board of ESCEO</w:t>
      </w:r>
      <w:r w:rsidR="00CF0611">
        <w:rPr>
          <w:rFonts w:asciiTheme="minorHAnsi" w:hAnsiTheme="minorHAnsi"/>
          <w:color w:val="000000"/>
          <w:lang w:eastAsia="en-US"/>
        </w:rPr>
        <w:t>,</w:t>
      </w:r>
      <w:r w:rsidR="00421B26" w:rsidRPr="00421B26">
        <w:rPr>
          <w:rFonts w:asciiTheme="minorHAnsi" w:hAnsiTheme="minorHAnsi"/>
          <w:color w:val="000000"/>
          <w:lang w:eastAsia="en-US"/>
        </w:rPr>
        <w:t xml:space="preserve"> </w:t>
      </w:r>
      <w:r w:rsidR="00421B26">
        <w:rPr>
          <w:rFonts w:asciiTheme="minorHAnsi" w:hAnsiTheme="minorHAnsi"/>
          <w:color w:val="000000"/>
          <w:lang w:eastAsia="en-US"/>
        </w:rPr>
        <w:t xml:space="preserve">and </w:t>
      </w:r>
      <w:r w:rsidR="00421B26" w:rsidRPr="00421B26">
        <w:rPr>
          <w:rFonts w:asciiTheme="minorHAnsi" w:hAnsiTheme="minorHAnsi"/>
          <w:color w:val="000000"/>
          <w:lang w:eastAsia="en-US"/>
        </w:rPr>
        <w:t xml:space="preserve">the Committee of Scientific Advisors and the Committee of National Societies of the IOF </w:t>
      </w:r>
      <w:r w:rsidR="00CF0611">
        <w:rPr>
          <w:rFonts w:asciiTheme="minorHAnsi" w:hAnsiTheme="minorHAnsi"/>
          <w:color w:val="000000"/>
          <w:lang w:eastAsia="en-US"/>
        </w:rPr>
        <w:t xml:space="preserve">for their review and endorsement </w:t>
      </w:r>
      <w:r w:rsidR="00892C67">
        <w:rPr>
          <w:rFonts w:asciiTheme="minorHAnsi" w:hAnsiTheme="minorHAnsi"/>
          <w:color w:val="000000"/>
          <w:lang w:eastAsia="en-US"/>
        </w:rPr>
        <w:t>of t</w:t>
      </w:r>
      <w:r w:rsidR="00CF687E" w:rsidRPr="00CF687E">
        <w:rPr>
          <w:rFonts w:asciiTheme="minorHAnsi" w:hAnsiTheme="minorHAnsi"/>
          <w:color w:val="000000"/>
          <w:lang w:eastAsia="en-US"/>
        </w:rPr>
        <w:t>he recommendations in this guid</w:t>
      </w:r>
      <w:r w:rsidR="003D5E2F">
        <w:rPr>
          <w:rFonts w:asciiTheme="minorHAnsi" w:hAnsiTheme="minorHAnsi"/>
          <w:color w:val="000000"/>
          <w:lang w:eastAsia="en-US"/>
        </w:rPr>
        <w:t>ance.</w:t>
      </w:r>
      <w:r w:rsidR="00CF687E" w:rsidRPr="00CF687E">
        <w:rPr>
          <w:rFonts w:asciiTheme="minorHAnsi" w:hAnsiTheme="minorHAnsi"/>
          <w:color w:val="000000"/>
          <w:lang w:eastAsia="en-US"/>
        </w:rPr>
        <w:t xml:space="preserve"> </w:t>
      </w:r>
    </w:p>
    <w:p w14:paraId="4B88898A" w14:textId="0D2D2542" w:rsidR="007B4A15" w:rsidRDefault="007B4A15" w:rsidP="00E80284">
      <w:pPr>
        <w:autoSpaceDE w:val="0"/>
        <w:autoSpaceDN w:val="0"/>
        <w:adjustRightInd w:val="0"/>
        <w:spacing w:after="240" w:line="276" w:lineRule="auto"/>
        <w:ind w:left="567"/>
        <w:rPr>
          <w:rFonts w:asciiTheme="minorHAnsi" w:hAnsiTheme="minorHAnsi"/>
          <w:b/>
          <w:color w:val="000000"/>
          <w:lang w:eastAsia="en-US"/>
        </w:rPr>
      </w:pPr>
      <w:r w:rsidRPr="007B4A15">
        <w:rPr>
          <w:rFonts w:asciiTheme="minorHAnsi" w:hAnsiTheme="minorHAnsi"/>
          <w:b/>
          <w:color w:val="000000"/>
          <w:lang w:eastAsia="en-US"/>
        </w:rPr>
        <w:t>Compliance with ethical standards</w:t>
      </w:r>
    </w:p>
    <w:p w14:paraId="1993EFB8" w14:textId="38F9358F" w:rsidR="00FE5D0E" w:rsidRPr="007B4A15" w:rsidRDefault="00FE5D0E" w:rsidP="00E80284">
      <w:pPr>
        <w:autoSpaceDE w:val="0"/>
        <w:autoSpaceDN w:val="0"/>
        <w:adjustRightInd w:val="0"/>
        <w:spacing w:after="240" w:line="276" w:lineRule="auto"/>
        <w:ind w:left="567"/>
        <w:rPr>
          <w:rFonts w:asciiTheme="minorHAnsi" w:hAnsiTheme="minorHAnsi"/>
          <w:i/>
          <w:color w:val="000000"/>
          <w:lang w:eastAsia="en-US"/>
        </w:rPr>
      </w:pPr>
      <w:r w:rsidRPr="007B4A15">
        <w:rPr>
          <w:rFonts w:asciiTheme="minorHAnsi" w:hAnsiTheme="minorHAnsi"/>
          <w:i/>
          <w:color w:val="000000"/>
          <w:lang w:eastAsia="en-US"/>
        </w:rPr>
        <w:t>Competing interests</w:t>
      </w:r>
    </w:p>
    <w:p w14:paraId="5A0541D4" w14:textId="5A90E925" w:rsidR="00E5371D" w:rsidRDefault="00676A2A" w:rsidP="00F40690">
      <w:pPr>
        <w:spacing w:after="240" w:line="276" w:lineRule="auto"/>
        <w:ind w:left="567"/>
        <w:rPr>
          <w:bCs/>
          <w:iCs/>
        </w:rPr>
      </w:pPr>
      <w:r w:rsidRPr="00676A2A">
        <w:rPr>
          <w:bCs/>
          <w:iCs/>
        </w:rPr>
        <w:t xml:space="preserve">NM Al-Daghri </w:t>
      </w:r>
      <w:r w:rsidR="00E5371D" w:rsidRPr="00E5371D">
        <w:rPr>
          <w:bCs/>
          <w:iCs/>
        </w:rPr>
        <w:t xml:space="preserve">G Adib, </w:t>
      </w:r>
      <w:r w:rsidR="000313CD" w:rsidRPr="000313CD">
        <w:rPr>
          <w:bCs/>
          <w:iCs/>
        </w:rPr>
        <w:t>C Campusano</w:t>
      </w:r>
      <w:r w:rsidR="003C53E0">
        <w:rPr>
          <w:bCs/>
          <w:iCs/>
        </w:rPr>
        <w:t>,</w:t>
      </w:r>
      <w:r w:rsidR="0072230C">
        <w:rPr>
          <w:bCs/>
          <w:iCs/>
        </w:rPr>
        <w:t xml:space="preserve"> </w:t>
      </w:r>
      <w:r w:rsidR="00E5371D" w:rsidRPr="00E5371D">
        <w:rPr>
          <w:bCs/>
          <w:iCs/>
        </w:rPr>
        <w:t xml:space="preserve">M Chandran, </w:t>
      </w:r>
      <w:r w:rsidR="00761355">
        <w:rPr>
          <w:bCs/>
          <w:iCs/>
        </w:rPr>
        <w:t xml:space="preserve">F Jiwa, </w:t>
      </w:r>
      <w:r w:rsidR="00E5371D" w:rsidRPr="00E5371D">
        <w:rPr>
          <w:bCs/>
          <w:iCs/>
        </w:rPr>
        <w:t xml:space="preserve">H Johansson, </w:t>
      </w:r>
      <w:r w:rsidR="0062788F">
        <w:rPr>
          <w:bCs/>
          <w:iCs/>
        </w:rPr>
        <w:t>JK Lee</w:t>
      </w:r>
      <w:r w:rsidR="0033030A">
        <w:rPr>
          <w:bCs/>
          <w:iCs/>
        </w:rPr>
        <w:t xml:space="preserve">, </w:t>
      </w:r>
      <w:r w:rsidR="00091DAD" w:rsidRPr="00091DAD">
        <w:rPr>
          <w:bCs/>
          <w:iCs/>
        </w:rPr>
        <w:t xml:space="preserve">E Liu,  </w:t>
      </w:r>
      <w:r w:rsidR="00E5371D" w:rsidRPr="00E5371D">
        <w:rPr>
          <w:bCs/>
          <w:iCs/>
        </w:rPr>
        <w:t>D Pinto</w:t>
      </w:r>
      <w:r w:rsidR="00E5371D">
        <w:rPr>
          <w:bCs/>
          <w:iCs/>
        </w:rPr>
        <w:t>,</w:t>
      </w:r>
      <w:r w:rsidR="00E5371D" w:rsidRPr="00E5371D">
        <w:rPr>
          <w:bCs/>
          <w:iCs/>
        </w:rPr>
        <w:t xml:space="preserve"> </w:t>
      </w:r>
      <w:r w:rsidR="00752AA5">
        <w:rPr>
          <w:bCs/>
          <w:iCs/>
        </w:rPr>
        <w:t xml:space="preserve">N Veronese, </w:t>
      </w:r>
      <w:r w:rsidR="00E5371D" w:rsidRPr="00E5371D">
        <w:rPr>
          <w:bCs/>
          <w:iCs/>
        </w:rPr>
        <w:t>W Xia, L Zakraoui have no conflicts of interest to declare.</w:t>
      </w:r>
    </w:p>
    <w:p w14:paraId="0BFA9F6D" w14:textId="5805DFB2" w:rsidR="0009124C" w:rsidRDefault="0009124C" w:rsidP="00F40690">
      <w:pPr>
        <w:spacing w:after="240" w:line="276" w:lineRule="auto"/>
        <w:ind w:left="567"/>
        <w:rPr>
          <w:bCs/>
          <w:iCs/>
        </w:rPr>
      </w:pPr>
      <w:r w:rsidRPr="0009124C">
        <w:rPr>
          <w:bCs/>
          <w:iCs/>
        </w:rPr>
        <w:t>O Bruyère received grants research from Biophytis, IBSA, MEDA, Servier, SMB and consulting or lecture fees from Amgen, Biophytis, IBSA, MEDA, Servier, SMB, TRB Chemedica, UCB.</w:t>
      </w:r>
    </w:p>
    <w:p w14:paraId="68E3962B" w14:textId="1EF938D0" w:rsidR="00F40690" w:rsidRDefault="00F40690" w:rsidP="00F40690">
      <w:pPr>
        <w:spacing w:after="240" w:line="276" w:lineRule="auto"/>
        <w:ind w:left="567"/>
        <w:rPr>
          <w:bCs/>
          <w:iCs/>
        </w:rPr>
      </w:pPr>
      <w:r w:rsidRPr="00F40690">
        <w:rPr>
          <w:bCs/>
          <w:iCs/>
        </w:rPr>
        <w:t>C</w:t>
      </w:r>
      <w:r w:rsidR="002C4653">
        <w:rPr>
          <w:bCs/>
          <w:iCs/>
        </w:rPr>
        <w:t xml:space="preserve"> </w:t>
      </w:r>
      <w:r w:rsidRPr="00F40690">
        <w:rPr>
          <w:bCs/>
          <w:iCs/>
        </w:rPr>
        <w:t>C</w:t>
      </w:r>
      <w:r w:rsidR="002C4653">
        <w:rPr>
          <w:bCs/>
          <w:iCs/>
        </w:rPr>
        <w:t>ooper</w:t>
      </w:r>
      <w:r w:rsidRPr="00F40690">
        <w:rPr>
          <w:bCs/>
          <w:iCs/>
        </w:rPr>
        <w:t xml:space="preserve"> reports personal fees from Alliance for Better </w:t>
      </w:r>
      <w:r w:rsidR="00145862">
        <w:rPr>
          <w:bCs/>
          <w:iCs/>
        </w:rPr>
        <w:t>B</w:t>
      </w:r>
      <w:r w:rsidRPr="00F40690">
        <w:rPr>
          <w:bCs/>
          <w:iCs/>
        </w:rPr>
        <w:t>one</w:t>
      </w:r>
      <w:r w:rsidR="00145862">
        <w:rPr>
          <w:bCs/>
          <w:iCs/>
        </w:rPr>
        <w:t xml:space="preserve"> </w:t>
      </w:r>
      <w:r w:rsidRPr="00F40690">
        <w:rPr>
          <w:bCs/>
          <w:iCs/>
        </w:rPr>
        <w:t>Health,</w:t>
      </w:r>
      <w:r w:rsidR="00145862">
        <w:rPr>
          <w:bCs/>
          <w:iCs/>
        </w:rPr>
        <w:t xml:space="preserve"> </w:t>
      </w:r>
      <w:r w:rsidRPr="00F40690">
        <w:rPr>
          <w:bCs/>
          <w:iCs/>
        </w:rPr>
        <w:t>Amgen,</w:t>
      </w:r>
      <w:r w:rsidR="00145862">
        <w:rPr>
          <w:bCs/>
          <w:iCs/>
        </w:rPr>
        <w:t xml:space="preserve"> </w:t>
      </w:r>
      <w:r w:rsidRPr="00F40690">
        <w:rPr>
          <w:bCs/>
          <w:iCs/>
        </w:rPr>
        <w:t>Eli</w:t>
      </w:r>
      <w:r w:rsidR="002C4653">
        <w:rPr>
          <w:bCs/>
          <w:iCs/>
        </w:rPr>
        <w:t xml:space="preserve"> </w:t>
      </w:r>
      <w:r w:rsidRPr="00F40690">
        <w:rPr>
          <w:bCs/>
          <w:iCs/>
        </w:rPr>
        <w:t>Lilly,</w:t>
      </w:r>
      <w:r w:rsidR="00145862">
        <w:rPr>
          <w:bCs/>
          <w:iCs/>
        </w:rPr>
        <w:t xml:space="preserve"> </w:t>
      </w:r>
      <w:r w:rsidRPr="00F40690">
        <w:rPr>
          <w:bCs/>
          <w:iCs/>
        </w:rPr>
        <w:t>GSK,</w:t>
      </w:r>
      <w:r w:rsidR="00145862">
        <w:rPr>
          <w:bCs/>
          <w:iCs/>
        </w:rPr>
        <w:t xml:space="preserve"> </w:t>
      </w:r>
      <w:r w:rsidRPr="00F40690">
        <w:rPr>
          <w:bCs/>
          <w:iCs/>
        </w:rPr>
        <w:t>Medtronic,</w:t>
      </w:r>
      <w:r w:rsidR="00145862">
        <w:rPr>
          <w:bCs/>
          <w:iCs/>
        </w:rPr>
        <w:t xml:space="preserve"> </w:t>
      </w:r>
      <w:r w:rsidRPr="00F40690">
        <w:rPr>
          <w:bCs/>
          <w:iCs/>
        </w:rPr>
        <w:t>Merck,</w:t>
      </w:r>
      <w:r w:rsidR="00145862">
        <w:rPr>
          <w:bCs/>
          <w:iCs/>
        </w:rPr>
        <w:t xml:space="preserve"> </w:t>
      </w:r>
      <w:r w:rsidRPr="00F40690">
        <w:rPr>
          <w:bCs/>
          <w:iCs/>
        </w:rPr>
        <w:t>Novartis,</w:t>
      </w:r>
      <w:r w:rsidR="00145862">
        <w:rPr>
          <w:bCs/>
          <w:iCs/>
        </w:rPr>
        <w:t xml:space="preserve"> </w:t>
      </w:r>
      <w:r w:rsidRPr="00F40690">
        <w:rPr>
          <w:bCs/>
          <w:iCs/>
        </w:rPr>
        <w:t>Pfizer, Roche, Servier, Takeda and UCB.</w:t>
      </w:r>
    </w:p>
    <w:p w14:paraId="7C3F61FC" w14:textId="7AE8C76E" w:rsidR="00C931A6" w:rsidRDefault="00C931A6" w:rsidP="00C931A6">
      <w:pPr>
        <w:spacing w:after="240" w:line="276" w:lineRule="auto"/>
        <w:ind w:left="567"/>
        <w:jc w:val="both"/>
        <w:rPr>
          <w:bCs/>
          <w:iCs/>
        </w:rPr>
      </w:pPr>
      <w:r>
        <w:rPr>
          <w:bCs/>
          <w:iCs/>
        </w:rPr>
        <w:t>B. Dawson-Hughes has</w:t>
      </w:r>
      <w:r w:rsidR="00F76880">
        <w:rPr>
          <w:bCs/>
          <w:iCs/>
        </w:rPr>
        <w:t xml:space="preserve"> received</w:t>
      </w:r>
      <w:r>
        <w:rPr>
          <w:bCs/>
          <w:iCs/>
        </w:rPr>
        <w:t xml:space="preserve"> grant support from Pfizer and DSM; consulting</w:t>
      </w:r>
      <w:r w:rsidR="00F76880">
        <w:rPr>
          <w:bCs/>
          <w:iCs/>
        </w:rPr>
        <w:t xml:space="preserve"> fees from</w:t>
      </w:r>
      <w:r>
        <w:rPr>
          <w:bCs/>
          <w:iCs/>
        </w:rPr>
        <w:t xml:space="preserve"> TTY Biopharma Co, Ltd, Intrinsic Therapeutics</w:t>
      </w:r>
      <w:r w:rsidR="00F76880">
        <w:rPr>
          <w:bCs/>
          <w:iCs/>
        </w:rPr>
        <w:t xml:space="preserve"> and</w:t>
      </w:r>
      <w:r>
        <w:rPr>
          <w:bCs/>
          <w:iCs/>
        </w:rPr>
        <w:t xml:space="preserve"> Agnovos.</w:t>
      </w:r>
    </w:p>
    <w:p w14:paraId="2EA77467" w14:textId="7BC3C2BF" w:rsidR="001A019E" w:rsidRDefault="00393318" w:rsidP="00314272">
      <w:pPr>
        <w:spacing w:after="240" w:line="276" w:lineRule="auto"/>
        <w:ind w:left="567"/>
        <w:jc w:val="both"/>
        <w:rPr>
          <w:bCs/>
          <w:iCs/>
        </w:rPr>
      </w:pPr>
      <w:r>
        <w:rPr>
          <w:bCs/>
          <w:iCs/>
        </w:rPr>
        <w:t>NC Harvey</w:t>
      </w:r>
      <w:r w:rsidRPr="00393318">
        <w:t xml:space="preserve"> </w:t>
      </w:r>
      <w:r w:rsidRPr="00393318">
        <w:rPr>
          <w:bCs/>
          <w:iCs/>
        </w:rPr>
        <w:t>has received consultancy/lecture fees/honoraria/grant funding from Alliance for Better Bone Health, A</w:t>
      </w:r>
      <w:r>
        <w:rPr>
          <w:bCs/>
          <w:iCs/>
        </w:rPr>
        <w:t>mgen</w:t>
      </w:r>
      <w:r w:rsidRPr="00393318">
        <w:rPr>
          <w:bCs/>
          <w:iCs/>
        </w:rPr>
        <w:t xml:space="preserve">, MSD, Eli Lilly, </w:t>
      </w:r>
      <w:r w:rsidR="00FA4955">
        <w:rPr>
          <w:bCs/>
          <w:iCs/>
        </w:rPr>
        <w:t>Radius Health,</w:t>
      </w:r>
      <w:r w:rsidR="00FA4955" w:rsidRPr="00393318">
        <w:rPr>
          <w:bCs/>
          <w:iCs/>
        </w:rPr>
        <w:t xml:space="preserve"> </w:t>
      </w:r>
      <w:r w:rsidRPr="00393318">
        <w:rPr>
          <w:bCs/>
          <w:iCs/>
        </w:rPr>
        <w:t xml:space="preserve">Servier, Shire, UCB, Consilient Healthcare and Internis Pharma. </w:t>
      </w:r>
    </w:p>
    <w:p w14:paraId="10107C77" w14:textId="17FB1F75" w:rsidR="00314272" w:rsidRDefault="001B7DBA" w:rsidP="00706C7E">
      <w:pPr>
        <w:spacing w:after="240" w:line="276" w:lineRule="auto"/>
        <w:ind w:left="567"/>
        <w:jc w:val="both"/>
        <w:rPr>
          <w:bCs/>
          <w:iCs/>
        </w:rPr>
      </w:pPr>
      <w:r w:rsidRPr="00EF30AD">
        <w:rPr>
          <w:bCs/>
          <w:iCs/>
        </w:rPr>
        <w:t>MK</w:t>
      </w:r>
      <w:r w:rsidR="00EF30AD" w:rsidRPr="00EF30AD">
        <w:rPr>
          <w:bCs/>
          <w:iCs/>
        </w:rPr>
        <w:t xml:space="preserve"> </w:t>
      </w:r>
      <w:r w:rsidRPr="00EF30AD">
        <w:rPr>
          <w:bCs/>
          <w:iCs/>
        </w:rPr>
        <w:t>J</w:t>
      </w:r>
      <w:r w:rsidR="00EF30AD" w:rsidRPr="00EF30AD">
        <w:rPr>
          <w:bCs/>
          <w:iCs/>
        </w:rPr>
        <w:t>avaid</w:t>
      </w:r>
      <w:r w:rsidRPr="00EF30AD">
        <w:rPr>
          <w:bCs/>
          <w:iCs/>
        </w:rPr>
        <w:t xml:space="preserve"> has received</w:t>
      </w:r>
      <w:r w:rsidRPr="00BC3B78">
        <w:rPr>
          <w:bCs/>
          <w:iCs/>
        </w:rPr>
        <w:t xml:space="preserve"> honoraria, unrestricted research grants, travel and/or subsistence expenses from</w:t>
      </w:r>
      <w:r>
        <w:rPr>
          <w:bCs/>
          <w:iCs/>
        </w:rPr>
        <w:t xml:space="preserve"> </w:t>
      </w:r>
      <w:r w:rsidRPr="00BC3B78">
        <w:rPr>
          <w:bCs/>
          <w:iCs/>
        </w:rPr>
        <w:t>Amgen, Lilly UK, Internis, Consilient Health, Zebra Medical Vision, Kyowa Kirin Hakin, UCB</w:t>
      </w:r>
      <w:r>
        <w:rPr>
          <w:bCs/>
          <w:iCs/>
        </w:rPr>
        <w:t>.</w:t>
      </w:r>
    </w:p>
    <w:p w14:paraId="17F2941D" w14:textId="3CB99E80" w:rsidR="007B4A15" w:rsidRDefault="006574C9" w:rsidP="00706C7E">
      <w:pPr>
        <w:spacing w:after="240" w:line="276" w:lineRule="auto"/>
        <w:ind w:left="567"/>
        <w:jc w:val="both"/>
        <w:rPr>
          <w:bCs/>
          <w:iCs/>
        </w:rPr>
      </w:pPr>
      <w:r w:rsidRPr="006574C9">
        <w:rPr>
          <w:bCs/>
          <w:iCs/>
        </w:rPr>
        <w:t>JA</w:t>
      </w:r>
      <w:r>
        <w:rPr>
          <w:bCs/>
          <w:iCs/>
        </w:rPr>
        <w:t xml:space="preserve"> </w:t>
      </w:r>
      <w:r w:rsidRPr="006574C9">
        <w:rPr>
          <w:bCs/>
          <w:iCs/>
        </w:rPr>
        <w:t>K</w:t>
      </w:r>
      <w:r>
        <w:rPr>
          <w:bCs/>
          <w:iCs/>
        </w:rPr>
        <w:t>anis</w:t>
      </w:r>
      <w:r w:rsidRPr="006574C9">
        <w:rPr>
          <w:bCs/>
          <w:iCs/>
        </w:rPr>
        <w:t xml:space="preserve"> reports grants from Amgen, Eli Lilly and Radius Health; </w:t>
      </w:r>
      <w:r w:rsidR="00293F83">
        <w:rPr>
          <w:bCs/>
          <w:iCs/>
        </w:rPr>
        <w:t>consulting fees</w:t>
      </w:r>
      <w:r w:rsidRPr="006574C9">
        <w:rPr>
          <w:bCs/>
          <w:iCs/>
        </w:rPr>
        <w:t xml:space="preserve"> from </w:t>
      </w:r>
      <w:r w:rsidR="00293F83">
        <w:rPr>
          <w:bCs/>
          <w:iCs/>
        </w:rPr>
        <w:t>Theramex</w:t>
      </w:r>
      <w:r w:rsidRPr="006574C9">
        <w:rPr>
          <w:bCs/>
          <w:iCs/>
        </w:rPr>
        <w:t>. JAK is the architect of FRAX® but has no financial interest.</w:t>
      </w:r>
    </w:p>
    <w:p w14:paraId="35DCF1AB" w14:textId="44AA3801" w:rsidR="00735A55" w:rsidRDefault="00735A55" w:rsidP="00706C7E">
      <w:pPr>
        <w:spacing w:after="240" w:line="276" w:lineRule="auto"/>
        <w:ind w:left="567"/>
        <w:jc w:val="both"/>
        <w:rPr>
          <w:bCs/>
          <w:iCs/>
        </w:rPr>
      </w:pPr>
      <w:r w:rsidRPr="00735A55">
        <w:rPr>
          <w:bCs/>
          <w:iCs/>
        </w:rPr>
        <w:lastRenderedPageBreak/>
        <w:t>M Lorentzon has received lecture fees from Amgen, Lilly, Meda, Renapharma, UCB Pharma, and consulting fees from Amgen, Radius Health, UCB Pharma, Renapharma and Consilient Health, all outside the presented work</w:t>
      </w:r>
    </w:p>
    <w:p w14:paraId="51334AA4" w14:textId="278E38DC" w:rsidR="002E36FE" w:rsidRDefault="002E36FE" w:rsidP="00706C7E">
      <w:pPr>
        <w:spacing w:after="240" w:line="276" w:lineRule="auto"/>
        <w:ind w:left="567"/>
        <w:jc w:val="both"/>
        <w:rPr>
          <w:bCs/>
          <w:iCs/>
        </w:rPr>
      </w:pPr>
      <w:r w:rsidRPr="002E36FE">
        <w:rPr>
          <w:bCs/>
          <w:iCs/>
        </w:rPr>
        <w:t>EV</w:t>
      </w:r>
      <w:r>
        <w:rPr>
          <w:bCs/>
          <w:iCs/>
        </w:rPr>
        <w:t xml:space="preserve"> </w:t>
      </w:r>
      <w:r w:rsidRPr="002E36FE">
        <w:rPr>
          <w:bCs/>
          <w:iCs/>
        </w:rPr>
        <w:t>M</w:t>
      </w:r>
      <w:r>
        <w:rPr>
          <w:bCs/>
          <w:iCs/>
        </w:rPr>
        <w:t>cCloskey</w:t>
      </w:r>
      <w:r w:rsidRPr="002E36FE">
        <w:rPr>
          <w:bCs/>
          <w:iCs/>
        </w:rPr>
        <w:t xml:space="preserve"> has received consultancy/lecture fees/grant funding/honoraria from ActiveSignal, AgNovos, Amgen, AstraZeneca, Consilient Healthcare, </w:t>
      </w:r>
      <w:r w:rsidR="007A1E11" w:rsidRPr="007A1E11">
        <w:rPr>
          <w:bCs/>
          <w:iCs/>
        </w:rPr>
        <w:t xml:space="preserve">Fresenius Kabi, </w:t>
      </w:r>
      <w:r w:rsidRPr="002E36FE">
        <w:rPr>
          <w:bCs/>
          <w:iCs/>
        </w:rPr>
        <w:t xml:space="preserve">Gilead, GSK, Hologic, Internis, Lilly, Medtronic, Merck, Novartis, Pfizer, Radius Health, Redx Oncology, Roche, SanofiAventis, Servier, Synexus, Tethys, UCB, Viiv, Warner Chilcott, I3 Innovus and Unilever. </w:t>
      </w:r>
    </w:p>
    <w:p w14:paraId="16281DB3" w14:textId="4F45A388" w:rsidR="006624B7" w:rsidRDefault="00675C63" w:rsidP="00706C7E">
      <w:pPr>
        <w:spacing w:after="240" w:line="276" w:lineRule="auto"/>
        <w:ind w:left="567"/>
        <w:jc w:val="both"/>
        <w:rPr>
          <w:bCs/>
          <w:iCs/>
        </w:rPr>
      </w:pPr>
      <w:r>
        <w:rPr>
          <w:bCs/>
          <w:iCs/>
        </w:rPr>
        <w:t>OD Messin</w:t>
      </w:r>
      <w:r w:rsidR="009F766C">
        <w:rPr>
          <w:bCs/>
          <w:iCs/>
        </w:rPr>
        <w:t>a has received h</w:t>
      </w:r>
      <w:r w:rsidR="006624B7" w:rsidRPr="006624B7">
        <w:rPr>
          <w:bCs/>
          <w:iCs/>
        </w:rPr>
        <w:t>onoraria from Amgen, Lilly, Novartis, Pfizer</w:t>
      </w:r>
    </w:p>
    <w:p w14:paraId="51A03C9D" w14:textId="1D653EFC" w:rsidR="0054416A" w:rsidRDefault="00A5576D" w:rsidP="0054416A">
      <w:pPr>
        <w:spacing w:after="240" w:line="276" w:lineRule="auto"/>
        <w:ind w:left="567"/>
        <w:jc w:val="both"/>
        <w:rPr>
          <w:bCs/>
          <w:iCs/>
        </w:rPr>
      </w:pPr>
      <w:r>
        <w:rPr>
          <w:bCs/>
          <w:iCs/>
        </w:rPr>
        <w:t>O Minski</w:t>
      </w:r>
      <w:r w:rsidR="0054416A" w:rsidRPr="0054416A">
        <w:rPr>
          <w:bCs/>
          <w:iCs/>
        </w:rPr>
        <w:t xml:space="preserve"> received honorary fees for lectures, from Abbvie, Roche, Pfizer, Pierre Fabre, Janssen</w:t>
      </w:r>
      <w:r>
        <w:rPr>
          <w:bCs/>
          <w:iCs/>
        </w:rPr>
        <w:t xml:space="preserve">, </w:t>
      </w:r>
      <w:r w:rsidR="0054416A" w:rsidRPr="0054416A">
        <w:rPr>
          <w:bCs/>
          <w:iCs/>
        </w:rPr>
        <w:t>Novartis and MSD.</w:t>
      </w:r>
    </w:p>
    <w:p w14:paraId="3CD8CF12" w14:textId="5C19DEE9" w:rsidR="00A84C56" w:rsidRDefault="00A84C56" w:rsidP="00706C7E">
      <w:pPr>
        <w:spacing w:after="240" w:line="276" w:lineRule="auto"/>
        <w:ind w:left="567"/>
        <w:jc w:val="both"/>
        <w:rPr>
          <w:bCs/>
          <w:iCs/>
        </w:rPr>
      </w:pPr>
      <w:r w:rsidRPr="00A84C56">
        <w:rPr>
          <w:bCs/>
          <w:iCs/>
        </w:rPr>
        <w:t>D Prieto-Alhambra’s research group has received research grants from Amgen, Servier, and UCB; speaker fees from Amgen and UCB; educational grants from Johnson &amp; Johnson, and consultancy fees from Amgen and UCB.</w:t>
      </w:r>
    </w:p>
    <w:p w14:paraId="6789805C" w14:textId="0BFBDD9E" w:rsidR="00D5095E" w:rsidRDefault="00D5095E" w:rsidP="00706C7E">
      <w:pPr>
        <w:spacing w:after="240" w:line="276" w:lineRule="auto"/>
        <w:ind w:left="567"/>
        <w:jc w:val="both"/>
        <w:rPr>
          <w:bCs/>
          <w:iCs/>
        </w:rPr>
      </w:pPr>
      <w:r w:rsidRPr="00D5095E">
        <w:rPr>
          <w:bCs/>
          <w:iCs/>
        </w:rPr>
        <w:t>J-Y</w:t>
      </w:r>
      <w:r>
        <w:rPr>
          <w:bCs/>
          <w:iCs/>
        </w:rPr>
        <w:t xml:space="preserve"> </w:t>
      </w:r>
      <w:r w:rsidRPr="00D5095E">
        <w:rPr>
          <w:bCs/>
          <w:iCs/>
        </w:rPr>
        <w:t>R</w:t>
      </w:r>
      <w:r>
        <w:rPr>
          <w:bCs/>
          <w:iCs/>
        </w:rPr>
        <w:t xml:space="preserve">eginster </w:t>
      </w:r>
      <w:r w:rsidRPr="00D5095E">
        <w:rPr>
          <w:bCs/>
          <w:iCs/>
        </w:rPr>
        <w:t>has</w:t>
      </w:r>
      <w:r w:rsidR="00FE439E">
        <w:rPr>
          <w:bCs/>
          <w:iCs/>
        </w:rPr>
        <w:t xml:space="preserve"> r</w:t>
      </w:r>
      <w:r w:rsidRPr="00D5095E">
        <w:rPr>
          <w:bCs/>
          <w:iCs/>
        </w:rPr>
        <w:t>eceived</w:t>
      </w:r>
      <w:r>
        <w:rPr>
          <w:bCs/>
          <w:iCs/>
        </w:rPr>
        <w:t xml:space="preserve"> </w:t>
      </w:r>
      <w:r w:rsidRPr="00D5095E">
        <w:rPr>
          <w:bCs/>
          <w:iCs/>
        </w:rPr>
        <w:t>advisory</w:t>
      </w:r>
      <w:r>
        <w:rPr>
          <w:bCs/>
          <w:iCs/>
        </w:rPr>
        <w:t xml:space="preserve"> </w:t>
      </w:r>
      <w:r w:rsidRPr="00D5095E">
        <w:rPr>
          <w:bCs/>
          <w:iCs/>
        </w:rPr>
        <w:t>board</w:t>
      </w:r>
      <w:r>
        <w:rPr>
          <w:bCs/>
          <w:iCs/>
        </w:rPr>
        <w:t xml:space="preserve"> </w:t>
      </w:r>
      <w:r w:rsidRPr="00D5095E">
        <w:rPr>
          <w:bCs/>
          <w:iCs/>
        </w:rPr>
        <w:t>or</w:t>
      </w:r>
      <w:r>
        <w:rPr>
          <w:bCs/>
          <w:iCs/>
        </w:rPr>
        <w:t xml:space="preserve"> </w:t>
      </w:r>
      <w:r w:rsidRPr="00D5095E">
        <w:rPr>
          <w:bCs/>
          <w:iCs/>
        </w:rPr>
        <w:t>consulting</w:t>
      </w:r>
      <w:r>
        <w:rPr>
          <w:bCs/>
          <w:iCs/>
        </w:rPr>
        <w:t xml:space="preserve"> </w:t>
      </w:r>
      <w:r w:rsidRPr="00D5095E">
        <w:rPr>
          <w:bCs/>
          <w:iCs/>
        </w:rPr>
        <w:t>fees from IBSA-Genévrier, Pierre Fabre, Radius Health, TEVA and Mylan; and lecture fees from A</w:t>
      </w:r>
      <w:r w:rsidR="00FE439E">
        <w:rPr>
          <w:bCs/>
          <w:iCs/>
        </w:rPr>
        <w:t>g</w:t>
      </w:r>
      <w:r w:rsidRPr="00D5095E">
        <w:rPr>
          <w:bCs/>
          <w:iCs/>
        </w:rPr>
        <w:t>novos, IBSA-Genévrier, Mylan, CNIEL, Dairy Research Council (DRC) and Theramex; and institutional grant support from IBSA-Genévrier, Mylan, CNIEL and Radius Health.</w:t>
      </w:r>
    </w:p>
    <w:p w14:paraId="39C8E18B" w14:textId="32D28D35" w:rsidR="00972283" w:rsidRDefault="00972283" w:rsidP="00706C7E">
      <w:pPr>
        <w:spacing w:after="240" w:line="276" w:lineRule="auto"/>
        <w:ind w:left="567"/>
        <w:jc w:val="both"/>
        <w:rPr>
          <w:bCs/>
          <w:iCs/>
        </w:rPr>
      </w:pPr>
      <w:r w:rsidRPr="00972283">
        <w:rPr>
          <w:bCs/>
          <w:iCs/>
        </w:rPr>
        <w:t>R</w:t>
      </w:r>
      <w:r>
        <w:rPr>
          <w:bCs/>
          <w:iCs/>
        </w:rPr>
        <w:t xml:space="preserve"> </w:t>
      </w:r>
      <w:r w:rsidRPr="00972283">
        <w:rPr>
          <w:bCs/>
          <w:iCs/>
        </w:rPr>
        <w:t>R</w:t>
      </w:r>
      <w:r>
        <w:rPr>
          <w:bCs/>
          <w:iCs/>
        </w:rPr>
        <w:t>izzoli</w:t>
      </w:r>
      <w:r w:rsidRPr="00972283">
        <w:rPr>
          <w:bCs/>
          <w:iCs/>
        </w:rPr>
        <w:t xml:space="preserve"> has received consulting fees or advisory board fees from Radius Health, Labatec, Danone, Nestlé, CNIEL and</w:t>
      </w:r>
      <w:r>
        <w:rPr>
          <w:bCs/>
          <w:iCs/>
        </w:rPr>
        <w:t xml:space="preserve"> </w:t>
      </w:r>
      <w:r w:rsidRPr="00972283">
        <w:rPr>
          <w:bCs/>
          <w:iCs/>
        </w:rPr>
        <w:t>Sandoz.</w:t>
      </w:r>
    </w:p>
    <w:p w14:paraId="49D46410" w14:textId="67034678" w:rsidR="003F6124" w:rsidRDefault="003F6124" w:rsidP="003F6124">
      <w:pPr>
        <w:spacing w:after="240" w:line="276" w:lineRule="auto"/>
        <w:ind w:left="567"/>
        <w:jc w:val="both"/>
        <w:rPr>
          <w:bCs/>
          <w:iCs/>
        </w:rPr>
      </w:pPr>
      <w:r>
        <w:rPr>
          <w:bCs/>
          <w:iCs/>
        </w:rPr>
        <w:t xml:space="preserve">K  Saag reports grant support </w:t>
      </w:r>
      <w:r w:rsidR="00DE052B">
        <w:rPr>
          <w:bCs/>
          <w:iCs/>
        </w:rPr>
        <w:t xml:space="preserve">from </w:t>
      </w:r>
      <w:r>
        <w:rPr>
          <w:bCs/>
          <w:iCs/>
        </w:rPr>
        <w:t>Amgen</w:t>
      </w:r>
      <w:r w:rsidR="00DE052B">
        <w:rPr>
          <w:bCs/>
          <w:iCs/>
        </w:rPr>
        <w:t xml:space="preserve"> and </w:t>
      </w:r>
      <w:r>
        <w:rPr>
          <w:bCs/>
          <w:iCs/>
        </w:rPr>
        <w:t xml:space="preserve">Radius, consulting </w:t>
      </w:r>
      <w:r w:rsidR="00DE052B">
        <w:rPr>
          <w:bCs/>
          <w:iCs/>
        </w:rPr>
        <w:t xml:space="preserve">fees from </w:t>
      </w:r>
      <w:r>
        <w:rPr>
          <w:bCs/>
          <w:iCs/>
        </w:rPr>
        <w:t>Amgen, Radius</w:t>
      </w:r>
      <w:r w:rsidR="00DE052B">
        <w:rPr>
          <w:bCs/>
          <w:iCs/>
        </w:rPr>
        <w:t xml:space="preserve"> and </w:t>
      </w:r>
      <w:r>
        <w:rPr>
          <w:bCs/>
          <w:iCs/>
        </w:rPr>
        <w:t>Roche.</w:t>
      </w:r>
    </w:p>
    <w:p w14:paraId="3C037834" w14:textId="77777777" w:rsidR="00E13958" w:rsidRPr="00E13958" w:rsidRDefault="00E13958" w:rsidP="00E13958">
      <w:pPr>
        <w:spacing w:after="240" w:line="276" w:lineRule="auto"/>
        <w:ind w:left="567"/>
        <w:jc w:val="both"/>
        <w:rPr>
          <w:bCs/>
          <w:iCs/>
        </w:rPr>
      </w:pPr>
    </w:p>
    <w:p w14:paraId="3FC62165" w14:textId="0787D850" w:rsidR="00B22BE2" w:rsidRDefault="00B22BE2" w:rsidP="00706C7E">
      <w:pPr>
        <w:spacing w:after="240" w:line="276" w:lineRule="auto"/>
        <w:ind w:left="567"/>
        <w:jc w:val="both"/>
        <w:rPr>
          <w:b/>
          <w:bCs/>
          <w:iCs/>
        </w:rPr>
      </w:pPr>
      <w:r w:rsidRPr="00B22BE2">
        <w:rPr>
          <w:b/>
          <w:bCs/>
          <w:iCs/>
        </w:rPr>
        <w:t xml:space="preserve">References </w:t>
      </w:r>
    </w:p>
    <w:p w14:paraId="714287FA" w14:textId="77777777" w:rsidR="009D5553" w:rsidRPr="009D5553" w:rsidRDefault="009D5553" w:rsidP="009D5553">
      <w:pPr>
        <w:spacing w:after="240" w:line="276" w:lineRule="auto"/>
        <w:ind w:left="1134" w:hanging="567"/>
        <w:jc w:val="both"/>
        <w:rPr>
          <w:bCs/>
          <w:iCs/>
        </w:rPr>
      </w:pPr>
      <w:r w:rsidRPr="009D5553">
        <w:rPr>
          <w:bCs/>
          <w:iCs/>
        </w:rPr>
        <w:t>1.</w:t>
      </w:r>
      <w:r w:rsidRPr="009D5553">
        <w:rPr>
          <w:bCs/>
          <w:iCs/>
        </w:rPr>
        <w:tab/>
        <w:t>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w:t>
      </w:r>
    </w:p>
    <w:p w14:paraId="2067725D" w14:textId="179846FF" w:rsidR="009D5553" w:rsidRPr="009D5553" w:rsidRDefault="009D5553" w:rsidP="009D5553">
      <w:pPr>
        <w:spacing w:after="240" w:line="276" w:lineRule="auto"/>
        <w:ind w:left="1134" w:hanging="567"/>
        <w:jc w:val="both"/>
        <w:rPr>
          <w:bCs/>
          <w:iCs/>
        </w:rPr>
      </w:pPr>
      <w:r w:rsidRPr="009D5553">
        <w:rPr>
          <w:bCs/>
          <w:iCs/>
        </w:rPr>
        <w:t>2.</w:t>
      </w:r>
      <w:r w:rsidRPr="009D5553">
        <w:rPr>
          <w:bCs/>
          <w:iCs/>
        </w:rPr>
        <w:tab/>
      </w:r>
      <w:r w:rsidR="00F32B11" w:rsidRPr="00F32B11">
        <w:rPr>
          <w:bCs/>
          <w:iCs/>
        </w:rPr>
        <w:t xml:space="preserve">Kanis JA, Cooper C, Rizzoli R, Reginster J-Y (2019) Executive summary of European guidance for the diagnosis and management of osteoporosis in postmenopausal women. Aging Clin Exp Res 31: 15-17   </w:t>
      </w:r>
    </w:p>
    <w:p w14:paraId="3B9B2D08" w14:textId="77777777" w:rsidR="009D5553" w:rsidRPr="009D5553" w:rsidRDefault="009D5553" w:rsidP="009D5553">
      <w:pPr>
        <w:spacing w:after="240" w:line="276" w:lineRule="auto"/>
        <w:ind w:left="1134" w:hanging="567"/>
        <w:jc w:val="both"/>
        <w:rPr>
          <w:bCs/>
          <w:iCs/>
        </w:rPr>
      </w:pPr>
      <w:r w:rsidRPr="009D5553">
        <w:rPr>
          <w:bCs/>
          <w:iCs/>
        </w:rPr>
        <w:lastRenderedPageBreak/>
        <w:t>3.</w:t>
      </w:r>
      <w:r w:rsidRPr="009D5553">
        <w:rPr>
          <w:bCs/>
          <w:iCs/>
        </w:rPr>
        <w:tab/>
        <w:t>Kanis JA, Cooper C, Rizzoli R, Reginster J-Y (2019) Executive summary of the European guidance for the diagnosis and management of osteoporosis in postmenopausal women. Calcif Tissue Int 104: 235-238.</w:t>
      </w:r>
    </w:p>
    <w:p w14:paraId="4B1B5E2D" w14:textId="77777777" w:rsidR="009D5553" w:rsidRPr="009D5553" w:rsidRDefault="009D5553" w:rsidP="009D5553">
      <w:pPr>
        <w:spacing w:after="240" w:line="276" w:lineRule="auto"/>
        <w:ind w:left="1134" w:hanging="567"/>
        <w:jc w:val="both"/>
        <w:rPr>
          <w:bCs/>
          <w:iCs/>
        </w:rPr>
      </w:pPr>
      <w:r w:rsidRPr="009D5553">
        <w:rPr>
          <w:bCs/>
          <w:iCs/>
        </w:rPr>
        <w:t>4.</w:t>
      </w:r>
      <w:r w:rsidRPr="009D5553">
        <w:rPr>
          <w:bCs/>
          <w:iCs/>
        </w:rPr>
        <w:tab/>
        <w:t>Johnell O, Oden A, Caulin F, Kanis JA (2001) Acute and long-term increase in fracture risk after hospitalization for vertebral fracture. Osteoporos Int 12: 207-214.</w:t>
      </w:r>
    </w:p>
    <w:p w14:paraId="73F8CF1E" w14:textId="77777777" w:rsidR="009D5553" w:rsidRPr="009D5553" w:rsidRDefault="009D5553" w:rsidP="009D5553">
      <w:pPr>
        <w:spacing w:after="240" w:line="276" w:lineRule="auto"/>
        <w:ind w:left="1134" w:hanging="567"/>
        <w:jc w:val="both"/>
        <w:rPr>
          <w:bCs/>
          <w:iCs/>
        </w:rPr>
      </w:pPr>
      <w:r w:rsidRPr="009D5553">
        <w:rPr>
          <w:bCs/>
          <w:iCs/>
        </w:rPr>
        <w:t>5.</w:t>
      </w:r>
      <w:r w:rsidRPr="009D5553">
        <w:rPr>
          <w:bCs/>
          <w:iCs/>
        </w:rPr>
        <w:tab/>
        <w:t>Johnell O, Kanis JA, Oden A, Sernbo I, Redlund-Johnell I, Pettersen C, De Laet C, Jonsson B (2004) Fracture risk following an osteoporotic fracture. Osteoporos Int 15: 175-179.</w:t>
      </w:r>
    </w:p>
    <w:p w14:paraId="2B2EABE2" w14:textId="77777777" w:rsidR="009D5553" w:rsidRPr="009D5553" w:rsidRDefault="009D5553" w:rsidP="009D5553">
      <w:pPr>
        <w:spacing w:after="240" w:line="276" w:lineRule="auto"/>
        <w:ind w:left="1134" w:hanging="567"/>
        <w:jc w:val="both"/>
        <w:rPr>
          <w:bCs/>
          <w:iCs/>
        </w:rPr>
      </w:pPr>
      <w:r w:rsidRPr="009D5553">
        <w:rPr>
          <w:bCs/>
          <w:iCs/>
        </w:rPr>
        <w:t>6.</w:t>
      </w:r>
      <w:r w:rsidRPr="009D5553">
        <w:rPr>
          <w:bCs/>
          <w:iCs/>
        </w:rPr>
        <w:tab/>
        <w:t>Nymark T, Lauritsen JM, Ovesen O, Röck ND, Jeune B (2006) Short time-frame from first to second hip fracture in the Funen County Hip Fracture Study. Osteoporos Int 17: 1353-7.</w:t>
      </w:r>
    </w:p>
    <w:p w14:paraId="3884CBDA" w14:textId="77777777" w:rsidR="009D5553" w:rsidRPr="009D5553" w:rsidRDefault="009D5553" w:rsidP="009D5553">
      <w:pPr>
        <w:spacing w:after="240" w:line="276" w:lineRule="auto"/>
        <w:ind w:left="1134" w:hanging="567"/>
        <w:jc w:val="both"/>
        <w:rPr>
          <w:bCs/>
          <w:iCs/>
        </w:rPr>
      </w:pPr>
      <w:r w:rsidRPr="009D5553">
        <w:rPr>
          <w:bCs/>
          <w:iCs/>
        </w:rPr>
        <w:t>7.</w:t>
      </w:r>
      <w:r w:rsidRPr="009D5553">
        <w:rPr>
          <w:bCs/>
          <w:iCs/>
        </w:rPr>
        <w:tab/>
        <w:t>Giangregorio LM, Leslie WD (2010) Manitoba Bone Density Program. Time since prior fracture is a risk modifier for 10-year osteoporotic fractures. J Bone Miner Res 25: 1400-5.</w:t>
      </w:r>
    </w:p>
    <w:p w14:paraId="598D405D" w14:textId="77777777" w:rsidR="009D5553" w:rsidRPr="009D5553" w:rsidRDefault="009D5553" w:rsidP="009D5553">
      <w:pPr>
        <w:spacing w:after="240" w:line="276" w:lineRule="auto"/>
        <w:ind w:left="1134" w:hanging="567"/>
        <w:jc w:val="both"/>
        <w:rPr>
          <w:bCs/>
          <w:iCs/>
        </w:rPr>
      </w:pPr>
      <w:r w:rsidRPr="009D5553">
        <w:rPr>
          <w:bCs/>
          <w:iCs/>
        </w:rPr>
        <w:t>8.</w:t>
      </w:r>
      <w:r w:rsidRPr="009D5553">
        <w:rPr>
          <w:bCs/>
          <w:iCs/>
        </w:rPr>
        <w:tab/>
        <w:t>van Geel TACM, van Helden S, Geusens PP, Winkens B, Dinant G-J (2009) Clinical subsequent fractures cluster in time after first fractures. Ann Rheum Dis 68: 99–102</w:t>
      </w:r>
    </w:p>
    <w:p w14:paraId="1AEB0548" w14:textId="77777777" w:rsidR="009D5553" w:rsidRPr="009D5553" w:rsidRDefault="009D5553" w:rsidP="009D5553">
      <w:pPr>
        <w:spacing w:after="240" w:line="276" w:lineRule="auto"/>
        <w:ind w:left="1134" w:hanging="567"/>
        <w:jc w:val="both"/>
        <w:rPr>
          <w:bCs/>
          <w:iCs/>
        </w:rPr>
      </w:pPr>
      <w:r w:rsidRPr="009D5553">
        <w:rPr>
          <w:bCs/>
          <w:iCs/>
        </w:rPr>
        <w:t>9.</w:t>
      </w:r>
      <w:r w:rsidRPr="009D5553">
        <w:rPr>
          <w:bCs/>
          <w:iCs/>
        </w:rPr>
        <w:tab/>
        <w:t>Johansson H, Siggeirsdóttir K, Harvey NC, Odén A, Gudnason V, McCloskey E, Sigurdsson G, Kanis JA (2017) Imminent risk of fracture after fracture. Osteoporos Int 28:775-780</w:t>
      </w:r>
    </w:p>
    <w:p w14:paraId="4536584C" w14:textId="77777777" w:rsidR="009D5553" w:rsidRPr="009D5553" w:rsidRDefault="009D5553" w:rsidP="009D5553">
      <w:pPr>
        <w:spacing w:after="240" w:line="276" w:lineRule="auto"/>
        <w:ind w:left="1134" w:hanging="567"/>
        <w:jc w:val="both"/>
        <w:rPr>
          <w:bCs/>
          <w:iCs/>
        </w:rPr>
      </w:pPr>
      <w:r w:rsidRPr="009D5553">
        <w:rPr>
          <w:bCs/>
          <w:iCs/>
        </w:rPr>
        <w:t>10.</w:t>
      </w:r>
      <w:r w:rsidRPr="009D5553">
        <w:rPr>
          <w:bCs/>
          <w:iCs/>
        </w:rPr>
        <w:tab/>
        <w:t>Kendler DL, Marin F, Zerbini CAF, Russo LA, Greenspan SL, Zikan V, Bagur A, Malouf-Sierra J, Lakatos P, Fahrleitner-Pammer A, Lespessailles E, Minisola S, Body JJ, Geusens P, Möricke R, López-Romero P (2018) Effects of teriparatide and risedronate on new fractures in post-menopausal women with severe osteoporosis (VERO): a multicentre, double-blind, double-dummy, randomised controlled trial.  Lancet 391 (10117): 230-240.</w:t>
      </w:r>
    </w:p>
    <w:p w14:paraId="50E63DD7" w14:textId="77777777" w:rsidR="009D5553" w:rsidRPr="009D5553" w:rsidRDefault="009D5553" w:rsidP="009D5553">
      <w:pPr>
        <w:spacing w:after="240" w:line="276" w:lineRule="auto"/>
        <w:ind w:left="1134" w:hanging="567"/>
        <w:jc w:val="both"/>
        <w:rPr>
          <w:bCs/>
          <w:iCs/>
        </w:rPr>
      </w:pPr>
      <w:r w:rsidRPr="009D5553">
        <w:rPr>
          <w:bCs/>
          <w:iCs/>
        </w:rPr>
        <w:t>11.</w:t>
      </w:r>
      <w:r w:rsidRPr="009D5553">
        <w:rPr>
          <w:bCs/>
          <w:iCs/>
        </w:rPr>
        <w:tab/>
        <w:t>Saag KG, Petersen J, Brandi ML, Karaplis AC, Lorentzon M, Thomas T, Maddox J, Fan M, Meisner PD, Grauer A (2017) Romosozumab or alendronate for fracture prevention in women with osteoporosis. N Engl J Med 377: 1417-1427</w:t>
      </w:r>
    </w:p>
    <w:p w14:paraId="2BDF3FF7" w14:textId="77777777" w:rsidR="009D5553" w:rsidRPr="009D5553" w:rsidRDefault="009D5553" w:rsidP="009D5553">
      <w:pPr>
        <w:spacing w:after="240" w:line="276" w:lineRule="auto"/>
        <w:ind w:left="1134" w:hanging="567"/>
        <w:jc w:val="both"/>
        <w:rPr>
          <w:bCs/>
          <w:iCs/>
        </w:rPr>
      </w:pPr>
      <w:r w:rsidRPr="009D5553">
        <w:rPr>
          <w:bCs/>
          <w:iCs/>
        </w:rPr>
        <w:t>12.</w:t>
      </w:r>
      <w:r w:rsidRPr="009D5553">
        <w:rPr>
          <w:bCs/>
          <w:iCs/>
        </w:rPr>
        <w:tab/>
        <w:t>Barrionuevo P, Kapoor E, Asi N, Alahdab F, Mohammed K, Benkhadra K, Almasri J, Farah W, Sarigianni M, Muthusamy K, Al Nofal A, Haydour Q, Wang Z, Murad MH (2019) Efficacy of pharmacological therapies for the prevention of fractures in postmenopausal women: A network meta-analysis. J Clin Endocrinol Metab 104: 1623-1630.</w:t>
      </w:r>
    </w:p>
    <w:p w14:paraId="2EA5BEEC" w14:textId="77777777" w:rsidR="009D5553" w:rsidRPr="009D5553" w:rsidRDefault="009D5553" w:rsidP="009D5553">
      <w:pPr>
        <w:spacing w:after="240" w:line="276" w:lineRule="auto"/>
        <w:ind w:left="1134" w:hanging="567"/>
        <w:jc w:val="both"/>
        <w:rPr>
          <w:bCs/>
          <w:iCs/>
        </w:rPr>
      </w:pPr>
      <w:r w:rsidRPr="009D5553">
        <w:rPr>
          <w:bCs/>
          <w:iCs/>
        </w:rPr>
        <w:t>13.</w:t>
      </w:r>
      <w:r w:rsidRPr="009D5553">
        <w:rPr>
          <w:bCs/>
          <w:iCs/>
        </w:rPr>
        <w:tab/>
        <w:t>Lou S, Lv H, Yin P, Li Z, Tang P, Wang Y (2019) Combination therapy with parathyroid hormone analogs and antiresorptive agents for osteoporosis: a systematic review and meta-analysis of randomized controlled trials. Osteoporos Int ;30: 59-70.</w:t>
      </w:r>
    </w:p>
    <w:p w14:paraId="279A358F" w14:textId="77777777" w:rsidR="009D5553" w:rsidRPr="009D5553" w:rsidRDefault="009D5553" w:rsidP="009D5553">
      <w:pPr>
        <w:spacing w:after="240" w:line="276" w:lineRule="auto"/>
        <w:ind w:left="1134" w:hanging="567"/>
        <w:jc w:val="both"/>
        <w:rPr>
          <w:bCs/>
          <w:iCs/>
        </w:rPr>
      </w:pPr>
      <w:r w:rsidRPr="009D5553">
        <w:rPr>
          <w:bCs/>
          <w:iCs/>
        </w:rPr>
        <w:lastRenderedPageBreak/>
        <w:t>14.</w:t>
      </w:r>
      <w:r w:rsidRPr="009D5553">
        <w:rPr>
          <w:bCs/>
          <w:iCs/>
        </w:rPr>
        <w:tab/>
        <w:t>Díez-Pérez A, Marin F, Eriksen EF, Kendler DL, Krege JH, Delgado-Rodríguez M (2019) Effects of teriparatide on hip and upper limb fractures in patients with osteoporosis: A systematic review and meta-analysis. Bone 120: 1-8. doi: 10.1016/j.bone.2018.09.020.</w:t>
      </w:r>
    </w:p>
    <w:p w14:paraId="62056FE9" w14:textId="77777777" w:rsidR="009D5553" w:rsidRPr="009D5553" w:rsidRDefault="009D5553" w:rsidP="009D5553">
      <w:pPr>
        <w:spacing w:after="240" w:line="276" w:lineRule="auto"/>
        <w:ind w:left="1134" w:hanging="567"/>
        <w:jc w:val="both"/>
        <w:rPr>
          <w:bCs/>
          <w:iCs/>
        </w:rPr>
      </w:pPr>
      <w:r w:rsidRPr="009D5553">
        <w:rPr>
          <w:bCs/>
          <w:iCs/>
        </w:rPr>
        <w:t>15.</w:t>
      </w:r>
      <w:r w:rsidRPr="009D5553">
        <w:rPr>
          <w:bCs/>
          <w:iCs/>
        </w:rPr>
        <w:tab/>
        <w:t>Russow G, Jahn D, Appelt J, Märdian S, Tsitsilonis S, Keller J (2018) Anabolic therapies in osteoporosis and bone regeneration. Int J Mol Sci 26;20(1).</w:t>
      </w:r>
    </w:p>
    <w:p w14:paraId="05A329FF" w14:textId="77777777" w:rsidR="009D5553" w:rsidRPr="009D5553" w:rsidRDefault="009D5553" w:rsidP="009D5553">
      <w:pPr>
        <w:spacing w:after="240" w:line="276" w:lineRule="auto"/>
        <w:ind w:left="1134" w:hanging="567"/>
        <w:jc w:val="both"/>
        <w:rPr>
          <w:bCs/>
          <w:iCs/>
        </w:rPr>
      </w:pPr>
      <w:r w:rsidRPr="009D5553">
        <w:rPr>
          <w:bCs/>
          <w:iCs/>
        </w:rPr>
        <w:t>16.</w:t>
      </w:r>
      <w:r w:rsidRPr="009D5553">
        <w:rPr>
          <w:bCs/>
          <w:iCs/>
        </w:rPr>
        <w:tab/>
        <w:t>Khosla S, Hofbauer LC (2017) Osteoporosis treatment: recent developments and ongoing challenges. Lancet Diabetes Endocrinol 5: 898-907.</w:t>
      </w:r>
    </w:p>
    <w:p w14:paraId="5F8EC1C6" w14:textId="608A4981" w:rsidR="009D5553" w:rsidRPr="009D5553" w:rsidRDefault="009D5553" w:rsidP="00F80A4D">
      <w:pPr>
        <w:spacing w:after="240" w:line="276" w:lineRule="auto"/>
        <w:ind w:left="1134" w:hanging="567"/>
        <w:rPr>
          <w:bCs/>
          <w:iCs/>
        </w:rPr>
      </w:pPr>
      <w:r w:rsidRPr="009D5553">
        <w:rPr>
          <w:bCs/>
          <w:iCs/>
        </w:rPr>
        <w:t>17.</w:t>
      </w:r>
      <w:r w:rsidRPr="009D5553">
        <w:rPr>
          <w:bCs/>
          <w:iCs/>
        </w:rPr>
        <w:tab/>
        <w:t xml:space="preserve">Kanis JA on behalf of the World Health Organization Scientific Group (2008) Assessment of osteoporosis at the primary health-care level. Technical Report.  WHO Collaborating Centre, University of Sheffield, UK. Available at: </w:t>
      </w:r>
      <w:hyperlink r:id="rId13" w:history="1">
        <w:r w:rsidR="00F51F94" w:rsidRPr="005873F5">
          <w:rPr>
            <w:rStyle w:val="Hyperlink"/>
            <w:bCs/>
            <w:iCs/>
          </w:rPr>
          <w:t>https://www.sheffield.ac.uk/FRAX/pdfs/WHO_Technical_Report.pdf</w:t>
        </w:r>
      </w:hyperlink>
      <w:r w:rsidR="00F51F94">
        <w:rPr>
          <w:bCs/>
          <w:iCs/>
        </w:rPr>
        <w:t xml:space="preserve"> </w:t>
      </w:r>
      <w:r w:rsidRPr="009D5553">
        <w:rPr>
          <w:bCs/>
          <w:iCs/>
        </w:rPr>
        <w:t xml:space="preserve"> Accessed 2 April 2019</w:t>
      </w:r>
    </w:p>
    <w:p w14:paraId="02ACB43B" w14:textId="77777777" w:rsidR="009D5553" w:rsidRPr="009D5553" w:rsidRDefault="009D5553" w:rsidP="009D5553">
      <w:pPr>
        <w:spacing w:after="240" w:line="276" w:lineRule="auto"/>
        <w:ind w:left="1134" w:hanging="567"/>
        <w:jc w:val="both"/>
        <w:rPr>
          <w:bCs/>
          <w:iCs/>
        </w:rPr>
      </w:pPr>
      <w:r w:rsidRPr="009D5553">
        <w:rPr>
          <w:bCs/>
          <w:iCs/>
        </w:rPr>
        <w:t>18.</w:t>
      </w:r>
      <w:r w:rsidRPr="009D5553">
        <w:rPr>
          <w:bCs/>
          <w:iCs/>
        </w:rPr>
        <w:tab/>
        <w:t>Kanis JA, Oden A, Johnell O, Johansson H, De Laet C, Brown J, Burckhardt P, Cooper C, Christiansen C, Cummings S, Eisman JA, Fujiwara S, Gluer C, Goltzman D, Hans D, Krieg MA, La Croix A, McCloskey E, Mellstrom D, Melton LJ 3rd, Pols H, Reeve J, Sanders K, Schott AM, Silman A, Torgerson D, van Staa T, Watts NB, Yoshimura N (2007) The use of clinical risk factors enhances the performance of BMD in the prediction of hip and osteoporotic fractures in men and women. Osteoporos Int 18:1033-1046</w:t>
      </w:r>
    </w:p>
    <w:p w14:paraId="368AF31B" w14:textId="77777777" w:rsidR="009D5553" w:rsidRPr="009D5553" w:rsidRDefault="009D5553" w:rsidP="009D5553">
      <w:pPr>
        <w:spacing w:after="240" w:line="276" w:lineRule="auto"/>
        <w:ind w:left="1134" w:hanging="567"/>
        <w:jc w:val="both"/>
        <w:rPr>
          <w:bCs/>
          <w:iCs/>
        </w:rPr>
      </w:pPr>
      <w:r w:rsidRPr="009D5553">
        <w:rPr>
          <w:bCs/>
          <w:iCs/>
        </w:rPr>
        <w:t>19.</w:t>
      </w:r>
      <w:r w:rsidRPr="009D5553">
        <w:rPr>
          <w:bCs/>
          <w:iCs/>
        </w:rPr>
        <w:tab/>
        <w:t>Kanis JA, Harvey NC,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 25</w:t>
      </w:r>
    </w:p>
    <w:p w14:paraId="0B9D2B14" w14:textId="77777777" w:rsidR="009D5553" w:rsidRPr="009D5553" w:rsidRDefault="009D5553" w:rsidP="009D5553">
      <w:pPr>
        <w:spacing w:after="240" w:line="276" w:lineRule="auto"/>
        <w:ind w:left="1134" w:hanging="567"/>
        <w:jc w:val="both"/>
        <w:rPr>
          <w:bCs/>
          <w:iCs/>
        </w:rPr>
      </w:pPr>
      <w:r w:rsidRPr="009D5553">
        <w:rPr>
          <w:bCs/>
          <w:iCs/>
        </w:rPr>
        <w:t>20.</w:t>
      </w:r>
      <w:r w:rsidRPr="009D5553">
        <w:rPr>
          <w:bCs/>
          <w:iCs/>
        </w:rPr>
        <w:tab/>
        <w:t>Clark P, Denova-Gutiérrez E, Zerbini C, Sanchez A, Messina O, Jaller JJ, Campusano C, Orces CH, Riera G, Johansson H, Kanis JA (2018) FRAX-based intervention and assessment thresholds in seven Latin American countries. Osteoporos Int 29: 707-715.</w:t>
      </w:r>
    </w:p>
    <w:p w14:paraId="278A67B2" w14:textId="77777777" w:rsidR="009D5553" w:rsidRPr="009D5553" w:rsidRDefault="009D5553" w:rsidP="009D5553">
      <w:pPr>
        <w:spacing w:after="240" w:line="276" w:lineRule="auto"/>
        <w:ind w:left="1134" w:hanging="567"/>
        <w:jc w:val="both"/>
        <w:rPr>
          <w:bCs/>
          <w:iCs/>
        </w:rPr>
      </w:pPr>
      <w:r w:rsidRPr="009D5553">
        <w:rPr>
          <w:bCs/>
          <w:iCs/>
        </w:rPr>
        <w:t>21.</w:t>
      </w:r>
      <w:r w:rsidRPr="009D5553">
        <w:rPr>
          <w:bCs/>
          <w:iCs/>
        </w:rPr>
        <w:tab/>
        <w:t>Kanis JA, McCloskey EV, Johansson H, Strom O, Borgstrom F, Oden A and the National Osteoporosis Guideline Group (2008) Case finding for the management of osteoporosis with FRAX® - Assessment and intervention thresholds for the UK. Osteoporos Int 19: 1395-1408.</w:t>
      </w:r>
    </w:p>
    <w:p w14:paraId="03B8F1CF" w14:textId="77777777" w:rsidR="009D5553" w:rsidRPr="009D5553" w:rsidRDefault="009D5553" w:rsidP="009D5553">
      <w:pPr>
        <w:spacing w:after="240" w:line="276" w:lineRule="auto"/>
        <w:ind w:left="1134" w:hanging="567"/>
        <w:jc w:val="both"/>
        <w:rPr>
          <w:bCs/>
          <w:iCs/>
        </w:rPr>
      </w:pPr>
      <w:r w:rsidRPr="009D5553">
        <w:rPr>
          <w:bCs/>
          <w:iCs/>
        </w:rPr>
        <w:t>22.</w:t>
      </w:r>
      <w:r w:rsidRPr="009D5553">
        <w:rPr>
          <w:bCs/>
          <w:iCs/>
        </w:rPr>
        <w:tab/>
        <w:t>Tosteson AN, Melton LJ 3rd, Dawson-Hughes B et al (2008) Cost-effective osteoporosis treatment thresholds: The United States perspective. Osteoporos Int 19:437–447</w:t>
      </w:r>
    </w:p>
    <w:p w14:paraId="69213304" w14:textId="77777777" w:rsidR="009D5553" w:rsidRPr="009D5553" w:rsidRDefault="009D5553" w:rsidP="009D5553">
      <w:pPr>
        <w:spacing w:after="240" w:line="276" w:lineRule="auto"/>
        <w:ind w:left="1134" w:hanging="567"/>
        <w:jc w:val="both"/>
        <w:rPr>
          <w:bCs/>
          <w:iCs/>
        </w:rPr>
      </w:pPr>
      <w:r w:rsidRPr="009D5553">
        <w:rPr>
          <w:bCs/>
          <w:iCs/>
        </w:rPr>
        <w:t>23.</w:t>
      </w:r>
      <w:r w:rsidRPr="009D5553">
        <w:rPr>
          <w:bCs/>
          <w:iCs/>
        </w:rPr>
        <w:tab/>
        <w:t>Kanis JA, Stevenson M, McCloskey EV, Davis S, Lloyd-Jones M (2007) Glucocorticoid-induced osteoporosis: a systematic review and cost-utility analysis. Health Technology Assessment; 11: iii-iv, ix-xi, 1-231</w:t>
      </w:r>
    </w:p>
    <w:p w14:paraId="39AF0FB9" w14:textId="77777777" w:rsidR="009D5553" w:rsidRPr="009D5553" w:rsidRDefault="009D5553" w:rsidP="009D5553">
      <w:pPr>
        <w:spacing w:after="240" w:line="276" w:lineRule="auto"/>
        <w:ind w:left="1134" w:hanging="567"/>
        <w:jc w:val="both"/>
        <w:rPr>
          <w:bCs/>
          <w:iCs/>
        </w:rPr>
      </w:pPr>
      <w:r w:rsidRPr="009D5553">
        <w:rPr>
          <w:bCs/>
          <w:iCs/>
        </w:rPr>
        <w:lastRenderedPageBreak/>
        <w:t>24.</w:t>
      </w:r>
      <w:r w:rsidRPr="009D5553">
        <w:rPr>
          <w:bCs/>
          <w:iCs/>
        </w:rPr>
        <w:tab/>
        <w:t>Shepstone L, Lenaghan E, Cooper C, Clarke S, Fong-Soe-Khioe R, Fordham R, Gittoes NJ, Harvey I, Harvey N, Heawood A, Holland R, Howe A, Kanis J, Marshall T, O'Neill T, Peters T, Redmond N, Torgerson D, Turner D, McCloskey E (2018) Screening in the community to reduce fractures in older women (SCOOP): a randomised controlled trial. Lancet 391(10122): 741-747</w:t>
      </w:r>
    </w:p>
    <w:p w14:paraId="0BFAFBEF" w14:textId="77777777" w:rsidR="009D5553" w:rsidRPr="009D5553" w:rsidRDefault="009D5553" w:rsidP="009D5553">
      <w:pPr>
        <w:spacing w:after="240" w:line="276" w:lineRule="auto"/>
        <w:ind w:left="1134" w:hanging="567"/>
        <w:jc w:val="both"/>
        <w:rPr>
          <w:bCs/>
          <w:iCs/>
        </w:rPr>
      </w:pPr>
      <w:r w:rsidRPr="009D5553">
        <w:rPr>
          <w:bCs/>
          <w:iCs/>
        </w:rPr>
        <w:t>25.</w:t>
      </w:r>
      <w:r w:rsidRPr="009D5553">
        <w:rPr>
          <w:bCs/>
          <w:iCs/>
        </w:rPr>
        <w:tab/>
        <w:t>Kanis JA, Johansson H, Oden A, McCloskey EV (2011) Guidance for the adjustment of FRAX according to the dose of glucocorticoids. Osteoporos Int 22: 809–816.</w:t>
      </w:r>
    </w:p>
    <w:p w14:paraId="369FBD7E" w14:textId="77777777" w:rsidR="009D5553" w:rsidRPr="009D5553" w:rsidRDefault="009D5553" w:rsidP="009D5553">
      <w:pPr>
        <w:spacing w:after="240" w:line="276" w:lineRule="auto"/>
        <w:ind w:left="1134" w:hanging="567"/>
        <w:jc w:val="both"/>
        <w:rPr>
          <w:bCs/>
          <w:iCs/>
        </w:rPr>
      </w:pPr>
      <w:r w:rsidRPr="009D5553">
        <w:rPr>
          <w:bCs/>
          <w:iCs/>
        </w:rPr>
        <w:t>26.</w:t>
      </w:r>
      <w:r w:rsidRPr="009D5553">
        <w:rPr>
          <w:bCs/>
          <w:iCs/>
        </w:rPr>
        <w:tab/>
        <w:t>Leslie WD, Lix LM, Johansson H, Odén A, McCloskey E, Kanis JA (2011) Spine-hip discordance and fracture risk assessment: a physician-friendly FRAX enhancement. Osteoporos Int 22: 839-847.</w:t>
      </w:r>
    </w:p>
    <w:p w14:paraId="2935510F" w14:textId="77777777" w:rsidR="009D5553" w:rsidRPr="009D5553" w:rsidRDefault="009D5553" w:rsidP="009D5553">
      <w:pPr>
        <w:spacing w:after="240" w:line="276" w:lineRule="auto"/>
        <w:ind w:left="1134" w:hanging="567"/>
        <w:jc w:val="both"/>
        <w:rPr>
          <w:bCs/>
          <w:iCs/>
        </w:rPr>
      </w:pPr>
      <w:r w:rsidRPr="009D5553">
        <w:rPr>
          <w:bCs/>
          <w:iCs/>
        </w:rPr>
        <w:t>27.</w:t>
      </w:r>
      <w:r w:rsidRPr="009D5553">
        <w:rPr>
          <w:bCs/>
          <w:iCs/>
        </w:rPr>
        <w:tab/>
        <w:t>Johansson H, Kanis JA, Odén A, Leslie WD, Fujiwara S, Glüer CC, Kroger H, LaCroix AZ, Lau E, Melton LJ 3rd, Eisman JA, O'Neill TW, Goltzman D, Reid DM, McCloskey E (2014) Impact of femoral neck and lumbar spine BMD discordances on FRAX probabilities in women: a meta-analysis of international cohorts. Calcif Tiss Int 95: 428–435</w:t>
      </w:r>
    </w:p>
    <w:p w14:paraId="7D736E75" w14:textId="77777777" w:rsidR="009D5553" w:rsidRPr="009D5553" w:rsidRDefault="009D5553" w:rsidP="009D5553">
      <w:pPr>
        <w:spacing w:after="240" w:line="276" w:lineRule="auto"/>
        <w:ind w:left="1134" w:hanging="567"/>
        <w:jc w:val="both"/>
        <w:rPr>
          <w:bCs/>
          <w:iCs/>
        </w:rPr>
      </w:pPr>
      <w:r w:rsidRPr="009D5553">
        <w:rPr>
          <w:bCs/>
          <w:iCs/>
        </w:rPr>
        <w:t>28.</w:t>
      </w:r>
      <w:r w:rsidRPr="009D5553">
        <w:rPr>
          <w:bCs/>
          <w:iCs/>
        </w:rPr>
        <w:tab/>
        <w:t>McCloskey EV, Odén A, Harvey NC, Leslie WD, Hans D, Johansson H, Barkmann R, Boutroy S, Brown J,  Chapurlat R, Elders PJM, Fujita Y, Glüer CC, Goltzman D, Iki M, Karlsson M,  Kindmark A, Kurumatani N, Kwok T, Leung J, Lippuner K, Ljunggren Ö, Lorentzon M,  Mellström D, Merlijn T, Oei L, Ohlsson C, Pasco J, Rivadeneira F,  Rosengren B, Sornay-Rendu E, Szulc P, Tamaki J, Kanis JA (2016) A meta-analysis of trabecular bone score in fracture risk prediction and its dependence on FRAX.  J Bone Minerl Res 31: 940-948.</w:t>
      </w:r>
    </w:p>
    <w:p w14:paraId="50617FAE" w14:textId="77777777" w:rsidR="009D5553" w:rsidRPr="009D5553" w:rsidRDefault="009D5553" w:rsidP="009D5553">
      <w:pPr>
        <w:spacing w:after="240" w:line="276" w:lineRule="auto"/>
        <w:ind w:left="1134" w:hanging="567"/>
        <w:jc w:val="both"/>
        <w:rPr>
          <w:bCs/>
          <w:iCs/>
        </w:rPr>
      </w:pPr>
      <w:r w:rsidRPr="009D5553">
        <w:rPr>
          <w:bCs/>
          <w:iCs/>
        </w:rPr>
        <w:t>29.</w:t>
      </w:r>
      <w:r w:rsidRPr="009D5553">
        <w:rPr>
          <w:bCs/>
          <w:iCs/>
        </w:rPr>
        <w:tab/>
        <w:t>Leslie WD, Johansson H, Kanis JA, Lamy O, Odén A, McCloskey EV, Hans D (2014) Lumbar spine texture enhances 10-year fracture probability assessment. Osteoporos Int 25: 2271–7.</w:t>
      </w:r>
    </w:p>
    <w:p w14:paraId="476C15BF" w14:textId="77777777" w:rsidR="009D5553" w:rsidRPr="009D5553" w:rsidRDefault="009D5553" w:rsidP="009D5553">
      <w:pPr>
        <w:spacing w:after="240" w:line="276" w:lineRule="auto"/>
        <w:ind w:left="1134" w:hanging="567"/>
        <w:jc w:val="both"/>
        <w:rPr>
          <w:bCs/>
          <w:iCs/>
        </w:rPr>
      </w:pPr>
      <w:r w:rsidRPr="009D5553">
        <w:rPr>
          <w:bCs/>
          <w:iCs/>
        </w:rPr>
        <w:t>30.</w:t>
      </w:r>
      <w:r w:rsidRPr="009D5553">
        <w:rPr>
          <w:bCs/>
          <w:iCs/>
        </w:rPr>
        <w:tab/>
        <w:t>Leslie WD, Shevroja E, Johansson H, McCloskey EV, Harvey NC, Kanis JA, Hans D (2018) Risk-equivalent T-score adjustment using lumbar spine trabecular bone score (TBS): The Manitoba BMD Registry.  Osteoporos Int 29: 751-758.</w:t>
      </w:r>
    </w:p>
    <w:p w14:paraId="188B0A92" w14:textId="77777777" w:rsidR="009D5553" w:rsidRPr="009D5553" w:rsidRDefault="009D5553" w:rsidP="009D5553">
      <w:pPr>
        <w:spacing w:after="240" w:line="276" w:lineRule="auto"/>
        <w:ind w:left="1134" w:hanging="567"/>
        <w:jc w:val="both"/>
        <w:rPr>
          <w:bCs/>
          <w:iCs/>
        </w:rPr>
      </w:pPr>
      <w:r w:rsidRPr="009D5553">
        <w:rPr>
          <w:bCs/>
          <w:iCs/>
        </w:rPr>
        <w:t>31.</w:t>
      </w:r>
      <w:r w:rsidRPr="009D5553">
        <w:rPr>
          <w:bCs/>
          <w:iCs/>
        </w:rPr>
        <w:tab/>
        <w:t>Leslie WD, Lix LM, Morin SN, Johansson H, Odén A, McCloskey EV, Kanis JA (2015) Adjusting hip fracture probability in men and women using hip axis length: the Manitoba Bone Density Database. J Clin Densitom 19: 326-31</w:t>
      </w:r>
    </w:p>
    <w:p w14:paraId="29212FC6" w14:textId="77777777" w:rsidR="009D5553" w:rsidRPr="009D5553" w:rsidRDefault="009D5553" w:rsidP="009D5553">
      <w:pPr>
        <w:spacing w:after="240" w:line="276" w:lineRule="auto"/>
        <w:ind w:left="1134" w:hanging="567"/>
        <w:jc w:val="both"/>
        <w:rPr>
          <w:bCs/>
          <w:iCs/>
        </w:rPr>
      </w:pPr>
      <w:r w:rsidRPr="009D5553">
        <w:rPr>
          <w:bCs/>
          <w:iCs/>
        </w:rPr>
        <w:t>32.</w:t>
      </w:r>
      <w:r w:rsidRPr="009D5553">
        <w:rPr>
          <w:bCs/>
          <w:iCs/>
        </w:rPr>
        <w:tab/>
        <w:t>Masud T, Binkley N, Boonen S, Hannan MT. on behalf of the FRAX Position Conference members (2011) Can falls and frailty be used in FRAX? J Clin Densitom 14: 194–204</w:t>
      </w:r>
    </w:p>
    <w:p w14:paraId="79328343" w14:textId="77777777" w:rsidR="009D5553" w:rsidRPr="009D5553" w:rsidRDefault="009D5553" w:rsidP="009D5553">
      <w:pPr>
        <w:spacing w:after="240" w:line="276" w:lineRule="auto"/>
        <w:ind w:left="1134" w:hanging="567"/>
        <w:jc w:val="both"/>
        <w:rPr>
          <w:bCs/>
          <w:iCs/>
        </w:rPr>
      </w:pPr>
      <w:r w:rsidRPr="009D5553">
        <w:rPr>
          <w:bCs/>
          <w:iCs/>
        </w:rPr>
        <w:t>33.</w:t>
      </w:r>
      <w:r w:rsidRPr="009D5553">
        <w:rPr>
          <w:bCs/>
          <w:iCs/>
        </w:rPr>
        <w:tab/>
        <w:t>Johansson H, Odén A, Lorentzon M, McCloskey E, Kanis JA, Harvey NC, Karlsson MK, Mellstrom D (2015) Is the Swedish FRAX model appropriate for immigrants to Sweden? Osteoporos Int 26:2617–2622</w:t>
      </w:r>
    </w:p>
    <w:p w14:paraId="21E2945B" w14:textId="77777777" w:rsidR="009D5553" w:rsidRPr="009D5553" w:rsidRDefault="009D5553" w:rsidP="009D5553">
      <w:pPr>
        <w:spacing w:after="240" w:line="276" w:lineRule="auto"/>
        <w:ind w:left="1134" w:hanging="567"/>
        <w:jc w:val="both"/>
        <w:rPr>
          <w:bCs/>
          <w:iCs/>
        </w:rPr>
      </w:pPr>
      <w:r w:rsidRPr="009D5553">
        <w:rPr>
          <w:bCs/>
          <w:iCs/>
        </w:rPr>
        <w:lastRenderedPageBreak/>
        <w:t>34.</w:t>
      </w:r>
      <w:r w:rsidRPr="009D5553">
        <w:rPr>
          <w:bCs/>
          <w:iCs/>
        </w:rPr>
        <w:tab/>
        <w:t>Leslie WD, Rubin MR, Schwartz AZ, Kanis JA (2012) Perspective: Diabetes and bone. J Bone Miner Res 27: 2231-7</w:t>
      </w:r>
    </w:p>
    <w:p w14:paraId="0C623A02" w14:textId="77777777" w:rsidR="009D5553" w:rsidRPr="009D5553" w:rsidRDefault="009D5553" w:rsidP="009D5553">
      <w:pPr>
        <w:spacing w:after="240" w:line="276" w:lineRule="auto"/>
        <w:ind w:left="1134" w:hanging="567"/>
        <w:jc w:val="both"/>
        <w:rPr>
          <w:bCs/>
          <w:iCs/>
        </w:rPr>
      </w:pPr>
      <w:r w:rsidRPr="009D5553">
        <w:rPr>
          <w:bCs/>
          <w:iCs/>
        </w:rPr>
        <w:t>35.</w:t>
      </w:r>
      <w:r w:rsidRPr="009D5553">
        <w:rPr>
          <w:bCs/>
          <w:iCs/>
        </w:rPr>
        <w:tab/>
        <w:t>Leslie WD, Johansson H, McCloskey EV, Harvey NC, Kanis JA, Hans D (2018) Comparison of methods for improving fracture risk assessment in diabetes: the Manitoba BMD Registry. J Bone Miner Res 33: 1923-1930</w:t>
      </w:r>
    </w:p>
    <w:p w14:paraId="2F581520" w14:textId="77777777" w:rsidR="009D5553" w:rsidRPr="009D5553" w:rsidRDefault="009D5553" w:rsidP="009D5553">
      <w:pPr>
        <w:spacing w:after="240" w:line="276" w:lineRule="auto"/>
        <w:ind w:left="1134" w:hanging="567"/>
        <w:jc w:val="both"/>
        <w:rPr>
          <w:bCs/>
          <w:iCs/>
        </w:rPr>
      </w:pPr>
      <w:r w:rsidRPr="009D5553">
        <w:rPr>
          <w:bCs/>
          <w:iCs/>
        </w:rPr>
        <w:t>36.</w:t>
      </w:r>
      <w:r w:rsidRPr="009D5553">
        <w:rPr>
          <w:bCs/>
          <w:iCs/>
        </w:rPr>
        <w:tab/>
        <w:t>Whitlock RH, Leslie WD, Shaw J, Rigatto C, Thorlacius L, Komenda P, Collister D, Kanis JA, Tangri N (2019) The Fracture Risk Assessment Tool (FRAX®) predicts fracture risk in patients with chronic kidney disease. Kidney Int 95 447-454</w:t>
      </w:r>
    </w:p>
    <w:p w14:paraId="612F4184" w14:textId="77777777" w:rsidR="009D5553" w:rsidRPr="009D5553" w:rsidRDefault="009D5553" w:rsidP="009D5553">
      <w:pPr>
        <w:spacing w:after="240" w:line="276" w:lineRule="auto"/>
        <w:ind w:left="1134" w:hanging="567"/>
        <w:jc w:val="both"/>
        <w:rPr>
          <w:bCs/>
          <w:iCs/>
        </w:rPr>
      </w:pPr>
      <w:r w:rsidRPr="009D5553">
        <w:rPr>
          <w:bCs/>
          <w:iCs/>
        </w:rPr>
        <w:t>37.</w:t>
      </w:r>
      <w:r w:rsidRPr="009D5553">
        <w:rPr>
          <w:bCs/>
          <w:iCs/>
        </w:rPr>
        <w:tab/>
        <w:t>Kanis JA, Johansson H, Harvey NC, Lorentzon M, Liu E, Borgström F, McCloskey EV (2019) Correspondence in response to OSIN-D-18-00831 quantifying imminent risk. Osteoporosis International 30: 525-526</w:t>
      </w:r>
    </w:p>
    <w:p w14:paraId="6CF15D6F" w14:textId="77777777" w:rsidR="009D5553" w:rsidRPr="009D5553" w:rsidRDefault="009D5553" w:rsidP="009D5553">
      <w:pPr>
        <w:spacing w:after="240" w:line="276" w:lineRule="auto"/>
        <w:ind w:left="1134" w:hanging="567"/>
        <w:jc w:val="both"/>
        <w:rPr>
          <w:bCs/>
          <w:iCs/>
        </w:rPr>
      </w:pPr>
      <w:r w:rsidRPr="009D5553">
        <w:rPr>
          <w:bCs/>
          <w:iCs/>
        </w:rPr>
        <w:t>38.</w:t>
      </w:r>
      <w:r w:rsidRPr="009D5553">
        <w:rPr>
          <w:bCs/>
          <w:iCs/>
        </w:rPr>
        <w:tab/>
        <w:t>National Institute for Health and Care Excellence (NICE) (2017) Bisphosphonates for treating osteoporosis.  Technology appraisal guidance 464. National Institute for Health and Care Excellence, London</w:t>
      </w:r>
    </w:p>
    <w:p w14:paraId="029A6E87" w14:textId="77777777" w:rsidR="009D5553" w:rsidRPr="009D5553" w:rsidRDefault="009D5553" w:rsidP="009D5553">
      <w:pPr>
        <w:spacing w:after="240" w:line="276" w:lineRule="auto"/>
        <w:ind w:left="1134" w:hanging="567"/>
        <w:jc w:val="both"/>
        <w:rPr>
          <w:bCs/>
          <w:iCs/>
        </w:rPr>
      </w:pPr>
      <w:r w:rsidRPr="009D5553">
        <w:rPr>
          <w:bCs/>
          <w:iCs/>
        </w:rPr>
        <w:t>39.</w:t>
      </w:r>
      <w:r w:rsidRPr="009D5553">
        <w:rPr>
          <w:bCs/>
          <w:iCs/>
        </w:rPr>
        <w:tab/>
        <w:t>Compston J, Cooper A, Cooper C, Gittoes N, Gregson C, Harvey N, Hope S, Kanis JA, McCloskey EV, Poole KES, Reid DM, Selby P, Thompson F, Thurston A, Vine N: The National Osteoporosis Guideline Group (NOGG) (2017) UK clinical guideline for the prevention and treatment of osteoporosis.  Arch Osteoporos 12: 43.</w:t>
      </w:r>
    </w:p>
    <w:p w14:paraId="798EE69D" w14:textId="77777777" w:rsidR="009D5553" w:rsidRPr="009D5553" w:rsidRDefault="009D5553" w:rsidP="009D5553">
      <w:pPr>
        <w:spacing w:after="240" w:line="276" w:lineRule="auto"/>
        <w:ind w:left="1134" w:hanging="567"/>
        <w:jc w:val="both"/>
        <w:rPr>
          <w:bCs/>
          <w:iCs/>
        </w:rPr>
      </w:pPr>
      <w:r w:rsidRPr="009D5553">
        <w:rPr>
          <w:bCs/>
          <w:iCs/>
        </w:rPr>
        <w:t>40.</w:t>
      </w:r>
      <w:r w:rsidRPr="009D5553">
        <w:rPr>
          <w:bCs/>
          <w:iCs/>
        </w:rPr>
        <w:tab/>
        <w:t>Kanis JA, Rizzoli R, Cooper C, Reginster J-Y (2014) Challenges for the development of bone forming agents in Europe.  Calcified Tissue International 94: 469-473.</w:t>
      </w:r>
    </w:p>
    <w:p w14:paraId="7A32105E" w14:textId="77777777" w:rsidR="009D5553" w:rsidRPr="009D5553" w:rsidRDefault="009D5553" w:rsidP="009D5553">
      <w:pPr>
        <w:spacing w:after="240" w:line="276" w:lineRule="auto"/>
        <w:ind w:left="1134" w:hanging="567"/>
        <w:jc w:val="both"/>
        <w:rPr>
          <w:bCs/>
          <w:iCs/>
        </w:rPr>
      </w:pPr>
      <w:r w:rsidRPr="009D5553">
        <w:rPr>
          <w:bCs/>
          <w:iCs/>
        </w:rPr>
        <w:t>41.</w:t>
      </w:r>
      <w:r w:rsidRPr="009D5553">
        <w:rPr>
          <w:bCs/>
          <w:iCs/>
        </w:rPr>
        <w:tab/>
        <w:t>Beck BR, Daly RM, Singh MA, Taaffe DR (2017) Exercise and Sports Science Australia (ESSA) position statement on exercise prescription for the prevention and management of osteoporosis. J Sci Med Sport 20: 438-445.</w:t>
      </w:r>
    </w:p>
    <w:p w14:paraId="6DAAD650" w14:textId="77777777" w:rsidR="009D5553" w:rsidRPr="009D5553" w:rsidRDefault="009D5553" w:rsidP="009D5553">
      <w:pPr>
        <w:spacing w:after="240" w:line="276" w:lineRule="auto"/>
        <w:ind w:left="1134" w:hanging="567"/>
        <w:jc w:val="both"/>
        <w:rPr>
          <w:bCs/>
          <w:iCs/>
        </w:rPr>
      </w:pPr>
      <w:r w:rsidRPr="009D5553">
        <w:rPr>
          <w:bCs/>
          <w:iCs/>
        </w:rPr>
        <w:t>42.</w:t>
      </w:r>
      <w:r w:rsidRPr="009D5553">
        <w:rPr>
          <w:bCs/>
          <w:iCs/>
        </w:rPr>
        <w:tab/>
        <w:t>Giangregorio L, El-Kotob R (2017) Exercise, muscle, and the applied load-bone strength balance. Osteoporos Int 28: 21-33.</w:t>
      </w:r>
    </w:p>
    <w:p w14:paraId="4DECB81E" w14:textId="77777777" w:rsidR="009D5553" w:rsidRPr="009D5553" w:rsidRDefault="009D5553" w:rsidP="009D5553">
      <w:pPr>
        <w:spacing w:after="240" w:line="276" w:lineRule="auto"/>
        <w:ind w:left="1134" w:hanging="567"/>
        <w:jc w:val="both"/>
        <w:rPr>
          <w:bCs/>
          <w:iCs/>
        </w:rPr>
      </w:pPr>
      <w:r w:rsidRPr="009D5553">
        <w:rPr>
          <w:bCs/>
          <w:iCs/>
        </w:rPr>
        <w:t>43.</w:t>
      </w:r>
      <w:r w:rsidRPr="009D5553">
        <w:rPr>
          <w:bCs/>
          <w:iCs/>
        </w:rPr>
        <w:tab/>
        <w:t>Bian S, Hu J, Zhang K, Wang Y, Yu M, Ma J (2018) Dairy product consumption and risk of hip fracture: a systematic review and meta-analysis. BMC Public Health 18: 165. doi: 10.1186/s12889-018-5041-5.</w:t>
      </w:r>
    </w:p>
    <w:p w14:paraId="0D6036E3" w14:textId="77777777" w:rsidR="009D5553" w:rsidRPr="009D5553" w:rsidRDefault="009D5553" w:rsidP="009D5553">
      <w:pPr>
        <w:spacing w:after="240" w:line="276" w:lineRule="auto"/>
        <w:ind w:left="1134" w:hanging="567"/>
        <w:jc w:val="both"/>
        <w:rPr>
          <w:bCs/>
          <w:iCs/>
        </w:rPr>
      </w:pPr>
      <w:r w:rsidRPr="009D5553">
        <w:rPr>
          <w:bCs/>
          <w:iCs/>
        </w:rPr>
        <w:t>44.</w:t>
      </w:r>
      <w:r w:rsidRPr="009D5553">
        <w:rPr>
          <w:bCs/>
          <w:iCs/>
        </w:rPr>
        <w:tab/>
        <w:t>Jensen AL, Lomborg K, Wind G, Langdahl BL (2014) Effectiveness and characteristics of multifaceted osteoporosis group education - a systematic review. Osteoporos Int 25: 1209-24</w:t>
      </w:r>
    </w:p>
    <w:p w14:paraId="3F2649BA" w14:textId="77777777" w:rsidR="009D5553" w:rsidRPr="009D5553" w:rsidRDefault="009D5553" w:rsidP="009D5553">
      <w:pPr>
        <w:spacing w:after="240" w:line="276" w:lineRule="auto"/>
        <w:ind w:left="1134" w:hanging="567"/>
        <w:jc w:val="both"/>
        <w:rPr>
          <w:bCs/>
          <w:iCs/>
        </w:rPr>
      </w:pPr>
      <w:r w:rsidRPr="009D5553">
        <w:rPr>
          <w:bCs/>
          <w:iCs/>
        </w:rPr>
        <w:t>45.</w:t>
      </w:r>
      <w:r w:rsidRPr="009D5553">
        <w:rPr>
          <w:bCs/>
          <w:iCs/>
        </w:rPr>
        <w:tab/>
        <w:t>Morfeld JC, Vennedey V, Müller D, Pieper D, Stock S (2017) Patient education in osteoporosis prevention: a systematic review focusing on methodological quality of randomised controlled trials. Osteoporos Int 28: 1779-1803.</w:t>
      </w:r>
    </w:p>
    <w:p w14:paraId="3AE7454E" w14:textId="77777777" w:rsidR="009D5553" w:rsidRPr="009D5553" w:rsidRDefault="009D5553" w:rsidP="009D5553">
      <w:pPr>
        <w:spacing w:after="240" w:line="276" w:lineRule="auto"/>
        <w:ind w:left="1134" w:hanging="567"/>
        <w:jc w:val="both"/>
        <w:rPr>
          <w:bCs/>
          <w:iCs/>
        </w:rPr>
      </w:pPr>
      <w:r w:rsidRPr="009D5553">
        <w:rPr>
          <w:bCs/>
          <w:iCs/>
        </w:rPr>
        <w:lastRenderedPageBreak/>
        <w:t>46.</w:t>
      </w:r>
      <w:r w:rsidRPr="009D5553">
        <w:rPr>
          <w:bCs/>
          <w:iCs/>
        </w:rPr>
        <w:tab/>
        <w:t>Zhou X, Deng H, Shen X, Lei Q (2018) Effect of balance training on falls in patients with osteoporosis: A systematic review and meta-analysis. J Rehabil Med 50: 577-581</w:t>
      </w:r>
    </w:p>
    <w:p w14:paraId="555A87EB" w14:textId="77777777" w:rsidR="009D5553" w:rsidRPr="009D5553" w:rsidRDefault="009D5553" w:rsidP="009D5553">
      <w:pPr>
        <w:spacing w:after="240" w:line="276" w:lineRule="auto"/>
        <w:ind w:left="1134" w:hanging="567"/>
        <w:jc w:val="both"/>
        <w:rPr>
          <w:bCs/>
          <w:iCs/>
        </w:rPr>
      </w:pPr>
      <w:r w:rsidRPr="009D5553">
        <w:rPr>
          <w:bCs/>
          <w:iCs/>
        </w:rPr>
        <w:t>47.</w:t>
      </w:r>
      <w:r w:rsidRPr="009D5553">
        <w:rPr>
          <w:bCs/>
          <w:iCs/>
        </w:rPr>
        <w:tab/>
        <w:t>de Souto Barreto P, Rolland Y, Vellas B, Maltais M (2019) Association of long-term exercise training with risk of falls, fractures, hospitalizations, and mortality in older adults: A systematic review and meta-analysis. JAMA Intern Med. 2018 Dec 28. doi: 10.1001/jamainternmed.2018.5406.</w:t>
      </w:r>
    </w:p>
    <w:p w14:paraId="0D1D2042" w14:textId="77777777" w:rsidR="009D5553" w:rsidRPr="009D5553" w:rsidRDefault="009D5553" w:rsidP="009D5553">
      <w:pPr>
        <w:spacing w:after="240" w:line="276" w:lineRule="auto"/>
        <w:ind w:left="1134" w:hanging="567"/>
        <w:jc w:val="both"/>
        <w:rPr>
          <w:bCs/>
          <w:iCs/>
        </w:rPr>
      </w:pPr>
      <w:r w:rsidRPr="009D5553">
        <w:rPr>
          <w:bCs/>
          <w:iCs/>
        </w:rPr>
        <w:t>48.</w:t>
      </w:r>
      <w:r w:rsidRPr="009D5553">
        <w:rPr>
          <w:bCs/>
          <w:iCs/>
        </w:rPr>
        <w:tab/>
        <w:t>Kemmler W, von Stengel S, Kohl M (2017) Exercise frequency and fracture risk in older adults -How often Is enough?  Curr Osteoporos Rep 15: 564-570</w:t>
      </w:r>
    </w:p>
    <w:p w14:paraId="316B4E4F" w14:textId="77777777" w:rsidR="009D5553" w:rsidRPr="009D5553" w:rsidRDefault="009D5553" w:rsidP="009D5553">
      <w:pPr>
        <w:spacing w:after="240" w:line="276" w:lineRule="auto"/>
        <w:ind w:left="1134" w:hanging="567"/>
        <w:jc w:val="both"/>
        <w:rPr>
          <w:bCs/>
          <w:iCs/>
        </w:rPr>
      </w:pPr>
      <w:r w:rsidRPr="009D5553">
        <w:rPr>
          <w:bCs/>
          <w:iCs/>
        </w:rPr>
        <w:t>49.</w:t>
      </w:r>
      <w:r w:rsidRPr="009D5553">
        <w:rPr>
          <w:bCs/>
          <w:iCs/>
        </w:rPr>
        <w:tab/>
        <w:t>Sherrington C, Michaleff ZA, Fairhall N, Paul SS, Tiedemann A, Whitney J, Cumming RG, Herbert RD, Close JCT, Lord SR (2017) Exercise to prevent falls in older adults: an updated systematic review and meta-analysis. Br J Sports Med 51: 1750-1758.</w:t>
      </w:r>
    </w:p>
    <w:p w14:paraId="7CA7E75D" w14:textId="77777777" w:rsidR="009D5553" w:rsidRPr="009D5553" w:rsidRDefault="009D5553" w:rsidP="009D5553">
      <w:pPr>
        <w:spacing w:after="240" w:line="276" w:lineRule="auto"/>
        <w:ind w:left="1134" w:hanging="567"/>
        <w:jc w:val="both"/>
        <w:rPr>
          <w:bCs/>
          <w:iCs/>
        </w:rPr>
      </w:pPr>
      <w:r w:rsidRPr="009D5553">
        <w:rPr>
          <w:bCs/>
          <w:iCs/>
        </w:rPr>
        <w:t>50.</w:t>
      </w:r>
      <w:r w:rsidRPr="009D5553">
        <w:rPr>
          <w:bCs/>
          <w:iCs/>
        </w:rPr>
        <w:tab/>
        <w:t>Tricco AC, Thomas SM, Veroniki AA, Hamid JS, Cogo E, Strifler L, Khan PA, Robson R, Sibley KM, MacDonald H, Riva JJ, Thavorn K, Wilson C, Holroyd-Leduc J, Kerr GD, Feldman F, Majumdar SR, Jaglal SB, Hui W, Straus SE (2017) Comparisons of interventions for preventing falls in older adults: A systematic review and meta-analysis. JAMA 318: 1687-1699</w:t>
      </w:r>
    </w:p>
    <w:p w14:paraId="5063E39B" w14:textId="77777777" w:rsidR="009D5553" w:rsidRPr="009D5553" w:rsidRDefault="009D5553" w:rsidP="009D5553">
      <w:pPr>
        <w:spacing w:after="240" w:line="276" w:lineRule="auto"/>
        <w:ind w:left="1134" w:hanging="567"/>
        <w:jc w:val="both"/>
        <w:rPr>
          <w:bCs/>
          <w:iCs/>
        </w:rPr>
      </w:pPr>
      <w:r w:rsidRPr="009D5553">
        <w:rPr>
          <w:bCs/>
          <w:iCs/>
        </w:rPr>
        <w:t>51.</w:t>
      </w:r>
      <w:r w:rsidRPr="009D5553">
        <w:rPr>
          <w:bCs/>
          <w:iCs/>
        </w:rPr>
        <w:tab/>
        <w:t>McCloskey E, Kanis JA, Johansson Harvey N Odén A, Cooper A, Cooper C, Francis R, Reid D, Selby P, Davies C, Bowring C, Compston (2015) FRAX-based assessment and intervention thresholds--an exploration of thresholds in women aged 50 years and older in the UK. Osteoporos Int 26: 2091-2099.</w:t>
      </w:r>
    </w:p>
    <w:p w14:paraId="231F7EDD" w14:textId="77777777" w:rsidR="009D5553" w:rsidRPr="009D5553" w:rsidRDefault="009D5553" w:rsidP="009D5553">
      <w:pPr>
        <w:spacing w:after="240" w:line="276" w:lineRule="auto"/>
        <w:ind w:left="1134" w:hanging="567"/>
        <w:jc w:val="both"/>
        <w:rPr>
          <w:bCs/>
          <w:iCs/>
        </w:rPr>
      </w:pPr>
      <w:r w:rsidRPr="009D5553">
        <w:rPr>
          <w:bCs/>
          <w:iCs/>
        </w:rPr>
        <w:t>52.</w:t>
      </w:r>
      <w:r w:rsidRPr="009D5553">
        <w:rPr>
          <w:bCs/>
          <w:iCs/>
        </w:rPr>
        <w:tab/>
        <w:t>Lekamwasam S, Adachi JD, Agnusdei D, Bilezikian J, Boonen S, Borgström F, Cooper C, Diez Perez A, Eastell R, Hofbauer L, Kanis JA, Langdahl BL, Lesnyak O, Lorenc R,  McCloskey E, Messina OD, Napoli N, Obermayer-Pietsch B, Ralston SH, Sambrook PN, Silverman S, Sosa M, Stepan J, Suppan G, Wahl DA, Compston JE for the Joint IOF-ECTS GIO Guidelines Working Group (2012) A framework for the development of guidelines for the management of glucocorticoid-induced osteoporosis. Osteoporos Int 23: 2257-76.</w:t>
      </w:r>
    </w:p>
    <w:p w14:paraId="0A5297B1" w14:textId="77777777" w:rsidR="009D5553" w:rsidRPr="009D5553" w:rsidRDefault="009D5553" w:rsidP="009D5553">
      <w:pPr>
        <w:spacing w:after="240" w:line="276" w:lineRule="auto"/>
        <w:ind w:left="1134" w:hanging="567"/>
        <w:jc w:val="both"/>
        <w:rPr>
          <w:bCs/>
          <w:iCs/>
        </w:rPr>
      </w:pPr>
      <w:r w:rsidRPr="009D5553">
        <w:rPr>
          <w:bCs/>
          <w:iCs/>
        </w:rPr>
        <w:t>53.</w:t>
      </w:r>
      <w:r w:rsidRPr="009D5553">
        <w:rPr>
          <w:bCs/>
          <w:iCs/>
        </w:rPr>
        <w:tab/>
        <w:t>Dretakis KE, Dretakis EK, Papakitsou EF, Psarakis S, Steriopoulos K (1998) Possible predisposing factors for the second hip fracture. Calcif Tissue Int 62: 366–369</w:t>
      </w:r>
    </w:p>
    <w:p w14:paraId="1D9205A5" w14:textId="77777777" w:rsidR="009D5553" w:rsidRPr="009D5553" w:rsidRDefault="009D5553" w:rsidP="009D5553">
      <w:pPr>
        <w:spacing w:after="240" w:line="276" w:lineRule="auto"/>
        <w:ind w:left="1134" w:hanging="567"/>
        <w:jc w:val="both"/>
        <w:rPr>
          <w:bCs/>
          <w:iCs/>
        </w:rPr>
      </w:pPr>
      <w:r w:rsidRPr="009D5553">
        <w:rPr>
          <w:bCs/>
          <w:iCs/>
        </w:rPr>
        <w:t>54.</w:t>
      </w:r>
      <w:r w:rsidRPr="009D5553">
        <w:rPr>
          <w:bCs/>
          <w:iCs/>
        </w:rPr>
        <w:tab/>
        <w:t>Lindsay R, Silverman SL, Cooper C, Hanley DA, Barton I, Broy SB, Licata A, Benhamou L, Geusens P, Flowers K, Stracke H, Seeman E (2001) Risk of new vertebral fracture in the year following a fracture. JAMA 285: 320-323</w:t>
      </w:r>
    </w:p>
    <w:p w14:paraId="05EF4218" w14:textId="77777777" w:rsidR="009D5553" w:rsidRPr="009D5553" w:rsidRDefault="009D5553" w:rsidP="009D5553">
      <w:pPr>
        <w:spacing w:after="240" w:line="276" w:lineRule="auto"/>
        <w:ind w:left="1134" w:hanging="567"/>
        <w:jc w:val="both"/>
        <w:rPr>
          <w:bCs/>
          <w:iCs/>
        </w:rPr>
      </w:pPr>
      <w:r w:rsidRPr="009D5553">
        <w:rPr>
          <w:bCs/>
          <w:iCs/>
        </w:rPr>
        <w:t>55.</w:t>
      </w:r>
      <w:r w:rsidRPr="009D5553">
        <w:rPr>
          <w:bCs/>
          <w:iCs/>
        </w:rPr>
        <w:tab/>
        <w:t>Ryg J, Rejnmark L, Overgaard S, Brixen K, Vestergaard P (2009) Hip fracture patients at risk of second hip fracture: a nationwide population-based cohort study of 169,145 cases during 1977-2001. J Bone Miner Res 24: 1299-307</w:t>
      </w:r>
    </w:p>
    <w:p w14:paraId="46C73A35" w14:textId="77777777" w:rsidR="009D5553" w:rsidRPr="009D5553" w:rsidRDefault="009D5553" w:rsidP="009D5553">
      <w:pPr>
        <w:spacing w:after="240" w:line="276" w:lineRule="auto"/>
        <w:ind w:left="1134" w:hanging="567"/>
        <w:jc w:val="both"/>
        <w:rPr>
          <w:bCs/>
          <w:iCs/>
        </w:rPr>
      </w:pPr>
      <w:r w:rsidRPr="009D5553">
        <w:rPr>
          <w:bCs/>
          <w:iCs/>
        </w:rPr>
        <w:lastRenderedPageBreak/>
        <w:t>56.</w:t>
      </w:r>
      <w:r w:rsidRPr="009D5553">
        <w:rPr>
          <w:bCs/>
          <w:iCs/>
        </w:rPr>
        <w:tab/>
        <w:t xml:space="preserve">Banefelt J, Åkesson KE, Spångéus A, Ljunggren O, Karlsson L, Ström O, Ortsäter G, Libanati C, Toth E (2019) Risk of imminent fracture following a previous fracture in a Swedish database study. Osteoporos Int 30: 601-609. </w:t>
      </w:r>
    </w:p>
    <w:p w14:paraId="6410D287" w14:textId="77777777" w:rsidR="009D5553" w:rsidRPr="009D5553" w:rsidRDefault="009D5553" w:rsidP="009D5553">
      <w:pPr>
        <w:spacing w:after="240" w:line="276" w:lineRule="auto"/>
        <w:ind w:left="1134" w:hanging="567"/>
        <w:jc w:val="both"/>
        <w:rPr>
          <w:bCs/>
          <w:iCs/>
        </w:rPr>
      </w:pPr>
      <w:r w:rsidRPr="009D5553">
        <w:rPr>
          <w:bCs/>
          <w:iCs/>
        </w:rPr>
        <w:t>57.</w:t>
      </w:r>
      <w:r w:rsidRPr="009D5553">
        <w:rPr>
          <w:bCs/>
          <w:iCs/>
        </w:rPr>
        <w:tab/>
        <w:t>Balasubramanian A, Zhang J, Chen L, Wenkert D, Daigle SG, Grauer A, Curtis JR (2019) Risk of subsequent fracture after prior fracture among older women. Osteoporos Int 30: 79-92.</w:t>
      </w:r>
    </w:p>
    <w:p w14:paraId="7469659F" w14:textId="77777777" w:rsidR="009D5553" w:rsidRPr="009D5553" w:rsidRDefault="009D5553" w:rsidP="009D5553">
      <w:pPr>
        <w:spacing w:after="240" w:line="276" w:lineRule="auto"/>
        <w:ind w:left="1134" w:hanging="567"/>
        <w:jc w:val="both"/>
        <w:rPr>
          <w:bCs/>
          <w:iCs/>
        </w:rPr>
      </w:pPr>
      <w:r w:rsidRPr="009D5553">
        <w:rPr>
          <w:bCs/>
          <w:iCs/>
        </w:rPr>
        <w:t>58.</w:t>
      </w:r>
      <w:r w:rsidRPr="009D5553">
        <w:rPr>
          <w:bCs/>
          <w:iCs/>
        </w:rPr>
        <w:tab/>
        <w:t>Kanis JA, Johansson H, Odén A, Harvey NC, Gudnason V, Sanders K, Sigurdsson G, Siggeirsdottir K, Borgström F, McCloskey EV (2018) Characteristics of recurrent fractures. Osteoporos Int 29: 1747-1757</w:t>
      </w:r>
    </w:p>
    <w:p w14:paraId="0A6C8A23" w14:textId="77777777" w:rsidR="009D5553" w:rsidRPr="009D5553" w:rsidRDefault="009D5553" w:rsidP="009D5553">
      <w:pPr>
        <w:spacing w:after="240" w:line="276" w:lineRule="auto"/>
        <w:ind w:left="1134" w:hanging="567"/>
        <w:jc w:val="both"/>
        <w:rPr>
          <w:bCs/>
          <w:iCs/>
        </w:rPr>
      </w:pPr>
      <w:r w:rsidRPr="009D5553">
        <w:rPr>
          <w:bCs/>
          <w:iCs/>
        </w:rPr>
        <w:t>59.</w:t>
      </w:r>
      <w:r w:rsidRPr="009D5553">
        <w:rPr>
          <w:bCs/>
          <w:iCs/>
        </w:rPr>
        <w:tab/>
        <w:t>Johansson H, Siggeirsdottir K, Harvey NC, McCloskey EV, Gudnason V, Sigurdsson G, Lorentzon M, Liu E, Kanis JA (2019) Adjusting FRAX for imminent risk. Osteoporos Int, abstract in press.</w:t>
      </w:r>
    </w:p>
    <w:p w14:paraId="00FC207C" w14:textId="77777777" w:rsidR="009D5553" w:rsidRPr="009D5553" w:rsidRDefault="009D5553" w:rsidP="009D5553">
      <w:pPr>
        <w:spacing w:after="240" w:line="276" w:lineRule="auto"/>
        <w:ind w:left="1134" w:hanging="567"/>
        <w:jc w:val="both"/>
        <w:rPr>
          <w:bCs/>
          <w:iCs/>
        </w:rPr>
      </w:pPr>
      <w:r w:rsidRPr="009D5553">
        <w:rPr>
          <w:bCs/>
          <w:iCs/>
        </w:rPr>
        <w:t>60.</w:t>
      </w:r>
      <w:r w:rsidRPr="009D5553">
        <w:rPr>
          <w:bCs/>
          <w:iCs/>
        </w:rPr>
        <w:tab/>
        <w:t>Cosman F, Nieves JW, Dempster DW (2017) Treatment sequence matters: anabolic and antiresorptive therapy for osteoporosis. J Bone Miner Res 32:198–202 270.</w:t>
      </w:r>
    </w:p>
    <w:p w14:paraId="6376D843" w14:textId="77777777" w:rsidR="009D5553" w:rsidRPr="009D5553" w:rsidRDefault="009D5553" w:rsidP="009D5553">
      <w:pPr>
        <w:spacing w:after="240" w:line="276" w:lineRule="auto"/>
        <w:ind w:left="1134" w:hanging="567"/>
        <w:jc w:val="both"/>
        <w:rPr>
          <w:bCs/>
          <w:iCs/>
        </w:rPr>
      </w:pPr>
      <w:r w:rsidRPr="009D5553">
        <w:rPr>
          <w:bCs/>
          <w:iCs/>
        </w:rPr>
        <w:t>61.</w:t>
      </w:r>
      <w:r w:rsidRPr="009D5553">
        <w:rPr>
          <w:bCs/>
          <w:iCs/>
        </w:rPr>
        <w:tab/>
        <w:t>Kanis JA, Cooper C, Rizzoli R, Abrahamsen B, Al-Daghri NM, Brandi ML, Cannata-Andia J, Cortet B, Dimai HP, Ferrari S, Hadji P, Harvey NC, Kraenzlin M, Kurth A, McCloskey E, Minisola S, Thomas T, Reginster JY (2017) Identification and management of patients at increased risk of osteoporotic fracture: outcomes of an ESCEO expert consensus meeting. Osteoporos Int 28:2023–2034</w:t>
      </w:r>
    </w:p>
    <w:p w14:paraId="61536A6A" w14:textId="77777777" w:rsidR="009D5553" w:rsidRPr="009D5553" w:rsidRDefault="009D5553" w:rsidP="009D5553">
      <w:pPr>
        <w:spacing w:after="240" w:line="276" w:lineRule="auto"/>
        <w:ind w:left="1134" w:hanging="567"/>
        <w:jc w:val="both"/>
        <w:rPr>
          <w:bCs/>
          <w:iCs/>
        </w:rPr>
      </w:pPr>
      <w:r w:rsidRPr="009D5553">
        <w:rPr>
          <w:bCs/>
          <w:iCs/>
        </w:rPr>
        <w:t>62.</w:t>
      </w:r>
      <w:r w:rsidRPr="009D5553">
        <w:rPr>
          <w:bCs/>
          <w:iCs/>
        </w:rPr>
        <w:tab/>
        <w:t>Kanis JA, Cooper C, Rizzoli R, Reginster J-Y (2018) Review of the guideline of the American College of Physicians on the treatment of osteoporosis. Osteoporos Int 29:1505–1510</w:t>
      </w:r>
    </w:p>
    <w:p w14:paraId="58265546" w14:textId="77777777" w:rsidR="009D5553" w:rsidRPr="009D5553" w:rsidRDefault="009D5553" w:rsidP="009D5553">
      <w:pPr>
        <w:spacing w:after="240" w:line="276" w:lineRule="auto"/>
        <w:ind w:left="1134" w:hanging="567"/>
        <w:jc w:val="both"/>
        <w:rPr>
          <w:bCs/>
          <w:iCs/>
        </w:rPr>
      </w:pPr>
      <w:r w:rsidRPr="009D5553">
        <w:rPr>
          <w:bCs/>
          <w:iCs/>
        </w:rPr>
        <w:t>63.</w:t>
      </w:r>
      <w:r w:rsidRPr="009D5553">
        <w:rPr>
          <w:bCs/>
          <w:iCs/>
        </w:rPr>
        <w:tab/>
        <w:t>Leder BZ, Tsai JN, Neer RM, Uihlein AV, Wallace PM, BurnettBowie SA (2016) Response to therapy with teriparatide, denosumab, or both in postmenopausal women in the DATA (Denosumab and Teriparatide Administration) study randomized controlled trial. J Clin Densitom 19:346–351</w:t>
      </w:r>
    </w:p>
    <w:p w14:paraId="4EC39C26" w14:textId="51A2466E" w:rsidR="009D5553" w:rsidRDefault="009D5553" w:rsidP="009D5553">
      <w:pPr>
        <w:spacing w:after="240" w:line="276" w:lineRule="auto"/>
        <w:ind w:left="1134" w:hanging="567"/>
        <w:jc w:val="both"/>
        <w:rPr>
          <w:bCs/>
          <w:iCs/>
        </w:rPr>
      </w:pPr>
      <w:r w:rsidRPr="009D5553">
        <w:rPr>
          <w:bCs/>
          <w:iCs/>
        </w:rPr>
        <w:t>64.</w:t>
      </w:r>
      <w:r w:rsidRPr="009D5553">
        <w:rPr>
          <w:bCs/>
          <w:iCs/>
        </w:rPr>
        <w:tab/>
        <w:t>Bone HG, Cosman F, Miller PD, Williams GC, Hattersley G, Hu MY, Fitzpatrick LA, Mitlak B, Papapoulos S, Rizzoli R, Dore RK, Bilezikian JP, Saag KG (2018) ACTIVExtend: 24 months of alendronate after 18 months of abaloparatide or placebo for postmenopausal osteoporosis. J Clin Endocrinol Metab 103:  2949-2957mab or</w:t>
      </w:r>
    </w:p>
    <w:p w14:paraId="12479F33" w14:textId="77777777" w:rsidR="00142AFF" w:rsidRDefault="00142AFF" w:rsidP="00464B62">
      <w:pPr>
        <w:spacing w:after="160" w:line="259" w:lineRule="auto"/>
        <w:ind w:left="567"/>
        <w:rPr>
          <w:rFonts w:eastAsia="Calibri"/>
          <w:b/>
          <w:lang w:eastAsia="en-US"/>
        </w:rPr>
      </w:pPr>
    </w:p>
    <w:p w14:paraId="524DC4F7" w14:textId="77777777" w:rsidR="00142AFF" w:rsidRDefault="00142AFF" w:rsidP="00464B62">
      <w:pPr>
        <w:spacing w:after="160" w:line="259" w:lineRule="auto"/>
        <w:ind w:left="567"/>
        <w:rPr>
          <w:rFonts w:eastAsia="Calibri"/>
          <w:b/>
          <w:lang w:eastAsia="en-US"/>
        </w:rPr>
      </w:pPr>
    </w:p>
    <w:p w14:paraId="295D8DDE" w14:textId="77777777" w:rsidR="00142AFF" w:rsidRDefault="00142AFF" w:rsidP="00464B62">
      <w:pPr>
        <w:spacing w:after="160" w:line="259" w:lineRule="auto"/>
        <w:ind w:left="567"/>
        <w:rPr>
          <w:rFonts w:eastAsia="Calibri"/>
          <w:b/>
          <w:lang w:eastAsia="en-US"/>
        </w:rPr>
      </w:pPr>
    </w:p>
    <w:p w14:paraId="0D12DF70" w14:textId="77777777" w:rsidR="00142AFF" w:rsidRDefault="00142AFF" w:rsidP="00464B62">
      <w:pPr>
        <w:spacing w:after="160" w:line="259" w:lineRule="auto"/>
        <w:ind w:left="567"/>
        <w:rPr>
          <w:rFonts w:eastAsia="Calibri"/>
          <w:b/>
          <w:lang w:eastAsia="en-US"/>
        </w:rPr>
      </w:pPr>
    </w:p>
    <w:p w14:paraId="68718241" w14:textId="77777777" w:rsidR="00142AFF" w:rsidRDefault="00142AFF" w:rsidP="00464B62">
      <w:pPr>
        <w:spacing w:after="160" w:line="259" w:lineRule="auto"/>
        <w:ind w:left="567"/>
        <w:rPr>
          <w:rFonts w:eastAsia="Calibri"/>
          <w:b/>
          <w:lang w:eastAsia="en-US"/>
        </w:rPr>
      </w:pPr>
    </w:p>
    <w:p w14:paraId="5E8AEF65" w14:textId="227A36B3" w:rsidR="00500776" w:rsidRDefault="00500776" w:rsidP="00464B62">
      <w:pPr>
        <w:spacing w:after="160" w:line="259" w:lineRule="auto"/>
        <w:ind w:left="567"/>
        <w:rPr>
          <w:rFonts w:eastAsia="Calibri"/>
          <w:b/>
          <w:lang w:eastAsia="en-US"/>
        </w:rPr>
      </w:pPr>
      <w:r>
        <w:rPr>
          <w:rFonts w:eastAsia="Calibri"/>
          <w:b/>
          <w:lang w:eastAsia="en-US"/>
        </w:rPr>
        <w:lastRenderedPageBreak/>
        <w:t>Appendix A</w:t>
      </w:r>
    </w:p>
    <w:p w14:paraId="7758AC24" w14:textId="33AC1F2B" w:rsidR="00F92E3B" w:rsidRPr="00F92E3B" w:rsidRDefault="00F92E3B" w:rsidP="00F92E3B">
      <w:pPr>
        <w:spacing w:after="0" w:line="276" w:lineRule="auto"/>
        <w:ind w:left="567"/>
        <w:jc w:val="both"/>
        <w:rPr>
          <w:rFonts w:eastAsia="Times New Roman"/>
          <w:bCs/>
          <w:sz w:val="20"/>
          <w:szCs w:val="20"/>
          <w:lang w:eastAsia="fr-FR"/>
        </w:rPr>
      </w:pPr>
      <w:r w:rsidRPr="00F92E3B">
        <w:rPr>
          <w:rFonts w:eastAsia="Times New Roman"/>
          <w:b/>
          <w:sz w:val="20"/>
          <w:szCs w:val="20"/>
          <w:lang w:eastAsia="fr-FR"/>
        </w:rPr>
        <w:t xml:space="preserve">Table </w:t>
      </w:r>
      <w:r w:rsidR="00EB5C0E">
        <w:rPr>
          <w:rFonts w:eastAsia="Times New Roman"/>
          <w:b/>
          <w:sz w:val="20"/>
          <w:szCs w:val="20"/>
          <w:lang w:eastAsia="fr-FR"/>
        </w:rPr>
        <w:t>A1</w:t>
      </w:r>
      <w:r w:rsidRPr="00F92E3B">
        <w:rPr>
          <w:rFonts w:eastAsia="Times New Roman"/>
          <w:b/>
          <w:sz w:val="20"/>
          <w:szCs w:val="20"/>
          <w:lang w:eastAsia="fr-FR"/>
        </w:rPr>
        <w:t xml:space="preserve"> </w:t>
      </w:r>
      <w:r w:rsidRPr="00F92E3B">
        <w:rPr>
          <w:rFonts w:eastAsia="Times New Roman"/>
          <w:sz w:val="20"/>
          <w:szCs w:val="20"/>
          <w:lang w:eastAsia="fr-FR"/>
        </w:rPr>
        <w:t>Intervention</w:t>
      </w:r>
      <w:r w:rsidRPr="00F92E3B">
        <w:rPr>
          <w:rFonts w:eastAsia="Times New Roman"/>
          <w:bCs/>
          <w:sz w:val="20"/>
          <w:szCs w:val="20"/>
          <w:lang w:eastAsia="fr-FR"/>
        </w:rPr>
        <w:t xml:space="preserve"> thresholds as set by</w:t>
      </w:r>
      <w:r w:rsidRPr="00F92E3B">
        <w:rPr>
          <w:rFonts w:eastAsia="Times New Roman"/>
          <w:b/>
          <w:sz w:val="20"/>
          <w:szCs w:val="20"/>
          <w:lang w:eastAsia="fr-FR"/>
        </w:rPr>
        <w:t xml:space="preserve"> </w:t>
      </w:r>
      <w:r w:rsidRPr="00F92E3B">
        <w:rPr>
          <w:rFonts w:eastAsia="Times New Roman"/>
          <w:bCs/>
          <w:sz w:val="20"/>
          <w:szCs w:val="20"/>
          <w:lang w:eastAsia="fr-FR"/>
        </w:rPr>
        <w:t>FRAX-based 10-year probability (%) of a major osteoporotic fracture equivalent to women with a previous fracture (no other clinical risk factors, a body mass index of 24 kg/m</w:t>
      </w:r>
      <w:r w:rsidRPr="00F92E3B">
        <w:rPr>
          <w:rFonts w:eastAsia="Times New Roman"/>
          <w:bCs/>
          <w:sz w:val="20"/>
          <w:szCs w:val="20"/>
          <w:vertAlign w:val="superscript"/>
          <w:lang w:eastAsia="fr-FR"/>
        </w:rPr>
        <w:t>2</w:t>
      </w:r>
      <w:r w:rsidRPr="00F92E3B">
        <w:rPr>
          <w:rFonts w:eastAsia="Times New Roman"/>
          <w:bCs/>
          <w:sz w:val="20"/>
          <w:szCs w:val="20"/>
          <w:lang w:eastAsia="fr-FR"/>
        </w:rPr>
        <w:t xml:space="preserve"> and without BMD). The lower assessment thresholds set by FRAX is based on the 10-year probability (%) of a major osteoporotic fracture equivalent to women without clinical risk factors (a body mass index of 24 kg/m</w:t>
      </w:r>
      <w:r w:rsidRPr="00F92E3B">
        <w:rPr>
          <w:rFonts w:eastAsia="Times New Roman"/>
          <w:bCs/>
          <w:sz w:val="20"/>
          <w:szCs w:val="20"/>
          <w:vertAlign w:val="superscript"/>
          <w:lang w:eastAsia="fr-FR"/>
        </w:rPr>
        <w:t>2</w:t>
      </w:r>
      <w:r w:rsidRPr="00F92E3B">
        <w:rPr>
          <w:rFonts w:eastAsia="Times New Roman"/>
          <w:bCs/>
          <w:sz w:val="20"/>
          <w:szCs w:val="20"/>
          <w:lang w:eastAsia="fr-FR"/>
        </w:rPr>
        <w:t xml:space="preserve"> and without BMD). The upper assessment threshold is set at 1.2 times the intervention threshold. </w:t>
      </w:r>
      <w:r w:rsidR="00B12363">
        <w:rPr>
          <w:rFonts w:eastAsia="Times New Roman"/>
          <w:bCs/>
          <w:sz w:val="20"/>
          <w:szCs w:val="20"/>
          <w:lang w:eastAsia="fr-FR"/>
        </w:rPr>
        <w:t>The UK FRAX model is used</w:t>
      </w:r>
      <w:r w:rsidRPr="00464B62">
        <w:rPr>
          <w:rFonts w:eastAsia="Times New Roman"/>
          <w:sz w:val="24"/>
          <w:szCs w:val="20"/>
          <w:lang w:eastAsia="fr-FR"/>
        </w:rPr>
        <w:t>.</w:t>
      </w:r>
      <w:r w:rsidRPr="00464B62">
        <w:rPr>
          <w:rFonts w:eastAsia="Times New Roman"/>
          <w:bCs/>
          <w:sz w:val="20"/>
          <w:szCs w:val="20"/>
          <w:lang w:eastAsia="fr-FR"/>
        </w:rPr>
        <w:t xml:space="preserve"> From </w:t>
      </w:r>
      <w:r w:rsidRPr="00464B62">
        <w:rPr>
          <w:rFonts w:eastAsia="Times New Roman"/>
          <w:bCs/>
          <w:sz w:val="20"/>
          <w:szCs w:val="20"/>
          <w:lang w:eastAsia="fr-FR"/>
        </w:rPr>
        <w:fldChar w:fldCharType="begin">
          <w:fldData xml:space="preserve">PEVuZE5vdGU+PENpdGU+PEF1dGhvcj5LYW5pczwvQXV0aG9yPjxZZWFyPjIwMTM8L1llYXI+PFJl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PjwvYWx0LXBlcmlvZGljYWw+PHBhZ2VzPjIzLTU3PC9wYWdlcz48dm9sdW1lPjI0PC92b2x1bWU+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</w:fldData>
        </w:fldChar>
      </w:r>
      <w:r w:rsidRPr="00464B62">
        <w:rPr>
          <w:rFonts w:eastAsia="Times New Roman"/>
          <w:bCs/>
          <w:sz w:val="20"/>
          <w:szCs w:val="20"/>
          <w:lang w:eastAsia="fr-FR"/>
        </w:rPr>
        <w:instrText xml:space="preserve"> ADDIN EN.CITE </w:instrText>
      </w:r>
      <w:r w:rsidRPr="00464B62">
        <w:rPr>
          <w:rFonts w:eastAsia="Times New Roman"/>
          <w:bCs/>
          <w:sz w:val="20"/>
          <w:szCs w:val="20"/>
          <w:lang w:eastAsia="fr-FR"/>
        </w:rPr>
        <w:fldChar w:fldCharType="begin">
          <w:fldData xml:space="preserve">PEVuZE5vdGU+PENpdGU+PEF1dGhvcj5LYW5pczwvQXV0aG9yPjxZZWFyPjIwMTM8L1llYXI+PFJl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PjwvYWx0LXBlcmlvZGljYWw+PHBhZ2VzPjIzLTU3PC9wYWdlcz48dm9sdW1lPjI0PC92b2x1bWU+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</w:fldData>
        </w:fldChar>
      </w:r>
      <w:r w:rsidRPr="00464B62">
        <w:rPr>
          <w:rFonts w:eastAsia="Times New Roman"/>
          <w:bCs/>
          <w:sz w:val="20"/>
          <w:szCs w:val="20"/>
          <w:lang w:eastAsia="fr-FR"/>
        </w:rPr>
        <w:instrText xml:space="preserve"> ADDIN EN.CITE.DATA </w:instrText>
      </w:r>
      <w:r w:rsidRPr="00464B62">
        <w:rPr>
          <w:rFonts w:eastAsia="Times New Roman"/>
          <w:bCs/>
          <w:sz w:val="20"/>
          <w:szCs w:val="20"/>
          <w:lang w:eastAsia="fr-FR"/>
        </w:rPr>
      </w:r>
      <w:r w:rsidRPr="00464B62">
        <w:rPr>
          <w:rFonts w:eastAsia="Times New Roman"/>
          <w:bCs/>
          <w:sz w:val="20"/>
          <w:szCs w:val="20"/>
          <w:lang w:eastAsia="fr-FR"/>
        </w:rPr>
        <w:fldChar w:fldCharType="end"/>
      </w:r>
      <w:r w:rsidRPr="00464B62">
        <w:rPr>
          <w:rFonts w:eastAsia="Times New Roman"/>
          <w:bCs/>
          <w:sz w:val="20"/>
          <w:szCs w:val="20"/>
          <w:lang w:eastAsia="fr-FR"/>
        </w:rPr>
      </w:r>
      <w:r w:rsidRPr="00464B62">
        <w:rPr>
          <w:rFonts w:eastAsia="Times New Roman"/>
          <w:bCs/>
          <w:sz w:val="20"/>
          <w:szCs w:val="20"/>
          <w:lang w:eastAsia="fr-FR"/>
        </w:rPr>
        <w:fldChar w:fldCharType="separate"/>
      </w:r>
      <w:r w:rsidRPr="00464B62">
        <w:rPr>
          <w:rFonts w:eastAsia="Times New Roman"/>
          <w:bCs/>
          <w:noProof/>
          <w:sz w:val="20"/>
          <w:szCs w:val="20"/>
          <w:lang w:eastAsia="fr-FR"/>
        </w:rPr>
        <w:t>[</w:t>
      </w:r>
      <w:r w:rsidR="00B84482">
        <w:rPr>
          <w:rFonts w:eastAsia="Times New Roman"/>
          <w:bCs/>
          <w:noProof/>
          <w:sz w:val="20"/>
          <w:szCs w:val="20"/>
          <w:lang w:eastAsia="fr-FR"/>
        </w:rPr>
        <w:t>1</w:t>
      </w:r>
      <w:r w:rsidRPr="00464B62">
        <w:rPr>
          <w:rFonts w:eastAsia="Times New Roman"/>
          <w:bCs/>
          <w:noProof/>
          <w:sz w:val="20"/>
          <w:szCs w:val="20"/>
          <w:lang w:eastAsia="fr-FR"/>
        </w:rPr>
        <w:t>]</w:t>
      </w:r>
      <w:r w:rsidRPr="00464B62">
        <w:rPr>
          <w:rFonts w:eastAsia="Times New Roman"/>
          <w:bCs/>
          <w:sz w:val="20"/>
          <w:szCs w:val="20"/>
          <w:lang w:eastAsia="fr-FR"/>
        </w:rPr>
        <w:fldChar w:fldCharType="end"/>
      </w:r>
      <w:r w:rsidRPr="00464B62">
        <w:rPr>
          <w:rFonts w:eastAsia="Times New Roman"/>
          <w:bCs/>
          <w:sz w:val="20"/>
          <w:szCs w:val="20"/>
          <w:lang w:eastAsia="fr-FR"/>
        </w:rPr>
        <w:t>, with kind permission from Springer Science and Business Media.</w:t>
      </w:r>
    </w:p>
    <w:p w14:paraId="2D70DBA7" w14:textId="5DA75AD3" w:rsidR="00222BA8" w:rsidRDefault="00222BA8" w:rsidP="00E0322D">
      <w:pPr>
        <w:spacing w:after="0" w:line="240" w:lineRule="auto"/>
        <w:ind w:left="720"/>
        <w:rPr>
          <w:bCs/>
        </w:rPr>
      </w:pPr>
    </w:p>
    <w:tbl>
      <w:tblPr>
        <w:tblStyle w:val="TableGrid"/>
        <w:tblW w:w="0" w:type="auto"/>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236"/>
        <w:gridCol w:w="1485"/>
        <w:gridCol w:w="1874"/>
        <w:gridCol w:w="1215"/>
        <w:gridCol w:w="236"/>
        <w:gridCol w:w="2155"/>
      </w:tblGrid>
      <w:tr w:rsidR="00A60966" w:rsidRPr="00A60966" w14:paraId="599411EA" w14:textId="77777777" w:rsidTr="00B466B1">
        <w:tc>
          <w:tcPr>
            <w:tcW w:w="1249" w:type="dxa"/>
          </w:tcPr>
          <w:p w14:paraId="48ACDA45" w14:textId="77777777" w:rsidR="00A60966" w:rsidRPr="00A60966" w:rsidRDefault="00A60966" w:rsidP="00A60966">
            <w:pPr>
              <w:spacing w:after="120" w:line="240" w:lineRule="auto"/>
              <w:rPr>
                <w:b/>
                <w:bCs/>
              </w:rPr>
            </w:pPr>
          </w:p>
        </w:tc>
        <w:tc>
          <w:tcPr>
            <w:tcW w:w="236" w:type="dxa"/>
          </w:tcPr>
          <w:p w14:paraId="2A3E775D" w14:textId="77777777" w:rsidR="00A60966" w:rsidRPr="00A60966" w:rsidRDefault="00A60966" w:rsidP="00A60966">
            <w:pPr>
              <w:spacing w:after="120" w:line="240" w:lineRule="auto"/>
              <w:rPr>
                <w:b/>
                <w:bCs/>
              </w:rPr>
            </w:pPr>
          </w:p>
        </w:tc>
        <w:tc>
          <w:tcPr>
            <w:tcW w:w="4574" w:type="dxa"/>
            <w:gridSpan w:val="3"/>
            <w:tcBorders>
              <w:top w:val="single" w:sz="4" w:space="0" w:color="auto"/>
              <w:bottom w:val="single" w:sz="4" w:space="0" w:color="auto"/>
            </w:tcBorders>
          </w:tcPr>
          <w:p w14:paraId="3975ECA6" w14:textId="77777777" w:rsidR="00A60966" w:rsidRPr="00A60966" w:rsidRDefault="00A60966" w:rsidP="00A60966">
            <w:pPr>
              <w:spacing w:after="120" w:line="240" w:lineRule="auto"/>
              <w:rPr>
                <w:b/>
                <w:bCs/>
              </w:rPr>
            </w:pPr>
            <w:r w:rsidRPr="00A60966">
              <w:rPr>
                <w:rFonts w:eastAsia="SimSun"/>
                <w:b/>
                <w:sz w:val="20"/>
                <w:szCs w:val="20"/>
                <w:lang w:eastAsia="zh-CN" w:bidi="x-none"/>
              </w:rPr>
              <w:t>Ten-year fracture probability (%)</w:t>
            </w:r>
          </w:p>
        </w:tc>
        <w:tc>
          <w:tcPr>
            <w:tcW w:w="236" w:type="dxa"/>
          </w:tcPr>
          <w:p w14:paraId="7C04692E" w14:textId="77777777" w:rsidR="00A60966" w:rsidRPr="00A60966" w:rsidRDefault="00A60966" w:rsidP="00A60966">
            <w:pPr>
              <w:spacing w:after="120" w:line="240" w:lineRule="auto"/>
              <w:rPr>
                <w:b/>
                <w:bCs/>
              </w:rPr>
            </w:pPr>
          </w:p>
        </w:tc>
        <w:tc>
          <w:tcPr>
            <w:tcW w:w="2155" w:type="dxa"/>
          </w:tcPr>
          <w:p w14:paraId="5043F17C" w14:textId="77777777" w:rsidR="00A60966" w:rsidRPr="00A60966" w:rsidRDefault="00A60966" w:rsidP="00A60966">
            <w:pPr>
              <w:spacing w:after="120" w:line="240" w:lineRule="auto"/>
              <w:rPr>
                <w:b/>
                <w:bCs/>
              </w:rPr>
            </w:pPr>
          </w:p>
        </w:tc>
      </w:tr>
      <w:tr w:rsidR="00A60966" w:rsidRPr="00A60966" w14:paraId="3E6FDDFE" w14:textId="77777777" w:rsidTr="00B466B1">
        <w:tc>
          <w:tcPr>
            <w:tcW w:w="1249" w:type="dxa"/>
            <w:tcBorders>
              <w:bottom w:val="single" w:sz="4" w:space="0" w:color="auto"/>
            </w:tcBorders>
          </w:tcPr>
          <w:p w14:paraId="20801F1E" w14:textId="77777777" w:rsidR="00A60966" w:rsidRPr="00A60966" w:rsidRDefault="00A60966" w:rsidP="00A60966">
            <w:pPr>
              <w:spacing w:after="120" w:line="240" w:lineRule="auto"/>
              <w:rPr>
                <w:b/>
                <w:bCs/>
              </w:rPr>
            </w:pPr>
            <w:r w:rsidRPr="00A60966">
              <w:rPr>
                <w:b/>
                <w:bCs/>
              </w:rPr>
              <w:t>Age range</w:t>
            </w:r>
          </w:p>
          <w:p w14:paraId="6E3684F5" w14:textId="77777777" w:rsidR="00A60966" w:rsidRPr="00A60966" w:rsidRDefault="00A60966" w:rsidP="00A60966">
            <w:pPr>
              <w:spacing w:after="120" w:line="240" w:lineRule="auto"/>
              <w:rPr>
                <w:b/>
                <w:bCs/>
              </w:rPr>
            </w:pPr>
            <w:r w:rsidRPr="00A60966">
              <w:rPr>
                <w:b/>
                <w:bCs/>
              </w:rPr>
              <w:t>(years)</w:t>
            </w:r>
          </w:p>
        </w:tc>
        <w:tc>
          <w:tcPr>
            <w:tcW w:w="236" w:type="dxa"/>
            <w:tcBorders>
              <w:bottom w:val="single" w:sz="4" w:space="0" w:color="auto"/>
            </w:tcBorders>
          </w:tcPr>
          <w:p w14:paraId="3C979AA6" w14:textId="77777777" w:rsidR="00A60966" w:rsidRPr="00A60966" w:rsidRDefault="00A60966" w:rsidP="00A60966">
            <w:pPr>
              <w:spacing w:after="120" w:line="240" w:lineRule="auto"/>
              <w:rPr>
                <w:b/>
                <w:bCs/>
              </w:rPr>
            </w:pPr>
          </w:p>
        </w:tc>
        <w:tc>
          <w:tcPr>
            <w:tcW w:w="1485" w:type="dxa"/>
            <w:tcBorders>
              <w:top w:val="single" w:sz="4" w:space="0" w:color="auto"/>
              <w:bottom w:val="single" w:sz="4" w:space="0" w:color="auto"/>
            </w:tcBorders>
          </w:tcPr>
          <w:p w14:paraId="1F149EA9" w14:textId="77777777" w:rsidR="00A60966" w:rsidRPr="00A60966" w:rsidRDefault="00A60966" w:rsidP="00A60966">
            <w:pPr>
              <w:spacing w:after="120" w:line="240" w:lineRule="auto"/>
              <w:rPr>
                <w:b/>
                <w:bCs/>
              </w:rPr>
            </w:pPr>
            <w:r w:rsidRPr="00A60966">
              <w:rPr>
                <w:b/>
                <w:bCs/>
              </w:rPr>
              <w:t>Intervention threshold*</w:t>
            </w:r>
          </w:p>
        </w:tc>
        <w:tc>
          <w:tcPr>
            <w:tcW w:w="1874" w:type="dxa"/>
            <w:tcBorders>
              <w:top w:val="single" w:sz="4" w:space="0" w:color="auto"/>
              <w:bottom w:val="single" w:sz="4" w:space="0" w:color="auto"/>
            </w:tcBorders>
            <w:shd w:val="clear" w:color="auto" w:fill="auto"/>
            <w:vAlign w:val="center"/>
          </w:tcPr>
          <w:p w14:paraId="75177064" w14:textId="77777777" w:rsidR="00A60966" w:rsidRPr="00A60966" w:rsidRDefault="00A60966" w:rsidP="00A60966">
            <w:pPr>
              <w:spacing w:after="120" w:line="240" w:lineRule="auto"/>
              <w:rPr>
                <w:b/>
                <w:bCs/>
              </w:rPr>
            </w:pPr>
            <w:r w:rsidRPr="00A60966">
              <w:rPr>
                <w:rFonts w:eastAsia="SimSun"/>
                <w:b/>
                <w:sz w:val="20"/>
                <w:szCs w:val="20"/>
                <w:lang w:eastAsia="zh-CN" w:bidi="x-none"/>
              </w:rPr>
              <w:t>Lower assessment threshold</w:t>
            </w:r>
          </w:p>
        </w:tc>
        <w:tc>
          <w:tcPr>
            <w:tcW w:w="1215" w:type="dxa"/>
            <w:tcBorders>
              <w:top w:val="single" w:sz="4" w:space="0" w:color="auto"/>
              <w:bottom w:val="single" w:sz="4" w:space="0" w:color="auto"/>
            </w:tcBorders>
          </w:tcPr>
          <w:p w14:paraId="1F3F929C" w14:textId="77777777" w:rsidR="00A60966" w:rsidRPr="00A60966" w:rsidRDefault="00A60966" w:rsidP="00A60966">
            <w:pPr>
              <w:spacing w:after="120" w:line="240" w:lineRule="auto"/>
              <w:rPr>
                <w:b/>
                <w:bCs/>
              </w:rPr>
            </w:pPr>
            <w:r w:rsidRPr="00A60966">
              <w:rPr>
                <w:rFonts w:eastAsia="SimSun"/>
                <w:b/>
                <w:sz w:val="20"/>
                <w:szCs w:val="20"/>
                <w:lang w:eastAsia="zh-CN" w:bidi="x-none"/>
              </w:rPr>
              <w:t>Upper assessment threshold**</w:t>
            </w:r>
          </w:p>
        </w:tc>
        <w:tc>
          <w:tcPr>
            <w:tcW w:w="236" w:type="dxa"/>
            <w:tcBorders>
              <w:bottom w:val="single" w:sz="4" w:space="0" w:color="auto"/>
            </w:tcBorders>
          </w:tcPr>
          <w:p w14:paraId="64E81BE6" w14:textId="77777777" w:rsidR="00A60966" w:rsidRPr="00A60966" w:rsidRDefault="00A60966" w:rsidP="00A60966">
            <w:pPr>
              <w:spacing w:after="120" w:line="240" w:lineRule="auto"/>
              <w:rPr>
                <w:b/>
                <w:bCs/>
              </w:rPr>
            </w:pPr>
          </w:p>
        </w:tc>
        <w:tc>
          <w:tcPr>
            <w:tcW w:w="2155" w:type="dxa"/>
            <w:tcBorders>
              <w:bottom w:val="single" w:sz="4" w:space="0" w:color="auto"/>
            </w:tcBorders>
          </w:tcPr>
          <w:p w14:paraId="37832D5B" w14:textId="77777777" w:rsidR="00A60966" w:rsidRPr="00A60966" w:rsidRDefault="00A60966" w:rsidP="00A60966">
            <w:pPr>
              <w:spacing w:after="120" w:line="240" w:lineRule="auto"/>
              <w:rPr>
                <w:b/>
                <w:bCs/>
              </w:rPr>
            </w:pPr>
            <w:r w:rsidRPr="00A60966">
              <w:rPr>
                <w:b/>
                <w:bCs/>
              </w:rPr>
              <w:t>Lifetime risk at intervention threshold*</w:t>
            </w:r>
          </w:p>
        </w:tc>
      </w:tr>
      <w:tr w:rsidR="00A60966" w:rsidRPr="00A60966" w14:paraId="0D014C3E" w14:textId="77777777" w:rsidTr="00B466B1">
        <w:tc>
          <w:tcPr>
            <w:tcW w:w="1249" w:type="dxa"/>
            <w:tcBorders>
              <w:top w:val="single" w:sz="4" w:space="0" w:color="auto"/>
            </w:tcBorders>
            <w:shd w:val="clear" w:color="auto" w:fill="auto"/>
          </w:tcPr>
          <w:p w14:paraId="64A41C42" w14:textId="77777777" w:rsidR="00A60966" w:rsidRPr="00A60966" w:rsidRDefault="00A60966" w:rsidP="00A60966">
            <w:pPr>
              <w:spacing w:after="120" w:line="240" w:lineRule="auto"/>
              <w:rPr>
                <w:b/>
                <w:bCs/>
              </w:rPr>
            </w:pPr>
            <w:r w:rsidRPr="00A60966">
              <w:rPr>
                <w:color w:val="131413"/>
                <w:sz w:val="20"/>
                <w:szCs w:val="20"/>
                <w:lang w:eastAsia="sv-SE" w:bidi="x-none"/>
              </w:rPr>
              <w:t>50–54</w:t>
            </w:r>
          </w:p>
        </w:tc>
        <w:tc>
          <w:tcPr>
            <w:tcW w:w="236" w:type="dxa"/>
            <w:tcBorders>
              <w:top w:val="single" w:sz="4" w:space="0" w:color="auto"/>
            </w:tcBorders>
          </w:tcPr>
          <w:p w14:paraId="06DCF8A8" w14:textId="77777777" w:rsidR="00A60966" w:rsidRPr="00A60966" w:rsidRDefault="00A60966" w:rsidP="00A60966">
            <w:pPr>
              <w:spacing w:after="120" w:line="240" w:lineRule="auto"/>
              <w:rPr>
                <w:b/>
                <w:bCs/>
              </w:rPr>
            </w:pPr>
          </w:p>
        </w:tc>
        <w:tc>
          <w:tcPr>
            <w:tcW w:w="1485" w:type="dxa"/>
            <w:tcBorders>
              <w:top w:val="single" w:sz="4" w:space="0" w:color="auto"/>
            </w:tcBorders>
            <w:shd w:val="clear" w:color="auto" w:fill="auto"/>
            <w:vAlign w:val="bottom"/>
          </w:tcPr>
          <w:p w14:paraId="663BEEFD" w14:textId="1C07B6BF" w:rsidR="00A60966" w:rsidRPr="00A60966" w:rsidRDefault="00D051A2" w:rsidP="00A60966">
            <w:pPr>
              <w:spacing w:after="120" w:line="240" w:lineRule="auto"/>
              <w:rPr>
                <w:b/>
                <w:bCs/>
              </w:rPr>
            </w:pPr>
            <w:r>
              <w:rPr>
                <w:sz w:val="20"/>
                <w:szCs w:val="20"/>
                <w:lang w:eastAsia="sv-SE" w:bidi="x-none"/>
              </w:rPr>
              <w:t>7.8</w:t>
            </w:r>
          </w:p>
        </w:tc>
        <w:tc>
          <w:tcPr>
            <w:tcW w:w="1874" w:type="dxa"/>
            <w:tcBorders>
              <w:top w:val="single" w:sz="4" w:space="0" w:color="auto"/>
            </w:tcBorders>
            <w:shd w:val="clear" w:color="auto" w:fill="auto"/>
            <w:vAlign w:val="bottom"/>
          </w:tcPr>
          <w:p w14:paraId="244C5553" w14:textId="138F202D" w:rsidR="00A60966" w:rsidRPr="00A60966" w:rsidRDefault="00741DAA" w:rsidP="00A60966">
            <w:pPr>
              <w:spacing w:after="120" w:line="240" w:lineRule="auto"/>
              <w:rPr>
                <w:bCs/>
              </w:rPr>
            </w:pPr>
            <w:r w:rsidRPr="00131842">
              <w:rPr>
                <w:bCs/>
              </w:rPr>
              <w:t>4.0</w:t>
            </w:r>
          </w:p>
        </w:tc>
        <w:tc>
          <w:tcPr>
            <w:tcW w:w="1215" w:type="dxa"/>
            <w:tcBorders>
              <w:top w:val="single" w:sz="4" w:space="0" w:color="auto"/>
            </w:tcBorders>
            <w:vAlign w:val="bottom"/>
          </w:tcPr>
          <w:p w14:paraId="1F721CD5" w14:textId="7AAEDA19" w:rsidR="00A60966" w:rsidRPr="00A60966" w:rsidRDefault="00131842" w:rsidP="00A60966">
            <w:pPr>
              <w:spacing w:after="120" w:line="240" w:lineRule="auto"/>
              <w:rPr>
                <w:bCs/>
              </w:rPr>
            </w:pPr>
            <w:r w:rsidRPr="007F01E5">
              <w:rPr>
                <w:bCs/>
              </w:rPr>
              <w:t>9.4</w:t>
            </w:r>
          </w:p>
        </w:tc>
        <w:tc>
          <w:tcPr>
            <w:tcW w:w="236" w:type="dxa"/>
            <w:tcBorders>
              <w:top w:val="single" w:sz="4" w:space="0" w:color="auto"/>
            </w:tcBorders>
          </w:tcPr>
          <w:p w14:paraId="77C8DC63" w14:textId="77777777" w:rsidR="00A60966" w:rsidRPr="00A60966" w:rsidRDefault="00A60966" w:rsidP="00A60966">
            <w:pPr>
              <w:spacing w:after="120" w:line="240" w:lineRule="auto"/>
              <w:rPr>
                <w:b/>
                <w:bCs/>
              </w:rPr>
            </w:pPr>
          </w:p>
        </w:tc>
        <w:tc>
          <w:tcPr>
            <w:tcW w:w="2155" w:type="dxa"/>
            <w:tcBorders>
              <w:top w:val="single" w:sz="4" w:space="0" w:color="auto"/>
            </w:tcBorders>
          </w:tcPr>
          <w:p w14:paraId="6FBBA6F7" w14:textId="6ACC5132" w:rsidR="00A60966" w:rsidRPr="00A60966" w:rsidRDefault="00A60966" w:rsidP="00A60966">
            <w:pPr>
              <w:spacing w:after="120" w:line="240" w:lineRule="auto"/>
              <w:rPr>
                <w:bCs/>
              </w:rPr>
            </w:pPr>
            <w:r w:rsidRPr="00A60966">
              <w:rPr>
                <w:rFonts w:eastAsia="Calibri"/>
                <w:lang w:eastAsia="en-US"/>
              </w:rPr>
              <w:t>57</w:t>
            </w:r>
          </w:p>
        </w:tc>
      </w:tr>
      <w:tr w:rsidR="00A60966" w:rsidRPr="00A60966" w14:paraId="23D9D1EA" w14:textId="77777777" w:rsidTr="00641260">
        <w:tc>
          <w:tcPr>
            <w:tcW w:w="1249" w:type="dxa"/>
            <w:shd w:val="clear" w:color="auto" w:fill="auto"/>
          </w:tcPr>
          <w:p w14:paraId="05D69967" w14:textId="77777777" w:rsidR="00A60966" w:rsidRPr="00A60966" w:rsidRDefault="00A60966" w:rsidP="00A60966">
            <w:pPr>
              <w:spacing w:after="120" w:line="240" w:lineRule="auto"/>
              <w:rPr>
                <w:b/>
                <w:bCs/>
              </w:rPr>
            </w:pPr>
            <w:r w:rsidRPr="00A60966">
              <w:rPr>
                <w:color w:val="131413"/>
                <w:sz w:val="20"/>
                <w:szCs w:val="20"/>
                <w:lang w:eastAsia="sv-SE" w:bidi="x-none"/>
              </w:rPr>
              <w:t>55–59</w:t>
            </w:r>
          </w:p>
        </w:tc>
        <w:tc>
          <w:tcPr>
            <w:tcW w:w="236" w:type="dxa"/>
          </w:tcPr>
          <w:p w14:paraId="14C7C4B6" w14:textId="77777777" w:rsidR="00A60966" w:rsidRPr="00A60966" w:rsidRDefault="00A60966" w:rsidP="00A60966">
            <w:pPr>
              <w:spacing w:after="120" w:line="240" w:lineRule="auto"/>
              <w:rPr>
                <w:b/>
                <w:bCs/>
              </w:rPr>
            </w:pPr>
          </w:p>
        </w:tc>
        <w:tc>
          <w:tcPr>
            <w:tcW w:w="1485" w:type="dxa"/>
            <w:shd w:val="clear" w:color="auto" w:fill="auto"/>
            <w:vAlign w:val="bottom"/>
          </w:tcPr>
          <w:p w14:paraId="4ED227BF" w14:textId="4F27DF24" w:rsidR="00A60966" w:rsidRPr="00A60966" w:rsidRDefault="003D0CAD" w:rsidP="00A60966">
            <w:pPr>
              <w:spacing w:after="120" w:line="240" w:lineRule="auto"/>
              <w:rPr>
                <w:b/>
                <w:bCs/>
              </w:rPr>
            </w:pPr>
            <w:r>
              <w:rPr>
                <w:sz w:val="20"/>
                <w:szCs w:val="20"/>
                <w:lang w:eastAsia="sv-SE" w:bidi="x-none"/>
              </w:rPr>
              <w:t>11</w:t>
            </w:r>
          </w:p>
        </w:tc>
        <w:tc>
          <w:tcPr>
            <w:tcW w:w="1874" w:type="dxa"/>
            <w:shd w:val="clear" w:color="auto" w:fill="auto"/>
            <w:vAlign w:val="bottom"/>
          </w:tcPr>
          <w:p w14:paraId="6F4BBBFA" w14:textId="05EE9D8E" w:rsidR="00A60966" w:rsidRPr="00A60966" w:rsidRDefault="00E55185" w:rsidP="00A60966">
            <w:pPr>
              <w:spacing w:after="120" w:line="240" w:lineRule="auto"/>
              <w:rPr>
                <w:bCs/>
              </w:rPr>
            </w:pPr>
            <w:r w:rsidRPr="00131842">
              <w:rPr>
                <w:bCs/>
              </w:rPr>
              <w:t>5.3</w:t>
            </w:r>
          </w:p>
        </w:tc>
        <w:tc>
          <w:tcPr>
            <w:tcW w:w="1215" w:type="dxa"/>
            <w:vAlign w:val="bottom"/>
          </w:tcPr>
          <w:p w14:paraId="47774DBF" w14:textId="6DA2D207" w:rsidR="00A60966" w:rsidRPr="00A60966" w:rsidRDefault="00131842" w:rsidP="00A60966">
            <w:pPr>
              <w:spacing w:after="120" w:line="240" w:lineRule="auto"/>
              <w:rPr>
                <w:bCs/>
              </w:rPr>
            </w:pPr>
            <w:r w:rsidRPr="007F01E5">
              <w:rPr>
                <w:bCs/>
              </w:rPr>
              <w:t>13.2</w:t>
            </w:r>
          </w:p>
        </w:tc>
        <w:tc>
          <w:tcPr>
            <w:tcW w:w="236" w:type="dxa"/>
          </w:tcPr>
          <w:p w14:paraId="46EE6FD4" w14:textId="77777777" w:rsidR="00A60966" w:rsidRPr="00A60966" w:rsidRDefault="00A60966" w:rsidP="00A60966">
            <w:pPr>
              <w:spacing w:after="120" w:line="240" w:lineRule="auto"/>
              <w:rPr>
                <w:b/>
                <w:bCs/>
              </w:rPr>
            </w:pPr>
          </w:p>
        </w:tc>
        <w:tc>
          <w:tcPr>
            <w:tcW w:w="2155" w:type="dxa"/>
          </w:tcPr>
          <w:p w14:paraId="4444F0E1" w14:textId="6E7D614F" w:rsidR="00A60966" w:rsidRPr="00A60966" w:rsidRDefault="004C57F4" w:rsidP="00A60966">
            <w:pPr>
              <w:spacing w:after="120" w:line="240" w:lineRule="auto"/>
              <w:rPr>
                <w:bCs/>
              </w:rPr>
            </w:pPr>
            <w:r w:rsidRPr="00186C07">
              <w:rPr>
                <w:bCs/>
              </w:rPr>
              <w:t>54</w:t>
            </w:r>
          </w:p>
        </w:tc>
      </w:tr>
      <w:tr w:rsidR="00A60966" w:rsidRPr="00A60966" w14:paraId="7F357CE7" w14:textId="77777777" w:rsidTr="00641260">
        <w:tc>
          <w:tcPr>
            <w:tcW w:w="1249" w:type="dxa"/>
            <w:shd w:val="clear" w:color="auto" w:fill="auto"/>
          </w:tcPr>
          <w:p w14:paraId="7656C03E" w14:textId="77777777" w:rsidR="00A60966" w:rsidRPr="00A60966" w:rsidRDefault="00A60966" w:rsidP="00A60966">
            <w:pPr>
              <w:spacing w:after="120" w:line="240" w:lineRule="auto"/>
              <w:rPr>
                <w:b/>
                <w:bCs/>
              </w:rPr>
            </w:pPr>
            <w:r w:rsidRPr="00A60966">
              <w:rPr>
                <w:color w:val="131413"/>
                <w:sz w:val="20"/>
                <w:szCs w:val="20"/>
                <w:lang w:eastAsia="sv-SE" w:bidi="x-none"/>
              </w:rPr>
              <w:t>60–64</w:t>
            </w:r>
          </w:p>
        </w:tc>
        <w:tc>
          <w:tcPr>
            <w:tcW w:w="236" w:type="dxa"/>
          </w:tcPr>
          <w:p w14:paraId="7919FA3D" w14:textId="77777777" w:rsidR="00A60966" w:rsidRPr="00A60966" w:rsidRDefault="00A60966" w:rsidP="00A60966">
            <w:pPr>
              <w:spacing w:after="120" w:line="240" w:lineRule="auto"/>
              <w:rPr>
                <w:b/>
                <w:bCs/>
              </w:rPr>
            </w:pPr>
          </w:p>
        </w:tc>
        <w:tc>
          <w:tcPr>
            <w:tcW w:w="1485" w:type="dxa"/>
            <w:shd w:val="clear" w:color="auto" w:fill="auto"/>
            <w:vAlign w:val="bottom"/>
          </w:tcPr>
          <w:p w14:paraId="74A1EFC4" w14:textId="0CB2AA6E" w:rsidR="00A60966" w:rsidRPr="00A60966" w:rsidRDefault="003D0CAD" w:rsidP="00A60966">
            <w:pPr>
              <w:spacing w:after="120" w:line="240" w:lineRule="auto"/>
              <w:rPr>
                <w:b/>
                <w:bCs/>
              </w:rPr>
            </w:pPr>
            <w:r>
              <w:rPr>
                <w:sz w:val="20"/>
                <w:szCs w:val="20"/>
                <w:lang w:eastAsia="sv-SE" w:bidi="x-none"/>
              </w:rPr>
              <w:t>14</w:t>
            </w:r>
          </w:p>
        </w:tc>
        <w:tc>
          <w:tcPr>
            <w:tcW w:w="1874" w:type="dxa"/>
            <w:shd w:val="clear" w:color="auto" w:fill="auto"/>
            <w:vAlign w:val="bottom"/>
          </w:tcPr>
          <w:p w14:paraId="03782AEB" w14:textId="26CA7E54" w:rsidR="00A60966" w:rsidRPr="00A60966" w:rsidRDefault="00E55185" w:rsidP="00A60966">
            <w:pPr>
              <w:spacing w:after="120" w:line="240" w:lineRule="auto"/>
              <w:rPr>
                <w:bCs/>
              </w:rPr>
            </w:pPr>
            <w:r w:rsidRPr="00131842">
              <w:rPr>
                <w:bCs/>
              </w:rPr>
              <w:t>7.3</w:t>
            </w:r>
          </w:p>
        </w:tc>
        <w:tc>
          <w:tcPr>
            <w:tcW w:w="1215" w:type="dxa"/>
            <w:vAlign w:val="bottom"/>
          </w:tcPr>
          <w:p w14:paraId="34131E76" w14:textId="21DB2CE6" w:rsidR="00A60966" w:rsidRPr="00A60966" w:rsidRDefault="007F01E5" w:rsidP="00A60966">
            <w:pPr>
              <w:spacing w:after="120" w:line="240" w:lineRule="auto"/>
              <w:rPr>
                <w:bCs/>
              </w:rPr>
            </w:pPr>
            <w:r w:rsidRPr="007F01E5">
              <w:rPr>
                <w:bCs/>
              </w:rPr>
              <w:t>16.8</w:t>
            </w:r>
          </w:p>
        </w:tc>
        <w:tc>
          <w:tcPr>
            <w:tcW w:w="236" w:type="dxa"/>
          </w:tcPr>
          <w:p w14:paraId="5C846B55" w14:textId="77777777" w:rsidR="00A60966" w:rsidRPr="00A60966" w:rsidRDefault="00A60966" w:rsidP="00A60966">
            <w:pPr>
              <w:spacing w:after="120" w:line="240" w:lineRule="auto"/>
              <w:rPr>
                <w:b/>
                <w:bCs/>
              </w:rPr>
            </w:pPr>
          </w:p>
        </w:tc>
        <w:tc>
          <w:tcPr>
            <w:tcW w:w="2155" w:type="dxa"/>
          </w:tcPr>
          <w:p w14:paraId="5F168D3E" w14:textId="5329D51D" w:rsidR="00A60966" w:rsidRPr="00A60966" w:rsidRDefault="004C57F4" w:rsidP="00A60966">
            <w:pPr>
              <w:spacing w:after="120" w:line="240" w:lineRule="auto"/>
              <w:rPr>
                <w:bCs/>
              </w:rPr>
            </w:pPr>
            <w:r w:rsidRPr="00186C07">
              <w:rPr>
                <w:bCs/>
              </w:rPr>
              <w:t>50</w:t>
            </w:r>
          </w:p>
        </w:tc>
      </w:tr>
      <w:tr w:rsidR="00A60966" w:rsidRPr="00A60966" w14:paraId="46D52B90" w14:textId="77777777" w:rsidTr="00641260">
        <w:tc>
          <w:tcPr>
            <w:tcW w:w="1249" w:type="dxa"/>
            <w:shd w:val="clear" w:color="auto" w:fill="auto"/>
          </w:tcPr>
          <w:p w14:paraId="4205B403" w14:textId="77777777" w:rsidR="00A60966" w:rsidRPr="00A60966" w:rsidRDefault="00A60966" w:rsidP="00A60966">
            <w:pPr>
              <w:spacing w:after="120" w:line="240" w:lineRule="auto"/>
              <w:rPr>
                <w:b/>
                <w:bCs/>
              </w:rPr>
            </w:pPr>
            <w:r w:rsidRPr="00A60966">
              <w:rPr>
                <w:color w:val="131413"/>
                <w:sz w:val="20"/>
                <w:szCs w:val="20"/>
                <w:lang w:eastAsia="sv-SE" w:bidi="x-none"/>
              </w:rPr>
              <w:t>65–69</w:t>
            </w:r>
          </w:p>
        </w:tc>
        <w:tc>
          <w:tcPr>
            <w:tcW w:w="236" w:type="dxa"/>
          </w:tcPr>
          <w:p w14:paraId="6FD7A7EF" w14:textId="77777777" w:rsidR="00A60966" w:rsidRPr="00A60966" w:rsidRDefault="00A60966" w:rsidP="00A60966">
            <w:pPr>
              <w:spacing w:after="120" w:line="240" w:lineRule="auto"/>
              <w:rPr>
                <w:b/>
                <w:bCs/>
              </w:rPr>
            </w:pPr>
          </w:p>
        </w:tc>
        <w:tc>
          <w:tcPr>
            <w:tcW w:w="1485" w:type="dxa"/>
            <w:shd w:val="clear" w:color="auto" w:fill="auto"/>
            <w:vAlign w:val="bottom"/>
          </w:tcPr>
          <w:p w14:paraId="3F527BA7" w14:textId="526202C3" w:rsidR="00A60966" w:rsidRPr="00A60966" w:rsidRDefault="003D0CAD" w:rsidP="00A60966">
            <w:pPr>
              <w:spacing w:after="120" w:line="240" w:lineRule="auto"/>
              <w:rPr>
                <w:b/>
                <w:bCs/>
              </w:rPr>
            </w:pPr>
            <w:r>
              <w:rPr>
                <w:sz w:val="20"/>
                <w:szCs w:val="20"/>
                <w:lang w:eastAsia="sv-SE" w:bidi="x-none"/>
              </w:rPr>
              <w:t>19</w:t>
            </w:r>
          </w:p>
        </w:tc>
        <w:tc>
          <w:tcPr>
            <w:tcW w:w="1874" w:type="dxa"/>
            <w:shd w:val="clear" w:color="auto" w:fill="auto"/>
            <w:vAlign w:val="bottom"/>
          </w:tcPr>
          <w:p w14:paraId="5A5E8B03" w14:textId="3550D47E" w:rsidR="00A60966" w:rsidRPr="00A60966" w:rsidRDefault="00E55185" w:rsidP="00A60966">
            <w:pPr>
              <w:spacing w:after="120" w:line="240" w:lineRule="auto"/>
              <w:rPr>
                <w:bCs/>
              </w:rPr>
            </w:pPr>
            <w:r w:rsidRPr="00131842">
              <w:rPr>
                <w:bCs/>
              </w:rPr>
              <w:t>9.8</w:t>
            </w:r>
          </w:p>
        </w:tc>
        <w:tc>
          <w:tcPr>
            <w:tcW w:w="1215" w:type="dxa"/>
            <w:vAlign w:val="bottom"/>
          </w:tcPr>
          <w:p w14:paraId="7807C7A8" w14:textId="0548C77F" w:rsidR="00A60966" w:rsidRPr="00A60966" w:rsidRDefault="007F01E5" w:rsidP="00A60966">
            <w:pPr>
              <w:spacing w:after="120" w:line="240" w:lineRule="auto"/>
              <w:rPr>
                <w:bCs/>
              </w:rPr>
            </w:pPr>
            <w:r w:rsidRPr="007F01E5">
              <w:rPr>
                <w:bCs/>
              </w:rPr>
              <w:t>22.8</w:t>
            </w:r>
          </w:p>
        </w:tc>
        <w:tc>
          <w:tcPr>
            <w:tcW w:w="236" w:type="dxa"/>
          </w:tcPr>
          <w:p w14:paraId="5D836281" w14:textId="77777777" w:rsidR="00A60966" w:rsidRPr="00A60966" w:rsidRDefault="00A60966" w:rsidP="00A60966">
            <w:pPr>
              <w:spacing w:after="120" w:line="240" w:lineRule="auto"/>
              <w:rPr>
                <w:b/>
                <w:bCs/>
              </w:rPr>
            </w:pPr>
          </w:p>
        </w:tc>
        <w:tc>
          <w:tcPr>
            <w:tcW w:w="2155" w:type="dxa"/>
          </w:tcPr>
          <w:p w14:paraId="1466CD0D" w14:textId="16304370" w:rsidR="00A60966" w:rsidRPr="00A60966" w:rsidRDefault="004C57F4" w:rsidP="00A60966">
            <w:pPr>
              <w:spacing w:after="120" w:line="240" w:lineRule="auto"/>
              <w:rPr>
                <w:bCs/>
              </w:rPr>
            </w:pPr>
            <w:r w:rsidRPr="00186C07">
              <w:rPr>
                <w:bCs/>
              </w:rPr>
              <w:t>47</w:t>
            </w:r>
          </w:p>
        </w:tc>
      </w:tr>
      <w:tr w:rsidR="00A60966" w:rsidRPr="00A60966" w14:paraId="1D66AE70" w14:textId="77777777" w:rsidTr="00641260">
        <w:tc>
          <w:tcPr>
            <w:tcW w:w="1249" w:type="dxa"/>
            <w:shd w:val="clear" w:color="auto" w:fill="auto"/>
          </w:tcPr>
          <w:p w14:paraId="7AF503DB" w14:textId="77777777" w:rsidR="00A60966" w:rsidRPr="00A60966" w:rsidRDefault="00A60966" w:rsidP="00A60966">
            <w:pPr>
              <w:spacing w:after="120" w:line="240" w:lineRule="auto"/>
              <w:rPr>
                <w:b/>
                <w:bCs/>
              </w:rPr>
            </w:pPr>
            <w:r w:rsidRPr="00A60966">
              <w:rPr>
                <w:color w:val="131413"/>
                <w:sz w:val="20"/>
                <w:szCs w:val="20"/>
                <w:lang w:eastAsia="sv-SE" w:bidi="x-none"/>
              </w:rPr>
              <w:t>70–74</w:t>
            </w:r>
          </w:p>
        </w:tc>
        <w:tc>
          <w:tcPr>
            <w:tcW w:w="236" w:type="dxa"/>
          </w:tcPr>
          <w:p w14:paraId="24A1F2E1" w14:textId="77777777" w:rsidR="00A60966" w:rsidRPr="00A60966" w:rsidRDefault="00A60966" w:rsidP="00A60966">
            <w:pPr>
              <w:spacing w:after="120" w:line="240" w:lineRule="auto"/>
              <w:rPr>
                <w:b/>
                <w:bCs/>
              </w:rPr>
            </w:pPr>
          </w:p>
        </w:tc>
        <w:tc>
          <w:tcPr>
            <w:tcW w:w="1485" w:type="dxa"/>
            <w:shd w:val="clear" w:color="auto" w:fill="auto"/>
            <w:vAlign w:val="bottom"/>
          </w:tcPr>
          <w:p w14:paraId="73EF6133" w14:textId="52B8B466" w:rsidR="00A60966" w:rsidRPr="00A60966" w:rsidRDefault="00D60D78" w:rsidP="00A60966">
            <w:pPr>
              <w:spacing w:after="120" w:line="240" w:lineRule="auto"/>
              <w:rPr>
                <w:bCs/>
              </w:rPr>
            </w:pPr>
            <w:r w:rsidRPr="00741DAA">
              <w:rPr>
                <w:sz w:val="20"/>
                <w:szCs w:val="20"/>
                <w:lang w:eastAsia="sv-SE" w:bidi="x-none"/>
              </w:rPr>
              <w:t>22</w:t>
            </w:r>
          </w:p>
        </w:tc>
        <w:tc>
          <w:tcPr>
            <w:tcW w:w="1874" w:type="dxa"/>
            <w:shd w:val="clear" w:color="auto" w:fill="auto"/>
            <w:vAlign w:val="bottom"/>
          </w:tcPr>
          <w:p w14:paraId="4170DBF6" w14:textId="6122934D" w:rsidR="00A60966" w:rsidRPr="00A60966" w:rsidRDefault="00E55185" w:rsidP="00A60966">
            <w:pPr>
              <w:spacing w:after="120" w:line="240" w:lineRule="auto"/>
              <w:rPr>
                <w:bCs/>
              </w:rPr>
            </w:pPr>
            <w:r w:rsidRPr="00131842">
              <w:rPr>
                <w:bCs/>
              </w:rPr>
              <w:t>12</w:t>
            </w:r>
          </w:p>
        </w:tc>
        <w:tc>
          <w:tcPr>
            <w:tcW w:w="1215" w:type="dxa"/>
            <w:vAlign w:val="bottom"/>
          </w:tcPr>
          <w:p w14:paraId="21B33EB7" w14:textId="187D2B9A" w:rsidR="00A60966" w:rsidRPr="00A60966" w:rsidRDefault="007F01E5" w:rsidP="00A60966">
            <w:pPr>
              <w:spacing w:after="120" w:line="240" w:lineRule="auto"/>
              <w:rPr>
                <w:bCs/>
              </w:rPr>
            </w:pPr>
            <w:r w:rsidRPr="007F01E5">
              <w:rPr>
                <w:bCs/>
              </w:rPr>
              <w:t>26.4</w:t>
            </w:r>
          </w:p>
        </w:tc>
        <w:tc>
          <w:tcPr>
            <w:tcW w:w="236" w:type="dxa"/>
          </w:tcPr>
          <w:p w14:paraId="7479BDDB" w14:textId="77777777" w:rsidR="00A60966" w:rsidRPr="00A60966" w:rsidRDefault="00A60966" w:rsidP="00A60966">
            <w:pPr>
              <w:spacing w:after="120" w:line="240" w:lineRule="auto"/>
              <w:rPr>
                <w:b/>
                <w:bCs/>
              </w:rPr>
            </w:pPr>
          </w:p>
        </w:tc>
        <w:tc>
          <w:tcPr>
            <w:tcW w:w="2155" w:type="dxa"/>
          </w:tcPr>
          <w:p w14:paraId="7D75706B" w14:textId="644CC20B" w:rsidR="00A60966" w:rsidRPr="00A60966" w:rsidRDefault="00186C07" w:rsidP="00A60966">
            <w:pPr>
              <w:spacing w:after="120" w:line="240" w:lineRule="auto"/>
              <w:rPr>
                <w:bCs/>
              </w:rPr>
            </w:pPr>
            <w:r w:rsidRPr="00186C07">
              <w:rPr>
                <w:bCs/>
              </w:rPr>
              <w:t>43</w:t>
            </w:r>
          </w:p>
        </w:tc>
      </w:tr>
      <w:tr w:rsidR="00A60966" w:rsidRPr="00A60966" w14:paraId="03F07279" w14:textId="77777777" w:rsidTr="00641260">
        <w:tc>
          <w:tcPr>
            <w:tcW w:w="1249" w:type="dxa"/>
            <w:shd w:val="clear" w:color="auto" w:fill="auto"/>
          </w:tcPr>
          <w:p w14:paraId="073EB204" w14:textId="77777777" w:rsidR="00A60966" w:rsidRPr="00A60966" w:rsidRDefault="00A60966" w:rsidP="00A60966">
            <w:pPr>
              <w:spacing w:after="120" w:line="240" w:lineRule="auto"/>
              <w:rPr>
                <w:b/>
                <w:bCs/>
              </w:rPr>
            </w:pPr>
            <w:r w:rsidRPr="00A60966">
              <w:rPr>
                <w:color w:val="131413"/>
                <w:sz w:val="20"/>
                <w:szCs w:val="20"/>
                <w:lang w:eastAsia="sv-SE" w:bidi="x-none"/>
              </w:rPr>
              <w:t>75–79</w:t>
            </w:r>
          </w:p>
        </w:tc>
        <w:tc>
          <w:tcPr>
            <w:tcW w:w="236" w:type="dxa"/>
          </w:tcPr>
          <w:p w14:paraId="0B400731" w14:textId="77777777" w:rsidR="00A60966" w:rsidRPr="00A60966" w:rsidRDefault="00A60966" w:rsidP="00A60966">
            <w:pPr>
              <w:spacing w:after="120" w:line="240" w:lineRule="auto"/>
              <w:rPr>
                <w:b/>
                <w:bCs/>
              </w:rPr>
            </w:pPr>
          </w:p>
        </w:tc>
        <w:tc>
          <w:tcPr>
            <w:tcW w:w="1485" w:type="dxa"/>
            <w:shd w:val="clear" w:color="auto" w:fill="auto"/>
            <w:vAlign w:val="bottom"/>
          </w:tcPr>
          <w:p w14:paraId="32609E12" w14:textId="1EEAE07C" w:rsidR="00A60966" w:rsidRPr="00A60966" w:rsidRDefault="00D60D78" w:rsidP="00A60966">
            <w:pPr>
              <w:spacing w:after="120" w:line="240" w:lineRule="auto"/>
              <w:rPr>
                <w:bCs/>
              </w:rPr>
            </w:pPr>
            <w:r w:rsidRPr="00741DAA">
              <w:rPr>
                <w:bCs/>
              </w:rPr>
              <w:t>26</w:t>
            </w:r>
          </w:p>
        </w:tc>
        <w:tc>
          <w:tcPr>
            <w:tcW w:w="1874" w:type="dxa"/>
            <w:shd w:val="clear" w:color="auto" w:fill="auto"/>
            <w:vAlign w:val="bottom"/>
          </w:tcPr>
          <w:p w14:paraId="3F9CE604" w14:textId="0971DEB8" w:rsidR="00A60966" w:rsidRPr="00A60966" w:rsidRDefault="00E55185" w:rsidP="00A60966">
            <w:pPr>
              <w:spacing w:after="120" w:line="240" w:lineRule="auto"/>
              <w:rPr>
                <w:bCs/>
              </w:rPr>
            </w:pPr>
            <w:r w:rsidRPr="00131842">
              <w:rPr>
                <w:bCs/>
              </w:rPr>
              <w:t>16</w:t>
            </w:r>
          </w:p>
        </w:tc>
        <w:tc>
          <w:tcPr>
            <w:tcW w:w="1215" w:type="dxa"/>
            <w:vAlign w:val="bottom"/>
          </w:tcPr>
          <w:p w14:paraId="0130FA41" w14:textId="075EDC99" w:rsidR="00A60966" w:rsidRPr="00A60966" w:rsidRDefault="007F01E5" w:rsidP="00A60966">
            <w:pPr>
              <w:spacing w:after="120" w:line="240" w:lineRule="auto"/>
              <w:rPr>
                <w:bCs/>
              </w:rPr>
            </w:pPr>
            <w:r w:rsidRPr="007F01E5">
              <w:rPr>
                <w:bCs/>
              </w:rPr>
              <w:t>31.2</w:t>
            </w:r>
          </w:p>
        </w:tc>
        <w:tc>
          <w:tcPr>
            <w:tcW w:w="236" w:type="dxa"/>
          </w:tcPr>
          <w:p w14:paraId="4EFD3813" w14:textId="77777777" w:rsidR="00A60966" w:rsidRPr="00A60966" w:rsidRDefault="00A60966" w:rsidP="00A60966">
            <w:pPr>
              <w:spacing w:after="120" w:line="240" w:lineRule="auto"/>
              <w:rPr>
                <w:b/>
                <w:bCs/>
              </w:rPr>
            </w:pPr>
          </w:p>
        </w:tc>
        <w:tc>
          <w:tcPr>
            <w:tcW w:w="2155" w:type="dxa"/>
          </w:tcPr>
          <w:p w14:paraId="635D0E0A" w14:textId="4078B087" w:rsidR="00A60966" w:rsidRPr="00A60966" w:rsidRDefault="00186C07" w:rsidP="00A60966">
            <w:pPr>
              <w:spacing w:after="120" w:line="240" w:lineRule="auto"/>
              <w:rPr>
                <w:bCs/>
              </w:rPr>
            </w:pPr>
            <w:r w:rsidRPr="00186C07">
              <w:rPr>
                <w:bCs/>
              </w:rPr>
              <w:t>39</w:t>
            </w:r>
          </w:p>
        </w:tc>
      </w:tr>
      <w:tr w:rsidR="00A60966" w:rsidRPr="00A60966" w14:paraId="7CE3DF6F" w14:textId="77777777" w:rsidTr="00641260">
        <w:tc>
          <w:tcPr>
            <w:tcW w:w="1249" w:type="dxa"/>
            <w:shd w:val="clear" w:color="auto" w:fill="auto"/>
          </w:tcPr>
          <w:p w14:paraId="3A644175" w14:textId="77777777" w:rsidR="00A60966" w:rsidRPr="00A60966" w:rsidRDefault="00A60966" w:rsidP="00A60966">
            <w:pPr>
              <w:spacing w:after="120" w:line="240" w:lineRule="auto"/>
              <w:rPr>
                <w:b/>
                <w:bCs/>
              </w:rPr>
            </w:pPr>
            <w:r w:rsidRPr="00A60966">
              <w:rPr>
                <w:color w:val="131413"/>
                <w:sz w:val="20"/>
                <w:szCs w:val="20"/>
                <w:lang w:eastAsia="sv-SE" w:bidi="x-none"/>
              </w:rPr>
              <w:t>80–84</w:t>
            </w:r>
          </w:p>
        </w:tc>
        <w:tc>
          <w:tcPr>
            <w:tcW w:w="236" w:type="dxa"/>
          </w:tcPr>
          <w:p w14:paraId="332FF381" w14:textId="77777777" w:rsidR="00A60966" w:rsidRPr="00A60966" w:rsidRDefault="00A60966" w:rsidP="00A60966">
            <w:pPr>
              <w:spacing w:after="120" w:line="240" w:lineRule="auto"/>
              <w:rPr>
                <w:b/>
                <w:bCs/>
              </w:rPr>
            </w:pPr>
          </w:p>
        </w:tc>
        <w:tc>
          <w:tcPr>
            <w:tcW w:w="1485" w:type="dxa"/>
            <w:shd w:val="clear" w:color="auto" w:fill="auto"/>
            <w:vAlign w:val="bottom"/>
          </w:tcPr>
          <w:p w14:paraId="519D7913" w14:textId="69C3D9A8" w:rsidR="00A60966" w:rsidRPr="00A60966" w:rsidRDefault="00D60D78" w:rsidP="00A60966">
            <w:pPr>
              <w:spacing w:after="120" w:line="240" w:lineRule="auto"/>
              <w:rPr>
                <w:bCs/>
              </w:rPr>
            </w:pPr>
            <w:r w:rsidRPr="00741DAA">
              <w:rPr>
                <w:bCs/>
              </w:rPr>
              <w:t>31</w:t>
            </w:r>
          </w:p>
        </w:tc>
        <w:tc>
          <w:tcPr>
            <w:tcW w:w="1874" w:type="dxa"/>
            <w:shd w:val="clear" w:color="auto" w:fill="auto"/>
            <w:vAlign w:val="bottom"/>
          </w:tcPr>
          <w:p w14:paraId="213AA63F" w14:textId="13A1F27A" w:rsidR="00A60966" w:rsidRPr="00A60966" w:rsidRDefault="00E55185" w:rsidP="00A60966">
            <w:pPr>
              <w:spacing w:after="120" w:line="240" w:lineRule="auto"/>
              <w:rPr>
                <w:bCs/>
              </w:rPr>
            </w:pPr>
            <w:r w:rsidRPr="00131842">
              <w:rPr>
                <w:bCs/>
              </w:rPr>
              <w:t>20</w:t>
            </w:r>
          </w:p>
        </w:tc>
        <w:tc>
          <w:tcPr>
            <w:tcW w:w="1215" w:type="dxa"/>
            <w:vAlign w:val="bottom"/>
          </w:tcPr>
          <w:p w14:paraId="62087848" w14:textId="49497354" w:rsidR="00A60966" w:rsidRPr="00A60966" w:rsidRDefault="007F01E5" w:rsidP="00A60966">
            <w:pPr>
              <w:spacing w:after="120" w:line="240" w:lineRule="auto"/>
              <w:rPr>
                <w:bCs/>
              </w:rPr>
            </w:pPr>
            <w:r w:rsidRPr="007F01E5">
              <w:rPr>
                <w:bCs/>
              </w:rPr>
              <w:t>37.2</w:t>
            </w:r>
          </w:p>
        </w:tc>
        <w:tc>
          <w:tcPr>
            <w:tcW w:w="236" w:type="dxa"/>
          </w:tcPr>
          <w:p w14:paraId="79FB413D" w14:textId="77777777" w:rsidR="00A60966" w:rsidRPr="00A60966" w:rsidRDefault="00A60966" w:rsidP="00A60966">
            <w:pPr>
              <w:spacing w:after="120" w:line="240" w:lineRule="auto"/>
              <w:rPr>
                <w:b/>
                <w:bCs/>
              </w:rPr>
            </w:pPr>
          </w:p>
        </w:tc>
        <w:tc>
          <w:tcPr>
            <w:tcW w:w="2155" w:type="dxa"/>
          </w:tcPr>
          <w:p w14:paraId="3702AE42" w14:textId="64A14904" w:rsidR="00A60966" w:rsidRPr="00A60966" w:rsidRDefault="00186C07" w:rsidP="00A60966">
            <w:pPr>
              <w:spacing w:after="120" w:line="240" w:lineRule="auto"/>
              <w:rPr>
                <w:bCs/>
              </w:rPr>
            </w:pPr>
            <w:r w:rsidRPr="00186C07">
              <w:rPr>
                <w:bCs/>
              </w:rPr>
              <w:t>36</w:t>
            </w:r>
          </w:p>
        </w:tc>
      </w:tr>
      <w:tr w:rsidR="00A60966" w:rsidRPr="00A60966" w14:paraId="69C1F86A" w14:textId="77777777" w:rsidTr="00641260">
        <w:tc>
          <w:tcPr>
            <w:tcW w:w="1249" w:type="dxa"/>
            <w:shd w:val="clear" w:color="auto" w:fill="auto"/>
          </w:tcPr>
          <w:p w14:paraId="4CFF8DC6" w14:textId="77777777" w:rsidR="00A60966" w:rsidRPr="00A60966" w:rsidRDefault="00A60966" w:rsidP="00A60966">
            <w:pPr>
              <w:spacing w:after="120" w:line="240" w:lineRule="auto"/>
              <w:rPr>
                <w:b/>
                <w:bCs/>
              </w:rPr>
            </w:pPr>
            <w:r w:rsidRPr="00A60966">
              <w:rPr>
                <w:color w:val="131413"/>
                <w:sz w:val="20"/>
                <w:szCs w:val="20"/>
                <w:lang w:eastAsia="sv-SE" w:bidi="x-none"/>
              </w:rPr>
              <w:t>85-89</w:t>
            </w:r>
          </w:p>
        </w:tc>
        <w:tc>
          <w:tcPr>
            <w:tcW w:w="236" w:type="dxa"/>
          </w:tcPr>
          <w:p w14:paraId="02EEC6DD" w14:textId="77777777" w:rsidR="00A60966" w:rsidRPr="00A60966" w:rsidRDefault="00A60966" w:rsidP="00A60966">
            <w:pPr>
              <w:spacing w:after="120" w:line="240" w:lineRule="auto"/>
              <w:rPr>
                <w:b/>
                <w:bCs/>
              </w:rPr>
            </w:pPr>
          </w:p>
        </w:tc>
        <w:tc>
          <w:tcPr>
            <w:tcW w:w="1485" w:type="dxa"/>
            <w:shd w:val="clear" w:color="auto" w:fill="auto"/>
            <w:vAlign w:val="bottom"/>
          </w:tcPr>
          <w:p w14:paraId="1D4FCF46" w14:textId="32C69C24" w:rsidR="00A60966" w:rsidRPr="00A60966" w:rsidRDefault="00741DAA" w:rsidP="00A60966">
            <w:pPr>
              <w:spacing w:after="120" w:line="240" w:lineRule="auto"/>
              <w:rPr>
                <w:bCs/>
              </w:rPr>
            </w:pPr>
            <w:r w:rsidRPr="00741DAA">
              <w:rPr>
                <w:bCs/>
              </w:rPr>
              <w:t>33</w:t>
            </w:r>
          </w:p>
        </w:tc>
        <w:tc>
          <w:tcPr>
            <w:tcW w:w="1874" w:type="dxa"/>
            <w:shd w:val="clear" w:color="auto" w:fill="auto"/>
            <w:vAlign w:val="bottom"/>
          </w:tcPr>
          <w:p w14:paraId="19CF72BF" w14:textId="18068332" w:rsidR="00A60966" w:rsidRPr="00A60966" w:rsidRDefault="00E55185" w:rsidP="00A60966">
            <w:pPr>
              <w:spacing w:after="120" w:line="240" w:lineRule="auto"/>
              <w:rPr>
                <w:bCs/>
              </w:rPr>
            </w:pPr>
            <w:r w:rsidRPr="00131842">
              <w:rPr>
                <w:bCs/>
              </w:rPr>
              <w:t>18</w:t>
            </w:r>
          </w:p>
        </w:tc>
        <w:tc>
          <w:tcPr>
            <w:tcW w:w="1215" w:type="dxa"/>
            <w:vAlign w:val="bottom"/>
          </w:tcPr>
          <w:p w14:paraId="4671CA59" w14:textId="4E5E1007" w:rsidR="00A60966" w:rsidRPr="00A60966" w:rsidRDefault="007F01E5" w:rsidP="00A60966">
            <w:pPr>
              <w:spacing w:after="120" w:line="240" w:lineRule="auto"/>
              <w:rPr>
                <w:bCs/>
              </w:rPr>
            </w:pPr>
            <w:r w:rsidRPr="007F01E5">
              <w:rPr>
                <w:bCs/>
              </w:rPr>
              <w:t>39.6</w:t>
            </w:r>
          </w:p>
        </w:tc>
        <w:tc>
          <w:tcPr>
            <w:tcW w:w="236" w:type="dxa"/>
          </w:tcPr>
          <w:p w14:paraId="166CA4AE" w14:textId="77777777" w:rsidR="00A60966" w:rsidRPr="00A60966" w:rsidRDefault="00A60966" w:rsidP="00A60966">
            <w:pPr>
              <w:spacing w:after="120" w:line="240" w:lineRule="auto"/>
              <w:rPr>
                <w:b/>
                <w:bCs/>
              </w:rPr>
            </w:pPr>
          </w:p>
        </w:tc>
        <w:tc>
          <w:tcPr>
            <w:tcW w:w="2155" w:type="dxa"/>
          </w:tcPr>
          <w:p w14:paraId="60F673B6" w14:textId="7FEC695B" w:rsidR="00A60966" w:rsidRPr="00A60966" w:rsidRDefault="00186C07" w:rsidP="00A60966">
            <w:pPr>
              <w:spacing w:after="120" w:line="240" w:lineRule="auto"/>
              <w:rPr>
                <w:bCs/>
              </w:rPr>
            </w:pPr>
            <w:r w:rsidRPr="00186C07">
              <w:rPr>
                <w:bCs/>
              </w:rPr>
              <w:t>34</w:t>
            </w:r>
          </w:p>
        </w:tc>
      </w:tr>
    </w:tbl>
    <w:p w14:paraId="3ECE9960" w14:textId="77777777" w:rsidR="006F28B0" w:rsidRPr="00E0322D" w:rsidRDefault="006F28B0" w:rsidP="006F28B0">
      <w:pPr>
        <w:spacing w:after="0" w:line="240" w:lineRule="auto"/>
        <w:ind w:left="720"/>
        <w:rPr>
          <w:bCs/>
        </w:rPr>
      </w:pPr>
      <w:r>
        <w:rPr>
          <w:b/>
          <w:bCs/>
        </w:rPr>
        <w:t xml:space="preserve">  </w:t>
      </w:r>
      <w:r w:rsidRPr="000A2E16">
        <w:rPr>
          <w:b/>
          <w:bCs/>
        </w:rPr>
        <w:t>*</w:t>
      </w:r>
      <w:r>
        <w:rPr>
          <w:b/>
          <w:bCs/>
        </w:rPr>
        <w:t xml:space="preserve"> </w:t>
      </w:r>
      <w:r>
        <w:rPr>
          <w:bCs/>
        </w:rPr>
        <w:t>T</w:t>
      </w:r>
      <w:r w:rsidRPr="00E0322D">
        <w:rPr>
          <w:bCs/>
        </w:rPr>
        <w:t>hreshold for high risk</w:t>
      </w:r>
    </w:p>
    <w:p w14:paraId="16DEC607" w14:textId="77777777" w:rsidR="006F28B0" w:rsidRDefault="006F28B0" w:rsidP="006F28B0">
      <w:pPr>
        <w:spacing w:after="0" w:line="240" w:lineRule="auto"/>
        <w:ind w:left="720"/>
        <w:rPr>
          <w:bCs/>
        </w:rPr>
      </w:pPr>
      <w:r>
        <w:rPr>
          <w:b/>
          <w:bCs/>
        </w:rPr>
        <w:t xml:space="preserve">** </w:t>
      </w:r>
      <w:r>
        <w:rPr>
          <w:bCs/>
        </w:rPr>
        <w:t>T</w:t>
      </w:r>
      <w:r w:rsidRPr="00E0322D">
        <w:rPr>
          <w:bCs/>
        </w:rPr>
        <w:t>hreshold for very high risk</w:t>
      </w:r>
    </w:p>
    <w:p w14:paraId="53A8AD59" w14:textId="77777777" w:rsidR="003145B4" w:rsidRPr="000A2E16" w:rsidRDefault="003145B4" w:rsidP="00AA7A48">
      <w:pPr>
        <w:spacing w:after="120"/>
        <w:ind w:left="567"/>
        <w:rPr>
          <w:b/>
          <w:bCs/>
        </w:rPr>
      </w:pPr>
    </w:p>
    <w:p w14:paraId="073B72B2" w14:textId="77777777" w:rsidR="00B506B8" w:rsidRDefault="00B506B8">
      <w:pPr>
        <w:spacing w:after="0" w:line="240" w:lineRule="auto"/>
        <w:rPr>
          <w:b/>
          <w:color w:val="000000"/>
        </w:rPr>
      </w:pPr>
    </w:p>
    <w:p w14:paraId="71F79BE8" w14:textId="77777777" w:rsidR="00B506B8" w:rsidRDefault="00B506B8">
      <w:pPr>
        <w:spacing w:after="0" w:line="240" w:lineRule="auto"/>
        <w:rPr>
          <w:b/>
          <w:color w:val="000000"/>
        </w:rPr>
      </w:pPr>
    </w:p>
    <w:p w14:paraId="7EBD9763" w14:textId="299A8833" w:rsidR="004B03C6" w:rsidRDefault="004B03C6">
      <w:pPr>
        <w:spacing w:after="0" w:line="240" w:lineRule="auto"/>
        <w:rPr>
          <w:color w:val="000000"/>
        </w:rPr>
      </w:pPr>
      <w:r w:rsidRPr="00A95D22">
        <w:rPr>
          <w:b/>
          <w:color w:val="000000"/>
        </w:rPr>
        <w:t>Table A</w:t>
      </w:r>
      <w:r w:rsidR="00D66E48">
        <w:rPr>
          <w:b/>
          <w:color w:val="000000"/>
        </w:rPr>
        <w:t>2</w:t>
      </w:r>
      <w:r>
        <w:rPr>
          <w:color w:val="000000"/>
        </w:rPr>
        <w:t xml:space="preserve">  </w:t>
      </w:r>
      <w:r w:rsidR="00C74D39">
        <w:rPr>
          <w:color w:val="000000"/>
        </w:rPr>
        <w:t xml:space="preserve"> </w:t>
      </w:r>
      <w:r>
        <w:rPr>
          <w:color w:val="000000"/>
        </w:rPr>
        <w:t>Pharmaceutical interventions used in the management of postmenopausal osteoporosis.  The list is not comprehensive but includes agents approved in Europe, the US and mem</w:t>
      </w:r>
      <w:r w:rsidR="00CD207C">
        <w:rPr>
          <w:color w:val="000000"/>
        </w:rPr>
        <w:t>b</w:t>
      </w:r>
      <w:r>
        <w:rPr>
          <w:color w:val="000000"/>
        </w:rPr>
        <w:t>er countries represented by the authors.</w:t>
      </w:r>
      <w:r w:rsidR="00F451A4">
        <w:rPr>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4769"/>
      </w:tblGrid>
      <w:tr w:rsidR="004C155D" w14:paraId="11754828" w14:textId="77777777" w:rsidTr="00CD621C">
        <w:tc>
          <w:tcPr>
            <w:tcW w:w="3964" w:type="dxa"/>
            <w:tcBorders>
              <w:top w:val="single" w:sz="4" w:space="0" w:color="auto"/>
            </w:tcBorders>
          </w:tcPr>
          <w:p w14:paraId="185B4314" w14:textId="2AB66C50" w:rsidR="004C155D" w:rsidRDefault="002E70DE" w:rsidP="00C4466A">
            <w:pPr>
              <w:spacing w:after="0" w:line="276" w:lineRule="auto"/>
              <w:rPr>
                <w:b/>
                <w:bCs/>
              </w:rPr>
            </w:pPr>
            <w:r>
              <w:rPr>
                <w:b/>
                <w:bCs/>
              </w:rPr>
              <w:t>Inhibitors of bone resorption</w:t>
            </w:r>
          </w:p>
        </w:tc>
        <w:tc>
          <w:tcPr>
            <w:tcW w:w="284" w:type="dxa"/>
            <w:tcBorders>
              <w:top w:val="single" w:sz="4" w:space="0" w:color="auto"/>
            </w:tcBorders>
          </w:tcPr>
          <w:p w14:paraId="00291296" w14:textId="77777777" w:rsidR="004C155D" w:rsidRDefault="004C155D" w:rsidP="00C4466A">
            <w:pPr>
              <w:spacing w:after="0" w:line="276" w:lineRule="auto"/>
              <w:rPr>
                <w:b/>
                <w:bCs/>
              </w:rPr>
            </w:pPr>
          </w:p>
        </w:tc>
        <w:tc>
          <w:tcPr>
            <w:tcW w:w="4769" w:type="dxa"/>
            <w:tcBorders>
              <w:top w:val="single" w:sz="4" w:space="0" w:color="auto"/>
            </w:tcBorders>
          </w:tcPr>
          <w:p w14:paraId="42BAC06F" w14:textId="6506659C" w:rsidR="004C155D" w:rsidRDefault="00F239B1" w:rsidP="00C4466A">
            <w:pPr>
              <w:spacing w:after="0" w:line="276" w:lineRule="auto"/>
              <w:rPr>
                <w:b/>
                <w:bCs/>
              </w:rPr>
            </w:pPr>
            <w:r>
              <w:rPr>
                <w:b/>
                <w:bCs/>
              </w:rPr>
              <w:t>Stimulators of bone formation</w:t>
            </w:r>
          </w:p>
        </w:tc>
      </w:tr>
      <w:tr w:rsidR="004C155D" w14:paraId="344214F5" w14:textId="77777777" w:rsidTr="00485CBF">
        <w:tc>
          <w:tcPr>
            <w:tcW w:w="3964" w:type="dxa"/>
          </w:tcPr>
          <w:p w14:paraId="5B5DE29F" w14:textId="49B68E1B" w:rsidR="004C155D" w:rsidRPr="00382349" w:rsidRDefault="00CE2FF3" w:rsidP="00C4466A">
            <w:pPr>
              <w:spacing w:after="0" w:line="276" w:lineRule="auto"/>
              <w:rPr>
                <w:bCs/>
                <w:i/>
              </w:rPr>
            </w:pPr>
            <w:r w:rsidRPr="00382349">
              <w:rPr>
                <w:bCs/>
                <w:i/>
              </w:rPr>
              <w:t xml:space="preserve">Vitamin D </w:t>
            </w:r>
            <w:r w:rsidR="005519B1" w:rsidRPr="00382349">
              <w:rPr>
                <w:bCs/>
                <w:i/>
              </w:rPr>
              <w:t>derivatives</w:t>
            </w:r>
          </w:p>
        </w:tc>
        <w:tc>
          <w:tcPr>
            <w:tcW w:w="284" w:type="dxa"/>
          </w:tcPr>
          <w:p w14:paraId="3BCBE187" w14:textId="77777777" w:rsidR="004C155D" w:rsidRDefault="004C155D" w:rsidP="00C4466A">
            <w:pPr>
              <w:spacing w:after="0" w:line="276" w:lineRule="auto"/>
              <w:rPr>
                <w:b/>
                <w:bCs/>
              </w:rPr>
            </w:pPr>
          </w:p>
        </w:tc>
        <w:tc>
          <w:tcPr>
            <w:tcW w:w="4769" w:type="dxa"/>
          </w:tcPr>
          <w:p w14:paraId="1797C3E0" w14:textId="5C523197" w:rsidR="004C155D" w:rsidRPr="00FB7BAC" w:rsidRDefault="004C155D" w:rsidP="00C4466A">
            <w:pPr>
              <w:spacing w:after="0" w:line="276" w:lineRule="auto"/>
              <w:rPr>
                <w:bCs/>
              </w:rPr>
            </w:pPr>
          </w:p>
        </w:tc>
      </w:tr>
      <w:tr w:rsidR="004C155D" w14:paraId="59F45BBA" w14:textId="77777777" w:rsidTr="00485CBF">
        <w:tc>
          <w:tcPr>
            <w:tcW w:w="3964" w:type="dxa"/>
          </w:tcPr>
          <w:p w14:paraId="662AD7C3" w14:textId="54AC2F9C" w:rsidR="004C155D" w:rsidRPr="00382349" w:rsidRDefault="00F451A4" w:rsidP="00C4466A">
            <w:pPr>
              <w:spacing w:after="0" w:line="276" w:lineRule="auto"/>
              <w:rPr>
                <w:bCs/>
              </w:rPr>
            </w:pPr>
            <w:r>
              <w:rPr>
                <w:bCs/>
              </w:rPr>
              <w:t>A</w:t>
            </w:r>
            <w:r w:rsidR="005519B1" w:rsidRPr="00382349">
              <w:rPr>
                <w:bCs/>
              </w:rPr>
              <w:t>lfacalcidol</w:t>
            </w:r>
          </w:p>
        </w:tc>
        <w:tc>
          <w:tcPr>
            <w:tcW w:w="284" w:type="dxa"/>
          </w:tcPr>
          <w:p w14:paraId="14A44F1A" w14:textId="77777777" w:rsidR="004C155D" w:rsidRDefault="004C155D" w:rsidP="00C4466A">
            <w:pPr>
              <w:spacing w:after="0" w:line="276" w:lineRule="auto"/>
              <w:rPr>
                <w:b/>
                <w:bCs/>
              </w:rPr>
            </w:pPr>
          </w:p>
        </w:tc>
        <w:tc>
          <w:tcPr>
            <w:tcW w:w="4769" w:type="dxa"/>
          </w:tcPr>
          <w:p w14:paraId="7E7B4433" w14:textId="1D69FAC5" w:rsidR="004C155D" w:rsidRDefault="00FB7BAC" w:rsidP="00C4466A">
            <w:pPr>
              <w:spacing w:after="0" w:line="276" w:lineRule="auto"/>
              <w:rPr>
                <w:b/>
                <w:bCs/>
              </w:rPr>
            </w:pPr>
            <w:r w:rsidRPr="00FB7BAC">
              <w:rPr>
                <w:bCs/>
              </w:rPr>
              <w:t>Abaloparatide</w:t>
            </w:r>
          </w:p>
        </w:tc>
      </w:tr>
      <w:tr w:rsidR="00FB7BAC" w14:paraId="69D1F367" w14:textId="77777777" w:rsidTr="00485CBF">
        <w:tc>
          <w:tcPr>
            <w:tcW w:w="3964" w:type="dxa"/>
          </w:tcPr>
          <w:p w14:paraId="0E6FCA83" w14:textId="02733025" w:rsidR="00FB7BAC" w:rsidRPr="00382349" w:rsidRDefault="00F451A4" w:rsidP="00C4466A">
            <w:pPr>
              <w:spacing w:after="0" w:line="276" w:lineRule="auto"/>
              <w:rPr>
                <w:bCs/>
              </w:rPr>
            </w:pPr>
            <w:r>
              <w:rPr>
                <w:bCs/>
              </w:rPr>
              <w:t>C</w:t>
            </w:r>
            <w:r w:rsidR="00FB7BAC" w:rsidRPr="00382349">
              <w:rPr>
                <w:bCs/>
              </w:rPr>
              <w:t>alcidiol</w:t>
            </w:r>
          </w:p>
        </w:tc>
        <w:tc>
          <w:tcPr>
            <w:tcW w:w="284" w:type="dxa"/>
          </w:tcPr>
          <w:p w14:paraId="71B8B231" w14:textId="77777777" w:rsidR="00FB7BAC" w:rsidRDefault="00FB7BAC" w:rsidP="00C4466A">
            <w:pPr>
              <w:spacing w:after="0" w:line="276" w:lineRule="auto"/>
              <w:rPr>
                <w:b/>
                <w:bCs/>
              </w:rPr>
            </w:pPr>
          </w:p>
        </w:tc>
        <w:tc>
          <w:tcPr>
            <w:tcW w:w="4769" w:type="dxa"/>
          </w:tcPr>
          <w:p w14:paraId="55990141" w14:textId="4E4EEC63" w:rsidR="00FB7BAC" w:rsidRDefault="00880E08" w:rsidP="00C4466A">
            <w:pPr>
              <w:spacing w:after="0" w:line="276" w:lineRule="auto"/>
              <w:rPr>
                <w:b/>
                <w:bCs/>
              </w:rPr>
            </w:pPr>
            <w:r>
              <w:rPr>
                <w:bCs/>
              </w:rPr>
              <w:t xml:space="preserve">Teriparatide </w:t>
            </w:r>
            <w:r w:rsidR="00FB7BAC" w:rsidRPr="00FB7BAC">
              <w:rPr>
                <w:bCs/>
              </w:rPr>
              <w:t>(including biosimilars)</w:t>
            </w:r>
          </w:p>
        </w:tc>
      </w:tr>
      <w:tr w:rsidR="00FB7BAC" w14:paraId="49CBC63C" w14:textId="77777777" w:rsidTr="00485CBF">
        <w:tc>
          <w:tcPr>
            <w:tcW w:w="3964" w:type="dxa"/>
          </w:tcPr>
          <w:p w14:paraId="367399A0" w14:textId="6E1BB113" w:rsidR="00FB7BAC" w:rsidRPr="00382349" w:rsidRDefault="00F451A4" w:rsidP="00C4466A">
            <w:pPr>
              <w:spacing w:after="0" w:line="276" w:lineRule="auto"/>
              <w:rPr>
                <w:bCs/>
              </w:rPr>
            </w:pPr>
            <w:r>
              <w:rPr>
                <w:bCs/>
              </w:rPr>
              <w:t>C</w:t>
            </w:r>
            <w:r w:rsidR="00FB7BAC" w:rsidRPr="00382349">
              <w:rPr>
                <w:bCs/>
              </w:rPr>
              <w:t>alcitriol</w:t>
            </w:r>
          </w:p>
        </w:tc>
        <w:tc>
          <w:tcPr>
            <w:tcW w:w="284" w:type="dxa"/>
          </w:tcPr>
          <w:p w14:paraId="0BD9557C" w14:textId="77777777" w:rsidR="00FB7BAC" w:rsidRDefault="00FB7BAC" w:rsidP="00C4466A">
            <w:pPr>
              <w:spacing w:after="0" w:line="276" w:lineRule="auto"/>
              <w:rPr>
                <w:b/>
                <w:bCs/>
              </w:rPr>
            </w:pPr>
          </w:p>
        </w:tc>
        <w:tc>
          <w:tcPr>
            <w:tcW w:w="4769" w:type="dxa"/>
          </w:tcPr>
          <w:p w14:paraId="2BB13F07" w14:textId="7EDCB44D" w:rsidR="00FB7BAC" w:rsidRPr="00C24287" w:rsidRDefault="0025136C" w:rsidP="00C4466A">
            <w:pPr>
              <w:spacing w:after="0" w:line="276" w:lineRule="auto"/>
              <w:rPr>
                <w:bCs/>
              </w:rPr>
            </w:pPr>
            <w:r w:rsidRPr="00C24287">
              <w:rPr>
                <w:bCs/>
              </w:rPr>
              <w:t>Romosozuma</w:t>
            </w:r>
            <w:r w:rsidR="00C24287" w:rsidRPr="00C24287">
              <w:rPr>
                <w:bCs/>
              </w:rPr>
              <w:t>b</w:t>
            </w:r>
          </w:p>
        </w:tc>
      </w:tr>
      <w:tr w:rsidR="00FB7BAC" w14:paraId="5496D035" w14:textId="77777777" w:rsidTr="00485CBF">
        <w:tc>
          <w:tcPr>
            <w:tcW w:w="3964" w:type="dxa"/>
          </w:tcPr>
          <w:p w14:paraId="2980CBB5" w14:textId="77777777" w:rsidR="00FB7BAC" w:rsidRDefault="00FB7BAC" w:rsidP="00C4466A">
            <w:pPr>
              <w:spacing w:after="0" w:line="276" w:lineRule="auto"/>
              <w:rPr>
                <w:b/>
                <w:bCs/>
              </w:rPr>
            </w:pPr>
          </w:p>
        </w:tc>
        <w:tc>
          <w:tcPr>
            <w:tcW w:w="284" w:type="dxa"/>
          </w:tcPr>
          <w:p w14:paraId="4D13A569" w14:textId="77777777" w:rsidR="00FB7BAC" w:rsidRDefault="00FB7BAC" w:rsidP="00C4466A">
            <w:pPr>
              <w:spacing w:after="0" w:line="276" w:lineRule="auto"/>
              <w:rPr>
                <w:b/>
                <w:bCs/>
              </w:rPr>
            </w:pPr>
          </w:p>
        </w:tc>
        <w:tc>
          <w:tcPr>
            <w:tcW w:w="4769" w:type="dxa"/>
          </w:tcPr>
          <w:p w14:paraId="05BD9200" w14:textId="77777777" w:rsidR="00FB7BAC" w:rsidRDefault="00FB7BAC" w:rsidP="00C4466A">
            <w:pPr>
              <w:spacing w:after="0" w:line="276" w:lineRule="auto"/>
              <w:rPr>
                <w:b/>
                <w:bCs/>
              </w:rPr>
            </w:pPr>
          </w:p>
        </w:tc>
      </w:tr>
      <w:tr w:rsidR="00FB7BAC" w14:paraId="2AF367B3" w14:textId="77777777" w:rsidTr="00485CBF">
        <w:tc>
          <w:tcPr>
            <w:tcW w:w="3964" w:type="dxa"/>
          </w:tcPr>
          <w:p w14:paraId="38BE62A9" w14:textId="0F71A844" w:rsidR="00FB7BAC" w:rsidRPr="00165566" w:rsidRDefault="00FB7BAC" w:rsidP="00C4466A">
            <w:pPr>
              <w:spacing w:after="0" w:line="276" w:lineRule="auto"/>
              <w:rPr>
                <w:bCs/>
                <w:i/>
              </w:rPr>
            </w:pPr>
            <w:r w:rsidRPr="00165566">
              <w:rPr>
                <w:bCs/>
                <w:i/>
              </w:rPr>
              <w:t>Bisphosphonates</w:t>
            </w:r>
          </w:p>
        </w:tc>
        <w:tc>
          <w:tcPr>
            <w:tcW w:w="284" w:type="dxa"/>
          </w:tcPr>
          <w:p w14:paraId="7ADBCC53" w14:textId="77777777" w:rsidR="00FB7BAC" w:rsidRDefault="00FB7BAC" w:rsidP="00C4466A">
            <w:pPr>
              <w:spacing w:after="0" w:line="276" w:lineRule="auto"/>
              <w:rPr>
                <w:b/>
                <w:bCs/>
              </w:rPr>
            </w:pPr>
          </w:p>
        </w:tc>
        <w:tc>
          <w:tcPr>
            <w:tcW w:w="4769" w:type="dxa"/>
          </w:tcPr>
          <w:p w14:paraId="5D3A91AC" w14:textId="77777777" w:rsidR="00FB7BAC" w:rsidRDefault="00FB7BAC" w:rsidP="00C4466A">
            <w:pPr>
              <w:spacing w:after="0" w:line="276" w:lineRule="auto"/>
              <w:rPr>
                <w:b/>
                <w:bCs/>
              </w:rPr>
            </w:pPr>
          </w:p>
        </w:tc>
      </w:tr>
      <w:tr w:rsidR="00FB7BAC" w14:paraId="4E1AF658" w14:textId="77777777" w:rsidTr="00485CBF">
        <w:tc>
          <w:tcPr>
            <w:tcW w:w="3964" w:type="dxa"/>
          </w:tcPr>
          <w:p w14:paraId="56DE0D4D" w14:textId="42449CFF" w:rsidR="00FB7BAC" w:rsidRPr="004627C5" w:rsidRDefault="00FB7BAC" w:rsidP="00C4466A">
            <w:pPr>
              <w:spacing w:after="0" w:line="276" w:lineRule="auto"/>
              <w:rPr>
                <w:bCs/>
              </w:rPr>
            </w:pPr>
            <w:r w:rsidRPr="004627C5">
              <w:rPr>
                <w:bCs/>
              </w:rPr>
              <w:t>Alendronate (including effervescent formulation)</w:t>
            </w:r>
          </w:p>
        </w:tc>
        <w:tc>
          <w:tcPr>
            <w:tcW w:w="284" w:type="dxa"/>
          </w:tcPr>
          <w:p w14:paraId="1FB1238F" w14:textId="77777777" w:rsidR="00FB7BAC" w:rsidRDefault="00FB7BAC" w:rsidP="00C4466A">
            <w:pPr>
              <w:spacing w:after="0" w:line="276" w:lineRule="auto"/>
              <w:rPr>
                <w:b/>
                <w:bCs/>
              </w:rPr>
            </w:pPr>
          </w:p>
        </w:tc>
        <w:tc>
          <w:tcPr>
            <w:tcW w:w="4769" w:type="dxa"/>
          </w:tcPr>
          <w:p w14:paraId="69ADDD98" w14:textId="77777777" w:rsidR="00FB7BAC" w:rsidRDefault="00FB7BAC" w:rsidP="00C4466A">
            <w:pPr>
              <w:spacing w:after="0" w:line="276" w:lineRule="auto"/>
              <w:rPr>
                <w:b/>
                <w:bCs/>
              </w:rPr>
            </w:pPr>
          </w:p>
        </w:tc>
      </w:tr>
      <w:tr w:rsidR="00FB7BAC" w14:paraId="1E67905E" w14:textId="77777777" w:rsidTr="00485CBF">
        <w:tc>
          <w:tcPr>
            <w:tcW w:w="3964" w:type="dxa"/>
          </w:tcPr>
          <w:p w14:paraId="713C32B8" w14:textId="09D461F6" w:rsidR="00FB7BAC" w:rsidRPr="004627C5" w:rsidRDefault="00FB7BAC" w:rsidP="00C4466A">
            <w:pPr>
              <w:spacing w:after="0" w:line="276" w:lineRule="auto"/>
              <w:rPr>
                <w:bCs/>
              </w:rPr>
            </w:pPr>
            <w:r w:rsidRPr="004627C5">
              <w:rPr>
                <w:bCs/>
              </w:rPr>
              <w:t>Clodronate</w:t>
            </w:r>
          </w:p>
        </w:tc>
        <w:tc>
          <w:tcPr>
            <w:tcW w:w="284" w:type="dxa"/>
          </w:tcPr>
          <w:p w14:paraId="2D72AD3D" w14:textId="77777777" w:rsidR="00FB7BAC" w:rsidRDefault="00FB7BAC" w:rsidP="00C4466A">
            <w:pPr>
              <w:spacing w:after="0" w:line="276" w:lineRule="auto"/>
              <w:rPr>
                <w:b/>
                <w:bCs/>
              </w:rPr>
            </w:pPr>
          </w:p>
        </w:tc>
        <w:tc>
          <w:tcPr>
            <w:tcW w:w="4769" w:type="dxa"/>
          </w:tcPr>
          <w:p w14:paraId="236CC252" w14:textId="7FD6A6A6" w:rsidR="00FB7BAC" w:rsidRDefault="0041702F" w:rsidP="00C4466A">
            <w:pPr>
              <w:spacing w:after="0" w:line="276" w:lineRule="auto"/>
              <w:rPr>
                <w:b/>
                <w:bCs/>
              </w:rPr>
            </w:pPr>
            <w:r>
              <w:rPr>
                <w:b/>
                <w:bCs/>
              </w:rPr>
              <w:t>Uncertain action</w:t>
            </w:r>
          </w:p>
        </w:tc>
      </w:tr>
      <w:tr w:rsidR="00FB7BAC" w14:paraId="4D99F28D" w14:textId="77777777" w:rsidTr="00485CBF">
        <w:tc>
          <w:tcPr>
            <w:tcW w:w="3964" w:type="dxa"/>
          </w:tcPr>
          <w:p w14:paraId="73F220C7" w14:textId="52477C6B" w:rsidR="00FB7BAC" w:rsidRPr="004627C5" w:rsidRDefault="00FB7BAC" w:rsidP="00C4466A">
            <w:pPr>
              <w:spacing w:after="0" w:line="276" w:lineRule="auto"/>
              <w:rPr>
                <w:bCs/>
              </w:rPr>
            </w:pPr>
            <w:r>
              <w:rPr>
                <w:bCs/>
              </w:rPr>
              <w:t>Neridronate</w:t>
            </w:r>
          </w:p>
        </w:tc>
        <w:tc>
          <w:tcPr>
            <w:tcW w:w="284" w:type="dxa"/>
          </w:tcPr>
          <w:p w14:paraId="2AE071BF" w14:textId="77777777" w:rsidR="00FB7BAC" w:rsidRDefault="00FB7BAC" w:rsidP="00C4466A">
            <w:pPr>
              <w:spacing w:after="0" w:line="276" w:lineRule="auto"/>
              <w:rPr>
                <w:b/>
                <w:bCs/>
              </w:rPr>
            </w:pPr>
          </w:p>
        </w:tc>
        <w:tc>
          <w:tcPr>
            <w:tcW w:w="4769" w:type="dxa"/>
          </w:tcPr>
          <w:p w14:paraId="7F78852C" w14:textId="27D01AB3" w:rsidR="00FB7BAC" w:rsidRPr="0041702F" w:rsidRDefault="0041702F" w:rsidP="00C4466A">
            <w:pPr>
              <w:spacing w:after="0" w:line="276" w:lineRule="auto"/>
              <w:rPr>
                <w:bCs/>
              </w:rPr>
            </w:pPr>
            <w:r w:rsidRPr="0041702F">
              <w:rPr>
                <w:bCs/>
              </w:rPr>
              <w:t>Strontium ranelate</w:t>
            </w:r>
          </w:p>
        </w:tc>
      </w:tr>
      <w:tr w:rsidR="00FB7BAC" w14:paraId="6B233230" w14:textId="77777777" w:rsidTr="00485CBF">
        <w:tc>
          <w:tcPr>
            <w:tcW w:w="3964" w:type="dxa"/>
          </w:tcPr>
          <w:p w14:paraId="29601569" w14:textId="53A02340" w:rsidR="00FB7BAC" w:rsidRPr="004627C5" w:rsidRDefault="00FB7BAC" w:rsidP="00C4466A">
            <w:pPr>
              <w:spacing w:after="0" w:line="276" w:lineRule="auto"/>
              <w:rPr>
                <w:bCs/>
              </w:rPr>
            </w:pPr>
            <w:r w:rsidRPr="004627C5">
              <w:rPr>
                <w:bCs/>
              </w:rPr>
              <w:lastRenderedPageBreak/>
              <w:t>Risedronate (including gastric resistant formulation)</w:t>
            </w:r>
          </w:p>
        </w:tc>
        <w:tc>
          <w:tcPr>
            <w:tcW w:w="284" w:type="dxa"/>
          </w:tcPr>
          <w:p w14:paraId="6622200E" w14:textId="77777777" w:rsidR="00FB7BAC" w:rsidRDefault="00FB7BAC" w:rsidP="00C4466A">
            <w:pPr>
              <w:spacing w:after="0" w:line="276" w:lineRule="auto"/>
              <w:rPr>
                <w:b/>
                <w:bCs/>
              </w:rPr>
            </w:pPr>
          </w:p>
        </w:tc>
        <w:tc>
          <w:tcPr>
            <w:tcW w:w="4769" w:type="dxa"/>
          </w:tcPr>
          <w:p w14:paraId="46349ACB" w14:textId="77777777" w:rsidR="00FB7BAC" w:rsidRDefault="00FB7BAC" w:rsidP="00C4466A">
            <w:pPr>
              <w:spacing w:after="0" w:line="276" w:lineRule="auto"/>
              <w:rPr>
                <w:b/>
                <w:bCs/>
              </w:rPr>
            </w:pPr>
          </w:p>
        </w:tc>
      </w:tr>
      <w:tr w:rsidR="00FB7BAC" w14:paraId="05BE3B3A" w14:textId="77777777" w:rsidTr="00485CBF">
        <w:tc>
          <w:tcPr>
            <w:tcW w:w="3964" w:type="dxa"/>
          </w:tcPr>
          <w:p w14:paraId="2AC2DDD4" w14:textId="032A939D" w:rsidR="00FB7BAC" w:rsidRPr="00791EEE" w:rsidRDefault="00B27250" w:rsidP="00C4466A">
            <w:pPr>
              <w:spacing w:after="0" w:line="276" w:lineRule="auto"/>
              <w:rPr>
                <w:bCs/>
              </w:rPr>
            </w:pPr>
            <w:r w:rsidRPr="00791EEE">
              <w:rPr>
                <w:bCs/>
              </w:rPr>
              <w:t>Ibandronate</w:t>
            </w:r>
          </w:p>
        </w:tc>
        <w:tc>
          <w:tcPr>
            <w:tcW w:w="284" w:type="dxa"/>
          </w:tcPr>
          <w:p w14:paraId="10C4DC9E" w14:textId="77777777" w:rsidR="00FB7BAC" w:rsidRDefault="00FB7BAC" w:rsidP="00C4466A">
            <w:pPr>
              <w:spacing w:after="0" w:line="276" w:lineRule="auto"/>
              <w:rPr>
                <w:b/>
                <w:bCs/>
              </w:rPr>
            </w:pPr>
          </w:p>
        </w:tc>
        <w:tc>
          <w:tcPr>
            <w:tcW w:w="4769" w:type="dxa"/>
          </w:tcPr>
          <w:p w14:paraId="6B5061A1" w14:textId="77777777" w:rsidR="00FB7BAC" w:rsidRDefault="00FB7BAC" w:rsidP="00C4466A">
            <w:pPr>
              <w:spacing w:after="0" w:line="276" w:lineRule="auto"/>
              <w:rPr>
                <w:b/>
                <w:bCs/>
              </w:rPr>
            </w:pPr>
          </w:p>
        </w:tc>
      </w:tr>
      <w:tr w:rsidR="0035411F" w14:paraId="79E3E14F" w14:textId="77777777" w:rsidTr="00485CBF">
        <w:tc>
          <w:tcPr>
            <w:tcW w:w="3964" w:type="dxa"/>
          </w:tcPr>
          <w:p w14:paraId="5A7508A5" w14:textId="034B75D3" w:rsidR="0035411F" w:rsidRPr="00791EEE" w:rsidRDefault="00B27250" w:rsidP="00C4466A">
            <w:pPr>
              <w:spacing w:after="0" w:line="276" w:lineRule="auto"/>
              <w:rPr>
                <w:bCs/>
              </w:rPr>
            </w:pPr>
            <w:r w:rsidRPr="00791EEE">
              <w:rPr>
                <w:bCs/>
              </w:rPr>
              <w:t>Zoledron</w:t>
            </w:r>
            <w:r w:rsidR="003B44CA">
              <w:rPr>
                <w:bCs/>
              </w:rPr>
              <w:t>ate</w:t>
            </w:r>
          </w:p>
        </w:tc>
        <w:tc>
          <w:tcPr>
            <w:tcW w:w="284" w:type="dxa"/>
          </w:tcPr>
          <w:p w14:paraId="56D99B06" w14:textId="77777777" w:rsidR="0035411F" w:rsidRDefault="0035411F" w:rsidP="00C4466A">
            <w:pPr>
              <w:spacing w:after="0" w:line="276" w:lineRule="auto"/>
              <w:rPr>
                <w:b/>
                <w:bCs/>
              </w:rPr>
            </w:pPr>
          </w:p>
        </w:tc>
        <w:tc>
          <w:tcPr>
            <w:tcW w:w="4769" w:type="dxa"/>
          </w:tcPr>
          <w:p w14:paraId="751D2365" w14:textId="77777777" w:rsidR="0035411F" w:rsidRDefault="0035411F" w:rsidP="00C4466A">
            <w:pPr>
              <w:spacing w:after="0" w:line="276" w:lineRule="auto"/>
              <w:rPr>
                <w:b/>
                <w:bCs/>
              </w:rPr>
            </w:pPr>
          </w:p>
        </w:tc>
      </w:tr>
      <w:tr w:rsidR="0035411F" w14:paraId="159CBAF2" w14:textId="77777777" w:rsidTr="00485CBF">
        <w:tc>
          <w:tcPr>
            <w:tcW w:w="3964" w:type="dxa"/>
          </w:tcPr>
          <w:p w14:paraId="7C36A9A1" w14:textId="77777777" w:rsidR="0035411F" w:rsidRDefault="0035411F" w:rsidP="00C4466A">
            <w:pPr>
              <w:spacing w:after="0" w:line="276" w:lineRule="auto"/>
              <w:rPr>
                <w:b/>
                <w:bCs/>
              </w:rPr>
            </w:pPr>
          </w:p>
        </w:tc>
        <w:tc>
          <w:tcPr>
            <w:tcW w:w="284" w:type="dxa"/>
          </w:tcPr>
          <w:p w14:paraId="5816786D" w14:textId="77777777" w:rsidR="0035411F" w:rsidRDefault="0035411F" w:rsidP="00C4466A">
            <w:pPr>
              <w:spacing w:after="0" w:line="276" w:lineRule="auto"/>
              <w:rPr>
                <w:b/>
                <w:bCs/>
              </w:rPr>
            </w:pPr>
          </w:p>
        </w:tc>
        <w:tc>
          <w:tcPr>
            <w:tcW w:w="4769" w:type="dxa"/>
          </w:tcPr>
          <w:p w14:paraId="7116E003" w14:textId="77777777" w:rsidR="0035411F" w:rsidRDefault="0035411F" w:rsidP="00C4466A">
            <w:pPr>
              <w:spacing w:after="0" w:line="276" w:lineRule="auto"/>
              <w:rPr>
                <w:b/>
                <w:bCs/>
              </w:rPr>
            </w:pPr>
          </w:p>
        </w:tc>
      </w:tr>
      <w:tr w:rsidR="00FB7BAC" w14:paraId="088D6007" w14:textId="77777777" w:rsidTr="00485CBF">
        <w:tc>
          <w:tcPr>
            <w:tcW w:w="3964" w:type="dxa"/>
          </w:tcPr>
          <w:p w14:paraId="407DA80E" w14:textId="661402F9" w:rsidR="00FB7BAC" w:rsidRPr="00B537DF" w:rsidRDefault="00FB7BAC" w:rsidP="00C4466A">
            <w:pPr>
              <w:spacing w:after="0" w:line="276" w:lineRule="auto"/>
              <w:rPr>
                <w:bCs/>
                <w:i/>
              </w:rPr>
            </w:pPr>
            <w:r w:rsidRPr="00B537DF">
              <w:rPr>
                <w:bCs/>
                <w:i/>
              </w:rPr>
              <w:t>MHT and SERMs</w:t>
            </w:r>
          </w:p>
        </w:tc>
        <w:tc>
          <w:tcPr>
            <w:tcW w:w="284" w:type="dxa"/>
          </w:tcPr>
          <w:p w14:paraId="2FA50737" w14:textId="77777777" w:rsidR="00FB7BAC" w:rsidRPr="007305E4" w:rsidRDefault="00FB7BAC" w:rsidP="00C4466A">
            <w:pPr>
              <w:spacing w:after="0" w:line="276" w:lineRule="auto"/>
              <w:rPr>
                <w:bCs/>
              </w:rPr>
            </w:pPr>
          </w:p>
        </w:tc>
        <w:tc>
          <w:tcPr>
            <w:tcW w:w="4769" w:type="dxa"/>
          </w:tcPr>
          <w:p w14:paraId="6912928F" w14:textId="77777777" w:rsidR="00FB7BAC" w:rsidRPr="007305E4" w:rsidRDefault="00FB7BAC" w:rsidP="00C4466A">
            <w:pPr>
              <w:spacing w:after="0" w:line="276" w:lineRule="auto"/>
              <w:rPr>
                <w:bCs/>
              </w:rPr>
            </w:pPr>
          </w:p>
        </w:tc>
      </w:tr>
      <w:tr w:rsidR="00FB7BAC" w14:paraId="6CB89798" w14:textId="77777777" w:rsidTr="00485CBF">
        <w:tc>
          <w:tcPr>
            <w:tcW w:w="3964" w:type="dxa"/>
          </w:tcPr>
          <w:p w14:paraId="6F13C9B8" w14:textId="32D54F79" w:rsidR="00FB7BAC" w:rsidRPr="007305E4" w:rsidRDefault="00FB7BAC" w:rsidP="00C4466A">
            <w:pPr>
              <w:spacing w:after="0" w:line="276" w:lineRule="auto"/>
              <w:rPr>
                <w:bCs/>
              </w:rPr>
            </w:pPr>
            <w:r>
              <w:rPr>
                <w:bCs/>
              </w:rPr>
              <w:t>Estrogen only MHT</w:t>
            </w:r>
          </w:p>
        </w:tc>
        <w:tc>
          <w:tcPr>
            <w:tcW w:w="284" w:type="dxa"/>
          </w:tcPr>
          <w:p w14:paraId="652E895C" w14:textId="77777777" w:rsidR="00FB7BAC" w:rsidRPr="007305E4" w:rsidRDefault="00FB7BAC" w:rsidP="00C4466A">
            <w:pPr>
              <w:spacing w:after="0" w:line="276" w:lineRule="auto"/>
              <w:rPr>
                <w:bCs/>
              </w:rPr>
            </w:pPr>
          </w:p>
        </w:tc>
        <w:tc>
          <w:tcPr>
            <w:tcW w:w="4769" w:type="dxa"/>
          </w:tcPr>
          <w:p w14:paraId="45586F74" w14:textId="77777777" w:rsidR="00FB7BAC" w:rsidRPr="007305E4" w:rsidRDefault="00FB7BAC" w:rsidP="00C4466A">
            <w:pPr>
              <w:spacing w:after="0" w:line="276" w:lineRule="auto"/>
              <w:rPr>
                <w:bCs/>
              </w:rPr>
            </w:pPr>
          </w:p>
        </w:tc>
      </w:tr>
      <w:tr w:rsidR="00FB7BAC" w14:paraId="5B8F59DF" w14:textId="77777777" w:rsidTr="00485CBF">
        <w:tc>
          <w:tcPr>
            <w:tcW w:w="3964" w:type="dxa"/>
          </w:tcPr>
          <w:p w14:paraId="71EF3B71" w14:textId="5AB99E1D" w:rsidR="00FB7BAC" w:rsidRPr="007305E4" w:rsidRDefault="00FB7BAC" w:rsidP="00C4466A">
            <w:pPr>
              <w:spacing w:after="0" w:line="276" w:lineRule="auto"/>
              <w:rPr>
                <w:bCs/>
              </w:rPr>
            </w:pPr>
            <w:r>
              <w:rPr>
                <w:bCs/>
              </w:rPr>
              <w:t>Opposed MHT (with progestogen)</w:t>
            </w:r>
          </w:p>
        </w:tc>
        <w:tc>
          <w:tcPr>
            <w:tcW w:w="284" w:type="dxa"/>
          </w:tcPr>
          <w:p w14:paraId="01C84202" w14:textId="77777777" w:rsidR="00FB7BAC" w:rsidRPr="007305E4" w:rsidRDefault="00FB7BAC" w:rsidP="00C4466A">
            <w:pPr>
              <w:spacing w:after="0" w:line="276" w:lineRule="auto"/>
              <w:rPr>
                <w:bCs/>
              </w:rPr>
            </w:pPr>
          </w:p>
        </w:tc>
        <w:tc>
          <w:tcPr>
            <w:tcW w:w="4769" w:type="dxa"/>
          </w:tcPr>
          <w:p w14:paraId="7A990630" w14:textId="77777777" w:rsidR="00FB7BAC" w:rsidRPr="007305E4" w:rsidRDefault="00FB7BAC" w:rsidP="00C4466A">
            <w:pPr>
              <w:spacing w:after="0" w:line="276" w:lineRule="auto"/>
              <w:rPr>
                <w:bCs/>
              </w:rPr>
            </w:pPr>
          </w:p>
        </w:tc>
      </w:tr>
      <w:tr w:rsidR="00FB7BAC" w14:paraId="3E60EF4B" w14:textId="77777777" w:rsidTr="00485CBF">
        <w:tc>
          <w:tcPr>
            <w:tcW w:w="3964" w:type="dxa"/>
          </w:tcPr>
          <w:p w14:paraId="275B01E6" w14:textId="07DB543C" w:rsidR="00FB7BAC" w:rsidRDefault="00FB7BAC" w:rsidP="00C4466A">
            <w:pPr>
              <w:spacing w:after="0" w:line="276" w:lineRule="auto"/>
              <w:rPr>
                <w:bCs/>
              </w:rPr>
            </w:pPr>
            <w:r>
              <w:rPr>
                <w:bCs/>
              </w:rPr>
              <w:t>Tibolone</w:t>
            </w:r>
          </w:p>
        </w:tc>
        <w:tc>
          <w:tcPr>
            <w:tcW w:w="284" w:type="dxa"/>
          </w:tcPr>
          <w:p w14:paraId="6964A09B" w14:textId="77777777" w:rsidR="00FB7BAC" w:rsidRPr="007305E4" w:rsidRDefault="00FB7BAC" w:rsidP="00C4466A">
            <w:pPr>
              <w:spacing w:after="0" w:line="276" w:lineRule="auto"/>
              <w:rPr>
                <w:bCs/>
              </w:rPr>
            </w:pPr>
          </w:p>
        </w:tc>
        <w:tc>
          <w:tcPr>
            <w:tcW w:w="4769" w:type="dxa"/>
          </w:tcPr>
          <w:p w14:paraId="54724229" w14:textId="77777777" w:rsidR="00FB7BAC" w:rsidRPr="007305E4" w:rsidRDefault="00FB7BAC" w:rsidP="00C4466A">
            <w:pPr>
              <w:spacing w:after="0" w:line="276" w:lineRule="auto"/>
              <w:rPr>
                <w:bCs/>
              </w:rPr>
            </w:pPr>
          </w:p>
        </w:tc>
      </w:tr>
      <w:tr w:rsidR="00FB7BAC" w14:paraId="3E25723C" w14:textId="77777777" w:rsidTr="00485CBF">
        <w:tc>
          <w:tcPr>
            <w:tcW w:w="3964" w:type="dxa"/>
          </w:tcPr>
          <w:p w14:paraId="7F6BB23D" w14:textId="13F2B0CC" w:rsidR="00FB7BAC" w:rsidRDefault="00FB7BAC" w:rsidP="00C4466A">
            <w:pPr>
              <w:spacing w:after="0" w:line="276" w:lineRule="auto"/>
              <w:rPr>
                <w:bCs/>
              </w:rPr>
            </w:pPr>
            <w:r>
              <w:rPr>
                <w:bCs/>
              </w:rPr>
              <w:t>Bazedoxifene</w:t>
            </w:r>
          </w:p>
        </w:tc>
        <w:tc>
          <w:tcPr>
            <w:tcW w:w="284" w:type="dxa"/>
          </w:tcPr>
          <w:p w14:paraId="61A1B8B5" w14:textId="77777777" w:rsidR="00FB7BAC" w:rsidRPr="007305E4" w:rsidRDefault="00FB7BAC" w:rsidP="00C4466A">
            <w:pPr>
              <w:spacing w:after="0" w:line="276" w:lineRule="auto"/>
              <w:rPr>
                <w:bCs/>
              </w:rPr>
            </w:pPr>
          </w:p>
        </w:tc>
        <w:tc>
          <w:tcPr>
            <w:tcW w:w="4769" w:type="dxa"/>
          </w:tcPr>
          <w:p w14:paraId="1437DCFC" w14:textId="77777777" w:rsidR="00FB7BAC" w:rsidRPr="007305E4" w:rsidRDefault="00FB7BAC" w:rsidP="00C4466A">
            <w:pPr>
              <w:spacing w:after="0" w:line="276" w:lineRule="auto"/>
              <w:rPr>
                <w:bCs/>
              </w:rPr>
            </w:pPr>
          </w:p>
        </w:tc>
      </w:tr>
      <w:tr w:rsidR="00FB7BAC" w14:paraId="6CEF7C97" w14:textId="77777777" w:rsidTr="00485CBF">
        <w:tc>
          <w:tcPr>
            <w:tcW w:w="3964" w:type="dxa"/>
          </w:tcPr>
          <w:p w14:paraId="63E903B0" w14:textId="1910FC0F" w:rsidR="00FB7BAC" w:rsidRDefault="00FB7BAC" w:rsidP="00C4466A">
            <w:pPr>
              <w:spacing w:after="0" w:line="276" w:lineRule="auto"/>
              <w:rPr>
                <w:bCs/>
              </w:rPr>
            </w:pPr>
            <w:r>
              <w:rPr>
                <w:bCs/>
              </w:rPr>
              <w:t>Raloxifene</w:t>
            </w:r>
          </w:p>
        </w:tc>
        <w:tc>
          <w:tcPr>
            <w:tcW w:w="284" w:type="dxa"/>
          </w:tcPr>
          <w:p w14:paraId="7D3F5CD6" w14:textId="77777777" w:rsidR="00FB7BAC" w:rsidRPr="007305E4" w:rsidRDefault="00FB7BAC" w:rsidP="00C4466A">
            <w:pPr>
              <w:spacing w:after="0" w:line="276" w:lineRule="auto"/>
              <w:rPr>
                <w:bCs/>
              </w:rPr>
            </w:pPr>
          </w:p>
        </w:tc>
        <w:tc>
          <w:tcPr>
            <w:tcW w:w="4769" w:type="dxa"/>
          </w:tcPr>
          <w:p w14:paraId="02D97F26" w14:textId="77777777" w:rsidR="00FB7BAC" w:rsidRPr="007305E4" w:rsidRDefault="00FB7BAC" w:rsidP="00C4466A">
            <w:pPr>
              <w:spacing w:after="0" w:line="276" w:lineRule="auto"/>
              <w:rPr>
                <w:bCs/>
              </w:rPr>
            </w:pPr>
          </w:p>
        </w:tc>
      </w:tr>
      <w:tr w:rsidR="009263B2" w14:paraId="633252CF" w14:textId="77777777" w:rsidTr="00485CBF">
        <w:tc>
          <w:tcPr>
            <w:tcW w:w="3964" w:type="dxa"/>
          </w:tcPr>
          <w:p w14:paraId="5C3D46EE" w14:textId="77777777" w:rsidR="009263B2" w:rsidRDefault="009263B2" w:rsidP="00C4466A">
            <w:pPr>
              <w:spacing w:after="0" w:line="276" w:lineRule="auto"/>
              <w:rPr>
                <w:bCs/>
              </w:rPr>
            </w:pPr>
          </w:p>
        </w:tc>
        <w:tc>
          <w:tcPr>
            <w:tcW w:w="284" w:type="dxa"/>
          </w:tcPr>
          <w:p w14:paraId="35D70688" w14:textId="77777777" w:rsidR="009263B2" w:rsidRPr="007305E4" w:rsidRDefault="009263B2" w:rsidP="00C4466A">
            <w:pPr>
              <w:spacing w:after="0" w:line="276" w:lineRule="auto"/>
              <w:rPr>
                <w:bCs/>
              </w:rPr>
            </w:pPr>
          </w:p>
        </w:tc>
        <w:tc>
          <w:tcPr>
            <w:tcW w:w="4769" w:type="dxa"/>
          </w:tcPr>
          <w:p w14:paraId="152262BB" w14:textId="77777777" w:rsidR="009263B2" w:rsidRPr="007305E4" w:rsidRDefault="009263B2" w:rsidP="00C4466A">
            <w:pPr>
              <w:spacing w:after="0" w:line="276" w:lineRule="auto"/>
              <w:rPr>
                <w:bCs/>
              </w:rPr>
            </w:pPr>
          </w:p>
        </w:tc>
      </w:tr>
      <w:tr w:rsidR="009263B2" w14:paraId="2A39A0F2" w14:textId="77777777" w:rsidTr="00485CBF">
        <w:tc>
          <w:tcPr>
            <w:tcW w:w="3964" w:type="dxa"/>
          </w:tcPr>
          <w:p w14:paraId="127DD97C" w14:textId="37805721" w:rsidR="009263B2" w:rsidRPr="00277F9F" w:rsidRDefault="00277F9F" w:rsidP="00C4466A">
            <w:pPr>
              <w:spacing w:after="0" w:line="276" w:lineRule="auto"/>
              <w:rPr>
                <w:bCs/>
                <w:i/>
              </w:rPr>
            </w:pPr>
            <w:r w:rsidRPr="00277F9F">
              <w:rPr>
                <w:bCs/>
                <w:i/>
              </w:rPr>
              <w:t>Other</w:t>
            </w:r>
          </w:p>
        </w:tc>
        <w:tc>
          <w:tcPr>
            <w:tcW w:w="284" w:type="dxa"/>
          </w:tcPr>
          <w:p w14:paraId="010D1C41" w14:textId="77777777" w:rsidR="009263B2" w:rsidRPr="007305E4" w:rsidRDefault="009263B2" w:rsidP="00C4466A">
            <w:pPr>
              <w:spacing w:after="0" w:line="276" w:lineRule="auto"/>
              <w:rPr>
                <w:bCs/>
              </w:rPr>
            </w:pPr>
          </w:p>
        </w:tc>
        <w:tc>
          <w:tcPr>
            <w:tcW w:w="4769" w:type="dxa"/>
          </w:tcPr>
          <w:p w14:paraId="6F01918C" w14:textId="77777777" w:rsidR="009263B2" w:rsidRPr="007305E4" w:rsidRDefault="009263B2" w:rsidP="00C4466A">
            <w:pPr>
              <w:spacing w:after="0" w:line="276" w:lineRule="auto"/>
              <w:rPr>
                <w:bCs/>
              </w:rPr>
            </w:pPr>
          </w:p>
        </w:tc>
      </w:tr>
      <w:tr w:rsidR="009263B2" w14:paraId="785FFDFC" w14:textId="77777777" w:rsidTr="00485CBF">
        <w:tc>
          <w:tcPr>
            <w:tcW w:w="3964" w:type="dxa"/>
          </w:tcPr>
          <w:p w14:paraId="7E5F374F" w14:textId="0D828DDF" w:rsidR="009263B2" w:rsidRDefault="00277F9F" w:rsidP="00C4466A">
            <w:pPr>
              <w:spacing w:after="0" w:line="276" w:lineRule="auto"/>
              <w:rPr>
                <w:bCs/>
              </w:rPr>
            </w:pPr>
            <w:r>
              <w:rPr>
                <w:bCs/>
              </w:rPr>
              <w:t>Vitamin K</w:t>
            </w:r>
          </w:p>
        </w:tc>
        <w:tc>
          <w:tcPr>
            <w:tcW w:w="284" w:type="dxa"/>
          </w:tcPr>
          <w:p w14:paraId="25D9CC82" w14:textId="77777777" w:rsidR="009263B2" w:rsidRPr="007305E4" w:rsidRDefault="009263B2" w:rsidP="00C4466A">
            <w:pPr>
              <w:spacing w:after="0" w:line="276" w:lineRule="auto"/>
              <w:rPr>
                <w:bCs/>
              </w:rPr>
            </w:pPr>
          </w:p>
        </w:tc>
        <w:tc>
          <w:tcPr>
            <w:tcW w:w="4769" w:type="dxa"/>
          </w:tcPr>
          <w:p w14:paraId="2F8765FA" w14:textId="77777777" w:rsidR="009263B2" w:rsidRPr="007305E4" w:rsidRDefault="009263B2" w:rsidP="00C4466A">
            <w:pPr>
              <w:spacing w:after="0" w:line="276" w:lineRule="auto"/>
              <w:rPr>
                <w:bCs/>
              </w:rPr>
            </w:pPr>
          </w:p>
        </w:tc>
      </w:tr>
      <w:tr w:rsidR="009263B2" w14:paraId="42BFECD0" w14:textId="77777777" w:rsidTr="00CD621C">
        <w:tc>
          <w:tcPr>
            <w:tcW w:w="3964" w:type="dxa"/>
          </w:tcPr>
          <w:p w14:paraId="2E64E6C2" w14:textId="5B4F2C8A" w:rsidR="009263B2" w:rsidRDefault="00C24287" w:rsidP="00C4466A">
            <w:pPr>
              <w:spacing w:after="0" w:line="276" w:lineRule="auto"/>
              <w:rPr>
                <w:bCs/>
              </w:rPr>
            </w:pPr>
            <w:r>
              <w:rPr>
                <w:bCs/>
              </w:rPr>
              <w:t>Calcitonin</w:t>
            </w:r>
          </w:p>
        </w:tc>
        <w:tc>
          <w:tcPr>
            <w:tcW w:w="284" w:type="dxa"/>
          </w:tcPr>
          <w:p w14:paraId="6FF5712C" w14:textId="77777777" w:rsidR="009263B2" w:rsidRPr="007305E4" w:rsidRDefault="009263B2" w:rsidP="00C4466A">
            <w:pPr>
              <w:spacing w:after="0" w:line="276" w:lineRule="auto"/>
              <w:rPr>
                <w:bCs/>
              </w:rPr>
            </w:pPr>
          </w:p>
        </w:tc>
        <w:tc>
          <w:tcPr>
            <w:tcW w:w="4769" w:type="dxa"/>
          </w:tcPr>
          <w:p w14:paraId="360396E0" w14:textId="77777777" w:rsidR="009263B2" w:rsidRPr="007305E4" w:rsidRDefault="009263B2" w:rsidP="00C4466A">
            <w:pPr>
              <w:spacing w:after="0" w:line="276" w:lineRule="auto"/>
              <w:rPr>
                <w:bCs/>
              </w:rPr>
            </w:pPr>
          </w:p>
        </w:tc>
      </w:tr>
      <w:tr w:rsidR="00791EEE" w14:paraId="2E08C869" w14:textId="77777777" w:rsidTr="00CD621C">
        <w:tc>
          <w:tcPr>
            <w:tcW w:w="3964" w:type="dxa"/>
            <w:tcBorders>
              <w:bottom w:val="single" w:sz="4" w:space="0" w:color="auto"/>
            </w:tcBorders>
          </w:tcPr>
          <w:p w14:paraId="49823ADF" w14:textId="6294FD58" w:rsidR="00791EEE" w:rsidRDefault="001D2F07" w:rsidP="00C4466A">
            <w:pPr>
              <w:spacing w:after="0" w:line="276" w:lineRule="auto"/>
              <w:rPr>
                <w:bCs/>
              </w:rPr>
            </w:pPr>
            <w:r>
              <w:rPr>
                <w:bCs/>
              </w:rPr>
              <w:t>Denosumab</w:t>
            </w:r>
          </w:p>
        </w:tc>
        <w:tc>
          <w:tcPr>
            <w:tcW w:w="284" w:type="dxa"/>
            <w:tcBorders>
              <w:bottom w:val="single" w:sz="4" w:space="0" w:color="auto"/>
            </w:tcBorders>
          </w:tcPr>
          <w:p w14:paraId="24196B29" w14:textId="77777777" w:rsidR="00791EEE" w:rsidRPr="007305E4" w:rsidRDefault="00791EEE" w:rsidP="00C4466A">
            <w:pPr>
              <w:spacing w:after="0" w:line="276" w:lineRule="auto"/>
              <w:rPr>
                <w:bCs/>
              </w:rPr>
            </w:pPr>
          </w:p>
        </w:tc>
        <w:tc>
          <w:tcPr>
            <w:tcW w:w="4769" w:type="dxa"/>
            <w:tcBorders>
              <w:bottom w:val="single" w:sz="4" w:space="0" w:color="auto"/>
            </w:tcBorders>
          </w:tcPr>
          <w:p w14:paraId="7E30B7D1" w14:textId="77777777" w:rsidR="00791EEE" w:rsidRPr="007305E4" w:rsidRDefault="00791EEE" w:rsidP="00C4466A">
            <w:pPr>
              <w:spacing w:after="0" w:line="276" w:lineRule="auto"/>
              <w:rPr>
                <w:bCs/>
              </w:rPr>
            </w:pPr>
          </w:p>
        </w:tc>
      </w:tr>
    </w:tbl>
    <w:p w14:paraId="7857423D" w14:textId="77777777" w:rsidR="00666DDA" w:rsidRDefault="00413C3F">
      <w:pPr>
        <w:spacing w:after="0" w:line="240" w:lineRule="auto"/>
        <w:rPr>
          <w:bCs/>
        </w:rPr>
      </w:pPr>
      <w:r w:rsidRPr="00E200AD">
        <w:rPr>
          <w:bCs/>
        </w:rPr>
        <w:t>MHT, Menopause Hormonal Treatment</w:t>
      </w:r>
      <w:r w:rsidR="0016304A" w:rsidRPr="00E200AD">
        <w:rPr>
          <w:bCs/>
        </w:rPr>
        <w:t xml:space="preserve">; SERMs, Selective Estrogen </w:t>
      </w:r>
      <w:r w:rsidR="005F2E0B" w:rsidRPr="00E200AD">
        <w:rPr>
          <w:bCs/>
        </w:rPr>
        <w:t>Receptor Modulator</w:t>
      </w:r>
    </w:p>
    <w:p w14:paraId="610E2F4A" w14:textId="77777777" w:rsidR="00666DDA" w:rsidRDefault="00666DDA">
      <w:pPr>
        <w:spacing w:after="0" w:line="240" w:lineRule="auto"/>
        <w:rPr>
          <w:bCs/>
        </w:rPr>
      </w:pPr>
    </w:p>
    <w:p w14:paraId="41DA1924" w14:textId="77777777" w:rsidR="00666DDA" w:rsidRDefault="00666DDA">
      <w:pPr>
        <w:spacing w:after="0" w:line="240" w:lineRule="auto"/>
        <w:rPr>
          <w:bCs/>
        </w:rPr>
      </w:pPr>
    </w:p>
    <w:p w14:paraId="5BA4754B" w14:textId="636B87E3" w:rsidR="00B506B8" w:rsidRDefault="00B506B8" w:rsidP="009149A4">
      <w:pPr>
        <w:autoSpaceDE w:val="0"/>
        <w:autoSpaceDN w:val="0"/>
        <w:adjustRightInd w:val="0"/>
        <w:spacing w:after="240" w:line="276" w:lineRule="auto"/>
        <w:ind w:left="567"/>
        <w:rPr>
          <w:b/>
          <w:bCs/>
        </w:rPr>
      </w:pPr>
    </w:p>
    <w:p w14:paraId="2F490C5F" w14:textId="77777777" w:rsidR="00142AFF" w:rsidRDefault="00142AFF" w:rsidP="009149A4">
      <w:pPr>
        <w:autoSpaceDE w:val="0"/>
        <w:autoSpaceDN w:val="0"/>
        <w:adjustRightInd w:val="0"/>
        <w:spacing w:after="240" w:line="276" w:lineRule="auto"/>
        <w:ind w:left="567"/>
        <w:rPr>
          <w:b/>
          <w:bCs/>
        </w:rPr>
      </w:pPr>
    </w:p>
    <w:p w14:paraId="30D508FE" w14:textId="77777777" w:rsidR="00B506B8" w:rsidRDefault="00B506B8" w:rsidP="009149A4">
      <w:pPr>
        <w:autoSpaceDE w:val="0"/>
        <w:autoSpaceDN w:val="0"/>
        <w:adjustRightInd w:val="0"/>
        <w:spacing w:after="240" w:line="276" w:lineRule="auto"/>
        <w:ind w:left="567"/>
        <w:rPr>
          <w:b/>
          <w:bCs/>
        </w:rPr>
      </w:pPr>
    </w:p>
    <w:p w14:paraId="1E5E17E7" w14:textId="77777777" w:rsidR="00B506B8" w:rsidRDefault="00B506B8" w:rsidP="009149A4">
      <w:pPr>
        <w:autoSpaceDE w:val="0"/>
        <w:autoSpaceDN w:val="0"/>
        <w:adjustRightInd w:val="0"/>
        <w:spacing w:after="240" w:line="276" w:lineRule="auto"/>
        <w:ind w:left="567"/>
        <w:rPr>
          <w:b/>
          <w:bCs/>
        </w:rPr>
      </w:pPr>
    </w:p>
    <w:p w14:paraId="698E4AFB" w14:textId="01B0F1B5" w:rsidR="009149A4" w:rsidRPr="004C7DEF" w:rsidRDefault="009149A4" w:rsidP="009149A4">
      <w:pPr>
        <w:autoSpaceDE w:val="0"/>
        <w:autoSpaceDN w:val="0"/>
        <w:adjustRightInd w:val="0"/>
        <w:spacing w:after="240" w:line="276" w:lineRule="auto"/>
        <w:ind w:left="567"/>
        <w:rPr>
          <w:color w:val="000000"/>
        </w:rPr>
      </w:pPr>
      <w:r>
        <w:rPr>
          <w:b/>
          <w:bCs/>
        </w:rPr>
        <w:t>Table A3</w:t>
      </w:r>
      <w:r w:rsidRPr="006D5FF3">
        <w:rPr>
          <w:b/>
          <w:color w:val="000000"/>
        </w:rPr>
        <w:t xml:space="preserve"> </w:t>
      </w:r>
      <w:r w:rsidRPr="004C7DEF">
        <w:rPr>
          <w:color w:val="000000"/>
        </w:rPr>
        <w:t>Number of postmenopausal women by age in a simulation cohort of 50633 women from the UK [</w:t>
      </w:r>
      <w:r w:rsidR="005B157C">
        <w:rPr>
          <w:color w:val="000000"/>
        </w:rPr>
        <w:t>51</w:t>
      </w:r>
      <w:r w:rsidRPr="004C7DEF">
        <w:rPr>
          <w:color w:val="000000"/>
        </w:rPr>
        <w:t>]</w:t>
      </w:r>
      <w:r>
        <w:rPr>
          <w:color w:val="000000"/>
        </w:rPr>
        <w:t xml:space="preserve"> and the proportion (%) </w:t>
      </w:r>
      <w:r w:rsidRPr="004C7DEF">
        <w:rPr>
          <w:color w:val="000000"/>
        </w:rPr>
        <w:t>characterised at low, high and very high risk.</w:t>
      </w:r>
      <w:r w:rsidRPr="006D5FF3">
        <w:t xml:space="preserve"> </w:t>
      </w:r>
      <w:r w:rsidRPr="006D5FF3">
        <w:rPr>
          <w:color w:val="000000"/>
        </w:rPr>
        <w:t>The high risk category Includes women with a prior fracture not characterised at very high risk.</w:t>
      </w:r>
      <w:r w:rsidRPr="004C7DEF">
        <w:rPr>
          <w:color w:val="000000"/>
        </w:rPr>
        <w:t xml:space="preserve"> </w:t>
      </w:r>
    </w:p>
    <w:tbl>
      <w:tblPr>
        <w:tblW w:w="9586" w:type="dxa"/>
        <w:tblInd w:w="-29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38"/>
        <w:gridCol w:w="883"/>
        <w:gridCol w:w="883"/>
        <w:gridCol w:w="883"/>
        <w:gridCol w:w="883"/>
        <w:gridCol w:w="883"/>
        <w:gridCol w:w="883"/>
        <w:gridCol w:w="883"/>
        <w:gridCol w:w="883"/>
        <w:gridCol w:w="884"/>
      </w:tblGrid>
      <w:tr w:rsidR="009149A4" w:rsidRPr="00EB5C0E" w14:paraId="3EDAB686" w14:textId="77777777" w:rsidTr="00704C2B">
        <w:trPr>
          <w:trHeight w:val="299"/>
        </w:trPr>
        <w:tc>
          <w:tcPr>
            <w:tcW w:w="1638" w:type="dxa"/>
            <w:tcMar>
              <w:top w:w="0" w:type="dxa"/>
              <w:left w:w="108" w:type="dxa"/>
              <w:bottom w:w="0" w:type="dxa"/>
              <w:right w:w="108" w:type="dxa"/>
            </w:tcMar>
            <w:vAlign w:val="center"/>
            <w:hideMark/>
          </w:tcPr>
          <w:p w14:paraId="12DF640A"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p>
        </w:tc>
        <w:tc>
          <w:tcPr>
            <w:tcW w:w="7064" w:type="dxa"/>
            <w:gridSpan w:val="8"/>
            <w:tcBorders>
              <w:bottom w:val="nil"/>
            </w:tcBorders>
            <w:tcMar>
              <w:top w:w="0" w:type="dxa"/>
              <w:left w:w="108" w:type="dxa"/>
              <w:bottom w:w="0" w:type="dxa"/>
              <w:right w:w="108" w:type="dxa"/>
            </w:tcMar>
            <w:vAlign w:val="center"/>
            <w:hideMark/>
          </w:tcPr>
          <w:p w14:paraId="1F0D99D8"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Age (years)</w:t>
            </w:r>
          </w:p>
        </w:tc>
        <w:tc>
          <w:tcPr>
            <w:tcW w:w="884" w:type="dxa"/>
            <w:tcBorders>
              <w:bottom w:val="nil"/>
            </w:tcBorders>
            <w:tcMar>
              <w:top w:w="0" w:type="dxa"/>
              <w:left w:w="108" w:type="dxa"/>
              <w:bottom w:w="0" w:type="dxa"/>
              <w:right w:w="108" w:type="dxa"/>
            </w:tcMar>
            <w:vAlign w:val="center"/>
            <w:hideMark/>
          </w:tcPr>
          <w:p w14:paraId="67D3AE83"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 </w:t>
            </w:r>
          </w:p>
        </w:tc>
      </w:tr>
      <w:tr w:rsidR="009149A4" w:rsidRPr="00EB5C0E" w14:paraId="02871BA5" w14:textId="77777777" w:rsidTr="00704C2B">
        <w:trPr>
          <w:trHeight w:val="299"/>
        </w:trPr>
        <w:tc>
          <w:tcPr>
            <w:tcW w:w="1638" w:type="dxa"/>
            <w:tcMar>
              <w:top w:w="0" w:type="dxa"/>
              <w:left w:w="108" w:type="dxa"/>
              <w:bottom w:w="0" w:type="dxa"/>
              <w:right w:w="108" w:type="dxa"/>
            </w:tcMar>
            <w:vAlign w:val="center"/>
            <w:hideMark/>
          </w:tcPr>
          <w:p w14:paraId="679911D6"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 </w:t>
            </w:r>
          </w:p>
        </w:tc>
        <w:tc>
          <w:tcPr>
            <w:tcW w:w="883" w:type="dxa"/>
            <w:tcBorders>
              <w:top w:val="nil"/>
              <w:bottom w:val="single" w:sz="4" w:space="0" w:color="auto"/>
            </w:tcBorders>
            <w:tcMar>
              <w:top w:w="0" w:type="dxa"/>
              <w:left w:w="108" w:type="dxa"/>
              <w:bottom w:w="0" w:type="dxa"/>
              <w:right w:w="108" w:type="dxa"/>
            </w:tcMar>
            <w:vAlign w:val="center"/>
            <w:hideMark/>
          </w:tcPr>
          <w:p w14:paraId="764E32CE"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50-54</w:t>
            </w:r>
          </w:p>
        </w:tc>
        <w:tc>
          <w:tcPr>
            <w:tcW w:w="883" w:type="dxa"/>
            <w:tcBorders>
              <w:top w:val="nil"/>
              <w:bottom w:val="single" w:sz="4" w:space="0" w:color="auto"/>
            </w:tcBorders>
            <w:tcMar>
              <w:top w:w="0" w:type="dxa"/>
              <w:left w:w="108" w:type="dxa"/>
              <w:bottom w:w="0" w:type="dxa"/>
              <w:right w:w="108" w:type="dxa"/>
            </w:tcMar>
            <w:vAlign w:val="center"/>
            <w:hideMark/>
          </w:tcPr>
          <w:p w14:paraId="30FFF08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55-59</w:t>
            </w:r>
          </w:p>
        </w:tc>
        <w:tc>
          <w:tcPr>
            <w:tcW w:w="883" w:type="dxa"/>
            <w:tcBorders>
              <w:top w:val="nil"/>
              <w:bottom w:val="single" w:sz="4" w:space="0" w:color="auto"/>
            </w:tcBorders>
            <w:tcMar>
              <w:top w:w="0" w:type="dxa"/>
              <w:left w:w="108" w:type="dxa"/>
              <w:bottom w:w="0" w:type="dxa"/>
              <w:right w:w="108" w:type="dxa"/>
            </w:tcMar>
            <w:vAlign w:val="center"/>
            <w:hideMark/>
          </w:tcPr>
          <w:p w14:paraId="65BBA098"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60-64</w:t>
            </w:r>
          </w:p>
        </w:tc>
        <w:tc>
          <w:tcPr>
            <w:tcW w:w="883" w:type="dxa"/>
            <w:tcBorders>
              <w:top w:val="nil"/>
              <w:bottom w:val="single" w:sz="4" w:space="0" w:color="auto"/>
            </w:tcBorders>
            <w:tcMar>
              <w:top w:w="0" w:type="dxa"/>
              <w:left w:w="108" w:type="dxa"/>
              <w:bottom w:w="0" w:type="dxa"/>
              <w:right w:w="108" w:type="dxa"/>
            </w:tcMar>
            <w:vAlign w:val="center"/>
            <w:hideMark/>
          </w:tcPr>
          <w:p w14:paraId="6A0CC57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65-69</w:t>
            </w:r>
          </w:p>
        </w:tc>
        <w:tc>
          <w:tcPr>
            <w:tcW w:w="883" w:type="dxa"/>
            <w:tcBorders>
              <w:top w:val="nil"/>
              <w:bottom w:val="single" w:sz="4" w:space="0" w:color="auto"/>
            </w:tcBorders>
            <w:tcMar>
              <w:top w:w="0" w:type="dxa"/>
              <w:left w:w="108" w:type="dxa"/>
              <w:bottom w:w="0" w:type="dxa"/>
              <w:right w:w="108" w:type="dxa"/>
            </w:tcMar>
            <w:vAlign w:val="center"/>
            <w:hideMark/>
          </w:tcPr>
          <w:p w14:paraId="0700C67F"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70-74</w:t>
            </w:r>
          </w:p>
        </w:tc>
        <w:tc>
          <w:tcPr>
            <w:tcW w:w="883" w:type="dxa"/>
            <w:tcBorders>
              <w:top w:val="nil"/>
              <w:bottom w:val="single" w:sz="4" w:space="0" w:color="auto"/>
            </w:tcBorders>
            <w:tcMar>
              <w:top w:w="0" w:type="dxa"/>
              <w:left w:w="108" w:type="dxa"/>
              <w:bottom w:w="0" w:type="dxa"/>
              <w:right w:w="108" w:type="dxa"/>
            </w:tcMar>
            <w:vAlign w:val="center"/>
            <w:hideMark/>
          </w:tcPr>
          <w:p w14:paraId="43CB9C33"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75-79</w:t>
            </w:r>
          </w:p>
        </w:tc>
        <w:tc>
          <w:tcPr>
            <w:tcW w:w="883" w:type="dxa"/>
            <w:tcBorders>
              <w:top w:val="nil"/>
              <w:bottom w:val="single" w:sz="4" w:space="0" w:color="auto"/>
            </w:tcBorders>
            <w:tcMar>
              <w:top w:w="0" w:type="dxa"/>
              <w:left w:w="108" w:type="dxa"/>
              <w:bottom w:w="0" w:type="dxa"/>
              <w:right w:w="108" w:type="dxa"/>
            </w:tcMar>
            <w:vAlign w:val="center"/>
            <w:hideMark/>
          </w:tcPr>
          <w:p w14:paraId="753434D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80-84</w:t>
            </w:r>
          </w:p>
        </w:tc>
        <w:tc>
          <w:tcPr>
            <w:tcW w:w="883" w:type="dxa"/>
            <w:tcBorders>
              <w:top w:val="nil"/>
              <w:bottom w:val="single" w:sz="4" w:space="0" w:color="auto"/>
            </w:tcBorders>
            <w:tcMar>
              <w:top w:w="0" w:type="dxa"/>
              <w:left w:w="108" w:type="dxa"/>
              <w:bottom w:w="0" w:type="dxa"/>
              <w:right w:w="108" w:type="dxa"/>
            </w:tcMar>
            <w:vAlign w:val="center"/>
            <w:hideMark/>
          </w:tcPr>
          <w:p w14:paraId="6EDC97B6"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85+</w:t>
            </w:r>
          </w:p>
        </w:tc>
        <w:tc>
          <w:tcPr>
            <w:tcW w:w="884" w:type="dxa"/>
            <w:tcBorders>
              <w:top w:val="nil"/>
              <w:bottom w:val="single" w:sz="4" w:space="0" w:color="auto"/>
            </w:tcBorders>
            <w:tcMar>
              <w:top w:w="0" w:type="dxa"/>
              <w:left w:w="108" w:type="dxa"/>
              <w:bottom w:w="0" w:type="dxa"/>
              <w:right w:w="108" w:type="dxa"/>
            </w:tcMar>
            <w:vAlign w:val="center"/>
            <w:hideMark/>
          </w:tcPr>
          <w:p w14:paraId="1FB51F86"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Total</w:t>
            </w:r>
          </w:p>
        </w:tc>
      </w:tr>
      <w:tr w:rsidR="009149A4" w:rsidRPr="00EB5C0E" w14:paraId="7227A0C5" w14:textId="77777777" w:rsidTr="00704C2B">
        <w:trPr>
          <w:trHeight w:val="299"/>
        </w:trPr>
        <w:tc>
          <w:tcPr>
            <w:tcW w:w="1638" w:type="dxa"/>
            <w:tcMar>
              <w:top w:w="0" w:type="dxa"/>
              <w:left w:w="108" w:type="dxa"/>
              <w:bottom w:w="0" w:type="dxa"/>
              <w:right w:w="108" w:type="dxa"/>
            </w:tcMar>
            <w:vAlign w:val="center"/>
            <w:hideMark/>
          </w:tcPr>
          <w:p w14:paraId="143C32C1"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Number</w:t>
            </w:r>
          </w:p>
        </w:tc>
        <w:tc>
          <w:tcPr>
            <w:tcW w:w="883" w:type="dxa"/>
            <w:tcBorders>
              <w:top w:val="single" w:sz="4" w:space="0" w:color="auto"/>
            </w:tcBorders>
            <w:tcMar>
              <w:top w:w="0" w:type="dxa"/>
              <w:left w:w="108" w:type="dxa"/>
              <w:bottom w:w="0" w:type="dxa"/>
              <w:right w:w="108" w:type="dxa"/>
            </w:tcMar>
            <w:vAlign w:val="center"/>
            <w:hideMark/>
          </w:tcPr>
          <w:p w14:paraId="6473D73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8799</w:t>
            </w:r>
          </w:p>
        </w:tc>
        <w:tc>
          <w:tcPr>
            <w:tcW w:w="883" w:type="dxa"/>
            <w:tcBorders>
              <w:top w:val="single" w:sz="4" w:space="0" w:color="auto"/>
            </w:tcBorders>
            <w:tcMar>
              <w:top w:w="0" w:type="dxa"/>
              <w:left w:w="108" w:type="dxa"/>
              <w:bottom w:w="0" w:type="dxa"/>
              <w:right w:w="108" w:type="dxa"/>
            </w:tcMar>
            <w:vAlign w:val="center"/>
            <w:hideMark/>
          </w:tcPr>
          <w:p w14:paraId="4B14B6FE"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8384</w:t>
            </w:r>
          </w:p>
        </w:tc>
        <w:tc>
          <w:tcPr>
            <w:tcW w:w="883" w:type="dxa"/>
            <w:tcBorders>
              <w:top w:val="single" w:sz="4" w:space="0" w:color="auto"/>
            </w:tcBorders>
            <w:tcMar>
              <w:top w:w="0" w:type="dxa"/>
              <w:left w:w="108" w:type="dxa"/>
              <w:bottom w:w="0" w:type="dxa"/>
              <w:right w:w="108" w:type="dxa"/>
            </w:tcMar>
            <w:vAlign w:val="center"/>
            <w:hideMark/>
          </w:tcPr>
          <w:p w14:paraId="74BD0FD4"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8552</w:t>
            </w:r>
          </w:p>
        </w:tc>
        <w:tc>
          <w:tcPr>
            <w:tcW w:w="883" w:type="dxa"/>
            <w:tcBorders>
              <w:top w:val="single" w:sz="4" w:space="0" w:color="auto"/>
            </w:tcBorders>
            <w:tcMar>
              <w:top w:w="0" w:type="dxa"/>
              <w:left w:w="108" w:type="dxa"/>
              <w:bottom w:w="0" w:type="dxa"/>
              <w:right w:w="108" w:type="dxa"/>
            </w:tcMar>
            <w:vAlign w:val="center"/>
            <w:hideMark/>
          </w:tcPr>
          <w:p w14:paraId="141524E4"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6671</w:t>
            </w:r>
          </w:p>
        </w:tc>
        <w:tc>
          <w:tcPr>
            <w:tcW w:w="883" w:type="dxa"/>
            <w:tcBorders>
              <w:top w:val="single" w:sz="4" w:space="0" w:color="auto"/>
            </w:tcBorders>
            <w:tcMar>
              <w:top w:w="0" w:type="dxa"/>
              <w:left w:w="108" w:type="dxa"/>
              <w:bottom w:w="0" w:type="dxa"/>
              <w:right w:w="108" w:type="dxa"/>
            </w:tcMar>
            <w:vAlign w:val="center"/>
            <w:hideMark/>
          </w:tcPr>
          <w:p w14:paraId="0A34EF76"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5792</w:t>
            </w:r>
          </w:p>
        </w:tc>
        <w:tc>
          <w:tcPr>
            <w:tcW w:w="883" w:type="dxa"/>
            <w:tcBorders>
              <w:top w:val="single" w:sz="4" w:space="0" w:color="auto"/>
            </w:tcBorders>
            <w:tcMar>
              <w:top w:w="0" w:type="dxa"/>
              <w:left w:w="108" w:type="dxa"/>
              <w:bottom w:w="0" w:type="dxa"/>
              <w:right w:w="108" w:type="dxa"/>
            </w:tcMar>
            <w:vAlign w:val="center"/>
            <w:hideMark/>
          </w:tcPr>
          <w:p w14:paraId="2BD330EC"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4784</w:t>
            </w:r>
          </w:p>
        </w:tc>
        <w:tc>
          <w:tcPr>
            <w:tcW w:w="883" w:type="dxa"/>
            <w:tcBorders>
              <w:top w:val="single" w:sz="4" w:space="0" w:color="auto"/>
            </w:tcBorders>
            <w:tcMar>
              <w:top w:w="0" w:type="dxa"/>
              <w:left w:w="108" w:type="dxa"/>
              <w:bottom w:w="0" w:type="dxa"/>
              <w:right w:w="108" w:type="dxa"/>
            </w:tcMar>
            <w:vAlign w:val="center"/>
            <w:hideMark/>
          </w:tcPr>
          <w:p w14:paraId="6008AA45"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3807</w:t>
            </w:r>
          </w:p>
        </w:tc>
        <w:tc>
          <w:tcPr>
            <w:tcW w:w="883" w:type="dxa"/>
            <w:tcBorders>
              <w:top w:val="single" w:sz="4" w:space="0" w:color="auto"/>
            </w:tcBorders>
            <w:tcMar>
              <w:top w:w="0" w:type="dxa"/>
              <w:left w:w="108" w:type="dxa"/>
              <w:bottom w:w="0" w:type="dxa"/>
              <w:right w:w="108" w:type="dxa"/>
            </w:tcMar>
            <w:vAlign w:val="center"/>
            <w:hideMark/>
          </w:tcPr>
          <w:p w14:paraId="4778FF6B"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3844</w:t>
            </w:r>
          </w:p>
        </w:tc>
        <w:tc>
          <w:tcPr>
            <w:tcW w:w="884" w:type="dxa"/>
            <w:tcBorders>
              <w:top w:val="single" w:sz="4" w:space="0" w:color="auto"/>
            </w:tcBorders>
            <w:tcMar>
              <w:top w:w="0" w:type="dxa"/>
              <w:left w:w="108" w:type="dxa"/>
              <w:bottom w:w="0" w:type="dxa"/>
              <w:right w:w="108" w:type="dxa"/>
            </w:tcMar>
            <w:vAlign w:val="center"/>
            <w:hideMark/>
          </w:tcPr>
          <w:p w14:paraId="07EB8A5C"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50633</w:t>
            </w:r>
          </w:p>
        </w:tc>
      </w:tr>
      <w:tr w:rsidR="009149A4" w:rsidRPr="00EB5C0E" w14:paraId="63D95FCC" w14:textId="77777777" w:rsidTr="00704C2B">
        <w:trPr>
          <w:trHeight w:val="585"/>
        </w:trPr>
        <w:tc>
          <w:tcPr>
            <w:tcW w:w="1638" w:type="dxa"/>
            <w:tcMar>
              <w:top w:w="0" w:type="dxa"/>
              <w:left w:w="108" w:type="dxa"/>
              <w:bottom w:w="0" w:type="dxa"/>
              <w:right w:w="108" w:type="dxa"/>
            </w:tcMar>
            <w:vAlign w:val="center"/>
            <w:hideMark/>
          </w:tcPr>
          <w:p w14:paraId="754F8BFE"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Low risk (%)</w:t>
            </w:r>
          </w:p>
        </w:tc>
        <w:tc>
          <w:tcPr>
            <w:tcW w:w="883" w:type="dxa"/>
            <w:tcMar>
              <w:top w:w="0" w:type="dxa"/>
              <w:left w:w="108" w:type="dxa"/>
              <w:bottom w:w="0" w:type="dxa"/>
              <w:right w:w="108" w:type="dxa"/>
            </w:tcMar>
            <w:vAlign w:val="center"/>
            <w:hideMark/>
          </w:tcPr>
          <w:p w14:paraId="07BA74CE"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73.0</w:t>
            </w:r>
          </w:p>
        </w:tc>
        <w:tc>
          <w:tcPr>
            <w:tcW w:w="883" w:type="dxa"/>
            <w:tcMar>
              <w:top w:w="0" w:type="dxa"/>
              <w:left w:w="108" w:type="dxa"/>
              <w:bottom w:w="0" w:type="dxa"/>
              <w:right w:w="108" w:type="dxa"/>
            </w:tcMar>
            <w:vAlign w:val="center"/>
            <w:hideMark/>
          </w:tcPr>
          <w:p w14:paraId="171FBB1C"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70.1</w:t>
            </w:r>
          </w:p>
        </w:tc>
        <w:tc>
          <w:tcPr>
            <w:tcW w:w="883" w:type="dxa"/>
            <w:tcMar>
              <w:top w:w="0" w:type="dxa"/>
              <w:left w:w="108" w:type="dxa"/>
              <w:bottom w:w="0" w:type="dxa"/>
              <w:right w:w="108" w:type="dxa"/>
            </w:tcMar>
            <w:vAlign w:val="center"/>
            <w:hideMark/>
          </w:tcPr>
          <w:p w14:paraId="3759E475"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67.1</w:t>
            </w:r>
          </w:p>
        </w:tc>
        <w:tc>
          <w:tcPr>
            <w:tcW w:w="883" w:type="dxa"/>
            <w:tcMar>
              <w:top w:w="0" w:type="dxa"/>
              <w:left w:w="108" w:type="dxa"/>
              <w:bottom w:w="0" w:type="dxa"/>
              <w:right w:w="108" w:type="dxa"/>
            </w:tcMar>
            <w:vAlign w:val="center"/>
            <w:hideMark/>
          </w:tcPr>
          <w:p w14:paraId="0E9E3AB1"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65.1</w:t>
            </w:r>
          </w:p>
        </w:tc>
        <w:tc>
          <w:tcPr>
            <w:tcW w:w="883" w:type="dxa"/>
            <w:tcMar>
              <w:top w:w="0" w:type="dxa"/>
              <w:left w:w="108" w:type="dxa"/>
              <w:bottom w:w="0" w:type="dxa"/>
              <w:right w:w="108" w:type="dxa"/>
            </w:tcMar>
            <w:vAlign w:val="center"/>
            <w:hideMark/>
          </w:tcPr>
          <w:p w14:paraId="673E5823"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61.4</w:t>
            </w:r>
          </w:p>
        </w:tc>
        <w:tc>
          <w:tcPr>
            <w:tcW w:w="883" w:type="dxa"/>
            <w:tcMar>
              <w:top w:w="0" w:type="dxa"/>
              <w:left w:w="108" w:type="dxa"/>
              <w:bottom w:w="0" w:type="dxa"/>
              <w:right w:w="108" w:type="dxa"/>
            </w:tcMar>
            <w:vAlign w:val="center"/>
            <w:hideMark/>
          </w:tcPr>
          <w:p w14:paraId="5DC82DA0"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58.0</w:t>
            </w:r>
          </w:p>
        </w:tc>
        <w:tc>
          <w:tcPr>
            <w:tcW w:w="883" w:type="dxa"/>
            <w:tcMar>
              <w:top w:w="0" w:type="dxa"/>
              <w:left w:w="108" w:type="dxa"/>
              <w:bottom w:w="0" w:type="dxa"/>
              <w:right w:w="108" w:type="dxa"/>
            </w:tcMar>
            <w:vAlign w:val="center"/>
            <w:hideMark/>
          </w:tcPr>
          <w:p w14:paraId="638B3714"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54.8</w:t>
            </w:r>
          </w:p>
        </w:tc>
        <w:tc>
          <w:tcPr>
            <w:tcW w:w="883" w:type="dxa"/>
            <w:tcMar>
              <w:top w:w="0" w:type="dxa"/>
              <w:left w:w="108" w:type="dxa"/>
              <w:bottom w:w="0" w:type="dxa"/>
              <w:right w:w="108" w:type="dxa"/>
            </w:tcMar>
            <w:vAlign w:val="center"/>
            <w:hideMark/>
          </w:tcPr>
          <w:p w14:paraId="6ECCDFF1"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52.0</w:t>
            </w:r>
          </w:p>
        </w:tc>
        <w:tc>
          <w:tcPr>
            <w:tcW w:w="884" w:type="dxa"/>
            <w:tcMar>
              <w:top w:w="0" w:type="dxa"/>
              <w:left w:w="108" w:type="dxa"/>
              <w:bottom w:w="0" w:type="dxa"/>
              <w:right w:w="108" w:type="dxa"/>
            </w:tcMar>
            <w:vAlign w:val="center"/>
            <w:hideMark/>
          </w:tcPr>
          <w:p w14:paraId="44B80D0C"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64.8</w:t>
            </w:r>
          </w:p>
        </w:tc>
      </w:tr>
      <w:tr w:rsidR="009149A4" w:rsidRPr="00EB5C0E" w14:paraId="6465B955" w14:textId="77777777" w:rsidTr="00704C2B">
        <w:trPr>
          <w:trHeight w:val="585"/>
        </w:trPr>
        <w:tc>
          <w:tcPr>
            <w:tcW w:w="1638" w:type="dxa"/>
            <w:tcMar>
              <w:top w:w="0" w:type="dxa"/>
              <w:left w:w="108" w:type="dxa"/>
              <w:bottom w:w="0" w:type="dxa"/>
              <w:right w:w="108" w:type="dxa"/>
            </w:tcMar>
            <w:vAlign w:val="center"/>
            <w:hideMark/>
          </w:tcPr>
          <w:p w14:paraId="253CF82B"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High risk (%)</w:t>
            </w:r>
          </w:p>
        </w:tc>
        <w:tc>
          <w:tcPr>
            <w:tcW w:w="883" w:type="dxa"/>
            <w:tcMar>
              <w:top w:w="0" w:type="dxa"/>
              <w:left w:w="108" w:type="dxa"/>
              <w:bottom w:w="0" w:type="dxa"/>
              <w:right w:w="108" w:type="dxa"/>
            </w:tcMar>
            <w:vAlign w:val="center"/>
            <w:hideMark/>
          </w:tcPr>
          <w:p w14:paraId="2F09420B"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13.4</w:t>
            </w:r>
          </w:p>
        </w:tc>
        <w:tc>
          <w:tcPr>
            <w:tcW w:w="883" w:type="dxa"/>
            <w:tcMar>
              <w:top w:w="0" w:type="dxa"/>
              <w:left w:w="108" w:type="dxa"/>
              <w:bottom w:w="0" w:type="dxa"/>
              <w:right w:w="108" w:type="dxa"/>
            </w:tcMar>
            <w:vAlign w:val="center"/>
            <w:hideMark/>
          </w:tcPr>
          <w:p w14:paraId="11377139"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15.9</w:t>
            </w:r>
          </w:p>
        </w:tc>
        <w:tc>
          <w:tcPr>
            <w:tcW w:w="883" w:type="dxa"/>
            <w:tcMar>
              <w:top w:w="0" w:type="dxa"/>
              <w:left w:w="108" w:type="dxa"/>
              <w:bottom w:w="0" w:type="dxa"/>
              <w:right w:w="108" w:type="dxa"/>
            </w:tcMar>
            <w:vAlign w:val="center"/>
            <w:hideMark/>
          </w:tcPr>
          <w:p w14:paraId="16FF474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17.0</w:t>
            </w:r>
          </w:p>
        </w:tc>
        <w:tc>
          <w:tcPr>
            <w:tcW w:w="883" w:type="dxa"/>
            <w:tcMar>
              <w:top w:w="0" w:type="dxa"/>
              <w:left w:w="108" w:type="dxa"/>
              <w:bottom w:w="0" w:type="dxa"/>
              <w:right w:w="108" w:type="dxa"/>
            </w:tcMar>
            <w:vAlign w:val="center"/>
            <w:hideMark/>
          </w:tcPr>
          <w:p w14:paraId="5A5EA278"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19.1</w:t>
            </w:r>
          </w:p>
        </w:tc>
        <w:tc>
          <w:tcPr>
            <w:tcW w:w="883" w:type="dxa"/>
            <w:tcMar>
              <w:top w:w="0" w:type="dxa"/>
              <w:left w:w="108" w:type="dxa"/>
              <w:bottom w:w="0" w:type="dxa"/>
              <w:right w:w="108" w:type="dxa"/>
            </w:tcMar>
            <w:vAlign w:val="center"/>
            <w:hideMark/>
          </w:tcPr>
          <w:p w14:paraId="7B8BC575"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22.2</w:t>
            </w:r>
          </w:p>
        </w:tc>
        <w:tc>
          <w:tcPr>
            <w:tcW w:w="883" w:type="dxa"/>
            <w:tcMar>
              <w:top w:w="0" w:type="dxa"/>
              <w:left w:w="108" w:type="dxa"/>
              <w:bottom w:w="0" w:type="dxa"/>
              <w:right w:w="108" w:type="dxa"/>
            </w:tcMar>
            <w:vAlign w:val="center"/>
            <w:hideMark/>
          </w:tcPr>
          <w:p w14:paraId="3C2320FA"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24.7</w:t>
            </w:r>
          </w:p>
        </w:tc>
        <w:tc>
          <w:tcPr>
            <w:tcW w:w="883" w:type="dxa"/>
            <w:tcMar>
              <w:top w:w="0" w:type="dxa"/>
              <w:left w:w="108" w:type="dxa"/>
              <w:bottom w:w="0" w:type="dxa"/>
              <w:right w:w="108" w:type="dxa"/>
            </w:tcMar>
            <w:vAlign w:val="center"/>
            <w:hideMark/>
          </w:tcPr>
          <w:p w14:paraId="2AB4D9E2"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28.2</w:t>
            </w:r>
          </w:p>
        </w:tc>
        <w:tc>
          <w:tcPr>
            <w:tcW w:w="883" w:type="dxa"/>
            <w:tcMar>
              <w:top w:w="0" w:type="dxa"/>
              <w:left w:w="108" w:type="dxa"/>
              <w:bottom w:w="0" w:type="dxa"/>
              <w:right w:w="108" w:type="dxa"/>
            </w:tcMar>
            <w:vAlign w:val="center"/>
            <w:hideMark/>
          </w:tcPr>
          <w:p w14:paraId="77177C61"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31.1</w:t>
            </w:r>
          </w:p>
        </w:tc>
        <w:tc>
          <w:tcPr>
            <w:tcW w:w="884" w:type="dxa"/>
            <w:tcMar>
              <w:top w:w="0" w:type="dxa"/>
              <w:left w:w="108" w:type="dxa"/>
              <w:bottom w:w="0" w:type="dxa"/>
              <w:right w:w="108" w:type="dxa"/>
            </w:tcMar>
            <w:vAlign w:val="center"/>
            <w:hideMark/>
          </w:tcPr>
          <w:p w14:paraId="5B0B87CD"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19.7</w:t>
            </w:r>
          </w:p>
        </w:tc>
      </w:tr>
      <w:tr w:rsidR="009149A4" w:rsidRPr="00EB5C0E" w14:paraId="26F5A3F1" w14:textId="77777777" w:rsidTr="00704C2B">
        <w:trPr>
          <w:trHeight w:val="585"/>
        </w:trPr>
        <w:tc>
          <w:tcPr>
            <w:tcW w:w="1638" w:type="dxa"/>
            <w:tcMar>
              <w:top w:w="0" w:type="dxa"/>
              <w:left w:w="108" w:type="dxa"/>
              <w:bottom w:w="0" w:type="dxa"/>
              <w:right w:w="108" w:type="dxa"/>
            </w:tcMar>
            <w:vAlign w:val="center"/>
            <w:hideMark/>
          </w:tcPr>
          <w:p w14:paraId="2D83E75E" w14:textId="77777777" w:rsidR="009149A4" w:rsidRPr="00EB5C0E" w:rsidRDefault="009149A4" w:rsidP="00704C2B">
            <w:pPr>
              <w:spacing w:after="0" w:line="240" w:lineRule="auto"/>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Very high risk (%)</w:t>
            </w:r>
          </w:p>
        </w:tc>
        <w:tc>
          <w:tcPr>
            <w:tcW w:w="883" w:type="dxa"/>
            <w:tcMar>
              <w:top w:w="0" w:type="dxa"/>
              <w:left w:w="108" w:type="dxa"/>
              <w:bottom w:w="0" w:type="dxa"/>
              <w:right w:w="108" w:type="dxa"/>
            </w:tcMar>
            <w:vAlign w:val="center"/>
            <w:hideMark/>
          </w:tcPr>
          <w:p w14:paraId="384FD3CC"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13.7</w:t>
            </w:r>
          </w:p>
        </w:tc>
        <w:tc>
          <w:tcPr>
            <w:tcW w:w="883" w:type="dxa"/>
            <w:tcMar>
              <w:top w:w="0" w:type="dxa"/>
              <w:left w:w="108" w:type="dxa"/>
              <w:bottom w:w="0" w:type="dxa"/>
              <w:right w:w="108" w:type="dxa"/>
            </w:tcMar>
            <w:vAlign w:val="center"/>
            <w:hideMark/>
          </w:tcPr>
          <w:p w14:paraId="697CF9FF"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14.0</w:t>
            </w:r>
          </w:p>
        </w:tc>
        <w:tc>
          <w:tcPr>
            <w:tcW w:w="883" w:type="dxa"/>
            <w:tcMar>
              <w:top w:w="0" w:type="dxa"/>
              <w:left w:w="108" w:type="dxa"/>
              <w:bottom w:w="0" w:type="dxa"/>
              <w:right w:w="108" w:type="dxa"/>
            </w:tcMar>
            <w:vAlign w:val="center"/>
            <w:hideMark/>
          </w:tcPr>
          <w:p w14:paraId="7A8F9103"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16.0</w:t>
            </w:r>
          </w:p>
        </w:tc>
        <w:tc>
          <w:tcPr>
            <w:tcW w:w="883" w:type="dxa"/>
            <w:tcMar>
              <w:top w:w="0" w:type="dxa"/>
              <w:left w:w="108" w:type="dxa"/>
              <w:bottom w:w="0" w:type="dxa"/>
              <w:right w:w="108" w:type="dxa"/>
            </w:tcMar>
            <w:vAlign w:val="center"/>
            <w:hideMark/>
          </w:tcPr>
          <w:p w14:paraId="70BB1713"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16.0</w:t>
            </w:r>
          </w:p>
        </w:tc>
        <w:tc>
          <w:tcPr>
            <w:tcW w:w="883" w:type="dxa"/>
            <w:tcMar>
              <w:top w:w="0" w:type="dxa"/>
              <w:left w:w="108" w:type="dxa"/>
              <w:bottom w:w="0" w:type="dxa"/>
              <w:right w:w="108" w:type="dxa"/>
            </w:tcMar>
            <w:vAlign w:val="center"/>
            <w:hideMark/>
          </w:tcPr>
          <w:p w14:paraId="54711ED3"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16.3</w:t>
            </w:r>
          </w:p>
        </w:tc>
        <w:tc>
          <w:tcPr>
            <w:tcW w:w="883" w:type="dxa"/>
            <w:tcMar>
              <w:top w:w="0" w:type="dxa"/>
              <w:left w:w="108" w:type="dxa"/>
              <w:bottom w:w="0" w:type="dxa"/>
              <w:right w:w="108" w:type="dxa"/>
            </w:tcMar>
            <w:vAlign w:val="center"/>
            <w:hideMark/>
          </w:tcPr>
          <w:p w14:paraId="12B86649"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17.3</w:t>
            </w:r>
          </w:p>
        </w:tc>
        <w:tc>
          <w:tcPr>
            <w:tcW w:w="883" w:type="dxa"/>
            <w:tcMar>
              <w:top w:w="0" w:type="dxa"/>
              <w:left w:w="108" w:type="dxa"/>
              <w:bottom w:w="0" w:type="dxa"/>
              <w:right w:w="108" w:type="dxa"/>
            </w:tcMar>
            <w:vAlign w:val="center"/>
            <w:hideMark/>
          </w:tcPr>
          <w:p w14:paraId="4738CBFF"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17.1</w:t>
            </w:r>
          </w:p>
        </w:tc>
        <w:tc>
          <w:tcPr>
            <w:tcW w:w="883" w:type="dxa"/>
            <w:tcMar>
              <w:top w:w="0" w:type="dxa"/>
              <w:left w:w="108" w:type="dxa"/>
              <w:bottom w:w="0" w:type="dxa"/>
              <w:right w:w="108" w:type="dxa"/>
            </w:tcMar>
            <w:vAlign w:val="center"/>
            <w:hideMark/>
          </w:tcPr>
          <w:p w14:paraId="68F6C86E"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16.9</w:t>
            </w:r>
          </w:p>
        </w:tc>
        <w:tc>
          <w:tcPr>
            <w:tcW w:w="884" w:type="dxa"/>
            <w:tcMar>
              <w:top w:w="0" w:type="dxa"/>
              <w:left w:w="108" w:type="dxa"/>
              <w:bottom w:w="0" w:type="dxa"/>
              <w:right w:w="108" w:type="dxa"/>
            </w:tcMar>
            <w:vAlign w:val="center"/>
            <w:hideMark/>
          </w:tcPr>
          <w:p w14:paraId="5E741926" w14:textId="77777777" w:rsidR="009149A4" w:rsidRPr="00EB5C0E" w:rsidRDefault="009149A4" w:rsidP="00704C2B">
            <w:pPr>
              <w:spacing w:after="0" w:line="240" w:lineRule="auto"/>
              <w:jc w:val="center"/>
              <w:rPr>
                <w:rFonts w:asciiTheme="minorHAnsi" w:eastAsia="Calibri" w:hAnsiTheme="minorHAnsi" w:cs="Calibri"/>
                <w:color w:val="000000"/>
                <w:sz w:val="20"/>
                <w:szCs w:val="20"/>
                <w:lang w:eastAsia="en-GB"/>
              </w:rPr>
            </w:pPr>
            <w:r w:rsidRPr="00EB5C0E">
              <w:rPr>
                <w:rFonts w:asciiTheme="minorHAnsi" w:eastAsia="Calibri" w:hAnsiTheme="minorHAnsi" w:cs="Calibri"/>
                <w:color w:val="000000"/>
                <w:sz w:val="20"/>
                <w:szCs w:val="20"/>
                <w:lang w:eastAsia="en-GB"/>
              </w:rPr>
              <w:t>15.6</w:t>
            </w:r>
          </w:p>
        </w:tc>
      </w:tr>
    </w:tbl>
    <w:p w14:paraId="29F9EEB2" w14:textId="51AE5C54" w:rsidR="006D5FF3" w:rsidRPr="00E200AD" w:rsidRDefault="006D5FF3" w:rsidP="00142AFF">
      <w:pPr>
        <w:spacing w:after="0" w:line="240" w:lineRule="auto"/>
        <w:rPr>
          <w:bCs/>
        </w:rPr>
      </w:pPr>
    </w:p>
    <w:sectPr w:rsidR="006D5FF3" w:rsidRPr="00E200AD" w:rsidSect="00D63685">
      <w:footerReference w:type="even" r:id="rId14"/>
      <w:footerReference w:type="default" r:id="rId15"/>
      <w:pgSz w:w="11907" w:h="16840" w:code="9"/>
      <w:pgMar w:top="1440" w:right="1440" w:bottom="1276"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05F32" w14:textId="77777777" w:rsidR="004F5B32" w:rsidRDefault="004F5B32">
      <w:r>
        <w:separator/>
      </w:r>
    </w:p>
  </w:endnote>
  <w:endnote w:type="continuationSeparator" w:id="0">
    <w:p w14:paraId="176C0A7E" w14:textId="77777777" w:rsidR="004F5B32" w:rsidRDefault="004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55 Roman">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A43D" w14:textId="77777777" w:rsidR="00C4466A" w:rsidRDefault="00C4466A" w:rsidP="00D43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1A6592" w14:textId="77777777" w:rsidR="00C4466A" w:rsidRDefault="00C4466A" w:rsidP="00D43A42">
    <w:pPr>
      <w:pStyle w:val="Footer"/>
      <w:ind w:right="360"/>
    </w:pPr>
  </w:p>
  <w:p w14:paraId="3BB7485D" w14:textId="77777777" w:rsidR="00C4466A" w:rsidRDefault="00C4466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8978" w14:textId="0290CEAA" w:rsidR="00C4466A" w:rsidRPr="004F070D" w:rsidRDefault="00C4466A">
    <w:pPr>
      <w:pStyle w:val="Footer"/>
      <w:jc w:val="right"/>
      <w:rPr>
        <w:sz w:val="20"/>
        <w:szCs w:val="20"/>
      </w:rPr>
    </w:pPr>
    <w:r w:rsidRPr="004F070D">
      <w:rPr>
        <w:sz w:val="20"/>
        <w:szCs w:val="20"/>
      </w:rPr>
      <w:fldChar w:fldCharType="begin"/>
    </w:r>
    <w:r w:rsidRPr="004F070D">
      <w:rPr>
        <w:sz w:val="20"/>
        <w:szCs w:val="20"/>
      </w:rPr>
      <w:instrText xml:space="preserve"> PAGE   \* MERGEFORMAT </w:instrText>
    </w:r>
    <w:r w:rsidRPr="004F070D">
      <w:rPr>
        <w:sz w:val="20"/>
        <w:szCs w:val="20"/>
      </w:rPr>
      <w:fldChar w:fldCharType="separate"/>
    </w:r>
    <w:r w:rsidR="002408FF">
      <w:rPr>
        <w:noProof/>
        <w:sz w:val="20"/>
        <w:szCs w:val="20"/>
      </w:rPr>
      <w:t>1</w:t>
    </w:r>
    <w:r w:rsidRPr="004F070D">
      <w:rPr>
        <w:noProof/>
        <w:sz w:val="20"/>
        <w:szCs w:val="20"/>
      </w:rPr>
      <w:fldChar w:fldCharType="end"/>
    </w:r>
  </w:p>
  <w:p w14:paraId="4767AD2A" w14:textId="77777777" w:rsidR="00C4466A" w:rsidRDefault="00C4466A" w:rsidP="00D43A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8EB3" w14:textId="77777777" w:rsidR="004F5B32" w:rsidRDefault="004F5B32">
      <w:r>
        <w:separator/>
      </w:r>
    </w:p>
  </w:footnote>
  <w:footnote w:type="continuationSeparator" w:id="0">
    <w:p w14:paraId="7848B72C" w14:textId="77777777" w:rsidR="004F5B32" w:rsidRDefault="004F5B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C5"/>
    <w:multiLevelType w:val="hybridMultilevel"/>
    <w:tmpl w:val="75A6EF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2A08"/>
    <w:multiLevelType w:val="hybridMultilevel"/>
    <w:tmpl w:val="D55E2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3ECC"/>
    <w:multiLevelType w:val="hybridMultilevel"/>
    <w:tmpl w:val="94305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21C45"/>
    <w:multiLevelType w:val="hybridMultilevel"/>
    <w:tmpl w:val="60DAE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601A14"/>
    <w:multiLevelType w:val="singleLevel"/>
    <w:tmpl w:val="08090001"/>
    <w:lvl w:ilvl="0">
      <w:start w:val="1"/>
      <w:numFmt w:val="bullet"/>
      <w:lvlText w:val=""/>
      <w:lvlJc w:val="left"/>
      <w:pPr>
        <w:ind w:left="644" w:hanging="360"/>
      </w:pPr>
      <w:rPr>
        <w:rFonts w:ascii="Symbol" w:hAnsi="Symbol" w:hint="default"/>
      </w:rPr>
    </w:lvl>
  </w:abstractNum>
  <w:abstractNum w:abstractNumId="5" w15:restartNumberingAfterBreak="0">
    <w:nsid w:val="10664B2D"/>
    <w:multiLevelType w:val="hybridMultilevel"/>
    <w:tmpl w:val="3D7ACC14"/>
    <w:lvl w:ilvl="0" w:tplc="31362D8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9F8"/>
    <w:multiLevelType w:val="hybridMultilevel"/>
    <w:tmpl w:val="ADB0CE50"/>
    <w:lvl w:ilvl="0" w:tplc="61C8B70C">
      <w:start w:val="1"/>
      <w:numFmt w:val="bullet"/>
      <w:lvlText w:val="•"/>
      <w:lvlJc w:val="left"/>
      <w:pPr>
        <w:tabs>
          <w:tab w:val="num" w:pos="720"/>
        </w:tabs>
        <w:ind w:left="720" w:hanging="360"/>
      </w:pPr>
      <w:rPr>
        <w:rFonts w:ascii="Arial" w:hAnsi="Arial" w:hint="default"/>
      </w:rPr>
    </w:lvl>
    <w:lvl w:ilvl="1" w:tplc="C6AAF7EE">
      <w:numFmt w:val="bullet"/>
      <w:lvlText w:val="−"/>
      <w:lvlJc w:val="left"/>
      <w:pPr>
        <w:tabs>
          <w:tab w:val="num" w:pos="1440"/>
        </w:tabs>
        <w:ind w:left="1440" w:hanging="360"/>
      </w:pPr>
      <w:rPr>
        <w:rFonts w:ascii="Arial" w:hAnsi="Arial" w:hint="default"/>
      </w:rPr>
    </w:lvl>
    <w:lvl w:ilvl="2" w:tplc="229E865A" w:tentative="1">
      <w:start w:val="1"/>
      <w:numFmt w:val="bullet"/>
      <w:lvlText w:val="•"/>
      <w:lvlJc w:val="left"/>
      <w:pPr>
        <w:tabs>
          <w:tab w:val="num" w:pos="2160"/>
        </w:tabs>
        <w:ind w:left="2160" w:hanging="360"/>
      </w:pPr>
      <w:rPr>
        <w:rFonts w:ascii="Arial" w:hAnsi="Arial" w:hint="default"/>
      </w:rPr>
    </w:lvl>
    <w:lvl w:ilvl="3" w:tplc="BC549700" w:tentative="1">
      <w:start w:val="1"/>
      <w:numFmt w:val="bullet"/>
      <w:lvlText w:val="•"/>
      <w:lvlJc w:val="left"/>
      <w:pPr>
        <w:tabs>
          <w:tab w:val="num" w:pos="2880"/>
        </w:tabs>
        <w:ind w:left="2880" w:hanging="360"/>
      </w:pPr>
      <w:rPr>
        <w:rFonts w:ascii="Arial" w:hAnsi="Arial" w:hint="default"/>
      </w:rPr>
    </w:lvl>
    <w:lvl w:ilvl="4" w:tplc="41B659E6" w:tentative="1">
      <w:start w:val="1"/>
      <w:numFmt w:val="bullet"/>
      <w:lvlText w:val="•"/>
      <w:lvlJc w:val="left"/>
      <w:pPr>
        <w:tabs>
          <w:tab w:val="num" w:pos="3600"/>
        </w:tabs>
        <w:ind w:left="3600" w:hanging="360"/>
      </w:pPr>
      <w:rPr>
        <w:rFonts w:ascii="Arial" w:hAnsi="Arial" w:hint="default"/>
      </w:rPr>
    </w:lvl>
    <w:lvl w:ilvl="5" w:tplc="2092FE12" w:tentative="1">
      <w:start w:val="1"/>
      <w:numFmt w:val="bullet"/>
      <w:lvlText w:val="•"/>
      <w:lvlJc w:val="left"/>
      <w:pPr>
        <w:tabs>
          <w:tab w:val="num" w:pos="4320"/>
        </w:tabs>
        <w:ind w:left="4320" w:hanging="360"/>
      </w:pPr>
      <w:rPr>
        <w:rFonts w:ascii="Arial" w:hAnsi="Arial" w:hint="default"/>
      </w:rPr>
    </w:lvl>
    <w:lvl w:ilvl="6" w:tplc="92D6B55E" w:tentative="1">
      <w:start w:val="1"/>
      <w:numFmt w:val="bullet"/>
      <w:lvlText w:val="•"/>
      <w:lvlJc w:val="left"/>
      <w:pPr>
        <w:tabs>
          <w:tab w:val="num" w:pos="5040"/>
        </w:tabs>
        <w:ind w:left="5040" w:hanging="360"/>
      </w:pPr>
      <w:rPr>
        <w:rFonts w:ascii="Arial" w:hAnsi="Arial" w:hint="default"/>
      </w:rPr>
    </w:lvl>
    <w:lvl w:ilvl="7" w:tplc="758270B4" w:tentative="1">
      <w:start w:val="1"/>
      <w:numFmt w:val="bullet"/>
      <w:lvlText w:val="•"/>
      <w:lvlJc w:val="left"/>
      <w:pPr>
        <w:tabs>
          <w:tab w:val="num" w:pos="5760"/>
        </w:tabs>
        <w:ind w:left="5760" w:hanging="360"/>
      </w:pPr>
      <w:rPr>
        <w:rFonts w:ascii="Arial" w:hAnsi="Arial" w:hint="default"/>
      </w:rPr>
    </w:lvl>
    <w:lvl w:ilvl="8" w:tplc="4CFA73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1D3690"/>
    <w:multiLevelType w:val="hybridMultilevel"/>
    <w:tmpl w:val="C90A3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57E7C"/>
    <w:multiLevelType w:val="hybridMultilevel"/>
    <w:tmpl w:val="6D249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5A052B"/>
    <w:multiLevelType w:val="hybridMultilevel"/>
    <w:tmpl w:val="403CC3DA"/>
    <w:lvl w:ilvl="0" w:tplc="B212F3EA">
      <w:start w:val="1"/>
      <w:numFmt w:val="bullet"/>
      <w:lvlText w:val=""/>
      <w:lvlJc w:val="left"/>
      <w:pPr>
        <w:ind w:left="360" w:hanging="360"/>
      </w:pPr>
      <w:rPr>
        <w:rFonts w:ascii="Symbol" w:hAnsi="Symbol" w:hint="default"/>
        <w:color w:val="9933F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94B7D85"/>
    <w:multiLevelType w:val="hybridMultilevel"/>
    <w:tmpl w:val="6770A27C"/>
    <w:lvl w:ilvl="0" w:tplc="D9C63426">
      <w:start w:val="1"/>
      <w:numFmt w:val="bullet"/>
      <w:lvlText w:val="•"/>
      <w:lvlJc w:val="left"/>
      <w:pPr>
        <w:tabs>
          <w:tab w:val="num" w:pos="720"/>
        </w:tabs>
        <w:ind w:left="720" w:hanging="360"/>
      </w:pPr>
      <w:rPr>
        <w:rFonts w:ascii="Arial" w:hAnsi="Arial" w:hint="default"/>
      </w:rPr>
    </w:lvl>
    <w:lvl w:ilvl="1" w:tplc="0E8ED0F6" w:tentative="1">
      <w:start w:val="1"/>
      <w:numFmt w:val="bullet"/>
      <w:lvlText w:val="•"/>
      <w:lvlJc w:val="left"/>
      <w:pPr>
        <w:tabs>
          <w:tab w:val="num" w:pos="1440"/>
        </w:tabs>
        <w:ind w:left="1440" w:hanging="360"/>
      </w:pPr>
      <w:rPr>
        <w:rFonts w:ascii="Arial" w:hAnsi="Arial" w:hint="default"/>
      </w:rPr>
    </w:lvl>
    <w:lvl w:ilvl="2" w:tplc="2B22FD28" w:tentative="1">
      <w:start w:val="1"/>
      <w:numFmt w:val="bullet"/>
      <w:lvlText w:val="•"/>
      <w:lvlJc w:val="left"/>
      <w:pPr>
        <w:tabs>
          <w:tab w:val="num" w:pos="2160"/>
        </w:tabs>
        <w:ind w:left="2160" w:hanging="360"/>
      </w:pPr>
      <w:rPr>
        <w:rFonts w:ascii="Arial" w:hAnsi="Arial" w:hint="default"/>
      </w:rPr>
    </w:lvl>
    <w:lvl w:ilvl="3" w:tplc="72162C56" w:tentative="1">
      <w:start w:val="1"/>
      <w:numFmt w:val="bullet"/>
      <w:lvlText w:val="•"/>
      <w:lvlJc w:val="left"/>
      <w:pPr>
        <w:tabs>
          <w:tab w:val="num" w:pos="2880"/>
        </w:tabs>
        <w:ind w:left="2880" w:hanging="360"/>
      </w:pPr>
      <w:rPr>
        <w:rFonts w:ascii="Arial" w:hAnsi="Arial" w:hint="default"/>
      </w:rPr>
    </w:lvl>
    <w:lvl w:ilvl="4" w:tplc="47DE7510" w:tentative="1">
      <w:start w:val="1"/>
      <w:numFmt w:val="bullet"/>
      <w:lvlText w:val="•"/>
      <w:lvlJc w:val="left"/>
      <w:pPr>
        <w:tabs>
          <w:tab w:val="num" w:pos="3600"/>
        </w:tabs>
        <w:ind w:left="3600" w:hanging="360"/>
      </w:pPr>
      <w:rPr>
        <w:rFonts w:ascii="Arial" w:hAnsi="Arial" w:hint="default"/>
      </w:rPr>
    </w:lvl>
    <w:lvl w:ilvl="5" w:tplc="760ACBC0" w:tentative="1">
      <w:start w:val="1"/>
      <w:numFmt w:val="bullet"/>
      <w:lvlText w:val="•"/>
      <w:lvlJc w:val="left"/>
      <w:pPr>
        <w:tabs>
          <w:tab w:val="num" w:pos="4320"/>
        </w:tabs>
        <w:ind w:left="4320" w:hanging="360"/>
      </w:pPr>
      <w:rPr>
        <w:rFonts w:ascii="Arial" w:hAnsi="Arial" w:hint="default"/>
      </w:rPr>
    </w:lvl>
    <w:lvl w:ilvl="6" w:tplc="33886C1E" w:tentative="1">
      <w:start w:val="1"/>
      <w:numFmt w:val="bullet"/>
      <w:lvlText w:val="•"/>
      <w:lvlJc w:val="left"/>
      <w:pPr>
        <w:tabs>
          <w:tab w:val="num" w:pos="5040"/>
        </w:tabs>
        <w:ind w:left="5040" w:hanging="360"/>
      </w:pPr>
      <w:rPr>
        <w:rFonts w:ascii="Arial" w:hAnsi="Arial" w:hint="default"/>
      </w:rPr>
    </w:lvl>
    <w:lvl w:ilvl="7" w:tplc="1A9A004A" w:tentative="1">
      <w:start w:val="1"/>
      <w:numFmt w:val="bullet"/>
      <w:lvlText w:val="•"/>
      <w:lvlJc w:val="left"/>
      <w:pPr>
        <w:tabs>
          <w:tab w:val="num" w:pos="5760"/>
        </w:tabs>
        <w:ind w:left="5760" w:hanging="360"/>
      </w:pPr>
      <w:rPr>
        <w:rFonts w:ascii="Arial" w:hAnsi="Arial" w:hint="default"/>
      </w:rPr>
    </w:lvl>
    <w:lvl w:ilvl="8" w:tplc="4F1A1A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6F2C0D"/>
    <w:multiLevelType w:val="hybridMultilevel"/>
    <w:tmpl w:val="6512CE06"/>
    <w:lvl w:ilvl="0" w:tplc="B212F3EA">
      <w:start w:val="1"/>
      <w:numFmt w:val="bullet"/>
      <w:lvlText w:val=""/>
      <w:lvlJc w:val="left"/>
      <w:pPr>
        <w:ind w:left="360" w:hanging="360"/>
      </w:pPr>
      <w:rPr>
        <w:rFonts w:ascii="Symbol" w:hAnsi="Symbol" w:hint="default"/>
        <w:color w:val="9933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1C69A7"/>
    <w:multiLevelType w:val="hybridMultilevel"/>
    <w:tmpl w:val="84E6D220"/>
    <w:lvl w:ilvl="0" w:tplc="D48A4E9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306E8D"/>
    <w:multiLevelType w:val="hybridMultilevel"/>
    <w:tmpl w:val="9C66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8E5166"/>
    <w:multiLevelType w:val="hybridMultilevel"/>
    <w:tmpl w:val="D6EE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373D3"/>
    <w:multiLevelType w:val="hybridMultilevel"/>
    <w:tmpl w:val="52CCD6B6"/>
    <w:lvl w:ilvl="0" w:tplc="A10A6E06">
      <w:start w:val="1"/>
      <w:numFmt w:val="bullet"/>
      <w:lvlText w:val="•"/>
      <w:lvlJc w:val="left"/>
      <w:pPr>
        <w:tabs>
          <w:tab w:val="num" w:pos="720"/>
        </w:tabs>
        <w:ind w:left="720" w:hanging="360"/>
      </w:pPr>
      <w:rPr>
        <w:rFonts w:ascii="Arial" w:hAnsi="Arial" w:hint="default"/>
      </w:rPr>
    </w:lvl>
    <w:lvl w:ilvl="1" w:tplc="6528190A" w:tentative="1">
      <w:start w:val="1"/>
      <w:numFmt w:val="bullet"/>
      <w:lvlText w:val="•"/>
      <w:lvlJc w:val="left"/>
      <w:pPr>
        <w:tabs>
          <w:tab w:val="num" w:pos="1440"/>
        </w:tabs>
        <w:ind w:left="1440" w:hanging="360"/>
      </w:pPr>
      <w:rPr>
        <w:rFonts w:ascii="Arial" w:hAnsi="Arial" w:hint="default"/>
      </w:rPr>
    </w:lvl>
    <w:lvl w:ilvl="2" w:tplc="DBD8912C" w:tentative="1">
      <w:start w:val="1"/>
      <w:numFmt w:val="bullet"/>
      <w:lvlText w:val="•"/>
      <w:lvlJc w:val="left"/>
      <w:pPr>
        <w:tabs>
          <w:tab w:val="num" w:pos="2160"/>
        </w:tabs>
        <w:ind w:left="2160" w:hanging="360"/>
      </w:pPr>
      <w:rPr>
        <w:rFonts w:ascii="Arial" w:hAnsi="Arial" w:hint="default"/>
      </w:rPr>
    </w:lvl>
    <w:lvl w:ilvl="3" w:tplc="CEE4BC60" w:tentative="1">
      <w:start w:val="1"/>
      <w:numFmt w:val="bullet"/>
      <w:lvlText w:val="•"/>
      <w:lvlJc w:val="left"/>
      <w:pPr>
        <w:tabs>
          <w:tab w:val="num" w:pos="2880"/>
        </w:tabs>
        <w:ind w:left="2880" w:hanging="360"/>
      </w:pPr>
      <w:rPr>
        <w:rFonts w:ascii="Arial" w:hAnsi="Arial" w:hint="default"/>
      </w:rPr>
    </w:lvl>
    <w:lvl w:ilvl="4" w:tplc="4D3EACBC" w:tentative="1">
      <w:start w:val="1"/>
      <w:numFmt w:val="bullet"/>
      <w:lvlText w:val="•"/>
      <w:lvlJc w:val="left"/>
      <w:pPr>
        <w:tabs>
          <w:tab w:val="num" w:pos="3600"/>
        </w:tabs>
        <w:ind w:left="3600" w:hanging="360"/>
      </w:pPr>
      <w:rPr>
        <w:rFonts w:ascii="Arial" w:hAnsi="Arial" w:hint="default"/>
      </w:rPr>
    </w:lvl>
    <w:lvl w:ilvl="5" w:tplc="579215EC" w:tentative="1">
      <w:start w:val="1"/>
      <w:numFmt w:val="bullet"/>
      <w:lvlText w:val="•"/>
      <w:lvlJc w:val="left"/>
      <w:pPr>
        <w:tabs>
          <w:tab w:val="num" w:pos="4320"/>
        </w:tabs>
        <w:ind w:left="4320" w:hanging="360"/>
      </w:pPr>
      <w:rPr>
        <w:rFonts w:ascii="Arial" w:hAnsi="Arial" w:hint="default"/>
      </w:rPr>
    </w:lvl>
    <w:lvl w:ilvl="6" w:tplc="42B69D9C" w:tentative="1">
      <w:start w:val="1"/>
      <w:numFmt w:val="bullet"/>
      <w:lvlText w:val="•"/>
      <w:lvlJc w:val="left"/>
      <w:pPr>
        <w:tabs>
          <w:tab w:val="num" w:pos="5040"/>
        </w:tabs>
        <w:ind w:left="5040" w:hanging="360"/>
      </w:pPr>
      <w:rPr>
        <w:rFonts w:ascii="Arial" w:hAnsi="Arial" w:hint="default"/>
      </w:rPr>
    </w:lvl>
    <w:lvl w:ilvl="7" w:tplc="F4D8B3C0" w:tentative="1">
      <w:start w:val="1"/>
      <w:numFmt w:val="bullet"/>
      <w:lvlText w:val="•"/>
      <w:lvlJc w:val="left"/>
      <w:pPr>
        <w:tabs>
          <w:tab w:val="num" w:pos="5760"/>
        </w:tabs>
        <w:ind w:left="5760" w:hanging="360"/>
      </w:pPr>
      <w:rPr>
        <w:rFonts w:ascii="Arial" w:hAnsi="Arial" w:hint="default"/>
      </w:rPr>
    </w:lvl>
    <w:lvl w:ilvl="8" w:tplc="4DF088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083A3A"/>
    <w:multiLevelType w:val="hybridMultilevel"/>
    <w:tmpl w:val="EAF8E3F0"/>
    <w:lvl w:ilvl="0" w:tplc="2BC80DDE">
      <w:start w:val="1"/>
      <w:numFmt w:val="bullet"/>
      <w:lvlText w:val="•"/>
      <w:lvlJc w:val="left"/>
      <w:pPr>
        <w:tabs>
          <w:tab w:val="num" w:pos="720"/>
        </w:tabs>
        <w:ind w:left="720" w:hanging="360"/>
      </w:pPr>
      <w:rPr>
        <w:rFonts w:ascii="Arial" w:hAnsi="Arial" w:hint="default"/>
      </w:rPr>
    </w:lvl>
    <w:lvl w:ilvl="1" w:tplc="45B6E898" w:tentative="1">
      <w:start w:val="1"/>
      <w:numFmt w:val="bullet"/>
      <w:lvlText w:val="•"/>
      <w:lvlJc w:val="left"/>
      <w:pPr>
        <w:tabs>
          <w:tab w:val="num" w:pos="1440"/>
        </w:tabs>
        <w:ind w:left="1440" w:hanging="360"/>
      </w:pPr>
      <w:rPr>
        <w:rFonts w:ascii="Arial" w:hAnsi="Arial" w:hint="default"/>
      </w:rPr>
    </w:lvl>
    <w:lvl w:ilvl="2" w:tplc="C186A744" w:tentative="1">
      <w:start w:val="1"/>
      <w:numFmt w:val="bullet"/>
      <w:lvlText w:val="•"/>
      <w:lvlJc w:val="left"/>
      <w:pPr>
        <w:tabs>
          <w:tab w:val="num" w:pos="2160"/>
        </w:tabs>
        <w:ind w:left="2160" w:hanging="360"/>
      </w:pPr>
      <w:rPr>
        <w:rFonts w:ascii="Arial" w:hAnsi="Arial" w:hint="default"/>
      </w:rPr>
    </w:lvl>
    <w:lvl w:ilvl="3" w:tplc="6CCC5ABE" w:tentative="1">
      <w:start w:val="1"/>
      <w:numFmt w:val="bullet"/>
      <w:lvlText w:val="•"/>
      <w:lvlJc w:val="left"/>
      <w:pPr>
        <w:tabs>
          <w:tab w:val="num" w:pos="2880"/>
        </w:tabs>
        <w:ind w:left="2880" w:hanging="360"/>
      </w:pPr>
      <w:rPr>
        <w:rFonts w:ascii="Arial" w:hAnsi="Arial" w:hint="default"/>
      </w:rPr>
    </w:lvl>
    <w:lvl w:ilvl="4" w:tplc="90FA5614" w:tentative="1">
      <w:start w:val="1"/>
      <w:numFmt w:val="bullet"/>
      <w:lvlText w:val="•"/>
      <w:lvlJc w:val="left"/>
      <w:pPr>
        <w:tabs>
          <w:tab w:val="num" w:pos="3600"/>
        </w:tabs>
        <w:ind w:left="3600" w:hanging="360"/>
      </w:pPr>
      <w:rPr>
        <w:rFonts w:ascii="Arial" w:hAnsi="Arial" w:hint="default"/>
      </w:rPr>
    </w:lvl>
    <w:lvl w:ilvl="5" w:tplc="D4181634" w:tentative="1">
      <w:start w:val="1"/>
      <w:numFmt w:val="bullet"/>
      <w:lvlText w:val="•"/>
      <w:lvlJc w:val="left"/>
      <w:pPr>
        <w:tabs>
          <w:tab w:val="num" w:pos="4320"/>
        </w:tabs>
        <w:ind w:left="4320" w:hanging="360"/>
      </w:pPr>
      <w:rPr>
        <w:rFonts w:ascii="Arial" w:hAnsi="Arial" w:hint="default"/>
      </w:rPr>
    </w:lvl>
    <w:lvl w:ilvl="6" w:tplc="32B258B8" w:tentative="1">
      <w:start w:val="1"/>
      <w:numFmt w:val="bullet"/>
      <w:lvlText w:val="•"/>
      <w:lvlJc w:val="left"/>
      <w:pPr>
        <w:tabs>
          <w:tab w:val="num" w:pos="5040"/>
        </w:tabs>
        <w:ind w:left="5040" w:hanging="360"/>
      </w:pPr>
      <w:rPr>
        <w:rFonts w:ascii="Arial" w:hAnsi="Arial" w:hint="default"/>
      </w:rPr>
    </w:lvl>
    <w:lvl w:ilvl="7" w:tplc="1892F6A8" w:tentative="1">
      <w:start w:val="1"/>
      <w:numFmt w:val="bullet"/>
      <w:lvlText w:val="•"/>
      <w:lvlJc w:val="left"/>
      <w:pPr>
        <w:tabs>
          <w:tab w:val="num" w:pos="5760"/>
        </w:tabs>
        <w:ind w:left="5760" w:hanging="360"/>
      </w:pPr>
      <w:rPr>
        <w:rFonts w:ascii="Arial" w:hAnsi="Arial" w:hint="default"/>
      </w:rPr>
    </w:lvl>
    <w:lvl w:ilvl="8" w:tplc="3AC284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2E2C7B"/>
    <w:multiLevelType w:val="hybridMultilevel"/>
    <w:tmpl w:val="4D9E0DB4"/>
    <w:lvl w:ilvl="0" w:tplc="12C8D2D8">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937B9"/>
    <w:multiLevelType w:val="hybridMultilevel"/>
    <w:tmpl w:val="F91400EC"/>
    <w:lvl w:ilvl="0" w:tplc="BE4274FA">
      <w:start w:val="1"/>
      <w:numFmt w:val="bullet"/>
      <w:lvlText w:val="•"/>
      <w:lvlJc w:val="left"/>
      <w:pPr>
        <w:tabs>
          <w:tab w:val="num" w:pos="720"/>
        </w:tabs>
        <w:ind w:left="720" w:hanging="360"/>
      </w:pPr>
      <w:rPr>
        <w:rFonts w:ascii="Arial" w:hAnsi="Arial" w:hint="default"/>
      </w:rPr>
    </w:lvl>
    <w:lvl w:ilvl="1" w:tplc="0E2C1EAC" w:tentative="1">
      <w:start w:val="1"/>
      <w:numFmt w:val="bullet"/>
      <w:lvlText w:val="•"/>
      <w:lvlJc w:val="left"/>
      <w:pPr>
        <w:tabs>
          <w:tab w:val="num" w:pos="1440"/>
        </w:tabs>
        <w:ind w:left="1440" w:hanging="360"/>
      </w:pPr>
      <w:rPr>
        <w:rFonts w:ascii="Arial" w:hAnsi="Arial" w:hint="default"/>
      </w:rPr>
    </w:lvl>
    <w:lvl w:ilvl="2" w:tplc="FEB4FB14" w:tentative="1">
      <w:start w:val="1"/>
      <w:numFmt w:val="bullet"/>
      <w:lvlText w:val="•"/>
      <w:lvlJc w:val="left"/>
      <w:pPr>
        <w:tabs>
          <w:tab w:val="num" w:pos="2160"/>
        </w:tabs>
        <w:ind w:left="2160" w:hanging="360"/>
      </w:pPr>
      <w:rPr>
        <w:rFonts w:ascii="Arial" w:hAnsi="Arial" w:hint="default"/>
      </w:rPr>
    </w:lvl>
    <w:lvl w:ilvl="3" w:tplc="CDE435A2" w:tentative="1">
      <w:start w:val="1"/>
      <w:numFmt w:val="bullet"/>
      <w:lvlText w:val="•"/>
      <w:lvlJc w:val="left"/>
      <w:pPr>
        <w:tabs>
          <w:tab w:val="num" w:pos="2880"/>
        </w:tabs>
        <w:ind w:left="2880" w:hanging="360"/>
      </w:pPr>
      <w:rPr>
        <w:rFonts w:ascii="Arial" w:hAnsi="Arial" w:hint="default"/>
      </w:rPr>
    </w:lvl>
    <w:lvl w:ilvl="4" w:tplc="F9E684F2" w:tentative="1">
      <w:start w:val="1"/>
      <w:numFmt w:val="bullet"/>
      <w:lvlText w:val="•"/>
      <w:lvlJc w:val="left"/>
      <w:pPr>
        <w:tabs>
          <w:tab w:val="num" w:pos="3600"/>
        </w:tabs>
        <w:ind w:left="3600" w:hanging="360"/>
      </w:pPr>
      <w:rPr>
        <w:rFonts w:ascii="Arial" w:hAnsi="Arial" w:hint="default"/>
      </w:rPr>
    </w:lvl>
    <w:lvl w:ilvl="5" w:tplc="CB32D4AE" w:tentative="1">
      <w:start w:val="1"/>
      <w:numFmt w:val="bullet"/>
      <w:lvlText w:val="•"/>
      <w:lvlJc w:val="left"/>
      <w:pPr>
        <w:tabs>
          <w:tab w:val="num" w:pos="4320"/>
        </w:tabs>
        <w:ind w:left="4320" w:hanging="360"/>
      </w:pPr>
      <w:rPr>
        <w:rFonts w:ascii="Arial" w:hAnsi="Arial" w:hint="default"/>
      </w:rPr>
    </w:lvl>
    <w:lvl w:ilvl="6" w:tplc="BE7C3188" w:tentative="1">
      <w:start w:val="1"/>
      <w:numFmt w:val="bullet"/>
      <w:lvlText w:val="•"/>
      <w:lvlJc w:val="left"/>
      <w:pPr>
        <w:tabs>
          <w:tab w:val="num" w:pos="5040"/>
        </w:tabs>
        <w:ind w:left="5040" w:hanging="360"/>
      </w:pPr>
      <w:rPr>
        <w:rFonts w:ascii="Arial" w:hAnsi="Arial" w:hint="default"/>
      </w:rPr>
    </w:lvl>
    <w:lvl w:ilvl="7" w:tplc="853A69DA" w:tentative="1">
      <w:start w:val="1"/>
      <w:numFmt w:val="bullet"/>
      <w:lvlText w:val="•"/>
      <w:lvlJc w:val="left"/>
      <w:pPr>
        <w:tabs>
          <w:tab w:val="num" w:pos="5760"/>
        </w:tabs>
        <w:ind w:left="5760" w:hanging="360"/>
      </w:pPr>
      <w:rPr>
        <w:rFonts w:ascii="Arial" w:hAnsi="Arial" w:hint="default"/>
      </w:rPr>
    </w:lvl>
    <w:lvl w:ilvl="8" w:tplc="2EB890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E36E6B"/>
    <w:multiLevelType w:val="hybridMultilevel"/>
    <w:tmpl w:val="1E0E4C4A"/>
    <w:lvl w:ilvl="0" w:tplc="B212F3EA">
      <w:start w:val="1"/>
      <w:numFmt w:val="bullet"/>
      <w:lvlText w:val=""/>
      <w:lvlJc w:val="left"/>
      <w:pPr>
        <w:ind w:left="360" w:hanging="360"/>
      </w:pPr>
      <w:rPr>
        <w:rFonts w:ascii="Symbol" w:hAnsi="Symbol" w:hint="default"/>
        <w:color w:val="9933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2F2488"/>
    <w:multiLevelType w:val="hybridMultilevel"/>
    <w:tmpl w:val="7B4E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FA6DFC"/>
    <w:multiLevelType w:val="hybridMultilevel"/>
    <w:tmpl w:val="93F6F010"/>
    <w:lvl w:ilvl="0" w:tplc="394C69F6">
      <w:start w:val="39"/>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42D47"/>
    <w:multiLevelType w:val="hybridMultilevel"/>
    <w:tmpl w:val="644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F7E02"/>
    <w:multiLevelType w:val="hybridMultilevel"/>
    <w:tmpl w:val="3EEE7AE4"/>
    <w:lvl w:ilvl="0" w:tplc="31362D8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A34D0"/>
    <w:multiLevelType w:val="hybridMultilevel"/>
    <w:tmpl w:val="794E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E1F8C"/>
    <w:multiLevelType w:val="hybridMultilevel"/>
    <w:tmpl w:val="48E60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77737"/>
    <w:multiLevelType w:val="hybridMultilevel"/>
    <w:tmpl w:val="F170F9D6"/>
    <w:lvl w:ilvl="0" w:tplc="C824C3D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D6C01"/>
    <w:multiLevelType w:val="hybridMultilevel"/>
    <w:tmpl w:val="843E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B4BAF"/>
    <w:multiLevelType w:val="hybridMultilevel"/>
    <w:tmpl w:val="611E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A77B8"/>
    <w:multiLevelType w:val="hybridMultilevel"/>
    <w:tmpl w:val="1D802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37E57"/>
    <w:multiLevelType w:val="hybridMultilevel"/>
    <w:tmpl w:val="39CA6A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FC53C1"/>
    <w:multiLevelType w:val="hybridMultilevel"/>
    <w:tmpl w:val="B8B452BE"/>
    <w:lvl w:ilvl="0" w:tplc="BC5A76C0">
      <w:start w:val="1"/>
      <w:numFmt w:val="bullet"/>
      <w:lvlText w:val="•"/>
      <w:lvlJc w:val="left"/>
      <w:pPr>
        <w:tabs>
          <w:tab w:val="num" w:pos="720"/>
        </w:tabs>
        <w:ind w:left="720" w:hanging="360"/>
      </w:pPr>
      <w:rPr>
        <w:rFonts w:ascii="Arial" w:hAnsi="Arial" w:hint="default"/>
      </w:rPr>
    </w:lvl>
    <w:lvl w:ilvl="1" w:tplc="07DCEA8E" w:tentative="1">
      <w:start w:val="1"/>
      <w:numFmt w:val="bullet"/>
      <w:lvlText w:val="•"/>
      <w:lvlJc w:val="left"/>
      <w:pPr>
        <w:tabs>
          <w:tab w:val="num" w:pos="1440"/>
        </w:tabs>
        <w:ind w:left="1440" w:hanging="360"/>
      </w:pPr>
      <w:rPr>
        <w:rFonts w:ascii="Arial" w:hAnsi="Arial" w:hint="default"/>
      </w:rPr>
    </w:lvl>
    <w:lvl w:ilvl="2" w:tplc="04F4654A" w:tentative="1">
      <w:start w:val="1"/>
      <w:numFmt w:val="bullet"/>
      <w:lvlText w:val="•"/>
      <w:lvlJc w:val="left"/>
      <w:pPr>
        <w:tabs>
          <w:tab w:val="num" w:pos="2160"/>
        </w:tabs>
        <w:ind w:left="2160" w:hanging="360"/>
      </w:pPr>
      <w:rPr>
        <w:rFonts w:ascii="Arial" w:hAnsi="Arial" w:hint="default"/>
      </w:rPr>
    </w:lvl>
    <w:lvl w:ilvl="3" w:tplc="4AE6BE9C" w:tentative="1">
      <w:start w:val="1"/>
      <w:numFmt w:val="bullet"/>
      <w:lvlText w:val="•"/>
      <w:lvlJc w:val="left"/>
      <w:pPr>
        <w:tabs>
          <w:tab w:val="num" w:pos="2880"/>
        </w:tabs>
        <w:ind w:left="2880" w:hanging="360"/>
      </w:pPr>
      <w:rPr>
        <w:rFonts w:ascii="Arial" w:hAnsi="Arial" w:hint="default"/>
      </w:rPr>
    </w:lvl>
    <w:lvl w:ilvl="4" w:tplc="0426A348" w:tentative="1">
      <w:start w:val="1"/>
      <w:numFmt w:val="bullet"/>
      <w:lvlText w:val="•"/>
      <w:lvlJc w:val="left"/>
      <w:pPr>
        <w:tabs>
          <w:tab w:val="num" w:pos="3600"/>
        </w:tabs>
        <w:ind w:left="3600" w:hanging="360"/>
      </w:pPr>
      <w:rPr>
        <w:rFonts w:ascii="Arial" w:hAnsi="Arial" w:hint="default"/>
      </w:rPr>
    </w:lvl>
    <w:lvl w:ilvl="5" w:tplc="B4DA7C7A" w:tentative="1">
      <w:start w:val="1"/>
      <w:numFmt w:val="bullet"/>
      <w:lvlText w:val="•"/>
      <w:lvlJc w:val="left"/>
      <w:pPr>
        <w:tabs>
          <w:tab w:val="num" w:pos="4320"/>
        </w:tabs>
        <w:ind w:left="4320" w:hanging="360"/>
      </w:pPr>
      <w:rPr>
        <w:rFonts w:ascii="Arial" w:hAnsi="Arial" w:hint="default"/>
      </w:rPr>
    </w:lvl>
    <w:lvl w:ilvl="6" w:tplc="DFA07F44" w:tentative="1">
      <w:start w:val="1"/>
      <w:numFmt w:val="bullet"/>
      <w:lvlText w:val="•"/>
      <w:lvlJc w:val="left"/>
      <w:pPr>
        <w:tabs>
          <w:tab w:val="num" w:pos="5040"/>
        </w:tabs>
        <w:ind w:left="5040" w:hanging="360"/>
      </w:pPr>
      <w:rPr>
        <w:rFonts w:ascii="Arial" w:hAnsi="Arial" w:hint="default"/>
      </w:rPr>
    </w:lvl>
    <w:lvl w:ilvl="7" w:tplc="C8E448B8" w:tentative="1">
      <w:start w:val="1"/>
      <w:numFmt w:val="bullet"/>
      <w:lvlText w:val="•"/>
      <w:lvlJc w:val="left"/>
      <w:pPr>
        <w:tabs>
          <w:tab w:val="num" w:pos="5760"/>
        </w:tabs>
        <w:ind w:left="5760" w:hanging="360"/>
      </w:pPr>
      <w:rPr>
        <w:rFonts w:ascii="Arial" w:hAnsi="Arial" w:hint="default"/>
      </w:rPr>
    </w:lvl>
    <w:lvl w:ilvl="8" w:tplc="3EDCFF7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E74C1A"/>
    <w:multiLevelType w:val="hybridMultilevel"/>
    <w:tmpl w:val="18140190"/>
    <w:lvl w:ilvl="0" w:tplc="B212F3EA">
      <w:start w:val="1"/>
      <w:numFmt w:val="bullet"/>
      <w:lvlText w:val=""/>
      <w:lvlJc w:val="left"/>
      <w:pPr>
        <w:ind w:left="360" w:hanging="360"/>
      </w:pPr>
      <w:rPr>
        <w:rFonts w:ascii="Symbol" w:hAnsi="Symbol" w:hint="default"/>
        <w:color w:val="9933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214913"/>
    <w:multiLevelType w:val="hybridMultilevel"/>
    <w:tmpl w:val="2C1A3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D231D"/>
    <w:multiLevelType w:val="hybridMultilevel"/>
    <w:tmpl w:val="AFC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C52EF"/>
    <w:multiLevelType w:val="hybridMultilevel"/>
    <w:tmpl w:val="D24AE5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7173B"/>
    <w:multiLevelType w:val="hybridMultilevel"/>
    <w:tmpl w:val="BC767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2642AC"/>
    <w:multiLevelType w:val="hybridMultilevel"/>
    <w:tmpl w:val="5CCEA40A"/>
    <w:lvl w:ilvl="0" w:tplc="215C0F0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8" w15:restartNumberingAfterBreak="0">
    <w:nsid w:val="72503185"/>
    <w:multiLevelType w:val="hybridMultilevel"/>
    <w:tmpl w:val="F0ACB5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56443"/>
    <w:multiLevelType w:val="hybridMultilevel"/>
    <w:tmpl w:val="6186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11E34"/>
    <w:multiLevelType w:val="singleLevel"/>
    <w:tmpl w:val="2734582A"/>
    <w:lvl w:ilvl="0">
      <w:start w:val="415"/>
      <w:numFmt w:val="decimal"/>
      <w:lvlText w:val="%1."/>
      <w:lvlJc w:val="left"/>
      <w:pPr>
        <w:tabs>
          <w:tab w:val="num" w:pos="1244"/>
        </w:tabs>
        <w:ind w:left="1244" w:hanging="960"/>
      </w:pPr>
      <w:rPr>
        <w:rFonts w:hint="default"/>
        <w:b w:val="0"/>
      </w:rPr>
    </w:lvl>
  </w:abstractNum>
  <w:num w:numId="1">
    <w:abstractNumId w:val="23"/>
  </w:num>
  <w:num w:numId="2">
    <w:abstractNumId w:val="5"/>
  </w:num>
  <w:num w:numId="3">
    <w:abstractNumId w:val="13"/>
  </w:num>
  <w:num w:numId="4">
    <w:abstractNumId w:val="22"/>
  </w:num>
  <w:num w:numId="5">
    <w:abstractNumId w:val="17"/>
  </w:num>
  <w:num w:numId="6">
    <w:abstractNumId w:val="27"/>
  </w:num>
  <w:num w:numId="7">
    <w:abstractNumId w:val="37"/>
  </w:num>
  <w:num w:numId="8">
    <w:abstractNumId w:val="34"/>
  </w:num>
  <w:num w:numId="9">
    <w:abstractNumId w:val="14"/>
  </w:num>
  <w:num w:numId="10">
    <w:abstractNumId w:val="36"/>
  </w:num>
  <w:num w:numId="11">
    <w:abstractNumId w:val="11"/>
  </w:num>
  <w:num w:numId="12">
    <w:abstractNumId w:val="32"/>
  </w:num>
  <w:num w:numId="13">
    <w:abstractNumId w:val="9"/>
  </w:num>
  <w:num w:numId="14">
    <w:abstractNumId w:val="19"/>
  </w:num>
  <w:num w:numId="15">
    <w:abstractNumId w:val="2"/>
  </w:num>
  <w:num w:numId="16">
    <w:abstractNumId w:val="28"/>
  </w:num>
  <w:num w:numId="17">
    <w:abstractNumId w:val="25"/>
  </w:num>
  <w:num w:numId="18">
    <w:abstractNumId w:val="39"/>
  </w:num>
  <w:num w:numId="19">
    <w:abstractNumId w:val="24"/>
  </w:num>
  <w:num w:numId="20">
    <w:abstractNumId w:val="15"/>
  </w:num>
  <w:num w:numId="21">
    <w:abstractNumId w:val="31"/>
  </w:num>
  <w:num w:numId="22">
    <w:abstractNumId w:val="18"/>
  </w:num>
  <w:num w:numId="23">
    <w:abstractNumId w:val="16"/>
  </w:num>
  <w:num w:numId="24">
    <w:abstractNumId w:val="29"/>
  </w:num>
  <w:num w:numId="25">
    <w:abstractNumId w:val="8"/>
  </w:num>
  <w:num w:numId="26">
    <w:abstractNumId w:val="1"/>
  </w:num>
  <w:num w:numId="27">
    <w:abstractNumId w:val="10"/>
  </w:num>
  <w:num w:numId="28">
    <w:abstractNumId w:val="0"/>
  </w:num>
  <w:num w:numId="29">
    <w:abstractNumId w:val="30"/>
  </w:num>
  <w:num w:numId="30">
    <w:abstractNumId w:val="33"/>
  </w:num>
  <w:num w:numId="31">
    <w:abstractNumId w:val="6"/>
  </w:num>
  <w:num w:numId="32">
    <w:abstractNumId w:val="12"/>
  </w:num>
  <w:num w:numId="33">
    <w:abstractNumId w:val="7"/>
  </w:num>
  <w:num w:numId="34">
    <w:abstractNumId w:val="20"/>
  </w:num>
  <w:num w:numId="35">
    <w:abstractNumId w:val="26"/>
  </w:num>
  <w:num w:numId="36">
    <w:abstractNumId w:val="35"/>
  </w:num>
  <w:num w:numId="37">
    <w:abstractNumId w:val="38"/>
  </w:num>
  <w:num w:numId="38">
    <w:abstractNumId w:val="4"/>
  </w:num>
  <w:num w:numId="39">
    <w:abstractNumId w:val="3"/>
  </w:num>
  <w:num w:numId="40">
    <w:abstractNumId w:val="4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3NjY2NzYzMTQ1MjNR0lEKTi0uzszPAykwNK0FAHkbLCotAAAA"/>
    <w:docVar w:name="EN.InstantFormat" w:val="&lt;ENInstantFormat&gt;&lt;Enabled&gt;1&lt;/Enabled&gt;&lt;ScanUnformatted&gt;1&lt;/ScanUnformatted&gt;&lt;ScanChanges&gt;1&lt;/ScanChanges&gt;&lt;Suspended&gt;0&lt;/Suspended&gt;&lt;/ENInstantFormat&gt;"/>
    <w:docVar w:name="EN.Layout" w:val="&lt;ENLayout&gt;&lt;Style&gt;Osteoporosis Intl Copy&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xtfvpzlretemeftxz50e5jd0eds02zrtrs&quot;&gt;ESCEO osteoporosis&lt;record-ids&gt;&lt;item&gt;1&lt;/item&gt;&lt;item&gt;3&lt;/item&gt;&lt;item&gt;4&lt;/item&gt;&lt;item&gt;7&lt;/item&gt;&lt;item&gt;10&lt;/item&gt;&lt;item&gt;11&lt;/item&gt;&lt;item&gt;13&lt;/item&gt;&lt;item&gt;16&lt;/item&gt;&lt;item&gt;17&lt;/item&gt;&lt;item&gt;20&lt;/item&gt;&lt;item&gt;22&lt;/item&gt;&lt;item&gt;25&lt;/item&gt;&lt;item&gt;29&lt;/item&gt;&lt;item&gt;30&lt;/item&gt;&lt;item&gt;31&lt;/item&gt;&lt;item&gt;32&lt;/item&gt;&lt;item&gt;43&lt;/item&gt;&lt;item&gt;84&lt;/item&gt;&lt;item&gt;86&lt;/item&gt;&lt;item&gt;88&lt;/item&gt;&lt;item&gt;89&lt;/item&gt;&lt;item&gt;95&lt;/item&gt;&lt;item&gt;96&lt;/item&gt;&lt;item&gt;97&lt;/item&gt;&lt;item&gt;98&lt;/item&gt;&lt;item&gt;100&lt;/item&gt;&lt;item&gt;102&lt;/item&gt;&lt;item&gt;106&lt;/item&gt;&lt;item&gt;109&lt;/item&gt;&lt;item&gt;116&lt;/item&gt;&lt;item&gt;117&lt;/item&gt;&lt;item&gt;120&lt;/item&gt;&lt;item&gt;125&lt;/item&gt;&lt;item&gt;127&lt;/item&gt;&lt;item&gt;128&lt;/item&gt;&lt;item&gt;129&lt;/item&gt;&lt;item&gt;130&lt;/item&gt;&lt;item&gt;131&lt;/item&gt;&lt;item&gt;132&lt;/item&gt;&lt;item&gt;133&lt;/item&gt;&lt;item&gt;134&lt;/item&gt;&lt;item&gt;135&lt;/item&gt;&lt;item&gt;136&lt;/item&gt;&lt;item&gt;139&lt;/item&gt;&lt;item&gt;140&lt;/item&gt;&lt;item&gt;141&lt;/item&gt;&lt;item&gt;142&lt;/item&gt;&lt;item&gt;143&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record-ids&gt;&lt;/item&gt;&lt;/Libraries&gt;"/>
  </w:docVars>
  <w:rsids>
    <w:rsidRoot w:val="00721988"/>
    <w:rsid w:val="00000185"/>
    <w:rsid w:val="0000054F"/>
    <w:rsid w:val="000006A9"/>
    <w:rsid w:val="000009D7"/>
    <w:rsid w:val="00000A88"/>
    <w:rsid w:val="00000BD8"/>
    <w:rsid w:val="00000C2E"/>
    <w:rsid w:val="00000D75"/>
    <w:rsid w:val="00001043"/>
    <w:rsid w:val="00001951"/>
    <w:rsid w:val="00001E1C"/>
    <w:rsid w:val="00001F1B"/>
    <w:rsid w:val="000023ED"/>
    <w:rsid w:val="00002506"/>
    <w:rsid w:val="00002617"/>
    <w:rsid w:val="000033B7"/>
    <w:rsid w:val="00003451"/>
    <w:rsid w:val="00003765"/>
    <w:rsid w:val="00003C30"/>
    <w:rsid w:val="000043CC"/>
    <w:rsid w:val="00004679"/>
    <w:rsid w:val="00004AE4"/>
    <w:rsid w:val="0000525B"/>
    <w:rsid w:val="0000540B"/>
    <w:rsid w:val="000057E1"/>
    <w:rsid w:val="00005916"/>
    <w:rsid w:val="000061E5"/>
    <w:rsid w:val="000061F3"/>
    <w:rsid w:val="000067CD"/>
    <w:rsid w:val="00007007"/>
    <w:rsid w:val="000075CA"/>
    <w:rsid w:val="000076AE"/>
    <w:rsid w:val="00007FA9"/>
    <w:rsid w:val="000102AE"/>
    <w:rsid w:val="000114A6"/>
    <w:rsid w:val="00011A94"/>
    <w:rsid w:val="000126BB"/>
    <w:rsid w:val="0001279F"/>
    <w:rsid w:val="0001302A"/>
    <w:rsid w:val="0001388D"/>
    <w:rsid w:val="00014428"/>
    <w:rsid w:val="00014CA3"/>
    <w:rsid w:val="00014F48"/>
    <w:rsid w:val="00015019"/>
    <w:rsid w:val="000170C8"/>
    <w:rsid w:val="00017935"/>
    <w:rsid w:val="00020107"/>
    <w:rsid w:val="00020122"/>
    <w:rsid w:val="00020418"/>
    <w:rsid w:val="000206CA"/>
    <w:rsid w:val="00021E8C"/>
    <w:rsid w:val="00021FA9"/>
    <w:rsid w:val="000225BB"/>
    <w:rsid w:val="000231E0"/>
    <w:rsid w:val="00023857"/>
    <w:rsid w:val="000247E5"/>
    <w:rsid w:val="00024C13"/>
    <w:rsid w:val="00024F13"/>
    <w:rsid w:val="00025FF1"/>
    <w:rsid w:val="00026645"/>
    <w:rsid w:val="0002669B"/>
    <w:rsid w:val="00026B94"/>
    <w:rsid w:val="00027379"/>
    <w:rsid w:val="0002783D"/>
    <w:rsid w:val="00027F3D"/>
    <w:rsid w:val="00030B35"/>
    <w:rsid w:val="00030C5A"/>
    <w:rsid w:val="00030D9D"/>
    <w:rsid w:val="000313CD"/>
    <w:rsid w:val="00031A19"/>
    <w:rsid w:val="00032228"/>
    <w:rsid w:val="000324FF"/>
    <w:rsid w:val="000328FC"/>
    <w:rsid w:val="00033272"/>
    <w:rsid w:val="000332A5"/>
    <w:rsid w:val="00033306"/>
    <w:rsid w:val="000336FC"/>
    <w:rsid w:val="00034038"/>
    <w:rsid w:val="000342D4"/>
    <w:rsid w:val="00034AEB"/>
    <w:rsid w:val="000356F2"/>
    <w:rsid w:val="00035967"/>
    <w:rsid w:val="00035CB3"/>
    <w:rsid w:val="00035CEB"/>
    <w:rsid w:val="00036249"/>
    <w:rsid w:val="0003646E"/>
    <w:rsid w:val="0003700A"/>
    <w:rsid w:val="00037323"/>
    <w:rsid w:val="00037CCE"/>
    <w:rsid w:val="00041A86"/>
    <w:rsid w:val="00041E16"/>
    <w:rsid w:val="000428F1"/>
    <w:rsid w:val="00042C07"/>
    <w:rsid w:val="00044CCB"/>
    <w:rsid w:val="00045C77"/>
    <w:rsid w:val="000473D8"/>
    <w:rsid w:val="00047B21"/>
    <w:rsid w:val="00047D52"/>
    <w:rsid w:val="000505A4"/>
    <w:rsid w:val="0005082C"/>
    <w:rsid w:val="0005111A"/>
    <w:rsid w:val="00051392"/>
    <w:rsid w:val="00051829"/>
    <w:rsid w:val="00051D27"/>
    <w:rsid w:val="000543AA"/>
    <w:rsid w:val="00054C55"/>
    <w:rsid w:val="00055268"/>
    <w:rsid w:val="000554E9"/>
    <w:rsid w:val="00055FBF"/>
    <w:rsid w:val="00056339"/>
    <w:rsid w:val="0005649B"/>
    <w:rsid w:val="0005673F"/>
    <w:rsid w:val="00057240"/>
    <w:rsid w:val="000577D7"/>
    <w:rsid w:val="00060B43"/>
    <w:rsid w:val="00060CD6"/>
    <w:rsid w:val="000610D2"/>
    <w:rsid w:val="000620CB"/>
    <w:rsid w:val="0006210F"/>
    <w:rsid w:val="00062BCB"/>
    <w:rsid w:val="00062D97"/>
    <w:rsid w:val="000630A6"/>
    <w:rsid w:val="000649FE"/>
    <w:rsid w:val="00064F0F"/>
    <w:rsid w:val="00066001"/>
    <w:rsid w:val="00066823"/>
    <w:rsid w:val="00066FEC"/>
    <w:rsid w:val="00067B2A"/>
    <w:rsid w:val="00067DF9"/>
    <w:rsid w:val="00070178"/>
    <w:rsid w:val="00071BE9"/>
    <w:rsid w:val="000727C9"/>
    <w:rsid w:val="000729C9"/>
    <w:rsid w:val="00072A75"/>
    <w:rsid w:val="00072A94"/>
    <w:rsid w:val="00072E95"/>
    <w:rsid w:val="000732C3"/>
    <w:rsid w:val="00073876"/>
    <w:rsid w:val="00074015"/>
    <w:rsid w:val="000744D2"/>
    <w:rsid w:val="000748A2"/>
    <w:rsid w:val="00074A39"/>
    <w:rsid w:val="00075451"/>
    <w:rsid w:val="00075927"/>
    <w:rsid w:val="0007596B"/>
    <w:rsid w:val="00075E9D"/>
    <w:rsid w:val="000764EB"/>
    <w:rsid w:val="00076802"/>
    <w:rsid w:val="0007747B"/>
    <w:rsid w:val="00077BAC"/>
    <w:rsid w:val="00077D4C"/>
    <w:rsid w:val="00077F52"/>
    <w:rsid w:val="00080D6A"/>
    <w:rsid w:val="00081075"/>
    <w:rsid w:val="00081FA4"/>
    <w:rsid w:val="00082059"/>
    <w:rsid w:val="0008380B"/>
    <w:rsid w:val="0008455F"/>
    <w:rsid w:val="00084A94"/>
    <w:rsid w:val="00084F6A"/>
    <w:rsid w:val="00085696"/>
    <w:rsid w:val="00085A0A"/>
    <w:rsid w:val="00085E11"/>
    <w:rsid w:val="0008608A"/>
    <w:rsid w:val="000862FA"/>
    <w:rsid w:val="00086518"/>
    <w:rsid w:val="00086A7C"/>
    <w:rsid w:val="00087ADC"/>
    <w:rsid w:val="00090172"/>
    <w:rsid w:val="0009124C"/>
    <w:rsid w:val="0009147A"/>
    <w:rsid w:val="00091DAD"/>
    <w:rsid w:val="00092A6E"/>
    <w:rsid w:val="00092DC8"/>
    <w:rsid w:val="00093169"/>
    <w:rsid w:val="000933BC"/>
    <w:rsid w:val="0009383B"/>
    <w:rsid w:val="00093C65"/>
    <w:rsid w:val="00094615"/>
    <w:rsid w:val="00095259"/>
    <w:rsid w:val="00095271"/>
    <w:rsid w:val="000955E4"/>
    <w:rsid w:val="00095CE6"/>
    <w:rsid w:val="00096641"/>
    <w:rsid w:val="000969BC"/>
    <w:rsid w:val="00096B3B"/>
    <w:rsid w:val="00096F79"/>
    <w:rsid w:val="0009730A"/>
    <w:rsid w:val="00097B22"/>
    <w:rsid w:val="000A10FE"/>
    <w:rsid w:val="000A1733"/>
    <w:rsid w:val="000A2172"/>
    <w:rsid w:val="000A2517"/>
    <w:rsid w:val="000A290A"/>
    <w:rsid w:val="000A2963"/>
    <w:rsid w:val="000A29A3"/>
    <w:rsid w:val="000A2B40"/>
    <w:rsid w:val="000A2E16"/>
    <w:rsid w:val="000A2F2C"/>
    <w:rsid w:val="000A2FD0"/>
    <w:rsid w:val="000A3D32"/>
    <w:rsid w:val="000A3DDE"/>
    <w:rsid w:val="000A3F0A"/>
    <w:rsid w:val="000A400A"/>
    <w:rsid w:val="000A42C9"/>
    <w:rsid w:val="000A46E4"/>
    <w:rsid w:val="000A4BC4"/>
    <w:rsid w:val="000A526E"/>
    <w:rsid w:val="000A53D7"/>
    <w:rsid w:val="000A55A9"/>
    <w:rsid w:val="000A5849"/>
    <w:rsid w:val="000A603D"/>
    <w:rsid w:val="000A618C"/>
    <w:rsid w:val="000A712D"/>
    <w:rsid w:val="000A717B"/>
    <w:rsid w:val="000A723B"/>
    <w:rsid w:val="000A765A"/>
    <w:rsid w:val="000A78DB"/>
    <w:rsid w:val="000B0C6B"/>
    <w:rsid w:val="000B1245"/>
    <w:rsid w:val="000B19EA"/>
    <w:rsid w:val="000B1C9D"/>
    <w:rsid w:val="000B1E67"/>
    <w:rsid w:val="000B20FA"/>
    <w:rsid w:val="000B278B"/>
    <w:rsid w:val="000B282F"/>
    <w:rsid w:val="000B2C96"/>
    <w:rsid w:val="000B31A5"/>
    <w:rsid w:val="000B393A"/>
    <w:rsid w:val="000B3B13"/>
    <w:rsid w:val="000B3EAD"/>
    <w:rsid w:val="000B406A"/>
    <w:rsid w:val="000B48CC"/>
    <w:rsid w:val="000B4B2C"/>
    <w:rsid w:val="000B5648"/>
    <w:rsid w:val="000B59B3"/>
    <w:rsid w:val="000B5F16"/>
    <w:rsid w:val="000B5F3F"/>
    <w:rsid w:val="000B624A"/>
    <w:rsid w:val="000B6280"/>
    <w:rsid w:val="000B6314"/>
    <w:rsid w:val="000B63C1"/>
    <w:rsid w:val="000B7042"/>
    <w:rsid w:val="000C045F"/>
    <w:rsid w:val="000C052C"/>
    <w:rsid w:val="000C109F"/>
    <w:rsid w:val="000C156B"/>
    <w:rsid w:val="000C2242"/>
    <w:rsid w:val="000C288F"/>
    <w:rsid w:val="000C3ABA"/>
    <w:rsid w:val="000C49D0"/>
    <w:rsid w:val="000C4A4D"/>
    <w:rsid w:val="000C7186"/>
    <w:rsid w:val="000C7501"/>
    <w:rsid w:val="000C7639"/>
    <w:rsid w:val="000C777F"/>
    <w:rsid w:val="000C79A9"/>
    <w:rsid w:val="000C7D67"/>
    <w:rsid w:val="000D04A2"/>
    <w:rsid w:val="000D09F9"/>
    <w:rsid w:val="000D0B8C"/>
    <w:rsid w:val="000D3720"/>
    <w:rsid w:val="000D3F8D"/>
    <w:rsid w:val="000D43BC"/>
    <w:rsid w:val="000D45D0"/>
    <w:rsid w:val="000D47C6"/>
    <w:rsid w:val="000D481D"/>
    <w:rsid w:val="000D4B0E"/>
    <w:rsid w:val="000D529B"/>
    <w:rsid w:val="000D5563"/>
    <w:rsid w:val="000D652F"/>
    <w:rsid w:val="000D66D6"/>
    <w:rsid w:val="000D705A"/>
    <w:rsid w:val="000D713D"/>
    <w:rsid w:val="000D799C"/>
    <w:rsid w:val="000E0636"/>
    <w:rsid w:val="000E1029"/>
    <w:rsid w:val="000E208F"/>
    <w:rsid w:val="000E22CE"/>
    <w:rsid w:val="000E2852"/>
    <w:rsid w:val="000E335D"/>
    <w:rsid w:val="000E3474"/>
    <w:rsid w:val="000E3A70"/>
    <w:rsid w:val="000E3BD7"/>
    <w:rsid w:val="000E441C"/>
    <w:rsid w:val="000E5541"/>
    <w:rsid w:val="000E5A52"/>
    <w:rsid w:val="000E5AED"/>
    <w:rsid w:val="000E5EB5"/>
    <w:rsid w:val="000E68FB"/>
    <w:rsid w:val="000E6BFA"/>
    <w:rsid w:val="000E72B5"/>
    <w:rsid w:val="000E7457"/>
    <w:rsid w:val="000E7A1D"/>
    <w:rsid w:val="000E7B77"/>
    <w:rsid w:val="000E7B98"/>
    <w:rsid w:val="000F0D70"/>
    <w:rsid w:val="000F134F"/>
    <w:rsid w:val="000F172A"/>
    <w:rsid w:val="000F230E"/>
    <w:rsid w:val="000F25D3"/>
    <w:rsid w:val="000F28D0"/>
    <w:rsid w:val="000F2E6C"/>
    <w:rsid w:val="000F34EB"/>
    <w:rsid w:val="000F42B8"/>
    <w:rsid w:val="000F42DC"/>
    <w:rsid w:val="000F473D"/>
    <w:rsid w:val="000F48ED"/>
    <w:rsid w:val="000F4CBE"/>
    <w:rsid w:val="000F55FD"/>
    <w:rsid w:val="000F5C26"/>
    <w:rsid w:val="000F5E95"/>
    <w:rsid w:val="000F704A"/>
    <w:rsid w:val="000F75BB"/>
    <w:rsid w:val="000F75C4"/>
    <w:rsid w:val="000F7B81"/>
    <w:rsid w:val="001002CB"/>
    <w:rsid w:val="00100646"/>
    <w:rsid w:val="001008EA"/>
    <w:rsid w:val="001012C8"/>
    <w:rsid w:val="00101DF3"/>
    <w:rsid w:val="00102859"/>
    <w:rsid w:val="001031BF"/>
    <w:rsid w:val="00103740"/>
    <w:rsid w:val="00103F6B"/>
    <w:rsid w:val="001046B7"/>
    <w:rsid w:val="0010500C"/>
    <w:rsid w:val="00107695"/>
    <w:rsid w:val="001079D2"/>
    <w:rsid w:val="00110B75"/>
    <w:rsid w:val="00111507"/>
    <w:rsid w:val="00111651"/>
    <w:rsid w:val="00111A8C"/>
    <w:rsid w:val="00111C35"/>
    <w:rsid w:val="00111E83"/>
    <w:rsid w:val="0011265B"/>
    <w:rsid w:val="00112CB9"/>
    <w:rsid w:val="00112EE2"/>
    <w:rsid w:val="001133B0"/>
    <w:rsid w:val="001137F3"/>
    <w:rsid w:val="00113983"/>
    <w:rsid w:val="00113BBD"/>
    <w:rsid w:val="0011422D"/>
    <w:rsid w:val="00114D30"/>
    <w:rsid w:val="001152EF"/>
    <w:rsid w:val="00115A1A"/>
    <w:rsid w:val="00116A5B"/>
    <w:rsid w:val="00117165"/>
    <w:rsid w:val="00117D05"/>
    <w:rsid w:val="00120223"/>
    <w:rsid w:val="00120AB4"/>
    <w:rsid w:val="00121411"/>
    <w:rsid w:val="00121A30"/>
    <w:rsid w:val="00121BAD"/>
    <w:rsid w:val="001220A3"/>
    <w:rsid w:val="0012210B"/>
    <w:rsid w:val="0012254D"/>
    <w:rsid w:val="00123158"/>
    <w:rsid w:val="0012337C"/>
    <w:rsid w:val="00123A56"/>
    <w:rsid w:val="00123CE1"/>
    <w:rsid w:val="001243F6"/>
    <w:rsid w:val="0012480E"/>
    <w:rsid w:val="00124A5E"/>
    <w:rsid w:val="0012597C"/>
    <w:rsid w:val="00125C8F"/>
    <w:rsid w:val="00126060"/>
    <w:rsid w:val="001264B9"/>
    <w:rsid w:val="00126C01"/>
    <w:rsid w:val="00126E5E"/>
    <w:rsid w:val="00130ADE"/>
    <w:rsid w:val="00130CFA"/>
    <w:rsid w:val="00131307"/>
    <w:rsid w:val="00131842"/>
    <w:rsid w:val="00131A17"/>
    <w:rsid w:val="00132182"/>
    <w:rsid w:val="0013222C"/>
    <w:rsid w:val="0013234B"/>
    <w:rsid w:val="00132707"/>
    <w:rsid w:val="001328C4"/>
    <w:rsid w:val="00132C48"/>
    <w:rsid w:val="00132FB4"/>
    <w:rsid w:val="0013323A"/>
    <w:rsid w:val="00133BF0"/>
    <w:rsid w:val="00134752"/>
    <w:rsid w:val="0013637D"/>
    <w:rsid w:val="001366F4"/>
    <w:rsid w:val="001412DF"/>
    <w:rsid w:val="00142037"/>
    <w:rsid w:val="001429CE"/>
    <w:rsid w:val="00142AFF"/>
    <w:rsid w:val="00143A87"/>
    <w:rsid w:val="0014481A"/>
    <w:rsid w:val="00144D3F"/>
    <w:rsid w:val="00145862"/>
    <w:rsid w:val="001458FB"/>
    <w:rsid w:val="001459BE"/>
    <w:rsid w:val="00146DFF"/>
    <w:rsid w:val="00146EDF"/>
    <w:rsid w:val="0014723B"/>
    <w:rsid w:val="00147F6B"/>
    <w:rsid w:val="001504F3"/>
    <w:rsid w:val="00150608"/>
    <w:rsid w:val="00150E0E"/>
    <w:rsid w:val="00150EDF"/>
    <w:rsid w:val="00151050"/>
    <w:rsid w:val="0015111A"/>
    <w:rsid w:val="001511E6"/>
    <w:rsid w:val="00151221"/>
    <w:rsid w:val="00152CF7"/>
    <w:rsid w:val="001536E8"/>
    <w:rsid w:val="00154102"/>
    <w:rsid w:val="001541AC"/>
    <w:rsid w:val="00154654"/>
    <w:rsid w:val="00154742"/>
    <w:rsid w:val="0015488A"/>
    <w:rsid w:val="00154F3A"/>
    <w:rsid w:val="001572E1"/>
    <w:rsid w:val="0015746A"/>
    <w:rsid w:val="001575FE"/>
    <w:rsid w:val="00157B8D"/>
    <w:rsid w:val="00157D40"/>
    <w:rsid w:val="0016187D"/>
    <w:rsid w:val="00161AA4"/>
    <w:rsid w:val="00162665"/>
    <w:rsid w:val="0016304A"/>
    <w:rsid w:val="00163352"/>
    <w:rsid w:val="00163B4D"/>
    <w:rsid w:val="0016427F"/>
    <w:rsid w:val="00164CA0"/>
    <w:rsid w:val="00165081"/>
    <w:rsid w:val="00165566"/>
    <w:rsid w:val="00165B9C"/>
    <w:rsid w:val="001660B5"/>
    <w:rsid w:val="00167A15"/>
    <w:rsid w:val="00167D43"/>
    <w:rsid w:val="001702AA"/>
    <w:rsid w:val="00170D7C"/>
    <w:rsid w:val="0017166B"/>
    <w:rsid w:val="001716F4"/>
    <w:rsid w:val="00171EAF"/>
    <w:rsid w:val="00172408"/>
    <w:rsid w:val="00172B14"/>
    <w:rsid w:val="00173041"/>
    <w:rsid w:val="00174C93"/>
    <w:rsid w:val="00174CFB"/>
    <w:rsid w:val="00175364"/>
    <w:rsid w:val="0017540A"/>
    <w:rsid w:val="00175725"/>
    <w:rsid w:val="00175B92"/>
    <w:rsid w:val="00176339"/>
    <w:rsid w:val="00176622"/>
    <w:rsid w:val="001806DE"/>
    <w:rsid w:val="00181380"/>
    <w:rsid w:val="00181C0A"/>
    <w:rsid w:val="0018208E"/>
    <w:rsid w:val="001823FA"/>
    <w:rsid w:val="00182538"/>
    <w:rsid w:val="0018388A"/>
    <w:rsid w:val="00184A69"/>
    <w:rsid w:val="00184BCA"/>
    <w:rsid w:val="001850D9"/>
    <w:rsid w:val="001856C4"/>
    <w:rsid w:val="001859CB"/>
    <w:rsid w:val="00186C07"/>
    <w:rsid w:val="0018709D"/>
    <w:rsid w:val="00187F6C"/>
    <w:rsid w:val="00190324"/>
    <w:rsid w:val="0019094B"/>
    <w:rsid w:val="00191173"/>
    <w:rsid w:val="00191D67"/>
    <w:rsid w:val="001924E5"/>
    <w:rsid w:val="00193014"/>
    <w:rsid w:val="00193703"/>
    <w:rsid w:val="00193B1B"/>
    <w:rsid w:val="00193F66"/>
    <w:rsid w:val="0019434C"/>
    <w:rsid w:val="0019497A"/>
    <w:rsid w:val="00194CC0"/>
    <w:rsid w:val="00195106"/>
    <w:rsid w:val="00195520"/>
    <w:rsid w:val="001955C0"/>
    <w:rsid w:val="00195617"/>
    <w:rsid w:val="00195DA7"/>
    <w:rsid w:val="00195EFE"/>
    <w:rsid w:val="001965D4"/>
    <w:rsid w:val="00196BDA"/>
    <w:rsid w:val="00197491"/>
    <w:rsid w:val="00197EA9"/>
    <w:rsid w:val="00197EAD"/>
    <w:rsid w:val="001A019E"/>
    <w:rsid w:val="001A06CE"/>
    <w:rsid w:val="001A0A1A"/>
    <w:rsid w:val="001A0E1C"/>
    <w:rsid w:val="001A2683"/>
    <w:rsid w:val="001A3D62"/>
    <w:rsid w:val="001A4331"/>
    <w:rsid w:val="001A4DC1"/>
    <w:rsid w:val="001A64BD"/>
    <w:rsid w:val="001A6756"/>
    <w:rsid w:val="001A694C"/>
    <w:rsid w:val="001A69A5"/>
    <w:rsid w:val="001A719C"/>
    <w:rsid w:val="001A7531"/>
    <w:rsid w:val="001A76FF"/>
    <w:rsid w:val="001B0051"/>
    <w:rsid w:val="001B06A0"/>
    <w:rsid w:val="001B0B66"/>
    <w:rsid w:val="001B0E86"/>
    <w:rsid w:val="001B1379"/>
    <w:rsid w:val="001B1E7E"/>
    <w:rsid w:val="001B1FD2"/>
    <w:rsid w:val="001B20A1"/>
    <w:rsid w:val="001B28CC"/>
    <w:rsid w:val="001B36B7"/>
    <w:rsid w:val="001B4002"/>
    <w:rsid w:val="001B42AF"/>
    <w:rsid w:val="001B690B"/>
    <w:rsid w:val="001B72E8"/>
    <w:rsid w:val="001B7DBA"/>
    <w:rsid w:val="001C00E0"/>
    <w:rsid w:val="001C0424"/>
    <w:rsid w:val="001C0F1D"/>
    <w:rsid w:val="001C1EB1"/>
    <w:rsid w:val="001C4E66"/>
    <w:rsid w:val="001C4FC0"/>
    <w:rsid w:val="001C5821"/>
    <w:rsid w:val="001C5D99"/>
    <w:rsid w:val="001C5EC3"/>
    <w:rsid w:val="001C5EF6"/>
    <w:rsid w:val="001C5F81"/>
    <w:rsid w:val="001C617C"/>
    <w:rsid w:val="001C7A3F"/>
    <w:rsid w:val="001C7D6F"/>
    <w:rsid w:val="001C7D8F"/>
    <w:rsid w:val="001D0458"/>
    <w:rsid w:val="001D054B"/>
    <w:rsid w:val="001D0D99"/>
    <w:rsid w:val="001D0F24"/>
    <w:rsid w:val="001D1436"/>
    <w:rsid w:val="001D189A"/>
    <w:rsid w:val="001D1F14"/>
    <w:rsid w:val="001D2EF0"/>
    <w:rsid w:val="001D2F07"/>
    <w:rsid w:val="001D328A"/>
    <w:rsid w:val="001D35FA"/>
    <w:rsid w:val="001D3655"/>
    <w:rsid w:val="001D3A2F"/>
    <w:rsid w:val="001D3CB9"/>
    <w:rsid w:val="001D3D20"/>
    <w:rsid w:val="001D46CB"/>
    <w:rsid w:val="001D4753"/>
    <w:rsid w:val="001D4766"/>
    <w:rsid w:val="001D4C8F"/>
    <w:rsid w:val="001D4D35"/>
    <w:rsid w:val="001D5D55"/>
    <w:rsid w:val="001D70C8"/>
    <w:rsid w:val="001D74C8"/>
    <w:rsid w:val="001E00A5"/>
    <w:rsid w:val="001E10E5"/>
    <w:rsid w:val="001E184B"/>
    <w:rsid w:val="001E19C1"/>
    <w:rsid w:val="001E1B03"/>
    <w:rsid w:val="001E1C3F"/>
    <w:rsid w:val="001E270E"/>
    <w:rsid w:val="001E510F"/>
    <w:rsid w:val="001E537F"/>
    <w:rsid w:val="001E5FA3"/>
    <w:rsid w:val="001E60B5"/>
    <w:rsid w:val="001E615E"/>
    <w:rsid w:val="001E6654"/>
    <w:rsid w:val="001E68BB"/>
    <w:rsid w:val="001F1CEA"/>
    <w:rsid w:val="001F1F0F"/>
    <w:rsid w:val="001F21FE"/>
    <w:rsid w:val="001F2AAA"/>
    <w:rsid w:val="001F33D5"/>
    <w:rsid w:val="001F430D"/>
    <w:rsid w:val="001F6317"/>
    <w:rsid w:val="001F6C50"/>
    <w:rsid w:val="001F7FC7"/>
    <w:rsid w:val="00200053"/>
    <w:rsid w:val="00200530"/>
    <w:rsid w:val="002006E8"/>
    <w:rsid w:val="00200A71"/>
    <w:rsid w:val="0020188A"/>
    <w:rsid w:val="002036A6"/>
    <w:rsid w:val="00204D9A"/>
    <w:rsid w:val="00204FA8"/>
    <w:rsid w:val="00205651"/>
    <w:rsid w:val="002056A9"/>
    <w:rsid w:val="0020649B"/>
    <w:rsid w:val="0020660A"/>
    <w:rsid w:val="00206A08"/>
    <w:rsid w:val="00206D04"/>
    <w:rsid w:val="00206D97"/>
    <w:rsid w:val="00207B45"/>
    <w:rsid w:val="00207BA8"/>
    <w:rsid w:val="0021063D"/>
    <w:rsid w:val="002108B1"/>
    <w:rsid w:val="00211E4C"/>
    <w:rsid w:val="002123ED"/>
    <w:rsid w:val="00213380"/>
    <w:rsid w:val="0021411A"/>
    <w:rsid w:val="00214390"/>
    <w:rsid w:val="00214394"/>
    <w:rsid w:val="00214AAD"/>
    <w:rsid w:val="002154BB"/>
    <w:rsid w:val="00216841"/>
    <w:rsid w:val="002168E3"/>
    <w:rsid w:val="002169ED"/>
    <w:rsid w:val="0021747D"/>
    <w:rsid w:val="00217938"/>
    <w:rsid w:val="00217F5A"/>
    <w:rsid w:val="0022026E"/>
    <w:rsid w:val="002202E2"/>
    <w:rsid w:val="00220890"/>
    <w:rsid w:val="00221235"/>
    <w:rsid w:val="00221846"/>
    <w:rsid w:val="00221AE4"/>
    <w:rsid w:val="0022272C"/>
    <w:rsid w:val="00222BA8"/>
    <w:rsid w:val="00222CD9"/>
    <w:rsid w:val="00222F26"/>
    <w:rsid w:val="002236C8"/>
    <w:rsid w:val="00224EFD"/>
    <w:rsid w:val="00225FC0"/>
    <w:rsid w:val="002268BC"/>
    <w:rsid w:val="00226CBA"/>
    <w:rsid w:val="00230788"/>
    <w:rsid w:val="002319BE"/>
    <w:rsid w:val="00231B7D"/>
    <w:rsid w:val="00231D2A"/>
    <w:rsid w:val="00231D69"/>
    <w:rsid w:val="00231F66"/>
    <w:rsid w:val="0023226F"/>
    <w:rsid w:val="002331FA"/>
    <w:rsid w:val="0023368E"/>
    <w:rsid w:val="002336C2"/>
    <w:rsid w:val="002346B0"/>
    <w:rsid w:val="00235D59"/>
    <w:rsid w:val="002363FD"/>
    <w:rsid w:val="00236537"/>
    <w:rsid w:val="002376FA"/>
    <w:rsid w:val="00240234"/>
    <w:rsid w:val="0024023E"/>
    <w:rsid w:val="002408FD"/>
    <w:rsid w:val="002408FF"/>
    <w:rsid w:val="00240F42"/>
    <w:rsid w:val="0024133D"/>
    <w:rsid w:val="00241D83"/>
    <w:rsid w:val="00243370"/>
    <w:rsid w:val="00243F8A"/>
    <w:rsid w:val="00244E7A"/>
    <w:rsid w:val="002457D7"/>
    <w:rsid w:val="00245846"/>
    <w:rsid w:val="00246311"/>
    <w:rsid w:val="00246505"/>
    <w:rsid w:val="002468D8"/>
    <w:rsid w:val="00246B11"/>
    <w:rsid w:val="00246BC0"/>
    <w:rsid w:val="00247A95"/>
    <w:rsid w:val="00247C8A"/>
    <w:rsid w:val="00250A8D"/>
    <w:rsid w:val="0025136C"/>
    <w:rsid w:val="00251F5D"/>
    <w:rsid w:val="00252BD2"/>
    <w:rsid w:val="002536A4"/>
    <w:rsid w:val="00253771"/>
    <w:rsid w:val="00254357"/>
    <w:rsid w:val="00254873"/>
    <w:rsid w:val="00254C4F"/>
    <w:rsid w:val="00256230"/>
    <w:rsid w:val="00256597"/>
    <w:rsid w:val="00256E4A"/>
    <w:rsid w:val="002571A7"/>
    <w:rsid w:val="00257847"/>
    <w:rsid w:val="00257C16"/>
    <w:rsid w:val="00257D9F"/>
    <w:rsid w:val="00260699"/>
    <w:rsid w:val="002606CF"/>
    <w:rsid w:val="00260BC6"/>
    <w:rsid w:val="0026118A"/>
    <w:rsid w:val="00261393"/>
    <w:rsid w:val="00261B43"/>
    <w:rsid w:val="00261CD8"/>
    <w:rsid w:val="002623A1"/>
    <w:rsid w:val="002639D0"/>
    <w:rsid w:val="00264678"/>
    <w:rsid w:val="0026527E"/>
    <w:rsid w:val="00265F8D"/>
    <w:rsid w:val="0026660E"/>
    <w:rsid w:val="002666E0"/>
    <w:rsid w:val="0026702B"/>
    <w:rsid w:val="0026718E"/>
    <w:rsid w:val="00270895"/>
    <w:rsid w:val="00270995"/>
    <w:rsid w:val="002710AD"/>
    <w:rsid w:val="002717CE"/>
    <w:rsid w:val="00271D57"/>
    <w:rsid w:val="00272A6F"/>
    <w:rsid w:val="00273178"/>
    <w:rsid w:val="0027343D"/>
    <w:rsid w:val="00273B43"/>
    <w:rsid w:val="00275BE9"/>
    <w:rsid w:val="00275D78"/>
    <w:rsid w:val="00276D44"/>
    <w:rsid w:val="00277F9B"/>
    <w:rsid w:val="00277F9F"/>
    <w:rsid w:val="00283A3D"/>
    <w:rsid w:val="00283AB0"/>
    <w:rsid w:val="002843EC"/>
    <w:rsid w:val="00284792"/>
    <w:rsid w:val="00284A9A"/>
    <w:rsid w:val="00284FD6"/>
    <w:rsid w:val="0028510B"/>
    <w:rsid w:val="00285706"/>
    <w:rsid w:val="00291555"/>
    <w:rsid w:val="00291690"/>
    <w:rsid w:val="00291A83"/>
    <w:rsid w:val="00291C25"/>
    <w:rsid w:val="002920C5"/>
    <w:rsid w:val="00292344"/>
    <w:rsid w:val="00293296"/>
    <w:rsid w:val="00293432"/>
    <w:rsid w:val="00293F83"/>
    <w:rsid w:val="002943B0"/>
    <w:rsid w:val="002948F3"/>
    <w:rsid w:val="00294CBC"/>
    <w:rsid w:val="00295876"/>
    <w:rsid w:val="00295AFA"/>
    <w:rsid w:val="00295B32"/>
    <w:rsid w:val="0029622D"/>
    <w:rsid w:val="00297FA2"/>
    <w:rsid w:val="002A090A"/>
    <w:rsid w:val="002A0C26"/>
    <w:rsid w:val="002A1C9B"/>
    <w:rsid w:val="002A2190"/>
    <w:rsid w:val="002A2AC7"/>
    <w:rsid w:val="002A3676"/>
    <w:rsid w:val="002A36E2"/>
    <w:rsid w:val="002A3B3B"/>
    <w:rsid w:val="002A4492"/>
    <w:rsid w:val="002A4BF1"/>
    <w:rsid w:val="002A4CA1"/>
    <w:rsid w:val="002A4D4C"/>
    <w:rsid w:val="002A5827"/>
    <w:rsid w:val="002A5B8A"/>
    <w:rsid w:val="002A618E"/>
    <w:rsid w:val="002A6635"/>
    <w:rsid w:val="002A6905"/>
    <w:rsid w:val="002A738F"/>
    <w:rsid w:val="002A75A6"/>
    <w:rsid w:val="002A76E6"/>
    <w:rsid w:val="002B08B7"/>
    <w:rsid w:val="002B1100"/>
    <w:rsid w:val="002B116D"/>
    <w:rsid w:val="002B2910"/>
    <w:rsid w:val="002B2EA2"/>
    <w:rsid w:val="002B2F44"/>
    <w:rsid w:val="002B3250"/>
    <w:rsid w:val="002B35E7"/>
    <w:rsid w:val="002B366B"/>
    <w:rsid w:val="002B3F1B"/>
    <w:rsid w:val="002B4244"/>
    <w:rsid w:val="002B54A5"/>
    <w:rsid w:val="002B54C0"/>
    <w:rsid w:val="002B59F5"/>
    <w:rsid w:val="002B746E"/>
    <w:rsid w:val="002B748D"/>
    <w:rsid w:val="002B7AC2"/>
    <w:rsid w:val="002C082C"/>
    <w:rsid w:val="002C0C11"/>
    <w:rsid w:val="002C1701"/>
    <w:rsid w:val="002C1F18"/>
    <w:rsid w:val="002C25BC"/>
    <w:rsid w:val="002C27E5"/>
    <w:rsid w:val="002C2D1D"/>
    <w:rsid w:val="002C3993"/>
    <w:rsid w:val="002C3ABA"/>
    <w:rsid w:val="002C3C7C"/>
    <w:rsid w:val="002C4653"/>
    <w:rsid w:val="002C4DD3"/>
    <w:rsid w:val="002C5BC0"/>
    <w:rsid w:val="002C5EFE"/>
    <w:rsid w:val="002C6625"/>
    <w:rsid w:val="002C67B6"/>
    <w:rsid w:val="002C6A6F"/>
    <w:rsid w:val="002C7A6B"/>
    <w:rsid w:val="002D09F4"/>
    <w:rsid w:val="002D0EBA"/>
    <w:rsid w:val="002D22B1"/>
    <w:rsid w:val="002D2341"/>
    <w:rsid w:val="002D2974"/>
    <w:rsid w:val="002D2E25"/>
    <w:rsid w:val="002D32DF"/>
    <w:rsid w:val="002D3300"/>
    <w:rsid w:val="002D3386"/>
    <w:rsid w:val="002D37E0"/>
    <w:rsid w:val="002D3944"/>
    <w:rsid w:val="002D40B2"/>
    <w:rsid w:val="002D45B9"/>
    <w:rsid w:val="002D45C4"/>
    <w:rsid w:val="002D470F"/>
    <w:rsid w:val="002D48A6"/>
    <w:rsid w:val="002D4C3D"/>
    <w:rsid w:val="002D5108"/>
    <w:rsid w:val="002D591F"/>
    <w:rsid w:val="002D6310"/>
    <w:rsid w:val="002D6FAC"/>
    <w:rsid w:val="002E01F8"/>
    <w:rsid w:val="002E0489"/>
    <w:rsid w:val="002E0817"/>
    <w:rsid w:val="002E0F0F"/>
    <w:rsid w:val="002E108F"/>
    <w:rsid w:val="002E10EB"/>
    <w:rsid w:val="002E17E2"/>
    <w:rsid w:val="002E2636"/>
    <w:rsid w:val="002E2D34"/>
    <w:rsid w:val="002E349E"/>
    <w:rsid w:val="002E36FE"/>
    <w:rsid w:val="002E3DD8"/>
    <w:rsid w:val="002E3DE9"/>
    <w:rsid w:val="002E45FC"/>
    <w:rsid w:val="002E4917"/>
    <w:rsid w:val="002E4B82"/>
    <w:rsid w:val="002E4D4B"/>
    <w:rsid w:val="002E5074"/>
    <w:rsid w:val="002E50A0"/>
    <w:rsid w:val="002E5A9F"/>
    <w:rsid w:val="002E69BB"/>
    <w:rsid w:val="002E6BD8"/>
    <w:rsid w:val="002E6E57"/>
    <w:rsid w:val="002E70DE"/>
    <w:rsid w:val="002E733F"/>
    <w:rsid w:val="002E76C7"/>
    <w:rsid w:val="002F05E4"/>
    <w:rsid w:val="002F0772"/>
    <w:rsid w:val="002F0C97"/>
    <w:rsid w:val="002F1E62"/>
    <w:rsid w:val="002F3360"/>
    <w:rsid w:val="002F37B9"/>
    <w:rsid w:val="002F3A27"/>
    <w:rsid w:val="002F41CD"/>
    <w:rsid w:val="002F4BA5"/>
    <w:rsid w:val="002F6716"/>
    <w:rsid w:val="002F6756"/>
    <w:rsid w:val="002F69F9"/>
    <w:rsid w:val="002F7833"/>
    <w:rsid w:val="002F7AC2"/>
    <w:rsid w:val="002F7CE4"/>
    <w:rsid w:val="0030014E"/>
    <w:rsid w:val="00300895"/>
    <w:rsid w:val="00300BAC"/>
    <w:rsid w:val="003014BA"/>
    <w:rsid w:val="00301665"/>
    <w:rsid w:val="0030188A"/>
    <w:rsid w:val="003018AA"/>
    <w:rsid w:val="003019F6"/>
    <w:rsid w:val="00301BC3"/>
    <w:rsid w:val="00301BED"/>
    <w:rsid w:val="00303136"/>
    <w:rsid w:val="003032BD"/>
    <w:rsid w:val="003047CD"/>
    <w:rsid w:val="00305DAB"/>
    <w:rsid w:val="00307250"/>
    <w:rsid w:val="003104D9"/>
    <w:rsid w:val="0031061F"/>
    <w:rsid w:val="00310668"/>
    <w:rsid w:val="003107A1"/>
    <w:rsid w:val="0031096D"/>
    <w:rsid w:val="003109EB"/>
    <w:rsid w:val="00310BE1"/>
    <w:rsid w:val="00311334"/>
    <w:rsid w:val="00311493"/>
    <w:rsid w:val="00311680"/>
    <w:rsid w:val="003123D1"/>
    <w:rsid w:val="00312CE9"/>
    <w:rsid w:val="00313A04"/>
    <w:rsid w:val="00313F90"/>
    <w:rsid w:val="0031424F"/>
    <w:rsid w:val="00314272"/>
    <w:rsid w:val="003142E7"/>
    <w:rsid w:val="003145B4"/>
    <w:rsid w:val="00314DFF"/>
    <w:rsid w:val="00315947"/>
    <w:rsid w:val="00315EEC"/>
    <w:rsid w:val="003163F2"/>
    <w:rsid w:val="00317F3C"/>
    <w:rsid w:val="003202A2"/>
    <w:rsid w:val="003215FD"/>
    <w:rsid w:val="00321740"/>
    <w:rsid w:val="0032213E"/>
    <w:rsid w:val="00322F38"/>
    <w:rsid w:val="0032348B"/>
    <w:rsid w:val="00323FFE"/>
    <w:rsid w:val="003245A3"/>
    <w:rsid w:val="00324F60"/>
    <w:rsid w:val="00325B5A"/>
    <w:rsid w:val="00326A21"/>
    <w:rsid w:val="00326AF0"/>
    <w:rsid w:val="003270F9"/>
    <w:rsid w:val="00327401"/>
    <w:rsid w:val="0032780E"/>
    <w:rsid w:val="00330293"/>
    <w:rsid w:val="0033030A"/>
    <w:rsid w:val="003304FB"/>
    <w:rsid w:val="00330DC9"/>
    <w:rsid w:val="00331708"/>
    <w:rsid w:val="00331BBC"/>
    <w:rsid w:val="00332089"/>
    <w:rsid w:val="00332AAC"/>
    <w:rsid w:val="003330CD"/>
    <w:rsid w:val="00333CF7"/>
    <w:rsid w:val="0033405D"/>
    <w:rsid w:val="003344A4"/>
    <w:rsid w:val="00334876"/>
    <w:rsid w:val="00334D59"/>
    <w:rsid w:val="003352DF"/>
    <w:rsid w:val="003355F2"/>
    <w:rsid w:val="003362A4"/>
    <w:rsid w:val="003369A3"/>
    <w:rsid w:val="00337100"/>
    <w:rsid w:val="00337E6F"/>
    <w:rsid w:val="00340886"/>
    <w:rsid w:val="00340976"/>
    <w:rsid w:val="00340DD1"/>
    <w:rsid w:val="003417A1"/>
    <w:rsid w:val="00341980"/>
    <w:rsid w:val="0034309E"/>
    <w:rsid w:val="00343208"/>
    <w:rsid w:val="003436D5"/>
    <w:rsid w:val="00343FB5"/>
    <w:rsid w:val="00345540"/>
    <w:rsid w:val="0034572C"/>
    <w:rsid w:val="00346A4A"/>
    <w:rsid w:val="00346AE4"/>
    <w:rsid w:val="00346AF3"/>
    <w:rsid w:val="00350569"/>
    <w:rsid w:val="003507C9"/>
    <w:rsid w:val="0035146E"/>
    <w:rsid w:val="00351AB9"/>
    <w:rsid w:val="00352B07"/>
    <w:rsid w:val="003530CD"/>
    <w:rsid w:val="0035411F"/>
    <w:rsid w:val="003542A8"/>
    <w:rsid w:val="0035474F"/>
    <w:rsid w:val="0035554D"/>
    <w:rsid w:val="003568D1"/>
    <w:rsid w:val="00356C4C"/>
    <w:rsid w:val="003576E1"/>
    <w:rsid w:val="00361041"/>
    <w:rsid w:val="003624FB"/>
    <w:rsid w:val="0036297A"/>
    <w:rsid w:val="00363038"/>
    <w:rsid w:val="00363279"/>
    <w:rsid w:val="003639A7"/>
    <w:rsid w:val="00363BCF"/>
    <w:rsid w:val="00363DB7"/>
    <w:rsid w:val="00363FC6"/>
    <w:rsid w:val="0036430C"/>
    <w:rsid w:val="003644F6"/>
    <w:rsid w:val="003645E2"/>
    <w:rsid w:val="00365035"/>
    <w:rsid w:val="00365076"/>
    <w:rsid w:val="0036668B"/>
    <w:rsid w:val="003666BA"/>
    <w:rsid w:val="0036729F"/>
    <w:rsid w:val="00367475"/>
    <w:rsid w:val="0036795D"/>
    <w:rsid w:val="00367CF6"/>
    <w:rsid w:val="00370DDF"/>
    <w:rsid w:val="00370F92"/>
    <w:rsid w:val="00372D89"/>
    <w:rsid w:val="003745E2"/>
    <w:rsid w:val="00374BA9"/>
    <w:rsid w:val="00374D24"/>
    <w:rsid w:val="003750F1"/>
    <w:rsid w:val="00375B60"/>
    <w:rsid w:val="00375BF2"/>
    <w:rsid w:val="00376DB4"/>
    <w:rsid w:val="00377D95"/>
    <w:rsid w:val="00380230"/>
    <w:rsid w:val="0038159B"/>
    <w:rsid w:val="003821CD"/>
    <w:rsid w:val="00382349"/>
    <w:rsid w:val="00382AE2"/>
    <w:rsid w:val="00382F22"/>
    <w:rsid w:val="00382FDB"/>
    <w:rsid w:val="00383061"/>
    <w:rsid w:val="0038337A"/>
    <w:rsid w:val="0038339C"/>
    <w:rsid w:val="00383458"/>
    <w:rsid w:val="003839F8"/>
    <w:rsid w:val="00384422"/>
    <w:rsid w:val="00384DE2"/>
    <w:rsid w:val="00385343"/>
    <w:rsid w:val="00385430"/>
    <w:rsid w:val="00385A57"/>
    <w:rsid w:val="003862B1"/>
    <w:rsid w:val="0038667D"/>
    <w:rsid w:val="00386FEB"/>
    <w:rsid w:val="003874B8"/>
    <w:rsid w:val="003906C6"/>
    <w:rsid w:val="00390961"/>
    <w:rsid w:val="00391B9D"/>
    <w:rsid w:val="00393318"/>
    <w:rsid w:val="003934B5"/>
    <w:rsid w:val="0039373F"/>
    <w:rsid w:val="00393A66"/>
    <w:rsid w:val="00393EDE"/>
    <w:rsid w:val="00395F22"/>
    <w:rsid w:val="0039749A"/>
    <w:rsid w:val="003975A7"/>
    <w:rsid w:val="00397FA4"/>
    <w:rsid w:val="003A10EE"/>
    <w:rsid w:val="003A1CB9"/>
    <w:rsid w:val="003A2891"/>
    <w:rsid w:val="003A2894"/>
    <w:rsid w:val="003A2A5C"/>
    <w:rsid w:val="003A2CE2"/>
    <w:rsid w:val="003A39BC"/>
    <w:rsid w:val="003A3C4D"/>
    <w:rsid w:val="003A51B1"/>
    <w:rsid w:val="003A5557"/>
    <w:rsid w:val="003A5BB6"/>
    <w:rsid w:val="003A6537"/>
    <w:rsid w:val="003A7269"/>
    <w:rsid w:val="003B04E2"/>
    <w:rsid w:val="003B0D64"/>
    <w:rsid w:val="003B11E8"/>
    <w:rsid w:val="003B160C"/>
    <w:rsid w:val="003B1E30"/>
    <w:rsid w:val="003B1FAD"/>
    <w:rsid w:val="003B2C1F"/>
    <w:rsid w:val="003B34CB"/>
    <w:rsid w:val="003B44CA"/>
    <w:rsid w:val="003B4853"/>
    <w:rsid w:val="003B4AF7"/>
    <w:rsid w:val="003B4C5A"/>
    <w:rsid w:val="003B5224"/>
    <w:rsid w:val="003B573D"/>
    <w:rsid w:val="003B5A2A"/>
    <w:rsid w:val="003B5A2B"/>
    <w:rsid w:val="003C04A3"/>
    <w:rsid w:val="003C1779"/>
    <w:rsid w:val="003C3124"/>
    <w:rsid w:val="003C31AC"/>
    <w:rsid w:val="003C337D"/>
    <w:rsid w:val="003C3815"/>
    <w:rsid w:val="003C3894"/>
    <w:rsid w:val="003C4827"/>
    <w:rsid w:val="003C48E4"/>
    <w:rsid w:val="003C510E"/>
    <w:rsid w:val="003C53E0"/>
    <w:rsid w:val="003C5C27"/>
    <w:rsid w:val="003C5F52"/>
    <w:rsid w:val="003C60A8"/>
    <w:rsid w:val="003C66D8"/>
    <w:rsid w:val="003C6A9B"/>
    <w:rsid w:val="003C6B33"/>
    <w:rsid w:val="003C744E"/>
    <w:rsid w:val="003C7459"/>
    <w:rsid w:val="003C759B"/>
    <w:rsid w:val="003D0CAD"/>
    <w:rsid w:val="003D1C9E"/>
    <w:rsid w:val="003D21F6"/>
    <w:rsid w:val="003D2731"/>
    <w:rsid w:val="003D292A"/>
    <w:rsid w:val="003D34DD"/>
    <w:rsid w:val="003D5182"/>
    <w:rsid w:val="003D5844"/>
    <w:rsid w:val="003D5A36"/>
    <w:rsid w:val="003D5E08"/>
    <w:rsid w:val="003D5E2F"/>
    <w:rsid w:val="003E03E4"/>
    <w:rsid w:val="003E171C"/>
    <w:rsid w:val="003E23FF"/>
    <w:rsid w:val="003E24E1"/>
    <w:rsid w:val="003E3E8E"/>
    <w:rsid w:val="003E44D9"/>
    <w:rsid w:val="003E45B9"/>
    <w:rsid w:val="003E4F34"/>
    <w:rsid w:val="003E5232"/>
    <w:rsid w:val="003E607B"/>
    <w:rsid w:val="003E66DE"/>
    <w:rsid w:val="003E69F8"/>
    <w:rsid w:val="003E7375"/>
    <w:rsid w:val="003E7B1E"/>
    <w:rsid w:val="003E7D39"/>
    <w:rsid w:val="003F0729"/>
    <w:rsid w:val="003F1500"/>
    <w:rsid w:val="003F1674"/>
    <w:rsid w:val="003F1887"/>
    <w:rsid w:val="003F1C01"/>
    <w:rsid w:val="003F1CA9"/>
    <w:rsid w:val="003F1DE7"/>
    <w:rsid w:val="003F1EAA"/>
    <w:rsid w:val="003F268A"/>
    <w:rsid w:val="003F31F4"/>
    <w:rsid w:val="003F3446"/>
    <w:rsid w:val="003F3702"/>
    <w:rsid w:val="003F43F9"/>
    <w:rsid w:val="003F44C4"/>
    <w:rsid w:val="003F4859"/>
    <w:rsid w:val="003F5B9C"/>
    <w:rsid w:val="003F6124"/>
    <w:rsid w:val="003F6C56"/>
    <w:rsid w:val="003F7874"/>
    <w:rsid w:val="00400DD7"/>
    <w:rsid w:val="00401046"/>
    <w:rsid w:val="0040237B"/>
    <w:rsid w:val="0040240D"/>
    <w:rsid w:val="004027BD"/>
    <w:rsid w:val="00402C46"/>
    <w:rsid w:val="0040342B"/>
    <w:rsid w:val="004034B0"/>
    <w:rsid w:val="004037CA"/>
    <w:rsid w:val="00404058"/>
    <w:rsid w:val="004041CF"/>
    <w:rsid w:val="00406008"/>
    <w:rsid w:val="0040671E"/>
    <w:rsid w:val="00406DED"/>
    <w:rsid w:val="0040741F"/>
    <w:rsid w:val="00407556"/>
    <w:rsid w:val="00407755"/>
    <w:rsid w:val="004106F8"/>
    <w:rsid w:val="00410A3C"/>
    <w:rsid w:val="00412157"/>
    <w:rsid w:val="0041271B"/>
    <w:rsid w:val="004133AF"/>
    <w:rsid w:val="00413C3F"/>
    <w:rsid w:val="00414294"/>
    <w:rsid w:val="00414300"/>
    <w:rsid w:val="0041456B"/>
    <w:rsid w:val="00414B0F"/>
    <w:rsid w:val="00414C17"/>
    <w:rsid w:val="00415515"/>
    <w:rsid w:val="004167A7"/>
    <w:rsid w:val="00416D64"/>
    <w:rsid w:val="0041702F"/>
    <w:rsid w:val="00417706"/>
    <w:rsid w:val="00417C52"/>
    <w:rsid w:val="00420818"/>
    <w:rsid w:val="004211AC"/>
    <w:rsid w:val="00421B26"/>
    <w:rsid w:val="00421B35"/>
    <w:rsid w:val="00423474"/>
    <w:rsid w:val="00423CCB"/>
    <w:rsid w:val="004241B9"/>
    <w:rsid w:val="00424285"/>
    <w:rsid w:val="004248E9"/>
    <w:rsid w:val="00425AC1"/>
    <w:rsid w:val="0042676D"/>
    <w:rsid w:val="00426908"/>
    <w:rsid w:val="0042747E"/>
    <w:rsid w:val="00427E42"/>
    <w:rsid w:val="00430DC5"/>
    <w:rsid w:val="00430E42"/>
    <w:rsid w:val="00431058"/>
    <w:rsid w:val="00431203"/>
    <w:rsid w:val="0043136F"/>
    <w:rsid w:val="0043192D"/>
    <w:rsid w:val="00431C14"/>
    <w:rsid w:val="00431DF9"/>
    <w:rsid w:val="00432DF8"/>
    <w:rsid w:val="004337DB"/>
    <w:rsid w:val="00434768"/>
    <w:rsid w:val="0043517D"/>
    <w:rsid w:val="00435774"/>
    <w:rsid w:val="00435A89"/>
    <w:rsid w:val="00435B0E"/>
    <w:rsid w:val="00435ED2"/>
    <w:rsid w:val="00435F2E"/>
    <w:rsid w:val="00436B18"/>
    <w:rsid w:val="00437116"/>
    <w:rsid w:val="00437541"/>
    <w:rsid w:val="00437BDF"/>
    <w:rsid w:val="00437DB6"/>
    <w:rsid w:val="0044084E"/>
    <w:rsid w:val="004409A5"/>
    <w:rsid w:val="00440D5B"/>
    <w:rsid w:val="00441D95"/>
    <w:rsid w:val="00442229"/>
    <w:rsid w:val="0044245C"/>
    <w:rsid w:val="00443212"/>
    <w:rsid w:val="00445322"/>
    <w:rsid w:val="0044590D"/>
    <w:rsid w:val="00446128"/>
    <w:rsid w:val="00446623"/>
    <w:rsid w:val="00446CAB"/>
    <w:rsid w:val="00446CF0"/>
    <w:rsid w:val="0045016C"/>
    <w:rsid w:val="00450BDB"/>
    <w:rsid w:val="004515BA"/>
    <w:rsid w:val="0045180C"/>
    <w:rsid w:val="00451912"/>
    <w:rsid w:val="004524DA"/>
    <w:rsid w:val="004526A8"/>
    <w:rsid w:val="00453C7E"/>
    <w:rsid w:val="00454477"/>
    <w:rsid w:val="004547CF"/>
    <w:rsid w:val="00454F4E"/>
    <w:rsid w:val="0045544E"/>
    <w:rsid w:val="00455AA7"/>
    <w:rsid w:val="00456109"/>
    <w:rsid w:val="00456512"/>
    <w:rsid w:val="00456B27"/>
    <w:rsid w:val="004574DD"/>
    <w:rsid w:val="004576F1"/>
    <w:rsid w:val="00460715"/>
    <w:rsid w:val="004612B6"/>
    <w:rsid w:val="0046211D"/>
    <w:rsid w:val="004627C5"/>
    <w:rsid w:val="004629DD"/>
    <w:rsid w:val="00462AB6"/>
    <w:rsid w:val="00463BF9"/>
    <w:rsid w:val="00463E1D"/>
    <w:rsid w:val="004642B1"/>
    <w:rsid w:val="00464532"/>
    <w:rsid w:val="00464AAE"/>
    <w:rsid w:val="00464B62"/>
    <w:rsid w:val="004653B6"/>
    <w:rsid w:val="0046590D"/>
    <w:rsid w:val="00465AA0"/>
    <w:rsid w:val="00466157"/>
    <w:rsid w:val="004661D3"/>
    <w:rsid w:val="00466BAE"/>
    <w:rsid w:val="00466E03"/>
    <w:rsid w:val="004675E5"/>
    <w:rsid w:val="004675EB"/>
    <w:rsid w:val="0047089A"/>
    <w:rsid w:val="00470E8B"/>
    <w:rsid w:val="00470FA4"/>
    <w:rsid w:val="00471103"/>
    <w:rsid w:val="0047207C"/>
    <w:rsid w:val="004723D0"/>
    <w:rsid w:val="00472490"/>
    <w:rsid w:val="004726E1"/>
    <w:rsid w:val="00472A64"/>
    <w:rsid w:val="00473A21"/>
    <w:rsid w:val="00474D46"/>
    <w:rsid w:val="00474D9D"/>
    <w:rsid w:val="00474DE6"/>
    <w:rsid w:val="00474FB7"/>
    <w:rsid w:val="00475175"/>
    <w:rsid w:val="00475785"/>
    <w:rsid w:val="004765DA"/>
    <w:rsid w:val="00477FC5"/>
    <w:rsid w:val="00480124"/>
    <w:rsid w:val="004801B4"/>
    <w:rsid w:val="00481673"/>
    <w:rsid w:val="00482B88"/>
    <w:rsid w:val="004836D1"/>
    <w:rsid w:val="004849CD"/>
    <w:rsid w:val="00484C51"/>
    <w:rsid w:val="00485016"/>
    <w:rsid w:val="00485CBF"/>
    <w:rsid w:val="00486093"/>
    <w:rsid w:val="00486756"/>
    <w:rsid w:val="00487A6A"/>
    <w:rsid w:val="00490B0A"/>
    <w:rsid w:val="004911DF"/>
    <w:rsid w:val="004915A5"/>
    <w:rsid w:val="0049195B"/>
    <w:rsid w:val="00491ABA"/>
    <w:rsid w:val="00491CE5"/>
    <w:rsid w:val="004925DD"/>
    <w:rsid w:val="004928F1"/>
    <w:rsid w:val="0049302A"/>
    <w:rsid w:val="00493D66"/>
    <w:rsid w:val="00494758"/>
    <w:rsid w:val="004947DD"/>
    <w:rsid w:val="00495905"/>
    <w:rsid w:val="00496ED5"/>
    <w:rsid w:val="00496F5A"/>
    <w:rsid w:val="004979C4"/>
    <w:rsid w:val="00497E9D"/>
    <w:rsid w:val="004A002A"/>
    <w:rsid w:val="004A0281"/>
    <w:rsid w:val="004A0D96"/>
    <w:rsid w:val="004A0DBC"/>
    <w:rsid w:val="004A0FEA"/>
    <w:rsid w:val="004A1AD6"/>
    <w:rsid w:val="004A2E3E"/>
    <w:rsid w:val="004A2E57"/>
    <w:rsid w:val="004A30CE"/>
    <w:rsid w:val="004A3CB1"/>
    <w:rsid w:val="004A4315"/>
    <w:rsid w:val="004A44D6"/>
    <w:rsid w:val="004A5421"/>
    <w:rsid w:val="004A542E"/>
    <w:rsid w:val="004A70C6"/>
    <w:rsid w:val="004B0172"/>
    <w:rsid w:val="004B03C6"/>
    <w:rsid w:val="004B0EB0"/>
    <w:rsid w:val="004B1794"/>
    <w:rsid w:val="004B1C85"/>
    <w:rsid w:val="004B2676"/>
    <w:rsid w:val="004B2B03"/>
    <w:rsid w:val="004B2C29"/>
    <w:rsid w:val="004B2D7C"/>
    <w:rsid w:val="004B3699"/>
    <w:rsid w:val="004B4658"/>
    <w:rsid w:val="004B4ACB"/>
    <w:rsid w:val="004B4BB8"/>
    <w:rsid w:val="004B584C"/>
    <w:rsid w:val="004B5D18"/>
    <w:rsid w:val="004B610A"/>
    <w:rsid w:val="004B61EA"/>
    <w:rsid w:val="004B724D"/>
    <w:rsid w:val="004B774B"/>
    <w:rsid w:val="004B784E"/>
    <w:rsid w:val="004C00E6"/>
    <w:rsid w:val="004C0185"/>
    <w:rsid w:val="004C02A4"/>
    <w:rsid w:val="004C03B6"/>
    <w:rsid w:val="004C0D7C"/>
    <w:rsid w:val="004C155D"/>
    <w:rsid w:val="004C1C01"/>
    <w:rsid w:val="004C1EA7"/>
    <w:rsid w:val="004C214E"/>
    <w:rsid w:val="004C3328"/>
    <w:rsid w:val="004C35B4"/>
    <w:rsid w:val="004C3679"/>
    <w:rsid w:val="004C3E46"/>
    <w:rsid w:val="004C3F58"/>
    <w:rsid w:val="004C4094"/>
    <w:rsid w:val="004C418F"/>
    <w:rsid w:val="004C440B"/>
    <w:rsid w:val="004C4488"/>
    <w:rsid w:val="004C475D"/>
    <w:rsid w:val="004C54B2"/>
    <w:rsid w:val="004C57F4"/>
    <w:rsid w:val="004C5B89"/>
    <w:rsid w:val="004C6682"/>
    <w:rsid w:val="004C69E8"/>
    <w:rsid w:val="004C7133"/>
    <w:rsid w:val="004C71B1"/>
    <w:rsid w:val="004C7BEC"/>
    <w:rsid w:val="004C7E46"/>
    <w:rsid w:val="004D077A"/>
    <w:rsid w:val="004D0B4C"/>
    <w:rsid w:val="004D1BA6"/>
    <w:rsid w:val="004D1D18"/>
    <w:rsid w:val="004D22B5"/>
    <w:rsid w:val="004D24CC"/>
    <w:rsid w:val="004D2714"/>
    <w:rsid w:val="004D2B35"/>
    <w:rsid w:val="004D2F26"/>
    <w:rsid w:val="004D350B"/>
    <w:rsid w:val="004D3E44"/>
    <w:rsid w:val="004D3E9B"/>
    <w:rsid w:val="004D43DB"/>
    <w:rsid w:val="004D48BF"/>
    <w:rsid w:val="004D518F"/>
    <w:rsid w:val="004D535F"/>
    <w:rsid w:val="004D6315"/>
    <w:rsid w:val="004D72AF"/>
    <w:rsid w:val="004D7684"/>
    <w:rsid w:val="004D7768"/>
    <w:rsid w:val="004D780E"/>
    <w:rsid w:val="004D7839"/>
    <w:rsid w:val="004D7A06"/>
    <w:rsid w:val="004D7D69"/>
    <w:rsid w:val="004E059D"/>
    <w:rsid w:val="004E0D50"/>
    <w:rsid w:val="004E0E43"/>
    <w:rsid w:val="004E0FBF"/>
    <w:rsid w:val="004E0FF5"/>
    <w:rsid w:val="004E17E6"/>
    <w:rsid w:val="004E1800"/>
    <w:rsid w:val="004E182F"/>
    <w:rsid w:val="004E19D5"/>
    <w:rsid w:val="004E1D4C"/>
    <w:rsid w:val="004E1D79"/>
    <w:rsid w:val="004E3904"/>
    <w:rsid w:val="004E3BA0"/>
    <w:rsid w:val="004E3C51"/>
    <w:rsid w:val="004E42B7"/>
    <w:rsid w:val="004E42D4"/>
    <w:rsid w:val="004E444D"/>
    <w:rsid w:val="004E64C3"/>
    <w:rsid w:val="004E6746"/>
    <w:rsid w:val="004E6FD7"/>
    <w:rsid w:val="004E7653"/>
    <w:rsid w:val="004F004F"/>
    <w:rsid w:val="004F0072"/>
    <w:rsid w:val="004F00FE"/>
    <w:rsid w:val="004F0224"/>
    <w:rsid w:val="004F031B"/>
    <w:rsid w:val="004F070D"/>
    <w:rsid w:val="004F2E0E"/>
    <w:rsid w:val="004F38D9"/>
    <w:rsid w:val="004F3A2D"/>
    <w:rsid w:val="004F3E26"/>
    <w:rsid w:val="004F52CA"/>
    <w:rsid w:val="004F573A"/>
    <w:rsid w:val="004F580E"/>
    <w:rsid w:val="004F593E"/>
    <w:rsid w:val="004F5B32"/>
    <w:rsid w:val="004F5BB8"/>
    <w:rsid w:val="004F5E27"/>
    <w:rsid w:val="004F7782"/>
    <w:rsid w:val="004F7FD8"/>
    <w:rsid w:val="00500172"/>
    <w:rsid w:val="00500776"/>
    <w:rsid w:val="005019B5"/>
    <w:rsid w:val="00501F22"/>
    <w:rsid w:val="0050272E"/>
    <w:rsid w:val="00502C25"/>
    <w:rsid w:val="0050559D"/>
    <w:rsid w:val="00505D94"/>
    <w:rsid w:val="00506155"/>
    <w:rsid w:val="00506574"/>
    <w:rsid w:val="005065A2"/>
    <w:rsid w:val="005066AF"/>
    <w:rsid w:val="00506D40"/>
    <w:rsid w:val="00510013"/>
    <w:rsid w:val="00510BF5"/>
    <w:rsid w:val="00511495"/>
    <w:rsid w:val="005118E7"/>
    <w:rsid w:val="005119B5"/>
    <w:rsid w:val="00511B38"/>
    <w:rsid w:val="00512853"/>
    <w:rsid w:val="00512931"/>
    <w:rsid w:val="0051335C"/>
    <w:rsid w:val="00513C6B"/>
    <w:rsid w:val="00513E49"/>
    <w:rsid w:val="00513E87"/>
    <w:rsid w:val="005149B1"/>
    <w:rsid w:val="00514B95"/>
    <w:rsid w:val="00515059"/>
    <w:rsid w:val="00515B25"/>
    <w:rsid w:val="00516818"/>
    <w:rsid w:val="00516A41"/>
    <w:rsid w:val="00516BB1"/>
    <w:rsid w:val="00517AAA"/>
    <w:rsid w:val="0052018F"/>
    <w:rsid w:val="005201A0"/>
    <w:rsid w:val="00521435"/>
    <w:rsid w:val="005232B8"/>
    <w:rsid w:val="005244DE"/>
    <w:rsid w:val="0052590B"/>
    <w:rsid w:val="00525A10"/>
    <w:rsid w:val="005264DE"/>
    <w:rsid w:val="00526681"/>
    <w:rsid w:val="00526B03"/>
    <w:rsid w:val="00531240"/>
    <w:rsid w:val="00531526"/>
    <w:rsid w:val="0053173B"/>
    <w:rsid w:val="00532096"/>
    <w:rsid w:val="00532268"/>
    <w:rsid w:val="00532EFC"/>
    <w:rsid w:val="00533385"/>
    <w:rsid w:val="00533D4B"/>
    <w:rsid w:val="005344AC"/>
    <w:rsid w:val="0053451A"/>
    <w:rsid w:val="00535F0C"/>
    <w:rsid w:val="0053664C"/>
    <w:rsid w:val="00536CC2"/>
    <w:rsid w:val="00537605"/>
    <w:rsid w:val="00537A26"/>
    <w:rsid w:val="005431F9"/>
    <w:rsid w:val="0054416A"/>
    <w:rsid w:val="005441EC"/>
    <w:rsid w:val="0054474F"/>
    <w:rsid w:val="00545541"/>
    <w:rsid w:val="0054555B"/>
    <w:rsid w:val="00545F0A"/>
    <w:rsid w:val="005461C6"/>
    <w:rsid w:val="005461FD"/>
    <w:rsid w:val="005463AF"/>
    <w:rsid w:val="00546563"/>
    <w:rsid w:val="005477CB"/>
    <w:rsid w:val="00547AEA"/>
    <w:rsid w:val="00547D4D"/>
    <w:rsid w:val="00550953"/>
    <w:rsid w:val="00550998"/>
    <w:rsid w:val="005519B1"/>
    <w:rsid w:val="00552361"/>
    <w:rsid w:val="00552FC5"/>
    <w:rsid w:val="0055368A"/>
    <w:rsid w:val="00553D47"/>
    <w:rsid w:val="005543E7"/>
    <w:rsid w:val="005554D0"/>
    <w:rsid w:val="005561BC"/>
    <w:rsid w:val="005562B3"/>
    <w:rsid w:val="0056018E"/>
    <w:rsid w:val="00560345"/>
    <w:rsid w:val="00560D26"/>
    <w:rsid w:val="00561009"/>
    <w:rsid w:val="0056100E"/>
    <w:rsid w:val="0056102A"/>
    <w:rsid w:val="00561CEA"/>
    <w:rsid w:val="00561E92"/>
    <w:rsid w:val="005636E1"/>
    <w:rsid w:val="00563A67"/>
    <w:rsid w:val="00563ACC"/>
    <w:rsid w:val="005649A2"/>
    <w:rsid w:val="00565591"/>
    <w:rsid w:val="00565F42"/>
    <w:rsid w:val="0056615C"/>
    <w:rsid w:val="0056656F"/>
    <w:rsid w:val="005665A6"/>
    <w:rsid w:val="0056699A"/>
    <w:rsid w:val="005677DA"/>
    <w:rsid w:val="00570B81"/>
    <w:rsid w:val="00570F1D"/>
    <w:rsid w:val="00571631"/>
    <w:rsid w:val="00571868"/>
    <w:rsid w:val="00572FFF"/>
    <w:rsid w:val="0057330A"/>
    <w:rsid w:val="005737F0"/>
    <w:rsid w:val="005742E3"/>
    <w:rsid w:val="00574A95"/>
    <w:rsid w:val="00575033"/>
    <w:rsid w:val="00575ADE"/>
    <w:rsid w:val="005762F1"/>
    <w:rsid w:val="00577030"/>
    <w:rsid w:val="00577654"/>
    <w:rsid w:val="00577BB7"/>
    <w:rsid w:val="00577E0C"/>
    <w:rsid w:val="005807D9"/>
    <w:rsid w:val="00580D42"/>
    <w:rsid w:val="005814EC"/>
    <w:rsid w:val="00581806"/>
    <w:rsid w:val="0058265E"/>
    <w:rsid w:val="00583A21"/>
    <w:rsid w:val="005844F5"/>
    <w:rsid w:val="005844F6"/>
    <w:rsid w:val="005844F8"/>
    <w:rsid w:val="0058471D"/>
    <w:rsid w:val="0058477E"/>
    <w:rsid w:val="00584792"/>
    <w:rsid w:val="00584F18"/>
    <w:rsid w:val="0058518F"/>
    <w:rsid w:val="0058549B"/>
    <w:rsid w:val="005856E4"/>
    <w:rsid w:val="005865C2"/>
    <w:rsid w:val="0058716C"/>
    <w:rsid w:val="0058722C"/>
    <w:rsid w:val="005879F3"/>
    <w:rsid w:val="00587F52"/>
    <w:rsid w:val="0059070E"/>
    <w:rsid w:val="00590830"/>
    <w:rsid w:val="00592A9F"/>
    <w:rsid w:val="00593046"/>
    <w:rsid w:val="00593444"/>
    <w:rsid w:val="005939FD"/>
    <w:rsid w:val="00594288"/>
    <w:rsid w:val="00594EFE"/>
    <w:rsid w:val="0059570A"/>
    <w:rsid w:val="00596223"/>
    <w:rsid w:val="00596586"/>
    <w:rsid w:val="00596A0B"/>
    <w:rsid w:val="00596D74"/>
    <w:rsid w:val="00596DB4"/>
    <w:rsid w:val="00596F16"/>
    <w:rsid w:val="005977A6"/>
    <w:rsid w:val="00597C14"/>
    <w:rsid w:val="005A0833"/>
    <w:rsid w:val="005A1FD5"/>
    <w:rsid w:val="005A227E"/>
    <w:rsid w:val="005A2525"/>
    <w:rsid w:val="005A2E5E"/>
    <w:rsid w:val="005A2F24"/>
    <w:rsid w:val="005A3720"/>
    <w:rsid w:val="005A425D"/>
    <w:rsid w:val="005A42C6"/>
    <w:rsid w:val="005A48B5"/>
    <w:rsid w:val="005A4F42"/>
    <w:rsid w:val="005A6E18"/>
    <w:rsid w:val="005A7024"/>
    <w:rsid w:val="005A73C6"/>
    <w:rsid w:val="005A78B4"/>
    <w:rsid w:val="005A7A53"/>
    <w:rsid w:val="005B01B3"/>
    <w:rsid w:val="005B0DBC"/>
    <w:rsid w:val="005B157C"/>
    <w:rsid w:val="005B1832"/>
    <w:rsid w:val="005B240D"/>
    <w:rsid w:val="005B24E6"/>
    <w:rsid w:val="005B27C6"/>
    <w:rsid w:val="005B289C"/>
    <w:rsid w:val="005B3BA5"/>
    <w:rsid w:val="005B3CF0"/>
    <w:rsid w:val="005B3ED3"/>
    <w:rsid w:val="005B43F6"/>
    <w:rsid w:val="005B4503"/>
    <w:rsid w:val="005B4A63"/>
    <w:rsid w:val="005C036E"/>
    <w:rsid w:val="005C05DF"/>
    <w:rsid w:val="005C0F31"/>
    <w:rsid w:val="005C1136"/>
    <w:rsid w:val="005C1437"/>
    <w:rsid w:val="005C1449"/>
    <w:rsid w:val="005C1827"/>
    <w:rsid w:val="005C18B6"/>
    <w:rsid w:val="005C4A18"/>
    <w:rsid w:val="005C4C81"/>
    <w:rsid w:val="005C57AE"/>
    <w:rsid w:val="005C5B8F"/>
    <w:rsid w:val="005C6295"/>
    <w:rsid w:val="005C62F8"/>
    <w:rsid w:val="005C6872"/>
    <w:rsid w:val="005C6CFB"/>
    <w:rsid w:val="005C6ED4"/>
    <w:rsid w:val="005C72B9"/>
    <w:rsid w:val="005C7C95"/>
    <w:rsid w:val="005D014F"/>
    <w:rsid w:val="005D17E3"/>
    <w:rsid w:val="005D1ACB"/>
    <w:rsid w:val="005D1F63"/>
    <w:rsid w:val="005D25B8"/>
    <w:rsid w:val="005D295E"/>
    <w:rsid w:val="005D2EE2"/>
    <w:rsid w:val="005D31D4"/>
    <w:rsid w:val="005D343D"/>
    <w:rsid w:val="005D49B9"/>
    <w:rsid w:val="005D4E62"/>
    <w:rsid w:val="005D5401"/>
    <w:rsid w:val="005D559B"/>
    <w:rsid w:val="005D5D9F"/>
    <w:rsid w:val="005D63FF"/>
    <w:rsid w:val="005D67C7"/>
    <w:rsid w:val="005D6EF7"/>
    <w:rsid w:val="005D70D5"/>
    <w:rsid w:val="005D7186"/>
    <w:rsid w:val="005D79E5"/>
    <w:rsid w:val="005E0C02"/>
    <w:rsid w:val="005E0FF5"/>
    <w:rsid w:val="005E12BF"/>
    <w:rsid w:val="005E1308"/>
    <w:rsid w:val="005E17FC"/>
    <w:rsid w:val="005E263D"/>
    <w:rsid w:val="005E26C6"/>
    <w:rsid w:val="005E275B"/>
    <w:rsid w:val="005E2766"/>
    <w:rsid w:val="005E2C0B"/>
    <w:rsid w:val="005E2FCB"/>
    <w:rsid w:val="005E4221"/>
    <w:rsid w:val="005E4764"/>
    <w:rsid w:val="005E4E38"/>
    <w:rsid w:val="005E5B21"/>
    <w:rsid w:val="005E6F06"/>
    <w:rsid w:val="005E781F"/>
    <w:rsid w:val="005E7C77"/>
    <w:rsid w:val="005F0006"/>
    <w:rsid w:val="005F17C0"/>
    <w:rsid w:val="005F19A7"/>
    <w:rsid w:val="005F1A4A"/>
    <w:rsid w:val="005F2497"/>
    <w:rsid w:val="005F25E4"/>
    <w:rsid w:val="005F2DA8"/>
    <w:rsid w:val="005F2E0B"/>
    <w:rsid w:val="005F3761"/>
    <w:rsid w:val="005F4252"/>
    <w:rsid w:val="005F49AA"/>
    <w:rsid w:val="005F5F01"/>
    <w:rsid w:val="005F6C8C"/>
    <w:rsid w:val="005F6E85"/>
    <w:rsid w:val="005F7347"/>
    <w:rsid w:val="005F7375"/>
    <w:rsid w:val="005F7415"/>
    <w:rsid w:val="005F7801"/>
    <w:rsid w:val="005F78BC"/>
    <w:rsid w:val="005F794B"/>
    <w:rsid w:val="005F7CA2"/>
    <w:rsid w:val="005F7FBA"/>
    <w:rsid w:val="00600487"/>
    <w:rsid w:val="006006D6"/>
    <w:rsid w:val="00600727"/>
    <w:rsid w:val="00600A9B"/>
    <w:rsid w:val="00600E8E"/>
    <w:rsid w:val="00600FED"/>
    <w:rsid w:val="00601A74"/>
    <w:rsid w:val="00601C4A"/>
    <w:rsid w:val="006020A3"/>
    <w:rsid w:val="00602410"/>
    <w:rsid w:val="00602E4A"/>
    <w:rsid w:val="00603823"/>
    <w:rsid w:val="00603C55"/>
    <w:rsid w:val="0060406A"/>
    <w:rsid w:val="006046D1"/>
    <w:rsid w:val="00604703"/>
    <w:rsid w:val="0060537F"/>
    <w:rsid w:val="00605B83"/>
    <w:rsid w:val="006065AD"/>
    <w:rsid w:val="00606791"/>
    <w:rsid w:val="006067B5"/>
    <w:rsid w:val="00606ECC"/>
    <w:rsid w:val="00607A80"/>
    <w:rsid w:val="00610137"/>
    <w:rsid w:val="0061033A"/>
    <w:rsid w:val="00610DCD"/>
    <w:rsid w:val="00611952"/>
    <w:rsid w:val="006124F8"/>
    <w:rsid w:val="006124FD"/>
    <w:rsid w:val="006127DA"/>
    <w:rsid w:val="00613812"/>
    <w:rsid w:val="00613EA0"/>
    <w:rsid w:val="00613F8C"/>
    <w:rsid w:val="00613F9E"/>
    <w:rsid w:val="006148B0"/>
    <w:rsid w:val="00615DB6"/>
    <w:rsid w:val="006160A0"/>
    <w:rsid w:val="00617947"/>
    <w:rsid w:val="00621238"/>
    <w:rsid w:val="00622BFB"/>
    <w:rsid w:val="00623646"/>
    <w:rsid w:val="00623FCC"/>
    <w:rsid w:val="006245FB"/>
    <w:rsid w:val="00624825"/>
    <w:rsid w:val="00624E17"/>
    <w:rsid w:val="006256BB"/>
    <w:rsid w:val="00625AD2"/>
    <w:rsid w:val="00627619"/>
    <w:rsid w:val="0062788F"/>
    <w:rsid w:val="00627CEE"/>
    <w:rsid w:val="0063047A"/>
    <w:rsid w:val="00631887"/>
    <w:rsid w:val="00631C1E"/>
    <w:rsid w:val="006320C7"/>
    <w:rsid w:val="00632648"/>
    <w:rsid w:val="006326DC"/>
    <w:rsid w:val="00632876"/>
    <w:rsid w:val="00632889"/>
    <w:rsid w:val="00632D6A"/>
    <w:rsid w:val="00633D7C"/>
    <w:rsid w:val="00633EAC"/>
    <w:rsid w:val="00633F39"/>
    <w:rsid w:val="00634063"/>
    <w:rsid w:val="006340B8"/>
    <w:rsid w:val="00634801"/>
    <w:rsid w:val="006353CF"/>
    <w:rsid w:val="006354AB"/>
    <w:rsid w:val="00636089"/>
    <w:rsid w:val="00636C1D"/>
    <w:rsid w:val="006377A0"/>
    <w:rsid w:val="0064027B"/>
    <w:rsid w:val="00640B29"/>
    <w:rsid w:val="00641260"/>
    <w:rsid w:val="006417AC"/>
    <w:rsid w:val="006419AB"/>
    <w:rsid w:val="00642BC8"/>
    <w:rsid w:val="00642DC1"/>
    <w:rsid w:val="00643111"/>
    <w:rsid w:val="0064374A"/>
    <w:rsid w:val="00643BFA"/>
    <w:rsid w:val="0064556F"/>
    <w:rsid w:val="00645973"/>
    <w:rsid w:val="0064631F"/>
    <w:rsid w:val="006467B0"/>
    <w:rsid w:val="00646D3D"/>
    <w:rsid w:val="00646F5E"/>
    <w:rsid w:val="006501A1"/>
    <w:rsid w:val="00650DD7"/>
    <w:rsid w:val="00651277"/>
    <w:rsid w:val="0065129F"/>
    <w:rsid w:val="00651B17"/>
    <w:rsid w:val="00651CCE"/>
    <w:rsid w:val="00651E79"/>
    <w:rsid w:val="0065254D"/>
    <w:rsid w:val="00652725"/>
    <w:rsid w:val="00652B56"/>
    <w:rsid w:val="00652F3F"/>
    <w:rsid w:val="00654545"/>
    <w:rsid w:val="00654AE1"/>
    <w:rsid w:val="00655FE5"/>
    <w:rsid w:val="00656B9A"/>
    <w:rsid w:val="00656EA9"/>
    <w:rsid w:val="006572C2"/>
    <w:rsid w:val="006574C9"/>
    <w:rsid w:val="00657841"/>
    <w:rsid w:val="00657E58"/>
    <w:rsid w:val="00660287"/>
    <w:rsid w:val="006605A0"/>
    <w:rsid w:val="00661919"/>
    <w:rsid w:val="00661D38"/>
    <w:rsid w:val="00661DE2"/>
    <w:rsid w:val="006624B7"/>
    <w:rsid w:val="006628B3"/>
    <w:rsid w:val="00662ECC"/>
    <w:rsid w:val="006633C6"/>
    <w:rsid w:val="006633E7"/>
    <w:rsid w:val="00664303"/>
    <w:rsid w:val="0066508E"/>
    <w:rsid w:val="0066543A"/>
    <w:rsid w:val="00665998"/>
    <w:rsid w:val="00665B30"/>
    <w:rsid w:val="00665E80"/>
    <w:rsid w:val="00666D8A"/>
    <w:rsid w:val="00666DDA"/>
    <w:rsid w:val="00666F09"/>
    <w:rsid w:val="00667206"/>
    <w:rsid w:val="00667845"/>
    <w:rsid w:val="00670329"/>
    <w:rsid w:val="0067073A"/>
    <w:rsid w:val="00672F9F"/>
    <w:rsid w:val="00673210"/>
    <w:rsid w:val="00673466"/>
    <w:rsid w:val="0067355D"/>
    <w:rsid w:val="006738CE"/>
    <w:rsid w:val="00674278"/>
    <w:rsid w:val="00674B4E"/>
    <w:rsid w:val="00675025"/>
    <w:rsid w:val="006754E6"/>
    <w:rsid w:val="00675601"/>
    <w:rsid w:val="00675893"/>
    <w:rsid w:val="00675A4B"/>
    <w:rsid w:val="00675C63"/>
    <w:rsid w:val="00675E00"/>
    <w:rsid w:val="00676A2A"/>
    <w:rsid w:val="00676E4C"/>
    <w:rsid w:val="0067736B"/>
    <w:rsid w:val="0068014D"/>
    <w:rsid w:val="006804E2"/>
    <w:rsid w:val="006807CE"/>
    <w:rsid w:val="00680E0E"/>
    <w:rsid w:val="0068152D"/>
    <w:rsid w:val="00681B53"/>
    <w:rsid w:val="00681BF5"/>
    <w:rsid w:val="00682662"/>
    <w:rsid w:val="00682AA3"/>
    <w:rsid w:val="00682F53"/>
    <w:rsid w:val="00683075"/>
    <w:rsid w:val="006836A2"/>
    <w:rsid w:val="0068419B"/>
    <w:rsid w:val="00684749"/>
    <w:rsid w:val="00685D0A"/>
    <w:rsid w:val="00685DA6"/>
    <w:rsid w:val="00686794"/>
    <w:rsid w:val="00687143"/>
    <w:rsid w:val="00690088"/>
    <w:rsid w:val="00690CEC"/>
    <w:rsid w:val="00690DE1"/>
    <w:rsid w:val="0069168D"/>
    <w:rsid w:val="00693C9E"/>
    <w:rsid w:val="00694290"/>
    <w:rsid w:val="006950BF"/>
    <w:rsid w:val="00695747"/>
    <w:rsid w:val="00695D34"/>
    <w:rsid w:val="00695FC9"/>
    <w:rsid w:val="0069633D"/>
    <w:rsid w:val="00696A2D"/>
    <w:rsid w:val="0069724D"/>
    <w:rsid w:val="006A00E0"/>
    <w:rsid w:val="006A0236"/>
    <w:rsid w:val="006A0B9F"/>
    <w:rsid w:val="006A2084"/>
    <w:rsid w:val="006A260D"/>
    <w:rsid w:val="006A2872"/>
    <w:rsid w:val="006A2979"/>
    <w:rsid w:val="006A2CCC"/>
    <w:rsid w:val="006A398A"/>
    <w:rsid w:val="006A42D9"/>
    <w:rsid w:val="006A5538"/>
    <w:rsid w:val="006A5E9B"/>
    <w:rsid w:val="006A5EB2"/>
    <w:rsid w:val="006A745A"/>
    <w:rsid w:val="006A7938"/>
    <w:rsid w:val="006A7A13"/>
    <w:rsid w:val="006A7C33"/>
    <w:rsid w:val="006B0260"/>
    <w:rsid w:val="006B05B0"/>
    <w:rsid w:val="006B0CCA"/>
    <w:rsid w:val="006B1141"/>
    <w:rsid w:val="006B130C"/>
    <w:rsid w:val="006B1B7F"/>
    <w:rsid w:val="006B1CDA"/>
    <w:rsid w:val="006B1DA0"/>
    <w:rsid w:val="006B2B0F"/>
    <w:rsid w:val="006B309F"/>
    <w:rsid w:val="006B3275"/>
    <w:rsid w:val="006B431C"/>
    <w:rsid w:val="006B5501"/>
    <w:rsid w:val="006B557B"/>
    <w:rsid w:val="006B6AF1"/>
    <w:rsid w:val="006B6DB8"/>
    <w:rsid w:val="006B7127"/>
    <w:rsid w:val="006B767A"/>
    <w:rsid w:val="006B7A4C"/>
    <w:rsid w:val="006C04B9"/>
    <w:rsid w:val="006C2EE8"/>
    <w:rsid w:val="006C3833"/>
    <w:rsid w:val="006C3856"/>
    <w:rsid w:val="006C3CEB"/>
    <w:rsid w:val="006C4573"/>
    <w:rsid w:val="006C48AD"/>
    <w:rsid w:val="006C4B89"/>
    <w:rsid w:val="006C53B4"/>
    <w:rsid w:val="006C5BF2"/>
    <w:rsid w:val="006C5D9C"/>
    <w:rsid w:val="006C712B"/>
    <w:rsid w:val="006C7159"/>
    <w:rsid w:val="006C799D"/>
    <w:rsid w:val="006D07F6"/>
    <w:rsid w:val="006D12B0"/>
    <w:rsid w:val="006D150F"/>
    <w:rsid w:val="006D1B7A"/>
    <w:rsid w:val="006D317A"/>
    <w:rsid w:val="006D41C2"/>
    <w:rsid w:val="006D5A5B"/>
    <w:rsid w:val="006D5E1C"/>
    <w:rsid w:val="006D5E63"/>
    <w:rsid w:val="006D5FF3"/>
    <w:rsid w:val="006D6E97"/>
    <w:rsid w:val="006D7011"/>
    <w:rsid w:val="006D7137"/>
    <w:rsid w:val="006D717B"/>
    <w:rsid w:val="006D77BB"/>
    <w:rsid w:val="006E03E0"/>
    <w:rsid w:val="006E0446"/>
    <w:rsid w:val="006E0888"/>
    <w:rsid w:val="006E0992"/>
    <w:rsid w:val="006E0A4A"/>
    <w:rsid w:val="006E0C2B"/>
    <w:rsid w:val="006E13F4"/>
    <w:rsid w:val="006E1834"/>
    <w:rsid w:val="006E20E0"/>
    <w:rsid w:val="006E249F"/>
    <w:rsid w:val="006E24AB"/>
    <w:rsid w:val="006E282A"/>
    <w:rsid w:val="006E2868"/>
    <w:rsid w:val="006E2E8D"/>
    <w:rsid w:val="006E346B"/>
    <w:rsid w:val="006E3846"/>
    <w:rsid w:val="006E3E70"/>
    <w:rsid w:val="006E3EF9"/>
    <w:rsid w:val="006E42CB"/>
    <w:rsid w:val="006E47A0"/>
    <w:rsid w:val="006E4908"/>
    <w:rsid w:val="006E4D3B"/>
    <w:rsid w:val="006F0B8E"/>
    <w:rsid w:val="006F0F9F"/>
    <w:rsid w:val="006F0FC9"/>
    <w:rsid w:val="006F16A5"/>
    <w:rsid w:val="006F28B0"/>
    <w:rsid w:val="006F3D66"/>
    <w:rsid w:val="006F3D67"/>
    <w:rsid w:val="006F464A"/>
    <w:rsid w:val="006F497E"/>
    <w:rsid w:val="006F4A5F"/>
    <w:rsid w:val="006F77E4"/>
    <w:rsid w:val="006F7DF7"/>
    <w:rsid w:val="007007F7"/>
    <w:rsid w:val="00700926"/>
    <w:rsid w:val="00701157"/>
    <w:rsid w:val="00701368"/>
    <w:rsid w:val="007016A0"/>
    <w:rsid w:val="00701B31"/>
    <w:rsid w:val="00702361"/>
    <w:rsid w:val="0070245A"/>
    <w:rsid w:val="007034E2"/>
    <w:rsid w:val="0070370A"/>
    <w:rsid w:val="007038BD"/>
    <w:rsid w:val="00703AD0"/>
    <w:rsid w:val="00703AF4"/>
    <w:rsid w:val="00703B19"/>
    <w:rsid w:val="00703B6C"/>
    <w:rsid w:val="0070460C"/>
    <w:rsid w:val="0070490C"/>
    <w:rsid w:val="00704C2B"/>
    <w:rsid w:val="0070519C"/>
    <w:rsid w:val="007063A3"/>
    <w:rsid w:val="00706821"/>
    <w:rsid w:val="00706C7E"/>
    <w:rsid w:val="0070799D"/>
    <w:rsid w:val="00707ED6"/>
    <w:rsid w:val="007100F2"/>
    <w:rsid w:val="007105B0"/>
    <w:rsid w:val="00710CC7"/>
    <w:rsid w:val="0071173C"/>
    <w:rsid w:val="00711B2F"/>
    <w:rsid w:val="007122B7"/>
    <w:rsid w:val="007122C4"/>
    <w:rsid w:val="00712312"/>
    <w:rsid w:val="00712554"/>
    <w:rsid w:val="007143CF"/>
    <w:rsid w:val="00714B4D"/>
    <w:rsid w:val="007157FF"/>
    <w:rsid w:val="00715F60"/>
    <w:rsid w:val="00717A3B"/>
    <w:rsid w:val="007204F5"/>
    <w:rsid w:val="007207E0"/>
    <w:rsid w:val="00720DE9"/>
    <w:rsid w:val="00721988"/>
    <w:rsid w:val="00722272"/>
    <w:rsid w:val="0072230C"/>
    <w:rsid w:val="00722AE5"/>
    <w:rsid w:val="00722D43"/>
    <w:rsid w:val="007232A7"/>
    <w:rsid w:val="0072372C"/>
    <w:rsid w:val="0072424B"/>
    <w:rsid w:val="007242C4"/>
    <w:rsid w:val="00724DE3"/>
    <w:rsid w:val="00726874"/>
    <w:rsid w:val="00726AD8"/>
    <w:rsid w:val="00727506"/>
    <w:rsid w:val="007275C4"/>
    <w:rsid w:val="007277B0"/>
    <w:rsid w:val="0072799D"/>
    <w:rsid w:val="00727B85"/>
    <w:rsid w:val="007302AD"/>
    <w:rsid w:val="007305E4"/>
    <w:rsid w:val="00730638"/>
    <w:rsid w:val="007306FA"/>
    <w:rsid w:val="007308C2"/>
    <w:rsid w:val="00730A28"/>
    <w:rsid w:val="00730A2A"/>
    <w:rsid w:val="00730BE8"/>
    <w:rsid w:val="00731913"/>
    <w:rsid w:val="00731C04"/>
    <w:rsid w:val="0073233C"/>
    <w:rsid w:val="00733449"/>
    <w:rsid w:val="00734384"/>
    <w:rsid w:val="007350DD"/>
    <w:rsid w:val="00735461"/>
    <w:rsid w:val="007354D6"/>
    <w:rsid w:val="00735A55"/>
    <w:rsid w:val="00735C22"/>
    <w:rsid w:val="00735FC5"/>
    <w:rsid w:val="00736C03"/>
    <w:rsid w:val="00737362"/>
    <w:rsid w:val="0074064A"/>
    <w:rsid w:val="00740979"/>
    <w:rsid w:val="007409B8"/>
    <w:rsid w:val="00741DAA"/>
    <w:rsid w:val="00742819"/>
    <w:rsid w:val="00742A33"/>
    <w:rsid w:val="00742D5B"/>
    <w:rsid w:val="00742D87"/>
    <w:rsid w:val="00743432"/>
    <w:rsid w:val="00743EB4"/>
    <w:rsid w:val="007445C5"/>
    <w:rsid w:val="00744994"/>
    <w:rsid w:val="00744AF9"/>
    <w:rsid w:val="007452B2"/>
    <w:rsid w:val="007454AA"/>
    <w:rsid w:val="00745ABA"/>
    <w:rsid w:val="0074605A"/>
    <w:rsid w:val="0074609E"/>
    <w:rsid w:val="00746718"/>
    <w:rsid w:val="0074758E"/>
    <w:rsid w:val="007476E5"/>
    <w:rsid w:val="00747D11"/>
    <w:rsid w:val="00750103"/>
    <w:rsid w:val="007502A9"/>
    <w:rsid w:val="00750446"/>
    <w:rsid w:val="00750492"/>
    <w:rsid w:val="007517B7"/>
    <w:rsid w:val="00752684"/>
    <w:rsid w:val="00752A9F"/>
    <w:rsid w:val="00752AA5"/>
    <w:rsid w:val="00752CEE"/>
    <w:rsid w:val="00752FDF"/>
    <w:rsid w:val="0075474E"/>
    <w:rsid w:val="00754CA8"/>
    <w:rsid w:val="00755884"/>
    <w:rsid w:val="00755C00"/>
    <w:rsid w:val="00757FA7"/>
    <w:rsid w:val="007601E1"/>
    <w:rsid w:val="00760B00"/>
    <w:rsid w:val="00760C7E"/>
    <w:rsid w:val="00761355"/>
    <w:rsid w:val="007613ED"/>
    <w:rsid w:val="00762AA7"/>
    <w:rsid w:val="00762F52"/>
    <w:rsid w:val="00763931"/>
    <w:rsid w:val="00763CE4"/>
    <w:rsid w:val="00764198"/>
    <w:rsid w:val="007645A5"/>
    <w:rsid w:val="007645CC"/>
    <w:rsid w:val="00764AD0"/>
    <w:rsid w:val="00765305"/>
    <w:rsid w:val="00766771"/>
    <w:rsid w:val="00766849"/>
    <w:rsid w:val="007671BE"/>
    <w:rsid w:val="007671F6"/>
    <w:rsid w:val="0076739F"/>
    <w:rsid w:val="007673A1"/>
    <w:rsid w:val="00767AF1"/>
    <w:rsid w:val="00767B25"/>
    <w:rsid w:val="00771537"/>
    <w:rsid w:val="00771A96"/>
    <w:rsid w:val="00771CFB"/>
    <w:rsid w:val="00771F63"/>
    <w:rsid w:val="00772927"/>
    <w:rsid w:val="00773EFD"/>
    <w:rsid w:val="0077489A"/>
    <w:rsid w:val="00774C87"/>
    <w:rsid w:val="00775617"/>
    <w:rsid w:val="007757BC"/>
    <w:rsid w:val="00775895"/>
    <w:rsid w:val="007758E4"/>
    <w:rsid w:val="00776B7F"/>
    <w:rsid w:val="0077711C"/>
    <w:rsid w:val="007773F8"/>
    <w:rsid w:val="007777B6"/>
    <w:rsid w:val="00777931"/>
    <w:rsid w:val="007802CF"/>
    <w:rsid w:val="007804E4"/>
    <w:rsid w:val="007805F7"/>
    <w:rsid w:val="00780612"/>
    <w:rsid w:val="0078090F"/>
    <w:rsid w:val="00780E5E"/>
    <w:rsid w:val="00781779"/>
    <w:rsid w:val="0078189A"/>
    <w:rsid w:val="00783BA3"/>
    <w:rsid w:val="00784BCD"/>
    <w:rsid w:val="00784CCA"/>
    <w:rsid w:val="0078571C"/>
    <w:rsid w:val="0078572C"/>
    <w:rsid w:val="00785AE0"/>
    <w:rsid w:val="00787443"/>
    <w:rsid w:val="00791738"/>
    <w:rsid w:val="00791780"/>
    <w:rsid w:val="007918D8"/>
    <w:rsid w:val="00791EEE"/>
    <w:rsid w:val="00792420"/>
    <w:rsid w:val="0079338A"/>
    <w:rsid w:val="0079370F"/>
    <w:rsid w:val="00793AD1"/>
    <w:rsid w:val="00794150"/>
    <w:rsid w:val="00794288"/>
    <w:rsid w:val="0079497E"/>
    <w:rsid w:val="007953AE"/>
    <w:rsid w:val="00795404"/>
    <w:rsid w:val="00796235"/>
    <w:rsid w:val="0079713F"/>
    <w:rsid w:val="0079798E"/>
    <w:rsid w:val="007A0A11"/>
    <w:rsid w:val="007A0D0C"/>
    <w:rsid w:val="007A12CE"/>
    <w:rsid w:val="007A1584"/>
    <w:rsid w:val="007A19A5"/>
    <w:rsid w:val="007A1E11"/>
    <w:rsid w:val="007A317D"/>
    <w:rsid w:val="007A3833"/>
    <w:rsid w:val="007A6241"/>
    <w:rsid w:val="007A7196"/>
    <w:rsid w:val="007A7870"/>
    <w:rsid w:val="007A7900"/>
    <w:rsid w:val="007A7C96"/>
    <w:rsid w:val="007B0576"/>
    <w:rsid w:val="007B08D6"/>
    <w:rsid w:val="007B17B3"/>
    <w:rsid w:val="007B19FC"/>
    <w:rsid w:val="007B1A53"/>
    <w:rsid w:val="007B21A5"/>
    <w:rsid w:val="007B2B80"/>
    <w:rsid w:val="007B2BE8"/>
    <w:rsid w:val="007B3B27"/>
    <w:rsid w:val="007B4467"/>
    <w:rsid w:val="007B47C0"/>
    <w:rsid w:val="007B4834"/>
    <w:rsid w:val="007B4A15"/>
    <w:rsid w:val="007B4CB7"/>
    <w:rsid w:val="007B568C"/>
    <w:rsid w:val="007B5C9D"/>
    <w:rsid w:val="007B715C"/>
    <w:rsid w:val="007B72ED"/>
    <w:rsid w:val="007B7782"/>
    <w:rsid w:val="007B7B08"/>
    <w:rsid w:val="007C0CF0"/>
    <w:rsid w:val="007C1008"/>
    <w:rsid w:val="007C10E5"/>
    <w:rsid w:val="007C1CD7"/>
    <w:rsid w:val="007C247F"/>
    <w:rsid w:val="007C2994"/>
    <w:rsid w:val="007C2FD3"/>
    <w:rsid w:val="007C31DE"/>
    <w:rsid w:val="007C3CBC"/>
    <w:rsid w:val="007C43A9"/>
    <w:rsid w:val="007C452D"/>
    <w:rsid w:val="007C4FD6"/>
    <w:rsid w:val="007C6E9A"/>
    <w:rsid w:val="007C6F56"/>
    <w:rsid w:val="007C70B2"/>
    <w:rsid w:val="007C7511"/>
    <w:rsid w:val="007D0EE2"/>
    <w:rsid w:val="007D13EF"/>
    <w:rsid w:val="007D15C7"/>
    <w:rsid w:val="007D15F0"/>
    <w:rsid w:val="007D1826"/>
    <w:rsid w:val="007D1D03"/>
    <w:rsid w:val="007D3B70"/>
    <w:rsid w:val="007D4128"/>
    <w:rsid w:val="007D431A"/>
    <w:rsid w:val="007D5207"/>
    <w:rsid w:val="007D566A"/>
    <w:rsid w:val="007D5CB3"/>
    <w:rsid w:val="007D67E9"/>
    <w:rsid w:val="007D68F9"/>
    <w:rsid w:val="007D7102"/>
    <w:rsid w:val="007D7769"/>
    <w:rsid w:val="007D7BD5"/>
    <w:rsid w:val="007D7E27"/>
    <w:rsid w:val="007E079B"/>
    <w:rsid w:val="007E1678"/>
    <w:rsid w:val="007E17A6"/>
    <w:rsid w:val="007E1A8A"/>
    <w:rsid w:val="007E2218"/>
    <w:rsid w:val="007E226B"/>
    <w:rsid w:val="007E27B8"/>
    <w:rsid w:val="007E32EE"/>
    <w:rsid w:val="007E34D8"/>
    <w:rsid w:val="007E374A"/>
    <w:rsid w:val="007E409A"/>
    <w:rsid w:val="007E4640"/>
    <w:rsid w:val="007E4A76"/>
    <w:rsid w:val="007E4CE6"/>
    <w:rsid w:val="007E5227"/>
    <w:rsid w:val="007E55B4"/>
    <w:rsid w:val="007E56E6"/>
    <w:rsid w:val="007E6CD3"/>
    <w:rsid w:val="007E74EC"/>
    <w:rsid w:val="007E7C03"/>
    <w:rsid w:val="007F01E5"/>
    <w:rsid w:val="007F03FD"/>
    <w:rsid w:val="007F048A"/>
    <w:rsid w:val="007F0D70"/>
    <w:rsid w:val="007F0E05"/>
    <w:rsid w:val="007F1443"/>
    <w:rsid w:val="007F1FCD"/>
    <w:rsid w:val="007F26CE"/>
    <w:rsid w:val="007F2B55"/>
    <w:rsid w:val="007F2F05"/>
    <w:rsid w:val="007F3480"/>
    <w:rsid w:val="007F3935"/>
    <w:rsid w:val="007F3A80"/>
    <w:rsid w:val="007F4348"/>
    <w:rsid w:val="007F5625"/>
    <w:rsid w:val="007F67B3"/>
    <w:rsid w:val="007F75FF"/>
    <w:rsid w:val="007F7FEA"/>
    <w:rsid w:val="00800C5B"/>
    <w:rsid w:val="00801044"/>
    <w:rsid w:val="008011C2"/>
    <w:rsid w:val="00801469"/>
    <w:rsid w:val="0080168A"/>
    <w:rsid w:val="00803BD1"/>
    <w:rsid w:val="00803DE8"/>
    <w:rsid w:val="0080475D"/>
    <w:rsid w:val="00804BB6"/>
    <w:rsid w:val="00804D30"/>
    <w:rsid w:val="008050C2"/>
    <w:rsid w:val="00807052"/>
    <w:rsid w:val="00807066"/>
    <w:rsid w:val="00807484"/>
    <w:rsid w:val="00807C68"/>
    <w:rsid w:val="00810432"/>
    <w:rsid w:val="00810803"/>
    <w:rsid w:val="00811845"/>
    <w:rsid w:val="00811D78"/>
    <w:rsid w:val="008120A0"/>
    <w:rsid w:val="0081274F"/>
    <w:rsid w:val="0081343B"/>
    <w:rsid w:val="0081351D"/>
    <w:rsid w:val="00813C50"/>
    <w:rsid w:val="00813D34"/>
    <w:rsid w:val="0081416D"/>
    <w:rsid w:val="008156DA"/>
    <w:rsid w:val="0081591F"/>
    <w:rsid w:val="00815C46"/>
    <w:rsid w:val="00815D06"/>
    <w:rsid w:val="00816B37"/>
    <w:rsid w:val="00817653"/>
    <w:rsid w:val="0082074F"/>
    <w:rsid w:val="008211B2"/>
    <w:rsid w:val="008215B1"/>
    <w:rsid w:val="00821E86"/>
    <w:rsid w:val="00822088"/>
    <w:rsid w:val="008228A1"/>
    <w:rsid w:val="00822B73"/>
    <w:rsid w:val="00823E76"/>
    <w:rsid w:val="00825244"/>
    <w:rsid w:val="00825482"/>
    <w:rsid w:val="00825524"/>
    <w:rsid w:val="00825F73"/>
    <w:rsid w:val="0082697F"/>
    <w:rsid w:val="00826C6A"/>
    <w:rsid w:val="00826EAF"/>
    <w:rsid w:val="00827217"/>
    <w:rsid w:val="00827503"/>
    <w:rsid w:val="0083001B"/>
    <w:rsid w:val="00830572"/>
    <w:rsid w:val="00830601"/>
    <w:rsid w:val="00830F8A"/>
    <w:rsid w:val="008314A5"/>
    <w:rsid w:val="00831744"/>
    <w:rsid w:val="00832047"/>
    <w:rsid w:val="00832259"/>
    <w:rsid w:val="00832AD2"/>
    <w:rsid w:val="008332C6"/>
    <w:rsid w:val="008338DD"/>
    <w:rsid w:val="00833F68"/>
    <w:rsid w:val="00834CDD"/>
    <w:rsid w:val="00834D75"/>
    <w:rsid w:val="00834FC5"/>
    <w:rsid w:val="00835728"/>
    <w:rsid w:val="00835F42"/>
    <w:rsid w:val="00836B56"/>
    <w:rsid w:val="00840D26"/>
    <w:rsid w:val="008418B4"/>
    <w:rsid w:val="00841CDE"/>
    <w:rsid w:val="00842730"/>
    <w:rsid w:val="00843A57"/>
    <w:rsid w:val="0084461B"/>
    <w:rsid w:val="00844ACC"/>
    <w:rsid w:val="00845498"/>
    <w:rsid w:val="0084769C"/>
    <w:rsid w:val="00847C8A"/>
    <w:rsid w:val="008504A7"/>
    <w:rsid w:val="008504C4"/>
    <w:rsid w:val="00850C38"/>
    <w:rsid w:val="00851510"/>
    <w:rsid w:val="0085198A"/>
    <w:rsid w:val="00851E13"/>
    <w:rsid w:val="008522B4"/>
    <w:rsid w:val="0085333A"/>
    <w:rsid w:val="008537A3"/>
    <w:rsid w:val="00854295"/>
    <w:rsid w:val="00854AD4"/>
    <w:rsid w:val="00854D34"/>
    <w:rsid w:val="00854DFF"/>
    <w:rsid w:val="008559C4"/>
    <w:rsid w:val="00855CAA"/>
    <w:rsid w:val="008561FF"/>
    <w:rsid w:val="00856456"/>
    <w:rsid w:val="0085659C"/>
    <w:rsid w:val="0085693D"/>
    <w:rsid w:val="00856B5F"/>
    <w:rsid w:val="008572A6"/>
    <w:rsid w:val="00857F1B"/>
    <w:rsid w:val="008603FE"/>
    <w:rsid w:val="008609F8"/>
    <w:rsid w:val="00860D37"/>
    <w:rsid w:val="00862170"/>
    <w:rsid w:val="00863012"/>
    <w:rsid w:val="00863D29"/>
    <w:rsid w:val="00864940"/>
    <w:rsid w:val="00864D87"/>
    <w:rsid w:val="00864FBE"/>
    <w:rsid w:val="00865276"/>
    <w:rsid w:val="0086567C"/>
    <w:rsid w:val="008665B7"/>
    <w:rsid w:val="0086678B"/>
    <w:rsid w:val="008668C9"/>
    <w:rsid w:val="00866D7B"/>
    <w:rsid w:val="008673FB"/>
    <w:rsid w:val="0086752E"/>
    <w:rsid w:val="00867A95"/>
    <w:rsid w:val="00867CE0"/>
    <w:rsid w:val="008706B4"/>
    <w:rsid w:val="00870916"/>
    <w:rsid w:val="00870F59"/>
    <w:rsid w:val="0087112B"/>
    <w:rsid w:val="00871348"/>
    <w:rsid w:val="00871444"/>
    <w:rsid w:val="00871735"/>
    <w:rsid w:val="00872A4F"/>
    <w:rsid w:val="008742D0"/>
    <w:rsid w:val="00875020"/>
    <w:rsid w:val="0087607B"/>
    <w:rsid w:val="0087689F"/>
    <w:rsid w:val="00876E9C"/>
    <w:rsid w:val="00877009"/>
    <w:rsid w:val="00877C98"/>
    <w:rsid w:val="00880E08"/>
    <w:rsid w:val="00881922"/>
    <w:rsid w:val="00882131"/>
    <w:rsid w:val="00883F35"/>
    <w:rsid w:val="008846A5"/>
    <w:rsid w:val="00884FEA"/>
    <w:rsid w:val="008854BD"/>
    <w:rsid w:val="00885530"/>
    <w:rsid w:val="008859F6"/>
    <w:rsid w:val="00885B28"/>
    <w:rsid w:val="00885F69"/>
    <w:rsid w:val="0088680B"/>
    <w:rsid w:val="00886CAB"/>
    <w:rsid w:val="00886EA6"/>
    <w:rsid w:val="00887BED"/>
    <w:rsid w:val="00890035"/>
    <w:rsid w:val="008905CD"/>
    <w:rsid w:val="008908BB"/>
    <w:rsid w:val="008911A8"/>
    <w:rsid w:val="00891985"/>
    <w:rsid w:val="00892C67"/>
    <w:rsid w:val="00892FBE"/>
    <w:rsid w:val="00893126"/>
    <w:rsid w:val="00893320"/>
    <w:rsid w:val="008933F6"/>
    <w:rsid w:val="0089410F"/>
    <w:rsid w:val="00894CCB"/>
    <w:rsid w:val="00895C17"/>
    <w:rsid w:val="008977EC"/>
    <w:rsid w:val="008A032E"/>
    <w:rsid w:val="008A0F7C"/>
    <w:rsid w:val="008A11A9"/>
    <w:rsid w:val="008A13A9"/>
    <w:rsid w:val="008A162D"/>
    <w:rsid w:val="008A170B"/>
    <w:rsid w:val="008A1C63"/>
    <w:rsid w:val="008A1E52"/>
    <w:rsid w:val="008A1F13"/>
    <w:rsid w:val="008A20F8"/>
    <w:rsid w:val="008A25AD"/>
    <w:rsid w:val="008A3092"/>
    <w:rsid w:val="008A3555"/>
    <w:rsid w:val="008A3E6B"/>
    <w:rsid w:val="008A5231"/>
    <w:rsid w:val="008A5C5F"/>
    <w:rsid w:val="008A6C19"/>
    <w:rsid w:val="008A784E"/>
    <w:rsid w:val="008A7A40"/>
    <w:rsid w:val="008B15EC"/>
    <w:rsid w:val="008B17F1"/>
    <w:rsid w:val="008B2089"/>
    <w:rsid w:val="008B228C"/>
    <w:rsid w:val="008B243C"/>
    <w:rsid w:val="008B2451"/>
    <w:rsid w:val="008B2492"/>
    <w:rsid w:val="008B27B9"/>
    <w:rsid w:val="008B39B9"/>
    <w:rsid w:val="008B3F14"/>
    <w:rsid w:val="008B571D"/>
    <w:rsid w:val="008B5865"/>
    <w:rsid w:val="008B5E28"/>
    <w:rsid w:val="008B6F7A"/>
    <w:rsid w:val="008B70B3"/>
    <w:rsid w:val="008C087D"/>
    <w:rsid w:val="008C0DC8"/>
    <w:rsid w:val="008C10EF"/>
    <w:rsid w:val="008C14A6"/>
    <w:rsid w:val="008C16B7"/>
    <w:rsid w:val="008C1D8C"/>
    <w:rsid w:val="008C29FF"/>
    <w:rsid w:val="008C3480"/>
    <w:rsid w:val="008C4771"/>
    <w:rsid w:val="008C4A41"/>
    <w:rsid w:val="008C5BFD"/>
    <w:rsid w:val="008C6E3B"/>
    <w:rsid w:val="008C6EA2"/>
    <w:rsid w:val="008C7356"/>
    <w:rsid w:val="008C7BAC"/>
    <w:rsid w:val="008C7C0A"/>
    <w:rsid w:val="008D107E"/>
    <w:rsid w:val="008D136F"/>
    <w:rsid w:val="008D1845"/>
    <w:rsid w:val="008D1E5C"/>
    <w:rsid w:val="008D2D5C"/>
    <w:rsid w:val="008D4058"/>
    <w:rsid w:val="008D5267"/>
    <w:rsid w:val="008D52CC"/>
    <w:rsid w:val="008D558A"/>
    <w:rsid w:val="008D55F9"/>
    <w:rsid w:val="008D5685"/>
    <w:rsid w:val="008D5B2F"/>
    <w:rsid w:val="008D644A"/>
    <w:rsid w:val="008D64E7"/>
    <w:rsid w:val="008D74FC"/>
    <w:rsid w:val="008D7524"/>
    <w:rsid w:val="008D7BB4"/>
    <w:rsid w:val="008D7CFC"/>
    <w:rsid w:val="008D7DCB"/>
    <w:rsid w:val="008E0949"/>
    <w:rsid w:val="008E1035"/>
    <w:rsid w:val="008E1036"/>
    <w:rsid w:val="008E15B5"/>
    <w:rsid w:val="008E1A78"/>
    <w:rsid w:val="008E2228"/>
    <w:rsid w:val="008E233D"/>
    <w:rsid w:val="008E41B7"/>
    <w:rsid w:val="008E48D5"/>
    <w:rsid w:val="008E490C"/>
    <w:rsid w:val="008E4B28"/>
    <w:rsid w:val="008E577C"/>
    <w:rsid w:val="008E59B6"/>
    <w:rsid w:val="008E6702"/>
    <w:rsid w:val="008E6BF9"/>
    <w:rsid w:val="008E7323"/>
    <w:rsid w:val="008E7DF7"/>
    <w:rsid w:val="008E7F7E"/>
    <w:rsid w:val="008F0197"/>
    <w:rsid w:val="008F0829"/>
    <w:rsid w:val="008F0C22"/>
    <w:rsid w:val="008F0E90"/>
    <w:rsid w:val="008F1122"/>
    <w:rsid w:val="008F14A7"/>
    <w:rsid w:val="008F1795"/>
    <w:rsid w:val="008F203F"/>
    <w:rsid w:val="008F2A90"/>
    <w:rsid w:val="008F3043"/>
    <w:rsid w:val="008F3818"/>
    <w:rsid w:val="008F44C8"/>
    <w:rsid w:val="008F4BAA"/>
    <w:rsid w:val="008F54F4"/>
    <w:rsid w:val="008F565A"/>
    <w:rsid w:val="008F5B01"/>
    <w:rsid w:val="008F5F78"/>
    <w:rsid w:val="008F5F94"/>
    <w:rsid w:val="008F66B7"/>
    <w:rsid w:val="008F6A98"/>
    <w:rsid w:val="008F6F51"/>
    <w:rsid w:val="009002B1"/>
    <w:rsid w:val="00900358"/>
    <w:rsid w:val="009007C8"/>
    <w:rsid w:val="00901BB7"/>
    <w:rsid w:val="00901F0E"/>
    <w:rsid w:val="009026F0"/>
    <w:rsid w:val="00904FAB"/>
    <w:rsid w:val="00904FEE"/>
    <w:rsid w:val="00905000"/>
    <w:rsid w:val="00907BA3"/>
    <w:rsid w:val="009109B3"/>
    <w:rsid w:val="00911023"/>
    <w:rsid w:val="0091118D"/>
    <w:rsid w:val="009123AE"/>
    <w:rsid w:val="00913C9A"/>
    <w:rsid w:val="00913EB7"/>
    <w:rsid w:val="00913F0C"/>
    <w:rsid w:val="009141CF"/>
    <w:rsid w:val="009143C4"/>
    <w:rsid w:val="00914904"/>
    <w:rsid w:val="00914935"/>
    <w:rsid w:val="009149A4"/>
    <w:rsid w:val="009157D7"/>
    <w:rsid w:val="009166FF"/>
    <w:rsid w:val="00916729"/>
    <w:rsid w:val="00917002"/>
    <w:rsid w:val="0091720B"/>
    <w:rsid w:val="009172FE"/>
    <w:rsid w:val="00917328"/>
    <w:rsid w:val="00917915"/>
    <w:rsid w:val="00917A1A"/>
    <w:rsid w:val="009201C6"/>
    <w:rsid w:val="00920243"/>
    <w:rsid w:val="0092054C"/>
    <w:rsid w:val="0092060A"/>
    <w:rsid w:val="009208FC"/>
    <w:rsid w:val="009209C6"/>
    <w:rsid w:val="00921ACC"/>
    <w:rsid w:val="009223C5"/>
    <w:rsid w:val="00922C58"/>
    <w:rsid w:val="009235B3"/>
    <w:rsid w:val="0092385B"/>
    <w:rsid w:val="00923F27"/>
    <w:rsid w:val="00924087"/>
    <w:rsid w:val="009246A4"/>
    <w:rsid w:val="00926250"/>
    <w:rsid w:val="009263B2"/>
    <w:rsid w:val="009264FB"/>
    <w:rsid w:val="009270CD"/>
    <w:rsid w:val="009272F6"/>
    <w:rsid w:val="009278D1"/>
    <w:rsid w:val="00931E5E"/>
    <w:rsid w:val="0093232A"/>
    <w:rsid w:val="009330CB"/>
    <w:rsid w:val="009330F7"/>
    <w:rsid w:val="0093346A"/>
    <w:rsid w:val="00934AF2"/>
    <w:rsid w:val="0093555E"/>
    <w:rsid w:val="009357AC"/>
    <w:rsid w:val="00935B94"/>
    <w:rsid w:val="00936240"/>
    <w:rsid w:val="00936A61"/>
    <w:rsid w:val="00936C96"/>
    <w:rsid w:val="00936D95"/>
    <w:rsid w:val="0093732C"/>
    <w:rsid w:val="00937DF3"/>
    <w:rsid w:val="00940628"/>
    <w:rsid w:val="00940900"/>
    <w:rsid w:val="0094113F"/>
    <w:rsid w:val="00941576"/>
    <w:rsid w:val="00941E12"/>
    <w:rsid w:val="009422DA"/>
    <w:rsid w:val="00943281"/>
    <w:rsid w:val="00943FCE"/>
    <w:rsid w:val="009447BA"/>
    <w:rsid w:val="009448F2"/>
    <w:rsid w:val="0094522C"/>
    <w:rsid w:val="00945460"/>
    <w:rsid w:val="00946020"/>
    <w:rsid w:val="00947AF2"/>
    <w:rsid w:val="0095089A"/>
    <w:rsid w:val="009526D7"/>
    <w:rsid w:val="00952C23"/>
    <w:rsid w:val="0095338B"/>
    <w:rsid w:val="00953C14"/>
    <w:rsid w:val="00954638"/>
    <w:rsid w:val="00955D75"/>
    <w:rsid w:val="00955FA7"/>
    <w:rsid w:val="0095697C"/>
    <w:rsid w:val="009575DC"/>
    <w:rsid w:val="00957CBE"/>
    <w:rsid w:val="00960299"/>
    <w:rsid w:val="009607FE"/>
    <w:rsid w:val="00962106"/>
    <w:rsid w:val="0096269D"/>
    <w:rsid w:val="00962B76"/>
    <w:rsid w:val="00962D48"/>
    <w:rsid w:val="009644FC"/>
    <w:rsid w:val="00964C5B"/>
    <w:rsid w:val="0096719A"/>
    <w:rsid w:val="00970F65"/>
    <w:rsid w:val="00970F89"/>
    <w:rsid w:val="00971199"/>
    <w:rsid w:val="0097221D"/>
    <w:rsid w:val="00972283"/>
    <w:rsid w:val="00972577"/>
    <w:rsid w:val="00974542"/>
    <w:rsid w:val="009762CC"/>
    <w:rsid w:val="009764E7"/>
    <w:rsid w:val="0097688A"/>
    <w:rsid w:val="00977442"/>
    <w:rsid w:val="009779FD"/>
    <w:rsid w:val="00977BC9"/>
    <w:rsid w:val="00977C18"/>
    <w:rsid w:val="00980383"/>
    <w:rsid w:val="0098046E"/>
    <w:rsid w:val="0098067B"/>
    <w:rsid w:val="00981742"/>
    <w:rsid w:val="00982066"/>
    <w:rsid w:val="00982424"/>
    <w:rsid w:val="009827FA"/>
    <w:rsid w:val="00982E8E"/>
    <w:rsid w:val="0098301F"/>
    <w:rsid w:val="009832B0"/>
    <w:rsid w:val="0098372D"/>
    <w:rsid w:val="009838AF"/>
    <w:rsid w:val="00983A11"/>
    <w:rsid w:val="0098429B"/>
    <w:rsid w:val="00984D6E"/>
    <w:rsid w:val="00985D36"/>
    <w:rsid w:val="00985DD5"/>
    <w:rsid w:val="00986B1C"/>
    <w:rsid w:val="00986BEB"/>
    <w:rsid w:val="009872ED"/>
    <w:rsid w:val="009879D4"/>
    <w:rsid w:val="00990213"/>
    <w:rsid w:val="00990E1E"/>
    <w:rsid w:val="009916EE"/>
    <w:rsid w:val="00992842"/>
    <w:rsid w:val="0099320B"/>
    <w:rsid w:val="0099322F"/>
    <w:rsid w:val="009936E5"/>
    <w:rsid w:val="009938F4"/>
    <w:rsid w:val="00993A38"/>
    <w:rsid w:val="00993F7F"/>
    <w:rsid w:val="0099521B"/>
    <w:rsid w:val="009955D0"/>
    <w:rsid w:val="00996589"/>
    <w:rsid w:val="00996B56"/>
    <w:rsid w:val="00997025"/>
    <w:rsid w:val="009970AF"/>
    <w:rsid w:val="00997703"/>
    <w:rsid w:val="009979DB"/>
    <w:rsid w:val="00997A90"/>
    <w:rsid w:val="009A06D7"/>
    <w:rsid w:val="009A09BA"/>
    <w:rsid w:val="009A0DE9"/>
    <w:rsid w:val="009A11AC"/>
    <w:rsid w:val="009A160D"/>
    <w:rsid w:val="009A1902"/>
    <w:rsid w:val="009A1CC9"/>
    <w:rsid w:val="009A1D03"/>
    <w:rsid w:val="009A28D4"/>
    <w:rsid w:val="009A2D9F"/>
    <w:rsid w:val="009A326D"/>
    <w:rsid w:val="009A380E"/>
    <w:rsid w:val="009A49E9"/>
    <w:rsid w:val="009A4F7E"/>
    <w:rsid w:val="009A5083"/>
    <w:rsid w:val="009A516B"/>
    <w:rsid w:val="009A6008"/>
    <w:rsid w:val="009A646D"/>
    <w:rsid w:val="009A6FF1"/>
    <w:rsid w:val="009A7770"/>
    <w:rsid w:val="009A7AAF"/>
    <w:rsid w:val="009A7EE2"/>
    <w:rsid w:val="009A7EF7"/>
    <w:rsid w:val="009B08FE"/>
    <w:rsid w:val="009B13FC"/>
    <w:rsid w:val="009B168E"/>
    <w:rsid w:val="009B1829"/>
    <w:rsid w:val="009B19DE"/>
    <w:rsid w:val="009B1E2F"/>
    <w:rsid w:val="009B3504"/>
    <w:rsid w:val="009B3B93"/>
    <w:rsid w:val="009B420C"/>
    <w:rsid w:val="009B4D3A"/>
    <w:rsid w:val="009B4FE0"/>
    <w:rsid w:val="009B5090"/>
    <w:rsid w:val="009B5094"/>
    <w:rsid w:val="009B57D1"/>
    <w:rsid w:val="009B5D5B"/>
    <w:rsid w:val="009B5FB7"/>
    <w:rsid w:val="009B6A94"/>
    <w:rsid w:val="009B7311"/>
    <w:rsid w:val="009C0B0D"/>
    <w:rsid w:val="009C0BA5"/>
    <w:rsid w:val="009C1111"/>
    <w:rsid w:val="009C148F"/>
    <w:rsid w:val="009C1581"/>
    <w:rsid w:val="009C1770"/>
    <w:rsid w:val="009C1827"/>
    <w:rsid w:val="009C2AD9"/>
    <w:rsid w:val="009C2C52"/>
    <w:rsid w:val="009C31E7"/>
    <w:rsid w:val="009C31FA"/>
    <w:rsid w:val="009C3395"/>
    <w:rsid w:val="009C4240"/>
    <w:rsid w:val="009C487E"/>
    <w:rsid w:val="009C4B2F"/>
    <w:rsid w:val="009C4F6C"/>
    <w:rsid w:val="009C59F1"/>
    <w:rsid w:val="009C5E38"/>
    <w:rsid w:val="009C5F50"/>
    <w:rsid w:val="009C64AD"/>
    <w:rsid w:val="009C64BB"/>
    <w:rsid w:val="009D042F"/>
    <w:rsid w:val="009D0D83"/>
    <w:rsid w:val="009D2767"/>
    <w:rsid w:val="009D364F"/>
    <w:rsid w:val="009D440A"/>
    <w:rsid w:val="009D452E"/>
    <w:rsid w:val="009D4AD7"/>
    <w:rsid w:val="009D51EA"/>
    <w:rsid w:val="009D5553"/>
    <w:rsid w:val="009D588B"/>
    <w:rsid w:val="009D593E"/>
    <w:rsid w:val="009D7A0D"/>
    <w:rsid w:val="009D7ECB"/>
    <w:rsid w:val="009E0B3F"/>
    <w:rsid w:val="009E18D8"/>
    <w:rsid w:val="009E1FFC"/>
    <w:rsid w:val="009E2100"/>
    <w:rsid w:val="009E26B3"/>
    <w:rsid w:val="009E26BA"/>
    <w:rsid w:val="009E2C81"/>
    <w:rsid w:val="009E3E36"/>
    <w:rsid w:val="009E575A"/>
    <w:rsid w:val="009E6684"/>
    <w:rsid w:val="009E709C"/>
    <w:rsid w:val="009E7762"/>
    <w:rsid w:val="009F018E"/>
    <w:rsid w:val="009F01D3"/>
    <w:rsid w:val="009F0583"/>
    <w:rsid w:val="009F0F74"/>
    <w:rsid w:val="009F1443"/>
    <w:rsid w:val="009F1AF2"/>
    <w:rsid w:val="009F1B99"/>
    <w:rsid w:val="009F2196"/>
    <w:rsid w:val="009F318B"/>
    <w:rsid w:val="009F39F3"/>
    <w:rsid w:val="009F3A5D"/>
    <w:rsid w:val="009F41A9"/>
    <w:rsid w:val="009F445F"/>
    <w:rsid w:val="009F4FBF"/>
    <w:rsid w:val="009F5504"/>
    <w:rsid w:val="009F56D6"/>
    <w:rsid w:val="009F587B"/>
    <w:rsid w:val="009F5C12"/>
    <w:rsid w:val="009F766C"/>
    <w:rsid w:val="009F76AA"/>
    <w:rsid w:val="009F7732"/>
    <w:rsid w:val="009F79C6"/>
    <w:rsid w:val="009F7C0B"/>
    <w:rsid w:val="009F7D8A"/>
    <w:rsid w:val="00A002B3"/>
    <w:rsid w:val="00A002B7"/>
    <w:rsid w:val="00A003C8"/>
    <w:rsid w:val="00A007DE"/>
    <w:rsid w:val="00A00EB2"/>
    <w:rsid w:val="00A01A76"/>
    <w:rsid w:val="00A02327"/>
    <w:rsid w:val="00A02AC7"/>
    <w:rsid w:val="00A033C2"/>
    <w:rsid w:val="00A038D6"/>
    <w:rsid w:val="00A0395E"/>
    <w:rsid w:val="00A03CFB"/>
    <w:rsid w:val="00A04D4F"/>
    <w:rsid w:val="00A05F94"/>
    <w:rsid w:val="00A06BFF"/>
    <w:rsid w:val="00A07776"/>
    <w:rsid w:val="00A101E2"/>
    <w:rsid w:val="00A10700"/>
    <w:rsid w:val="00A108AF"/>
    <w:rsid w:val="00A11D38"/>
    <w:rsid w:val="00A1272F"/>
    <w:rsid w:val="00A12A55"/>
    <w:rsid w:val="00A13D5B"/>
    <w:rsid w:val="00A14070"/>
    <w:rsid w:val="00A140FC"/>
    <w:rsid w:val="00A1438B"/>
    <w:rsid w:val="00A1448F"/>
    <w:rsid w:val="00A14598"/>
    <w:rsid w:val="00A14FD8"/>
    <w:rsid w:val="00A15375"/>
    <w:rsid w:val="00A15607"/>
    <w:rsid w:val="00A20C2F"/>
    <w:rsid w:val="00A20D2A"/>
    <w:rsid w:val="00A20DAF"/>
    <w:rsid w:val="00A20EEE"/>
    <w:rsid w:val="00A2170B"/>
    <w:rsid w:val="00A217D2"/>
    <w:rsid w:val="00A21D57"/>
    <w:rsid w:val="00A21D96"/>
    <w:rsid w:val="00A22048"/>
    <w:rsid w:val="00A236D2"/>
    <w:rsid w:val="00A23AE5"/>
    <w:rsid w:val="00A23FE7"/>
    <w:rsid w:val="00A242F7"/>
    <w:rsid w:val="00A24D64"/>
    <w:rsid w:val="00A250DB"/>
    <w:rsid w:val="00A2529D"/>
    <w:rsid w:val="00A26E73"/>
    <w:rsid w:val="00A2775C"/>
    <w:rsid w:val="00A309BE"/>
    <w:rsid w:val="00A3127A"/>
    <w:rsid w:val="00A31580"/>
    <w:rsid w:val="00A319CD"/>
    <w:rsid w:val="00A31A88"/>
    <w:rsid w:val="00A320B0"/>
    <w:rsid w:val="00A3247A"/>
    <w:rsid w:val="00A326C6"/>
    <w:rsid w:val="00A33226"/>
    <w:rsid w:val="00A34157"/>
    <w:rsid w:val="00A348C4"/>
    <w:rsid w:val="00A34B3E"/>
    <w:rsid w:val="00A4038A"/>
    <w:rsid w:val="00A403CE"/>
    <w:rsid w:val="00A409F4"/>
    <w:rsid w:val="00A41A8D"/>
    <w:rsid w:val="00A425DA"/>
    <w:rsid w:val="00A42919"/>
    <w:rsid w:val="00A45B2C"/>
    <w:rsid w:val="00A46AA5"/>
    <w:rsid w:val="00A46C25"/>
    <w:rsid w:val="00A476F2"/>
    <w:rsid w:val="00A507FD"/>
    <w:rsid w:val="00A50DBA"/>
    <w:rsid w:val="00A50DE4"/>
    <w:rsid w:val="00A50FE6"/>
    <w:rsid w:val="00A50FE7"/>
    <w:rsid w:val="00A51E02"/>
    <w:rsid w:val="00A5203E"/>
    <w:rsid w:val="00A5246E"/>
    <w:rsid w:val="00A527EA"/>
    <w:rsid w:val="00A52A5C"/>
    <w:rsid w:val="00A52B39"/>
    <w:rsid w:val="00A55569"/>
    <w:rsid w:val="00A5576D"/>
    <w:rsid w:val="00A5596C"/>
    <w:rsid w:val="00A56449"/>
    <w:rsid w:val="00A577AE"/>
    <w:rsid w:val="00A57F66"/>
    <w:rsid w:val="00A60966"/>
    <w:rsid w:val="00A60A29"/>
    <w:rsid w:val="00A610E5"/>
    <w:rsid w:val="00A61221"/>
    <w:rsid w:val="00A6154E"/>
    <w:rsid w:val="00A616B9"/>
    <w:rsid w:val="00A616D4"/>
    <w:rsid w:val="00A63C9C"/>
    <w:rsid w:val="00A6496A"/>
    <w:rsid w:val="00A667D4"/>
    <w:rsid w:val="00A66A7C"/>
    <w:rsid w:val="00A66CCB"/>
    <w:rsid w:val="00A670ED"/>
    <w:rsid w:val="00A67677"/>
    <w:rsid w:val="00A70329"/>
    <w:rsid w:val="00A70E31"/>
    <w:rsid w:val="00A71542"/>
    <w:rsid w:val="00A7225E"/>
    <w:rsid w:val="00A7251E"/>
    <w:rsid w:val="00A72A70"/>
    <w:rsid w:val="00A73566"/>
    <w:rsid w:val="00A7416A"/>
    <w:rsid w:val="00A7473D"/>
    <w:rsid w:val="00A753AD"/>
    <w:rsid w:val="00A757DB"/>
    <w:rsid w:val="00A766D5"/>
    <w:rsid w:val="00A769F6"/>
    <w:rsid w:val="00A76BC7"/>
    <w:rsid w:val="00A76ED6"/>
    <w:rsid w:val="00A77865"/>
    <w:rsid w:val="00A800EB"/>
    <w:rsid w:val="00A8016B"/>
    <w:rsid w:val="00A80627"/>
    <w:rsid w:val="00A80FF8"/>
    <w:rsid w:val="00A81450"/>
    <w:rsid w:val="00A818D2"/>
    <w:rsid w:val="00A81B69"/>
    <w:rsid w:val="00A83766"/>
    <w:rsid w:val="00A8455C"/>
    <w:rsid w:val="00A84A27"/>
    <w:rsid w:val="00A84C56"/>
    <w:rsid w:val="00A84EBD"/>
    <w:rsid w:val="00A85A71"/>
    <w:rsid w:val="00A85A82"/>
    <w:rsid w:val="00A85BE8"/>
    <w:rsid w:val="00A865D1"/>
    <w:rsid w:val="00A86BC7"/>
    <w:rsid w:val="00A86DEA"/>
    <w:rsid w:val="00A903C5"/>
    <w:rsid w:val="00A90526"/>
    <w:rsid w:val="00A9070C"/>
    <w:rsid w:val="00A90A14"/>
    <w:rsid w:val="00A913F2"/>
    <w:rsid w:val="00A91762"/>
    <w:rsid w:val="00A93453"/>
    <w:rsid w:val="00A93783"/>
    <w:rsid w:val="00A93F19"/>
    <w:rsid w:val="00A93F4F"/>
    <w:rsid w:val="00A94B55"/>
    <w:rsid w:val="00A94E46"/>
    <w:rsid w:val="00A95141"/>
    <w:rsid w:val="00A953EF"/>
    <w:rsid w:val="00A95CCF"/>
    <w:rsid w:val="00A95D22"/>
    <w:rsid w:val="00A963E8"/>
    <w:rsid w:val="00A965FE"/>
    <w:rsid w:val="00A9667D"/>
    <w:rsid w:val="00A96682"/>
    <w:rsid w:val="00A96739"/>
    <w:rsid w:val="00A967D8"/>
    <w:rsid w:val="00A96FEC"/>
    <w:rsid w:val="00A9726C"/>
    <w:rsid w:val="00A97847"/>
    <w:rsid w:val="00A97D5E"/>
    <w:rsid w:val="00AA09A2"/>
    <w:rsid w:val="00AA116A"/>
    <w:rsid w:val="00AA125B"/>
    <w:rsid w:val="00AA13F2"/>
    <w:rsid w:val="00AA4173"/>
    <w:rsid w:val="00AA45BC"/>
    <w:rsid w:val="00AA50D5"/>
    <w:rsid w:val="00AA51F6"/>
    <w:rsid w:val="00AA5AA8"/>
    <w:rsid w:val="00AA6690"/>
    <w:rsid w:val="00AA6866"/>
    <w:rsid w:val="00AA687B"/>
    <w:rsid w:val="00AA6E5D"/>
    <w:rsid w:val="00AA6F9F"/>
    <w:rsid w:val="00AA7A48"/>
    <w:rsid w:val="00AB0440"/>
    <w:rsid w:val="00AB0F1C"/>
    <w:rsid w:val="00AB14F2"/>
    <w:rsid w:val="00AB1A24"/>
    <w:rsid w:val="00AB3641"/>
    <w:rsid w:val="00AB3EF9"/>
    <w:rsid w:val="00AB3F6B"/>
    <w:rsid w:val="00AB41B4"/>
    <w:rsid w:val="00AB42F8"/>
    <w:rsid w:val="00AB5373"/>
    <w:rsid w:val="00AB5400"/>
    <w:rsid w:val="00AB5546"/>
    <w:rsid w:val="00AB7FBA"/>
    <w:rsid w:val="00AC0953"/>
    <w:rsid w:val="00AC0A71"/>
    <w:rsid w:val="00AC0E1B"/>
    <w:rsid w:val="00AC19D3"/>
    <w:rsid w:val="00AC26E6"/>
    <w:rsid w:val="00AC2C4C"/>
    <w:rsid w:val="00AC39BC"/>
    <w:rsid w:val="00AC3C9E"/>
    <w:rsid w:val="00AC7939"/>
    <w:rsid w:val="00AC7DB4"/>
    <w:rsid w:val="00AD12E4"/>
    <w:rsid w:val="00AD18B3"/>
    <w:rsid w:val="00AD1B59"/>
    <w:rsid w:val="00AD1C31"/>
    <w:rsid w:val="00AD1C32"/>
    <w:rsid w:val="00AD1FAE"/>
    <w:rsid w:val="00AD2CA6"/>
    <w:rsid w:val="00AD3978"/>
    <w:rsid w:val="00AD39F3"/>
    <w:rsid w:val="00AD3FBC"/>
    <w:rsid w:val="00AD4936"/>
    <w:rsid w:val="00AD498C"/>
    <w:rsid w:val="00AD4A77"/>
    <w:rsid w:val="00AD4DF7"/>
    <w:rsid w:val="00AD5691"/>
    <w:rsid w:val="00AD581D"/>
    <w:rsid w:val="00AD6B3B"/>
    <w:rsid w:val="00AD6EED"/>
    <w:rsid w:val="00AD7C56"/>
    <w:rsid w:val="00AE272B"/>
    <w:rsid w:val="00AE2BCC"/>
    <w:rsid w:val="00AE2D46"/>
    <w:rsid w:val="00AE3306"/>
    <w:rsid w:val="00AE3491"/>
    <w:rsid w:val="00AE3837"/>
    <w:rsid w:val="00AE3B6B"/>
    <w:rsid w:val="00AE3CF1"/>
    <w:rsid w:val="00AE48F4"/>
    <w:rsid w:val="00AE505F"/>
    <w:rsid w:val="00AE5780"/>
    <w:rsid w:val="00AE592B"/>
    <w:rsid w:val="00AE7B88"/>
    <w:rsid w:val="00AF1108"/>
    <w:rsid w:val="00AF1279"/>
    <w:rsid w:val="00AF131B"/>
    <w:rsid w:val="00AF155C"/>
    <w:rsid w:val="00AF1619"/>
    <w:rsid w:val="00AF224C"/>
    <w:rsid w:val="00AF24E7"/>
    <w:rsid w:val="00AF2A90"/>
    <w:rsid w:val="00AF2E81"/>
    <w:rsid w:val="00AF2E8E"/>
    <w:rsid w:val="00AF3099"/>
    <w:rsid w:val="00AF32E4"/>
    <w:rsid w:val="00AF38F1"/>
    <w:rsid w:val="00AF3B14"/>
    <w:rsid w:val="00AF3D16"/>
    <w:rsid w:val="00AF4123"/>
    <w:rsid w:val="00AF44B9"/>
    <w:rsid w:val="00AF4D51"/>
    <w:rsid w:val="00AF61E7"/>
    <w:rsid w:val="00AF789E"/>
    <w:rsid w:val="00AF7D87"/>
    <w:rsid w:val="00B00960"/>
    <w:rsid w:val="00B027E7"/>
    <w:rsid w:val="00B037D6"/>
    <w:rsid w:val="00B055D1"/>
    <w:rsid w:val="00B05D21"/>
    <w:rsid w:val="00B05F34"/>
    <w:rsid w:val="00B06A2B"/>
    <w:rsid w:val="00B07886"/>
    <w:rsid w:val="00B103A2"/>
    <w:rsid w:val="00B10C64"/>
    <w:rsid w:val="00B11308"/>
    <w:rsid w:val="00B11EB1"/>
    <w:rsid w:val="00B1205C"/>
    <w:rsid w:val="00B12363"/>
    <w:rsid w:val="00B12861"/>
    <w:rsid w:val="00B128F1"/>
    <w:rsid w:val="00B12F14"/>
    <w:rsid w:val="00B12F34"/>
    <w:rsid w:val="00B135C9"/>
    <w:rsid w:val="00B1366E"/>
    <w:rsid w:val="00B1381D"/>
    <w:rsid w:val="00B13A87"/>
    <w:rsid w:val="00B15746"/>
    <w:rsid w:val="00B15D10"/>
    <w:rsid w:val="00B1689B"/>
    <w:rsid w:val="00B16EBF"/>
    <w:rsid w:val="00B17B40"/>
    <w:rsid w:val="00B17D0E"/>
    <w:rsid w:val="00B202FB"/>
    <w:rsid w:val="00B20A0A"/>
    <w:rsid w:val="00B20D5E"/>
    <w:rsid w:val="00B21137"/>
    <w:rsid w:val="00B212FA"/>
    <w:rsid w:val="00B21DF4"/>
    <w:rsid w:val="00B228FA"/>
    <w:rsid w:val="00B22BE2"/>
    <w:rsid w:val="00B22E62"/>
    <w:rsid w:val="00B2449C"/>
    <w:rsid w:val="00B246F8"/>
    <w:rsid w:val="00B247ED"/>
    <w:rsid w:val="00B24B16"/>
    <w:rsid w:val="00B2582C"/>
    <w:rsid w:val="00B25A70"/>
    <w:rsid w:val="00B25DC4"/>
    <w:rsid w:val="00B2619F"/>
    <w:rsid w:val="00B26D34"/>
    <w:rsid w:val="00B27250"/>
    <w:rsid w:val="00B275E9"/>
    <w:rsid w:val="00B279D8"/>
    <w:rsid w:val="00B27BAC"/>
    <w:rsid w:val="00B3019E"/>
    <w:rsid w:val="00B303DA"/>
    <w:rsid w:val="00B3087B"/>
    <w:rsid w:val="00B30950"/>
    <w:rsid w:val="00B310C2"/>
    <w:rsid w:val="00B3156B"/>
    <w:rsid w:val="00B31D95"/>
    <w:rsid w:val="00B3251C"/>
    <w:rsid w:val="00B327F1"/>
    <w:rsid w:val="00B32DB6"/>
    <w:rsid w:val="00B334C7"/>
    <w:rsid w:val="00B34E02"/>
    <w:rsid w:val="00B35E68"/>
    <w:rsid w:val="00B361BA"/>
    <w:rsid w:val="00B36329"/>
    <w:rsid w:val="00B40035"/>
    <w:rsid w:val="00B40112"/>
    <w:rsid w:val="00B4053F"/>
    <w:rsid w:val="00B40F3D"/>
    <w:rsid w:val="00B41047"/>
    <w:rsid w:val="00B41774"/>
    <w:rsid w:val="00B41C73"/>
    <w:rsid w:val="00B41CDE"/>
    <w:rsid w:val="00B423CC"/>
    <w:rsid w:val="00B428C5"/>
    <w:rsid w:val="00B42BAA"/>
    <w:rsid w:val="00B42C78"/>
    <w:rsid w:val="00B43433"/>
    <w:rsid w:val="00B438B8"/>
    <w:rsid w:val="00B43ACA"/>
    <w:rsid w:val="00B4427E"/>
    <w:rsid w:val="00B445CD"/>
    <w:rsid w:val="00B44C4D"/>
    <w:rsid w:val="00B44F04"/>
    <w:rsid w:val="00B4552B"/>
    <w:rsid w:val="00B45627"/>
    <w:rsid w:val="00B45903"/>
    <w:rsid w:val="00B45AA1"/>
    <w:rsid w:val="00B466B1"/>
    <w:rsid w:val="00B46902"/>
    <w:rsid w:val="00B46A67"/>
    <w:rsid w:val="00B46C42"/>
    <w:rsid w:val="00B470CA"/>
    <w:rsid w:val="00B47521"/>
    <w:rsid w:val="00B4773E"/>
    <w:rsid w:val="00B506B8"/>
    <w:rsid w:val="00B508C8"/>
    <w:rsid w:val="00B508D6"/>
    <w:rsid w:val="00B5126C"/>
    <w:rsid w:val="00B516D0"/>
    <w:rsid w:val="00B51AAC"/>
    <w:rsid w:val="00B51B69"/>
    <w:rsid w:val="00B528E7"/>
    <w:rsid w:val="00B5291B"/>
    <w:rsid w:val="00B52B08"/>
    <w:rsid w:val="00B52E42"/>
    <w:rsid w:val="00B537DF"/>
    <w:rsid w:val="00B53934"/>
    <w:rsid w:val="00B54D79"/>
    <w:rsid w:val="00B558FD"/>
    <w:rsid w:val="00B55AF4"/>
    <w:rsid w:val="00B56B04"/>
    <w:rsid w:val="00B56BED"/>
    <w:rsid w:val="00B56DC9"/>
    <w:rsid w:val="00B571DD"/>
    <w:rsid w:val="00B5763C"/>
    <w:rsid w:val="00B57C67"/>
    <w:rsid w:val="00B57F62"/>
    <w:rsid w:val="00B57F93"/>
    <w:rsid w:val="00B60121"/>
    <w:rsid w:val="00B60FBB"/>
    <w:rsid w:val="00B61672"/>
    <w:rsid w:val="00B630DB"/>
    <w:rsid w:val="00B63D9D"/>
    <w:rsid w:val="00B6509D"/>
    <w:rsid w:val="00B650A0"/>
    <w:rsid w:val="00B66518"/>
    <w:rsid w:val="00B6766D"/>
    <w:rsid w:val="00B67E65"/>
    <w:rsid w:val="00B70691"/>
    <w:rsid w:val="00B710BF"/>
    <w:rsid w:val="00B7166C"/>
    <w:rsid w:val="00B72116"/>
    <w:rsid w:val="00B72502"/>
    <w:rsid w:val="00B72973"/>
    <w:rsid w:val="00B72AA9"/>
    <w:rsid w:val="00B72FCE"/>
    <w:rsid w:val="00B7434D"/>
    <w:rsid w:val="00B7446E"/>
    <w:rsid w:val="00B74748"/>
    <w:rsid w:val="00B749E3"/>
    <w:rsid w:val="00B74E4C"/>
    <w:rsid w:val="00B7529B"/>
    <w:rsid w:val="00B75381"/>
    <w:rsid w:val="00B753B3"/>
    <w:rsid w:val="00B759FB"/>
    <w:rsid w:val="00B761CE"/>
    <w:rsid w:val="00B76C2A"/>
    <w:rsid w:val="00B76D59"/>
    <w:rsid w:val="00B77220"/>
    <w:rsid w:val="00B77C03"/>
    <w:rsid w:val="00B77C4D"/>
    <w:rsid w:val="00B800F2"/>
    <w:rsid w:val="00B810B0"/>
    <w:rsid w:val="00B8134B"/>
    <w:rsid w:val="00B8164D"/>
    <w:rsid w:val="00B81804"/>
    <w:rsid w:val="00B818ED"/>
    <w:rsid w:val="00B8277A"/>
    <w:rsid w:val="00B82DF5"/>
    <w:rsid w:val="00B8312D"/>
    <w:rsid w:val="00B8398E"/>
    <w:rsid w:val="00B83B97"/>
    <w:rsid w:val="00B83C76"/>
    <w:rsid w:val="00B83D95"/>
    <w:rsid w:val="00B84482"/>
    <w:rsid w:val="00B84761"/>
    <w:rsid w:val="00B84B76"/>
    <w:rsid w:val="00B84D5C"/>
    <w:rsid w:val="00B85DE2"/>
    <w:rsid w:val="00B86544"/>
    <w:rsid w:val="00B86BFE"/>
    <w:rsid w:val="00B86E76"/>
    <w:rsid w:val="00B8758C"/>
    <w:rsid w:val="00B875F3"/>
    <w:rsid w:val="00B87D8A"/>
    <w:rsid w:val="00B9216D"/>
    <w:rsid w:val="00B92AED"/>
    <w:rsid w:val="00B9320D"/>
    <w:rsid w:val="00B936B6"/>
    <w:rsid w:val="00B93ABC"/>
    <w:rsid w:val="00B9440F"/>
    <w:rsid w:val="00B95577"/>
    <w:rsid w:val="00B955E1"/>
    <w:rsid w:val="00B95CAA"/>
    <w:rsid w:val="00B96903"/>
    <w:rsid w:val="00B96999"/>
    <w:rsid w:val="00B977A1"/>
    <w:rsid w:val="00B97A08"/>
    <w:rsid w:val="00BA037C"/>
    <w:rsid w:val="00BA05AB"/>
    <w:rsid w:val="00BA15CD"/>
    <w:rsid w:val="00BA1EA5"/>
    <w:rsid w:val="00BA1EBE"/>
    <w:rsid w:val="00BA2203"/>
    <w:rsid w:val="00BA33D1"/>
    <w:rsid w:val="00BA3934"/>
    <w:rsid w:val="00BA3D46"/>
    <w:rsid w:val="00BA4087"/>
    <w:rsid w:val="00BA46C2"/>
    <w:rsid w:val="00BA4D47"/>
    <w:rsid w:val="00BA4DDA"/>
    <w:rsid w:val="00BA4EE8"/>
    <w:rsid w:val="00BA5826"/>
    <w:rsid w:val="00BA5D82"/>
    <w:rsid w:val="00BA6A7A"/>
    <w:rsid w:val="00BA78EA"/>
    <w:rsid w:val="00BA7F08"/>
    <w:rsid w:val="00BB0553"/>
    <w:rsid w:val="00BB0CCB"/>
    <w:rsid w:val="00BB1173"/>
    <w:rsid w:val="00BB1CB5"/>
    <w:rsid w:val="00BB22EC"/>
    <w:rsid w:val="00BB2706"/>
    <w:rsid w:val="00BB3028"/>
    <w:rsid w:val="00BB36C5"/>
    <w:rsid w:val="00BB45F4"/>
    <w:rsid w:val="00BB4ABA"/>
    <w:rsid w:val="00BB503D"/>
    <w:rsid w:val="00BB533C"/>
    <w:rsid w:val="00BB5459"/>
    <w:rsid w:val="00BB5680"/>
    <w:rsid w:val="00BB6151"/>
    <w:rsid w:val="00BB6FD9"/>
    <w:rsid w:val="00BB75A2"/>
    <w:rsid w:val="00BC07A3"/>
    <w:rsid w:val="00BC0845"/>
    <w:rsid w:val="00BC0B4B"/>
    <w:rsid w:val="00BC1A27"/>
    <w:rsid w:val="00BC2976"/>
    <w:rsid w:val="00BC2F37"/>
    <w:rsid w:val="00BC3A62"/>
    <w:rsid w:val="00BC46FE"/>
    <w:rsid w:val="00BC5D78"/>
    <w:rsid w:val="00BC5F88"/>
    <w:rsid w:val="00BC6819"/>
    <w:rsid w:val="00BC6A3B"/>
    <w:rsid w:val="00BC7167"/>
    <w:rsid w:val="00BC7306"/>
    <w:rsid w:val="00BD05B5"/>
    <w:rsid w:val="00BD1E94"/>
    <w:rsid w:val="00BD1FA0"/>
    <w:rsid w:val="00BD2508"/>
    <w:rsid w:val="00BD379B"/>
    <w:rsid w:val="00BD41A6"/>
    <w:rsid w:val="00BD4446"/>
    <w:rsid w:val="00BD4614"/>
    <w:rsid w:val="00BD5F9B"/>
    <w:rsid w:val="00BD5FB7"/>
    <w:rsid w:val="00BD6773"/>
    <w:rsid w:val="00BD6C27"/>
    <w:rsid w:val="00BD7199"/>
    <w:rsid w:val="00BD7E20"/>
    <w:rsid w:val="00BE174B"/>
    <w:rsid w:val="00BE2B19"/>
    <w:rsid w:val="00BE2B42"/>
    <w:rsid w:val="00BE2C6D"/>
    <w:rsid w:val="00BE3452"/>
    <w:rsid w:val="00BE3469"/>
    <w:rsid w:val="00BE3B23"/>
    <w:rsid w:val="00BE3DC2"/>
    <w:rsid w:val="00BE4470"/>
    <w:rsid w:val="00BE44DE"/>
    <w:rsid w:val="00BE4A10"/>
    <w:rsid w:val="00BE57E6"/>
    <w:rsid w:val="00BE58F0"/>
    <w:rsid w:val="00BE6243"/>
    <w:rsid w:val="00BE64AA"/>
    <w:rsid w:val="00BE714E"/>
    <w:rsid w:val="00BF0C33"/>
    <w:rsid w:val="00BF30A8"/>
    <w:rsid w:val="00BF3491"/>
    <w:rsid w:val="00BF3E93"/>
    <w:rsid w:val="00BF4C58"/>
    <w:rsid w:val="00BF4EFB"/>
    <w:rsid w:val="00BF537A"/>
    <w:rsid w:val="00BF5F58"/>
    <w:rsid w:val="00BF5F8A"/>
    <w:rsid w:val="00BF6EBE"/>
    <w:rsid w:val="00BF6F77"/>
    <w:rsid w:val="00BF75E3"/>
    <w:rsid w:val="00BF7F9E"/>
    <w:rsid w:val="00C000E2"/>
    <w:rsid w:val="00C00637"/>
    <w:rsid w:val="00C025E2"/>
    <w:rsid w:val="00C02D40"/>
    <w:rsid w:val="00C0301F"/>
    <w:rsid w:val="00C03F4B"/>
    <w:rsid w:val="00C03FAF"/>
    <w:rsid w:val="00C04AA6"/>
    <w:rsid w:val="00C077C7"/>
    <w:rsid w:val="00C078B8"/>
    <w:rsid w:val="00C07C16"/>
    <w:rsid w:val="00C101A0"/>
    <w:rsid w:val="00C103B0"/>
    <w:rsid w:val="00C10B4A"/>
    <w:rsid w:val="00C116D8"/>
    <w:rsid w:val="00C121BD"/>
    <w:rsid w:val="00C12E72"/>
    <w:rsid w:val="00C13974"/>
    <w:rsid w:val="00C14473"/>
    <w:rsid w:val="00C148D1"/>
    <w:rsid w:val="00C15081"/>
    <w:rsid w:val="00C15392"/>
    <w:rsid w:val="00C153B5"/>
    <w:rsid w:val="00C16146"/>
    <w:rsid w:val="00C17F08"/>
    <w:rsid w:val="00C20452"/>
    <w:rsid w:val="00C20C17"/>
    <w:rsid w:val="00C20D46"/>
    <w:rsid w:val="00C20EAA"/>
    <w:rsid w:val="00C21371"/>
    <w:rsid w:val="00C213C5"/>
    <w:rsid w:val="00C22281"/>
    <w:rsid w:val="00C23027"/>
    <w:rsid w:val="00C23539"/>
    <w:rsid w:val="00C24287"/>
    <w:rsid w:val="00C26558"/>
    <w:rsid w:val="00C26949"/>
    <w:rsid w:val="00C272DC"/>
    <w:rsid w:val="00C310D0"/>
    <w:rsid w:val="00C31C1A"/>
    <w:rsid w:val="00C326E7"/>
    <w:rsid w:val="00C331F9"/>
    <w:rsid w:val="00C33689"/>
    <w:rsid w:val="00C348C2"/>
    <w:rsid w:val="00C34D54"/>
    <w:rsid w:val="00C35C35"/>
    <w:rsid w:val="00C360F2"/>
    <w:rsid w:val="00C368CE"/>
    <w:rsid w:val="00C36C48"/>
    <w:rsid w:val="00C36E4D"/>
    <w:rsid w:val="00C36FE9"/>
    <w:rsid w:val="00C3745F"/>
    <w:rsid w:val="00C378DA"/>
    <w:rsid w:val="00C404B2"/>
    <w:rsid w:val="00C4073C"/>
    <w:rsid w:val="00C40A21"/>
    <w:rsid w:val="00C40B6B"/>
    <w:rsid w:val="00C414E0"/>
    <w:rsid w:val="00C418E6"/>
    <w:rsid w:val="00C41F45"/>
    <w:rsid w:val="00C42823"/>
    <w:rsid w:val="00C42B00"/>
    <w:rsid w:val="00C43ADD"/>
    <w:rsid w:val="00C4466A"/>
    <w:rsid w:val="00C45378"/>
    <w:rsid w:val="00C459CD"/>
    <w:rsid w:val="00C474A6"/>
    <w:rsid w:val="00C50340"/>
    <w:rsid w:val="00C50941"/>
    <w:rsid w:val="00C518EC"/>
    <w:rsid w:val="00C51F6F"/>
    <w:rsid w:val="00C52C6E"/>
    <w:rsid w:val="00C5356A"/>
    <w:rsid w:val="00C53A52"/>
    <w:rsid w:val="00C541E5"/>
    <w:rsid w:val="00C54507"/>
    <w:rsid w:val="00C550AA"/>
    <w:rsid w:val="00C555BE"/>
    <w:rsid w:val="00C56D8B"/>
    <w:rsid w:val="00C56FC9"/>
    <w:rsid w:val="00C578AA"/>
    <w:rsid w:val="00C57F5E"/>
    <w:rsid w:val="00C60216"/>
    <w:rsid w:val="00C61F56"/>
    <w:rsid w:val="00C61F6C"/>
    <w:rsid w:val="00C62690"/>
    <w:rsid w:val="00C6311C"/>
    <w:rsid w:val="00C6321D"/>
    <w:rsid w:val="00C63835"/>
    <w:rsid w:val="00C64743"/>
    <w:rsid w:val="00C648E1"/>
    <w:rsid w:val="00C649D6"/>
    <w:rsid w:val="00C658ED"/>
    <w:rsid w:val="00C661E2"/>
    <w:rsid w:val="00C66484"/>
    <w:rsid w:val="00C664A0"/>
    <w:rsid w:val="00C6686F"/>
    <w:rsid w:val="00C66D18"/>
    <w:rsid w:val="00C674CE"/>
    <w:rsid w:val="00C70139"/>
    <w:rsid w:val="00C70C21"/>
    <w:rsid w:val="00C70C56"/>
    <w:rsid w:val="00C70DFF"/>
    <w:rsid w:val="00C71132"/>
    <w:rsid w:val="00C71520"/>
    <w:rsid w:val="00C72608"/>
    <w:rsid w:val="00C733A3"/>
    <w:rsid w:val="00C733E5"/>
    <w:rsid w:val="00C735C0"/>
    <w:rsid w:val="00C7365C"/>
    <w:rsid w:val="00C743DB"/>
    <w:rsid w:val="00C74CFF"/>
    <w:rsid w:val="00C74D39"/>
    <w:rsid w:val="00C754A8"/>
    <w:rsid w:val="00C755EA"/>
    <w:rsid w:val="00C75869"/>
    <w:rsid w:val="00C75980"/>
    <w:rsid w:val="00C76405"/>
    <w:rsid w:val="00C765F0"/>
    <w:rsid w:val="00C76D06"/>
    <w:rsid w:val="00C77F90"/>
    <w:rsid w:val="00C824BE"/>
    <w:rsid w:val="00C82671"/>
    <w:rsid w:val="00C8278E"/>
    <w:rsid w:val="00C827D1"/>
    <w:rsid w:val="00C82C44"/>
    <w:rsid w:val="00C82D46"/>
    <w:rsid w:val="00C8340A"/>
    <w:rsid w:val="00C83564"/>
    <w:rsid w:val="00C839BF"/>
    <w:rsid w:val="00C84799"/>
    <w:rsid w:val="00C8494A"/>
    <w:rsid w:val="00C84B6C"/>
    <w:rsid w:val="00C84F8E"/>
    <w:rsid w:val="00C852AE"/>
    <w:rsid w:val="00C85D55"/>
    <w:rsid w:val="00C85F57"/>
    <w:rsid w:val="00C86198"/>
    <w:rsid w:val="00C867DA"/>
    <w:rsid w:val="00C87155"/>
    <w:rsid w:val="00C87219"/>
    <w:rsid w:val="00C87BA8"/>
    <w:rsid w:val="00C87C7F"/>
    <w:rsid w:val="00C87DA2"/>
    <w:rsid w:val="00C87FDB"/>
    <w:rsid w:val="00C87FDF"/>
    <w:rsid w:val="00C91DF6"/>
    <w:rsid w:val="00C92C7B"/>
    <w:rsid w:val="00C931A6"/>
    <w:rsid w:val="00C9338A"/>
    <w:rsid w:val="00C9493F"/>
    <w:rsid w:val="00C95481"/>
    <w:rsid w:val="00C95900"/>
    <w:rsid w:val="00C960BE"/>
    <w:rsid w:val="00C96300"/>
    <w:rsid w:val="00C9654D"/>
    <w:rsid w:val="00C9661E"/>
    <w:rsid w:val="00C976A8"/>
    <w:rsid w:val="00CA1560"/>
    <w:rsid w:val="00CA1990"/>
    <w:rsid w:val="00CA2459"/>
    <w:rsid w:val="00CA2A95"/>
    <w:rsid w:val="00CA2DFC"/>
    <w:rsid w:val="00CA32D4"/>
    <w:rsid w:val="00CA40DB"/>
    <w:rsid w:val="00CA4D6D"/>
    <w:rsid w:val="00CA4E3F"/>
    <w:rsid w:val="00CA4E9D"/>
    <w:rsid w:val="00CA5DAC"/>
    <w:rsid w:val="00CA5F07"/>
    <w:rsid w:val="00CA66D3"/>
    <w:rsid w:val="00CA6B41"/>
    <w:rsid w:val="00CA6F2D"/>
    <w:rsid w:val="00CB049E"/>
    <w:rsid w:val="00CB06C0"/>
    <w:rsid w:val="00CB06FE"/>
    <w:rsid w:val="00CB0992"/>
    <w:rsid w:val="00CB0AC9"/>
    <w:rsid w:val="00CB174B"/>
    <w:rsid w:val="00CB17EB"/>
    <w:rsid w:val="00CB1DDA"/>
    <w:rsid w:val="00CB22FE"/>
    <w:rsid w:val="00CB280A"/>
    <w:rsid w:val="00CB2A9D"/>
    <w:rsid w:val="00CB3158"/>
    <w:rsid w:val="00CB32CE"/>
    <w:rsid w:val="00CB4AD4"/>
    <w:rsid w:val="00CB4E4F"/>
    <w:rsid w:val="00CB5455"/>
    <w:rsid w:val="00CB5CD8"/>
    <w:rsid w:val="00CB5E67"/>
    <w:rsid w:val="00CB5F5E"/>
    <w:rsid w:val="00CB6EB2"/>
    <w:rsid w:val="00CB767D"/>
    <w:rsid w:val="00CB7842"/>
    <w:rsid w:val="00CC004B"/>
    <w:rsid w:val="00CC0D7D"/>
    <w:rsid w:val="00CC1481"/>
    <w:rsid w:val="00CC1AF4"/>
    <w:rsid w:val="00CC2823"/>
    <w:rsid w:val="00CC2CAC"/>
    <w:rsid w:val="00CC531F"/>
    <w:rsid w:val="00CC5BA6"/>
    <w:rsid w:val="00CC663D"/>
    <w:rsid w:val="00CC7187"/>
    <w:rsid w:val="00CC753B"/>
    <w:rsid w:val="00CD1BC7"/>
    <w:rsid w:val="00CD1E2C"/>
    <w:rsid w:val="00CD207C"/>
    <w:rsid w:val="00CD247E"/>
    <w:rsid w:val="00CD3EE8"/>
    <w:rsid w:val="00CD44BD"/>
    <w:rsid w:val="00CD485B"/>
    <w:rsid w:val="00CD4DD9"/>
    <w:rsid w:val="00CD4E7A"/>
    <w:rsid w:val="00CD5626"/>
    <w:rsid w:val="00CD5688"/>
    <w:rsid w:val="00CD621C"/>
    <w:rsid w:val="00CD7D61"/>
    <w:rsid w:val="00CE11FA"/>
    <w:rsid w:val="00CE1564"/>
    <w:rsid w:val="00CE1E30"/>
    <w:rsid w:val="00CE21EC"/>
    <w:rsid w:val="00CE2D76"/>
    <w:rsid w:val="00CE2FF3"/>
    <w:rsid w:val="00CE447F"/>
    <w:rsid w:val="00CE45BA"/>
    <w:rsid w:val="00CE521E"/>
    <w:rsid w:val="00CE645E"/>
    <w:rsid w:val="00CE7DC8"/>
    <w:rsid w:val="00CF008C"/>
    <w:rsid w:val="00CF0611"/>
    <w:rsid w:val="00CF0E93"/>
    <w:rsid w:val="00CF1BDF"/>
    <w:rsid w:val="00CF1E70"/>
    <w:rsid w:val="00CF2012"/>
    <w:rsid w:val="00CF25DD"/>
    <w:rsid w:val="00CF2859"/>
    <w:rsid w:val="00CF29B7"/>
    <w:rsid w:val="00CF2F48"/>
    <w:rsid w:val="00CF31BB"/>
    <w:rsid w:val="00CF32AB"/>
    <w:rsid w:val="00CF3F07"/>
    <w:rsid w:val="00CF4288"/>
    <w:rsid w:val="00CF514C"/>
    <w:rsid w:val="00CF5EF2"/>
    <w:rsid w:val="00CF687E"/>
    <w:rsid w:val="00CF6F54"/>
    <w:rsid w:val="00CF77AD"/>
    <w:rsid w:val="00CF7D42"/>
    <w:rsid w:val="00D00384"/>
    <w:rsid w:val="00D006BC"/>
    <w:rsid w:val="00D00A26"/>
    <w:rsid w:val="00D01087"/>
    <w:rsid w:val="00D023BE"/>
    <w:rsid w:val="00D02D12"/>
    <w:rsid w:val="00D02E12"/>
    <w:rsid w:val="00D03014"/>
    <w:rsid w:val="00D0444E"/>
    <w:rsid w:val="00D044FE"/>
    <w:rsid w:val="00D051A2"/>
    <w:rsid w:val="00D053D8"/>
    <w:rsid w:val="00D056AE"/>
    <w:rsid w:val="00D068AE"/>
    <w:rsid w:val="00D0719F"/>
    <w:rsid w:val="00D0720E"/>
    <w:rsid w:val="00D07CC8"/>
    <w:rsid w:val="00D100EB"/>
    <w:rsid w:val="00D111DD"/>
    <w:rsid w:val="00D129E7"/>
    <w:rsid w:val="00D13034"/>
    <w:rsid w:val="00D13CA1"/>
    <w:rsid w:val="00D1514D"/>
    <w:rsid w:val="00D156DE"/>
    <w:rsid w:val="00D1708C"/>
    <w:rsid w:val="00D1743C"/>
    <w:rsid w:val="00D17710"/>
    <w:rsid w:val="00D17779"/>
    <w:rsid w:val="00D17DA1"/>
    <w:rsid w:val="00D20AC7"/>
    <w:rsid w:val="00D20C83"/>
    <w:rsid w:val="00D21432"/>
    <w:rsid w:val="00D220DD"/>
    <w:rsid w:val="00D2252C"/>
    <w:rsid w:val="00D22ADC"/>
    <w:rsid w:val="00D22CE9"/>
    <w:rsid w:val="00D2302C"/>
    <w:rsid w:val="00D2343A"/>
    <w:rsid w:val="00D2346A"/>
    <w:rsid w:val="00D24754"/>
    <w:rsid w:val="00D2506E"/>
    <w:rsid w:val="00D25DDB"/>
    <w:rsid w:val="00D260C9"/>
    <w:rsid w:val="00D26C65"/>
    <w:rsid w:val="00D275D4"/>
    <w:rsid w:val="00D27B73"/>
    <w:rsid w:val="00D27C02"/>
    <w:rsid w:val="00D30973"/>
    <w:rsid w:val="00D30A8E"/>
    <w:rsid w:val="00D30C38"/>
    <w:rsid w:val="00D316B1"/>
    <w:rsid w:val="00D31B75"/>
    <w:rsid w:val="00D31F9E"/>
    <w:rsid w:val="00D3239B"/>
    <w:rsid w:val="00D32F32"/>
    <w:rsid w:val="00D33359"/>
    <w:rsid w:val="00D35C00"/>
    <w:rsid w:val="00D362FA"/>
    <w:rsid w:val="00D373FC"/>
    <w:rsid w:val="00D375C9"/>
    <w:rsid w:val="00D37869"/>
    <w:rsid w:val="00D37E86"/>
    <w:rsid w:val="00D401DF"/>
    <w:rsid w:val="00D402F5"/>
    <w:rsid w:val="00D405B8"/>
    <w:rsid w:val="00D41E5B"/>
    <w:rsid w:val="00D42117"/>
    <w:rsid w:val="00D42329"/>
    <w:rsid w:val="00D424B2"/>
    <w:rsid w:val="00D42ADB"/>
    <w:rsid w:val="00D42D44"/>
    <w:rsid w:val="00D43465"/>
    <w:rsid w:val="00D434E8"/>
    <w:rsid w:val="00D43A42"/>
    <w:rsid w:val="00D45111"/>
    <w:rsid w:val="00D4523E"/>
    <w:rsid w:val="00D456A0"/>
    <w:rsid w:val="00D464E0"/>
    <w:rsid w:val="00D4743A"/>
    <w:rsid w:val="00D47BB2"/>
    <w:rsid w:val="00D5095E"/>
    <w:rsid w:val="00D5120A"/>
    <w:rsid w:val="00D514AF"/>
    <w:rsid w:val="00D51AC7"/>
    <w:rsid w:val="00D51FEE"/>
    <w:rsid w:val="00D5201E"/>
    <w:rsid w:val="00D522C1"/>
    <w:rsid w:val="00D537EB"/>
    <w:rsid w:val="00D54A9B"/>
    <w:rsid w:val="00D54AFD"/>
    <w:rsid w:val="00D55B69"/>
    <w:rsid w:val="00D55D20"/>
    <w:rsid w:val="00D56CC8"/>
    <w:rsid w:val="00D5720A"/>
    <w:rsid w:val="00D57E0F"/>
    <w:rsid w:val="00D60A9B"/>
    <w:rsid w:val="00D60D78"/>
    <w:rsid w:val="00D60DC7"/>
    <w:rsid w:val="00D61CD2"/>
    <w:rsid w:val="00D62240"/>
    <w:rsid w:val="00D622A5"/>
    <w:rsid w:val="00D62489"/>
    <w:rsid w:val="00D62B5F"/>
    <w:rsid w:val="00D6311B"/>
    <w:rsid w:val="00D63685"/>
    <w:rsid w:val="00D639AA"/>
    <w:rsid w:val="00D6453C"/>
    <w:rsid w:val="00D64841"/>
    <w:rsid w:val="00D64951"/>
    <w:rsid w:val="00D64F7F"/>
    <w:rsid w:val="00D65022"/>
    <w:rsid w:val="00D65273"/>
    <w:rsid w:val="00D65864"/>
    <w:rsid w:val="00D65C71"/>
    <w:rsid w:val="00D65D5D"/>
    <w:rsid w:val="00D661E3"/>
    <w:rsid w:val="00D669F4"/>
    <w:rsid w:val="00D66DEE"/>
    <w:rsid w:val="00D66E48"/>
    <w:rsid w:val="00D676B5"/>
    <w:rsid w:val="00D67FC7"/>
    <w:rsid w:val="00D706BB"/>
    <w:rsid w:val="00D70A1B"/>
    <w:rsid w:val="00D70AFC"/>
    <w:rsid w:val="00D70B86"/>
    <w:rsid w:val="00D70C4A"/>
    <w:rsid w:val="00D70E01"/>
    <w:rsid w:val="00D71A6A"/>
    <w:rsid w:val="00D71AD5"/>
    <w:rsid w:val="00D72138"/>
    <w:rsid w:val="00D728BA"/>
    <w:rsid w:val="00D72BC6"/>
    <w:rsid w:val="00D73848"/>
    <w:rsid w:val="00D739B0"/>
    <w:rsid w:val="00D7494F"/>
    <w:rsid w:val="00D74B39"/>
    <w:rsid w:val="00D750C4"/>
    <w:rsid w:val="00D7525F"/>
    <w:rsid w:val="00D7544C"/>
    <w:rsid w:val="00D7613D"/>
    <w:rsid w:val="00D764FE"/>
    <w:rsid w:val="00D767E2"/>
    <w:rsid w:val="00D77793"/>
    <w:rsid w:val="00D77BEB"/>
    <w:rsid w:val="00D80ECA"/>
    <w:rsid w:val="00D810B4"/>
    <w:rsid w:val="00D821F0"/>
    <w:rsid w:val="00D825F5"/>
    <w:rsid w:val="00D829C0"/>
    <w:rsid w:val="00D82B36"/>
    <w:rsid w:val="00D8335A"/>
    <w:rsid w:val="00D8385F"/>
    <w:rsid w:val="00D8413D"/>
    <w:rsid w:val="00D84308"/>
    <w:rsid w:val="00D84BC0"/>
    <w:rsid w:val="00D850E8"/>
    <w:rsid w:val="00D85215"/>
    <w:rsid w:val="00D856B3"/>
    <w:rsid w:val="00D85809"/>
    <w:rsid w:val="00D86416"/>
    <w:rsid w:val="00D86CE5"/>
    <w:rsid w:val="00D87305"/>
    <w:rsid w:val="00D905DE"/>
    <w:rsid w:val="00D9096A"/>
    <w:rsid w:val="00D90C5D"/>
    <w:rsid w:val="00D9187C"/>
    <w:rsid w:val="00D92F2A"/>
    <w:rsid w:val="00D937DF"/>
    <w:rsid w:val="00D93A46"/>
    <w:rsid w:val="00D94511"/>
    <w:rsid w:val="00D94A51"/>
    <w:rsid w:val="00D94FCA"/>
    <w:rsid w:val="00D95899"/>
    <w:rsid w:val="00D95C55"/>
    <w:rsid w:val="00D960FA"/>
    <w:rsid w:val="00D96200"/>
    <w:rsid w:val="00D966D4"/>
    <w:rsid w:val="00D96B11"/>
    <w:rsid w:val="00D96D04"/>
    <w:rsid w:val="00DA1589"/>
    <w:rsid w:val="00DA1EF5"/>
    <w:rsid w:val="00DA1EFA"/>
    <w:rsid w:val="00DA30EF"/>
    <w:rsid w:val="00DA3710"/>
    <w:rsid w:val="00DA3872"/>
    <w:rsid w:val="00DA3E16"/>
    <w:rsid w:val="00DA41F5"/>
    <w:rsid w:val="00DA50A4"/>
    <w:rsid w:val="00DA55A3"/>
    <w:rsid w:val="00DA5A6D"/>
    <w:rsid w:val="00DA5C1B"/>
    <w:rsid w:val="00DA6179"/>
    <w:rsid w:val="00DA637A"/>
    <w:rsid w:val="00DA7602"/>
    <w:rsid w:val="00DA7669"/>
    <w:rsid w:val="00DA7E65"/>
    <w:rsid w:val="00DB052D"/>
    <w:rsid w:val="00DB074D"/>
    <w:rsid w:val="00DB07F1"/>
    <w:rsid w:val="00DB1FE9"/>
    <w:rsid w:val="00DB2B43"/>
    <w:rsid w:val="00DB2BB3"/>
    <w:rsid w:val="00DB2BF5"/>
    <w:rsid w:val="00DB32D4"/>
    <w:rsid w:val="00DB33C4"/>
    <w:rsid w:val="00DB46A4"/>
    <w:rsid w:val="00DB4C03"/>
    <w:rsid w:val="00DB581D"/>
    <w:rsid w:val="00DB59BE"/>
    <w:rsid w:val="00DB697B"/>
    <w:rsid w:val="00DB6E9D"/>
    <w:rsid w:val="00DB7145"/>
    <w:rsid w:val="00DB7E5D"/>
    <w:rsid w:val="00DC0D1A"/>
    <w:rsid w:val="00DC1B9B"/>
    <w:rsid w:val="00DC200C"/>
    <w:rsid w:val="00DC2AF7"/>
    <w:rsid w:val="00DC51D3"/>
    <w:rsid w:val="00DC59A4"/>
    <w:rsid w:val="00DC5F4F"/>
    <w:rsid w:val="00DC6B85"/>
    <w:rsid w:val="00DD2645"/>
    <w:rsid w:val="00DD3308"/>
    <w:rsid w:val="00DD3D36"/>
    <w:rsid w:val="00DD4583"/>
    <w:rsid w:val="00DD4B71"/>
    <w:rsid w:val="00DD5909"/>
    <w:rsid w:val="00DD5DDA"/>
    <w:rsid w:val="00DD669C"/>
    <w:rsid w:val="00DD66C8"/>
    <w:rsid w:val="00DD7279"/>
    <w:rsid w:val="00DD74E1"/>
    <w:rsid w:val="00DD7519"/>
    <w:rsid w:val="00DD75EF"/>
    <w:rsid w:val="00DD7A3C"/>
    <w:rsid w:val="00DD7C73"/>
    <w:rsid w:val="00DE02C9"/>
    <w:rsid w:val="00DE052B"/>
    <w:rsid w:val="00DE06E0"/>
    <w:rsid w:val="00DE0A58"/>
    <w:rsid w:val="00DE0CBF"/>
    <w:rsid w:val="00DE1167"/>
    <w:rsid w:val="00DE148E"/>
    <w:rsid w:val="00DE24DE"/>
    <w:rsid w:val="00DE30D2"/>
    <w:rsid w:val="00DE34CB"/>
    <w:rsid w:val="00DE38B1"/>
    <w:rsid w:val="00DE39B0"/>
    <w:rsid w:val="00DE3BD0"/>
    <w:rsid w:val="00DE3CEA"/>
    <w:rsid w:val="00DE4AB8"/>
    <w:rsid w:val="00DE4EB9"/>
    <w:rsid w:val="00DE506C"/>
    <w:rsid w:val="00DE661B"/>
    <w:rsid w:val="00DE73AB"/>
    <w:rsid w:val="00DE7D01"/>
    <w:rsid w:val="00DF0BA1"/>
    <w:rsid w:val="00DF14BD"/>
    <w:rsid w:val="00DF1A39"/>
    <w:rsid w:val="00DF2F10"/>
    <w:rsid w:val="00DF2F7C"/>
    <w:rsid w:val="00DF5221"/>
    <w:rsid w:val="00DF5E6D"/>
    <w:rsid w:val="00DF785E"/>
    <w:rsid w:val="00DF7E3C"/>
    <w:rsid w:val="00E00BA5"/>
    <w:rsid w:val="00E00F12"/>
    <w:rsid w:val="00E02109"/>
    <w:rsid w:val="00E021A1"/>
    <w:rsid w:val="00E021A5"/>
    <w:rsid w:val="00E02683"/>
    <w:rsid w:val="00E02B73"/>
    <w:rsid w:val="00E02E0A"/>
    <w:rsid w:val="00E02EB1"/>
    <w:rsid w:val="00E0322D"/>
    <w:rsid w:val="00E03488"/>
    <w:rsid w:val="00E03CD5"/>
    <w:rsid w:val="00E05814"/>
    <w:rsid w:val="00E0593D"/>
    <w:rsid w:val="00E0603F"/>
    <w:rsid w:val="00E06293"/>
    <w:rsid w:val="00E06CA5"/>
    <w:rsid w:val="00E103BD"/>
    <w:rsid w:val="00E10C3D"/>
    <w:rsid w:val="00E10D8B"/>
    <w:rsid w:val="00E11178"/>
    <w:rsid w:val="00E126D7"/>
    <w:rsid w:val="00E12DF7"/>
    <w:rsid w:val="00E12FED"/>
    <w:rsid w:val="00E13428"/>
    <w:rsid w:val="00E135CD"/>
    <w:rsid w:val="00E13775"/>
    <w:rsid w:val="00E13958"/>
    <w:rsid w:val="00E13BE5"/>
    <w:rsid w:val="00E13EB3"/>
    <w:rsid w:val="00E148D0"/>
    <w:rsid w:val="00E1567B"/>
    <w:rsid w:val="00E15E9C"/>
    <w:rsid w:val="00E16D1F"/>
    <w:rsid w:val="00E175A5"/>
    <w:rsid w:val="00E17F3F"/>
    <w:rsid w:val="00E200AD"/>
    <w:rsid w:val="00E2097D"/>
    <w:rsid w:val="00E21714"/>
    <w:rsid w:val="00E21B5E"/>
    <w:rsid w:val="00E220C5"/>
    <w:rsid w:val="00E225AA"/>
    <w:rsid w:val="00E23846"/>
    <w:rsid w:val="00E23B10"/>
    <w:rsid w:val="00E2490A"/>
    <w:rsid w:val="00E24915"/>
    <w:rsid w:val="00E250B9"/>
    <w:rsid w:val="00E252BC"/>
    <w:rsid w:val="00E26CE5"/>
    <w:rsid w:val="00E270F4"/>
    <w:rsid w:val="00E27833"/>
    <w:rsid w:val="00E27F2C"/>
    <w:rsid w:val="00E3114A"/>
    <w:rsid w:val="00E314D3"/>
    <w:rsid w:val="00E32D6C"/>
    <w:rsid w:val="00E332D0"/>
    <w:rsid w:val="00E3357A"/>
    <w:rsid w:val="00E33A8B"/>
    <w:rsid w:val="00E3650C"/>
    <w:rsid w:val="00E36B1D"/>
    <w:rsid w:val="00E36B93"/>
    <w:rsid w:val="00E36E6F"/>
    <w:rsid w:val="00E377AC"/>
    <w:rsid w:val="00E377DD"/>
    <w:rsid w:val="00E37FED"/>
    <w:rsid w:val="00E40394"/>
    <w:rsid w:val="00E40A69"/>
    <w:rsid w:val="00E41117"/>
    <w:rsid w:val="00E41470"/>
    <w:rsid w:val="00E42151"/>
    <w:rsid w:val="00E42CD3"/>
    <w:rsid w:val="00E42F3D"/>
    <w:rsid w:val="00E44063"/>
    <w:rsid w:val="00E444A2"/>
    <w:rsid w:val="00E44B1A"/>
    <w:rsid w:val="00E453AB"/>
    <w:rsid w:val="00E4557C"/>
    <w:rsid w:val="00E45903"/>
    <w:rsid w:val="00E4592B"/>
    <w:rsid w:val="00E45A82"/>
    <w:rsid w:val="00E463F3"/>
    <w:rsid w:val="00E473B1"/>
    <w:rsid w:val="00E4772E"/>
    <w:rsid w:val="00E505E2"/>
    <w:rsid w:val="00E50A4A"/>
    <w:rsid w:val="00E50CA7"/>
    <w:rsid w:val="00E50CB8"/>
    <w:rsid w:val="00E51D81"/>
    <w:rsid w:val="00E52994"/>
    <w:rsid w:val="00E5342D"/>
    <w:rsid w:val="00E53586"/>
    <w:rsid w:val="00E5371D"/>
    <w:rsid w:val="00E5401A"/>
    <w:rsid w:val="00E549CA"/>
    <w:rsid w:val="00E55078"/>
    <w:rsid w:val="00E55185"/>
    <w:rsid w:val="00E56013"/>
    <w:rsid w:val="00E560E8"/>
    <w:rsid w:val="00E5622E"/>
    <w:rsid w:val="00E56333"/>
    <w:rsid w:val="00E56D84"/>
    <w:rsid w:val="00E56FD2"/>
    <w:rsid w:val="00E570E8"/>
    <w:rsid w:val="00E57C92"/>
    <w:rsid w:val="00E57F52"/>
    <w:rsid w:val="00E60103"/>
    <w:rsid w:val="00E604C8"/>
    <w:rsid w:val="00E60769"/>
    <w:rsid w:val="00E60783"/>
    <w:rsid w:val="00E6162B"/>
    <w:rsid w:val="00E61B3E"/>
    <w:rsid w:val="00E61D06"/>
    <w:rsid w:val="00E623DF"/>
    <w:rsid w:val="00E62577"/>
    <w:rsid w:val="00E62B23"/>
    <w:rsid w:val="00E62B3F"/>
    <w:rsid w:val="00E62CCF"/>
    <w:rsid w:val="00E62FC0"/>
    <w:rsid w:val="00E634CE"/>
    <w:rsid w:val="00E63C26"/>
    <w:rsid w:val="00E63C94"/>
    <w:rsid w:val="00E63DDC"/>
    <w:rsid w:val="00E64113"/>
    <w:rsid w:val="00E6434A"/>
    <w:rsid w:val="00E6449F"/>
    <w:rsid w:val="00E650FD"/>
    <w:rsid w:val="00E651DC"/>
    <w:rsid w:val="00E65234"/>
    <w:rsid w:val="00E6668C"/>
    <w:rsid w:val="00E6718A"/>
    <w:rsid w:val="00E674BF"/>
    <w:rsid w:val="00E676DC"/>
    <w:rsid w:val="00E67BED"/>
    <w:rsid w:val="00E70FEB"/>
    <w:rsid w:val="00E710AE"/>
    <w:rsid w:val="00E71146"/>
    <w:rsid w:val="00E712A6"/>
    <w:rsid w:val="00E72F1A"/>
    <w:rsid w:val="00E735BB"/>
    <w:rsid w:val="00E751AE"/>
    <w:rsid w:val="00E75266"/>
    <w:rsid w:val="00E75554"/>
    <w:rsid w:val="00E756FA"/>
    <w:rsid w:val="00E75B2B"/>
    <w:rsid w:val="00E75BD8"/>
    <w:rsid w:val="00E75CEC"/>
    <w:rsid w:val="00E7621B"/>
    <w:rsid w:val="00E775E6"/>
    <w:rsid w:val="00E77601"/>
    <w:rsid w:val="00E776FF"/>
    <w:rsid w:val="00E77B44"/>
    <w:rsid w:val="00E77DC7"/>
    <w:rsid w:val="00E80089"/>
    <w:rsid w:val="00E80284"/>
    <w:rsid w:val="00E80746"/>
    <w:rsid w:val="00E809CB"/>
    <w:rsid w:val="00E8216D"/>
    <w:rsid w:val="00E821F6"/>
    <w:rsid w:val="00E822BE"/>
    <w:rsid w:val="00E8249F"/>
    <w:rsid w:val="00E8309C"/>
    <w:rsid w:val="00E83285"/>
    <w:rsid w:val="00E8338F"/>
    <w:rsid w:val="00E83437"/>
    <w:rsid w:val="00E83584"/>
    <w:rsid w:val="00E842F8"/>
    <w:rsid w:val="00E8443C"/>
    <w:rsid w:val="00E852E1"/>
    <w:rsid w:val="00E854FE"/>
    <w:rsid w:val="00E85669"/>
    <w:rsid w:val="00E85E35"/>
    <w:rsid w:val="00E85F56"/>
    <w:rsid w:val="00E866B4"/>
    <w:rsid w:val="00E86C0E"/>
    <w:rsid w:val="00E86EB4"/>
    <w:rsid w:val="00E87003"/>
    <w:rsid w:val="00E905A5"/>
    <w:rsid w:val="00E90D8F"/>
    <w:rsid w:val="00E911A7"/>
    <w:rsid w:val="00E91903"/>
    <w:rsid w:val="00E928F0"/>
    <w:rsid w:val="00E9340E"/>
    <w:rsid w:val="00E9346F"/>
    <w:rsid w:val="00E93DC7"/>
    <w:rsid w:val="00E94587"/>
    <w:rsid w:val="00E94F1B"/>
    <w:rsid w:val="00E97D2C"/>
    <w:rsid w:val="00E97F1B"/>
    <w:rsid w:val="00EA0C9E"/>
    <w:rsid w:val="00EA0CCC"/>
    <w:rsid w:val="00EA1156"/>
    <w:rsid w:val="00EA12F7"/>
    <w:rsid w:val="00EA189C"/>
    <w:rsid w:val="00EA2163"/>
    <w:rsid w:val="00EA2870"/>
    <w:rsid w:val="00EA3A50"/>
    <w:rsid w:val="00EA3F3C"/>
    <w:rsid w:val="00EA40D4"/>
    <w:rsid w:val="00EA4D8E"/>
    <w:rsid w:val="00EA4E33"/>
    <w:rsid w:val="00EA4F34"/>
    <w:rsid w:val="00EA58A5"/>
    <w:rsid w:val="00EA5E2C"/>
    <w:rsid w:val="00EA602F"/>
    <w:rsid w:val="00EA6BB0"/>
    <w:rsid w:val="00EA761B"/>
    <w:rsid w:val="00EA78D5"/>
    <w:rsid w:val="00EB03F2"/>
    <w:rsid w:val="00EB063E"/>
    <w:rsid w:val="00EB0644"/>
    <w:rsid w:val="00EB083C"/>
    <w:rsid w:val="00EB1700"/>
    <w:rsid w:val="00EB1745"/>
    <w:rsid w:val="00EB1826"/>
    <w:rsid w:val="00EB2125"/>
    <w:rsid w:val="00EB237D"/>
    <w:rsid w:val="00EB2D87"/>
    <w:rsid w:val="00EB34AF"/>
    <w:rsid w:val="00EB34DD"/>
    <w:rsid w:val="00EB4DF3"/>
    <w:rsid w:val="00EB5624"/>
    <w:rsid w:val="00EB5C0E"/>
    <w:rsid w:val="00EB5DF9"/>
    <w:rsid w:val="00EB64CD"/>
    <w:rsid w:val="00EB6893"/>
    <w:rsid w:val="00EB6F63"/>
    <w:rsid w:val="00EB75AB"/>
    <w:rsid w:val="00EC043B"/>
    <w:rsid w:val="00EC0882"/>
    <w:rsid w:val="00EC17A1"/>
    <w:rsid w:val="00EC1CAB"/>
    <w:rsid w:val="00EC1EE2"/>
    <w:rsid w:val="00EC3A6A"/>
    <w:rsid w:val="00EC3C5A"/>
    <w:rsid w:val="00EC4332"/>
    <w:rsid w:val="00EC576D"/>
    <w:rsid w:val="00EC60E7"/>
    <w:rsid w:val="00EC6525"/>
    <w:rsid w:val="00EC6F5E"/>
    <w:rsid w:val="00EC7CAD"/>
    <w:rsid w:val="00ED05D8"/>
    <w:rsid w:val="00ED0A60"/>
    <w:rsid w:val="00ED10EE"/>
    <w:rsid w:val="00ED11CD"/>
    <w:rsid w:val="00ED21A5"/>
    <w:rsid w:val="00ED21C4"/>
    <w:rsid w:val="00ED2E7E"/>
    <w:rsid w:val="00ED360C"/>
    <w:rsid w:val="00ED3AB7"/>
    <w:rsid w:val="00ED3FFE"/>
    <w:rsid w:val="00ED484D"/>
    <w:rsid w:val="00ED4CA3"/>
    <w:rsid w:val="00ED4FE0"/>
    <w:rsid w:val="00ED54B3"/>
    <w:rsid w:val="00ED612A"/>
    <w:rsid w:val="00ED6400"/>
    <w:rsid w:val="00ED72DC"/>
    <w:rsid w:val="00ED7400"/>
    <w:rsid w:val="00ED7B4F"/>
    <w:rsid w:val="00EE0393"/>
    <w:rsid w:val="00EE17E3"/>
    <w:rsid w:val="00EE1816"/>
    <w:rsid w:val="00EE2355"/>
    <w:rsid w:val="00EE32F2"/>
    <w:rsid w:val="00EE41E7"/>
    <w:rsid w:val="00EE6F1A"/>
    <w:rsid w:val="00EE7821"/>
    <w:rsid w:val="00EE7A86"/>
    <w:rsid w:val="00EE7F49"/>
    <w:rsid w:val="00EF0244"/>
    <w:rsid w:val="00EF0BB1"/>
    <w:rsid w:val="00EF1CB8"/>
    <w:rsid w:val="00EF30AD"/>
    <w:rsid w:val="00EF39DF"/>
    <w:rsid w:val="00EF3B8E"/>
    <w:rsid w:val="00EF3F13"/>
    <w:rsid w:val="00EF5C36"/>
    <w:rsid w:val="00EF5FBB"/>
    <w:rsid w:val="00EF6245"/>
    <w:rsid w:val="00EF6413"/>
    <w:rsid w:val="00EF6BF1"/>
    <w:rsid w:val="00EF6C61"/>
    <w:rsid w:val="00F00A54"/>
    <w:rsid w:val="00F00F96"/>
    <w:rsid w:val="00F01089"/>
    <w:rsid w:val="00F01CC1"/>
    <w:rsid w:val="00F01F70"/>
    <w:rsid w:val="00F02927"/>
    <w:rsid w:val="00F02A32"/>
    <w:rsid w:val="00F03FBB"/>
    <w:rsid w:val="00F03FD7"/>
    <w:rsid w:val="00F05732"/>
    <w:rsid w:val="00F05C3D"/>
    <w:rsid w:val="00F063EA"/>
    <w:rsid w:val="00F066FA"/>
    <w:rsid w:val="00F06DDE"/>
    <w:rsid w:val="00F070D8"/>
    <w:rsid w:val="00F076E8"/>
    <w:rsid w:val="00F10248"/>
    <w:rsid w:val="00F1071D"/>
    <w:rsid w:val="00F10991"/>
    <w:rsid w:val="00F10A9D"/>
    <w:rsid w:val="00F10F6F"/>
    <w:rsid w:val="00F11438"/>
    <w:rsid w:val="00F1179A"/>
    <w:rsid w:val="00F11D3A"/>
    <w:rsid w:val="00F12D10"/>
    <w:rsid w:val="00F12E0B"/>
    <w:rsid w:val="00F1324E"/>
    <w:rsid w:val="00F14514"/>
    <w:rsid w:val="00F14896"/>
    <w:rsid w:val="00F14AE5"/>
    <w:rsid w:val="00F14F56"/>
    <w:rsid w:val="00F153E6"/>
    <w:rsid w:val="00F15705"/>
    <w:rsid w:val="00F158DC"/>
    <w:rsid w:val="00F16E42"/>
    <w:rsid w:val="00F17149"/>
    <w:rsid w:val="00F176DC"/>
    <w:rsid w:val="00F179EC"/>
    <w:rsid w:val="00F203D7"/>
    <w:rsid w:val="00F203E5"/>
    <w:rsid w:val="00F203EB"/>
    <w:rsid w:val="00F2047C"/>
    <w:rsid w:val="00F206C6"/>
    <w:rsid w:val="00F21427"/>
    <w:rsid w:val="00F21429"/>
    <w:rsid w:val="00F21466"/>
    <w:rsid w:val="00F2154A"/>
    <w:rsid w:val="00F224B6"/>
    <w:rsid w:val="00F229D7"/>
    <w:rsid w:val="00F22A87"/>
    <w:rsid w:val="00F23486"/>
    <w:rsid w:val="00F2350F"/>
    <w:rsid w:val="00F23755"/>
    <w:rsid w:val="00F239B1"/>
    <w:rsid w:val="00F24707"/>
    <w:rsid w:val="00F25285"/>
    <w:rsid w:val="00F25E0A"/>
    <w:rsid w:val="00F27B1E"/>
    <w:rsid w:val="00F27B26"/>
    <w:rsid w:val="00F30192"/>
    <w:rsid w:val="00F30225"/>
    <w:rsid w:val="00F31ABE"/>
    <w:rsid w:val="00F3210C"/>
    <w:rsid w:val="00F321A8"/>
    <w:rsid w:val="00F3291C"/>
    <w:rsid w:val="00F32B11"/>
    <w:rsid w:val="00F3318B"/>
    <w:rsid w:val="00F3432E"/>
    <w:rsid w:val="00F34951"/>
    <w:rsid w:val="00F34A5B"/>
    <w:rsid w:val="00F353B7"/>
    <w:rsid w:val="00F36461"/>
    <w:rsid w:val="00F36BB7"/>
    <w:rsid w:val="00F37206"/>
    <w:rsid w:val="00F40690"/>
    <w:rsid w:val="00F40DB5"/>
    <w:rsid w:val="00F41966"/>
    <w:rsid w:val="00F41A3E"/>
    <w:rsid w:val="00F41BD0"/>
    <w:rsid w:val="00F421E2"/>
    <w:rsid w:val="00F42CC8"/>
    <w:rsid w:val="00F43BEC"/>
    <w:rsid w:val="00F43DFC"/>
    <w:rsid w:val="00F4404B"/>
    <w:rsid w:val="00F4455B"/>
    <w:rsid w:val="00F45088"/>
    <w:rsid w:val="00F451A4"/>
    <w:rsid w:val="00F45A41"/>
    <w:rsid w:val="00F45EAF"/>
    <w:rsid w:val="00F463D6"/>
    <w:rsid w:val="00F46728"/>
    <w:rsid w:val="00F476C1"/>
    <w:rsid w:val="00F479F8"/>
    <w:rsid w:val="00F505E1"/>
    <w:rsid w:val="00F5072A"/>
    <w:rsid w:val="00F50858"/>
    <w:rsid w:val="00F50B70"/>
    <w:rsid w:val="00F51892"/>
    <w:rsid w:val="00F51AF4"/>
    <w:rsid w:val="00F51DF7"/>
    <w:rsid w:val="00F51F94"/>
    <w:rsid w:val="00F5202A"/>
    <w:rsid w:val="00F52627"/>
    <w:rsid w:val="00F53148"/>
    <w:rsid w:val="00F53787"/>
    <w:rsid w:val="00F53E0A"/>
    <w:rsid w:val="00F55964"/>
    <w:rsid w:val="00F55A00"/>
    <w:rsid w:val="00F55A58"/>
    <w:rsid w:val="00F560EA"/>
    <w:rsid w:val="00F567E3"/>
    <w:rsid w:val="00F56B54"/>
    <w:rsid w:val="00F578E3"/>
    <w:rsid w:val="00F57F0E"/>
    <w:rsid w:val="00F60169"/>
    <w:rsid w:val="00F6047B"/>
    <w:rsid w:val="00F610E9"/>
    <w:rsid w:val="00F6147B"/>
    <w:rsid w:val="00F61D82"/>
    <w:rsid w:val="00F62106"/>
    <w:rsid w:val="00F62728"/>
    <w:rsid w:val="00F63459"/>
    <w:rsid w:val="00F6346D"/>
    <w:rsid w:val="00F63675"/>
    <w:rsid w:val="00F643DE"/>
    <w:rsid w:val="00F644F5"/>
    <w:rsid w:val="00F6461B"/>
    <w:rsid w:val="00F65E9B"/>
    <w:rsid w:val="00F66463"/>
    <w:rsid w:val="00F66D1D"/>
    <w:rsid w:val="00F66FA3"/>
    <w:rsid w:val="00F703B3"/>
    <w:rsid w:val="00F70D43"/>
    <w:rsid w:val="00F712E0"/>
    <w:rsid w:val="00F71312"/>
    <w:rsid w:val="00F716CD"/>
    <w:rsid w:val="00F71C2A"/>
    <w:rsid w:val="00F72C23"/>
    <w:rsid w:val="00F73391"/>
    <w:rsid w:val="00F73FB9"/>
    <w:rsid w:val="00F7462F"/>
    <w:rsid w:val="00F75480"/>
    <w:rsid w:val="00F7594C"/>
    <w:rsid w:val="00F75996"/>
    <w:rsid w:val="00F75E55"/>
    <w:rsid w:val="00F7661E"/>
    <w:rsid w:val="00F76880"/>
    <w:rsid w:val="00F76922"/>
    <w:rsid w:val="00F76BB6"/>
    <w:rsid w:val="00F7738A"/>
    <w:rsid w:val="00F77BE9"/>
    <w:rsid w:val="00F80A4D"/>
    <w:rsid w:val="00F81050"/>
    <w:rsid w:val="00F828A0"/>
    <w:rsid w:val="00F82E70"/>
    <w:rsid w:val="00F8336B"/>
    <w:rsid w:val="00F84B98"/>
    <w:rsid w:val="00F84D61"/>
    <w:rsid w:val="00F85878"/>
    <w:rsid w:val="00F85AF3"/>
    <w:rsid w:val="00F86264"/>
    <w:rsid w:val="00F862EE"/>
    <w:rsid w:val="00F86BE3"/>
    <w:rsid w:val="00F86CCA"/>
    <w:rsid w:val="00F87A69"/>
    <w:rsid w:val="00F87F21"/>
    <w:rsid w:val="00F87FDB"/>
    <w:rsid w:val="00F9016B"/>
    <w:rsid w:val="00F90B90"/>
    <w:rsid w:val="00F90C26"/>
    <w:rsid w:val="00F92627"/>
    <w:rsid w:val="00F92688"/>
    <w:rsid w:val="00F92991"/>
    <w:rsid w:val="00F92D32"/>
    <w:rsid w:val="00F92E3B"/>
    <w:rsid w:val="00F93248"/>
    <w:rsid w:val="00F939C5"/>
    <w:rsid w:val="00F94627"/>
    <w:rsid w:val="00F94818"/>
    <w:rsid w:val="00F9538F"/>
    <w:rsid w:val="00F953E2"/>
    <w:rsid w:val="00F95BA8"/>
    <w:rsid w:val="00F9640D"/>
    <w:rsid w:val="00F9694B"/>
    <w:rsid w:val="00F972C2"/>
    <w:rsid w:val="00F9771A"/>
    <w:rsid w:val="00F97E0C"/>
    <w:rsid w:val="00FA0BB1"/>
    <w:rsid w:val="00FA1884"/>
    <w:rsid w:val="00FA2797"/>
    <w:rsid w:val="00FA2D7B"/>
    <w:rsid w:val="00FA377E"/>
    <w:rsid w:val="00FA3978"/>
    <w:rsid w:val="00FA397D"/>
    <w:rsid w:val="00FA3C8A"/>
    <w:rsid w:val="00FA419B"/>
    <w:rsid w:val="00FA46C6"/>
    <w:rsid w:val="00FA4955"/>
    <w:rsid w:val="00FA4E8B"/>
    <w:rsid w:val="00FA4F4F"/>
    <w:rsid w:val="00FA51C7"/>
    <w:rsid w:val="00FA6248"/>
    <w:rsid w:val="00FA6362"/>
    <w:rsid w:val="00FA64E4"/>
    <w:rsid w:val="00FA6F43"/>
    <w:rsid w:val="00FA7545"/>
    <w:rsid w:val="00FA7E70"/>
    <w:rsid w:val="00FB00B7"/>
    <w:rsid w:val="00FB0694"/>
    <w:rsid w:val="00FB1B22"/>
    <w:rsid w:val="00FB2240"/>
    <w:rsid w:val="00FB325D"/>
    <w:rsid w:val="00FB3FAB"/>
    <w:rsid w:val="00FB5190"/>
    <w:rsid w:val="00FB56DA"/>
    <w:rsid w:val="00FB67E4"/>
    <w:rsid w:val="00FB71E5"/>
    <w:rsid w:val="00FB7752"/>
    <w:rsid w:val="00FB7BAC"/>
    <w:rsid w:val="00FC0FD4"/>
    <w:rsid w:val="00FC1803"/>
    <w:rsid w:val="00FC3348"/>
    <w:rsid w:val="00FC349E"/>
    <w:rsid w:val="00FC4F10"/>
    <w:rsid w:val="00FC55F7"/>
    <w:rsid w:val="00FC563B"/>
    <w:rsid w:val="00FC5B6E"/>
    <w:rsid w:val="00FC6344"/>
    <w:rsid w:val="00FC648A"/>
    <w:rsid w:val="00FC67E6"/>
    <w:rsid w:val="00FC78F8"/>
    <w:rsid w:val="00FC7B91"/>
    <w:rsid w:val="00FD0489"/>
    <w:rsid w:val="00FD09F1"/>
    <w:rsid w:val="00FD0BE4"/>
    <w:rsid w:val="00FD0BE9"/>
    <w:rsid w:val="00FD120E"/>
    <w:rsid w:val="00FD299B"/>
    <w:rsid w:val="00FD2F19"/>
    <w:rsid w:val="00FD3393"/>
    <w:rsid w:val="00FD38B2"/>
    <w:rsid w:val="00FD438E"/>
    <w:rsid w:val="00FD44CF"/>
    <w:rsid w:val="00FD4A32"/>
    <w:rsid w:val="00FD5F49"/>
    <w:rsid w:val="00FD6A25"/>
    <w:rsid w:val="00FD6C71"/>
    <w:rsid w:val="00FD7893"/>
    <w:rsid w:val="00FD7B7D"/>
    <w:rsid w:val="00FE055F"/>
    <w:rsid w:val="00FE259D"/>
    <w:rsid w:val="00FE2E34"/>
    <w:rsid w:val="00FE380A"/>
    <w:rsid w:val="00FE398C"/>
    <w:rsid w:val="00FE439E"/>
    <w:rsid w:val="00FE44EE"/>
    <w:rsid w:val="00FE476C"/>
    <w:rsid w:val="00FE4876"/>
    <w:rsid w:val="00FE4EAA"/>
    <w:rsid w:val="00FE5303"/>
    <w:rsid w:val="00FE5550"/>
    <w:rsid w:val="00FE5D0E"/>
    <w:rsid w:val="00FE6232"/>
    <w:rsid w:val="00FE62CD"/>
    <w:rsid w:val="00FE6BBD"/>
    <w:rsid w:val="00FE6C88"/>
    <w:rsid w:val="00FE6FE3"/>
    <w:rsid w:val="00FE7A95"/>
    <w:rsid w:val="00FF1518"/>
    <w:rsid w:val="00FF1A06"/>
    <w:rsid w:val="00FF28AC"/>
    <w:rsid w:val="00FF36E1"/>
    <w:rsid w:val="00FF3ABE"/>
    <w:rsid w:val="00FF3ABF"/>
    <w:rsid w:val="00FF4831"/>
    <w:rsid w:val="00FF496F"/>
    <w:rsid w:val="00FF4A6D"/>
    <w:rsid w:val="00FF4B62"/>
    <w:rsid w:val="00FF57FE"/>
    <w:rsid w:val="00FF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BE5A6C"/>
  <w15:chartTrackingRefBased/>
  <w15:docId w15:val="{E532AA89-0619-4E65-9BB6-5999EB9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8D"/>
    <w:pPr>
      <w:spacing w:after="200" w:line="480" w:lineRule="auto"/>
    </w:pPr>
    <w:rPr>
      <w:sz w:val="22"/>
      <w:szCs w:val="22"/>
      <w:lang w:eastAsia="ja-JP"/>
    </w:rPr>
  </w:style>
  <w:style w:type="paragraph" w:styleId="Heading1">
    <w:name w:val="heading 1"/>
    <w:basedOn w:val="Normal"/>
    <w:next w:val="Normal"/>
    <w:link w:val="Heading1Char"/>
    <w:uiPriority w:val="9"/>
    <w:qFormat/>
    <w:rsid w:val="00A23FE7"/>
    <w:pPr>
      <w:spacing w:after="120"/>
      <w:contextualSpacing/>
      <w:outlineLvl w:val="0"/>
    </w:pPr>
    <w:rPr>
      <w:rFonts w:eastAsia="MS Gothic"/>
      <w:b/>
      <w:bCs/>
      <w:sz w:val="28"/>
      <w:szCs w:val="28"/>
    </w:rPr>
  </w:style>
  <w:style w:type="paragraph" w:styleId="Heading2">
    <w:name w:val="heading 2"/>
    <w:basedOn w:val="Normal"/>
    <w:next w:val="Normal"/>
    <w:link w:val="Heading2Char"/>
    <w:uiPriority w:val="9"/>
    <w:unhideWhenUsed/>
    <w:qFormat/>
    <w:rsid w:val="00A23FE7"/>
    <w:pPr>
      <w:spacing w:after="120"/>
      <w:outlineLvl w:val="1"/>
    </w:pPr>
    <w:rPr>
      <w:rFonts w:eastAsia="MS Gothic"/>
      <w:b/>
      <w:bCs/>
      <w:sz w:val="24"/>
      <w:szCs w:val="26"/>
    </w:rPr>
  </w:style>
  <w:style w:type="paragraph" w:styleId="Heading3">
    <w:name w:val="heading 3"/>
    <w:basedOn w:val="Normal"/>
    <w:next w:val="Normal"/>
    <w:link w:val="Heading3Char"/>
    <w:uiPriority w:val="9"/>
    <w:semiHidden/>
    <w:unhideWhenUsed/>
    <w:qFormat/>
    <w:rsid w:val="00A23FE7"/>
    <w:pPr>
      <w:spacing w:before="200" w:after="0" w:line="271" w:lineRule="auto"/>
      <w:outlineLvl w:val="2"/>
    </w:pPr>
    <w:rPr>
      <w:rFonts w:ascii="Cambria" w:eastAsia="MS Gothic" w:hAnsi="Cambria"/>
      <w:b/>
      <w:bCs/>
    </w:rPr>
  </w:style>
  <w:style w:type="paragraph" w:styleId="Heading4">
    <w:name w:val="heading 4"/>
    <w:basedOn w:val="Normal"/>
    <w:next w:val="Normal"/>
    <w:link w:val="Heading4Char"/>
    <w:uiPriority w:val="9"/>
    <w:semiHidden/>
    <w:unhideWhenUsed/>
    <w:qFormat/>
    <w:rsid w:val="00A23FE7"/>
    <w:pPr>
      <w:spacing w:before="200" w:after="0"/>
      <w:outlineLvl w:val="3"/>
    </w:pPr>
    <w:rPr>
      <w:rFonts w:ascii="Cambria" w:eastAsia="MS Gothic" w:hAnsi="Cambria"/>
      <w:b/>
      <w:bCs/>
      <w:i/>
      <w:iCs/>
    </w:rPr>
  </w:style>
  <w:style w:type="paragraph" w:styleId="Heading5">
    <w:name w:val="heading 5"/>
    <w:basedOn w:val="Normal"/>
    <w:next w:val="Normal"/>
    <w:link w:val="Heading5Char"/>
    <w:uiPriority w:val="9"/>
    <w:semiHidden/>
    <w:unhideWhenUsed/>
    <w:qFormat/>
    <w:rsid w:val="00A23FE7"/>
    <w:pPr>
      <w:spacing w:before="200" w:after="0"/>
      <w:outlineLvl w:val="4"/>
    </w:pPr>
    <w:rPr>
      <w:rFonts w:ascii="Cambria" w:eastAsia="MS Gothic" w:hAnsi="Cambria"/>
      <w:b/>
      <w:bCs/>
      <w:color w:val="7F7F7F"/>
    </w:rPr>
  </w:style>
  <w:style w:type="paragraph" w:styleId="Heading6">
    <w:name w:val="heading 6"/>
    <w:basedOn w:val="Normal"/>
    <w:next w:val="Normal"/>
    <w:link w:val="Heading6Char"/>
    <w:uiPriority w:val="9"/>
    <w:semiHidden/>
    <w:unhideWhenUsed/>
    <w:qFormat/>
    <w:rsid w:val="00A23FE7"/>
    <w:pPr>
      <w:spacing w:after="0" w:line="271" w:lineRule="auto"/>
      <w:outlineLvl w:val="5"/>
    </w:pPr>
    <w:rPr>
      <w:rFonts w:ascii="Cambria" w:eastAsia="MS Gothic" w:hAnsi="Cambria"/>
      <w:b/>
      <w:bCs/>
      <w:i/>
      <w:iCs/>
      <w:color w:val="7F7F7F"/>
    </w:rPr>
  </w:style>
  <w:style w:type="paragraph" w:styleId="Heading7">
    <w:name w:val="heading 7"/>
    <w:basedOn w:val="Normal"/>
    <w:next w:val="Normal"/>
    <w:link w:val="Heading7Char"/>
    <w:uiPriority w:val="9"/>
    <w:semiHidden/>
    <w:unhideWhenUsed/>
    <w:qFormat/>
    <w:rsid w:val="00A23FE7"/>
    <w:pPr>
      <w:spacing w:after="0"/>
      <w:outlineLvl w:val="6"/>
    </w:pPr>
    <w:rPr>
      <w:rFonts w:ascii="Cambria" w:eastAsia="MS Gothic" w:hAnsi="Cambria"/>
      <w:i/>
      <w:iCs/>
    </w:rPr>
  </w:style>
  <w:style w:type="paragraph" w:styleId="Heading8">
    <w:name w:val="heading 8"/>
    <w:basedOn w:val="Normal"/>
    <w:next w:val="Normal"/>
    <w:link w:val="Heading8Char"/>
    <w:uiPriority w:val="9"/>
    <w:semiHidden/>
    <w:unhideWhenUsed/>
    <w:qFormat/>
    <w:rsid w:val="00A23FE7"/>
    <w:pPr>
      <w:spacing w:after="0"/>
      <w:outlineLvl w:val="7"/>
    </w:pPr>
    <w:rPr>
      <w:rFonts w:ascii="Cambria" w:eastAsia="MS Gothic" w:hAnsi="Cambria"/>
      <w:sz w:val="20"/>
      <w:szCs w:val="20"/>
    </w:rPr>
  </w:style>
  <w:style w:type="paragraph" w:styleId="Heading9">
    <w:name w:val="heading 9"/>
    <w:basedOn w:val="Normal"/>
    <w:next w:val="Normal"/>
    <w:link w:val="Heading9Char"/>
    <w:uiPriority w:val="9"/>
    <w:semiHidden/>
    <w:unhideWhenUsed/>
    <w:qFormat/>
    <w:rsid w:val="00A23FE7"/>
    <w:pPr>
      <w:spacing w:after="0"/>
      <w:outlineLvl w:val="8"/>
    </w:pPr>
    <w:rPr>
      <w:rFonts w:ascii="Cambria" w:eastAsia="MS Gothic"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rsid w:val="00B759FB"/>
    <w:pPr>
      <w:spacing w:after="60"/>
    </w:pPr>
    <w:rPr>
      <w:rFonts w:ascii="Arial" w:hAnsi="Arial" w:cs="Arial"/>
      <w:b/>
      <w:color w:val="333399"/>
    </w:rPr>
  </w:style>
  <w:style w:type="paragraph" w:styleId="Footer">
    <w:name w:val="footer"/>
    <w:basedOn w:val="Normal"/>
    <w:link w:val="FooterChar"/>
    <w:uiPriority w:val="99"/>
    <w:rsid w:val="00B759FB"/>
    <w:pPr>
      <w:tabs>
        <w:tab w:val="center" w:pos="4320"/>
        <w:tab w:val="right" w:pos="8640"/>
      </w:tabs>
    </w:pPr>
    <w:rPr>
      <w:lang w:val="x-none"/>
    </w:rPr>
  </w:style>
  <w:style w:type="character" w:styleId="PageNumber">
    <w:name w:val="page number"/>
    <w:basedOn w:val="DefaultParagraphFont"/>
    <w:rsid w:val="00B759FB"/>
  </w:style>
  <w:style w:type="character" w:styleId="Hyperlink">
    <w:name w:val="Hyperlink"/>
    <w:rsid w:val="00D7544C"/>
    <w:rPr>
      <w:color w:val="0000FF"/>
      <w:u w:val="single"/>
    </w:rPr>
  </w:style>
  <w:style w:type="paragraph" w:styleId="Header">
    <w:name w:val="header"/>
    <w:basedOn w:val="Normal"/>
    <w:link w:val="HeaderChar"/>
    <w:rsid w:val="00BE3469"/>
    <w:pPr>
      <w:tabs>
        <w:tab w:val="center" w:pos="4513"/>
        <w:tab w:val="right" w:pos="9026"/>
      </w:tabs>
    </w:pPr>
  </w:style>
  <w:style w:type="character" w:customStyle="1" w:styleId="HeaderChar">
    <w:name w:val="Header Char"/>
    <w:link w:val="Header"/>
    <w:rsid w:val="00BE3469"/>
    <w:rPr>
      <w:sz w:val="24"/>
      <w:szCs w:val="24"/>
      <w:lang w:val="en-US" w:eastAsia="en-US"/>
    </w:rPr>
  </w:style>
  <w:style w:type="character" w:styleId="CommentReference">
    <w:name w:val="annotation reference"/>
    <w:uiPriority w:val="99"/>
    <w:rsid w:val="00F37206"/>
    <w:rPr>
      <w:sz w:val="16"/>
      <w:szCs w:val="16"/>
    </w:rPr>
  </w:style>
  <w:style w:type="paragraph" w:styleId="CommentText">
    <w:name w:val="annotation text"/>
    <w:basedOn w:val="Normal"/>
    <w:link w:val="CommentTextChar"/>
    <w:uiPriority w:val="99"/>
    <w:rsid w:val="00F37206"/>
    <w:rPr>
      <w:sz w:val="20"/>
      <w:szCs w:val="20"/>
    </w:rPr>
  </w:style>
  <w:style w:type="character" w:customStyle="1" w:styleId="CommentTextChar">
    <w:name w:val="Comment Text Char"/>
    <w:link w:val="CommentText"/>
    <w:uiPriority w:val="99"/>
    <w:rsid w:val="00F37206"/>
    <w:rPr>
      <w:lang w:val="en-US" w:eastAsia="en-US"/>
    </w:rPr>
  </w:style>
  <w:style w:type="paragraph" w:styleId="CommentSubject">
    <w:name w:val="annotation subject"/>
    <w:basedOn w:val="CommentText"/>
    <w:next w:val="CommentText"/>
    <w:link w:val="CommentSubjectChar"/>
    <w:rsid w:val="00F37206"/>
    <w:rPr>
      <w:b/>
      <w:bCs/>
    </w:rPr>
  </w:style>
  <w:style w:type="character" w:customStyle="1" w:styleId="CommentSubjectChar">
    <w:name w:val="Comment Subject Char"/>
    <w:link w:val="CommentSubject"/>
    <w:rsid w:val="00F37206"/>
    <w:rPr>
      <w:b/>
      <w:bCs/>
      <w:lang w:val="en-US" w:eastAsia="en-US"/>
    </w:rPr>
  </w:style>
  <w:style w:type="paragraph" w:styleId="BalloonText">
    <w:name w:val="Balloon Text"/>
    <w:basedOn w:val="Normal"/>
    <w:link w:val="BalloonTextChar"/>
    <w:rsid w:val="00F37206"/>
    <w:rPr>
      <w:rFonts w:ascii="Segoe UI" w:hAnsi="Segoe UI"/>
      <w:sz w:val="18"/>
      <w:szCs w:val="18"/>
    </w:rPr>
  </w:style>
  <w:style w:type="character" w:customStyle="1" w:styleId="BalloonTextChar">
    <w:name w:val="Balloon Text Char"/>
    <w:link w:val="BalloonText"/>
    <w:rsid w:val="00F37206"/>
    <w:rPr>
      <w:rFonts w:ascii="Segoe UI" w:hAnsi="Segoe UI" w:cs="Segoe UI"/>
      <w:sz w:val="18"/>
      <w:szCs w:val="18"/>
      <w:lang w:val="en-US" w:eastAsia="en-US"/>
    </w:rPr>
  </w:style>
  <w:style w:type="character" w:customStyle="1" w:styleId="FooterChar">
    <w:name w:val="Footer Char"/>
    <w:link w:val="Footer"/>
    <w:uiPriority w:val="99"/>
    <w:rsid w:val="0002783D"/>
    <w:rPr>
      <w:sz w:val="24"/>
      <w:szCs w:val="24"/>
      <w:lang w:eastAsia="en-US"/>
    </w:rPr>
  </w:style>
  <w:style w:type="paragraph" w:customStyle="1" w:styleId="EndNoteBibliographyTitle">
    <w:name w:val="EndNote Bibliography Title"/>
    <w:basedOn w:val="Normal"/>
    <w:link w:val="EndNoteBibliographyTitleChar"/>
    <w:rsid w:val="00B17D0E"/>
    <w:pPr>
      <w:jc w:val="center"/>
    </w:pPr>
    <w:rPr>
      <w:noProof/>
    </w:rPr>
  </w:style>
  <w:style w:type="character" w:customStyle="1" w:styleId="EndNoteBibliographyTitleChar">
    <w:name w:val="EndNote Bibliography Title Char"/>
    <w:link w:val="EndNoteBibliographyTitle"/>
    <w:rsid w:val="00B17D0E"/>
    <w:rPr>
      <w:noProof/>
      <w:sz w:val="22"/>
      <w:szCs w:val="22"/>
      <w:lang w:eastAsia="ja-JP"/>
    </w:rPr>
  </w:style>
  <w:style w:type="paragraph" w:customStyle="1" w:styleId="EndNoteBibliography">
    <w:name w:val="EndNote Bibliography"/>
    <w:basedOn w:val="Normal"/>
    <w:link w:val="EndNoteBibliographyChar"/>
    <w:rsid w:val="00B17D0E"/>
    <w:pPr>
      <w:spacing w:line="240" w:lineRule="auto"/>
    </w:pPr>
    <w:rPr>
      <w:noProof/>
    </w:rPr>
  </w:style>
  <w:style w:type="character" w:customStyle="1" w:styleId="EndNoteBibliographyChar">
    <w:name w:val="EndNote Bibliography Char"/>
    <w:link w:val="EndNoteBibliography"/>
    <w:rsid w:val="00B17D0E"/>
    <w:rPr>
      <w:noProof/>
      <w:sz w:val="22"/>
      <w:szCs w:val="22"/>
      <w:lang w:eastAsia="ja-JP"/>
    </w:rPr>
  </w:style>
  <w:style w:type="paragraph" w:styleId="ListParagraph">
    <w:name w:val="List Paragraph"/>
    <w:basedOn w:val="Normal"/>
    <w:uiPriority w:val="34"/>
    <w:qFormat/>
    <w:rsid w:val="00A23FE7"/>
    <w:pPr>
      <w:ind w:left="720"/>
      <w:contextualSpacing/>
    </w:pPr>
  </w:style>
  <w:style w:type="paragraph" w:styleId="Revision">
    <w:name w:val="Revision"/>
    <w:hidden/>
    <w:uiPriority w:val="99"/>
    <w:semiHidden/>
    <w:rsid w:val="005F25E4"/>
    <w:pPr>
      <w:spacing w:after="200" w:line="276" w:lineRule="auto"/>
    </w:pPr>
    <w:rPr>
      <w:sz w:val="24"/>
      <w:szCs w:val="24"/>
      <w:lang w:val="en-US" w:eastAsia="en-US"/>
    </w:rPr>
  </w:style>
  <w:style w:type="character" w:styleId="LineNumber">
    <w:name w:val="line number"/>
    <w:rsid w:val="003C6B33"/>
  </w:style>
  <w:style w:type="paragraph" w:styleId="Caption">
    <w:name w:val="caption"/>
    <w:basedOn w:val="Normal"/>
    <w:next w:val="Normal"/>
    <w:uiPriority w:val="35"/>
    <w:unhideWhenUsed/>
    <w:rsid w:val="00A23FE7"/>
    <w:pPr>
      <w:spacing w:line="240" w:lineRule="auto"/>
    </w:pPr>
    <w:rPr>
      <w:b/>
      <w:bCs/>
      <w:color w:val="2DA2BF"/>
      <w:sz w:val="18"/>
      <w:szCs w:val="18"/>
    </w:rPr>
  </w:style>
  <w:style w:type="paragraph" w:styleId="NormalWeb">
    <w:name w:val="Normal (Web)"/>
    <w:basedOn w:val="Normal"/>
    <w:uiPriority w:val="99"/>
    <w:unhideWhenUsed/>
    <w:rsid w:val="00DB1FE9"/>
    <w:pPr>
      <w:spacing w:before="100" w:beforeAutospacing="1" w:after="100" w:afterAutospacing="1"/>
    </w:pPr>
    <w:rPr>
      <w:lang w:eastAsia="en-GB"/>
    </w:rPr>
  </w:style>
  <w:style w:type="character" w:styleId="FollowedHyperlink">
    <w:name w:val="FollowedHyperlink"/>
    <w:rsid w:val="00D22ADC"/>
    <w:rPr>
      <w:color w:val="954F72"/>
      <w:u w:val="single"/>
    </w:rPr>
  </w:style>
  <w:style w:type="character" w:customStyle="1" w:styleId="highlight2">
    <w:name w:val="highlight2"/>
    <w:rsid w:val="00273178"/>
  </w:style>
  <w:style w:type="character" w:styleId="Emphasis">
    <w:name w:val="Emphasis"/>
    <w:uiPriority w:val="20"/>
    <w:qFormat/>
    <w:rsid w:val="00A23FE7"/>
    <w:rPr>
      <w:b/>
      <w:bCs/>
      <w:i/>
      <w:iCs/>
      <w:spacing w:val="10"/>
      <w:bdr w:val="none" w:sz="0" w:space="0" w:color="auto"/>
      <w:shd w:val="clear" w:color="auto" w:fill="auto"/>
    </w:rPr>
  </w:style>
  <w:style w:type="paragraph" w:styleId="FootnoteText">
    <w:name w:val="footnote text"/>
    <w:basedOn w:val="Normal"/>
    <w:link w:val="FootnoteTextChar"/>
    <w:rsid w:val="00AA5AA8"/>
    <w:rPr>
      <w:sz w:val="20"/>
      <w:szCs w:val="20"/>
    </w:rPr>
  </w:style>
  <w:style w:type="character" w:customStyle="1" w:styleId="FootnoteTextChar">
    <w:name w:val="Footnote Text Char"/>
    <w:link w:val="FootnoteText"/>
    <w:rsid w:val="00AA5AA8"/>
    <w:rPr>
      <w:lang w:val="en-US" w:eastAsia="en-US"/>
    </w:rPr>
  </w:style>
  <w:style w:type="character" w:styleId="FootnoteReference">
    <w:name w:val="footnote reference"/>
    <w:rsid w:val="00AA5AA8"/>
    <w:rPr>
      <w:vertAlign w:val="superscript"/>
    </w:rPr>
  </w:style>
  <w:style w:type="paragraph" w:styleId="PlainText">
    <w:name w:val="Plain Text"/>
    <w:basedOn w:val="Normal"/>
    <w:link w:val="PlainTextChar"/>
    <w:uiPriority w:val="99"/>
    <w:unhideWhenUsed/>
    <w:rsid w:val="00AB3F6B"/>
    <w:rPr>
      <w:rFonts w:eastAsia="Calibri"/>
      <w:szCs w:val="21"/>
    </w:rPr>
  </w:style>
  <w:style w:type="character" w:customStyle="1" w:styleId="PlainTextChar">
    <w:name w:val="Plain Text Char"/>
    <w:link w:val="PlainText"/>
    <w:uiPriority w:val="99"/>
    <w:rsid w:val="00AB3F6B"/>
    <w:rPr>
      <w:rFonts w:ascii="Calibri" w:eastAsia="Calibri" w:hAnsi="Calibri"/>
      <w:sz w:val="22"/>
      <w:szCs w:val="21"/>
      <w:lang w:eastAsia="en-US"/>
    </w:rPr>
  </w:style>
  <w:style w:type="character" w:customStyle="1" w:styleId="element-citation">
    <w:name w:val="element-citation"/>
    <w:rsid w:val="00E11178"/>
  </w:style>
  <w:style w:type="character" w:customStyle="1" w:styleId="ref-journal">
    <w:name w:val="ref-journal"/>
    <w:rsid w:val="00E11178"/>
  </w:style>
  <w:style w:type="character" w:customStyle="1" w:styleId="ref-vol">
    <w:name w:val="ref-vol"/>
    <w:rsid w:val="00E11178"/>
  </w:style>
  <w:style w:type="character" w:customStyle="1" w:styleId="apple-converted-space">
    <w:name w:val="apple-converted-space"/>
    <w:rsid w:val="00E634CE"/>
  </w:style>
  <w:style w:type="character" w:customStyle="1" w:styleId="Heading1Char">
    <w:name w:val="Heading 1 Char"/>
    <w:link w:val="Heading1"/>
    <w:uiPriority w:val="9"/>
    <w:rsid w:val="00A23FE7"/>
    <w:rPr>
      <w:rFonts w:ascii="Calibri" w:eastAsia="MS Gothic" w:hAnsi="Calibri" w:cs="Times New Roman"/>
      <w:b/>
      <w:bCs/>
      <w:sz w:val="28"/>
      <w:szCs w:val="28"/>
    </w:rPr>
  </w:style>
  <w:style w:type="character" w:customStyle="1" w:styleId="Heading2Char">
    <w:name w:val="Heading 2 Char"/>
    <w:link w:val="Heading2"/>
    <w:uiPriority w:val="9"/>
    <w:rsid w:val="00A23FE7"/>
    <w:rPr>
      <w:rFonts w:ascii="Calibri" w:eastAsia="MS Gothic" w:hAnsi="Calibri" w:cs="Times New Roman"/>
      <w:b/>
      <w:bCs/>
      <w:sz w:val="24"/>
      <w:szCs w:val="26"/>
    </w:rPr>
  </w:style>
  <w:style w:type="character" w:customStyle="1" w:styleId="Heading3Char">
    <w:name w:val="Heading 3 Char"/>
    <w:link w:val="Heading3"/>
    <w:uiPriority w:val="9"/>
    <w:semiHidden/>
    <w:rsid w:val="00A23FE7"/>
    <w:rPr>
      <w:rFonts w:ascii="Cambria" w:eastAsia="MS Gothic" w:hAnsi="Cambria" w:cs="Times New Roman"/>
      <w:b/>
      <w:bCs/>
    </w:rPr>
  </w:style>
  <w:style w:type="character" w:customStyle="1" w:styleId="Heading4Char">
    <w:name w:val="Heading 4 Char"/>
    <w:link w:val="Heading4"/>
    <w:uiPriority w:val="9"/>
    <w:semiHidden/>
    <w:rsid w:val="00A23FE7"/>
    <w:rPr>
      <w:rFonts w:ascii="Cambria" w:eastAsia="MS Gothic" w:hAnsi="Cambria" w:cs="Times New Roman"/>
      <w:b/>
      <w:bCs/>
      <w:i/>
      <w:iCs/>
    </w:rPr>
  </w:style>
  <w:style w:type="character" w:customStyle="1" w:styleId="Heading5Char">
    <w:name w:val="Heading 5 Char"/>
    <w:link w:val="Heading5"/>
    <w:uiPriority w:val="9"/>
    <w:semiHidden/>
    <w:rsid w:val="00A23FE7"/>
    <w:rPr>
      <w:rFonts w:ascii="Cambria" w:eastAsia="MS Gothic" w:hAnsi="Cambria" w:cs="Times New Roman"/>
      <w:b/>
      <w:bCs/>
      <w:color w:val="7F7F7F"/>
    </w:rPr>
  </w:style>
  <w:style w:type="character" w:customStyle="1" w:styleId="Heading6Char">
    <w:name w:val="Heading 6 Char"/>
    <w:link w:val="Heading6"/>
    <w:uiPriority w:val="9"/>
    <w:semiHidden/>
    <w:rsid w:val="00A23FE7"/>
    <w:rPr>
      <w:rFonts w:ascii="Cambria" w:eastAsia="MS Gothic" w:hAnsi="Cambria" w:cs="Times New Roman"/>
      <w:b/>
      <w:bCs/>
      <w:i/>
      <w:iCs/>
      <w:color w:val="7F7F7F"/>
    </w:rPr>
  </w:style>
  <w:style w:type="character" w:customStyle="1" w:styleId="Heading7Char">
    <w:name w:val="Heading 7 Char"/>
    <w:link w:val="Heading7"/>
    <w:uiPriority w:val="9"/>
    <w:semiHidden/>
    <w:rsid w:val="00A23FE7"/>
    <w:rPr>
      <w:rFonts w:ascii="Cambria" w:eastAsia="MS Gothic" w:hAnsi="Cambria" w:cs="Times New Roman"/>
      <w:i/>
      <w:iCs/>
    </w:rPr>
  </w:style>
  <w:style w:type="character" w:customStyle="1" w:styleId="Heading8Char">
    <w:name w:val="Heading 8 Char"/>
    <w:link w:val="Heading8"/>
    <w:uiPriority w:val="9"/>
    <w:semiHidden/>
    <w:rsid w:val="00A23FE7"/>
    <w:rPr>
      <w:rFonts w:ascii="Cambria" w:eastAsia="MS Gothic" w:hAnsi="Cambria" w:cs="Times New Roman"/>
      <w:sz w:val="20"/>
      <w:szCs w:val="20"/>
    </w:rPr>
  </w:style>
  <w:style w:type="character" w:customStyle="1" w:styleId="Heading9Char">
    <w:name w:val="Heading 9 Char"/>
    <w:link w:val="Heading9"/>
    <w:uiPriority w:val="9"/>
    <w:semiHidden/>
    <w:rsid w:val="00A23FE7"/>
    <w:rPr>
      <w:rFonts w:ascii="Cambria" w:eastAsia="MS Gothic" w:hAnsi="Cambria" w:cs="Times New Roman"/>
      <w:i/>
      <w:iCs/>
      <w:spacing w:val="5"/>
      <w:sz w:val="20"/>
      <w:szCs w:val="20"/>
    </w:rPr>
  </w:style>
  <w:style w:type="paragraph" w:styleId="Title">
    <w:name w:val="Title"/>
    <w:basedOn w:val="Normal"/>
    <w:next w:val="Normal"/>
    <w:link w:val="TitleChar"/>
    <w:uiPriority w:val="10"/>
    <w:qFormat/>
    <w:rsid w:val="00A23FE7"/>
    <w:pPr>
      <w:pBdr>
        <w:bottom w:val="single" w:sz="4" w:space="1" w:color="auto"/>
      </w:pBdr>
      <w:spacing w:line="240" w:lineRule="auto"/>
      <w:contextualSpacing/>
    </w:pPr>
    <w:rPr>
      <w:rFonts w:ascii="Cambria" w:eastAsia="MS Gothic" w:hAnsi="Cambria"/>
      <w:spacing w:val="5"/>
      <w:sz w:val="52"/>
      <w:szCs w:val="52"/>
    </w:rPr>
  </w:style>
  <w:style w:type="character" w:customStyle="1" w:styleId="TitleChar">
    <w:name w:val="Title Char"/>
    <w:link w:val="Title"/>
    <w:uiPriority w:val="10"/>
    <w:rsid w:val="00A23FE7"/>
    <w:rPr>
      <w:rFonts w:ascii="Cambria" w:eastAsia="MS Gothic" w:hAnsi="Cambria" w:cs="Times New Roman"/>
      <w:spacing w:val="5"/>
      <w:sz w:val="52"/>
      <w:szCs w:val="52"/>
    </w:rPr>
  </w:style>
  <w:style w:type="paragraph" w:styleId="Subtitle0">
    <w:name w:val="Subtitle"/>
    <w:basedOn w:val="Normal"/>
    <w:next w:val="Normal"/>
    <w:link w:val="SubtitleChar"/>
    <w:uiPriority w:val="11"/>
    <w:qFormat/>
    <w:rsid w:val="00A23FE7"/>
    <w:pPr>
      <w:spacing w:after="600"/>
    </w:pPr>
    <w:rPr>
      <w:rFonts w:ascii="Cambria" w:eastAsia="MS Gothic" w:hAnsi="Cambria"/>
      <w:i/>
      <w:iCs/>
      <w:spacing w:val="13"/>
      <w:sz w:val="24"/>
      <w:szCs w:val="24"/>
    </w:rPr>
  </w:style>
  <w:style w:type="character" w:customStyle="1" w:styleId="SubtitleChar">
    <w:name w:val="Subtitle Char"/>
    <w:link w:val="Subtitle0"/>
    <w:uiPriority w:val="11"/>
    <w:rsid w:val="00A23FE7"/>
    <w:rPr>
      <w:rFonts w:ascii="Cambria" w:eastAsia="MS Gothic" w:hAnsi="Cambria" w:cs="Times New Roman"/>
      <w:i/>
      <w:iCs/>
      <w:spacing w:val="13"/>
      <w:sz w:val="24"/>
      <w:szCs w:val="24"/>
    </w:rPr>
  </w:style>
  <w:style w:type="character" w:styleId="Strong">
    <w:name w:val="Strong"/>
    <w:uiPriority w:val="22"/>
    <w:qFormat/>
    <w:rsid w:val="00A23FE7"/>
    <w:rPr>
      <w:b/>
      <w:bCs/>
    </w:rPr>
  </w:style>
  <w:style w:type="paragraph" w:styleId="NoSpacing">
    <w:name w:val="No Spacing"/>
    <w:basedOn w:val="Normal"/>
    <w:uiPriority w:val="1"/>
    <w:qFormat/>
    <w:rsid w:val="00A23FE7"/>
    <w:pPr>
      <w:spacing w:after="0" w:line="240" w:lineRule="auto"/>
    </w:pPr>
  </w:style>
  <w:style w:type="paragraph" w:styleId="Quote">
    <w:name w:val="Quote"/>
    <w:basedOn w:val="Normal"/>
    <w:next w:val="Normal"/>
    <w:link w:val="QuoteChar"/>
    <w:uiPriority w:val="29"/>
    <w:qFormat/>
    <w:rsid w:val="00A23FE7"/>
    <w:pPr>
      <w:spacing w:before="200" w:after="0"/>
      <w:ind w:left="360" w:right="360"/>
    </w:pPr>
    <w:rPr>
      <w:i/>
      <w:iCs/>
    </w:rPr>
  </w:style>
  <w:style w:type="character" w:customStyle="1" w:styleId="QuoteChar">
    <w:name w:val="Quote Char"/>
    <w:link w:val="Quote"/>
    <w:uiPriority w:val="29"/>
    <w:rsid w:val="00A23FE7"/>
    <w:rPr>
      <w:i/>
      <w:iCs/>
    </w:rPr>
  </w:style>
  <w:style w:type="paragraph" w:styleId="IntenseQuote">
    <w:name w:val="Intense Quote"/>
    <w:basedOn w:val="Normal"/>
    <w:next w:val="Normal"/>
    <w:link w:val="IntenseQuoteChar"/>
    <w:uiPriority w:val="30"/>
    <w:qFormat/>
    <w:rsid w:val="00A23F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23FE7"/>
    <w:rPr>
      <w:b/>
      <w:bCs/>
      <w:i/>
      <w:iCs/>
    </w:rPr>
  </w:style>
  <w:style w:type="character" w:styleId="SubtleEmphasis">
    <w:name w:val="Subtle Emphasis"/>
    <w:uiPriority w:val="19"/>
    <w:qFormat/>
    <w:rsid w:val="00A23FE7"/>
    <w:rPr>
      <w:i/>
      <w:iCs/>
    </w:rPr>
  </w:style>
  <w:style w:type="character" w:styleId="IntenseEmphasis">
    <w:name w:val="Intense Emphasis"/>
    <w:uiPriority w:val="21"/>
    <w:qFormat/>
    <w:rsid w:val="00A23FE7"/>
    <w:rPr>
      <w:b/>
      <w:bCs/>
    </w:rPr>
  </w:style>
  <w:style w:type="character" w:styleId="SubtleReference">
    <w:name w:val="Subtle Reference"/>
    <w:uiPriority w:val="31"/>
    <w:qFormat/>
    <w:rsid w:val="00A23FE7"/>
    <w:rPr>
      <w:smallCaps/>
    </w:rPr>
  </w:style>
  <w:style w:type="character" w:styleId="IntenseReference">
    <w:name w:val="Intense Reference"/>
    <w:uiPriority w:val="32"/>
    <w:qFormat/>
    <w:rsid w:val="00A23FE7"/>
    <w:rPr>
      <w:smallCaps/>
      <w:spacing w:val="5"/>
      <w:u w:val="single"/>
    </w:rPr>
  </w:style>
  <w:style w:type="character" w:styleId="BookTitle">
    <w:name w:val="Book Title"/>
    <w:uiPriority w:val="33"/>
    <w:qFormat/>
    <w:rsid w:val="00A23FE7"/>
    <w:rPr>
      <w:i/>
      <w:iCs/>
      <w:smallCaps/>
      <w:spacing w:val="5"/>
    </w:rPr>
  </w:style>
  <w:style w:type="paragraph" w:styleId="TOCHeading">
    <w:name w:val="TOC Heading"/>
    <w:basedOn w:val="Heading1"/>
    <w:next w:val="Normal"/>
    <w:uiPriority w:val="39"/>
    <w:semiHidden/>
    <w:unhideWhenUsed/>
    <w:qFormat/>
    <w:rsid w:val="00A23FE7"/>
    <w:pPr>
      <w:outlineLvl w:val="9"/>
    </w:pPr>
    <w:rPr>
      <w:rFonts w:ascii="Cambria" w:hAnsi="Cambria"/>
      <w:lang w:bidi="en-US"/>
    </w:rPr>
  </w:style>
  <w:style w:type="paragraph" w:styleId="BodyTextIndent">
    <w:name w:val="Body Text Indent"/>
    <w:basedOn w:val="Normal"/>
    <w:link w:val="BodyTextIndentChar"/>
    <w:rsid w:val="00506D40"/>
    <w:pPr>
      <w:spacing w:after="120"/>
      <w:ind w:left="283"/>
    </w:pPr>
  </w:style>
  <w:style w:type="character" w:customStyle="1" w:styleId="BodyTextIndentChar">
    <w:name w:val="Body Text Indent Char"/>
    <w:basedOn w:val="DefaultParagraphFont"/>
    <w:link w:val="BodyTextIndent"/>
    <w:rsid w:val="00506D40"/>
    <w:rPr>
      <w:sz w:val="22"/>
      <w:szCs w:val="22"/>
      <w:lang w:eastAsia="ja-JP"/>
    </w:rPr>
  </w:style>
  <w:style w:type="paragraph" w:styleId="BodyText">
    <w:name w:val="Body Text"/>
    <w:basedOn w:val="Normal"/>
    <w:link w:val="BodyTextChar"/>
    <w:rsid w:val="00B00960"/>
    <w:pPr>
      <w:spacing w:after="120"/>
    </w:pPr>
  </w:style>
  <w:style w:type="character" w:customStyle="1" w:styleId="BodyTextChar">
    <w:name w:val="Body Text Char"/>
    <w:basedOn w:val="DefaultParagraphFont"/>
    <w:link w:val="BodyText"/>
    <w:rsid w:val="00B00960"/>
    <w:rPr>
      <w:sz w:val="22"/>
      <w:szCs w:val="22"/>
      <w:lang w:eastAsia="ja-JP"/>
    </w:rPr>
  </w:style>
  <w:style w:type="table" w:customStyle="1" w:styleId="TableGrid1">
    <w:name w:val="Table Grid1"/>
    <w:basedOn w:val="TableNormal"/>
    <w:next w:val="TableGrid"/>
    <w:uiPriority w:val="39"/>
    <w:rsid w:val="00886C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745A"/>
    <w:rPr>
      <w:rFonts w:eastAsia="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6728"/>
    <w:rPr>
      <w:color w:val="605E5C"/>
      <w:shd w:val="clear" w:color="auto" w:fill="E1DFDD"/>
    </w:rPr>
  </w:style>
  <w:style w:type="table" w:customStyle="1" w:styleId="TableGrid3">
    <w:name w:val="Table Grid3"/>
    <w:basedOn w:val="TableNormal"/>
    <w:next w:val="TableGrid"/>
    <w:uiPriority w:val="39"/>
    <w:rsid w:val="008673FB"/>
    <w:rPr>
      <w:rFonts w:eastAsia="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9434">
      <w:bodyDiv w:val="1"/>
      <w:marLeft w:val="0"/>
      <w:marRight w:val="0"/>
      <w:marTop w:val="0"/>
      <w:marBottom w:val="0"/>
      <w:divBdr>
        <w:top w:val="none" w:sz="0" w:space="0" w:color="auto"/>
        <w:left w:val="none" w:sz="0" w:space="0" w:color="auto"/>
        <w:bottom w:val="none" w:sz="0" w:space="0" w:color="auto"/>
        <w:right w:val="none" w:sz="0" w:space="0" w:color="auto"/>
      </w:divBdr>
      <w:divsChild>
        <w:div w:id="102111384">
          <w:marLeft w:val="403"/>
          <w:marRight w:val="0"/>
          <w:marTop w:val="0"/>
          <w:marBottom w:val="360"/>
          <w:divBdr>
            <w:top w:val="none" w:sz="0" w:space="0" w:color="auto"/>
            <w:left w:val="none" w:sz="0" w:space="0" w:color="auto"/>
            <w:bottom w:val="none" w:sz="0" w:space="0" w:color="auto"/>
            <w:right w:val="none" w:sz="0" w:space="0" w:color="auto"/>
          </w:divBdr>
        </w:div>
      </w:divsChild>
    </w:div>
    <w:div w:id="63921785">
      <w:bodyDiv w:val="1"/>
      <w:marLeft w:val="0"/>
      <w:marRight w:val="0"/>
      <w:marTop w:val="0"/>
      <w:marBottom w:val="0"/>
      <w:divBdr>
        <w:top w:val="none" w:sz="0" w:space="0" w:color="auto"/>
        <w:left w:val="none" w:sz="0" w:space="0" w:color="auto"/>
        <w:bottom w:val="none" w:sz="0" w:space="0" w:color="auto"/>
        <w:right w:val="none" w:sz="0" w:space="0" w:color="auto"/>
      </w:divBdr>
    </w:div>
    <w:div w:id="65613573">
      <w:bodyDiv w:val="1"/>
      <w:marLeft w:val="0"/>
      <w:marRight w:val="0"/>
      <w:marTop w:val="0"/>
      <w:marBottom w:val="0"/>
      <w:divBdr>
        <w:top w:val="none" w:sz="0" w:space="0" w:color="auto"/>
        <w:left w:val="none" w:sz="0" w:space="0" w:color="auto"/>
        <w:bottom w:val="none" w:sz="0" w:space="0" w:color="auto"/>
        <w:right w:val="none" w:sz="0" w:space="0" w:color="auto"/>
      </w:divBdr>
    </w:div>
    <w:div w:id="70084258">
      <w:bodyDiv w:val="1"/>
      <w:marLeft w:val="0"/>
      <w:marRight w:val="0"/>
      <w:marTop w:val="0"/>
      <w:marBottom w:val="0"/>
      <w:divBdr>
        <w:top w:val="none" w:sz="0" w:space="0" w:color="auto"/>
        <w:left w:val="none" w:sz="0" w:space="0" w:color="auto"/>
        <w:bottom w:val="none" w:sz="0" w:space="0" w:color="auto"/>
        <w:right w:val="none" w:sz="0" w:space="0" w:color="auto"/>
      </w:divBdr>
      <w:divsChild>
        <w:div w:id="769355213">
          <w:marLeft w:val="907"/>
          <w:marRight w:val="0"/>
          <w:marTop w:val="240"/>
          <w:marBottom w:val="0"/>
          <w:divBdr>
            <w:top w:val="none" w:sz="0" w:space="0" w:color="auto"/>
            <w:left w:val="none" w:sz="0" w:space="0" w:color="auto"/>
            <w:bottom w:val="none" w:sz="0" w:space="0" w:color="auto"/>
            <w:right w:val="none" w:sz="0" w:space="0" w:color="auto"/>
          </w:divBdr>
        </w:div>
      </w:divsChild>
    </w:div>
    <w:div w:id="75171890">
      <w:bodyDiv w:val="1"/>
      <w:marLeft w:val="0"/>
      <w:marRight w:val="0"/>
      <w:marTop w:val="0"/>
      <w:marBottom w:val="0"/>
      <w:divBdr>
        <w:top w:val="none" w:sz="0" w:space="0" w:color="auto"/>
        <w:left w:val="none" w:sz="0" w:space="0" w:color="auto"/>
        <w:bottom w:val="none" w:sz="0" w:space="0" w:color="auto"/>
        <w:right w:val="none" w:sz="0" w:space="0" w:color="auto"/>
      </w:divBdr>
    </w:div>
    <w:div w:id="75904659">
      <w:bodyDiv w:val="1"/>
      <w:marLeft w:val="0"/>
      <w:marRight w:val="0"/>
      <w:marTop w:val="0"/>
      <w:marBottom w:val="0"/>
      <w:divBdr>
        <w:top w:val="none" w:sz="0" w:space="0" w:color="auto"/>
        <w:left w:val="none" w:sz="0" w:space="0" w:color="auto"/>
        <w:bottom w:val="none" w:sz="0" w:space="0" w:color="auto"/>
        <w:right w:val="none" w:sz="0" w:space="0" w:color="auto"/>
      </w:divBdr>
    </w:div>
    <w:div w:id="79063034">
      <w:bodyDiv w:val="1"/>
      <w:marLeft w:val="0"/>
      <w:marRight w:val="0"/>
      <w:marTop w:val="0"/>
      <w:marBottom w:val="0"/>
      <w:divBdr>
        <w:top w:val="none" w:sz="0" w:space="0" w:color="auto"/>
        <w:left w:val="none" w:sz="0" w:space="0" w:color="auto"/>
        <w:bottom w:val="none" w:sz="0" w:space="0" w:color="auto"/>
        <w:right w:val="none" w:sz="0" w:space="0" w:color="auto"/>
      </w:divBdr>
    </w:div>
    <w:div w:id="89007133">
      <w:bodyDiv w:val="1"/>
      <w:marLeft w:val="0"/>
      <w:marRight w:val="0"/>
      <w:marTop w:val="0"/>
      <w:marBottom w:val="0"/>
      <w:divBdr>
        <w:top w:val="none" w:sz="0" w:space="0" w:color="auto"/>
        <w:left w:val="none" w:sz="0" w:space="0" w:color="auto"/>
        <w:bottom w:val="none" w:sz="0" w:space="0" w:color="auto"/>
        <w:right w:val="none" w:sz="0" w:space="0" w:color="auto"/>
      </w:divBdr>
    </w:div>
    <w:div w:id="140461063">
      <w:bodyDiv w:val="1"/>
      <w:marLeft w:val="0"/>
      <w:marRight w:val="0"/>
      <w:marTop w:val="0"/>
      <w:marBottom w:val="0"/>
      <w:divBdr>
        <w:top w:val="none" w:sz="0" w:space="0" w:color="auto"/>
        <w:left w:val="none" w:sz="0" w:space="0" w:color="auto"/>
        <w:bottom w:val="none" w:sz="0" w:space="0" w:color="auto"/>
        <w:right w:val="none" w:sz="0" w:space="0" w:color="auto"/>
      </w:divBdr>
      <w:divsChild>
        <w:div w:id="65957929">
          <w:marLeft w:val="403"/>
          <w:marRight w:val="0"/>
          <w:marTop w:val="0"/>
          <w:marBottom w:val="360"/>
          <w:divBdr>
            <w:top w:val="none" w:sz="0" w:space="0" w:color="auto"/>
            <w:left w:val="none" w:sz="0" w:space="0" w:color="auto"/>
            <w:bottom w:val="none" w:sz="0" w:space="0" w:color="auto"/>
            <w:right w:val="none" w:sz="0" w:space="0" w:color="auto"/>
          </w:divBdr>
        </w:div>
        <w:div w:id="170608518">
          <w:marLeft w:val="403"/>
          <w:marRight w:val="0"/>
          <w:marTop w:val="0"/>
          <w:marBottom w:val="360"/>
          <w:divBdr>
            <w:top w:val="none" w:sz="0" w:space="0" w:color="auto"/>
            <w:left w:val="none" w:sz="0" w:space="0" w:color="auto"/>
            <w:bottom w:val="none" w:sz="0" w:space="0" w:color="auto"/>
            <w:right w:val="none" w:sz="0" w:space="0" w:color="auto"/>
          </w:divBdr>
        </w:div>
        <w:div w:id="308823079">
          <w:marLeft w:val="403"/>
          <w:marRight w:val="0"/>
          <w:marTop w:val="0"/>
          <w:marBottom w:val="360"/>
          <w:divBdr>
            <w:top w:val="none" w:sz="0" w:space="0" w:color="auto"/>
            <w:left w:val="none" w:sz="0" w:space="0" w:color="auto"/>
            <w:bottom w:val="none" w:sz="0" w:space="0" w:color="auto"/>
            <w:right w:val="none" w:sz="0" w:space="0" w:color="auto"/>
          </w:divBdr>
        </w:div>
      </w:divsChild>
    </w:div>
    <w:div w:id="182792414">
      <w:bodyDiv w:val="1"/>
      <w:marLeft w:val="0"/>
      <w:marRight w:val="0"/>
      <w:marTop w:val="0"/>
      <w:marBottom w:val="0"/>
      <w:divBdr>
        <w:top w:val="none" w:sz="0" w:space="0" w:color="auto"/>
        <w:left w:val="none" w:sz="0" w:space="0" w:color="auto"/>
        <w:bottom w:val="none" w:sz="0" w:space="0" w:color="auto"/>
        <w:right w:val="none" w:sz="0" w:space="0" w:color="auto"/>
      </w:divBdr>
    </w:div>
    <w:div w:id="235433739">
      <w:bodyDiv w:val="1"/>
      <w:marLeft w:val="0"/>
      <w:marRight w:val="0"/>
      <w:marTop w:val="0"/>
      <w:marBottom w:val="0"/>
      <w:divBdr>
        <w:top w:val="none" w:sz="0" w:space="0" w:color="auto"/>
        <w:left w:val="none" w:sz="0" w:space="0" w:color="auto"/>
        <w:bottom w:val="none" w:sz="0" w:space="0" w:color="auto"/>
        <w:right w:val="none" w:sz="0" w:space="0" w:color="auto"/>
      </w:divBdr>
    </w:div>
    <w:div w:id="251162851">
      <w:bodyDiv w:val="1"/>
      <w:marLeft w:val="0"/>
      <w:marRight w:val="0"/>
      <w:marTop w:val="0"/>
      <w:marBottom w:val="0"/>
      <w:divBdr>
        <w:top w:val="none" w:sz="0" w:space="0" w:color="auto"/>
        <w:left w:val="none" w:sz="0" w:space="0" w:color="auto"/>
        <w:bottom w:val="none" w:sz="0" w:space="0" w:color="auto"/>
        <w:right w:val="none" w:sz="0" w:space="0" w:color="auto"/>
      </w:divBdr>
      <w:divsChild>
        <w:div w:id="232086603">
          <w:marLeft w:val="374"/>
          <w:marRight w:val="0"/>
          <w:marTop w:val="480"/>
          <w:marBottom w:val="0"/>
          <w:divBdr>
            <w:top w:val="none" w:sz="0" w:space="0" w:color="auto"/>
            <w:left w:val="none" w:sz="0" w:space="0" w:color="auto"/>
            <w:bottom w:val="none" w:sz="0" w:space="0" w:color="auto"/>
            <w:right w:val="none" w:sz="0" w:space="0" w:color="auto"/>
          </w:divBdr>
        </w:div>
        <w:div w:id="505480439">
          <w:marLeft w:val="374"/>
          <w:marRight w:val="0"/>
          <w:marTop w:val="480"/>
          <w:marBottom w:val="0"/>
          <w:divBdr>
            <w:top w:val="none" w:sz="0" w:space="0" w:color="auto"/>
            <w:left w:val="none" w:sz="0" w:space="0" w:color="auto"/>
            <w:bottom w:val="none" w:sz="0" w:space="0" w:color="auto"/>
            <w:right w:val="none" w:sz="0" w:space="0" w:color="auto"/>
          </w:divBdr>
        </w:div>
        <w:div w:id="1359815412">
          <w:marLeft w:val="374"/>
          <w:marRight w:val="0"/>
          <w:marTop w:val="480"/>
          <w:marBottom w:val="0"/>
          <w:divBdr>
            <w:top w:val="none" w:sz="0" w:space="0" w:color="auto"/>
            <w:left w:val="none" w:sz="0" w:space="0" w:color="auto"/>
            <w:bottom w:val="none" w:sz="0" w:space="0" w:color="auto"/>
            <w:right w:val="none" w:sz="0" w:space="0" w:color="auto"/>
          </w:divBdr>
        </w:div>
        <w:div w:id="1930889506">
          <w:marLeft w:val="374"/>
          <w:marRight w:val="0"/>
          <w:marTop w:val="480"/>
          <w:marBottom w:val="0"/>
          <w:divBdr>
            <w:top w:val="none" w:sz="0" w:space="0" w:color="auto"/>
            <w:left w:val="none" w:sz="0" w:space="0" w:color="auto"/>
            <w:bottom w:val="none" w:sz="0" w:space="0" w:color="auto"/>
            <w:right w:val="none" w:sz="0" w:space="0" w:color="auto"/>
          </w:divBdr>
        </w:div>
      </w:divsChild>
    </w:div>
    <w:div w:id="261454756">
      <w:bodyDiv w:val="1"/>
      <w:marLeft w:val="0"/>
      <w:marRight w:val="0"/>
      <w:marTop w:val="0"/>
      <w:marBottom w:val="0"/>
      <w:divBdr>
        <w:top w:val="none" w:sz="0" w:space="0" w:color="auto"/>
        <w:left w:val="none" w:sz="0" w:space="0" w:color="auto"/>
        <w:bottom w:val="none" w:sz="0" w:space="0" w:color="auto"/>
        <w:right w:val="none" w:sz="0" w:space="0" w:color="auto"/>
      </w:divBdr>
    </w:div>
    <w:div w:id="308292348">
      <w:bodyDiv w:val="1"/>
      <w:marLeft w:val="0"/>
      <w:marRight w:val="0"/>
      <w:marTop w:val="0"/>
      <w:marBottom w:val="0"/>
      <w:divBdr>
        <w:top w:val="none" w:sz="0" w:space="0" w:color="auto"/>
        <w:left w:val="none" w:sz="0" w:space="0" w:color="auto"/>
        <w:bottom w:val="none" w:sz="0" w:space="0" w:color="auto"/>
        <w:right w:val="none" w:sz="0" w:space="0" w:color="auto"/>
      </w:divBdr>
      <w:divsChild>
        <w:div w:id="590428281">
          <w:marLeft w:val="1800"/>
          <w:marRight w:val="0"/>
          <w:marTop w:val="91"/>
          <w:marBottom w:val="0"/>
          <w:divBdr>
            <w:top w:val="none" w:sz="0" w:space="0" w:color="auto"/>
            <w:left w:val="none" w:sz="0" w:space="0" w:color="auto"/>
            <w:bottom w:val="none" w:sz="0" w:space="0" w:color="auto"/>
            <w:right w:val="none" w:sz="0" w:space="0" w:color="auto"/>
          </w:divBdr>
        </w:div>
        <w:div w:id="763067942">
          <w:marLeft w:val="1166"/>
          <w:marRight w:val="0"/>
          <w:marTop w:val="106"/>
          <w:marBottom w:val="0"/>
          <w:divBdr>
            <w:top w:val="none" w:sz="0" w:space="0" w:color="auto"/>
            <w:left w:val="none" w:sz="0" w:space="0" w:color="auto"/>
            <w:bottom w:val="none" w:sz="0" w:space="0" w:color="auto"/>
            <w:right w:val="none" w:sz="0" w:space="0" w:color="auto"/>
          </w:divBdr>
        </w:div>
        <w:div w:id="1457869116">
          <w:marLeft w:val="1800"/>
          <w:marRight w:val="0"/>
          <w:marTop w:val="91"/>
          <w:marBottom w:val="0"/>
          <w:divBdr>
            <w:top w:val="none" w:sz="0" w:space="0" w:color="auto"/>
            <w:left w:val="none" w:sz="0" w:space="0" w:color="auto"/>
            <w:bottom w:val="none" w:sz="0" w:space="0" w:color="auto"/>
            <w:right w:val="none" w:sz="0" w:space="0" w:color="auto"/>
          </w:divBdr>
        </w:div>
        <w:div w:id="1683974079">
          <w:marLeft w:val="1166"/>
          <w:marRight w:val="0"/>
          <w:marTop w:val="106"/>
          <w:marBottom w:val="0"/>
          <w:divBdr>
            <w:top w:val="none" w:sz="0" w:space="0" w:color="auto"/>
            <w:left w:val="none" w:sz="0" w:space="0" w:color="auto"/>
            <w:bottom w:val="none" w:sz="0" w:space="0" w:color="auto"/>
            <w:right w:val="none" w:sz="0" w:space="0" w:color="auto"/>
          </w:divBdr>
        </w:div>
        <w:div w:id="1840533202">
          <w:marLeft w:val="1166"/>
          <w:marRight w:val="0"/>
          <w:marTop w:val="106"/>
          <w:marBottom w:val="0"/>
          <w:divBdr>
            <w:top w:val="none" w:sz="0" w:space="0" w:color="auto"/>
            <w:left w:val="none" w:sz="0" w:space="0" w:color="auto"/>
            <w:bottom w:val="none" w:sz="0" w:space="0" w:color="auto"/>
            <w:right w:val="none" w:sz="0" w:space="0" w:color="auto"/>
          </w:divBdr>
        </w:div>
        <w:div w:id="2032031054">
          <w:marLeft w:val="1800"/>
          <w:marRight w:val="0"/>
          <w:marTop w:val="91"/>
          <w:marBottom w:val="0"/>
          <w:divBdr>
            <w:top w:val="none" w:sz="0" w:space="0" w:color="auto"/>
            <w:left w:val="none" w:sz="0" w:space="0" w:color="auto"/>
            <w:bottom w:val="none" w:sz="0" w:space="0" w:color="auto"/>
            <w:right w:val="none" w:sz="0" w:space="0" w:color="auto"/>
          </w:divBdr>
        </w:div>
      </w:divsChild>
    </w:div>
    <w:div w:id="308674617">
      <w:bodyDiv w:val="1"/>
      <w:marLeft w:val="0"/>
      <w:marRight w:val="0"/>
      <w:marTop w:val="0"/>
      <w:marBottom w:val="0"/>
      <w:divBdr>
        <w:top w:val="none" w:sz="0" w:space="0" w:color="auto"/>
        <w:left w:val="none" w:sz="0" w:space="0" w:color="auto"/>
        <w:bottom w:val="none" w:sz="0" w:space="0" w:color="auto"/>
        <w:right w:val="none" w:sz="0" w:space="0" w:color="auto"/>
      </w:divBdr>
    </w:div>
    <w:div w:id="310064564">
      <w:bodyDiv w:val="1"/>
      <w:marLeft w:val="0"/>
      <w:marRight w:val="0"/>
      <w:marTop w:val="0"/>
      <w:marBottom w:val="0"/>
      <w:divBdr>
        <w:top w:val="none" w:sz="0" w:space="0" w:color="auto"/>
        <w:left w:val="none" w:sz="0" w:space="0" w:color="auto"/>
        <w:bottom w:val="none" w:sz="0" w:space="0" w:color="auto"/>
        <w:right w:val="none" w:sz="0" w:space="0" w:color="auto"/>
      </w:divBdr>
    </w:div>
    <w:div w:id="318312156">
      <w:bodyDiv w:val="1"/>
      <w:marLeft w:val="0"/>
      <w:marRight w:val="0"/>
      <w:marTop w:val="0"/>
      <w:marBottom w:val="0"/>
      <w:divBdr>
        <w:top w:val="none" w:sz="0" w:space="0" w:color="auto"/>
        <w:left w:val="none" w:sz="0" w:space="0" w:color="auto"/>
        <w:bottom w:val="none" w:sz="0" w:space="0" w:color="auto"/>
        <w:right w:val="none" w:sz="0" w:space="0" w:color="auto"/>
      </w:divBdr>
    </w:div>
    <w:div w:id="333731394">
      <w:bodyDiv w:val="1"/>
      <w:marLeft w:val="0"/>
      <w:marRight w:val="0"/>
      <w:marTop w:val="0"/>
      <w:marBottom w:val="0"/>
      <w:divBdr>
        <w:top w:val="none" w:sz="0" w:space="0" w:color="auto"/>
        <w:left w:val="none" w:sz="0" w:space="0" w:color="auto"/>
        <w:bottom w:val="none" w:sz="0" w:space="0" w:color="auto"/>
        <w:right w:val="none" w:sz="0" w:space="0" w:color="auto"/>
      </w:divBdr>
    </w:div>
    <w:div w:id="333923499">
      <w:bodyDiv w:val="1"/>
      <w:marLeft w:val="0"/>
      <w:marRight w:val="0"/>
      <w:marTop w:val="0"/>
      <w:marBottom w:val="0"/>
      <w:divBdr>
        <w:top w:val="none" w:sz="0" w:space="0" w:color="auto"/>
        <w:left w:val="none" w:sz="0" w:space="0" w:color="auto"/>
        <w:bottom w:val="none" w:sz="0" w:space="0" w:color="auto"/>
        <w:right w:val="none" w:sz="0" w:space="0" w:color="auto"/>
      </w:divBdr>
    </w:div>
    <w:div w:id="356582948">
      <w:bodyDiv w:val="1"/>
      <w:marLeft w:val="0"/>
      <w:marRight w:val="0"/>
      <w:marTop w:val="0"/>
      <w:marBottom w:val="0"/>
      <w:divBdr>
        <w:top w:val="none" w:sz="0" w:space="0" w:color="auto"/>
        <w:left w:val="none" w:sz="0" w:space="0" w:color="auto"/>
        <w:bottom w:val="none" w:sz="0" w:space="0" w:color="auto"/>
        <w:right w:val="none" w:sz="0" w:space="0" w:color="auto"/>
      </w:divBdr>
    </w:div>
    <w:div w:id="407843591">
      <w:bodyDiv w:val="1"/>
      <w:marLeft w:val="0"/>
      <w:marRight w:val="0"/>
      <w:marTop w:val="0"/>
      <w:marBottom w:val="0"/>
      <w:divBdr>
        <w:top w:val="none" w:sz="0" w:space="0" w:color="auto"/>
        <w:left w:val="none" w:sz="0" w:space="0" w:color="auto"/>
        <w:bottom w:val="none" w:sz="0" w:space="0" w:color="auto"/>
        <w:right w:val="none" w:sz="0" w:space="0" w:color="auto"/>
      </w:divBdr>
      <w:divsChild>
        <w:div w:id="1263489827">
          <w:marLeft w:val="0"/>
          <w:marRight w:val="1"/>
          <w:marTop w:val="0"/>
          <w:marBottom w:val="0"/>
          <w:divBdr>
            <w:top w:val="none" w:sz="0" w:space="0" w:color="auto"/>
            <w:left w:val="none" w:sz="0" w:space="0" w:color="auto"/>
            <w:bottom w:val="none" w:sz="0" w:space="0" w:color="auto"/>
            <w:right w:val="none" w:sz="0" w:space="0" w:color="auto"/>
          </w:divBdr>
          <w:divsChild>
            <w:div w:id="2019766280">
              <w:marLeft w:val="0"/>
              <w:marRight w:val="0"/>
              <w:marTop w:val="0"/>
              <w:marBottom w:val="0"/>
              <w:divBdr>
                <w:top w:val="none" w:sz="0" w:space="0" w:color="auto"/>
                <w:left w:val="none" w:sz="0" w:space="0" w:color="auto"/>
                <w:bottom w:val="none" w:sz="0" w:space="0" w:color="auto"/>
                <w:right w:val="none" w:sz="0" w:space="0" w:color="auto"/>
              </w:divBdr>
              <w:divsChild>
                <w:div w:id="547768291">
                  <w:marLeft w:val="0"/>
                  <w:marRight w:val="1"/>
                  <w:marTop w:val="0"/>
                  <w:marBottom w:val="0"/>
                  <w:divBdr>
                    <w:top w:val="none" w:sz="0" w:space="0" w:color="auto"/>
                    <w:left w:val="none" w:sz="0" w:space="0" w:color="auto"/>
                    <w:bottom w:val="none" w:sz="0" w:space="0" w:color="auto"/>
                    <w:right w:val="none" w:sz="0" w:space="0" w:color="auto"/>
                  </w:divBdr>
                  <w:divsChild>
                    <w:div w:id="328296536">
                      <w:marLeft w:val="0"/>
                      <w:marRight w:val="0"/>
                      <w:marTop w:val="0"/>
                      <w:marBottom w:val="0"/>
                      <w:divBdr>
                        <w:top w:val="none" w:sz="0" w:space="0" w:color="auto"/>
                        <w:left w:val="none" w:sz="0" w:space="0" w:color="auto"/>
                        <w:bottom w:val="none" w:sz="0" w:space="0" w:color="auto"/>
                        <w:right w:val="none" w:sz="0" w:space="0" w:color="auto"/>
                      </w:divBdr>
                      <w:divsChild>
                        <w:div w:id="1525359385">
                          <w:marLeft w:val="0"/>
                          <w:marRight w:val="0"/>
                          <w:marTop w:val="0"/>
                          <w:marBottom w:val="0"/>
                          <w:divBdr>
                            <w:top w:val="none" w:sz="0" w:space="0" w:color="auto"/>
                            <w:left w:val="none" w:sz="0" w:space="0" w:color="auto"/>
                            <w:bottom w:val="none" w:sz="0" w:space="0" w:color="auto"/>
                            <w:right w:val="none" w:sz="0" w:space="0" w:color="auto"/>
                          </w:divBdr>
                          <w:divsChild>
                            <w:div w:id="1713454944">
                              <w:marLeft w:val="0"/>
                              <w:marRight w:val="0"/>
                              <w:marTop w:val="120"/>
                              <w:marBottom w:val="360"/>
                              <w:divBdr>
                                <w:top w:val="none" w:sz="0" w:space="0" w:color="auto"/>
                                <w:left w:val="none" w:sz="0" w:space="0" w:color="auto"/>
                                <w:bottom w:val="none" w:sz="0" w:space="0" w:color="auto"/>
                                <w:right w:val="none" w:sz="0" w:space="0" w:color="auto"/>
                              </w:divBdr>
                              <w:divsChild>
                                <w:div w:id="1931234659">
                                  <w:marLeft w:val="0"/>
                                  <w:marRight w:val="0"/>
                                  <w:marTop w:val="0"/>
                                  <w:marBottom w:val="0"/>
                                  <w:divBdr>
                                    <w:top w:val="none" w:sz="0" w:space="0" w:color="auto"/>
                                    <w:left w:val="none" w:sz="0" w:space="0" w:color="auto"/>
                                    <w:bottom w:val="none" w:sz="0" w:space="0" w:color="auto"/>
                                    <w:right w:val="none" w:sz="0" w:space="0" w:color="auto"/>
                                  </w:divBdr>
                                  <w:divsChild>
                                    <w:div w:id="2069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229910">
      <w:bodyDiv w:val="1"/>
      <w:marLeft w:val="0"/>
      <w:marRight w:val="0"/>
      <w:marTop w:val="0"/>
      <w:marBottom w:val="0"/>
      <w:divBdr>
        <w:top w:val="none" w:sz="0" w:space="0" w:color="auto"/>
        <w:left w:val="none" w:sz="0" w:space="0" w:color="auto"/>
        <w:bottom w:val="none" w:sz="0" w:space="0" w:color="auto"/>
        <w:right w:val="none" w:sz="0" w:space="0" w:color="auto"/>
      </w:divBdr>
    </w:div>
    <w:div w:id="440028880">
      <w:bodyDiv w:val="1"/>
      <w:marLeft w:val="0"/>
      <w:marRight w:val="0"/>
      <w:marTop w:val="0"/>
      <w:marBottom w:val="0"/>
      <w:divBdr>
        <w:top w:val="none" w:sz="0" w:space="0" w:color="auto"/>
        <w:left w:val="none" w:sz="0" w:space="0" w:color="auto"/>
        <w:bottom w:val="none" w:sz="0" w:space="0" w:color="auto"/>
        <w:right w:val="none" w:sz="0" w:space="0" w:color="auto"/>
      </w:divBdr>
      <w:divsChild>
        <w:div w:id="1452820022">
          <w:marLeft w:val="0"/>
          <w:marRight w:val="0"/>
          <w:marTop w:val="0"/>
          <w:marBottom w:val="0"/>
          <w:divBdr>
            <w:top w:val="none" w:sz="0" w:space="0" w:color="auto"/>
            <w:left w:val="none" w:sz="0" w:space="0" w:color="auto"/>
            <w:bottom w:val="none" w:sz="0" w:space="0" w:color="auto"/>
            <w:right w:val="none" w:sz="0" w:space="0" w:color="auto"/>
          </w:divBdr>
          <w:divsChild>
            <w:div w:id="379524453">
              <w:marLeft w:val="0"/>
              <w:marRight w:val="0"/>
              <w:marTop w:val="0"/>
              <w:marBottom w:val="0"/>
              <w:divBdr>
                <w:top w:val="none" w:sz="0" w:space="0" w:color="auto"/>
                <w:left w:val="none" w:sz="0" w:space="0" w:color="auto"/>
                <w:bottom w:val="none" w:sz="0" w:space="0" w:color="auto"/>
                <w:right w:val="none" w:sz="0" w:space="0" w:color="auto"/>
              </w:divBdr>
              <w:divsChild>
                <w:div w:id="1381711763">
                  <w:marLeft w:val="0"/>
                  <w:marRight w:val="0"/>
                  <w:marTop w:val="182"/>
                  <w:marBottom w:val="182"/>
                  <w:divBdr>
                    <w:top w:val="none" w:sz="0" w:space="0" w:color="auto"/>
                    <w:left w:val="none" w:sz="0" w:space="0" w:color="auto"/>
                    <w:bottom w:val="none" w:sz="0" w:space="0" w:color="auto"/>
                    <w:right w:val="none" w:sz="0" w:space="0" w:color="auto"/>
                  </w:divBdr>
                  <w:divsChild>
                    <w:div w:id="2060737384">
                      <w:marLeft w:val="0"/>
                      <w:marRight w:val="0"/>
                      <w:marTop w:val="0"/>
                      <w:marBottom w:val="0"/>
                      <w:divBdr>
                        <w:top w:val="none" w:sz="0" w:space="0" w:color="auto"/>
                        <w:left w:val="none" w:sz="0" w:space="0" w:color="auto"/>
                        <w:bottom w:val="none" w:sz="0" w:space="0" w:color="auto"/>
                        <w:right w:val="none" w:sz="0" w:space="0" w:color="auto"/>
                      </w:divBdr>
                      <w:divsChild>
                        <w:div w:id="793451678">
                          <w:marLeft w:val="0"/>
                          <w:marRight w:val="0"/>
                          <w:marTop w:val="0"/>
                          <w:marBottom w:val="0"/>
                          <w:divBdr>
                            <w:top w:val="none" w:sz="0" w:space="0" w:color="auto"/>
                            <w:left w:val="none" w:sz="0" w:space="0" w:color="auto"/>
                            <w:bottom w:val="none" w:sz="0" w:space="0" w:color="auto"/>
                            <w:right w:val="none" w:sz="0" w:space="0" w:color="auto"/>
                          </w:divBdr>
                        </w:div>
                        <w:div w:id="1511413669">
                          <w:marLeft w:val="0"/>
                          <w:marRight w:val="0"/>
                          <w:marTop w:val="0"/>
                          <w:marBottom w:val="0"/>
                          <w:divBdr>
                            <w:top w:val="none" w:sz="0" w:space="0" w:color="auto"/>
                            <w:left w:val="none" w:sz="0" w:space="0" w:color="auto"/>
                            <w:bottom w:val="none" w:sz="0" w:space="0" w:color="auto"/>
                            <w:right w:val="none" w:sz="0" w:space="0" w:color="auto"/>
                          </w:divBdr>
                        </w:div>
                        <w:div w:id="2145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155634">
      <w:bodyDiv w:val="1"/>
      <w:marLeft w:val="0"/>
      <w:marRight w:val="0"/>
      <w:marTop w:val="0"/>
      <w:marBottom w:val="0"/>
      <w:divBdr>
        <w:top w:val="none" w:sz="0" w:space="0" w:color="auto"/>
        <w:left w:val="none" w:sz="0" w:space="0" w:color="auto"/>
        <w:bottom w:val="none" w:sz="0" w:space="0" w:color="auto"/>
        <w:right w:val="none" w:sz="0" w:space="0" w:color="auto"/>
      </w:divBdr>
    </w:div>
    <w:div w:id="446850636">
      <w:bodyDiv w:val="1"/>
      <w:marLeft w:val="0"/>
      <w:marRight w:val="0"/>
      <w:marTop w:val="0"/>
      <w:marBottom w:val="0"/>
      <w:divBdr>
        <w:top w:val="none" w:sz="0" w:space="0" w:color="auto"/>
        <w:left w:val="none" w:sz="0" w:space="0" w:color="auto"/>
        <w:bottom w:val="none" w:sz="0" w:space="0" w:color="auto"/>
        <w:right w:val="none" w:sz="0" w:space="0" w:color="auto"/>
      </w:divBdr>
    </w:div>
    <w:div w:id="461078007">
      <w:bodyDiv w:val="1"/>
      <w:marLeft w:val="0"/>
      <w:marRight w:val="0"/>
      <w:marTop w:val="0"/>
      <w:marBottom w:val="0"/>
      <w:divBdr>
        <w:top w:val="none" w:sz="0" w:space="0" w:color="auto"/>
        <w:left w:val="none" w:sz="0" w:space="0" w:color="auto"/>
        <w:bottom w:val="none" w:sz="0" w:space="0" w:color="auto"/>
        <w:right w:val="none" w:sz="0" w:space="0" w:color="auto"/>
      </w:divBdr>
    </w:div>
    <w:div w:id="492068483">
      <w:bodyDiv w:val="1"/>
      <w:marLeft w:val="0"/>
      <w:marRight w:val="0"/>
      <w:marTop w:val="0"/>
      <w:marBottom w:val="0"/>
      <w:divBdr>
        <w:top w:val="none" w:sz="0" w:space="0" w:color="auto"/>
        <w:left w:val="none" w:sz="0" w:space="0" w:color="auto"/>
        <w:bottom w:val="none" w:sz="0" w:space="0" w:color="auto"/>
        <w:right w:val="none" w:sz="0" w:space="0" w:color="auto"/>
      </w:divBdr>
    </w:div>
    <w:div w:id="500898705">
      <w:bodyDiv w:val="1"/>
      <w:marLeft w:val="0"/>
      <w:marRight w:val="0"/>
      <w:marTop w:val="0"/>
      <w:marBottom w:val="0"/>
      <w:divBdr>
        <w:top w:val="none" w:sz="0" w:space="0" w:color="auto"/>
        <w:left w:val="none" w:sz="0" w:space="0" w:color="auto"/>
        <w:bottom w:val="none" w:sz="0" w:space="0" w:color="auto"/>
        <w:right w:val="none" w:sz="0" w:space="0" w:color="auto"/>
      </w:divBdr>
      <w:divsChild>
        <w:div w:id="37633012">
          <w:marLeft w:val="0"/>
          <w:marRight w:val="0"/>
          <w:marTop w:val="0"/>
          <w:marBottom w:val="0"/>
          <w:divBdr>
            <w:top w:val="none" w:sz="0" w:space="0" w:color="auto"/>
            <w:left w:val="none" w:sz="0" w:space="0" w:color="auto"/>
            <w:bottom w:val="none" w:sz="0" w:space="0" w:color="auto"/>
            <w:right w:val="none" w:sz="0" w:space="0" w:color="auto"/>
          </w:divBdr>
          <w:divsChild>
            <w:div w:id="1649747494">
              <w:marLeft w:val="0"/>
              <w:marRight w:val="0"/>
              <w:marTop w:val="0"/>
              <w:marBottom w:val="0"/>
              <w:divBdr>
                <w:top w:val="none" w:sz="0" w:space="0" w:color="auto"/>
                <w:left w:val="none" w:sz="0" w:space="0" w:color="auto"/>
                <w:bottom w:val="none" w:sz="0" w:space="0" w:color="auto"/>
                <w:right w:val="none" w:sz="0" w:space="0" w:color="auto"/>
              </w:divBdr>
              <w:divsChild>
                <w:div w:id="378087766">
                  <w:marLeft w:val="0"/>
                  <w:marRight w:val="0"/>
                  <w:marTop w:val="182"/>
                  <w:marBottom w:val="182"/>
                  <w:divBdr>
                    <w:top w:val="none" w:sz="0" w:space="0" w:color="auto"/>
                    <w:left w:val="none" w:sz="0" w:space="0" w:color="auto"/>
                    <w:bottom w:val="none" w:sz="0" w:space="0" w:color="auto"/>
                    <w:right w:val="none" w:sz="0" w:space="0" w:color="auto"/>
                  </w:divBdr>
                  <w:divsChild>
                    <w:div w:id="291249488">
                      <w:marLeft w:val="0"/>
                      <w:marRight w:val="0"/>
                      <w:marTop w:val="0"/>
                      <w:marBottom w:val="0"/>
                      <w:divBdr>
                        <w:top w:val="none" w:sz="0" w:space="0" w:color="auto"/>
                        <w:left w:val="none" w:sz="0" w:space="0" w:color="auto"/>
                        <w:bottom w:val="none" w:sz="0" w:space="0" w:color="auto"/>
                        <w:right w:val="none" w:sz="0" w:space="0" w:color="auto"/>
                      </w:divBdr>
                      <w:divsChild>
                        <w:div w:id="1136214013">
                          <w:marLeft w:val="0"/>
                          <w:marRight w:val="0"/>
                          <w:marTop w:val="0"/>
                          <w:marBottom w:val="0"/>
                          <w:divBdr>
                            <w:top w:val="none" w:sz="0" w:space="0" w:color="auto"/>
                            <w:left w:val="none" w:sz="0" w:space="0" w:color="auto"/>
                            <w:bottom w:val="none" w:sz="0" w:space="0" w:color="auto"/>
                            <w:right w:val="none" w:sz="0" w:space="0" w:color="auto"/>
                          </w:divBdr>
                        </w:div>
                        <w:div w:id="1426606479">
                          <w:marLeft w:val="0"/>
                          <w:marRight w:val="0"/>
                          <w:marTop w:val="0"/>
                          <w:marBottom w:val="0"/>
                          <w:divBdr>
                            <w:top w:val="none" w:sz="0" w:space="0" w:color="auto"/>
                            <w:left w:val="none" w:sz="0" w:space="0" w:color="auto"/>
                            <w:bottom w:val="none" w:sz="0" w:space="0" w:color="auto"/>
                            <w:right w:val="none" w:sz="0" w:space="0" w:color="auto"/>
                          </w:divBdr>
                        </w:div>
                        <w:div w:id="1827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711999">
      <w:bodyDiv w:val="1"/>
      <w:marLeft w:val="0"/>
      <w:marRight w:val="0"/>
      <w:marTop w:val="0"/>
      <w:marBottom w:val="0"/>
      <w:divBdr>
        <w:top w:val="none" w:sz="0" w:space="0" w:color="auto"/>
        <w:left w:val="none" w:sz="0" w:space="0" w:color="auto"/>
        <w:bottom w:val="none" w:sz="0" w:space="0" w:color="auto"/>
        <w:right w:val="none" w:sz="0" w:space="0" w:color="auto"/>
      </w:divBdr>
    </w:div>
    <w:div w:id="526481573">
      <w:bodyDiv w:val="1"/>
      <w:marLeft w:val="0"/>
      <w:marRight w:val="0"/>
      <w:marTop w:val="0"/>
      <w:marBottom w:val="0"/>
      <w:divBdr>
        <w:top w:val="none" w:sz="0" w:space="0" w:color="auto"/>
        <w:left w:val="none" w:sz="0" w:space="0" w:color="auto"/>
        <w:bottom w:val="none" w:sz="0" w:space="0" w:color="auto"/>
        <w:right w:val="none" w:sz="0" w:space="0" w:color="auto"/>
      </w:divBdr>
    </w:div>
    <w:div w:id="550729131">
      <w:bodyDiv w:val="1"/>
      <w:marLeft w:val="0"/>
      <w:marRight w:val="0"/>
      <w:marTop w:val="0"/>
      <w:marBottom w:val="0"/>
      <w:divBdr>
        <w:top w:val="none" w:sz="0" w:space="0" w:color="auto"/>
        <w:left w:val="none" w:sz="0" w:space="0" w:color="auto"/>
        <w:bottom w:val="none" w:sz="0" w:space="0" w:color="auto"/>
        <w:right w:val="none" w:sz="0" w:space="0" w:color="auto"/>
      </w:divBdr>
    </w:div>
    <w:div w:id="558983941">
      <w:bodyDiv w:val="1"/>
      <w:marLeft w:val="0"/>
      <w:marRight w:val="0"/>
      <w:marTop w:val="0"/>
      <w:marBottom w:val="0"/>
      <w:divBdr>
        <w:top w:val="none" w:sz="0" w:space="0" w:color="auto"/>
        <w:left w:val="none" w:sz="0" w:space="0" w:color="auto"/>
        <w:bottom w:val="none" w:sz="0" w:space="0" w:color="auto"/>
        <w:right w:val="none" w:sz="0" w:space="0" w:color="auto"/>
      </w:divBdr>
    </w:div>
    <w:div w:id="572858814">
      <w:bodyDiv w:val="1"/>
      <w:marLeft w:val="0"/>
      <w:marRight w:val="0"/>
      <w:marTop w:val="0"/>
      <w:marBottom w:val="0"/>
      <w:divBdr>
        <w:top w:val="none" w:sz="0" w:space="0" w:color="auto"/>
        <w:left w:val="none" w:sz="0" w:space="0" w:color="auto"/>
        <w:bottom w:val="none" w:sz="0" w:space="0" w:color="auto"/>
        <w:right w:val="none" w:sz="0" w:space="0" w:color="auto"/>
      </w:divBdr>
    </w:div>
    <w:div w:id="588081775">
      <w:bodyDiv w:val="1"/>
      <w:marLeft w:val="0"/>
      <w:marRight w:val="0"/>
      <w:marTop w:val="0"/>
      <w:marBottom w:val="0"/>
      <w:divBdr>
        <w:top w:val="none" w:sz="0" w:space="0" w:color="auto"/>
        <w:left w:val="none" w:sz="0" w:space="0" w:color="auto"/>
        <w:bottom w:val="none" w:sz="0" w:space="0" w:color="auto"/>
        <w:right w:val="none" w:sz="0" w:space="0" w:color="auto"/>
      </w:divBdr>
    </w:div>
    <w:div w:id="590891213">
      <w:bodyDiv w:val="1"/>
      <w:marLeft w:val="0"/>
      <w:marRight w:val="0"/>
      <w:marTop w:val="0"/>
      <w:marBottom w:val="0"/>
      <w:divBdr>
        <w:top w:val="none" w:sz="0" w:space="0" w:color="auto"/>
        <w:left w:val="none" w:sz="0" w:space="0" w:color="auto"/>
        <w:bottom w:val="none" w:sz="0" w:space="0" w:color="auto"/>
        <w:right w:val="none" w:sz="0" w:space="0" w:color="auto"/>
      </w:divBdr>
    </w:div>
    <w:div w:id="605817755">
      <w:bodyDiv w:val="1"/>
      <w:marLeft w:val="0"/>
      <w:marRight w:val="0"/>
      <w:marTop w:val="0"/>
      <w:marBottom w:val="0"/>
      <w:divBdr>
        <w:top w:val="none" w:sz="0" w:space="0" w:color="auto"/>
        <w:left w:val="none" w:sz="0" w:space="0" w:color="auto"/>
        <w:bottom w:val="none" w:sz="0" w:space="0" w:color="auto"/>
        <w:right w:val="none" w:sz="0" w:space="0" w:color="auto"/>
      </w:divBdr>
    </w:div>
    <w:div w:id="609119103">
      <w:bodyDiv w:val="1"/>
      <w:marLeft w:val="0"/>
      <w:marRight w:val="0"/>
      <w:marTop w:val="0"/>
      <w:marBottom w:val="0"/>
      <w:divBdr>
        <w:top w:val="none" w:sz="0" w:space="0" w:color="auto"/>
        <w:left w:val="none" w:sz="0" w:space="0" w:color="auto"/>
        <w:bottom w:val="none" w:sz="0" w:space="0" w:color="auto"/>
        <w:right w:val="none" w:sz="0" w:space="0" w:color="auto"/>
      </w:divBdr>
    </w:div>
    <w:div w:id="615143578">
      <w:bodyDiv w:val="1"/>
      <w:marLeft w:val="0"/>
      <w:marRight w:val="0"/>
      <w:marTop w:val="0"/>
      <w:marBottom w:val="0"/>
      <w:divBdr>
        <w:top w:val="none" w:sz="0" w:space="0" w:color="auto"/>
        <w:left w:val="none" w:sz="0" w:space="0" w:color="auto"/>
        <w:bottom w:val="none" w:sz="0" w:space="0" w:color="auto"/>
        <w:right w:val="none" w:sz="0" w:space="0" w:color="auto"/>
      </w:divBdr>
      <w:divsChild>
        <w:div w:id="1764764416">
          <w:marLeft w:val="547"/>
          <w:marRight w:val="0"/>
          <w:marTop w:val="115"/>
          <w:marBottom w:val="0"/>
          <w:divBdr>
            <w:top w:val="none" w:sz="0" w:space="0" w:color="auto"/>
            <w:left w:val="none" w:sz="0" w:space="0" w:color="auto"/>
            <w:bottom w:val="none" w:sz="0" w:space="0" w:color="auto"/>
            <w:right w:val="none" w:sz="0" w:space="0" w:color="auto"/>
          </w:divBdr>
        </w:div>
      </w:divsChild>
    </w:div>
    <w:div w:id="640157252">
      <w:bodyDiv w:val="1"/>
      <w:marLeft w:val="0"/>
      <w:marRight w:val="0"/>
      <w:marTop w:val="0"/>
      <w:marBottom w:val="0"/>
      <w:divBdr>
        <w:top w:val="none" w:sz="0" w:space="0" w:color="auto"/>
        <w:left w:val="none" w:sz="0" w:space="0" w:color="auto"/>
        <w:bottom w:val="none" w:sz="0" w:space="0" w:color="auto"/>
        <w:right w:val="none" w:sz="0" w:space="0" w:color="auto"/>
      </w:divBdr>
    </w:div>
    <w:div w:id="651643088">
      <w:bodyDiv w:val="1"/>
      <w:marLeft w:val="0"/>
      <w:marRight w:val="0"/>
      <w:marTop w:val="0"/>
      <w:marBottom w:val="0"/>
      <w:divBdr>
        <w:top w:val="none" w:sz="0" w:space="0" w:color="auto"/>
        <w:left w:val="none" w:sz="0" w:space="0" w:color="auto"/>
        <w:bottom w:val="none" w:sz="0" w:space="0" w:color="auto"/>
        <w:right w:val="none" w:sz="0" w:space="0" w:color="auto"/>
      </w:divBdr>
      <w:divsChild>
        <w:div w:id="1460029749">
          <w:marLeft w:val="0"/>
          <w:marRight w:val="0"/>
          <w:marTop w:val="0"/>
          <w:marBottom w:val="0"/>
          <w:divBdr>
            <w:top w:val="none" w:sz="0" w:space="0" w:color="auto"/>
            <w:left w:val="none" w:sz="0" w:space="0" w:color="auto"/>
            <w:bottom w:val="none" w:sz="0" w:space="0" w:color="auto"/>
            <w:right w:val="none" w:sz="0" w:space="0" w:color="auto"/>
          </w:divBdr>
          <w:divsChild>
            <w:div w:id="1629700763">
              <w:marLeft w:val="0"/>
              <w:marRight w:val="0"/>
              <w:marTop w:val="0"/>
              <w:marBottom w:val="0"/>
              <w:divBdr>
                <w:top w:val="none" w:sz="0" w:space="0" w:color="auto"/>
                <w:left w:val="none" w:sz="0" w:space="0" w:color="auto"/>
                <w:bottom w:val="none" w:sz="0" w:space="0" w:color="auto"/>
                <w:right w:val="none" w:sz="0" w:space="0" w:color="auto"/>
              </w:divBdr>
              <w:divsChild>
                <w:div w:id="890505619">
                  <w:marLeft w:val="0"/>
                  <w:marRight w:val="0"/>
                  <w:marTop w:val="182"/>
                  <w:marBottom w:val="182"/>
                  <w:divBdr>
                    <w:top w:val="none" w:sz="0" w:space="0" w:color="auto"/>
                    <w:left w:val="none" w:sz="0" w:space="0" w:color="auto"/>
                    <w:bottom w:val="none" w:sz="0" w:space="0" w:color="auto"/>
                    <w:right w:val="none" w:sz="0" w:space="0" w:color="auto"/>
                  </w:divBdr>
                  <w:divsChild>
                    <w:div w:id="304283983">
                      <w:marLeft w:val="0"/>
                      <w:marRight w:val="0"/>
                      <w:marTop w:val="0"/>
                      <w:marBottom w:val="0"/>
                      <w:divBdr>
                        <w:top w:val="none" w:sz="0" w:space="0" w:color="auto"/>
                        <w:left w:val="none" w:sz="0" w:space="0" w:color="auto"/>
                        <w:bottom w:val="none" w:sz="0" w:space="0" w:color="auto"/>
                        <w:right w:val="none" w:sz="0" w:space="0" w:color="auto"/>
                      </w:divBdr>
                      <w:divsChild>
                        <w:div w:id="30082039">
                          <w:marLeft w:val="0"/>
                          <w:marRight w:val="0"/>
                          <w:marTop w:val="0"/>
                          <w:marBottom w:val="0"/>
                          <w:divBdr>
                            <w:top w:val="none" w:sz="0" w:space="0" w:color="auto"/>
                            <w:left w:val="none" w:sz="0" w:space="0" w:color="auto"/>
                            <w:bottom w:val="none" w:sz="0" w:space="0" w:color="auto"/>
                            <w:right w:val="none" w:sz="0" w:space="0" w:color="auto"/>
                          </w:divBdr>
                        </w:div>
                        <w:div w:id="1124272856">
                          <w:marLeft w:val="0"/>
                          <w:marRight w:val="0"/>
                          <w:marTop w:val="0"/>
                          <w:marBottom w:val="0"/>
                          <w:divBdr>
                            <w:top w:val="none" w:sz="0" w:space="0" w:color="auto"/>
                            <w:left w:val="none" w:sz="0" w:space="0" w:color="auto"/>
                            <w:bottom w:val="none" w:sz="0" w:space="0" w:color="auto"/>
                            <w:right w:val="none" w:sz="0" w:space="0" w:color="auto"/>
                          </w:divBdr>
                        </w:div>
                        <w:div w:id="1328436787">
                          <w:marLeft w:val="0"/>
                          <w:marRight w:val="0"/>
                          <w:marTop w:val="0"/>
                          <w:marBottom w:val="0"/>
                          <w:divBdr>
                            <w:top w:val="none" w:sz="0" w:space="0" w:color="auto"/>
                            <w:left w:val="none" w:sz="0" w:space="0" w:color="auto"/>
                            <w:bottom w:val="none" w:sz="0" w:space="0" w:color="auto"/>
                            <w:right w:val="none" w:sz="0" w:space="0" w:color="auto"/>
                          </w:divBdr>
                        </w:div>
                        <w:div w:id="19335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2706">
      <w:bodyDiv w:val="1"/>
      <w:marLeft w:val="0"/>
      <w:marRight w:val="0"/>
      <w:marTop w:val="0"/>
      <w:marBottom w:val="0"/>
      <w:divBdr>
        <w:top w:val="none" w:sz="0" w:space="0" w:color="auto"/>
        <w:left w:val="none" w:sz="0" w:space="0" w:color="auto"/>
        <w:bottom w:val="none" w:sz="0" w:space="0" w:color="auto"/>
        <w:right w:val="none" w:sz="0" w:space="0" w:color="auto"/>
      </w:divBdr>
    </w:div>
    <w:div w:id="663819449">
      <w:bodyDiv w:val="1"/>
      <w:marLeft w:val="0"/>
      <w:marRight w:val="0"/>
      <w:marTop w:val="0"/>
      <w:marBottom w:val="0"/>
      <w:divBdr>
        <w:top w:val="none" w:sz="0" w:space="0" w:color="auto"/>
        <w:left w:val="none" w:sz="0" w:space="0" w:color="auto"/>
        <w:bottom w:val="none" w:sz="0" w:space="0" w:color="auto"/>
        <w:right w:val="none" w:sz="0" w:space="0" w:color="auto"/>
      </w:divBdr>
    </w:div>
    <w:div w:id="666444492">
      <w:bodyDiv w:val="1"/>
      <w:marLeft w:val="0"/>
      <w:marRight w:val="0"/>
      <w:marTop w:val="0"/>
      <w:marBottom w:val="0"/>
      <w:divBdr>
        <w:top w:val="none" w:sz="0" w:space="0" w:color="auto"/>
        <w:left w:val="none" w:sz="0" w:space="0" w:color="auto"/>
        <w:bottom w:val="none" w:sz="0" w:space="0" w:color="auto"/>
        <w:right w:val="none" w:sz="0" w:space="0" w:color="auto"/>
      </w:divBdr>
    </w:div>
    <w:div w:id="687145937">
      <w:bodyDiv w:val="1"/>
      <w:marLeft w:val="0"/>
      <w:marRight w:val="0"/>
      <w:marTop w:val="0"/>
      <w:marBottom w:val="0"/>
      <w:divBdr>
        <w:top w:val="none" w:sz="0" w:space="0" w:color="auto"/>
        <w:left w:val="none" w:sz="0" w:space="0" w:color="auto"/>
        <w:bottom w:val="none" w:sz="0" w:space="0" w:color="auto"/>
        <w:right w:val="none" w:sz="0" w:space="0" w:color="auto"/>
      </w:divBdr>
      <w:divsChild>
        <w:div w:id="1871717566">
          <w:marLeft w:val="547"/>
          <w:marRight w:val="0"/>
          <w:marTop w:val="86"/>
          <w:marBottom w:val="0"/>
          <w:divBdr>
            <w:top w:val="none" w:sz="0" w:space="0" w:color="auto"/>
            <w:left w:val="none" w:sz="0" w:space="0" w:color="auto"/>
            <w:bottom w:val="none" w:sz="0" w:space="0" w:color="auto"/>
            <w:right w:val="none" w:sz="0" w:space="0" w:color="auto"/>
          </w:divBdr>
        </w:div>
      </w:divsChild>
    </w:div>
    <w:div w:id="699400299">
      <w:bodyDiv w:val="1"/>
      <w:marLeft w:val="0"/>
      <w:marRight w:val="0"/>
      <w:marTop w:val="0"/>
      <w:marBottom w:val="0"/>
      <w:divBdr>
        <w:top w:val="none" w:sz="0" w:space="0" w:color="auto"/>
        <w:left w:val="none" w:sz="0" w:space="0" w:color="auto"/>
        <w:bottom w:val="none" w:sz="0" w:space="0" w:color="auto"/>
        <w:right w:val="none" w:sz="0" w:space="0" w:color="auto"/>
      </w:divBdr>
    </w:div>
    <w:div w:id="713508514">
      <w:bodyDiv w:val="1"/>
      <w:marLeft w:val="0"/>
      <w:marRight w:val="0"/>
      <w:marTop w:val="0"/>
      <w:marBottom w:val="0"/>
      <w:divBdr>
        <w:top w:val="none" w:sz="0" w:space="0" w:color="auto"/>
        <w:left w:val="none" w:sz="0" w:space="0" w:color="auto"/>
        <w:bottom w:val="none" w:sz="0" w:space="0" w:color="auto"/>
        <w:right w:val="none" w:sz="0" w:space="0" w:color="auto"/>
      </w:divBdr>
      <w:divsChild>
        <w:div w:id="1610309660">
          <w:marLeft w:val="274"/>
          <w:marRight w:val="0"/>
          <w:marTop w:val="200"/>
          <w:marBottom w:val="0"/>
          <w:divBdr>
            <w:top w:val="none" w:sz="0" w:space="0" w:color="auto"/>
            <w:left w:val="none" w:sz="0" w:space="0" w:color="auto"/>
            <w:bottom w:val="none" w:sz="0" w:space="0" w:color="auto"/>
            <w:right w:val="none" w:sz="0" w:space="0" w:color="auto"/>
          </w:divBdr>
        </w:div>
      </w:divsChild>
    </w:div>
    <w:div w:id="723410405">
      <w:bodyDiv w:val="1"/>
      <w:marLeft w:val="0"/>
      <w:marRight w:val="0"/>
      <w:marTop w:val="0"/>
      <w:marBottom w:val="0"/>
      <w:divBdr>
        <w:top w:val="none" w:sz="0" w:space="0" w:color="auto"/>
        <w:left w:val="none" w:sz="0" w:space="0" w:color="auto"/>
        <w:bottom w:val="none" w:sz="0" w:space="0" w:color="auto"/>
        <w:right w:val="none" w:sz="0" w:space="0" w:color="auto"/>
      </w:divBdr>
    </w:div>
    <w:div w:id="735322378">
      <w:bodyDiv w:val="1"/>
      <w:marLeft w:val="0"/>
      <w:marRight w:val="0"/>
      <w:marTop w:val="0"/>
      <w:marBottom w:val="0"/>
      <w:divBdr>
        <w:top w:val="none" w:sz="0" w:space="0" w:color="auto"/>
        <w:left w:val="none" w:sz="0" w:space="0" w:color="auto"/>
        <w:bottom w:val="none" w:sz="0" w:space="0" w:color="auto"/>
        <w:right w:val="none" w:sz="0" w:space="0" w:color="auto"/>
      </w:divBdr>
      <w:divsChild>
        <w:div w:id="1447654076">
          <w:marLeft w:val="547"/>
          <w:marRight w:val="0"/>
          <w:marTop w:val="115"/>
          <w:marBottom w:val="0"/>
          <w:divBdr>
            <w:top w:val="none" w:sz="0" w:space="0" w:color="auto"/>
            <w:left w:val="none" w:sz="0" w:space="0" w:color="auto"/>
            <w:bottom w:val="none" w:sz="0" w:space="0" w:color="auto"/>
            <w:right w:val="none" w:sz="0" w:space="0" w:color="auto"/>
          </w:divBdr>
        </w:div>
        <w:div w:id="1540122903">
          <w:marLeft w:val="547"/>
          <w:marRight w:val="0"/>
          <w:marTop w:val="115"/>
          <w:marBottom w:val="0"/>
          <w:divBdr>
            <w:top w:val="none" w:sz="0" w:space="0" w:color="auto"/>
            <w:left w:val="none" w:sz="0" w:space="0" w:color="auto"/>
            <w:bottom w:val="none" w:sz="0" w:space="0" w:color="auto"/>
            <w:right w:val="none" w:sz="0" w:space="0" w:color="auto"/>
          </w:divBdr>
        </w:div>
      </w:divsChild>
    </w:div>
    <w:div w:id="740759765">
      <w:bodyDiv w:val="1"/>
      <w:marLeft w:val="0"/>
      <w:marRight w:val="0"/>
      <w:marTop w:val="0"/>
      <w:marBottom w:val="0"/>
      <w:divBdr>
        <w:top w:val="none" w:sz="0" w:space="0" w:color="auto"/>
        <w:left w:val="none" w:sz="0" w:space="0" w:color="auto"/>
        <w:bottom w:val="none" w:sz="0" w:space="0" w:color="auto"/>
        <w:right w:val="none" w:sz="0" w:space="0" w:color="auto"/>
      </w:divBdr>
    </w:div>
    <w:div w:id="769667747">
      <w:bodyDiv w:val="1"/>
      <w:marLeft w:val="0"/>
      <w:marRight w:val="0"/>
      <w:marTop w:val="0"/>
      <w:marBottom w:val="0"/>
      <w:divBdr>
        <w:top w:val="none" w:sz="0" w:space="0" w:color="auto"/>
        <w:left w:val="none" w:sz="0" w:space="0" w:color="auto"/>
        <w:bottom w:val="none" w:sz="0" w:space="0" w:color="auto"/>
        <w:right w:val="none" w:sz="0" w:space="0" w:color="auto"/>
      </w:divBdr>
    </w:div>
    <w:div w:id="780731622">
      <w:bodyDiv w:val="1"/>
      <w:marLeft w:val="0"/>
      <w:marRight w:val="0"/>
      <w:marTop w:val="0"/>
      <w:marBottom w:val="0"/>
      <w:divBdr>
        <w:top w:val="none" w:sz="0" w:space="0" w:color="auto"/>
        <w:left w:val="none" w:sz="0" w:space="0" w:color="auto"/>
        <w:bottom w:val="none" w:sz="0" w:space="0" w:color="auto"/>
        <w:right w:val="none" w:sz="0" w:space="0" w:color="auto"/>
      </w:divBdr>
    </w:div>
    <w:div w:id="785122611">
      <w:bodyDiv w:val="1"/>
      <w:marLeft w:val="0"/>
      <w:marRight w:val="0"/>
      <w:marTop w:val="0"/>
      <w:marBottom w:val="0"/>
      <w:divBdr>
        <w:top w:val="none" w:sz="0" w:space="0" w:color="auto"/>
        <w:left w:val="none" w:sz="0" w:space="0" w:color="auto"/>
        <w:bottom w:val="none" w:sz="0" w:space="0" w:color="auto"/>
        <w:right w:val="none" w:sz="0" w:space="0" w:color="auto"/>
      </w:divBdr>
    </w:div>
    <w:div w:id="804199429">
      <w:bodyDiv w:val="1"/>
      <w:marLeft w:val="0"/>
      <w:marRight w:val="0"/>
      <w:marTop w:val="0"/>
      <w:marBottom w:val="0"/>
      <w:divBdr>
        <w:top w:val="none" w:sz="0" w:space="0" w:color="auto"/>
        <w:left w:val="none" w:sz="0" w:space="0" w:color="auto"/>
        <w:bottom w:val="none" w:sz="0" w:space="0" w:color="auto"/>
        <w:right w:val="none" w:sz="0" w:space="0" w:color="auto"/>
      </w:divBdr>
    </w:div>
    <w:div w:id="846867477">
      <w:bodyDiv w:val="1"/>
      <w:marLeft w:val="0"/>
      <w:marRight w:val="0"/>
      <w:marTop w:val="0"/>
      <w:marBottom w:val="0"/>
      <w:divBdr>
        <w:top w:val="none" w:sz="0" w:space="0" w:color="auto"/>
        <w:left w:val="none" w:sz="0" w:space="0" w:color="auto"/>
        <w:bottom w:val="none" w:sz="0" w:space="0" w:color="auto"/>
        <w:right w:val="none" w:sz="0" w:space="0" w:color="auto"/>
      </w:divBdr>
    </w:div>
    <w:div w:id="850026076">
      <w:bodyDiv w:val="1"/>
      <w:marLeft w:val="0"/>
      <w:marRight w:val="0"/>
      <w:marTop w:val="0"/>
      <w:marBottom w:val="0"/>
      <w:divBdr>
        <w:top w:val="none" w:sz="0" w:space="0" w:color="auto"/>
        <w:left w:val="none" w:sz="0" w:space="0" w:color="auto"/>
        <w:bottom w:val="none" w:sz="0" w:space="0" w:color="auto"/>
        <w:right w:val="none" w:sz="0" w:space="0" w:color="auto"/>
      </w:divBdr>
    </w:div>
    <w:div w:id="899704883">
      <w:bodyDiv w:val="1"/>
      <w:marLeft w:val="0"/>
      <w:marRight w:val="0"/>
      <w:marTop w:val="0"/>
      <w:marBottom w:val="0"/>
      <w:divBdr>
        <w:top w:val="none" w:sz="0" w:space="0" w:color="auto"/>
        <w:left w:val="none" w:sz="0" w:space="0" w:color="auto"/>
        <w:bottom w:val="none" w:sz="0" w:space="0" w:color="auto"/>
        <w:right w:val="none" w:sz="0" w:space="0" w:color="auto"/>
      </w:divBdr>
      <w:divsChild>
        <w:div w:id="39675760">
          <w:marLeft w:val="374"/>
          <w:marRight w:val="0"/>
          <w:marTop w:val="480"/>
          <w:marBottom w:val="0"/>
          <w:divBdr>
            <w:top w:val="none" w:sz="0" w:space="0" w:color="auto"/>
            <w:left w:val="none" w:sz="0" w:space="0" w:color="auto"/>
            <w:bottom w:val="none" w:sz="0" w:space="0" w:color="auto"/>
            <w:right w:val="none" w:sz="0" w:space="0" w:color="auto"/>
          </w:divBdr>
        </w:div>
        <w:div w:id="440495919">
          <w:marLeft w:val="374"/>
          <w:marRight w:val="0"/>
          <w:marTop w:val="480"/>
          <w:marBottom w:val="0"/>
          <w:divBdr>
            <w:top w:val="none" w:sz="0" w:space="0" w:color="auto"/>
            <w:left w:val="none" w:sz="0" w:space="0" w:color="auto"/>
            <w:bottom w:val="none" w:sz="0" w:space="0" w:color="auto"/>
            <w:right w:val="none" w:sz="0" w:space="0" w:color="auto"/>
          </w:divBdr>
        </w:div>
        <w:div w:id="1386102072">
          <w:marLeft w:val="907"/>
          <w:marRight w:val="0"/>
          <w:marTop w:val="240"/>
          <w:marBottom w:val="0"/>
          <w:divBdr>
            <w:top w:val="none" w:sz="0" w:space="0" w:color="auto"/>
            <w:left w:val="none" w:sz="0" w:space="0" w:color="auto"/>
            <w:bottom w:val="none" w:sz="0" w:space="0" w:color="auto"/>
            <w:right w:val="none" w:sz="0" w:space="0" w:color="auto"/>
          </w:divBdr>
        </w:div>
      </w:divsChild>
    </w:div>
    <w:div w:id="911500789">
      <w:bodyDiv w:val="1"/>
      <w:marLeft w:val="0"/>
      <w:marRight w:val="0"/>
      <w:marTop w:val="0"/>
      <w:marBottom w:val="0"/>
      <w:divBdr>
        <w:top w:val="none" w:sz="0" w:space="0" w:color="auto"/>
        <w:left w:val="none" w:sz="0" w:space="0" w:color="auto"/>
        <w:bottom w:val="none" w:sz="0" w:space="0" w:color="auto"/>
        <w:right w:val="none" w:sz="0" w:space="0" w:color="auto"/>
      </w:divBdr>
    </w:div>
    <w:div w:id="916406695">
      <w:bodyDiv w:val="1"/>
      <w:marLeft w:val="0"/>
      <w:marRight w:val="0"/>
      <w:marTop w:val="0"/>
      <w:marBottom w:val="0"/>
      <w:divBdr>
        <w:top w:val="none" w:sz="0" w:space="0" w:color="auto"/>
        <w:left w:val="none" w:sz="0" w:space="0" w:color="auto"/>
        <w:bottom w:val="none" w:sz="0" w:space="0" w:color="auto"/>
        <w:right w:val="none" w:sz="0" w:space="0" w:color="auto"/>
      </w:divBdr>
      <w:divsChild>
        <w:div w:id="1421558991">
          <w:marLeft w:val="0"/>
          <w:marRight w:val="0"/>
          <w:marTop w:val="0"/>
          <w:marBottom w:val="0"/>
          <w:divBdr>
            <w:top w:val="none" w:sz="0" w:space="0" w:color="auto"/>
            <w:left w:val="none" w:sz="0" w:space="0" w:color="auto"/>
            <w:bottom w:val="none" w:sz="0" w:space="0" w:color="auto"/>
            <w:right w:val="none" w:sz="0" w:space="0" w:color="auto"/>
          </w:divBdr>
        </w:div>
        <w:div w:id="1674066406">
          <w:marLeft w:val="0"/>
          <w:marRight w:val="0"/>
          <w:marTop w:val="0"/>
          <w:marBottom w:val="0"/>
          <w:divBdr>
            <w:top w:val="none" w:sz="0" w:space="0" w:color="auto"/>
            <w:left w:val="none" w:sz="0" w:space="0" w:color="auto"/>
            <w:bottom w:val="none" w:sz="0" w:space="0" w:color="auto"/>
            <w:right w:val="none" w:sz="0" w:space="0" w:color="auto"/>
          </w:divBdr>
        </w:div>
      </w:divsChild>
    </w:div>
    <w:div w:id="928000136">
      <w:bodyDiv w:val="1"/>
      <w:marLeft w:val="0"/>
      <w:marRight w:val="0"/>
      <w:marTop w:val="0"/>
      <w:marBottom w:val="0"/>
      <w:divBdr>
        <w:top w:val="none" w:sz="0" w:space="0" w:color="auto"/>
        <w:left w:val="none" w:sz="0" w:space="0" w:color="auto"/>
        <w:bottom w:val="none" w:sz="0" w:space="0" w:color="auto"/>
        <w:right w:val="none" w:sz="0" w:space="0" w:color="auto"/>
      </w:divBdr>
      <w:divsChild>
        <w:div w:id="815338739">
          <w:marLeft w:val="0"/>
          <w:marRight w:val="0"/>
          <w:marTop w:val="0"/>
          <w:marBottom w:val="120"/>
          <w:divBdr>
            <w:top w:val="none" w:sz="0" w:space="0" w:color="auto"/>
            <w:left w:val="none" w:sz="0" w:space="0" w:color="auto"/>
            <w:bottom w:val="none" w:sz="0" w:space="0" w:color="auto"/>
            <w:right w:val="none" w:sz="0" w:space="0" w:color="auto"/>
          </w:divBdr>
        </w:div>
      </w:divsChild>
    </w:div>
    <w:div w:id="950169688">
      <w:bodyDiv w:val="1"/>
      <w:marLeft w:val="0"/>
      <w:marRight w:val="0"/>
      <w:marTop w:val="0"/>
      <w:marBottom w:val="0"/>
      <w:divBdr>
        <w:top w:val="none" w:sz="0" w:space="0" w:color="auto"/>
        <w:left w:val="none" w:sz="0" w:space="0" w:color="auto"/>
        <w:bottom w:val="none" w:sz="0" w:space="0" w:color="auto"/>
        <w:right w:val="none" w:sz="0" w:space="0" w:color="auto"/>
      </w:divBdr>
    </w:div>
    <w:div w:id="972252347">
      <w:bodyDiv w:val="1"/>
      <w:marLeft w:val="0"/>
      <w:marRight w:val="0"/>
      <w:marTop w:val="0"/>
      <w:marBottom w:val="0"/>
      <w:divBdr>
        <w:top w:val="none" w:sz="0" w:space="0" w:color="auto"/>
        <w:left w:val="none" w:sz="0" w:space="0" w:color="auto"/>
        <w:bottom w:val="none" w:sz="0" w:space="0" w:color="auto"/>
        <w:right w:val="none" w:sz="0" w:space="0" w:color="auto"/>
      </w:divBdr>
    </w:div>
    <w:div w:id="985210197">
      <w:bodyDiv w:val="1"/>
      <w:marLeft w:val="0"/>
      <w:marRight w:val="0"/>
      <w:marTop w:val="0"/>
      <w:marBottom w:val="0"/>
      <w:divBdr>
        <w:top w:val="none" w:sz="0" w:space="0" w:color="auto"/>
        <w:left w:val="none" w:sz="0" w:space="0" w:color="auto"/>
        <w:bottom w:val="none" w:sz="0" w:space="0" w:color="auto"/>
        <w:right w:val="none" w:sz="0" w:space="0" w:color="auto"/>
      </w:divBdr>
    </w:div>
    <w:div w:id="988097998">
      <w:bodyDiv w:val="1"/>
      <w:marLeft w:val="0"/>
      <w:marRight w:val="0"/>
      <w:marTop w:val="0"/>
      <w:marBottom w:val="0"/>
      <w:divBdr>
        <w:top w:val="none" w:sz="0" w:space="0" w:color="auto"/>
        <w:left w:val="none" w:sz="0" w:space="0" w:color="auto"/>
        <w:bottom w:val="none" w:sz="0" w:space="0" w:color="auto"/>
        <w:right w:val="none" w:sz="0" w:space="0" w:color="auto"/>
      </w:divBdr>
    </w:div>
    <w:div w:id="1011369093">
      <w:bodyDiv w:val="1"/>
      <w:marLeft w:val="0"/>
      <w:marRight w:val="0"/>
      <w:marTop w:val="0"/>
      <w:marBottom w:val="0"/>
      <w:divBdr>
        <w:top w:val="none" w:sz="0" w:space="0" w:color="auto"/>
        <w:left w:val="none" w:sz="0" w:space="0" w:color="auto"/>
        <w:bottom w:val="none" w:sz="0" w:space="0" w:color="auto"/>
        <w:right w:val="none" w:sz="0" w:space="0" w:color="auto"/>
      </w:divBdr>
      <w:divsChild>
        <w:div w:id="1701517558">
          <w:marLeft w:val="403"/>
          <w:marRight w:val="0"/>
          <w:marTop w:val="0"/>
          <w:marBottom w:val="0"/>
          <w:divBdr>
            <w:top w:val="none" w:sz="0" w:space="0" w:color="auto"/>
            <w:left w:val="none" w:sz="0" w:space="0" w:color="auto"/>
            <w:bottom w:val="none" w:sz="0" w:space="0" w:color="auto"/>
            <w:right w:val="none" w:sz="0" w:space="0" w:color="auto"/>
          </w:divBdr>
        </w:div>
        <w:div w:id="2117821932">
          <w:marLeft w:val="403"/>
          <w:marRight w:val="0"/>
          <w:marTop w:val="0"/>
          <w:marBottom w:val="0"/>
          <w:divBdr>
            <w:top w:val="none" w:sz="0" w:space="0" w:color="auto"/>
            <w:left w:val="none" w:sz="0" w:space="0" w:color="auto"/>
            <w:bottom w:val="none" w:sz="0" w:space="0" w:color="auto"/>
            <w:right w:val="none" w:sz="0" w:space="0" w:color="auto"/>
          </w:divBdr>
        </w:div>
      </w:divsChild>
    </w:div>
    <w:div w:id="1013990789">
      <w:bodyDiv w:val="1"/>
      <w:marLeft w:val="0"/>
      <w:marRight w:val="0"/>
      <w:marTop w:val="0"/>
      <w:marBottom w:val="0"/>
      <w:divBdr>
        <w:top w:val="none" w:sz="0" w:space="0" w:color="auto"/>
        <w:left w:val="none" w:sz="0" w:space="0" w:color="auto"/>
        <w:bottom w:val="none" w:sz="0" w:space="0" w:color="auto"/>
        <w:right w:val="none" w:sz="0" w:space="0" w:color="auto"/>
      </w:divBdr>
    </w:div>
    <w:div w:id="1066300798">
      <w:bodyDiv w:val="1"/>
      <w:marLeft w:val="0"/>
      <w:marRight w:val="0"/>
      <w:marTop w:val="0"/>
      <w:marBottom w:val="0"/>
      <w:divBdr>
        <w:top w:val="none" w:sz="0" w:space="0" w:color="auto"/>
        <w:left w:val="none" w:sz="0" w:space="0" w:color="auto"/>
        <w:bottom w:val="none" w:sz="0" w:space="0" w:color="auto"/>
        <w:right w:val="none" w:sz="0" w:space="0" w:color="auto"/>
      </w:divBdr>
    </w:div>
    <w:div w:id="1072922433">
      <w:bodyDiv w:val="1"/>
      <w:marLeft w:val="0"/>
      <w:marRight w:val="0"/>
      <w:marTop w:val="0"/>
      <w:marBottom w:val="0"/>
      <w:divBdr>
        <w:top w:val="none" w:sz="0" w:space="0" w:color="auto"/>
        <w:left w:val="none" w:sz="0" w:space="0" w:color="auto"/>
        <w:bottom w:val="none" w:sz="0" w:space="0" w:color="auto"/>
        <w:right w:val="none" w:sz="0" w:space="0" w:color="auto"/>
      </w:divBdr>
    </w:div>
    <w:div w:id="1075277851">
      <w:bodyDiv w:val="1"/>
      <w:marLeft w:val="0"/>
      <w:marRight w:val="0"/>
      <w:marTop w:val="0"/>
      <w:marBottom w:val="0"/>
      <w:divBdr>
        <w:top w:val="none" w:sz="0" w:space="0" w:color="auto"/>
        <w:left w:val="none" w:sz="0" w:space="0" w:color="auto"/>
        <w:bottom w:val="none" w:sz="0" w:space="0" w:color="auto"/>
        <w:right w:val="none" w:sz="0" w:space="0" w:color="auto"/>
      </w:divBdr>
      <w:divsChild>
        <w:div w:id="489710070">
          <w:marLeft w:val="403"/>
          <w:marRight w:val="0"/>
          <w:marTop w:val="0"/>
          <w:marBottom w:val="0"/>
          <w:divBdr>
            <w:top w:val="none" w:sz="0" w:space="0" w:color="auto"/>
            <w:left w:val="none" w:sz="0" w:space="0" w:color="auto"/>
            <w:bottom w:val="none" w:sz="0" w:space="0" w:color="auto"/>
            <w:right w:val="none" w:sz="0" w:space="0" w:color="auto"/>
          </w:divBdr>
        </w:div>
        <w:div w:id="1254705236">
          <w:marLeft w:val="403"/>
          <w:marRight w:val="0"/>
          <w:marTop w:val="0"/>
          <w:marBottom w:val="0"/>
          <w:divBdr>
            <w:top w:val="none" w:sz="0" w:space="0" w:color="auto"/>
            <w:left w:val="none" w:sz="0" w:space="0" w:color="auto"/>
            <w:bottom w:val="none" w:sz="0" w:space="0" w:color="auto"/>
            <w:right w:val="none" w:sz="0" w:space="0" w:color="auto"/>
          </w:divBdr>
        </w:div>
        <w:div w:id="1590506864">
          <w:marLeft w:val="403"/>
          <w:marRight w:val="0"/>
          <w:marTop w:val="0"/>
          <w:marBottom w:val="0"/>
          <w:divBdr>
            <w:top w:val="none" w:sz="0" w:space="0" w:color="auto"/>
            <w:left w:val="none" w:sz="0" w:space="0" w:color="auto"/>
            <w:bottom w:val="none" w:sz="0" w:space="0" w:color="auto"/>
            <w:right w:val="none" w:sz="0" w:space="0" w:color="auto"/>
          </w:divBdr>
        </w:div>
      </w:divsChild>
    </w:div>
    <w:div w:id="1100838510">
      <w:bodyDiv w:val="1"/>
      <w:marLeft w:val="0"/>
      <w:marRight w:val="0"/>
      <w:marTop w:val="0"/>
      <w:marBottom w:val="0"/>
      <w:divBdr>
        <w:top w:val="none" w:sz="0" w:space="0" w:color="auto"/>
        <w:left w:val="none" w:sz="0" w:space="0" w:color="auto"/>
        <w:bottom w:val="none" w:sz="0" w:space="0" w:color="auto"/>
        <w:right w:val="none" w:sz="0" w:space="0" w:color="auto"/>
      </w:divBdr>
    </w:div>
    <w:div w:id="1103841776">
      <w:bodyDiv w:val="1"/>
      <w:marLeft w:val="0"/>
      <w:marRight w:val="0"/>
      <w:marTop w:val="0"/>
      <w:marBottom w:val="0"/>
      <w:divBdr>
        <w:top w:val="none" w:sz="0" w:space="0" w:color="auto"/>
        <w:left w:val="none" w:sz="0" w:space="0" w:color="auto"/>
        <w:bottom w:val="none" w:sz="0" w:space="0" w:color="auto"/>
        <w:right w:val="none" w:sz="0" w:space="0" w:color="auto"/>
      </w:divBdr>
      <w:divsChild>
        <w:div w:id="504512802">
          <w:marLeft w:val="907"/>
          <w:marRight w:val="0"/>
          <w:marTop w:val="240"/>
          <w:marBottom w:val="0"/>
          <w:divBdr>
            <w:top w:val="none" w:sz="0" w:space="0" w:color="auto"/>
            <w:left w:val="none" w:sz="0" w:space="0" w:color="auto"/>
            <w:bottom w:val="none" w:sz="0" w:space="0" w:color="auto"/>
            <w:right w:val="none" w:sz="0" w:space="0" w:color="auto"/>
          </w:divBdr>
        </w:div>
      </w:divsChild>
    </w:div>
    <w:div w:id="1109815202">
      <w:bodyDiv w:val="1"/>
      <w:marLeft w:val="0"/>
      <w:marRight w:val="0"/>
      <w:marTop w:val="0"/>
      <w:marBottom w:val="0"/>
      <w:divBdr>
        <w:top w:val="none" w:sz="0" w:space="0" w:color="auto"/>
        <w:left w:val="none" w:sz="0" w:space="0" w:color="auto"/>
        <w:bottom w:val="none" w:sz="0" w:space="0" w:color="auto"/>
        <w:right w:val="none" w:sz="0" w:space="0" w:color="auto"/>
      </w:divBdr>
    </w:div>
    <w:div w:id="1152521676">
      <w:bodyDiv w:val="1"/>
      <w:marLeft w:val="0"/>
      <w:marRight w:val="0"/>
      <w:marTop w:val="0"/>
      <w:marBottom w:val="0"/>
      <w:divBdr>
        <w:top w:val="none" w:sz="0" w:space="0" w:color="auto"/>
        <w:left w:val="none" w:sz="0" w:space="0" w:color="auto"/>
        <w:bottom w:val="none" w:sz="0" w:space="0" w:color="auto"/>
        <w:right w:val="none" w:sz="0" w:space="0" w:color="auto"/>
      </w:divBdr>
    </w:div>
    <w:div w:id="1206873339">
      <w:bodyDiv w:val="1"/>
      <w:marLeft w:val="0"/>
      <w:marRight w:val="0"/>
      <w:marTop w:val="0"/>
      <w:marBottom w:val="0"/>
      <w:divBdr>
        <w:top w:val="none" w:sz="0" w:space="0" w:color="auto"/>
        <w:left w:val="none" w:sz="0" w:space="0" w:color="auto"/>
        <w:bottom w:val="none" w:sz="0" w:space="0" w:color="auto"/>
        <w:right w:val="none" w:sz="0" w:space="0" w:color="auto"/>
      </w:divBdr>
    </w:div>
    <w:div w:id="1208757050">
      <w:bodyDiv w:val="1"/>
      <w:marLeft w:val="0"/>
      <w:marRight w:val="0"/>
      <w:marTop w:val="0"/>
      <w:marBottom w:val="0"/>
      <w:divBdr>
        <w:top w:val="none" w:sz="0" w:space="0" w:color="auto"/>
        <w:left w:val="none" w:sz="0" w:space="0" w:color="auto"/>
        <w:bottom w:val="none" w:sz="0" w:space="0" w:color="auto"/>
        <w:right w:val="none" w:sz="0" w:space="0" w:color="auto"/>
      </w:divBdr>
      <w:divsChild>
        <w:div w:id="1749378811">
          <w:marLeft w:val="547"/>
          <w:marRight w:val="0"/>
          <w:marTop w:val="86"/>
          <w:marBottom w:val="0"/>
          <w:divBdr>
            <w:top w:val="none" w:sz="0" w:space="0" w:color="auto"/>
            <w:left w:val="none" w:sz="0" w:space="0" w:color="auto"/>
            <w:bottom w:val="none" w:sz="0" w:space="0" w:color="auto"/>
            <w:right w:val="none" w:sz="0" w:space="0" w:color="auto"/>
          </w:divBdr>
        </w:div>
      </w:divsChild>
    </w:div>
    <w:div w:id="1231386866">
      <w:bodyDiv w:val="1"/>
      <w:marLeft w:val="0"/>
      <w:marRight w:val="0"/>
      <w:marTop w:val="0"/>
      <w:marBottom w:val="0"/>
      <w:divBdr>
        <w:top w:val="none" w:sz="0" w:space="0" w:color="auto"/>
        <w:left w:val="none" w:sz="0" w:space="0" w:color="auto"/>
        <w:bottom w:val="none" w:sz="0" w:space="0" w:color="auto"/>
        <w:right w:val="none" w:sz="0" w:space="0" w:color="auto"/>
      </w:divBdr>
    </w:div>
    <w:div w:id="1246836435">
      <w:bodyDiv w:val="1"/>
      <w:marLeft w:val="0"/>
      <w:marRight w:val="0"/>
      <w:marTop w:val="0"/>
      <w:marBottom w:val="0"/>
      <w:divBdr>
        <w:top w:val="none" w:sz="0" w:space="0" w:color="auto"/>
        <w:left w:val="none" w:sz="0" w:space="0" w:color="auto"/>
        <w:bottom w:val="none" w:sz="0" w:space="0" w:color="auto"/>
        <w:right w:val="none" w:sz="0" w:space="0" w:color="auto"/>
      </w:divBdr>
    </w:div>
    <w:div w:id="1264652358">
      <w:bodyDiv w:val="1"/>
      <w:marLeft w:val="0"/>
      <w:marRight w:val="0"/>
      <w:marTop w:val="0"/>
      <w:marBottom w:val="0"/>
      <w:divBdr>
        <w:top w:val="none" w:sz="0" w:space="0" w:color="auto"/>
        <w:left w:val="none" w:sz="0" w:space="0" w:color="auto"/>
        <w:bottom w:val="none" w:sz="0" w:space="0" w:color="auto"/>
        <w:right w:val="none" w:sz="0" w:space="0" w:color="auto"/>
      </w:divBdr>
    </w:div>
    <w:div w:id="1293562446">
      <w:bodyDiv w:val="1"/>
      <w:marLeft w:val="0"/>
      <w:marRight w:val="0"/>
      <w:marTop w:val="0"/>
      <w:marBottom w:val="0"/>
      <w:divBdr>
        <w:top w:val="none" w:sz="0" w:space="0" w:color="auto"/>
        <w:left w:val="none" w:sz="0" w:space="0" w:color="auto"/>
        <w:bottom w:val="none" w:sz="0" w:space="0" w:color="auto"/>
        <w:right w:val="none" w:sz="0" w:space="0" w:color="auto"/>
      </w:divBdr>
      <w:divsChild>
        <w:div w:id="740951065">
          <w:marLeft w:val="274"/>
          <w:marRight w:val="0"/>
          <w:marTop w:val="86"/>
          <w:marBottom w:val="0"/>
          <w:divBdr>
            <w:top w:val="none" w:sz="0" w:space="0" w:color="auto"/>
            <w:left w:val="none" w:sz="0" w:space="0" w:color="auto"/>
            <w:bottom w:val="none" w:sz="0" w:space="0" w:color="auto"/>
            <w:right w:val="none" w:sz="0" w:space="0" w:color="auto"/>
          </w:divBdr>
        </w:div>
      </w:divsChild>
    </w:div>
    <w:div w:id="1319918453">
      <w:bodyDiv w:val="1"/>
      <w:marLeft w:val="0"/>
      <w:marRight w:val="0"/>
      <w:marTop w:val="0"/>
      <w:marBottom w:val="0"/>
      <w:divBdr>
        <w:top w:val="none" w:sz="0" w:space="0" w:color="auto"/>
        <w:left w:val="none" w:sz="0" w:space="0" w:color="auto"/>
        <w:bottom w:val="none" w:sz="0" w:space="0" w:color="auto"/>
        <w:right w:val="none" w:sz="0" w:space="0" w:color="auto"/>
      </w:divBdr>
    </w:div>
    <w:div w:id="1324891806">
      <w:bodyDiv w:val="1"/>
      <w:marLeft w:val="0"/>
      <w:marRight w:val="0"/>
      <w:marTop w:val="0"/>
      <w:marBottom w:val="0"/>
      <w:divBdr>
        <w:top w:val="none" w:sz="0" w:space="0" w:color="auto"/>
        <w:left w:val="none" w:sz="0" w:space="0" w:color="auto"/>
        <w:bottom w:val="none" w:sz="0" w:space="0" w:color="auto"/>
        <w:right w:val="none" w:sz="0" w:space="0" w:color="auto"/>
      </w:divBdr>
    </w:div>
    <w:div w:id="1335454915">
      <w:bodyDiv w:val="1"/>
      <w:marLeft w:val="0"/>
      <w:marRight w:val="0"/>
      <w:marTop w:val="0"/>
      <w:marBottom w:val="0"/>
      <w:divBdr>
        <w:top w:val="none" w:sz="0" w:space="0" w:color="auto"/>
        <w:left w:val="none" w:sz="0" w:space="0" w:color="auto"/>
        <w:bottom w:val="none" w:sz="0" w:space="0" w:color="auto"/>
        <w:right w:val="none" w:sz="0" w:space="0" w:color="auto"/>
      </w:divBdr>
      <w:divsChild>
        <w:div w:id="347760457">
          <w:marLeft w:val="720"/>
          <w:marRight w:val="0"/>
          <w:marTop w:val="216"/>
          <w:marBottom w:val="0"/>
          <w:divBdr>
            <w:top w:val="none" w:sz="0" w:space="0" w:color="auto"/>
            <w:left w:val="none" w:sz="0" w:space="0" w:color="auto"/>
            <w:bottom w:val="none" w:sz="0" w:space="0" w:color="auto"/>
            <w:right w:val="none" w:sz="0" w:space="0" w:color="auto"/>
          </w:divBdr>
        </w:div>
        <w:div w:id="784614889">
          <w:marLeft w:val="720"/>
          <w:marRight w:val="0"/>
          <w:marTop w:val="216"/>
          <w:marBottom w:val="0"/>
          <w:divBdr>
            <w:top w:val="none" w:sz="0" w:space="0" w:color="auto"/>
            <w:left w:val="none" w:sz="0" w:space="0" w:color="auto"/>
            <w:bottom w:val="none" w:sz="0" w:space="0" w:color="auto"/>
            <w:right w:val="none" w:sz="0" w:space="0" w:color="auto"/>
          </w:divBdr>
        </w:div>
        <w:div w:id="1036738842">
          <w:marLeft w:val="720"/>
          <w:marRight w:val="0"/>
          <w:marTop w:val="216"/>
          <w:marBottom w:val="0"/>
          <w:divBdr>
            <w:top w:val="none" w:sz="0" w:space="0" w:color="auto"/>
            <w:left w:val="none" w:sz="0" w:space="0" w:color="auto"/>
            <w:bottom w:val="none" w:sz="0" w:space="0" w:color="auto"/>
            <w:right w:val="none" w:sz="0" w:space="0" w:color="auto"/>
          </w:divBdr>
        </w:div>
        <w:div w:id="1608082202">
          <w:marLeft w:val="720"/>
          <w:marRight w:val="0"/>
          <w:marTop w:val="216"/>
          <w:marBottom w:val="0"/>
          <w:divBdr>
            <w:top w:val="none" w:sz="0" w:space="0" w:color="auto"/>
            <w:left w:val="none" w:sz="0" w:space="0" w:color="auto"/>
            <w:bottom w:val="none" w:sz="0" w:space="0" w:color="auto"/>
            <w:right w:val="none" w:sz="0" w:space="0" w:color="auto"/>
          </w:divBdr>
        </w:div>
        <w:div w:id="1838764363">
          <w:marLeft w:val="720"/>
          <w:marRight w:val="0"/>
          <w:marTop w:val="216"/>
          <w:marBottom w:val="0"/>
          <w:divBdr>
            <w:top w:val="none" w:sz="0" w:space="0" w:color="auto"/>
            <w:left w:val="none" w:sz="0" w:space="0" w:color="auto"/>
            <w:bottom w:val="none" w:sz="0" w:space="0" w:color="auto"/>
            <w:right w:val="none" w:sz="0" w:space="0" w:color="auto"/>
          </w:divBdr>
        </w:div>
        <w:div w:id="2143383003">
          <w:marLeft w:val="720"/>
          <w:marRight w:val="0"/>
          <w:marTop w:val="216"/>
          <w:marBottom w:val="0"/>
          <w:divBdr>
            <w:top w:val="none" w:sz="0" w:space="0" w:color="auto"/>
            <w:left w:val="none" w:sz="0" w:space="0" w:color="auto"/>
            <w:bottom w:val="none" w:sz="0" w:space="0" w:color="auto"/>
            <w:right w:val="none" w:sz="0" w:space="0" w:color="auto"/>
          </w:divBdr>
        </w:div>
      </w:divsChild>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359356915">
      <w:bodyDiv w:val="1"/>
      <w:marLeft w:val="0"/>
      <w:marRight w:val="0"/>
      <w:marTop w:val="0"/>
      <w:marBottom w:val="0"/>
      <w:divBdr>
        <w:top w:val="none" w:sz="0" w:space="0" w:color="auto"/>
        <w:left w:val="none" w:sz="0" w:space="0" w:color="auto"/>
        <w:bottom w:val="none" w:sz="0" w:space="0" w:color="auto"/>
        <w:right w:val="none" w:sz="0" w:space="0" w:color="auto"/>
      </w:divBdr>
    </w:div>
    <w:div w:id="1369142705">
      <w:bodyDiv w:val="1"/>
      <w:marLeft w:val="0"/>
      <w:marRight w:val="0"/>
      <w:marTop w:val="0"/>
      <w:marBottom w:val="0"/>
      <w:divBdr>
        <w:top w:val="none" w:sz="0" w:space="0" w:color="auto"/>
        <w:left w:val="none" w:sz="0" w:space="0" w:color="auto"/>
        <w:bottom w:val="none" w:sz="0" w:space="0" w:color="auto"/>
        <w:right w:val="none" w:sz="0" w:space="0" w:color="auto"/>
      </w:divBdr>
    </w:div>
    <w:div w:id="1401169990">
      <w:bodyDiv w:val="1"/>
      <w:marLeft w:val="0"/>
      <w:marRight w:val="0"/>
      <w:marTop w:val="0"/>
      <w:marBottom w:val="0"/>
      <w:divBdr>
        <w:top w:val="none" w:sz="0" w:space="0" w:color="auto"/>
        <w:left w:val="none" w:sz="0" w:space="0" w:color="auto"/>
        <w:bottom w:val="none" w:sz="0" w:space="0" w:color="auto"/>
        <w:right w:val="none" w:sz="0" w:space="0" w:color="auto"/>
      </w:divBdr>
    </w:div>
    <w:div w:id="1406494237">
      <w:bodyDiv w:val="1"/>
      <w:marLeft w:val="0"/>
      <w:marRight w:val="0"/>
      <w:marTop w:val="0"/>
      <w:marBottom w:val="0"/>
      <w:divBdr>
        <w:top w:val="none" w:sz="0" w:space="0" w:color="auto"/>
        <w:left w:val="none" w:sz="0" w:space="0" w:color="auto"/>
        <w:bottom w:val="none" w:sz="0" w:space="0" w:color="auto"/>
        <w:right w:val="none" w:sz="0" w:space="0" w:color="auto"/>
      </w:divBdr>
    </w:div>
    <w:div w:id="1410690026">
      <w:bodyDiv w:val="1"/>
      <w:marLeft w:val="0"/>
      <w:marRight w:val="0"/>
      <w:marTop w:val="0"/>
      <w:marBottom w:val="0"/>
      <w:divBdr>
        <w:top w:val="none" w:sz="0" w:space="0" w:color="auto"/>
        <w:left w:val="none" w:sz="0" w:space="0" w:color="auto"/>
        <w:bottom w:val="none" w:sz="0" w:space="0" w:color="auto"/>
        <w:right w:val="none" w:sz="0" w:space="0" w:color="auto"/>
      </w:divBdr>
    </w:div>
    <w:div w:id="1420560085">
      <w:bodyDiv w:val="1"/>
      <w:marLeft w:val="0"/>
      <w:marRight w:val="0"/>
      <w:marTop w:val="0"/>
      <w:marBottom w:val="0"/>
      <w:divBdr>
        <w:top w:val="none" w:sz="0" w:space="0" w:color="auto"/>
        <w:left w:val="none" w:sz="0" w:space="0" w:color="auto"/>
        <w:bottom w:val="none" w:sz="0" w:space="0" w:color="auto"/>
        <w:right w:val="none" w:sz="0" w:space="0" w:color="auto"/>
      </w:divBdr>
    </w:div>
    <w:div w:id="1420718163">
      <w:bodyDiv w:val="1"/>
      <w:marLeft w:val="0"/>
      <w:marRight w:val="0"/>
      <w:marTop w:val="0"/>
      <w:marBottom w:val="0"/>
      <w:divBdr>
        <w:top w:val="none" w:sz="0" w:space="0" w:color="auto"/>
        <w:left w:val="none" w:sz="0" w:space="0" w:color="auto"/>
        <w:bottom w:val="none" w:sz="0" w:space="0" w:color="auto"/>
        <w:right w:val="none" w:sz="0" w:space="0" w:color="auto"/>
      </w:divBdr>
    </w:div>
    <w:div w:id="1451170346">
      <w:bodyDiv w:val="1"/>
      <w:marLeft w:val="0"/>
      <w:marRight w:val="0"/>
      <w:marTop w:val="0"/>
      <w:marBottom w:val="0"/>
      <w:divBdr>
        <w:top w:val="none" w:sz="0" w:space="0" w:color="auto"/>
        <w:left w:val="none" w:sz="0" w:space="0" w:color="auto"/>
        <w:bottom w:val="none" w:sz="0" w:space="0" w:color="auto"/>
        <w:right w:val="none" w:sz="0" w:space="0" w:color="auto"/>
      </w:divBdr>
    </w:div>
    <w:div w:id="1455520145">
      <w:bodyDiv w:val="1"/>
      <w:marLeft w:val="0"/>
      <w:marRight w:val="0"/>
      <w:marTop w:val="0"/>
      <w:marBottom w:val="0"/>
      <w:divBdr>
        <w:top w:val="none" w:sz="0" w:space="0" w:color="auto"/>
        <w:left w:val="none" w:sz="0" w:space="0" w:color="auto"/>
        <w:bottom w:val="none" w:sz="0" w:space="0" w:color="auto"/>
        <w:right w:val="none" w:sz="0" w:space="0" w:color="auto"/>
      </w:divBdr>
    </w:div>
    <w:div w:id="1491214405">
      <w:bodyDiv w:val="1"/>
      <w:marLeft w:val="0"/>
      <w:marRight w:val="0"/>
      <w:marTop w:val="0"/>
      <w:marBottom w:val="0"/>
      <w:divBdr>
        <w:top w:val="none" w:sz="0" w:space="0" w:color="auto"/>
        <w:left w:val="none" w:sz="0" w:space="0" w:color="auto"/>
        <w:bottom w:val="none" w:sz="0" w:space="0" w:color="auto"/>
        <w:right w:val="none" w:sz="0" w:space="0" w:color="auto"/>
      </w:divBdr>
    </w:div>
    <w:div w:id="1495297902">
      <w:bodyDiv w:val="1"/>
      <w:marLeft w:val="0"/>
      <w:marRight w:val="0"/>
      <w:marTop w:val="0"/>
      <w:marBottom w:val="0"/>
      <w:divBdr>
        <w:top w:val="none" w:sz="0" w:space="0" w:color="auto"/>
        <w:left w:val="none" w:sz="0" w:space="0" w:color="auto"/>
        <w:bottom w:val="none" w:sz="0" w:space="0" w:color="auto"/>
        <w:right w:val="none" w:sz="0" w:space="0" w:color="auto"/>
      </w:divBdr>
    </w:div>
    <w:div w:id="1532107388">
      <w:bodyDiv w:val="1"/>
      <w:marLeft w:val="0"/>
      <w:marRight w:val="0"/>
      <w:marTop w:val="0"/>
      <w:marBottom w:val="0"/>
      <w:divBdr>
        <w:top w:val="none" w:sz="0" w:space="0" w:color="auto"/>
        <w:left w:val="none" w:sz="0" w:space="0" w:color="auto"/>
        <w:bottom w:val="none" w:sz="0" w:space="0" w:color="auto"/>
        <w:right w:val="none" w:sz="0" w:space="0" w:color="auto"/>
      </w:divBdr>
    </w:div>
    <w:div w:id="1566068185">
      <w:bodyDiv w:val="1"/>
      <w:marLeft w:val="0"/>
      <w:marRight w:val="0"/>
      <w:marTop w:val="0"/>
      <w:marBottom w:val="0"/>
      <w:divBdr>
        <w:top w:val="none" w:sz="0" w:space="0" w:color="auto"/>
        <w:left w:val="none" w:sz="0" w:space="0" w:color="auto"/>
        <w:bottom w:val="none" w:sz="0" w:space="0" w:color="auto"/>
        <w:right w:val="none" w:sz="0" w:space="0" w:color="auto"/>
      </w:divBdr>
    </w:div>
    <w:div w:id="1601063295">
      <w:bodyDiv w:val="1"/>
      <w:marLeft w:val="0"/>
      <w:marRight w:val="0"/>
      <w:marTop w:val="0"/>
      <w:marBottom w:val="0"/>
      <w:divBdr>
        <w:top w:val="none" w:sz="0" w:space="0" w:color="auto"/>
        <w:left w:val="none" w:sz="0" w:space="0" w:color="auto"/>
        <w:bottom w:val="none" w:sz="0" w:space="0" w:color="auto"/>
        <w:right w:val="none" w:sz="0" w:space="0" w:color="auto"/>
      </w:divBdr>
    </w:div>
    <w:div w:id="1613633234">
      <w:bodyDiv w:val="1"/>
      <w:marLeft w:val="0"/>
      <w:marRight w:val="0"/>
      <w:marTop w:val="0"/>
      <w:marBottom w:val="0"/>
      <w:divBdr>
        <w:top w:val="none" w:sz="0" w:space="0" w:color="auto"/>
        <w:left w:val="none" w:sz="0" w:space="0" w:color="auto"/>
        <w:bottom w:val="none" w:sz="0" w:space="0" w:color="auto"/>
        <w:right w:val="none" w:sz="0" w:space="0" w:color="auto"/>
      </w:divBdr>
    </w:div>
    <w:div w:id="1613972983">
      <w:bodyDiv w:val="1"/>
      <w:marLeft w:val="0"/>
      <w:marRight w:val="0"/>
      <w:marTop w:val="0"/>
      <w:marBottom w:val="0"/>
      <w:divBdr>
        <w:top w:val="none" w:sz="0" w:space="0" w:color="auto"/>
        <w:left w:val="none" w:sz="0" w:space="0" w:color="auto"/>
        <w:bottom w:val="none" w:sz="0" w:space="0" w:color="auto"/>
        <w:right w:val="none" w:sz="0" w:space="0" w:color="auto"/>
      </w:divBdr>
    </w:div>
    <w:div w:id="1628508562">
      <w:bodyDiv w:val="1"/>
      <w:marLeft w:val="0"/>
      <w:marRight w:val="0"/>
      <w:marTop w:val="0"/>
      <w:marBottom w:val="0"/>
      <w:divBdr>
        <w:top w:val="none" w:sz="0" w:space="0" w:color="auto"/>
        <w:left w:val="none" w:sz="0" w:space="0" w:color="auto"/>
        <w:bottom w:val="none" w:sz="0" w:space="0" w:color="auto"/>
        <w:right w:val="none" w:sz="0" w:space="0" w:color="auto"/>
      </w:divBdr>
    </w:div>
    <w:div w:id="1659263954">
      <w:bodyDiv w:val="1"/>
      <w:marLeft w:val="0"/>
      <w:marRight w:val="0"/>
      <w:marTop w:val="0"/>
      <w:marBottom w:val="0"/>
      <w:divBdr>
        <w:top w:val="none" w:sz="0" w:space="0" w:color="auto"/>
        <w:left w:val="none" w:sz="0" w:space="0" w:color="auto"/>
        <w:bottom w:val="none" w:sz="0" w:space="0" w:color="auto"/>
        <w:right w:val="none" w:sz="0" w:space="0" w:color="auto"/>
      </w:divBdr>
    </w:div>
    <w:div w:id="1662544376">
      <w:bodyDiv w:val="1"/>
      <w:marLeft w:val="0"/>
      <w:marRight w:val="0"/>
      <w:marTop w:val="0"/>
      <w:marBottom w:val="0"/>
      <w:divBdr>
        <w:top w:val="none" w:sz="0" w:space="0" w:color="auto"/>
        <w:left w:val="none" w:sz="0" w:space="0" w:color="auto"/>
        <w:bottom w:val="none" w:sz="0" w:space="0" w:color="auto"/>
        <w:right w:val="none" w:sz="0" w:space="0" w:color="auto"/>
      </w:divBdr>
    </w:div>
    <w:div w:id="1669866050">
      <w:bodyDiv w:val="1"/>
      <w:marLeft w:val="0"/>
      <w:marRight w:val="0"/>
      <w:marTop w:val="0"/>
      <w:marBottom w:val="0"/>
      <w:divBdr>
        <w:top w:val="none" w:sz="0" w:space="0" w:color="auto"/>
        <w:left w:val="none" w:sz="0" w:space="0" w:color="auto"/>
        <w:bottom w:val="none" w:sz="0" w:space="0" w:color="auto"/>
        <w:right w:val="none" w:sz="0" w:space="0" w:color="auto"/>
      </w:divBdr>
      <w:divsChild>
        <w:div w:id="69667366">
          <w:marLeft w:val="547"/>
          <w:marRight w:val="0"/>
          <w:marTop w:val="0"/>
          <w:marBottom w:val="360"/>
          <w:divBdr>
            <w:top w:val="none" w:sz="0" w:space="0" w:color="auto"/>
            <w:left w:val="none" w:sz="0" w:space="0" w:color="auto"/>
            <w:bottom w:val="none" w:sz="0" w:space="0" w:color="auto"/>
            <w:right w:val="none" w:sz="0" w:space="0" w:color="auto"/>
          </w:divBdr>
        </w:div>
        <w:div w:id="151140085">
          <w:marLeft w:val="547"/>
          <w:marRight w:val="0"/>
          <w:marTop w:val="0"/>
          <w:marBottom w:val="360"/>
          <w:divBdr>
            <w:top w:val="none" w:sz="0" w:space="0" w:color="auto"/>
            <w:left w:val="none" w:sz="0" w:space="0" w:color="auto"/>
            <w:bottom w:val="none" w:sz="0" w:space="0" w:color="auto"/>
            <w:right w:val="none" w:sz="0" w:space="0" w:color="auto"/>
          </w:divBdr>
        </w:div>
        <w:div w:id="412774777">
          <w:marLeft w:val="547"/>
          <w:marRight w:val="0"/>
          <w:marTop w:val="0"/>
          <w:marBottom w:val="360"/>
          <w:divBdr>
            <w:top w:val="none" w:sz="0" w:space="0" w:color="auto"/>
            <w:left w:val="none" w:sz="0" w:space="0" w:color="auto"/>
            <w:bottom w:val="none" w:sz="0" w:space="0" w:color="auto"/>
            <w:right w:val="none" w:sz="0" w:space="0" w:color="auto"/>
          </w:divBdr>
        </w:div>
        <w:div w:id="1246382907">
          <w:marLeft w:val="547"/>
          <w:marRight w:val="0"/>
          <w:marTop w:val="0"/>
          <w:marBottom w:val="360"/>
          <w:divBdr>
            <w:top w:val="none" w:sz="0" w:space="0" w:color="auto"/>
            <w:left w:val="none" w:sz="0" w:space="0" w:color="auto"/>
            <w:bottom w:val="none" w:sz="0" w:space="0" w:color="auto"/>
            <w:right w:val="none" w:sz="0" w:space="0" w:color="auto"/>
          </w:divBdr>
        </w:div>
      </w:divsChild>
    </w:div>
    <w:div w:id="1720787187">
      <w:bodyDiv w:val="1"/>
      <w:marLeft w:val="0"/>
      <w:marRight w:val="0"/>
      <w:marTop w:val="0"/>
      <w:marBottom w:val="0"/>
      <w:divBdr>
        <w:top w:val="none" w:sz="0" w:space="0" w:color="auto"/>
        <w:left w:val="none" w:sz="0" w:space="0" w:color="auto"/>
        <w:bottom w:val="none" w:sz="0" w:space="0" w:color="auto"/>
        <w:right w:val="none" w:sz="0" w:space="0" w:color="auto"/>
      </w:divBdr>
    </w:div>
    <w:div w:id="1739087658">
      <w:bodyDiv w:val="1"/>
      <w:marLeft w:val="0"/>
      <w:marRight w:val="0"/>
      <w:marTop w:val="0"/>
      <w:marBottom w:val="0"/>
      <w:divBdr>
        <w:top w:val="none" w:sz="0" w:space="0" w:color="auto"/>
        <w:left w:val="none" w:sz="0" w:space="0" w:color="auto"/>
        <w:bottom w:val="none" w:sz="0" w:space="0" w:color="auto"/>
        <w:right w:val="none" w:sz="0" w:space="0" w:color="auto"/>
      </w:divBdr>
    </w:div>
    <w:div w:id="1771848722">
      <w:bodyDiv w:val="1"/>
      <w:marLeft w:val="0"/>
      <w:marRight w:val="0"/>
      <w:marTop w:val="0"/>
      <w:marBottom w:val="0"/>
      <w:divBdr>
        <w:top w:val="none" w:sz="0" w:space="0" w:color="auto"/>
        <w:left w:val="none" w:sz="0" w:space="0" w:color="auto"/>
        <w:bottom w:val="none" w:sz="0" w:space="0" w:color="auto"/>
        <w:right w:val="none" w:sz="0" w:space="0" w:color="auto"/>
      </w:divBdr>
      <w:divsChild>
        <w:div w:id="657270756">
          <w:marLeft w:val="0"/>
          <w:marRight w:val="1"/>
          <w:marTop w:val="0"/>
          <w:marBottom w:val="0"/>
          <w:divBdr>
            <w:top w:val="none" w:sz="0" w:space="0" w:color="auto"/>
            <w:left w:val="none" w:sz="0" w:space="0" w:color="auto"/>
            <w:bottom w:val="none" w:sz="0" w:space="0" w:color="auto"/>
            <w:right w:val="none" w:sz="0" w:space="0" w:color="auto"/>
          </w:divBdr>
          <w:divsChild>
            <w:div w:id="1547450203">
              <w:marLeft w:val="0"/>
              <w:marRight w:val="0"/>
              <w:marTop w:val="0"/>
              <w:marBottom w:val="0"/>
              <w:divBdr>
                <w:top w:val="none" w:sz="0" w:space="0" w:color="auto"/>
                <w:left w:val="none" w:sz="0" w:space="0" w:color="auto"/>
                <w:bottom w:val="none" w:sz="0" w:space="0" w:color="auto"/>
                <w:right w:val="none" w:sz="0" w:space="0" w:color="auto"/>
              </w:divBdr>
              <w:divsChild>
                <w:div w:id="2021925159">
                  <w:marLeft w:val="0"/>
                  <w:marRight w:val="1"/>
                  <w:marTop w:val="0"/>
                  <w:marBottom w:val="0"/>
                  <w:divBdr>
                    <w:top w:val="none" w:sz="0" w:space="0" w:color="auto"/>
                    <w:left w:val="none" w:sz="0" w:space="0" w:color="auto"/>
                    <w:bottom w:val="none" w:sz="0" w:space="0" w:color="auto"/>
                    <w:right w:val="none" w:sz="0" w:space="0" w:color="auto"/>
                  </w:divBdr>
                  <w:divsChild>
                    <w:div w:id="471141243">
                      <w:marLeft w:val="0"/>
                      <w:marRight w:val="0"/>
                      <w:marTop w:val="0"/>
                      <w:marBottom w:val="0"/>
                      <w:divBdr>
                        <w:top w:val="none" w:sz="0" w:space="0" w:color="auto"/>
                        <w:left w:val="none" w:sz="0" w:space="0" w:color="auto"/>
                        <w:bottom w:val="none" w:sz="0" w:space="0" w:color="auto"/>
                        <w:right w:val="none" w:sz="0" w:space="0" w:color="auto"/>
                      </w:divBdr>
                      <w:divsChild>
                        <w:div w:id="157698157">
                          <w:marLeft w:val="0"/>
                          <w:marRight w:val="0"/>
                          <w:marTop w:val="0"/>
                          <w:marBottom w:val="0"/>
                          <w:divBdr>
                            <w:top w:val="none" w:sz="0" w:space="0" w:color="auto"/>
                            <w:left w:val="none" w:sz="0" w:space="0" w:color="auto"/>
                            <w:bottom w:val="none" w:sz="0" w:space="0" w:color="auto"/>
                            <w:right w:val="none" w:sz="0" w:space="0" w:color="auto"/>
                          </w:divBdr>
                          <w:divsChild>
                            <w:div w:id="506141568">
                              <w:marLeft w:val="0"/>
                              <w:marRight w:val="0"/>
                              <w:marTop w:val="120"/>
                              <w:marBottom w:val="360"/>
                              <w:divBdr>
                                <w:top w:val="none" w:sz="0" w:space="0" w:color="auto"/>
                                <w:left w:val="none" w:sz="0" w:space="0" w:color="auto"/>
                                <w:bottom w:val="none" w:sz="0" w:space="0" w:color="auto"/>
                                <w:right w:val="none" w:sz="0" w:space="0" w:color="auto"/>
                              </w:divBdr>
                              <w:divsChild>
                                <w:div w:id="1227229349">
                                  <w:marLeft w:val="0"/>
                                  <w:marRight w:val="0"/>
                                  <w:marTop w:val="0"/>
                                  <w:marBottom w:val="0"/>
                                  <w:divBdr>
                                    <w:top w:val="none" w:sz="0" w:space="0" w:color="auto"/>
                                    <w:left w:val="none" w:sz="0" w:space="0" w:color="auto"/>
                                    <w:bottom w:val="none" w:sz="0" w:space="0" w:color="auto"/>
                                    <w:right w:val="none" w:sz="0" w:space="0" w:color="auto"/>
                                  </w:divBdr>
                                  <w:divsChild>
                                    <w:div w:id="9436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75305">
      <w:bodyDiv w:val="1"/>
      <w:marLeft w:val="0"/>
      <w:marRight w:val="0"/>
      <w:marTop w:val="0"/>
      <w:marBottom w:val="0"/>
      <w:divBdr>
        <w:top w:val="none" w:sz="0" w:space="0" w:color="auto"/>
        <w:left w:val="none" w:sz="0" w:space="0" w:color="auto"/>
        <w:bottom w:val="none" w:sz="0" w:space="0" w:color="auto"/>
        <w:right w:val="none" w:sz="0" w:space="0" w:color="auto"/>
      </w:divBdr>
    </w:div>
    <w:div w:id="1796948566">
      <w:bodyDiv w:val="1"/>
      <w:marLeft w:val="0"/>
      <w:marRight w:val="0"/>
      <w:marTop w:val="0"/>
      <w:marBottom w:val="0"/>
      <w:divBdr>
        <w:top w:val="none" w:sz="0" w:space="0" w:color="auto"/>
        <w:left w:val="none" w:sz="0" w:space="0" w:color="auto"/>
        <w:bottom w:val="none" w:sz="0" w:space="0" w:color="auto"/>
        <w:right w:val="none" w:sz="0" w:space="0" w:color="auto"/>
      </w:divBdr>
    </w:div>
    <w:div w:id="1841702480">
      <w:bodyDiv w:val="1"/>
      <w:marLeft w:val="0"/>
      <w:marRight w:val="0"/>
      <w:marTop w:val="0"/>
      <w:marBottom w:val="0"/>
      <w:divBdr>
        <w:top w:val="none" w:sz="0" w:space="0" w:color="auto"/>
        <w:left w:val="none" w:sz="0" w:space="0" w:color="auto"/>
        <w:bottom w:val="none" w:sz="0" w:space="0" w:color="auto"/>
        <w:right w:val="none" w:sz="0" w:space="0" w:color="auto"/>
      </w:divBdr>
    </w:div>
    <w:div w:id="1844200142">
      <w:bodyDiv w:val="1"/>
      <w:marLeft w:val="0"/>
      <w:marRight w:val="0"/>
      <w:marTop w:val="0"/>
      <w:marBottom w:val="0"/>
      <w:divBdr>
        <w:top w:val="none" w:sz="0" w:space="0" w:color="auto"/>
        <w:left w:val="none" w:sz="0" w:space="0" w:color="auto"/>
        <w:bottom w:val="none" w:sz="0" w:space="0" w:color="auto"/>
        <w:right w:val="none" w:sz="0" w:space="0" w:color="auto"/>
      </w:divBdr>
      <w:divsChild>
        <w:div w:id="1493374914">
          <w:marLeft w:val="0"/>
          <w:marRight w:val="1"/>
          <w:marTop w:val="0"/>
          <w:marBottom w:val="0"/>
          <w:divBdr>
            <w:top w:val="none" w:sz="0" w:space="0" w:color="auto"/>
            <w:left w:val="none" w:sz="0" w:space="0" w:color="auto"/>
            <w:bottom w:val="none" w:sz="0" w:space="0" w:color="auto"/>
            <w:right w:val="none" w:sz="0" w:space="0" w:color="auto"/>
          </w:divBdr>
          <w:divsChild>
            <w:div w:id="1391735136">
              <w:marLeft w:val="0"/>
              <w:marRight w:val="0"/>
              <w:marTop w:val="0"/>
              <w:marBottom w:val="0"/>
              <w:divBdr>
                <w:top w:val="none" w:sz="0" w:space="0" w:color="auto"/>
                <w:left w:val="none" w:sz="0" w:space="0" w:color="auto"/>
                <w:bottom w:val="none" w:sz="0" w:space="0" w:color="auto"/>
                <w:right w:val="none" w:sz="0" w:space="0" w:color="auto"/>
              </w:divBdr>
              <w:divsChild>
                <w:div w:id="633875061">
                  <w:marLeft w:val="0"/>
                  <w:marRight w:val="1"/>
                  <w:marTop w:val="0"/>
                  <w:marBottom w:val="0"/>
                  <w:divBdr>
                    <w:top w:val="none" w:sz="0" w:space="0" w:color="auto"/>
                    <w:left w:val="none" w:sz="0" w:space="0" w:color="auto"/>
                    <w:bottom w:val="none" w:sz="0" w:space="0" w:color="auto"/>
                    <w:right w:val="none" w:sz="0" w:space="0" w:color="auto"/>
                  </w:divBdr>
                  <w:divsChild>
                    <w:div w:id="1342925105">
                      <w:marLeft w:val="0"/>
                      <w:marRight w:val="0"/>
                      <w:marTop w:val="0"/>
                      <w:marBottom w:val="0"/>
                      <w:divBdr>
                        <w:top w:val="none" w:sz="0" w:space="0" w:color="auto"/>
                        <w:left w:val="none" w:sz="0" w:space="0" w:color="auto"/>
                        <w:bottom w:val="none" w:sz="0" w:space="0" w:color="auto"/>
                        <w:right w:val="none" w:sz="0" w:space="0" w:color="auto"/>
                      </w:divBdr>
                      <w:divsChild>
                        <w:div w:id="87047127">
                          <w:marLeft w:val="0"/>
                          <w:marRight w:val="0"/>
                          <w:marTop w:val="0"/>
                          <w:marBottom w:val="0"/>
                          <w:divBdr>
                            <w:top w:val="none" w:sz="0" w:space="0" w:color="auto"/>
                            <w:left w:val="none" w:sz="0" w:space="0" w:color="auto"/>
                            <w:bottom w:val="none" w:sz="0" w:space="0" w:color="auto"/>
                            <w:right w:val="none" w:sz="0" w:space="0" w:color="auto"/>
                          </w:divBdr>
                          <w:divsChild>
                            <w:div w:id="673801373">
                              <w:marLeft w:val="0"/>
                              <w:marRight w:val="0"/>
                              <w:marTop w:val="120"/>
                              <w:marBottom w:val="360"/>
                              <w:divBdr>
                                <w:top w:val="none" w:sz="0" w:space="0" w:color="auto"/>
                                <w:left w:val="none" w:sz="0" w:space="0" w:color="auto"/>
                                <w:bottom w:val="none" w:sz="0" w:space="0" w:color="auto"/>
                                <w:right w:val="none" w:sz="0" w:space="0" w:color="auto"/>
                              </w:divBdr>
                              <w:divsChild>
                                <w:div w:id="856425793">
                                  <w:marLeft w:val="0"/>
                                  <w:marRight w:val="0"/>
                                  <w:marTop w:val="0"/>
                                  <w:marBottom w:val="0"/>
                                  <w:divBdr>
                                    <w:top w:val="none" w:sz="0" w:space="0" w:color="auto"/>
                                    <w:left w:val="none" w:sz="0" w:space="0" w:color="auto"/>
                                    <w:bottom w:val="none" w:sz="0" w:space="0" w:color="auto"/>
                                    <w:right w:val="none" w:sz="0" w:space="0" w:color="auto"/>
                                  </w:divBdr>
                                  <w:divsChild>
                                    <w:div w:id="804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559290">
      <w:bodyDiv w:val="1"/>
      <w:marLeft w:val="0"/>
      <w:marRight w:val="0"/>
      <w:marTop w:val="0"/>
      <w:marBottom w:val="0"/>
      <w:divBdr>
        <w:top w:val="none" w:sz="0" w:space="0" w:color="auto"/>
        <w:left w:val="none" w:sz="0" w:space="0" w:color="auto"/>
        <w:bottom w:val="none" w:sz="0" w:space="0" w:color="auto"/>
        <w:right w:val="none" w:sz="0" w:space="0" w:color="auto"/>
      </w:divBdr>
    </w:div>
    <w:div w:id="1876041321">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22713735">
      <w:bodyDiv w:val="1"/>
      <w:marLeft w:val="0"/>
      <w:marRight w:val="0"/>
      <w:marTop w:val="0"/>
      <w:marBottom w:val="0"/>
      <w:divBdr>
        <w:top w:val="none" w:sz="0" w:space="0" w:color="auto"/>
        <w:left w:val="none" w:sz="0" w:space="0" w:color="auto"/>
        <w:bottom w:val="none" w:sz="0" w:space="0" w:color="auto"/>
        <w:right w:val="none" w:sz="0" w:space="0" w:color="auto"/>
      </w:divBdr>
    </w:div>
    <w:div w:id="2010015186">
      <w:bodyDiv w:val="1"/>
      <w:marLeft w:val="0"/>
      <w:marRight w:val="0"/>
      <w:marTop w:val="0"/>
      <w:marBottom w:val="0"/>
      <w:divBdr>
        <w:top w:val="none" w:sz="0" w:space="0" w:color="auto"/>
        <w:left w:val="none" w:sz="0" w:space="0" w:color="auto"/>
        <w:bottom w:val="none" w:sz="0" w:space="0" w:color="auto"/>
        <w:right w:val="none" w:sz="0" w:space="0" w:color="auto"/>
      </w:divBdr>
    </w:div>
    <w:div w:id="2011784822">
      <w:bodyDiv w:val="1"/>
      <w:marLeft w:val="0"/>
      <w:marRight w:val="0"/>
      <w:marTop w:val="0"/>
      <w:marBottom w:val="0"/>
      <w:divBdr>
        <w:top w:val="none" w:sz="0" w:space="0" w:color="auto"/>
        <w:left w:val="none" w:sz="0" w:space="0" w:color="auto"/>
        <w:bottom w:val="none" w:sz="0" w:space="0" w:color="auto"/>
        <w:right w:val="none" w:sz="0" w:space="0" w:color="auto"/>
      </w:divBdr>
    </w:div>
    <w:div w:id="2013725970">
      <w:bodyDiv w:val="1"/>
      <w:marLeft w:val="0"/>
      <w:marRight w:val="0"/>
      <w:marTop w:val="0"/>
      <w:marBottom w:val="0"/>
      <w:divBdr>
        <w:top w:val="none" w:sz="0" w:space="0" w:color="auto"/>
        <w:left w:val="none" w:sz="0" w:space="0" w:color="auto"/>
        <w:bottom w:val="none" w:sz="0" w:space="0" w:color="auto"/>
        <w:right w:val="none" w:sz="0" w:space="0" w:color="auto"/>
      </w:divBdr>
      <w:divsChild>
        <w:div w:id="353533947">
          <w:marLeft w:val="446"/>
          <w:marRight w:val="0"/>
          <w:marTop w:val="0"/>
          <w:marBottom w:val="0"/>
          <w:divBdr>
            <w:top w:val="none" w:sz="0" w:space="0" w:color="auto"/>
            <w:left w:val="none" w:sz="0" w:space="0" w:color="auto"/>
            <w:bottom w:val="none" w:sz="0" w:space="0" w:color="auto"/>
            <w:right w:val="none" w:sz="0" w:space="0" w:color="auto"/>
          </w:divBdr>
        </w:div>
      </w:divsChild>
    </w:div>
    <w:div w:id="2031635868">
      <w:bodyDiv w:val="1"/>
      <w:marLeft w:val="0"/>
      <w:marRight w:val="0"/>
      <w:marTop w:val="0"/>
      <w:marBottom w:val="0"/>
      <w:divBdr>
        <w:top w:val="none" w:sz="0" w:space="0" w:color="auto"/>
        <w:left w:val="none" w:sz="0" w:space="0" w:color="auto"/>
        <w:bottom w:val="none" w:sz="0" w:space="0" w:color="auto"/>
        <w:right w:val="none" w:sz="0" w:space="0" w:color="auto"/>
      </w:divBdr>
    </w:div>
    <w:div w:id="2038390386">
      <w:bodyDiv w:val="1"/>
      <w:marLeft w:val="0"/>
      <w:marRight w:val="0"/>
      <w:marTop w:val="0"/>
      <w:marBottom w:val="0"/>
      <w:divBdr>
        <w:top w:val="none" w:sz="0" w:space="0" w:color="auto"/>
        <w:left w:val="none" w:sz="0" w:space="0" w:color="auto"/>
        <w:bottom w:val="none" w:sz="0" w:space="0" w:color="auto"/>
        <w:right w:val="none" w:sz="0" w:space="0" w:color="auto"/>
      </w:divBdr>
    </w:div>
    <w:div w:id="2062056320">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081322750">
      <w:bodyDiv w:val="1"/>
      <w:marLeft w:val="0"/>
      <w:marRight w:val="0"/>
      <w:marTop w:val="0"/>
      <w:marBottom w:val="0"/>
      <w:divBdr>
        <w:top w:val="none" w:sz="0" w:space="0" w:color="auto"/>
        <w:left w:val="none" w:sz="0" w:space="0" w:color="auto"/>
        <w:bottom w:val="none" w:sz="0" w:space="0" w:color="auto"/>
        <w:right w:val="none" w:sz="0" w:space="0" w:color="auto"/>
      </w:divBdr>
      <w:divsChild>
        <w:div w:id="1091121458">
          <w:marLeft w:val="547"/>
          <w:marRight w:val="0"/>
          <w:marTop w:val="0"/>
          <w:marBottom w:val="600"/>
          <w:divBdr>
            <w:top w:val="none" w:sz="0" w:space="0" w:color="auto"/>
            <w:left w:val="none" w:sz="0" w:space="0" w:color="auto"/>
            <w:bottom w:val="none" w:sz="0" w:space="0" w:color="auto"/>
            <w:right w:val="none" w:sz="0" w:space="0" w:color="auto"/>
          </w:divBdr>
        </w:div>
        <w:div w:id="1639720922">
          <w:marLeft w:val="547"/>
          <w:marRight w:val="0"/>
          <w:marTop w:val="0"/>
          <w:marBottom w:val="600"/>
          <w:divBdr>
            <w:top w:val="none" w:sz="0" w:space="0" w:color="auto"/>
            <w:left w:val="none" w:sz="0" w:space="0" w:color="auto"/>
            <w:bottom w:val="none" w:sz="0" w:space="0" w:color="auto"/>
            <w:right w:val="none" w:sz="0" w:space="0" w:color="auto"/>
          </w:divBdr>
        </w:div>
        <w:div w:id="1656645595">
          <w:marLeft w:val="547"/>
          <w:marRight w:val="0"/>
          <w:marTop w:val="0"/>
          <w:marBottom w:val="600"/>
          <w:divBdr>
            <w:top w:val="none" w:sz="0" w:space="0" w:color="auto"/>
            <w:left w:val="none" w:sz="0" w:space="0" w:color="auto"/>
            <w:bottom w:val="none" w:sz="0" w:space="0" w:color="auto"/>
            <w:right w:val="none" w:sz="0" w:space="0" w:color="auto"/>
          </w:divBdr>
        </w:div>
      </w:divsChild>
    </w:div>
    <w:div w:id="2115712157">
      <w:bodyDiv w:val="1"/>
      <w:marLeft w:val="0"/>
      <w:marRight w:val="0"/>
      <w:marTop w:val="0"/>
      <w:marBottom w:val="0"/>
      <w:divBdr>
        <w:top w:val="none" w:sz="0" w:space="0" w:color="auto"/>
        <w:left w:val="none" w:sz="0" w:space="0" w:color="auto"/>
        <w:bottom w:val="none" w:sz="0" w:space="0" w:color="auto"/>
        <w:right w:val="none" w:sz="0" w:space="0" w:color="auto"/>
      </w:divBdr>
    </w:div>
    <w:div w:id="2120179783">
      <w:bodyDiv w:val="1"/>
      <w:marLeft w:val="0"/>
      <w:marRight w:val="0"/>
      <w:marTop w:val="0"/>
      <w:marBottom w:val="0"/>
      <w:divBdr>
        <w:top w:val="none" w:sz="0" w:space="0" w:color="auto"/>
        <w:left w:val="none" w:sz="0" w:space="0" w:color="auto"/>
        <w:bottom w:val="none" w:sz="0" w:space="0" w:color="auto"/>
        <w:right w:val="none" w:sz="0" w:space="0" w:color="auto"/>
      </w:divBdr>
    </w:div>
    <w:div w:id="21259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effield.ac.uk/FRAX/pdfs/WHO_Technical_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091E-37EB-45F0-8955-1A903344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7011</Words>
  <Characters>38774</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Special/Satellite/Technical Symposium</vt:lpstr>
      <vt:lpstr>Special/Satellite/Technical Symposium</vt:lpstr>
    </vt:vector>
  </TitlesOfParts>
  <Company>MCI</Company>
  <LinksUpToDate>false</LinksUpToDate>
  <CharactersWithSpaces>45694</CharactersWithSpaces>
  <SharedDoc>false</SharedDoc>
  <HLinks>
    <vt:vector size="612" baseType="variant">
      <vt:variant>
        <vt:i4>4456459</vt:i4>
      </vt:variant>
      <vt:variant>
        <vt:i4>672</vt:i4>
      </vt:variant>
      <vt:variant>
        <vt:i4>0</vt:i4>
      </vt:variant>
      <vt:variant>
        <vt:i4>5</vt:i4>
      </vt:variant>
      <vt:variant>
        <vt:lpwstr/>
      </vt:variant>
      <vt:variant>
        <vt:lpwstr>_ENREF_53</vt:lpwstr>
      </vt:variant>
      <vt:variant>
        <vt:i4>4325387</vt:i4>
      </vt:variant>
      <vt:variant>
        <vt:i4>664</vt:i4>
      </vt:variant>
      <vt:variant>
        <vt:i4>0</vt:i4>
      </vt:variant>
      <vt:variant>
        <vt:i4>5</vt:i4>
      </vt:variant>
      <vt:variant>
        <vt:lpwstr/>
      </vt:variant>
      <vt:variant>
        <vt:lpwstr>_ENREF_32</vt:lpwstr>
      </vt:variant>
      <vt:variant>
        <vt:i4>4194315</vt:i4>
      </vt:variant>
      <vt:variant>
        <vt:i4>656</vt:i4>
      </vt:variant>
      <vt:variant>
        <vt:i4>0</vt:i4>
      </vt:variant>
      <vt:variant>
        <vt:i4>5</vt:i4>
      </vt:variant>
      <vt:variant>
        <vt:lpwstr/>
      </vt:variant>
      <vt:variant>
        <vt:lpwstr>_ENREF_12</vt:lpwstr>
      </vt:variant>
      <vt:variant>
        <vt:i4>4456459</vt:i4>
      </vt:variant>
      <vt:variant>
        <vt:i4>648</vt:i4>
      </vt:variant>
      <vt:variant>
        <vt:i4>0</vt:i4>
      </vt:variant>
      <vt:variant>
        <vt:i4>5</vt:i4>
      </vt:variant>
      <vt:variant>
        <vt:lpwstr/>
      </vt:variant>
      <vt:variant>
        <vt:lpwstr>_ENREF_54</vt:lpwstr>
      </vt:variant>
      <vt:variant>
        <vt:i4>4194315</vt:i4>
      </vt:variant>
      <vt:variant>
        <vt:i4>645</vt:i4>
      </vt:variant>
      <vt:variant>
        <vt:i4>0</vt:i4>
      </vt:variant>
      <vt:variant>
        <vt:i4>5</vt:i4>
      </vt:variant>
      <vt:variant>
        <vt:lpwstr/>
      </vt:variant>
      <vt:variant>
        <vt:lpwstr>_ENREF_1</vt:lpwstr>
      </vt:variant>
      <vt:variant>
        <vt:i4>4194315</vt:i4>
      </vt:variant>
      <vt:variant>
        <vt:i4>637</vt:i4>
      </vt:variant>
      <vt:variant>
        <vt:i4>0</vt:i4>
      </vt:variant>
      <vt:variant>
        <vt:i4>5</vt:i4>
      </vt:variant>
      <vt:variant>
        <vt:lpwstr/>
      </vt:variant>
      <vt:variant>
        <vt:lpwstr>_ENREF_1</vt:lpwstr>
      </vt:variant>
      <vt:variant>
        <vt:i4>4456459</vt:i4>
      </vt:variant>
      <vt:variant>
        <vt:i4>629</vt:i4>
      </vt:variant>
      <vt:variant>
        <vt:i4>0</vt:i4>
      </vt:variant>
      <vt:variant>
        <vt:i4>5</vt:i4>
      </vt:variant>
      <vt:variant>
        <vt:lpwstr/>
      </vt:variant>
      <vt:variant>
        <vt:lpwstr>_ENREF_54</vt:lpwstr>
      </vt:variant>
      <vt:variant>
        <vt:i4>4194315</vt:i4>
      </vt:variant>
      <vt:variant>
        <vt:i4>626</vt:i4>
      </vt:variant>
      <vt:variant>
        <vt:i4>0</vt:i4>
      </vt:variant>
      <vt:variant>
        <vt:i4>5</vt:i4>
      </vt:variant>
      <vt:variant>
        <vt:lpwstr/>
      </vt:variant>
      <vt:variant>
        <vt:lpwstr>_ENREF_1</vt:lpwstr>
      </vt:variant>
      <vt:variant>
        <vt:i4>4194315</vt:i4>
      </vt:variant>
      <vt:variant>
        <vt:i4>618</vt:i4>
      </vt:variant>
      <vt:variant>
        <vt:i4>0</vt:i4>
      </vt:variant>
      <vt:variant>
        <vt:i4>5</vt:i4>
      </vt:variant>
      <vt:variant>
        <vt:lpwstr/>
      </vt:variant>
      <vt:variant>
        <vt:lpwstr>_ENREF_1</vt:lpwstr>
      </vt:variant>
      <vt:variant>
        <vt:i4>4456459</vt:i4>
      </vt:variant>
      <vt:variant>
        <vt:i4>607</vt:i4>
      </vt:variant>
      <vt:variant>
        <vt:i4>0</vt:i4>
      </vt:variant>
      <vt:variant>
        <vt:i4>5</vt:i4>
      </vt:variant>
      <vt:variant>
        <vt:lpwstr/>
      </vt:variant>
      <vt:variant>
        <vt:lpwstr>_ENREF_53</vt:lpwstr>
      </vt:variant>
      <vt:variant>
        <vt:i4>4456459</vt:i4>
      </vt:variant>
      <vt:variant>
        <vt:i4>599</vt:i4>
      </vt:variant>
      <vt:variant>
        <vt:i4>0</vt:i4>
      </vt:variant>
      <vt:variant>
        <vt:i4>5</vt:i4>
      </vt:variant>
      <vt:variant>
        <vt:lpwstr/>
      </vt:variant>
      <vt:variant>
        <vt:lpwstr>_ENREF_52</vt:lpwstr>
      </vt:variant>
      <vt:variant>
        <vt:i4>4325387</vt:i4>
      </vt:variant>
      <vt:variant>
        <vt:i4>593</vt:i4>
      </vt:variant>
      <vt:variant>
        <vt:i4>0</vt:i4>
      </vt:variant>
      <vt:variant>
        <vt:i4>5</vt:i4>
      </vt:variant>
      <vt:variant>
        <vt:lpwstr/>
      </vt:variant>
      <vt:variant>
        <vt:lpwstr>_ENREF_32</vt:lpwstr>
      </vt:variant>
      <vt:variant>
        <vt:i4>4456459</vt:i4>
      </vt:variant>
      <vt:variant>
        <vt:i4>585</vt:i4>
      </vt:variant>
      <vt:variant>
        <vt:i4>0</vt:i4>
      </vt:variant>
      <vt:variant>
        <vt:i4>5</vt:i4>
      </vt:variant>
      <vt:variant>
        <vt:lpwstr/>
      </vt:variant>
      <vt:variant>
        <vt:lpwstr>_ENREF_51</vt:lpwstr>
      </vt:variant>
      <vt:variant>
        <vt:i4>4456459</vt:i4>
      </vt:variant>
      <vt:variant>
        <vt:i4>577</vt:i4>
      </vt:variant>
      <vt:variant>
        <vt:i4>0</vt:i4>
      </vt:variant>
      <vt:variant>
        <vt:i4>5</vt:i4>
      </vt:variant>
      <vt:variant>
        <vt:lpwstr/>
      </vt:variant>
      <vt:variant>
        <vt:lpwstr>_ENREF_50</vt:lpwstr>
      </vt:variant>
      <vt:variant>
        <vt:i4>4456459</vt:i4>
      </vt:variant>
      <vt:variant>
        <vt:i4>569</vt:i4>
      </vt:variant>
      <vt:variant>
        <vt:i4>0</vt:i4>
      </vt:variant>
      <vt:variant>
        <vt:i4>5</vt:i4>
      </vt:variant>
      <vt:variant>
        <vt:lpwstr/>
      </vt:variant>
      <vt:variant>
        <vt:lpwstr>_ENREF_50</vt:lpwstr>
      </vt:variant>
      <vt:variant>
        <vt:i4>4390923</vt:i4>
      </vt:variant>
      <vt:variant>
        <vt:i4>566</vt:i4>
      </vt:variant>
      <vt:variant>
        <vt:i4>0</vt:i4>
      </vt:variant>
      <vt:variant>
        <vt:i4>5</vt:i4>
      </vt:variant>
      <vt:variant>
        <vt:lpwstr/>
      </vt:variant>
      <vt:variant>
        <vt:lpwstr>_ENREF_22</vt:lpwstr>
      </vt:variant>
      <vt:variant>
        <vt:i4>4521995</vt:i4>
      </vt:variant>
      <vt:variant>
        <vt:i4>558</vt:i4>
      </vt:variant>
      <vt:variant>
        <vt:i4>0</vt:i4>
      </vt:variant>
      <vt:variant>
        <vt:i4>5</vt:i4>
      </vt:variant>
      <vt:variant>
        <vt:lpwstr/>
      </vt:variant>
      <vt:variant>
        <vt:lpwstr>_ENREF_49</vt:lpwstr>
      </vt:variant>
      <vt:variant>
        <vt:i4>4521995</vt:i4>
      </vt:variant>
      <vt:variant>
        <vt:i4>550</vt:i4>
      </vt:variant>
      <vt:variant>
        <vt:i4>0</vt:i4>
      </vt:variant>
      <vt:variant>
        <vt:i4>5</vt:i4>
      </vt:variant>
      <vt:variant>
        <vt:lpwstr/>
      </vt:variant>
      <vt:variant>
        <vt:lpwstr>_ENREF_48</vt:lpwstr>
      </vt:variant>
      <vt:variant>
        <vt:i4>4521995</vt:i4>
      </vt:variant>
      <vt:variant>
        <vt:i4>547</vt:i4>
      </vt:variant>
      <vt:variant>
        <vt:i4>0</vt:i4>
      </vt:variant>
      <vt:variant>
        <vt:i4>5</vt:i4>
      </vt:variant>
      <vt:variant>
        <vt:lpwstr/>
      </vt:variant>
      <vt:variant>
        <vt:lpwstr>_ENREF_47</vt:lpwstr>
      </vt:variant>
      <vt:variant>
        <vt:i4>4521995</vt:i4>
      </vt:variant>
      <vt:variant>
        <vt:i4>539</vt:i4>
      </vt:variant>
      <vt:variant>
        <vt:i4>0</vt:i4>
      </vt:variant>
      <vt:variant>
        <vt:i4>5</vt:i4>
      </vt:variant>
      <vt:variant>
        <vt:lpwstr/>
      </vt:variant>
      <vt:variant>
        <vt:lpwstr>_ENREF_46</vt:lpwstr>
      </vt:variant>
      <vt:variant>
        <vt:i4>4521995</vt:i4>
      </vt:variant>
      <vt:variant>
        <vt:i4>533</vt:i4>
      </vt:variant>
      <vt:variant>
        <vt:i4>0</vt:i4>
      </vt:variant>
      <vt:variant>
        <vt:i4>5</vt:i4>
      </vt:variant>
      <vt:variant>
        <vt:lpwstr/>
      </vt:variant>
      <vt:variant>
        <vt:lpwstr>_ENREF_45</vt:lpwstr>
      </vt:variant>
      <vt:variant>
        <vt:i4>4521995</vt:i4>
      </vt:variant>
      <vt:variant>
        <vt:i4>525</vt:i4>
      </vt:variant>
      <vt:variant>
        <vt:i4>0</vt:i4>
      </vt:variant>
      <vt:variant>
        <vt:i4>5</vt:i4>
      </vt:variant>
      <vt:variant>
        <vt:lpwstr/>
      </vt:variant>
      <vt:variant>
        <vt:lpwstr>_ENREF_44</vt:lpwstr>
      </vt:variant>
      <vt:variant>
        <vt:i4>4521995</vt:i4>
      </vt:variant>
      <vt:variant>
        <vt:i4>522</vt:i4>
      </vt:variant>
      <vt:variant>
        <vt:i4>0</vt:i4>
      </vt:variant>
      <vt:variant>
        <vt:i4>5</vt:i4>
      </vt:variant>
      <vt:variant>
        <vt:lpwstr/>
      </vt:variant>
      <vt:variant>
        <vt:lpwstr>_ENREF_42</vt:lpwstr>
      </vt:variant>
      <vt:variant>
        <vt:i4>4521995</vt:i4>
      </vt:variant>
      <vt:variant>
        <vt:i4>514</vt:i4>
      </vt:variant>
      <vt:variant>
        <vt:i4>0</vt:i4>
      </vt:variant>
      <vt:variant>
        <vt:i4>5</vt:i4>
      </vt:variant>
      <vt:variant>
        <vt:lpwstr/>
      </vt:variant>
      <vt:variant>
        <vt:lpwstr>_ENREF_43</vt:lpwstr>
      </vt:variant>
      <vt:variant>
        <vt:i4>4521995</vt:i4>
      </vt:variant>
      <vt:variant>
        <vt:i4>506</vt:i4>
      </vt:variant>
      <vt:variant>
        <vt:i4>0</vt:i4>
      </vt:variant>
      <vt:variant>
        <vt:i4>5</vt:i4>
      </vt:variant>
      <vt:variant>
        <vt:lpwstr/>
      </vt:variant>
      <vt:variant>
        <vt:lpwstr>_ENREF_42</vt:lpwstr>
      </vt:variant>
      <vt:variant>
        <vt:i4>4521995</vt:i4>
      </vt:variant>
      <vt:variant>
        <vt:i4>500</vt:i4>
      </vt:variant>
      <vt:variant>
        <vt:i4>0</vt:i4>
      </vt:variant>
      <vt:variant>
        <vt:i4>5</vt:i4>
      </vt:variant>
      <vt:variant>
        <vt:lpwstr/>
      </vt:variant>
      <vt:variant>
        <vt:lpwstr>_ENREF_41</vt:lpwstr>
      </vt:variant>
      <vt:variant>
        <vt:i4>4521995</vt:i4>
      </vt:variant>
      <vt:variant>
        <vt:i4>494</vt:i4>
      </vt:variant>
      <vt:variant>
        <vt:i4>0</vt:i4>
      </vt:variant>
      <vt:variant>
        <vt:i4>5</vt:i4>
      </vt:variant>
      <vt:variant>
        <vt:lpwstr/>
      </vt:variant>
      <vt:variant>
        <vt:lpwstr>_ENREF_40</vt:lpwstr>
      </vt:variant>
      <vt:variant>
        <vt:i4>4325387</vt:i4>
      </vt:variant>
      <vt:variant>
        <vt:i4>488</vt:i4>
      </vt:variant>
      <vt:variant>
        <vt:i4>0</vt:i4>
      </vt:variant>
      <vt:variant>
        <vt:i4>5</vt:i4>
      </vt:variant>
      <vt:variant>
        <vt:lpwstr/>
      </vt:variant>
      <vt:variant>
        <vt:lpwstr>_ENREF_39</vt:lpwstr>
      </vt:variant>
      <vt:variant>
        <vt:i4>4325387</vt:i4>
      </vt:variant>
      <vt:variant>
        <vt:i4>480</vt:i4>
      </vt:variant>
      <vt:variant>
        <vt:i4>0</vt:i4>
      </vt:variant>
      <vt:variant>
        <vt:i4>5</vt:i4>
      </vt:variant>
      <vt:variant>
        <vt:lpwstr/>
      </vt:variant>
      <vt:variant>
        <vt:lpwstr>_ENREF_38</vt:lpwstr>
      </vt:variant>
      <vt:variant>
        <vt:i4>4325387</vt:i4>
      </vt:variant>
      <vt:variant>
        <vt:i4>474</vt:i4>
      </vt:variant>
      <vt:variant>
        <vt:i4>0</vt:i4>
      </vt:variant>
      <vt:variant>
        <vt:i4>5</vt:i4>
      </vt:variant>
      <vt:variant>
        <vt:lpwstr/>
      </vt:variant>
      <vt:variant>
        <vt:lpwstr>_ENREF_37</vt:lpwstr>
      </vt:variant>
      <vt:variant>
        <vt:i4>4325387</vt:i4>
      </vt:variant>
      <vt:variant>
        <vt:i4>466</vt:i4>
      </vt:variant>
      <vt:variant>
        <vt:i4>0</vt:i4>
      </vt:variant>
      <vt:variant>
        <vt:i4>5</vt:i4>
      </vt:variant>
      <vt:variant>
        <vt:lpwstr/>
      </vt:variant>
      <vt:variant>
        <vt:lpwstr>_ENREF_36</vt:lpwstr>
      </vt:variant>
      <vt:variant>
        <vt:i4>4325387</vt:i4>
      </vt:variant>
      <vt:variant>
        <vt:i4>460</vt:i4>
      </vt:variant>
      <vt:variant>
        <vt:i4>0</vt:i4>
      </vt:variant>
      <vt:variant>
        <vt:i4>5</vt:i4>
      </vt:variant>
      <vt:variant>
        <vt:lpwstr/>
      </vt:variant>
      <vt:variant>
        <vt:lpwstr>_ENREF_35</vt:lpwstr>
      </vt:variant>
      <vt:variant>
        <vt:i4>4325387</vt:i4>
      </vt:variant>
      <vt:variant>
        <vt:i4>454</vt:i4>
      </vt:variant>
      <vt:variant>
        <vt:i4>0</vt:i4>
      </vt:variant>
      <vt:variant>
        <vt:i4>5</vt:i4>
      </vt:variant>
      <vt:variant>
        <vt:lpwstr/>
      </vt:variant>
      <vt:variant>
        <vt:lpwstr>_ENREF_34</vt:lpwstr>
      </vt:variant>
      <vt:variant>
        <vt:i4>4325387</vt:i4>
      </vt:variant>
      <vt:variant>
        <vt:i4>451</vt:i4>
      </vt:variant>
      <vt:variant>
        <vt:i4>0</vt:i4>
      </vt:variant>
      <vt:variant>
        <vt:i4>5</vt:i4>
      </vt:variant>
      <vt:variant>
        <vt:lpwstr/>
      </vt:variant>
      <vt:variant>
        <vt:lpwstr>_ENREF_33</vt:lpwstr>
      </vt:variant>
      <vt:variant>
        <vt:i4>4325387</vt:i4>
      </vt:variant>
      <vt:variant>
        <vt:i4>443</vt:i4>
      </vt:variant>
      <vt:variant>
        <vt:i4>0</vt:i4>
      </vt:variant>
      <vt:variant>
        <vt:i4>5</vt:i4>
      </vt:variant>
      <vt:variant>
        <vt:lpwstr/>
      </vt:variant>
      <vt:variant>
        <vt:lpwstr>_ENREF_32</vt:lpwstr>
      </vt:variant>
      <vt:variant>
        <vt:i4>4390923</vt:i4>
      </vt:variant>
      <vt:variant>
        <vt:i4>435</vt:i4>
      </vt:variant>
      <vt:variant>
        <vt:i4>0</vt:i4>
      </vt:variant>
      <vt:variant>
        <vt:i4>5</vt:i4>
      </vt:variant>
      <vt:variant>
        <vt:lpwstr/>
      </vt:variant>
      <vt:variant>
        <vt:lpwstr>_ENREF_22</vt:lpwstr>
      </vt:variant>
      <vt:variant>
        <vt:i4>4325387</vt:i4>
      </vt:variant>
      <vt:variant>
        <vt:i4>427</vt:i4>
      </vt:variant>
      <vt:variant>
        <vt:i4>0</vt:i4>
      </vt:variant>
      <vt:variant>
        <vt:i4>5</vt:i4>
      </vt:variant>
      <vt:variant>
        <vt:lpwstr/>
      </vt:variant>
      <vt:variant>
        <vt:lpwstr>_ENREF_31</vt:lpwstr>
      </vt:variant>
      <vt:variant>
        <vt:i4>4194315</vt:i4>
      </vt:variant>
      <vt:variant>
        <vt:i4>421</vt:i4>
      </vt:variant>
      <vt:variant>
        <vt:i4>0</vt:i4>
      </vt:variant>
      <vt:variant>
        <vt:i4>5</vt:i4>
      </vt:variant>
      <vt:variant>
        <vt:lpwstr/>
      </vt:variant>
      <vt:variant>
        <vt:lpwstr>_ENREF_12</vt:lpwstr>
      </vt:variant>
      <vt:variant>
        <vt:i4>4194315</vt:i4>
      </vt:variant>
      <vt:variant>
        <vt:i4>413</vt:i4>
      </vt:variant>
      <vt:variant>
        <vt:i4>0</vt:i4>
      </vt:variant>
      <vt:variant>
        <vt:i4>5</vt:i4>
      </vt:variant>
      <vt:variant>
        <vt:lpwstr/>
      </vt:variant>
      <vt:variant>
        <vt:lpwstr>_ENREF_12</vt:lpwstr>
      </vt:variant>
      <vt:variant>
        <vt:i4>4325387</vt:i4>
      </vt:variant>
      <vt:variant>
        <vt:i4>405</vt:i4>
      </vt:variant>
      <vt:variant>
        <vt:i4>0</vt:i4>
      </vt:variant>
      <vt:variant>
        <vt:i4>5</vt:i4>
      </vt:variant>
      <vt:variant>
        <vt:lpwstr/>
      </vt:variant>
      <vt:variant>
        <vt:lpwstr>_ENREF_30</vt:lpwstr>
      </vt:variant>
      <vt:variant>
        <vt:i4>4194315</vt:i4>
      </vt:variant>
      <vt:variant>
        <vt:i4>402</vt:i4>
      </vt:variant>
      <vt:variant>
        <vt:i4>0</vt:i4>
      </vt:variant>
      <vt:variant>
        <vt:i4>5</vt:i4>
      </vt:variant>
      <vt:variant>
        <vt:lpwstr/>
      </vt:variant>
      <vt:variant>
        <vt:lpwstr>_ENREF_13</vt:lpwstr>
      </vt:variant>
      <vt:variant>
        <vt:i4>4194315</vt:i4>
      </vt:variant>
      <vt:variant>
        <vt:i4>399</vt:i4>
      </vt:variant>
      <vt:variant>
        <vt:i4>0</vt:i4>
      </vt:variant>
      <vt:variant>
        <vt:i4>5</vt:i4>
      </vt:variant>
      <vt:variant>
        <vt:lpwstr/>
      </vt:variant>
      <vt:variant>
        <vt:lpwstr>_ENREF_1</vt:lpwstr>
      </vt:variant>
      <vt:variant>
        <vt:i4>4194315</vt:i4>
      </vt:variant>
      <vt:variant>
        <vt:i4>391</vt:i4>
      </vt:variant>
      <vt:variant>
        <vt:i4>0</vt:i4>
      </vt:variant>
      <vt:variant>
        <vt:i4>5</vt:i4>
      </vt:variant>
      <vt:variant>
        <vt:lpwstr/>
      </vt:variant>
      <vt:variant>
        <vt:lpwstr>_ENREF_1</vt:lpwstr>
      </vt:variant>
      <vt:variant>
        <vt:i4>4390923</vt:i4>
      </vt:variant>
      <vt:variant>
        <vt:i4>383</vt:i4>
      </vt:variant>
      <vt:variant>
        <vt:i4>0</vt:i4>
      </vt:variant>
      <vt:variant>
        <vt:i4>5</vt:i4>
      </vt:variant>
      <vt:variant>
        <vt:lpwstr/>
      </vt:variant>
      <vt:variant>
        <vt:lpwstr>_ENREF_27</vt:lpwstr>
      </vt:variant>
      <vt:variant>
        <vt:i4>4390923</vt:i4>
      </vt:variant>
      <vt:variant>
        <vt:i4>375</vt:i4>
      </vt:variant>
      <vt:variant>
        <vt:i4>0</vt:i4>
      </vt:variant>
      <vt:variant>
        <vt:i4>5</vt:i4>
      </vt:variant>
      <vt:variant>
        <vt:lpwstr/>
      </vt:variant>
      <vt:variant>
        <vt:lpwstr>_ENREF_26</vt:lpwstr>
      </vt:variant>
      <vt:variant>
        <vt:i4>4390923</vt:i4>
      </vt:variant>
      <vt:variant>
        <vt:i4>369</vt:i4>
      </vt:variant>
      <vt:variant>
        <vt:i4>0</vt:i4>
      </vt:variant>
      <vt:variant>
        <vt:i4>5</vt:i4>
      </vt:variant>
      <vt:variant>
        <vt:lpwstr/>
      </vt:variant>
      <vt:variant>
        <vt:lpwstr>_ENREF_20</vt:lpwstr>
      </vt:variant>
      <vt:variant>
        <vt:i4>4194315</vt:i4>
      </vt:variant>
      <vt:variant>
        <vt:i4>366</vt:i4>
      </vt:variant>
      <vt:variant>
        <vt:i4>0</vt:i4>
      </vt:variant>
      <vt:variant>
        <vt:i4>5</vt:i4>
      </vt:variant>
      <vt:variant>
        <vt:lpwstr/>
      </vt:variant>
      <vt:variant>
        <vt:lpwstr>_ENREF_1</vt:lpwstr>
      </vt:variant>
      <vt:variant>
        <vt:i4>4390923</vt:i4>
      </vt:variant>
      <vt:variant>
        <vt:i4>358</vt:i4>
      </vt:variant>
      <vt:variant>
        <vt:i4>0</vt:i4>
      </vt:variant>
      <vt:variant>
        <vt:i4>5</vt:i4>
      </vt:variant>
      <vt:variant>
        <vt:lpwstr/>
      </vt:variant>
      <vt:variant>
        <vt:lpwstr>_ENREF_25</vt:lpwstr>
      </vt:variant>
      <vt:variant>
        <vt:i4>4390923</vt:i4>
      </vt:variant>
      <vt:variant>
        <vt:i4>352</vt:i4>
      </vt:variant>
      <vt:variant>
        <vt:i4>0</vt:i4>
      </vt:variant>
      <vt:variant>
        <vt:i4>5</vt:i4>
      </vt:variant>
      <vt:variant>
        <vt:lpwstr/>
      </vt:variant>
      <vt:variant>
        <vt:lpwstr>_ENREF_22</vt:lpwstr>
      </vt:variant>
      <vt:variant>
        <vt:i4>4390923</vt:i4>
      </vt:variant>
      <vt:variant>
        <vt:i4>344</vt:i4>
      </vt:variant>
      <vt:variant>
        <vt:i4>0</vt:i4>
      </vt:variant>
      <vt:variant>
        <vt:i4>5</vt:i4>
      </vt:variant>
      <vt:variant>
        <vt:lpwstr/>
      </vt:variant>
      <vt:variant>
        <vt:lpwstr>_ENREF_24</vt:lpwstr>
      </vt:variant>
      <vt:variant>
        <vt:i4>4194315</vt:i4>
      </vt:variant>
      <vt:variant>
        <vt:i4>336</vt:i4>
      </vt:variant>
      <vt:variant>
        <vt:i4>0</vt:i4>
      </vt:variant>
      <vt:variant>
        <vt:i4>5</vt:i4>
      </vt:variant>
      <vt:variant>
        <vt:lpwstr/>
      </vt:variant>
      <vt:variant>
        <vt:lpwstr>_ENREF_1</vt:lpwstr>
      </vt:variant>
      <vt:variant>
        <vt:i4>4390923</vt:i4>
      </vt:variant>
      <vt:variant>
        <vt:i4>328</vt:i4>
      </vt:variant>
      <vt:variant>
        <vt:i4>0</vt:i4>
      </vt:variant>
      <vt:variant>
        <vt:i4>5</vt:i4>
      </vt:variant>
      <vt:variant>
        <vt:lpwstr/>
      </vt:variant>
      <vt:variant>
        <vt:lpwstr>_ENREF_23</vt:lpwstr>
      </vt:variant>
      <vt:variant>
        <vt:i4>4390923</vt:i4>
      </vt:variant>
      <vt:variant>
        <vt:i4>322</vt:i4>
      </vt:variant>
      <vt:variant>
        <vt:i4>0</vt:i4>
      </vt:variant>
      <vt:variant>
        <vt:i4>5</vt:i4>
      </vt:variant>
      <vt:variant>
        <vt:lpwstr/>
      </vt:variant>
      <vt:variant>
        <vt:lpwstr>_ENREF_22</vt:lpwstr>
      </vt:variant>
      <vt:variant>
        <vt:i4>4521995</vt:i4>
      </vt:variant>
      <vt:variant>
        <vt:i4>314</vt:i4>
      </vt:variant>
      <vt:variant>
        <vt:i4>0</vt:i4>
      </vt:variant>
      <vt:variant>
        <vt:i4>5</vt:i4>
      </vt:variant>
      <vt:variant>
        <vt:lpwstr/>
      </vt:variant>
      <vt:variant>
        <vt:lpwstr>_ENREF_4</vt:lpwstr>
      </vt:variant>
      <vt:variant>
        <vt:i4>4194315</vt:i4>
      </vt:variant>
      <vt:variant>
        <vt:i4>311</vt:i4>
      </vt:variant>
      <vt:variant>
        <vt:i4>0</vt:i4>
      </vt:variant>
      <vt:variant>
        <vt:i4>5</vt:i4>
      </vt:variant>
      <vt:variant>
        <vt:lpwstr/>
      </vt:variant>
      <vt:variant>
        <vt:lpwstr>_ENREF_1</vt:lpwstr>
      </vt:variant>
      <vt:variant>
        <vt:i4>4390923</vt:i4>
      </vt:variant>
      <vt:variant>
        <vt:i4>303</vt:i4>
      </vt:variant>
      <vt:variant>
        <vt:i4>0</vt:i4>
      </vt:variant>
      <vt:variant>
        <vt:i4>5</vt:i4>
      </vt:variant>
      <vt:variant>
        <vt:lpwstr/>
      </vt:variant>
      <vt:variant>
        <vt:lpwstr>_ENREF_22</vt:lpwstr>
      </vt:variant>
      <vt:variant>
        <vt:i4>4390923</vt:i4>
      </vt:variant>
      <vt:variant>
        <vt:i4>295</vt:i4>
      </vt:variant>
      <vt:variant>
        <vt:i4>0</vt:i4>
      </vt:variant>
      <vt:variant>
        <vt:i4>5</vt:i4>
      </vt:variant>
      <vt:variant>
        <vt:lpwstr/>
      </vt:variant>
      <vt:variant>
        <vt:lpwstr>_ENREF_21</vt:lpwstr>
      </vt:variant>
      <vt:variant>
        <vt:i4>4194315</vt:i4>
      </vt:variant>
      <vt:variant>
        <vt:i4>289</vt:i4>
      </vt:variant>
      <vt:variant>
        <vt:i4>0</vt:i4>
      </vt:variant>
      <vt:variant>
        <vt:i4>5</vt:i4>
      </vt:variant>
      <vt:variant>
        <vt:lpwstr/>
      </vt:variant>
      <vt:variant>
        <vt:lpwstr>_ENREF_1</vt:lpwstr>
      </vt:variant>
      <vt:variant>
        <vt:i4>4390923</vt:i4>
      </vt:variant>
      <vt:variant>
        <vt:i4>281</vt:i4>
      </vt:variant>
      <vt:variant>
        <vt:i4>0</vt:i4>
      </vt:variant>
      <vt:variant>
        <vt:i4>5</vt:i4>
      </vt:variant>
      <vt:variant>
        <vt:lpwstr/>
      </vt:variant>
      <vt:variant>
        <vt:lpwstr>_ENREF_20</vt:lpwstr>
      </vt:variant>
      <vt:variant>
        <vt:i4>4194315</vt:i4>
      </vt:variant>
      <vt:variant>
        <vt:i4>273</vt:i4>
      </vt:variant>
      <vt:variant>
        <vt:i4>0</vt:i4>
      </vt:variant>
      <vt:variant>
        <vt:i4>5</vt:i4>
      </vt:variant>
      <vt:variant>
        <vt:lpwstr/>
      </vt:variant>
      <vt:variant>
        <vt:lpwstr>_ENREF_19</vt:lpwstr>
      </vt:variant>
      <vt:variant>
        <vt:i4>4194315</vt:i4>
      </vt:variant>
      <vt:variant>
        <vt:i4>270</vt:i4>
      </vt:variant>
      <vt:variant>
        <vt:i4>0</vt:i4>
      </vt:variant>
      <vt:variant>
        <vt:i4>5</vt:i4>
      </vt:variant>
      <vt:variant>
        <vt:lpwstr/>
      </vt:variant>
      <vt:variant>
        <vt:lpwstr>_ENREF_1</vt:lpwstr>
      </vt:variant>
      <vt:variant>
        <vt:i4>4194315</vt:i4>
      </vt:variant>
      <vt:variant>
        <vt:i4>262</vt:i4>
      </vt:variant>
      <vt:variant>
        <vt:i4>0</vt:i4>
      </vt:variant>
      <vt:variant>
        <vt:i4>5</vt:i4>
      </vt:variant>
      <vt:variant>
        <vt:lpwstr/>
      </vt:variant>
      <vt:variant>
        <vt:lpwstr>_ENREF_17</vt:lpwstr>
      </vt:variant>
      <vt:variant>
        <vt:i4>4194315</vt:i4>
      </vt:variant>
      <vt:variant>
        <vt:i4>254</vt:i4>
      </vt:variant>
      <vt:variant>
        <vt:i4>0</vt:i4>
      </vt:variant>
      <vt:variant>
        <vt:i4>5</vt:i4>
      </vt:variant>
      <vt:variant>
        <vt:lpwstr/>
      </vt:variant>
      <vt:variant>
        <vt:lpwstr>_ENREF_17</vt:lpwstr>
      </vt:variant>
      <vt:variant>
        <vt:i4>4194315</vt:i4>
      </vt:variant>
      <vt:variant>
        <vt:i4>246</vt:i4>
      </vt:variant>
      <vt:variant>
        <vt:i4>0</vt:i4>
      </vt:variant>
      <vt:variant>
        <vt:i4>5</vt:i4>
      </vt:variant>
      <vt:variant>
        <vt:lpwstr/>
      </vt:variant>
      <vt:variant>
        <vt:lpwstr>_ENREF_1</vt:lpwstr>
      </vt:variant>
      <vt:variant>
        <vt:i4>4194315</vt:i4>
      </vt:variant>
      <vt:variant>
        <vt:i4>238</vt:i4>
      </vt:variant>
      <vt:variant>
        <vt:i4>0</vt:i4>
      </vt:variant>
      <vt:variant>
        <vt:i4>5</vt:i4>
      </vt:variant>
      <vt:variant>
        <vt:lpwstr/>
      </vt:variant>
      <vt:variant>
        <vt:lpwstr>_ENREF_16</vt:lpwstr>
      </vt:variant>
      <vt:variant>
        <vt:i4>4194315</vt:i4>
      </vt:variant>
      <vt:variant>
        <vt:i4>235</vt:i4>
      </vt:variant>
      <vt:variant>
        <vt:i4>0</vt:i4>
      </vt:variant>
      <vt:variant>
        <vt:i4>5</vt:i4>
      </vt:variant>
      <vt:variant>
        <vt:lpwstr/>
      </vt:variant>
      <vt:variant>
        <vt:lpwstr>_ENREF_1</vt:lpwstr>
      </vt:variant>
      <vt:variant>
        <vt:i4>4194315</vt:i4>
      </vt:variant>
      <vt:variant>
        <vt:i4>227</vt:i4>
      </vt:variant>
      <vt:variant>
        <vt:i4>0</vt:i4>
      </vt:variant>
      <vt:variant>
        <vt:i4>5</vt:i4>
      </vt:variant>
      <vt:variant>
        <vt:lpwstr/>
      </vt:variant>
      <vt:variant>
        <vt:lpwstr>_ENREF_16</vt:lpwstr>
      </vt:variant>
      <vt:variant>
        <vt:i4>4194315</vt:i4>
      </vt:variant>
      <vt:variant>
        <vt:i4>224</vt:i4>
      </vt:variant>
      <vt:variant>
        <vt:i4>0</vt:i4>
      </vt:variant>
      <vt:variant>
        <vt:i4>5</vt:i4>
      </vt:variant>
      <vt:variant>
        <vt:lpwstr/>
      </vt:variant>
      <vt:variant>
        <vt:lpwstr>_ENREF_1</vt:lpwstr>
      </vt:variant>
      <vt:variant>
        <vt:i4>4194315</vt:i4>
      </vt:variant>
      <vt:variant>
        <vt:i4>216</vt:i4>
      </vt:variant>
      <vt:variant>
        <vt:i4>0</vt:i4>
      </vt:variant>
      <vt:variant>
        <vt:i4>5</vt:i4>
      </vt:variant>
      <vt:variant>
        <vt:lpwstr/>
      </vt:variant>
      <vt:variant>
        <vt:lpwstr>_ENREF_12</vt:lpwstr>
      </vt:variant>
      <vt:variant>
        <vt:i4>4194315</vt:i4>
      </vt:variant>
      <vt:variant>
        <vt:i4>208</vt:i4>
      </vt:variant>
      <vt:variant>
        <vt:i4>0</vt:i4>
      </vt:variant>
      <vt:variant>
        <vt:i4>5</vt:i4>
      </vt:variant>
      <vt:variant>
        <vt:lpwstr/>
      </vt:variant>
      <vt:variant>
        <vt:lpwstr>_ENREF_1</vt:lpwstr>
      </vt:variant>
      <vt:variant>
        <vt:i4>4194315</vt:i4>
      </vt:variant>
      <vt:variant>
        <vt:i4>200</vt:i4>
      </vt:variant>
      <vt:variant>
        <vt:i4>0</vt:i4>
      </vt:variant>
      <vt:variant>
        <vt:i4>5</vt:i4>
      </vt:variant>
      <vt:variant>
        <vt:lpwstr/>
      </vt:variant>
      <vt:variant>
        <vt:lpwstr>_ENREF_1</vt:lpwstr>
      </vt:variant>
      <vt:variant>
        <vt:i4>4194315</vt:i4>
      </vt:variant>
      <vt:variant>
        <vt:i4>192</vt:i4>
      </vt:variant>
      <vt:variant>
        <vt:i4>0</vt:i4>
      </vt:variant>
      <vt:variant>
        <vt:i4>5</vt:i4>
      </vt:variant>
      <vt:variant>
        <vt:lpwstr/>
      </vt:variant>
      <vt:variant>
        <vt:lpwstr>_ENREF_1</vt:lpwstr>
      </vt:variant>
      <vt:variant>
        <vt:i4>4194315</vt:i4>
      </vt:variant>
      <vt:variant>
        <vt:i4>184</vt:i4>
      </vt:variant>
      <vt:variant>
        <vt:i4>0</vt:i4>
      </vt:variant>
      <vt:variant>
        <vt:i4>5</vt:i4>
      </vt:variant>
      <vt:variant>
        <vt:lpwstr/>
      </vt:variant>
      <vt:variant>
        <vt:lpwstr>_ENREF_1</vt:lpwstr>
      </vt:variant>
      <vt:variant>
        <vt:i4>4194315</vt:i4>
      </vt:variant>
      <vt:variant>
        <vt:i4>176</vt:i4>
      </vt:variant>
      <vt:variant>
        <vt:i4>0</vt:i4>
      </vt:variant>
      <vt:variant>
        <vt:i4>5</vt:i4>
      </vt:variant>
      <vt:variant>
        <vt:lpwstr/>
      </vt:variant>
      <vt:variant>
        <vt:lpwstr>_ENREF_1</vt:lpwstr>
      </vt:variant>
      <vt:variant>
        <vt:i4>4194315</vt:i4>
      </vt:variant>
      <vt:variant>
        <vt:i4>168</vt:i4>
      </vt:variant>
      <vt:variant>
        <vt:i4>0</vt:i4>
      </vt:variant>
      <vt:variant>
        <vt:i4>5</vt:i4>
      </vt:variant>
      <vt:variant>
        <vt:lpwstr/>
      </vt:variant>
      <vt:variant>
        <vt:lpwstr>_ENREF_1</vt:lpwstr>
      </vt:variant>
      <vt:variant>
        <vt:i4>4194315</vt:i4>
      </vt:variant>
      <vt:variant>
        <vt:i4>160</vt:i4>
      </vt:variant>
      <vt:variant>
        <vt:i4>0</vt:i4>
      </vt:variant>
      <vt:variant>
        <vt:i4>5</vt:i4>
      </vt:variant>
      <vt:variant>
        <vt:lpwstr/>
      </vt:variant>
      <vt:variant>
        <vt:lpwstr>_ENREF_11</vt:lpwstr>
      </vt:variant>
      <vt:variant>
        <vt:i4>4194315</vt:i4>
      </vt:variant>
      <vt:variant>
        <vt:i4>152</vt:i4>
      </vt:variant>
      <vt:variant>
        <vt:i4>0</vt:i4>
      </vt:variant>
      <vt:variant>
        <vt:i4>5</vt:i4>
      </vt:variant>
      <vt:variant>
        <vt:lpwstr/>
      </vt:variant>
      <vt:variant>
        <vt:lpwstr>_ENREF_1</vt:lpwstr>
      </vt:variant>
      <vt:variant>
        <vt:i4>4194315</vt:i4>
      </vt:variant>
      <vt:variant>
        <vt:i4>144</vt:i4>
      </vt:variant>
      <vt:variant>
        <vt:i4>0</vt:i4>
      </vt:variant>
      <vt:variant>
        <vt:i4>5</vt:i4>
      </vt:variant>
      <vt:variant>
        <vt:lpwstr/>
      </vt:variant>
      <vt:variant>
        <vt:lpwstr>_ENREF_1</vt:lpwstr>
      </vt:variant>
      <vt:variant>
        <vt:i4>4194315</vt:i4>
      </vt:variant>
      <vt:variant>
        <vt:i4>136</vt:i4>
      </vt:variant>
      <vt:variant>
        <vt:i4>0</vt:i4>
      </vt:variant>
      <vt:variant>
        <vt:i4>5</vt:i4>
      </vt:variant>
      <vt:variant>
        <vt:lpwstr/>
      </vt:variant>
      <vt:variant>
        <vt:lpwstr>_ENREF_1</vt:lpwstr>
      </vt:variant>
      <vt:variant>
        <vt:i4>4194315</vt:i4>
      </vt:variant>
      <vt:variant>
        <vt:i4>128</vt:i4>
      </vt:variant>
      <vt:variant>
        <vt:i4>0</vt:i4>
      </vt:variant>
      <vt:variant>
        <vt:i4>5</vt:i4>
      </vt:variant>
      <vt:variant>
        <vt:lpwstr/>
      </vt:variant>
      <vt:variant>
        <vt:lpwstr>_ENREF_10</vt:lpwstr>
      </vt:variant>
      <vt:variant>
        <vt:i4>4194315</vt:i4>
      </vt:variant>
      <vt:variant>
        <vt:i4>122</vt:i4>
      </vt:variant>
      <vt:variant>
        <vt:i4>0</vt:i4>
      </vt:variant>
      <vt:variant>
        <vt:i4>5</vt:i4>
      </vt:variant>
      <vt:variant>
        <vt:lpwstr/>
      </vt:variant>
      <vt:variant>
        <vt:lpwstr>_ENREF_1</vt:lpwstr>
      </vt:variant>
      <vt:variant>
        <vt:i4>4718603</vt:i4>
      </vt:variant>
      <vt:variant>
        <vt:i4>114</vt:i4>
      </vt:variant>
      <vt:variant>
        <vt:i4>0</vt:i4>
      </vt:variant>
      <vt:variant>
        <vt:i4>5</vt:i4>
      </vt:variant>
      <vt:variant>
        <vt:lpwstr/>
      </vt:variant>
      <vt:variant>
        <vt:lpwstr>_ENREF_9</vt:lpwstr>
      </vt:variant>
      <vt:variant>
        <vt:i4>4784139</vt:i4>
      </vt:variant>
      <vt:variant>
        <vt:i4>108</vt:i4>
      </vt:variant>
      <vt:variant>
        <vt:i4>0</vt:i4>
      </vt:variant>
      <vt:variant>
        <vt:i4>5</vt:i4>
      </vt:variant>
      <vt:variant>
        <vt:lpwstr/>
      </vt:variant>
      <vt:variant>
        <vt:lpwstr>_ENREF_8</vt:lpwstr>
      </vt:variant>
      <vt:variant>
        <vt:i4>4456459</vt:i4>
      </vt:variant>
      <vt:variant>
        <vt:i4>102</vt:i4>
      </vt:variant>
      <vt:variant>
        <vt:i4>0</vt:i4>
      </vt:variant>
      <vt:variant>
        <vt:i4>5</vt:i4>
      </vt:variant>
      <vt:variant>
        <vt:lpwstr/>
      </vt:variant>
      <vt:variant>
        <vt:lpwstr>_ENREF_5</vt:lpwstr>
      </vt:variant>
      <vt:variant>
        <vt:i4>4587531</vt:i4>
      </vt:variant>
      <vt:variant>
        <vt:i4>96</vt:i4>
      </vt:variant>
      <vt:variant>
        <vt:i4>0</vt:i4>
      </vt:variant>
      <vt:variant>
        <vt:i4>5</vt:i4>
      </vt:variant>
      <vt:variant>
        <vt:lpwstr/>
      </vt:variant>
      <vt:variant>
        <vt:lpwstr>_ENREF_7</vt:lpwstr>
      </vt:variant>
      <vt:variant>
        <vt:i4>4653067</vt:i4>
      </vt:variant>
      <vt:variant>
        <vt:i4>93</vt:i4>
      </vt:variant>
      <vt:variant>
        <vt:i4>0</vt:i4>
      </vt:variant>
      <vt:variant>
        <vt:i4>5</vt:i4>
      </vt:variant>
      <vt:variant>
        <vt:lpwstr/>
      </vt:variant>
      <vt:variant>
        <vt:lpwstr>_ENREF_6</vt:lpwstr>
      </vt:variant>
      <vt:variant>
        <vt:i4>4194315</vt:i4>
      </vt:variant>
      <vt:variant>
        <vt:i4>90</vt:i4>
      </vt:variant>
      <vt:variant>
        <vt:i4>0</vt:i4>
      </vt:variant>
      <vt:variant>
        <vt:i4>5</vt:i4>
      </vt:variant>
      <vt:variant>
        <vt:lpwstr/>
      </vt:variant>
      <vt:variant>
        <vt:lpwstr>_ENREF_1</vt:lpwstr>
      </vt:variant>
      <vt:variant>
        <vt:i4>4521995</vt:i4>
      </vt:variant>
      <vt:variant>
        <vt:i4>82</vt:i4>
      </vt:variant>
      <vt:variant>
        <vt:i4>0</vt:i4>
      </vt:variant>
      <vt:variant>
        <vt:i4>5</vt:i4>
      </vt:variant>
      <vt:variant>
        <vt:lpwstr/>
      </vt:variant>
      <vt:variant>
        <vt:lpwstr>_ENREF_4</vt:lpwstr>
      </vt:variant>
      <vt:variant>
        <vt:i4>4456459</vt:i4>
      </vt:variant>
      <vt:variant>
        <vt:i4>74</vt:i4>
      </vt:variant>
      <vt:variant>
        <vt:i4>0</vt:i4>
      </vt:variant>
      <vt:variant>
        <vt:i4>5</vt:i4>
      </vt:variant>
      <vt:variant>
        <vt:lpwstr/>
      </vt:variant>
      <vt:variant>
        <vt:lpwstr>_ENREF_5</vt:lpwstr>
      </vt:variant>
      <vt:variant>
        <vt:i4>4521995</vt:i4>
      </vt:variant>
      <vt:variant>
        <vt:i4>68</vt:i4>
      </vt:variant>
      <vt:variant>
        <vt:i4>0</vt:i4>
      </vt:variant>
      <vt:variant>
        <vt:i4>5</vt:i4>
      </vt:variant>
      <vt:variant>
        <vt:lpwstr/>
      </vt:variant>
      <vt:variant>
        <vt:lpwstr>_ENREF_4</vt:lpwstr>
      </vt:variant>
      <vt:variant>
        <vt:i4>4521995</vt:i4>
      </vt:variant>
      <vt:variant>
        <vt:i4>62</vt:i4>
      </vt:variant>
      <vt:variant>
        <vt:i4>0</vt:i4>
      </vt:variant>
      <vt:variant>
        <vt:i4>5</vt:i4>
      </vt:variant>
      <vt:variant>
        <vt:lpwstr/>
      </vt:variant>
      <vt:variant>
        <vt:lpwstr>_ENREF_4</vt:lpwstr>
      </vt:variant>
      <vt:variant>
        <vt:i4>4194315</vt:i4>
      </vt:variant>
      <vt:variant>
        <vt:i4>59</vt:i4>
      </vt:variant>
      <vt:variant>
        <vt:i4>0</vt:i4>
      </vt:variant>
      <vt:variant>
        <vt:i4>5</vt:i4>
      </vt:variant>
      <vt:variant>
        <vt:lpwstr/>
      </vt:variant>
      <vt:variant>
        <vt:lpwstr>_ENREF_1</vt:lpwstr>
      </vt:variant>
      <vt:variant>
        <vt:i4>4325387</vt:i4>
      </vt:variant>
      <vt:variant>
        <vt:i4>51</vt:i4>
      </vt:variant>
      <vt:variant>
        <vt:i4>0</vt:i4>
      </vt:variant>
      <vt:variant>
        <vt:i4>5</vt:i4>
      </vt:variant>
      <vt:variant>
        <vt:lpwstr/>
      </vt:variant>
      <vt:variant>
        <vt:lpwstr>_ENREF_3</vt:lpwstr>
      </vt:variant>
      <vt:variant>
        <vt:i4>4390923</vt:i4>
      </vt:variant>
      <vt:variant>
        <vt:i4>45</vt:i4>
      </vt:variant>
      <vt:variant>
        <vt:i4>0</vt:i4>
      </vt:variant>
      <vt:variant>
        <vt:i4>5</vt:i4>
      </vt:variant>
      <vt:variant>
        <vt:lpwstr/>
      </vt:variant>
      <vt:variant>
        <vt:lpwstr>_ENREF_2</vt:lpwstr>
      </vt:variant>
      <vt:variant>
        <vt:i4>4194315</vt:i4>
      </vt:variant>
      <vt:variant>
        <vt:i4>39</vt:i4>
      </vt:variant>
      <vt:variant>
        <vt:i4>0</vt:i4>
      </vt:variant>
      <vt:variant>
        <vt:i4>5</vt:i4>
      </vt:variant>
      <vt:variant>
        <vt:lpwstr/>
      </vt:variant>
      <vt:variant>
        <vt:lpwstr>_ENREF_1</vt:lpwstr>
      </vt:variant>
      <vt:variant>
        <vt:i4>4194315</vt:i4>
      </vt:variant>
      <vt:variant>
        <vt:i4>31</vt:i4>
      </vt:variant>
      <vt:variant>
        <vt:i4>0</vt:i4>
      </vt:variant>
      <vt:variant>
        <vt:i4>5</vt:i4>
      </vt:variant>
      <vt:variant>
        <vt:lpwstr/>
      </vt:variant>
      <vt:variant>
        <vt:lpwstr>_ENREF_1</vt:lpwstr>
      </vt:variant>
      <vt:variant>
        <vt:i4>4194315</vt:i4>
      </vt:variant>
      <vt:variant>
        <vt:i4>23</vt:i4>
      </vt:variant>
      <vt:variant>
        <vt:i4>0</vt:i4>
      </vt:variant>
      <vt:variant>
        <vt:i4>5</vt:i4>
      </vt:variant>
      <vt:variant>
        <vt:lpwstr/>
      </vt:variant>
      <vt:variant>
        <vt:lpwstr>_ENREF_1</vt:lpwstr>
      </vt:variant>
      <vt:variant>
        <vt:i4>4194315</vt:i4>
      </vt:variant>
      <vt:variant>
        <vt:i4>15</vt:i4>
      </vt:variant>
      <vt:variant>
        <vt:i4>0</vt:i4>
      </vt:variant>
      <vt:variant>
        <vt:i4>5</vt:i4>
      </vt:variant>
      <vt:variant>
        <vt:lpwstr/>
      </vt:variant>
      <vt:variant>
        <vt:lpwstr>_ENREF_1</vt:lpwstr>
      </vt:variant>
      <vt:variant>
        <vt:i4>4194315</vt:i4>
      </vt:variant>
      <vt:variant>
        <vt:i4>7</vt:i4>
      </vt:variant>
      <vt:variant>
        <vt:i4>0</vt:i4>
      </vt:variant>
      <vt:variant>
        <vt:i4>5</vt:i4>
      </vt:variant>
      <vt:variant>
        <vt:lpwstr/>
      </vt:variant>
      <vt:variant>
        <vt:lpwstr>_ENREF_1</vt:lpwstr>
      </vt:variant>
      <vt:variant>
        <vt:i4>8323084</vt:i4>
      </vt:variant>
      <vt:variant>
        <vt:i4>0</vt:i4>
      </vt:variant>
      <vt:variant>
        <vt:i4>0</vt:i4>
      </vt:variant>
      <vt:variant>
        <vt:i4>5</vt:i4>
      </vt:variant>
      <vt:variant>
        <vt:lpwstr>mailto:w.j.Pontefract@shef.ac.uk</vt:lpwstr>
      </vt:variant>
      <vt:variant>
        <vt:lpwstr/>
      </vt:variant>
      <vt:variant>
        <vt:i4>2818103</vt:i4>
      </vt:variant>
      <vt:variant>
        <vt:i4>3</vt:i4>
      </vt:variant>
      <vt:variant>
        <vt:i4>0</vt:i4>
      </vt:variant>
      <vt:variant>
        <vt:i4>5</vt:i4>
      </vt:variant>
      <vt:variant>
        <vt:lpwstr>https://www.ncbi.nlm.nih.gov/pubmed?term=90%5Bvolume%5D+AND+2816%5Bpage%5D+AND+2005%5Bpdat%5D&amp;cmd=detailssearch</vt:lpwstr>
      </vt:variant>
      <vt:variant>
        <vt:lpwstr/>
      </vt:variant>
      <vt:variant>
        <vt:i4>4390996</vt:i4>
      </vt:variant>
      <vt:variant>
        <vt:i4>0</vt:i4>
      </vt:variant>
      <vt:variant>
        <vt:i4>0</vt:i4>
      </vt:variant>
      <vt:variant>
        <vt:i4>5</vt:i4>
      </vt:variant>
      <vt:variant>
        <vt:lpwstr>https://www.ncbi.nlm.nih.gov/pubmed?term=2016%5Bpdat%5D+AND+Rosengren+BE%5Bfirst+author%5D&amp;cmd=detailssearch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Special/Satellite/Technical Symposium</dc:title>
  <dc:subject/>
  <dc:creator>fredrik.ehrenborg</dc:creator>
  <cp:keywords/>
  <cp:lastModifiedBy>Karen Drake</cp:lastModifiedBy>
  <cp:revision>3</cp:revision>
  <cp:lastPrinted>2019-11-18T09:22:00Z</cp:lastPrinted>
  <dcterms:created xsi:type="dcterms:W3CDTF">2019-11-18T09:04:00Z</dcterms:created>
  <dcterms:modified xsi:type="dcterms:W3CDTF">2019-11-18T09:23:00Z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