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77860099"/>
        <w:docPartObj>
          <w:docPartGallery w:val="Cover Pages"/>
          <w:docPartUnique/>
        </w:docPartObj>
      </w:sdtPr>
      <w:sdtEndPr/>
      <w:sdtContent>
        <w:p w:rsidR="00163BC4" w:rsidRDefault="00163BC4" w:rsidP="00163BC4">
          <w:pPr>
            <w:spacing w:line="480" w:lineRule="auto"/>
            <w:ind w:firstLine="0"/>
            <w:rPr>
              <w:rStyle w:val="Heading1Char"/>
              <w:rFonts w:asciiTheme="minorHAnsi" w:hAnsiTheme="minorHAnsi" w:cstheme="minorHAnsi"/>
              <w:b w:val="0"/>
              <w:sz w:val="22"/>
              <w:szCs w:val="22"/>
            </w:rPr>
          </w:pPr>
          <w:r>
            <w:rPr>
              <w:rStyle w:val="Heading1Char"/>
              <w:rFonts w:asciiTheme="minorHAnsi" w:hAnsiTheme="minorHAnsi" w:cstheme="minorHAnsi"/>
              <w:b w:val="0"/>
              <w:sz w:val="22"/>
              <w:szCs w:val="22"/>
            </w:rPr>
            <w:t>M</w:t>
          </w:r>
          <w:r w:rsidRPr="00024BA6">
            <w:rPr>
              <w:rStyle w:val="Heading1Char"/>
              <w:rFonts w:asciiTheme="minorHAnsi" w:hAnsiTheme="minorHAnsi" w:cstheme="minorHAnsi"/>
              <w:b w:val="0"/>
              <w:sz w:val="22"/>
              <w:szCs w:val="22"/>
            </w:rPr>
            <w:t xml:space="preserve">aternal interpregnancy weight change and </w:t>
          </w:r>
          <w:r>
            <w:rPr>
              <w:rStyle w:val="Heading1Char"/>
              <w:rFonts w:asciiTheme="minorHAnsi" w:hAnsiTheme="minorHAnsi" w:cstheme="minorHAnsi"/>
              <w:b w:val="0"/>
              <w:sz w:val="22"/>
              <w:szCs w:val="22"/>
            </w:rPr>
            <w:t>premature birth:</w:t>
          </w:r>
          <w:r w:rsidRPr="00024BA6">
            <w:rPr>
              <w:rStyle w:val="Heading1Char"/>
              <w:rFonts w:asciiTheme="minorHAnsi" w:hAnsiTheme="minorHAnsi" w:cstheme="minorHAnsi"/>
              <w:b w:val="0"/>
              <w:sz w:val="22"/>
              <w:szCs w:val="22"/>
            </w:rPr>
            <w:t xml:space="preserve"> </w:t>
          </w:r>
          <w:r>
            <w:rPr>
              <w:rStyle w:val="Heading1Char"/>
              <w:rFonts w:asciiTheme="minorHAnsi" w:hAnsiTheme="minorHAnsi" w:cstheme="minorHAnsi"/>
              <w:b w:val="0"/>
              <w:sz w:val="22"/>
              <w:szCs w:val="22"/>
            </w:rPr>
            <w:t>findings from an English</w:t>
          </w:r>
          <w:r w:rsidRPr="00024BA6">
            <w:rPr>
              <w:rStyle w:val="Heading1Char"/>
              <w:rFonts w:asciiTheme="minorHAnsi" w:hAnsiTheme="minorHAnsi" w:cstheme="minorHAnsi"/>
              <w:b w:val="0"/>
              <w:sz w:val="22"/>
              <w:szCs w:val="22"/>
            </w:rPr>
            <w:t xml:space="preserve"> population-based cohort study</w:t>
          </w:r>
        </w:p>
        <w:p w:rsidR="00163BC4" w:rsidRDefault="00163BC4" w:rsidP="00163BC4">
          <w:pPr>
            <w:spacing w:line="480" w:lineRule="auto"/>
            <w:ind w:firstLine="0"/>
            <w:rPr>
              <w:rStyle w:val="Heading1Char"/>
              <w:rFonts w:asciiTheme="minorHAnsi" w:hAnsiTheme="minorHAnsi" w:cstheme="minorHAnsi"/>
              <w:b w:val="0"/>
              <w:sz w:val="22"/>
              <w:szCs w:val="22"/>
            </w:rPr>
          </w:pPr>
        </w:p>
        <w:p w:rsidR="00163BC4" w:rsidRDefault="00163BC4" w:rsidP="00163BC4">
          <w:pPr>
            <w:spacing w:line="480" w:lineRule="auto"/>
            <w:ind w:firstLine="0"/>
            <w:rPr>
              <w:rStyle w:val="Heading1Char"/>
              <w:rFonts w:asciiTheme="minorHAnsi" w:hAnsiTheme="minorHAnsi" w:cstheme="minorHAnsi"/>
              <w:b w:val="0"/>
              <w:sz w:val="22"/>
              <w:szCs w:val="22"/>
            </w:rPr>
          </w:pPr>
          <w:r w:rsidRPr="00C47770">
            <w:rPr>
              <w:rStyle w:val="Heading1Char"/>
              <w:rFonts w:asciiTheme="minorHAnsi" w:hAnsiTheme="minorHAnsi" w:cstheme="minorHAnsi"/>
              <w:b w:val="0"/>
              <w:sz w:val="22"/>
              <w:szCs w:val="22"/>
            </w:rPr>
            <w:t xml:space="preserve">(Short title: </w:t>
          </w:r>
          <w:r>
            <w:rPr>
              <w:rStyle w:val="Heading1Char"/>
              <w:rFonts w:asciiTheme="minorHAnsi" w:hAnsiTheme="minorHAnsi" w:cstheme="minorHAnsi"/>
              <w:b w:val="0"/>
              <w:sz w:val="22"/>
              <w:szCs w:val="22"/>
            </w:rPr>
            <w:t>I</w:t>
          </w:r>
          <w:r w:rsidRPr="00C47770">
            <w:rPr>
              <w:rStyle w:val="Heading1Char"/>
              <w:rFonts w:asciiTheme="minorHAnsi" w:hAnsiTheme="minorHAnsi" w:cstheme="minorHAnsi"/>
              <w:b w:val="0"/>
              <w:sz w:val="22"/>
              <w:szCs w:val="22"/>
            </w:rPr>
            <w:t>nterpregnancy weight change and premature birth)</w:t>
          </w:r>
        </w:p>
        <w:p w:rsidR="00163BC4" w:rsidRPr="00C47770" w:rsidRDefault="00163BC4" w:rsidP="00163BC4">
          <w:pPr>
            <w:spacing w:line="480" w:lineRule="auto"/>
            <w:ind w:firstLine="0"/>
            <w:rPr>
              <w:rStyle w:val="Heading1Char"/>
              <w:rFonts w:asciiTheme="minorHAnsi" w:hAnsiTheme="minorHAnsi" w:cstheme="minorHAnsi"/>
              <w:b w:val="0"/>
              <w:sz w:val="22"/>
              <w:szCs w:val="22"/>
            </w:rPr>
          </w:pPr>
        </w:p>
        <w:p w:rsidR="00163BC4" w:rsidRPr="00204287" w:rsidRDefault="00163BC4" w:rsidP="00163BC4">
          <w:pPr>
            <w:spacing w:line="480" w:lineRule="auto"/>
            <w:rPr>
              <w:lang w:val="en-US"/>
            </w:rPr>
          </w:pPr>
          <w:r>
            <w:rPr>
              <w:rStyle w:val="Heading1Char"/>
              <w:rFonts w:asciiTheme="minorHAnsi" w:hAnsiTheme="minorHAnsi" w:cstheme="minorHAnsi"/>
              <w:b w:val="0"/>
              <w:sz w:val="22"/>
              <w:szCs w:val="22"/>
            </w:rPr>
            <w:t>Grace</w:t>
          </w:r>
          <w:r w:rsidRPr="001A6D34">
            <w:rPr>
              <w:rStyle w:val="Heading1Char"/>
              <w:rFonts w:asciiTheme="minorHAnsi" w:hAnsiTheme="minorHAnsi" w:cstheme="minorHAnsi"/>
              <w:b w:val="0"/>
              <w:sz w:val="22"/>
              <w:szCs w:val="22"/>
            </w:rPr>
            <w:t xml:space="preserve"> Grove</w:t>
          </w:r>
          <w:r>
            <w:rPr>
              <w:rStyle w:val="Heading1Char"/>
              <w:rFonts w:asciiTheme="minorHAnsi" w:hAnsiTheme="minorHAnsi" w:cstheme="minorHAnsi"/>
              <w:b w:val="0"/>
              <w:sz w:val="22"/>
              <w:szCs w:val="22"/>
              <w:vertAlign w:val="superscript"/>
            </w:rPr>
            <w:t>1</w:t>
          </w:r>
          <w:r>
            <w:rPr>
              <w:rStyle w:val="Heading1Char"/>
              <w:rFonts w:asciiTheme="minorHAnsi" w:hAnsiTheme="minorHAnsi" w:cstheme="minorHAnsi"/>
              <w:b w:val="0"/>
              <w:sz w:val="22"/>
              <w:szCs w:val="22"/>
            </w:rPr>
            <w:t>, Nida</w:t>
          </w:r>
          <w:r w:rsidRPr="001A6D34">
            <w:rPr>
              <w:rStyle w:val="Heading1Char"/>
              <w:b w:val="0"/>
            </w:rPr>
            <w:t xml:space="preserve"> </w:t>
          </w:r>
          <w:r w:rsidRPr="001A6D34">
            <w:rPr>
              <w:lang w:val="en-US"/>
            </w:rPr>
            <w:t>Ziauddeen</w:t>
          </w:r>
          <w:r>
            <w:rPr>
              <w:vertAlign w:val="superscript"/>
              <w:lang w:val="en-US"/>
            </w:rPr>
            <w:t>1</w:t>
          </w:r>
          <w:r>
            <w:rPr>
              <w:lang w:val="en-US"/>
            </w:rPr>
            <w:t>, Scott Harris</w:t>
          </w:r>
          <w:r>
            <w:rPr>
              <w:vertAlign w:val="superscript"/>
              <w:lang w:val="en-US"/>
            </w:rPr>
            <w:t>1</w:t>
          </w:r>
          <w:r>
            <w:rPr>
              <w:lang w:val="en-US"/>
            </w:rPr>
            <w:t xml:space="preserve">, Nisreen A. </w:t>
          </w:r>
          <w:r w:rsidRPr="00763DC0">
            <w:rPr>
              <w:lang w:val="en-US"/>
            </w:rPr>
            <w:t>Alwan</w:t>
          </w:r>
          <w:r w:rsidRPr="00763DC0">
            <w:rPr>
              <w:vertAlign w:val="superscript"/>
              <w:lang w:val="en-US"/>
            </w:rPr>
            <w:t>1,2</w:t>
          </w:r>
          <w:r>
            <w:rPr>
              <w:lang w:val="en-US"/>
            </w:rPr>
            <w:t>*</w:t>
          </w:r>
        </w:p>
        <w:p w:rsidR="00163BC4" w:rsidRPr="00763DC0" w:rsidRDefault="00163BC4" w:rsidP="00163BC4">
          <w:pPr>
            <w:spacing w:line="480" w:lineRule="auto"/>
            <w:ind w:firstLine="0"/>
            <w:rPr>
              <w:rStyle w:val="Heading1Char"/>
              <w:rFonts w:asciiTheme="minorHAnsi" w:hAnsiTheme="minorHAnsi" w:cstheme="minorHAnsi"/>
              <w:b w:val="0"/>
              <w:sz w:val="22"/>
              <w:szCs w:val="22"/>
            </w:rPr>
          </w:pPr>
          <w:r w:rsidRPr="00763DC0">
            <w:rPr>
              <w:rStyle w:val="Heading1Char"/>
              <w:rFonts w:asciiTheme="minorHAnsi" w:hAnsiTheme="minorHAnsi" w:cstheme="minorHAnsi"/>
              <w:b w:val="0"/>
              <w:sz w:val="22"/>
              <w:szCs w:val="22"/>
              <w:vertAlign w:val="superscript"/>
            </w:rPr>
            <w:t>1</w:t>
          </w:r>
          <w:r w:rsidRPr="00763DC0">
            <w:rPr>
              <w:rStyle w:val="Heading1Char"/>
              <w:rFonts w:asciiTheme="minorHAnsi" w:hAnsiTheme="minorHAnsi" w:cstheme="minorHAnsi"/>
              <w:b w:val="0"/>
              <w:sz w:val="22"/>
              <w:szCs w:val="22"/>
            </w:rPr>
            <w:t>School of Primary Care</w:t>
          </w:r>
          <w:r>
            <w:rPr>
              <w:rStyle w:val="Heading1Char"/>
              <w:rFonts w:asciiTheme="minorHAnsi" w:hAnsiTheme="minorHAnsi" w:cstheme="minorHAnsi"/>
              <w:b w:val="0"/>
              <w:sz w:val="22"/>
              <w:szCs w:val="22"/>
            </w:rPr>
            <w:t>,</w:t>
          </w:r>
          <w:r w:rsidRPr="00763DC0">
            <w:rPr>
              <w:rStyle w:val="Heading1Char"/>
              <w:rFonts w:asciiTheme="minorHAnsi" w:hAnsiTheme="minorHAnsi" w:cstheme="minorHAnsi"/>
              <w:b w:val="0"/>
              <w:sz w:val="22"/>
              <w:szCs w:val="22"/>
            </w:rPr>
            <w:t xml:space="preserve"> Population Sciences</w:t>
          </w:r>
          <w:r>
            <w:rPr>
              <w:rStyle w:val="Heading1Char"/>
              <w:rFonts w:asciiTheme="minorHAnsi" w:hAnsiTheme="minorHAnsi" w:cstheme="minorHAnsi"/>
              <w:b w:val="0"/>
              <w:sz w:val="22"/>
              <w:szCs w:val="22"/>
            </w:rPr>
            <w:t xml:space="preserve"> and Medical Education</w:t>
          </w:r>
          <w:r w:rsidRPr="00763DC0">
            <w:rPr>
              <w:rStyle w:val="Heading1Char"/>
              <w:rFonts w:asciiTheme="minorHAnsi" w:hAnsiTheme="minorHAnsi" w:cstheme="minorHAnsi"/>
              <w:b w:val="0"/>
              <w:sz w:val="22"/>
              <w:szCs w:val="22"/>
            </w:rPr>
            <w:t xml:space="preserve">, Faculty of Medicine, University of Southampton, Southampton SO16 6YD, UK </w:t>
          </w:r>
        </w:p>
        <w:p w:rsidR="00163BC4" w:rsidRPr="00763DC0" w:rsidRDefault="00163BC4" w:rsidP="00163BC4">
          <w:pPr>
            <w:widowControl/>
            <w:tabs>
              <w:tab w:val="clear" w:pos="198"/>
            </w:tabs>
            <w:spacing w:after="160" w:line="480" w:lineRule="auto"/>
            <w:ind w:firstLine="0"/>
            <w:jc w:val="left"/>
            <w:rPr>
              <w:rStyle w:val="Heading1Char"/>
              <w:rFonts w:asciiTheme="minorHAnsi" w:hAnsiTheme="minorHAnsi" w:cstheme="minorHAnsi"/>
              <w:b w:val="0"/>
              <w:sz w:val="22"/>
              <w:szCs w:val="22"/>
            </w:rPr>
          </w:pPr>
          <w:r w:rsidRPr="00763DC0">
            <w:rPr>
              <w:rStyle w:val="Heading1Char"/>
              <w:rFonts w:asciiTheme="minorHAnsi" w:hAnsiTheme="minorHAnsi" w:cstheme="minorHAnsi"/>
              <w:b w:val="0"/>
              <w:sz w:val="22"/>
              <w:szCs w:val="22"/>
              <w:vertAlign w:val="superscript"/>
            </w:rPr>
            <w:t>2</w:t>
          </w:r>
          <w:r w:rsidRPr="00763DC0">
            <w:rPr>
              <w:rStyle w:val="Heading1Char"/>
              <w:rFonts w:asciiTheme="minorHAnsi" w:hAnsiTheme="minorHAnsi" w:cstheme="minorHAnsi"/>
              <w:b w:val="0"/>
              <w:sz w:val="22"/>
              <w:szCs w:val="22"/>
            </w:rPr>
            <w:t>NIHR Southampton Biomedical Research Centre, University of Southampton and University Hospital Southampton NHS Foundation Trust, Southampton SO16 6YD, UK</w:t>
          </w:r>
        </w:p>
        <w:p w:rsidR="00163BC4" w:rsidRDefault="00163BC4" w:rsidP="00163BC4">
          <w:pPr>
            <w:spacing w:line="480" w:lineRule="auto"/>
            <w:ind w:firstLine="0"/>
          </w:pPr>
          <w:r>
            <w:t xml:space="preserve">*Corresponding author: NA Alwan </w:t>
          </w:r>
        </w:p>
        <w:p w:rsidR="00163BC4" w:rsidRPr="00836793" w:rsidRDefault="00163BC4" w:rsidP="00163BC4">
          <w:pPr>
            <w:spacing w:line="480" w:lineRule="auto"/>
            <w:ind w:firstLine="0"/>
          </w:pPr>
          <w:r>
            <w:t xml:space="preserve">Email: </w:t>
          </w:r>
          <w:r w:rsidRPr="003631AD">
            <w:t>N.A.Alwan@soton.ac.uk</w:t>
          </w:r>
          <w:r>
            <w:t xml:space="preserve"> (NAA)</w:t>
          </w:r>
        </w:p>
      </w:sdtContent>
    </w:sdt>
    <w:p w:rsidR="00163BC4" w:rsidRDefault="00163BC4" w:rsidP="00163BC4">
      <w:pPr>
        <w:widowControl/>
        <w:tabs>
          <w:tab w:val="clear" w:pos="198"/>
        </w:tabs>
        <w:spacing w:after="160" w:line="480" w:lineRule="auto"/>
        <w:ind w:firstLine="0"/>
        <w:jc w:val="left"/>
      </w:pPr>
    </w:p>
    <w:p w:rsidR="00163BC4" w:rsidRDefault="00163BC4" w:rsidP="00163BC4">
      <w:pPr>
        <w:widowControl/>
        <w:tabs>
          <w:tab w:val="clear" w:pos="198"/>
        </w:tabs>
        <w:spacing w:after="160" w:line="480" w:lineRule="auto"/>
        <w:ind w:firstLine="0"/>
        <w:jc w:val="left"/>
      </w:pPr>
    </w:p>
    <w:p w:rsidR="00163BC4" w:rsidRDefault="00163BC4" w:rsidP="00163BC4">
      <w:pPr>
        <w:widowControl/>
        <w:tabs>
          <w:tab w:val="clear" w:pos="198"/>
        </w:tabs>
        <w:spacing w:after="160" w:line="480" w:lineRule="auto"/>
        <w:ind w:firstLine="0"/>
        <w:jc w:val="left"/>
        <w:rPr>
          <w:rFonts w:eastAsiaTheme="majorEastAsia" w:cstheme="majorBidi"/>
          <w:b/>
          <w:color w:val="2E74B5" w:themeColor="accent1" w:themeShade="BF"/>
        </w:rPr>
      </w:pPr>
      <w:bookmarkStart w:id="1" w:name="_Toc524884291"/>
      <w:r>
        <w:br w:type="page"/>
      </w:r>
    </w:p>
    <w:bookmarkEnd w:id="1"/>
    <w:p w:rsidR="00163BC4" w:rsidRPr="00DC4995" w:rsidRDefault="00163BC4" w:rsidP="00163BC4">
      <w:pPr>
        <w:pStyle w:val="Heading2"/>
        <w:rPr>
          <w:color w:val="auto"/>
          <w:sz w:val="36"/>
          <w:szCs w:val="36"/>
          <w:lang w:val="en-US"/>
        </w:rPr>
      </w:pPr>
      <w:r w:rsidRPr="00DC4995">
        <w:rPr>
          <w:color w:val="auto"/>
          <w:sz w:val="36"/>
          <w:szCs w:val="36"/>
          <w:lang w:val="en-US"/>
        </w:rPr>
        <w:lastRenderedPageBreak/>
        <w:t>Abstract</w:t>
      </w:r>
    </w:p>
    <w:p w:rsidR="00163BC4" w:rsidRPr="00DC4995" w:rsidRDefault="00163BC4" w:rsidP="00163BC4">
      <w:pPr>
        <w:pStyle w:val="Heading3"/>
        <w:rPr>
          <w:color w:val="auto"/>
          <w:sz w:val="32"/>
          <w:szCs w:val="32"/>
          <w:lang w:val="en-US"/>
        </w:rPr>
      </w:pPr>
      <w:r w:rsidRPr="00DC4995">
        <w:rPr>
          <w:color w:val="auto"/>
          <w:sz w:val="32"/>
          <w:szCs w:val="32"/>
          <w:lang w:val="en-US"/>
        </w:rPr>
        <w:t>Background</w:t>
      </w:r>
    </w:p>
    <w:p w:rsidR="00163BC4" w:rsidRDefault="00163BC4" w:rsidP="00163BC4">
      <w:pPr>
        <w:spacing w:line="480" w:lineRule="auto"/>
        <w:ind w:firstLine="0"/>
      </w:pPr>
      <w:r w:rsidRPr="003A3E0A">
        <w:rPr>
          <w:lang w:val="en-US"/>
        </w:rPr>
        <w:t xml:space="preserve">The </w:t>
      </w:r>
      <w:r>
        <w:rPr>
          <w:lang w:val="en-US"/>
        </w:rPr>
        <w:t>relationship</w:t>
      </w:r>
      <w:r w:rsidRPr="003A3E0A">
        <w:rPr>
          <w:lang w:val="en-US"/>
        </w:rPr>
        <w:t xml:space="preserve"> between </w:t>
      </w:r>
      <w:r>
        <w:rPr>
          <w:lang w:val="en-US"/>
        </w:rPr>
        <w:t>maternal</w:t>
      </w:r>
      <w:r w:rsidRPr="003A3E0A">
        <w:rPr>
          <w:lang w:val="en-US"/>
        </w:rPr>
        <w:t xml:space="preserve"> weight change </w:t>
      </w:r>
      <w:r>
        <w:rPr>
          <w:lang w:val="en-US"/>
        </w:rPr>
        <w:t xml:space="preserve">between pregnancies </w:t>
      </w:r>
      <w:r w:rsidRPr="003A3E0A">
        <w:rPr>
          <w:lang w:val="en-US"/>
        </w:rPr>
        <w:t xml:space="preserve">and </w:t>
      </w:r>
      <w:r>
        <w:rPr>
          <w:lang w:val="en-US"/>
        </w:rPr>
        <w:t>premature birth is unclear</w:t>
      </w:r>
      <w:r w:rsidRPr="003A3E0A">
        <w:rPr>
          <w:lang w:val="en-US"/>
        </w:rPr>
        <w:t xml:space="preserve">. </w:t>
      </w:r>
      <w:r>
        <w:rPr>
          <w:lang w:val="en-US"/>
        </w:rPr>
        <w:t>This study aimed to investigate whether</w:t>
      </w:r>
      <w:r w:rsidRPr="003217F8">
        <w:t xml:space="preserve"> interpregnancy weight change between first and second, or second and third pregnancy</w:t>
      </w:r>
      <w:r>
        <w:t xml:space="preserve"> is</w:t>
      </w:r>
      <w:r w:rsidRPr="003217F8">
        <w:t xml:space="preserve"> associated with premature birth</w:t>
      </w:r>
      <w:r>
        <w:t>.</w:t>
      </w:r>
    </w:p>
    <w:p w:rsidR="00163BC4" w:rsidRPr="00DC4995" w:rsidRDefault="00163BC4" w:rsidP="00163BC4">
      <w:pPr>
        <w:pStyle w:val="Heading3"/>
        <w:rPr>
          <w:color w:val="auto"/>
          <w:sz w:val="32"/>
          <w:szCs w:val="32"/>
          <w:lang w:val="en-US"/>
        </w:rPr>
      </w:pPr>
      <w:r w:rsidRPr="00DC4995">
        <w:rPr>
          <w:color w:val="auto"/>
          <w:sz w:val="32"/>
          <w:szCs w:val="32"/>
          <w:lang w:val="en-US"/>
        </w:rPr>
        <w:t>Methods</w:t>
      </w:r>
    </w:p>
    <w:p w:rsidR="00163BC4" w:rsidRDefault="00163BC4" w:rsidP="00163BC4">
      <w:pPr>
        <w:spacing w:line="480" w:lineRule="auto"/>
        <w:ind w:firstLine="0"/>
      </w:pPr>
      <w:r>
        <w:t xml:space="preserve">Routinely collected data from 2003 to 2018 from one English maternity centre was used to produce two cohorts. The primary cohort (n=14,961 women) consisted of first and second live-birth pregnancies. The secondary cohort (n=5,108 women) consisted of second and third live-birth pregnancies. Logistic regression models were used to examine associations between interpregnancy BMI change and premature births adjusted for confounders. Subgroup analyses were carried out, stratifying by initial pregnancy BMI groups and analysing spontaneous and indicated premature births separately. </w:t>
      </w:r>
    </w:p>
    <w:p w:rsidR="00163BC4" w:rsidRPr="00DC4995" w:rsidRDefault="00163BC4" w:rsidP="00163BC4">
      <w:pPr>
        <w:pStyle w:val="Heading3"/>
        <w:rPr>
          <w:color w:val="auto"/>
          <w:sz w:val="32"/>
          <w:szCs w:val="32"/>
          <w:lang w:val="en-US"/>
        </w:rPr>
      </w:pPr>
      <w:r w:rsidRPr="00DC4995">
        <w:rPr>
          <w:color w:val="auto"/>
          <w:sz w:val="32"/>
          <w:szCs w:val="32"/>
          <w:lang w:val="en-US"/>
        </w:rPr>
        <w:t xml:space="preserve">Results </w:t>
      </w:r>
    </w:p>
    <w:p w:rsidR="00163BC4" w:rsidRDefault="00163BC4" w:rsidP="00163BC4">
      <w:pPr>
        <w:spacing w:line="480" w:lineRule="auto"/>
        <w:ind w:firstLine="0"/>
      </w:pPr>
      <w:r w:rsidRPr="007328FF">
        <w:t>In the primary cohort,</w:t>
      </w:r>
      <w:r>
        <w:t xml:space="preserve"> 3.4% (n=514) of births were premature compared to 4.2% (n=212) in the secondary cohort, with </w:t>
      </w:r>
      <w:r w:rsidRPr="007A5073">
        <w:t>fewer indicated than spontaneous premature births in both cohorts</w:t>
      </w:r>
      <w:r>
        <w:t>.</w:t>
      </w:r>
    </w:p>
    <w:p w:rsidR="00163BC4" w:rsidRPr="00DC4995" w:rsidRDefault="00163BC4" w:rsidP="00163BC4">
      <w:pPr>
        <w:pStyle w:val="Heading4"/>
        <w:ind w:firstLine="0"/>
        <w:rPr>
          <w:b/>
          <w:i w:val="0"/>
          <w:color w:val="auto"/>
          <w:sz w:val="28"/>
          <w:szCs w:val="28"/>
        </w:rPr>
      </w:pPr>
      <w:r w:rsidRPr="00DC4995">
        <w:rPr>
          <w:b/>
          <w:i w:val="0"/>
          <w:color w:val="auto"/>
          <w:sz w:val="28"/>
          <w:szCs w:val="28"/>
        </w:rPr>
        <w:t>Primary cohort</w:t>
      </w:r>
    </w:p>
    <w:p w:rsidR="00163BC4" w:rsidRDefault="00163BC4" w:rsidP="00163BC4">
      <w:pPr>
        <w:spacing w:line="480" w:lineRule="auto"/>
        <w:ind w:firstLine="0"/>
      </w:pPr>
      <w:r>
        <w:t>Weight loss (&gt;3</w:t>
      </w:r>
      <w:r w:rsidRPr="00307FD6">
        <w:t>kg/m</w:t>
      </w:r>
      <w:r w:rsidRPr="003217F8">
        <w:rPr>
          <w:vertAlign w:val="superscript"/>
        </w:rPr>
        <w:t>2</w:t>
      </w:r>
      <w:r>
        <w:t>) was associated with increased odds of premature birth (adjusted odds ratio (aOR):3.50, 95% CI: 1.78-6.88), and spontaneous premature birth (aOR: 3.34,</w:t>
      </w:r>
      <w:r w:rsidRPr="00AF67C4">
        <w:t xml:space="preserve"> </w:t>
      </w:r>
      <w:r>
        <w:t>95%CI: 1.60-6.98), in women who were normal weight (BMI 18.5-25kg/m</w:t>
      </w:r>
      <w:r w:rsidRPr="003217F8">
        <w:rPr>
          <w:vertAlign w:val="superscript"/>
        </w:rPr>
        <w:t>2</w:t>
      </w:r>
      <w:r>
        <w:t xml:space="preserve">) at first pregnancy. </w:t>
      </w:r>
      <w:r w:rsidRPr="005423EF">
        <w:t>Weight gain &gt;1kg/m</w:t>
      </w:r>
      <w:r w:rsidRPr="00CB2091">
        <w:rPr>
          <w:vertAlign w:val="superscript"/>
        </w:rPr>
        <w:t>2</w:t>
      </w:r>
      <w:r w:rsidRPr="005423EF">
        <w:t xml:space="preserve"> was not associated with </w:t>
      </w:r>
      <w:r>
        <w:t>premature birth</w:t>
      </w:r>
      <w:r w:rsidRPr="005423EF">
        <w:t xml:space="preserve"> </w:t>
      </w:r>
      <w:r>
        <w:t>regardless of starting BMI</w:t>
      </w:r>
      <w:r w:rsidRPr="005423EF">
        <w:t>.</w:t>
      </w:r>
    </w:p>
    <w:p w:rsidR="00163BC4" w:rsidRPr="00DC4995" w:rsidRDefault="00163BC4" w:rsidP="00163BC4">
      <w:pPr>
        <w:pStyle w:val="Heading4"/>
        <w:ind w:firstLine="0"/>
        <w:rPr>
          <w:b/>
          <w:i w:val="0"/>
          <w:color w:val="auto"/>
          <w:sz w:val="28"/>
          <w:szCs w:val="28"/>
        </w:rPr>
      </w:pPr>
      <w:r w:rsidRPr="00DC4995">
        <w:rPr>
          <w:b/>
          <w:i w:val="0"/>
          <w:color w:val="auto"/>
          <w:sz w:val="28"/>
          <w:szCs w:val="28"/>
        </w:rPr>
        <w:t>Secondary cohort</w:t>
      </w:r>
    </w:p>
    <w:p w:rsidR="00163BC4" w:rsidRDefault="00163BC4" w:rsidP="00163BC4">
      <w:pPr>
        <w:spacing w:line="480" w:lineRule="auto"/>
        <w:ind w:firstLine="0"/>
        <w:rPr>
          <w:rFonts w:cstheme="minorHAnsi"/>
        </w:rPr>
      </w:pPr>
      <w:r>
        <w:t>Losing &gt;3</w:t>
      </w:r>
      <w:r w:rsidRPr="00307FD6">
        <w:t>kg/m</w:t>
      </w:r>
      <w:r w:rsidRPr="003217F8">
        <w:rPr>
          <w:vertAlign w:val="superscript"/>
        </w:rPr>
        <w:t>2</w:t>
      </w:r>
      <w:r>
        <w:t xml:space="preserve"> </w:t>
      </w:r>
      <w:r w:rsidRPr="00C35E0D">
        <w:t xml:space="preserve">was associated with increased </w:t>
      </w:r>
      <w:r>
        <w:t>odds</w:t>
      </w:r>
      <w:r w:rsidRPr="00C35E0D">
        <w:t xml:space="preserve"> of </w:t>
      </w:r>
      <w:r>
        <w:t xml:space="preserve">premature birth </w:t>
      </w:r>
      <w:r w:rsidRPr="0000658F">
        <w:t>(</w:t>
      </w:r>
      <w:r>
        <w:t>a</w:t>
      </w:r>
      <w:r w:rsidRPr="0000658F">
        <w:t>OR:</w:t>
      </w:r>
      <w:r>
        <w:t xml:space="preserve"> </w:t>
      </w:r>
      <w:r w:rsidRPr="0000658F">
        <w:t>2.01,</w:t>
      </w:r>
      <w:r>
        <w:t xml:space="preserve"> 95%</w:t>
      </w:r>
      <w:r w:rsidRPr="0000658F">
        <w:t>CI:</w:t>
      </w:r>
      <w:r>
        <w:t xml:space="preserve"> 1.05-</w:t>
      </w:r>
      <w:r>
        <w:lastRenderedPageBreak/>
        <w:t>3.87)</w:t>
      </w:r>
      <w:r w:rsidRPr="00C35E0D">
        <w:t xml:space="preserve">, </w:t>
      </w:r>
      <w:r w:rsidRPr="000632A9">
        <w:rPr>
          <w:rFonts w:cstheme="minorHAnsi"/>
        </w:rPr>
        <w:t xml:space="preserve">when analysing the whole sample, but not when restricting the analysis to </w:t>
      </w:r>
      <w:r>
        <w:rPr>
          <w:rFonts w:cstheme="minorHAnsi"/>
        </w:rPr>
        <w:t xml:space="preserve">women who were </w:t>
      </w:r>
      <w:r w:rsidRPr="000632A9">
        <w:rPr>
          <w:rFonts w:cstheme="minorHAnsi"/>
        </w:rPr>
        <w:t xml:space="preserve">overweight or obese at second pregnancy. </w:t>
      </w:r>
    </w:p>
    <w:p w:rsidR="00163BC4" w:rsidRPr="00DC4995" w:rsidRDefault="00163BC4" w:rsidP="00163BC4">
      <w:pPr>
        <w:pStyle w:val="Heading3"/>
        <w:rPr>
          <w:color w:val="auto"/>
          <w:sz w:val="32"/>
          <w:szCs w:val="32"/>
          <w:lang w:val="en-US"/>
        </w:rPr>
      </w:pPr>
      <w:r w:rsidRPr="00DC4995">
        <w:rPr>
          <w:color w:val="auto"/>
          <w:sz w:val="32"/>
          <w:szCs w:val="32"/>
          <w:lang w:val="en-US"/>
        </w:rPr>
        <w:t>Conclusions</w:t>
      </w:r>
    </w:p>
    <w:p w:rsidR="00163BC4" w:rsidRDefault="00163BC4" w:rsidP="00163BC4">
      <w:pPr>
        <w:spacing w:line="480" w:lineRule="auto"/>
        <w:rPr>
          <w:rStyle w:val="Heading2Char"/>
          <w:b w:val="0"/>
        </w:rPr>
      </w:pPr>
      <w:r>
        <w:t>Normal-weight women who lose significant weight (</w:t>
      </w:r>
      <w:r w:rsidRPr="00F0762C">
        <w:t>&gt;</w:t>
      </w:r>
      <w:r>
        <w:t>3</w:t>
      </w:r>
      <w:r w:rsidRPr="00307FD6">
        <w:t>kg/m</w:t>
      </w:r>
      <w:r w:rsidRPr="003217F8">
        <w:rPr>
          <w:vertAlign w:val="superscript"/>
        </w:rPr>
        <w:t>2</w:t>
      </w:r>
      <w:r>
        <w:t>) between their first and second live pregnancies have greater odds of premature birth compared to normal-weight women who remain weight stable in the interpregnancy period. There was no evidence of association between weight change in women who were overweight or obese at the start of their first pregnancy and premature birth.</w:t>
      </w:r>
      <w:bookmarkStart w:id="2" w:name="_Toc524884292"/>
      <w:r>
        <w:rPr>
          <w:rStyle w:val="Heading2Char"/>
        </w:rPr>
        <w:br w:type="page"/>
      </w:r>
    </w:p>
    <w:p w:rsidR="00163BC4" w:rsidRPr="00DC4995" w:rsidRDefault="00163BC4" w:rsidP="00163BC4">
      <w:pPr>
        <w:pStyle w:val="Heading2"/>
        <w:rPr>
          <w:rStyle w:val="Heading2Char"/>
          <w:b/>
          <w:color w:val="auto"/>
          <w:sz w:val="36"/>
          <w:szCs w:val="36"/>
        </w:rPr>
      </w:pPr>
      <w:r w:rsidRPr="00DC4995">
        <w:rPr>
          <w:rStyle w:val="Heading2Char"/>
          <w:b/>
          <w:color w:val="auto"/>
          <w:sz w:val="36"/>
          <w:szCs w:val="36"/>
        </w:rPr>
        <w:lastRenderedPageBreak/>
        <w:t>Introduction</w:t>
      </w:r>
      <w:bookmarkEnd w:id="2"/>
      <w:r w:rsidRPr="00DC4995">
        <w:rPr>
          <w:rStyle w:val="Heading2Char"/>
          <w:b/>
          <w:color w:val="auto"/>
          <w:sz w:val="36"/>
          <w:szCs w:val="36"/>
        </w:rPr>
        <w:t xml:space="preserve"> </w:t>
      </w:r>
    </w:p>
    <w:p w:rsidR="00163BC4" w:rsidRDefault="00163BC4" w:rsidP="00163BC4">
      <w:pPr>
        <w:spacing w:line="480" w:lineRule="auto"/>
      </w:pPr>
      <w:r w:rsidRPr="00945155">
        <w:t>In 2015,</w:t>
      </w:r>
      <w:r>
        <w:t xml:space="preserve"> premature birth (PB) (before 37 completed weeks of gestation) </w:t>
      </w:r>
      <w:r>
        <w:rPr>
          <w:noProof/>
        </w:rPr>
        <w:t>[1]</w:t>
      </w:r>
      <w:r w:rsidRPr="00FB61BB">
        <w:t xml:space="preserve"> </w:t>
      </w:r>
      <w:r w:rsidRPr="00945155">
        <w:t>was</w:t>
      </w:r>
      <w:r>
        <w:t xml:space="preserve"> </w:t>
      </w:r>
      <w:r w:rsidRPr="00945155">
        <w:t>the leading cause of death in</w:t>
      </w:r>
      <w:r>
        <w:t xml:space="preserve"> children under five years old, responsible for </w:t>
      </w:r>
      <w:r w:rsidRPr="00945155">
        <w:t>1,005,000 deaths worldwide</w:t>
      </w:r>
      <w:r>
        <w:t xml:space="preserve"> </w:t>
      </w:r>
      <w:r>
        <w:rPr>
          <w:noProof/>
        </w:rPr>
        <w:t>[2]</w:t>
      </w:r>
      <w:r w:rsidRPr="00945155">
        <w:t>.</w:t>
      </w:r>
      <w:r w:rsidRPr="000A4C1A">
        <w:t xml:space="preserve"> </w:t>
      </w:r>
      <w:r>
        <w:t xml:space="preserve">In the UK, approximately 7.8% of livebirths are premature </w:t>
      </w:r>
      <w:r>
        <w:rPr>
          <w:noProof/>
        </w:rPr>
        <w:t>[3]</w:t>
      </w:r>
      <w:r>
        <w:t xml:space="preserve">. Those who survive may face a large burden of morbidity and ongoing healthcare needs </w:t>
      </w:r>
      <w:r>
        <w:rPr>
          <w:noProof/>
        </w:rPr>
        <w:t>[4-6]</w:t>
      </w:r>
      <w:r>
        <w:t xml:space="preserve">. Obesity is a pressing health concern worldwide </w:t>
      </w:r>
      <w:r>
        <w:rPr>
          <w:noProof/>
        </w:rPr>
        <w:t>[7]</w:t>
      </w:r>
      <w:r>
        <w:t xml:space="preserve">, and maternal obesity is associated with numerous adverse effects </w:t>
      </w:r>
      <w:r>
        <w:rPr>
          <w:noProof/>
        </w:rPr>
        <w:t>[8]</w:t>
      </w:r>
      <w:r>
        <w:t xml:space="preserve">. In England, overweight and obesity is common in women of reproductive age, with 37% of 16-24 year old women, 57% of 25-34 year old women and 65% of 35-44 year old women being classified as overweight or obese in 2017 </w:t>
      </w:r>
      <w:r>
        <w:rPr>
          <w:noProof/>
        </w:rPr>
        <w:t>[9]</w:t>
      </w:r>
      <w:r>
        <w:t xml:space="preserve">. Maternal weight has been linked to both spontaneous (low maternal weight) and indicated (high maternal weight) PB </w:t>
      </w:r>
      <w:r>
        <w:rPr>
          <w:noProof/>
        </w:rPr>
        <w:t>[10]</w:t>
      </w:r>
      <w:r>
        <w:t xml:space="preserve">. </w:t>
      </w:r>
      <w:bookmarkStart w:id="3" w:name="_Ref521572187"/>
      <w:r>
        <w:t xml:space="preserve">Recently, PB has also been linked with maternal interpregnancy weight change (weight change between the first antenatal (booking) appointment for one pregnancy and the booking appointment for the next pregnancy) </w:t>
      </w:r>
      <w:r>
        <w:rPr>
          <w:noProof/>
        </w:rPr>
        <w:t>[11-13]</w:t>
      </w:r>
      <w:r>
        <w:t xml:space="preserve">. However, there is a lack of consistency from the evidence, with other studies finding no association </w:t>
      </w:r>
      <w:r>
        <w:rPr>
          <w:noProof/>
        </w:rPr>
        <w:t>[14, 15]</w:t>
      </w:r>
      <w:r>
        <w:t xml:space="preserve">. Additionally, the available evidence only considers first to second pregnancy, with the exception of Wallace et al </w:t>
      </w:r>
      <w:r>
        <w:rPr>
          <w:noProof/>
        </w:rPr>
        <w:t>[15]</w:t>
      </w:r>
      <w:r>
        <w:t xml:space="preserve">, who examined the relationship across the first three pregnancies and found no association. </w:t>
      </w:r>
    </w:p>
    <w:p w:rsidR="00163BC4" w:rsidRDefault="00163BC4" w:rsidP="00163BC4">
      <w:pPr>
        <w:spacing w:line="480" w:lineRule="auto"/>
      </w:pPr>
      <w:r>
        <w:t xml:space="preserve">The mechanisms that may underlie these associations are poorly understood, but may include maternal undernutrition </w:t>
      </w:r>
      <w:r>
        <w:rPr>
          <w:noProof/>
        </w:rPr>
        <w:t>[16]</w:t>
      </w:r>
      <w:r>
        <w:t xml:space="preserve"> and maternal infection and inflammation </w:t>
      </w:r>
      <w:r>
        <w:rPr>
          <w:noProof/>
        </w:rPr>
        <w:t>[10, 16]</w:t>
      </w:r>
      <w:r>
        <w:t xml:space="preserve">. Maternal undernutrition may also contribute to maternal infection </w:t>
      </w:r>
      <w:r>
        <w:rPr>
          <w:noProof/>
        </w:rPr>
        <w:t>[16, 17]</w:t>
      </w:r>
      <w:r>
        <w:t>, if the women is deficient in key micronutrients for immune responses. Other possible mechanisms include poor placental function</w:t>
      </w:r>
      <w:r w:rsidRPr="007F6423">
        <w:t>, in which maternal undernutrition may also play a role</w:t>
      </w:r>
      <w:r>
        <w:t xml:space="preserve"> </w:t>
      </w:r>
      <w:r>
        <w:rPr>
          <w:noProof/>
        </w:rPr>
        <w:t>[13]</w:t>
      </w:r>
      <w:r w:rsidRPr="007F6423">
        <w:t xml:space="preserve">. Finally, </w:t>
      </w:r>
      <w:r>
        <w:t xml:space="preserve">obesity related co-morbidities such as diabetes and pre-eclampsia </w:t>
      </w:r>
      <w:r>
        <w:rPr>
          <w:noProof/>
        </w:rPr>
        <w:t>[12]</w:t>
      </w:r>
      <w:r>
        <w:t xml:space="preserve">, and stress </w:t>
      </w:r>
      <w:r>
        <w:rPr>
          <w:noProof/>
        </w:rPr>
        <w:t>[17]</w:t>
      </w:r>
      <w:r>
        <w:t xml:space="preserve"> </w:t>
      </w:r>
      <w:r>
        <w:rPr>
          <w:noProof/>
        </w:rPr>
        <w:t>may also contribute to increasing the risk of PB</w:t>
      </w:r>
      <w:r>
        <w:t xml:space="preserve">. </w:t>
      </w:r>
      <w:r w:rsidRPr="00731676">
        <w:t xml:space="preserve">It is possible that the associations seen are not true associations, but instead are markers for unmeasured confounding factors that are causing weight change, and it is these factors, not the weight change, that are actually associated with PB. For example, </w:t>
      </w:r>
      <w:r w:rsidRPr="00731676">
        <w:lastRenderedPageBreak/>
        <w:t>psychosocial stress and underlying poor mental and physical health may all be contributing to both weight loss</w:t>
      </w:r>
      <w:r>
        <w:t xml:space="preserve"> </w:t>
      </w:r>
      <w:r>
        <w:rPr>
          <w:noProof/>
        </w:rPr>
        <w:t>[18]</w:t>
      </w:r>
      <w:r>
        <w:t xml:space="preserve"> and PB </w:t>
      </w:r>
      <w:r>
        <w:rPr>
          <w:noProof/>
        </w:rPr>
        <w:t>[17]</w:t>
      </w:r>
      <w:r w:rsidRPr="00731676">
        <w:t>.</w:t>
      </w:r>
    </w:p>
    <w:p w:rsidR="00163BC4" w:rsidRPr="00DB2197" w:rsidRDefault="00163BC4" w:rsidP="00163BC4">
      <w:pPr>
        <w:spacing w:line="480" w:lineRule="auto"/>
      </w:pPr>
      <w:r>
        <w:t>This study aimed to</w:t>
      </w:r>
      <w:r w:rsidRPr="008C63EC">
        <w:t xml:space="preserve"> examine the association between </w:t>
      </w:r>
      <w:r>
        <w:t xml:space="preserve">maternal </w:t>
      </w:r>
      <w:r w:rsidRPr="008C63EC">
        <w:t xml:space="preserve">interpregnancy weight change and </w:t>
      </w:r>
      <w:r>
        <w:t>PB (overall, spontaneous and indicated)</w:t>
      </w:r>
      <w:r w:rsidRPr="008C63EC">
        <w:t>,</w:t>
      </w:r>
      <w:r>
        <w:t xml:space="preserve"> in a population-based cohort in the South of England, both between first and second, and second and third pregnancies.</w:t>
      </w:r>
      <w:bookmarkEnd w:id="3"/>
      <w:r>
        <w:t xml:space="preserve"> </w:t>
      </w:r>
      <w:r>
        <w:br w:type="page"/>
      </w:r>
    </w:p>
    <w:p w:rsidR="00163BC4" w:rsidRPr="00DC4995" w:rsidRDefault="00163BC4" w:rsidP="00163BC4">
      <w:pPr>
        <w:pStyle w:val="Heading2"/>
        <w:rPr>
          <w:color w:val="auto"/>
          <w:sz w:val="36"/>
          <w:szCs w:val="36"/>
        </w:rPr>
      </w:pPr>
      <w:bookmarkStart w:id="4" w:name="_Toc524884293"/>
      <w:r w:rsidRPr="00DC4995">
        <w:rPr>
          <w:rStyle w:val="Heading2Char"/>
          <w:b/>
          <w:color w:val="auto"/>
          <w:sz w:val="36"/>
          <w:szCs w:val="36"/>
        </w:rPr>
        <w:t>Methods</w:t>
      </w:r>
      <w:bookmarkEnd w:id="4"/>
      <w:r w:rsidRPr="00DC4995">
        <w:rPr>
          <w:color w:val="auto"/>
          <w:sz w:val="36"/>
          <w:szCs w:val="36"/>
        </w:rPr>
        <w:t xml:space="preserve"> </w:t>
      </w:r>
    </w:p>
    <w:p w:rsidR="00163BC4" w:rsidRPr="00DC4995" w:rsidRDefault="00163BC4" w:rsidP="00163BC4">
      <w:pPr>
        <w:pStyle w:val="Heading3"/>
        <w:spacing w:line="480" w:lineRule="auto"/>
        <w:rPr>
          <w:color w:val="auto"/>
          <w:sz w:val="32"/>
          <w:szCs w:val="32"/>
        </w:rPr>
      </w:pPr>
      <w:r w:rsidRPr="00DC4995">
        <w:rPr>
          <w:color w:val="auto"/>
          <w:sz w:val="32"/>
          <w:szCs w:val="32"/>
        </w:rPr>
        <w:t xml:space="preserve">Study sample </w:t>
      </w:r>
    </w:p>
    <w:p w:rsidR="00163BC4" w:rsidRDefault="00163BC4" w:rsidP="00163BC4">
      <w:pPr>
        <w:spacing w:line="480" w:lineRule="auto"/>
      </w:pPr>
      <w:r>
        <w:t>Routinely collected maternity healthcare data</w:t>
      </w:r>
      <w:r w:rsidRPr="00962A3B">
        <w:t xml:space="preserve"> </w:t>
      </w:r>
      <w:r>
        <w:t>from a</w:t>
      </w:r>
      <w:r w:rsidRPr="00962A3B">
        <w:t xml:space="preserve"> population-based cohort</w:t>
      </w:r>
      <w:r>
        <w:t xml:space="preserve"> registered at the University Hospital Southampton (UHS) National Health Service (NHS) Trust, UK (2003-2018) were used</w:t>
      </w:r>
      <w:r w:rsidRPr="00E66065">
        <w:t xml:space="preserve"> </w:t>
      </w:r>
      <w:r>
        <w:t>(</w:t>
      </w:r>
      <w:r w:rsidRPr="00E66065">
        <w:t>a total of 96,489 pregnancies</w:t>
      </w:r>
      <w:r>
        <w:t xml:space="preserve">). The database included anonymised antenatal care and birth data for each pregnancy within the study time period, and hence included more than one pregnancy for some of the mothers. </w:t>
      </w:r>
      <w:r w:rsidRPr="00603ADD">
        <w:t>This analysis forms part of a research</w:t>
      </w:r>
      <w:r>
        <w:t xml:space="preserve"> </w:t>
      </w:r>
      <w:r w:rsidRPr="00603ADD">
        <w:t xml:space="preserve">project </w:t>
      </w:r>
      <w:r>
        <w:t xml:space="preserve">(SLOPE) </w:t>
      </w:r>
      <w:r w:rsidRPr="00603ADD">
        <w:t>approved by the University of Southampton Faculty of</w:t>
      </w:r>
      <w:r>
        <w:t xml:space="preserve"> </w:t>
      </w:r>
      <w:r w:rsidRPr="00603ADD">
        <w:t>Medicine Ethics Committee (</w:t>
      </w:r>
      <w:r>
        <w:t>ID</w:t>
      </w:r>
      <w:r w:rsidRPr="00603ADD">
        <w:t xml:space="preserve"> 24433) and the National Health Service Health</w:t>
      </w:r>
      <w:r>
        <w:t xml:space="preserve"> </w:t>
      </w:r>
      <w:r w:rsidRPr="00603ADD">
        <w:t>Research Authority (</w:t>
      </w:r>
      <w:r>
        <w:t>IRAS</w:t>
      </w:r>
      <w:r w:rsidRPr="00603ADD">
        <w:t xml:space="preserve"> 242031).</w:t>
      </w:r>
    </w:p>
    <w:p w:rsidR="00163BC4" w:rsidRPr="00DC4995" w:rsidRDefault="00163BC4" w:rsidP="00163BC4">
      <w:pPr>
        <w:spacing w:line="480" w:lineRule="auto"/>
        <w:ind w:firstLine="0"/>
        <w:rPr>
          <w:b/>
          <w:sz w:val="28"/>
          <w:szCs w:val="28"/>
        </w:rPr>
      </w:pPr>
      <w:r w:rsidRPr="0019767E">
        <w:rPr>
          <w:b/>
          <w:sz w:val="28"/>
          <w:szCs w:val="28"/>
        </w:rPr>
        <w:t>Inclusion and exclusion criteria</w:t>
      </w:r>
    </w:p>
    <w:p w:rsidR="00163BC4" w:rsidRDefault="00163BC4" w:rsidP="00163BC4">
      <w:pPr>
        <w:spacing w:line="480" w:lineRule="auto"/>
      </w:pPr>
      <w:r>
        <w:t xml:space="preserve">This analysis included women who have their first and second or second and </w:t>
      </w:r>
      <w:r w:rsidRPr="00484AE5">
        <w:t xml:space="preserve">third </w:t>
      </w:r>
      <w:r>
        <w:t xml:space="preserve">consecutive </w:t>
      </w:r>
      <w:r w:rsidRPr="00484AE5">
        <w:t>live-born singleton pregnancies</w:t>
      </w:r>
      <w:r>
        <w:t xml:space="preserve"> within the dataset. Women missing key data (weight or height at booking, or gestation at birth), or who had inconsistent or outlying values for key data that were likely to be errors were excluded from the analysis. </w:t>
      </w:r>
      <w:r w:rsidRPr="00397C32">
        <w:t xml:space="preserve">In order to mitigate for inaccurate self-reported heights, women who lost height between pregnancies (&gt;5cm), and those who gained height (&gt;5 cm and were over the age of 22 at first pregnancy), were excluded from the analysis. </w:t>
      </w:r>
      <w:r>
        <w:t xml:space="preserve">Women who were booked after 24 weeks gestation were excluded, as the study centre is a specialist centre, and some of these women booking later may have been high risk pregnancies referred from another unit. Multiple births were excluded due to their strong association with PB </w:t>
      </w:r>
      <w:r>
        <w:rPr>
          <w:noProof/>
        </w:rPr>
        <w:t>[10]</w:t>
      </w:r>
      <w:r>
        <w:t xml:space="preserve">. Women with multiple miscarriages were also excluded as these women are likely to have different risk factors to the general </w:t>
      </w:r>
      <w:r w:rsidRPr="00586266">
        <w:t>population</w:t>
      </w:r>
      <w:r>
        <w:t xml:space="preserve"> </w:t>
      </w:r>
      <w:r>
        <w:rPr>
          <w:noProof/>
        </w:rPr>
        <w:t>[19]</w:t>
      </w:r>
      <w:r>
        <w:t xml:space="preserve">. Variables that should have remained constant between pregnancies (e.g. ethnicity) were checked for agreement and noted as missing if there were improbable changes, to prevent incorrect variables from being entered into the analysis. </w:t>
      </w:r>
    </w:p>
    <w:p w:rsidR="00163BC4" w:rsidRPr="00FB4190" w:rsidRDefault="00163BC4" w:rsidP="00163BC4">
      <w:pPr>
        <w:spacing w:line="480" w:lineRule="auto"/>
        <w:rPr>
          <w:rFonts w:eastAsiaTheme="majorEastAsia" w:cstheme="majorBidi"/>
          <w:bCs/>
          <w:color w:val="2E74B5" w:themeColor="accent1" w:themeShade="BF"/>
          <w:sz w:val="24"/>
          <w:szCs w:val="26"/>
        </w:rPr>
      </w:pPr>
      <w:r w:rsidRPr="009B6D87">
        <w:t xml:space="preserve">Once the data had been prepared </w:t>
      </w:r>
      <w:r>
        <w:t xml:space="preserve">(Fig 1) </w:t>
      </w:r>
      <w:r w:rsidRPr="009B6D87">
        <w:t>the final sample size for fi</w:t>
      </w:r>
      <w:r>
        <w:t>rst and second consecutive live-</w:t>
      </w:r>
      <w:r w:rsidRPr="009B6D87">
        <w:t>births</w:t>
      </w:r>
      <w:r>
        <w:t xml:space="preserve"> (the primary cohort)</w:t>
      </w:r>
      <w:r w:rsidRPr="009B6D87">
        <w:t xml:space="preserve"> was 29,922 pregnancies, which equated to 14,961 women. The final sample size for second and third c</w:t>
      </w:r>
      <w:r>
        <w:t>onsecutive live-</w:t>
      </w:r>
      <w:r w:rsidRPr="009B6D87">
        <w:t>births</w:t>
      </w:r>
      <w:r>
        <w:t xml:space="preserve"> (the secondary cohort)</w:t>
      </w:r>
      <w:r w:rsidRPr="009B6D87">
        <w:t xml:space="preserve"> was 5,108 women (10,216 pregnancies).</w:t>
      </w:r>
      <w:r>
        <w:t xml:space="preserve"> </w:t>
      </w:r>
    </w:p>
    <w:p w:rsidR="00163BC4" w:rsidRPr="007F3C07" w:rsidRDefault="00163BC4" w:rsidP="00163BC4">
      <w:pPr>
        <w:pStyle w:val="Caption"/>
        <w:jc w:val="both"/>
        <w:rPr>
          <w:rFonts w:asciiTheme="minorHAnsi" w:hAnsiTheme="minorHAnsi" w:cstheme="minorHAnsi"/>
          <w:b/>
          <w:i w:val="0"/>
          <w:sz w:val="22"/>
          <w:szCs w:val="22"/>
        </w:rPr>
      </w:pPr>
      <w:r w:rsidRPr="007F3C07">
        <w:rPr>
          <w:rFonts w:asciiTheme="minorHAnsi" w:hAnsiTheme="minorHAnsi" w:cstheme="minorHAnsi"/>
          <w:b/>
          <w:i w:val="0"/>
          <w:sz w:val="22"/>
          <w:szCs w:val="22"/>
        </w:rPr>
        <w:t>Fig 1 Flow diagram depicting data preparation process for all analyses on women with consecutive first and second (primary cohort) or second and third (secondary cohort) live-born infants in a population-based cohort from Southampton, UK from 2003 to 2018.</w:t>
      </w:r>
    </w:p>
    <w:p w:rsidR="00163BC4" w:rsidRPr="0098472D" w:rsidRDefault="00163BC4" w:rsidP="00163BC4"/>
    <w:p w:rsidR="00163BC4" w:rsidRPr="00DC4995" w:rsidRDefault="00163BC4" w:rsidP="00163BC4">
      <w:pPr>
        <w:pStyle w:val="Heading3"/>
        <w:spacing w:line="480" w:lineRule="auto"/>
        <w:rPr>
          <w:color w:val="auto"/>
          <w:sz w:val="32"/>
          <w:szCs w:val="32"/>
        </w:rPr>
      </w:pPr>
      <w:r w:rsidRPr="00DC4995">
        <w:rPr>
          <w:color w:val="auto"/>
          <w:sz w:val="32"/>
          <w:szCs w:val="32"/>
        </w:rPr>
        <w:t>Assessment of exposure</w:t>
      </w:r>
    </w:p>
    <w:p w:rsidR="00163BC4" w:rsidRDefault="00163BC4" w:rsidP="00163BC4">
      <w:pPr>
        <w:spacing w:line="480" w:lineRule="auto"/>
      </w:pPr>
      <w:r>
        <w:t xml:space="preserve">Maternal height (m) was self-reported, maternal weight (kg) was measured at booking, and both were recorded at the first antenatal (booking) appointment for each pregnancy. Weight was measured in light clothing, with a single measurement being taken and recorded by the midwife. Women whose height was inconsistent between pregnancies were excluded, with the exception of those changes likely to be due to maternal growth. The maternal booking height and weight were used to calculate body mass index (BMI) and BMI group (Underweight: </w:t>
      </w:r>
      <w:r w:rsidRPr="00861C6B">
        <w:t>&lt;18.5 kg/m</w:t>
      </w:r>
      <w:r w:rsidRPr="00861C6B">
        <w:rPr>
          <w:vertAlign w:val="superscript"/>
        </w:rPr>
        <w:t>2</w:t>
      </w:r>
      <w:r>
        <w:t xml:space="preserve">, normal weight: </w:t>
      </w:r>
      <w:r w:rsidRPr="008B7B75">
        <w:rPr>
          <w:szCs w:val="20"/>
        </w:rPr>
        <w:t>18.5 to &lt;25 kg/m</w:t>
      </w:r>
      <w:r w:rsidRPr="008B7B75">
        <w:rPr>
          <w:szCs w:val="20"/>
          <w:vertAlign w:val="superscript"/>
        </w:rPr>
        <w:t>2</w:t>
      </w:r>
      <w:r>
        <w:rPr>
          <w:szCs w:val="20"/>
        </w:rPr>
        <w:t>,</w:t>
      </w:r>
      <w:r>
        <w:t xml:space="preserve"> overweight: </w:t>
      </w:r>
      <w:r w:rsidRPr="008B7B75">
        <w:rPr>
          <w:szCs w:val="20"/>
        </w:rPr>
        <w:t>25 to &lt;30 kg/m</w:t>
      </w:r>
      <w:r w:rsidRPr="008B7B75">
        <w:rPr>
          <w:szCs w:val="20"/>
          <w:vertAlign w:val="superscript"/>
        </w:rPr>
        <w:t>2</w:t>
      </w:r>
      <w:r>
        <w:rPr>
          <w:szCs w:val="20"/>
        </w:rPr>
        <w:t xml:space="preserve"> </w:t>
      </w:r>
      <w:r>
        <w:t xml:space="preserve">and obese: </w:t>
      </w:r>
      <w:r w:rsidRPr="008B7B75">
        <w:rPr>
          <w:szCs w:val="20"/>
        </w:rPr>
        <w:t>≥30 kg/m</w:t>
      </w:r>
      <w:r w:rsidRPr="008B7B75">
        <w:rPr>
          <w:szCs w:val="20"/>
          <w:vertAlign w:val="superscript"/>
        </w:rPr>
        <w:t>2</w:t>
      </w:r>
      <w:r>
        <w:rPr>
          <w:szCs w:val="20"/>
        </w:rPr>
        <w:t>)</w:t>
      </w:r>
      <w:r w:rsidDel="00723046">
        <w:t xml:space="preserve"> </w:t>
      </w:r>
      <w:r>
        <w:rPr>
          <w:noProof/>
        </w:rPr>
        <w:t>[20]</w:t>
      </w:r>
      <w:r>
        <w:t xml:space="preserve">. </w:t>
      </w:r>
    </w:p>
    <w:p w:rsidR="00163BC4" w:rsidRDefault="00163BC4" w:rsidP="00163BC4">
      <w:pPr>
        <w:spacing w:line="480" w:lineRule="auto"/>
      </w:pPr>
      <w:r>
        <w:t xml:space="preserve">For the purposes of this study, and in keeping with the literature </w:t>
      </w:r>
      <w:r>
        <w:rPr>
          <w:noProof/>
        </w:rPr>
        <w:t>[11-13]</w:t>
      </w:r>
      <w:r>
        <w:t xml:space="preserve">, interpregnancy weight change was defined as a change in BMI between the booking appointment for one live-birth pregnancy and the booking appointment for the next consecutive live-birth pregnancy. In the UK, it is recommended that the booking appointment takes place by 10 weeks </w:t>
      </w:r>
      <w:r>
        <w:rPr>
          <w:noProof/>
        </w:rPr>
        <w:t>[21]</w:t>
      </w:r>
      <w:r>
        <w:t xml:space="preserve">. </w:t>
      </w:r>
      <w:bookmarkStart w:id="5" w:name="_Ref522027737"/>
      <w:bookmarkStart w:id="6" w:name="_Ref522027733"/>
      <w:r>
        <w:t>BMI at booking was compared between pregnancies, and change categories were assigned (loss: &gt;3 kg/m</w:t>
      </w:r>
      <w:r>
        <w:rPr>
          <w:vertAlign w:val="superscript"/>
        </w:rPr>
        <w:t>2</w:t>
      </w:r>
      <w:r>
        <w:t xml:space="preserve">, loss: &gt;1 to ≤3 </w:t>
      </w:r>
      <w:r w:rsidRPr="00883626">
        <w:t>kg/m</w:t>
      </w:r>
      <w:r w:rsidRPr="00883626">
        <w:rPr>
          <w:vertAlign w:val="superscript"/>
        </w:rPr>
        <w:t>2</w:t>
      </w:r>
      <w:r>
        <w:t xml:space="preserve">, weight stable: </w:t>
      </w:r>
      <w:r>
        <w:rPr>
          <w:rFonts w:cstheme="minorHAnsi"/>
        </w:rPr>
        <w:t>≤</w:t>
      </w:r>
      <w:r w:rsidRPr="008B7B75">
        <w:rPr>
          <w:szCs w:val="20"/>
        </w:rPr>
        <w:t xml:space="preserve">1 </w:t>
      </w:r>
      <w:r>
        <w:rPr>
          <w:szCs w:val="20"/>
        </w:rPr>
        <w:t xml:space="preserve">BMI </w:t>
      </w:r>
      <w:r w:rsidRPr="00883626">
        <w:rPr>
          <w:szCs w:val="20"/>
        </w:rPr>
        <w:t>kg/m</w:t>
      </w:r>
      <w:r w:rsidRPr="00883626">
        <w:rPr>
          <w:szCs w:val="20"/>
          <w:vertAlign w:val="superscript"/>
        </w:rPr>
        <w:t>2</w:t>
      </w:r>
      <w:r>
        <w:rPr>
          <w:szCs w:val="20"/>
        </w:rPr>
        <w:t>, weight gain:</w:t>
      </w:r>
      <w:r>
        <w:t xml:space="preserve"> </w:t>
      </w:r>
      <w:r w:rsidRPr="00861C6B">
        <w:t xml:space="preserve">&gt;1 to ≤3 </w:t>
      </w:r>
      <w:r w:rsidRPr="00883626">
        <w:t>kg/m</w:t>
      </w:r>
      <w:r w:rsidRPr="00883626">
        <w:rPr>
          <w:vertAlign w:val="superscript"/>
        </w:rPr>
        <w:t>2</w:t>
      </w:r>
      <w:r>
        <w:t xml:space="preserve"> and weight gain &gt;3 </w:t>
      </w:r>
      <w:r w:rsidRPr="00883626">
        <w:t>kg/m</w:t>
      </w:r>
      <w:r w:rsidRPr="00883626">
        <w:rPr>
          <w:vertAlign w:val="superscript"/>
        </w:rPr>
        <w:t>2</w:t>
      </w:r>
      <w:r>
        <w:t xml:space="preserve">). There is no consensus in the literature as to appropriate categories for this type of analysis. Some studies used change in BMI categories </w:t>
      </w:r>
      <w:r>
        <w:rPr>
          <w:noProof/>
        </w:rPr>
        <w:t>[22, 23]</w:t>
      </w:r>
      <w:r>
        <w:t xml:space="preserve"> whilst others used change in BMI value stratified into various categories ranging from 1 kg/m</w:t>
      </w:r>
      <w:r>
        <w:rPr>
          <w:vertAlign w:val="superscript"/>
        </w:rPr>
        <w:t>2</w:t>
      </w:r>
      <w:r>
        <w:t xml:space="preserve"> to 5kg/m</w:t>
      </w:r>
      <w:r>
        <w:rPr>
          <w:vertAlign w:val="superscript"/>
        </w:rPr>
        <w:t>2</w:t>
      </w:r>
      <w:r>
        <w:t xml:space="preserve">. However, several other studies have used similar categorisation to this study </w:t>
      </w:r>
      <w:r>
        <w:rPr>
          <w:noProof/>
        </w:rPr>
        <w:t>[13, 24, 25],</w:t>
      </w:r>
      <w:r>
        <w:t xml:space="preserve"> and it was felt that these categories would be discriminating enough to differentiate between those who gained or lost a relatively small amount of weight and those who were stable or experienced large changes in weight, while allowing the study to maintain power in the sub analyses.</w:t>
      </w:r>
    </w:p>
    <w:bookmarkEnd w:id="5"/>
    <w:bookmarkEnd w:id="6"/>
    <w:p w:rsidR="00163BC4" w:rsidRPr="00DC4995" w:rsidRDefault="00163BC4" w:rsidP="00163BC4">
      <w:pPr>
        <w:pStyle w:val="Heading3"/>
        <w:spacing w:line="480" w:lineRule="auto"/>
        <w:rPr>
          <w:color w:val="auto"/>
          <w:sz w:val="32"/>
          <w:szCs w:val="32"/>
        </w:rPr>
      </w:pPr>
      <w:r w:rsidRPr="00DC4995">
        <w:rPr>
          <w:color w:val="auto"/>
          <w:sz w:val="32"/>
          <w:szCs w:val="32"/>
        </w:rPr>
        <w:t xml:space="preserve">Assessment of outcome </w:t>
      </w:r>
    </w:p>
    <w:p w:rsidR="00163BC4" w:rsidRDefault="00163BC4" w:rsidP="00163BC4">
      <w:pPr>
        <w:spacing w:line="480" w:lineRule="auto"/>
      </w:pPr>
      <w:r>
        <w:t xml:space="preserve">Gestation at delivery </w:t>
      </w:r>
      <w:r w:rsidRPr="00064669">
        <w:t xml:space="preserve">was </w:t>
      </w:r>
      <w:r>
        <w:t xml:space="preserve">available for each pregnancy, and it was assumed that, in the vast majority of women, this was based on a dating ultrasound scan (USS), as recommended by the National Institute for Health and Care Excellence (NICE) </w:t>
      </w:r>
      <w:r>
        <w:rPr>
          <w:noProof/>
        </w:rPr>
        <w:t>[21]</w:t>
      </w:r>
      <w:r>
        <w:t>. Gestation at delivery</w:t>
      </w:r>
      <w:r w:rsidRPr="00064669">
        <w:t xml:space="preserve"> was</w:t>
      </w:r>
      <w:r>
        <w:t xml:space="preserve"> used to create a categorical outcome variable, indicating if the infant was premature or not (&lt;37 weeks gestation). </w:t>
      </w:r>
      <w:r>
        <w:rPr>
          <w:szCs w:val="20"/>
        </w:rPr>
        <w:t>A further outcome variable indicating whether the delivery was spontaneous or induced was also created, using the following variables: whether the woman was induced or not and type of delivery, for example planned C-sections were coded as indicated deliveries.</w:t>
      </w:r>
    </w:p>
    <w:p w:rsidR="00163BC4" w:rsidRPr="00DC4995" w:rsidRDefault="00163BC4" w:rsidP="00163BC4">
      <w:pPr>
        <w:pStyle w:val="Heading3"/>
        <w:spacing w:line="480" w:lineRule="auto"/>
        <w:rPr>
          <w:color w:val="auto"/>
          <w:sz w:val="32"/>
          <w:szCs w:val="32"/>
        </w:rPr>
      </w:pPr>
      <w:r w:rsidRPr="00DC4995">
        <w:rPr>
          <w:color w:val="auto"/>
          <w:sz w:val="32"/>
          <w:szCs w:val="32"/>
        </w:rPr>
        <w:t>Assessment of covariates</w:t>
      </w:r>
    </w:p>
    <w:p w:rsidR="00163BC4" w:rsidRDefault="00163BC4" w:rsidP="00163BC4">
      <w:pPr>
        <w:spacing w:line="480" w:lineRule="auto"/>
      </w:pPr>
      <w:r>
        <w:t>Measured confounders and competing exposures were ad</w:t>
      </w:r>
      <w:bookmarkStart w:id="7" w:name="_Ref523501683"/>
      <w:r>
        <w:t xml:space="preserve">justed for within the analysis. Self-reported maternal factors adjusted for (all except previous PB at the later pregnancy) included ethnicity </w:t>
      </w:r>
      <w:r>
        <w:rPr>
          <w:noProof/>
        </w:rPr>
        <w:t>[10, 26-29]</w:t>
      </w:r>
      <w:r>
        <w:t xml:space="preserve">, highest educational achievement (school or college, higher education or unknown) </w:t>
      </w:r>
      <w:r>
        <w:rPr>
          <w:noProof/>
        </w:rPr>
        <w:t>[30-33]</w:t>
      </w:r>
      <w:r>
        <w:t xml:space="preserve">, smoking status </w:t>
      </w:r>
      <w:r>
        <w:rPr>
          <w:noProof/>
        </w:rPr>
        <w:t>[34-36]</w:t>
      </w:r>
      <w:r>
        <w:t xml:space="preserve">, employment status </w:t>
      </w:r>
      <w:r>
        <w:rPr>
          <w:noProof/>
        </w:rPr>
        <w:t>[26, 37-39]</w:t>
      </w:r>
      <w:r>
        <w:t xml:space="preserve"> and previous PB </w:t>
      </w:r>
      <w:r>
        <w:rPr>
          <w:noProof/>
        </w:rPr>
        <w:t>[40]</w:t>
      </w:r>
      <w:r>
        <w:t xml:space="preserve">. Other factors adjusted for included age </w:t>
      </w:r>
      <w:r>
        <w:rPr>
          <w:noProof/>
        </w:rPr>
        <w:t>[26, 41-43]</w:t>
      </w:r>
      <w:r>
        <w:t xml:space="preserve">, baseline BMI and gestational age at time of measurement (at the start of the initial pregnancy) </w:t>
      </w:r>
      <w:r>
        <w:rPr>
          <w:noProof/>
        </w:rPr>
        <w:t>[44]</w:t>
      </w:r>
      <w:r>
        <w:t xml:space="preserve">, co-morbidities </w:t>
      </w:r>
      <w:r>
        <w:rPr>
          <w:noProof/>
        </w:rPr>
        <w:t>[45]</w:t>
      </w:r>
      <w:r>
        <w:t xml:space="preserve">, the use of fertility treatment </w:t>
      </w:r>
      <w:r>
        <w:rPr>
          <w:noProof/>
        </w:rPr>
        <w:t>[46, 47]</w:t>
      </w:r>
      <w:r>
        <w:t xml:space="preserve">, infant gender </w:t>
      </w:r>
      <w:r>
        <w:rPr>
          <w:noProof/>
        </w:rPr>
        <w:t>[48]</w:t>
      </w:r>
      <w:r>
        <w:t xml:space="preserve">, pregnancy complications </w:t>
      </w:r>
      <w:r>
        <w:rPr>
          <w:noProof/>
        </w:rPr>
        <w:t>[45]</w:t>
      </w:r>
      <w:r>
        <w:t xml:space="preserve"> and interpregnancy interval </w:t>
      </w:r>
      <w:r>
        <w:rPr>
          <w:noProof/>
        </w:rPr>
        <w:t>[49, 50]</w:t>
      </w:r>
      <w:r>
        <w:t>.</w:t>
      </w:r>
      <w:bookmarkEnd w:id="7"/>
      <w:r>
        <w:t xml:space="preserve"> Interpregnancy interval was calculated using date of delivery for both infants, then subtracting the gestational age at birth for the second infant, to give the time span from one live delivery to the conception of the next pregnancy resulting in a live birth </w:t>
      </w:r>
      <w:r>
        <w:rPr>
          <w:noProof/>
        </w:rPr>
        <w:t>[51]</w:t>
      </w:r>
      <w:r>
        <w:t>. Co-morbidities included diabetes and hypertension, and pregnancy complications included pre-eclampsia, eclampsia, gestational hypertension, gestational diabetes and HELLP (haemolysis, elevated liver enzymes and low platelet count).</w:t>
      </w:r>
    </w:p>
    <w:p w:rsidR="00163BC4" w:rsidRDefault="00163BC4" w:rsidP="00163BC4">
      <w:pPr>
        <w:spacing w:line="480" w:lineRule="auto"/>
        <w:ind w:firstLine="0"/>
      </w:pPr>
      <w:r>
        <w:tab/>
      </w:r>
      <w:r>
        <w:tab/>
        <w:t xml:space="preserve">The alcohol intake variable was self-reported and the way the electronic system was set up allowed for ‘no answer’ to be potentially recorded as ‘no’. The percentage of women reporting drinking any alcohol at their booking appointment (5%) was substantially lower than has been reported in the literature (25% </w:t>
      </w:r>
      <w:r>
        <w:rPr>
          <w:noProof/>
        </w:rPr>
        <w:t>[52]</w:t>
      </w:r>
      <w:r>
        <w:t xml:space="preserve"> to 28.5% </w:t>
      </w:r>
      <w:r>
        <w:rPr>
          <w:noProof/>
        </w:rPr>
        <w:t>[53]</w:t>
      </w:r>
      <w:r>
        <w:t xml:space="preserve"> for the UK). For this reason alcohol consumption was not included in any modelling as this variable was deemed unreliable. </w:t>
      </w:r>
    </w:p>
    <w:p w:rsidR="00163BC4" w:rsidRPr="00DC4995" w:rsidRDefault="00163BC4" w:rsidP="00163BC4">
      <w:pPr>
        <w:pStyle w:val="Heading3"/>
        <w:spacing w:line="480" w:lineRule="auto"/>
        <w:rPr>
          <w:color w:val="auto"/>
          <w:sz w:val="32"/>
          <w:szCs w:val="32"/>
        </w:rPr>
      </w:pPr>
      <w:r w:rsidRPr="00DC4995">
        <w:rPr>
          <w:color w:val="auto"/>
          <w:sz w:val="32"/>
          <w:szCs w:val="32"/>
        </w:rPr>
        <w:t>Statistical analysis</w:t>
      </w:r>
    </w:p>
    <w:p w:rsidR="00163BC4" w:rsidRDefault="00163BC4" w:rsidP="00163BC4">
      <w:pPr>
        <w:spacing w:line="480" w:lineRule="auto"/>
      </w:pPr>
      <w:r>
        <w:t xml:space="preserve">Statistical analysis was undertaken in Stata version 15.0SE </w:t>
      </w:r>
      <w:r>
        <w:rPr>
          <w:noProof/>
        </w:rPr>
        <w:t>[54]</w:t>
      </w:r>
      <w:r>
        <w:t xml:space="preserve">. When comparing parametric continuous descriptive information looking for differences by both exposure and outcome, either an independent samples t-test or oneway ANOVA was used. When looking at non-parametric continuous data, a Mann-Whitney U test or Kruskal-Wallis test was used. When performing analysis on categorical descriptive variables, a Chi-square or Fisher’s exact test was used to look for significant differences. Logistic regression was used to model the association of interpregnancy weight change with PB. This model was built up by adding in a priori selected covariates in stages until all available variables hypothesised to affect the relationship had been adjusted for. Subgroup analyses were then undertaken as follows: </w:t>
      </w:r>
    </w:p>
    <w:p w:rsidR="00163BC4" w:rsidRDefault="00163BC4" w:rsidP="00163BC4">
      <w:pPr>
        <w:pStyle w:val="ListParagraph"/>
        <w:numPr>
          <w:ilvl w:val="0"/>
          <w:numId w:val="2"/>
        </w:numPr>
        <w:spacing w:line="480" w:lineRule="auto"/>
      </w:pPr>
      <w:r>
        <w:t>Analysis stratified by starting BMI category at initial (first in primary cohort, second in secondary cohort) pregnancy</w:t>
      </w:r>
    </w:p>
    <w:p w:rsidR="00163BC4" w:rsidRDefault="00163BC4" w:rsidP="00163BC4">
      <w:pPr>
        <w:pStyle w:val="ListParagraph"/>
        <w:numPr>
          <w:ilvl w:val="0"/>
          <w:numId w:val="2"/>
        </w:numPr>
        <w:spacing w:line="480" w:lineRule="auto"/>
      </w:pPr>
      <w:r>
        <w:t>Comparing spontaneous PBs with term births (excluding indicated PBs)</w:t>
      </w:r>
    </w:p>
    <w:p w:rsidR="00163BC4" w:rsidRDefault="00163BC4" w:rsidP="00163BC4">
      <w:pPr>
        <w:pStyle w:val="ListParagraph"/>
        <w:numPr>
          <w:ilvl w:val="0"/>
          <w:numId w:val="2"/>
        </w:numPr>
        <w:spacing w:line="480" w:lineRule="auto"/>
      </w:pPr>
      <w:r>
        <w:t>Comparing indicated PBs with term births (excluding spontaneous PBs)</w:t>
      </w:r>
    </w:p>
    <w:p w:rsidR="00163BC4" w:rsidRPr="00DE159C" w:rsidRDefault="00163BC4" w:rsidP="00163BC4">
      <w:pPr>
        <w:pStyle w:val="ListParagraph"/>
        <w:numPr>
          <w:ilvl w:val="0"/>
          <w:numId w:val="2"/>
        </w:numPr>
        <w:spacing w:line="480" w:lineRule="auto"/>
      </w:pPr>
      <w:r>
        <w:br w:type="page"/>
      </w:r>
    </w:p>
    <w:p w:rsidR="00163BC4" w:rsidRPr="00DC4995" w:rsidRDefault="00163BC4" w:rsidP="00163BC4">
      <w:pPr>
        <w:pStyle w:val="Heading2"/>
        <w:rPr>
          <w:color w:val="auto"/>
          <w:sz w:val="36"/>
          <w:szCs w:val="36"/>
        </w:rPr>
      </w:pPr>
      <w:r w:rsidRPr="00DC4995">
        <w:rPr>
          <w:color w:val="auto"/>
          <w:sz w:val="36"/>
          <w:szCs w:val="36"/>
        </w:rPr>
        <w:t>Results</w:t>
      </w:r>
    </w:p>
    <w:p w:rsidR="00163BC4" w:rsidRDefault="00163BC4" w:rsidP="00163BC4">
      <w:pPr>
        <w:spacing w:line="480" w:lineRule="auto"/>
      </w:pPr>
      <w:r w:rsidRPr="00D04026">
        <w:t xml:space="preserve">The </w:t>
      </w:r>
      <w:r>
        <w:t>median</w:t>
      </w:r>
      <w:r w:rsidRPr="00D04026">
        <w:t xml:space="preserve"> change in </w:t>
      </w:r>
      <w:r>
        <w:t xml:space="preserve">early pregnancy </w:t>
      </w:r>
      <w:r w:rsidRPr="00D04026">
        <w:t xml:space="preserve">BMI between first and second </w:t>
      </w:r>
      <w:r>
        <w:t xml:space="preserve">live </w:t>
      </w:r>
      <w:r w:rsidRPr="00D04026">
        <w:t>pregnanc</w:t>
      </w:r>
      <w:r>
        <w:t>ies</w:t>
      </w:r>
      <w:r w:rsidRPr="00D04026">
        <w:t xml:space="preserve"> </w:t>
      </w:r>
      <w:r>
        <w:t xml:space="preserve">(primary cohort) </w:t>
      </w:r>
      <w:r w:rsidRPr="00D04026">
        <w:t xml:space="preserve">was </w:t>
      </w:r>
      <w:r>
        <w:t xml:space="preserve">a gain of 0.8 </w:t>
      </w:r>
      <w:r w:rsidRPr="007571D3">
        <w:t>kg/m</w:t>
      </w:r>
      <w:r w:rsidRPr="007571D3">
        <w:rPr>
          <w:vertAlign w:val="superscript"/>
        </w:rPr>
        <w:t>2</w:t>
      </w:r>
      <w:r w:rsidDel="00B42546">
        <w:t xml:space="preserve"> </w:t>
      </w:r>
      <w:r>
        <w:t>(IQR -0.4 to 2.4 kg/m</w:t>
      </w:r>
      <w:r>
        <w:rPr>
          <w:vertAlign w:val="superscript"/>
        </w:rPr>
        <w:t>2</w:t>
      </w:r>
      <w:r>
        <w:t xml:space="preserve">) (Fig 2). Overall, 37.1% of women stayed weight stable, 47.1% gained weight (&gt;1 </w:t>
      </w:r>
      <w:r w:rsidRPr="007571D3">
        <w:t>kg/m</w:t>
      </w:r>
      <w:r w:rsidRPr="007571D3">
        <w:rPr>
          <w:vertAlign w:val="superscript"/>
        </w:rPr>
        <w:t>2</w:t>
      </w:r>
      <w:r>
        <w:t xml:space="preserve">) and 15.8% lost weight (&gt;1 </w:t>
      </w:r>
      <w:r w:rsidRPr="007571D3">
        <w:t>kg/m</w:t>
      </w:r>
      <w:r w:rsidRPr="007571D3">
        <w:rPr>
          <w:vertAlign w:val="superscript"/>
        </w:rPr>
        <w:t>2</w:t>
      </w:r>
      <w:r>
        <w:t xml:space="preserve">). Of those who gained weight (&gt;1 </w:t>
      </w:r>
      <w:r w:rsidRPr="007571D3">
        <w:t>kg/m</w:t>
      </w:r>
      <w:r w:rsidRPr="007571D3">
        <w:rPr>
          <w:vertAlign w:val="superscript"/>
        </w:rPr>
        <w:t>2</w:t>
      </w:r>
      <w:r>
        <w:t xml:space="preserve">), the median BMI increase was 2.52 </w:t>
      </w:r>
      <w:r w:rsidRPr="007571D3">
        <w:t>kg/m</w:t>
      </w:r>
      <w:r w:rsidRPr="007571D3">
        <w:rPr>
          <w:vertAlign w:val="superscript"/>
        </w:rPr>
        <w:t>2</w:t>
      </w:r>
      <w:r>
        <w:rPr>
          <w:vertAlign w:val="superscript"/>
        </w:rPr>
        <w:t xml:space="preserve"> </w:t>
      </w:r>
      <w:r>
        <w:t xml:space="preserve">(IQR 1.64-3.95 </w:t>
      </w:r>
      <w:r w:rsidRPr="007571D3">
        <w:t>kg/m</w:t>
      </w:r>
      <w:r w:rsidRPr="007571D3">
        <w:rPr>
          <w:vertAlign w:val="superscript"/>
        </w:rPr>
        <w:t>2</w:t>
      </w:r>
      <w:r>
        <w:t xml:space="preserve">). Of those who lost weight (&gt;1 </w:t>
      </w:r>
      <w:r w:rsidRPr="007571D3">
        <w:t>kg/m</w:t>
      </w:r>
      <w:r w:rsidRPr="007571D3">
        <w:rPr>
          <w:vertAlign w:val="superscript"/>
        </w:rPr>
        <w:t>2</w:t>
      </w:r>
      <w:r>
        <w:t xml:space="preserve">), the median BMI decrease was 1.86 </w:t>
      </w:r>
      <w:r w:rsidRPr="007571D3">
        <w:t>kg/m</w:t>
      </w:r>
      <w:r w:rsidRPr="007571D3">
        <w:rPr>
          <w:vertAlign w:val="superscript"/>
        </w:rPr>
        <w:t>2</w:t>
      </w:r>
      <w:r>
        <w:rPr>
          <w:vertAlign w:val="superscript"/>
        </w:rPr>
        <w:t xml:space="preserve"> </w:t>
      </w:r>
      <w:r>
        <w:t xml:space="preserve">(IQR 1.33-2.83 </w:t>
      </w:r>
      <w:r w:rsidRPr="007571D3">
        <w:t>kg/m</w:t>
      </w:r>
      <w:r w:rsidRPr="007571D3">
        <w:rPr>
          <w:vertAlign w:val="superscript"/>
        </w:rPr>
        <w:t>2</w:t>
      </w:r>
      <w:r>
        <w:t xml:space="preserve">). </w:t>
      </w:r>
    </w:p>
    <w:p w:rsidR="00163BC4" w:rsidRDefault="00163BC4" w:rsidP="00163BC4">
      <w:pPr>
        <w:spacing w:line="480" w:lineRule="auto"/>
      </w:pPr>
      <w:r w:rsidRPr="00D04026">
        <w:t xml:space="preserve">The </w:t>
      </w:r>
      <w:r>
        <w:t>median</w:t>
      </w:r>
      <w:r w:rsidRPr="00D04026">
        <w:t xml:space="preserve"> change in </w:t>
      </w:r>
      <w:r>
        <w:t xml:space="preserve">early pregnancy </w:t>
      </w:r>
      <w:r w:rsidRPr="00D04026">
        <w:t xml:space="preserve">BMI between second </w:t>
      </w:r>
      <w:r>
        <w:t xml:space="preserve">and third live </w:t>
      </w:r>
      <w:r w:rsidRPr="00D04026">
        <w:t>pregnanc</w:t>
      </w:r>
      <w:r>
        <w:t>ies (secondary cohort)</w:t>
      </w:r>
      <w:r w:rsidRPr="00D04026">
        <w:t xml:space="preserve"> was </w:t>
      </w:r>
      <w:r>
        <w:t xml:space="preserve">a gain of 0.8 </w:t>
      </w:r>
      <w:r w:rsidRPr="007571D3">
        <w:t>kg/m</w:t>
      </w:r>
      <w:r w:rsidRPr="007571D3">
        <w:rPr>
          <w:vertAlign w:val="superscript"/>
        </w:rPr>
        <w:t>2</w:t>
      </w:r>
      <w:r w:rsidDel="00B42546">
        <w:t xml:space="preserve"> </w:t>
      </w:r>
      <w:r>
        <w:t xml:space="preserve">(IQR -0.5 to 2.4 </w:t>
      </w:r>
      <w:r w:rsidRPr="007571D3">
        <w:t>kg/m</w:t>
      </w:r>
      <w:r w:rsidRPr="007571D3">
        <w:rPr>
          <w:vertAlign w:val="superscript"/>
        </w:rPr>
        <w:t>2</w:t>
      </w:r>
      <w:r>
        <w:t>).</w:t>
      </w:r>
      <w:r w:rsidRPr="00677484">
        <w:t xml:space="preserve"> </w:t>
      </w:r>
      <w:r>
        <w:t xml:space="preserve">Overall, 35.4% of women stayed weight stable, 46.5% gained weight (&gt;1 </w:t>
      </w:r>
      <w:r w:rsidRPr="007571D3">
        <w:t>kg/m</w:t>
      </w:r>
      <w:r w:rsidRPr="007571D3">
        <w:rPr>
          <w:vertAlign w:val="superscript"/>
        </w:rPr>
        <w:t>2</w:t>
      </w:r>
      <w:r>
        <w:t xml:space="preserve">) and 18.1% lost weight (&gt;1 </w:t>
      </w:r>
      <w:r w:rsidRPr="007571D3">
        <w:t>kg/m</w:t>
      </w:r>
      <w:r w:rsidRPr="007571D3">
        <w:rPr>
          <w:vertAlign w:val="superscript"/>
        </w:rPr>
        <w:t>2</w:t>
      </w:r>
      <w:r>
        <w:t xml:space="preserve">). Of those who gained weight (&gt;1 </w:t>
      </w:r>
      <w:r w:rsidRPr="007571D3">
        <w:t>kg/m</w:t>
      </w:r>
      <w:r w:rsidRPr="007571D3">
        <w:rPr>
          <w:vertAlign w:val="superscript"/>
        </w:rPr>
        <w:t>2</w:t>
      </w:r>
      <w:r>
        <w:t xml:space="preserve">), the median BMI increase was 2.55 </w:t>
      </w:r>
      <w:r w:rsidRPr="007571D3">
        <w:t>kg/m</w:t>
      </w:r>
      <w:r w:rsidRPr="007571D3">
        <w:rPr>
          <w:vertAlign w:val="superscript"/>
        </w:rPr>
        <w:t>2</w:t>
      </w:r>
      <w:r>
        <w:rPr>
          <w:vertAlign w:val="superscript"/>
        </w:rPr>
        <w:t xml:space="preserve"> </w:t>
      </w:r>
      <w:r>
        <w:t xml:space="preserve">(IQR 1.68-3.91 </w:t>
      </w:r>
      <w:r w:rsidRPr="007571D3">
        <w:t>kg/m</w:t>
      </w:r>
      <w:r w:rsidRPr="007571D3">
        <w:rPr>
          <w:vertAlign w:val="superscript"/>
        </w:rPr>
        <w:t>2</w:t>
      </w:r>
      <w:r>
        <w:t xml:space="preserve">). Of those who lost weight (&gt;1 </w:t>
      </w:r>
      <w:r w:rsidRPr="007571D3">
        <w:t>kg/m</w:t>
      </w:r>
      <w:r w:rsidRPr="007571D3">
        <w:rPr>
          <w:vertAlign w:val="superscript"/>
        </w:rPr>
        <w:t>2</w:t>
      </w:r>
      <w:r>
        <w:t xml:space="preserve">), the median BMI decrease was 2.03 </w:t>
      </w:r>
      <w:r w:rsidRPr="007571D3">
        <w:t>kg/m</w:t>
      </w:r>
      <w:r w:rsidRPr="007571D3">
        <w:rPr>
          <w:vertAlign w:val="superscript"/>
        </w:rPr>
        <w:t>2</w:t>
      </w:r>
      <w:r>
        <w:rPr>
          <w:vertAlign w:val="superscript"/>
        </w:rPr>
        <w:t xml:space="preserve"> </w:t>
      </w:r>
      <w:r>
        <w:t xml:space="preserve">(IQR 1.37-3.06 </w:t>
      </w:r>
      <w:r w:rsidRPr="007571D3">
        <w:t>kg/m</w:t>
      </w:r>
      <w:r w:rsidRPr="007571D3">
        <w:rPr>
          <w:vertAlign w:val="superscript"/>
        </w:rPr>
        <w:t>2</w:t>
      </w:r>
      <w:r>
        <w:t xml:space="preserve">). </w:t>
      </w:r>
    </w:p>
    <w:p w:rsidR="00163BC4" w:rsidRDefault="00163BC4" w:rsidP="00163BC4">
      <w:pPr>
        <w:spacing w:line="480" w:lineRule="auto"/>
      </w:pPr>
      <w:r>
        <w:t xml:space="preserve"> Women who were weight stable (</w:t>
      </w:r>
      <w:r>
        <w:rPr>
          <w:rFonts w:cstheme="minorHAnsi"/>
        </w:rPr>
        <w:t>≤</w:t>
      </w:r>
      <w:r>
        <w:t xml:space="preserve">1 </w:t>
      </w:r>
      <w:r w:rsidRPr="007571D3">
        <w:t>kg/m</w:t>
      </w:r>
      <w:r w:rsidRPr="007571D3">
        <w:rPr>
          <w:vertAlign w:val="superscript"/>
        </w:rPr>
        <w:t>2</w:t>
      </w:r>
      <w:r>
        <w:t xml:space="preserve"> weight change) in both cohorts were on average older than their counterparts, had a lower starting BMI, and were more likely to have a university degree and be non-smokers.</w:t>
      </w:r>
    </w:p>
    <w:p w:rsidR="00163BC4" w:rsidRPr="007F3C07" w:rsidRDefault="00163BC4" w:rsidP="00163BC4">
      <w:pPr>
        <w:widowControl/>
        <w:tabs>
          <w:tab w:val="clear" w:pos="198"/>
        </w:tabs>
        <w:spacing w:after="160" w:line="259" w:lineRule="auto"/>
        <w:ind w:firstLine="0"/>
        <w:jc w:val="left"/>
        <w:rPr>
          <w:b/>
        </w:rPr>
      </w:pPr>
    </w:p>
    <w:p w:rsidR="00163BC4" w:rsidRPr="007F3C07" w:rsidRDefault="00163BC4" w:rsidP="00163BC4">
      <w:pPr>
        <w:pStyle w:val="Caption"/>
        <w:spacing w:after="240"/>
        <w:jc w:val="both"/>
        <w:rPr>
          <w:rFonts w:asciiTheme="minorHAnsi" w:hAnsiTheme="minorHAnsi" w:cstheme="minorHAnsi"/>
          <w:b/>
          <w:i w:val="0"/>
          <w:sz w:val="22"/>
          <w:szCs w:val="22"/>
        </w:rPr>
      </w:pPr>
      <w:r w:rsidRPr="007F3C07">
        <w:rPr>
          <w:rFonts w:asciiTheme="minorHAnsi" w:hAnsiTheme="minorHAnsi" w:cstheme="minorHAnsi"/>
          <w:b/>
          <w:i w:val="0"/>
          <w:sz w:val="22"/>
          <w:szCs w:val="22"/>
        </w:rPr>
        <w:t>Fig 2 The percentage of women in each change</w:t>
      </w:r>
      <w:r>
        <w:rPr>
          <w:rFonts w:asciiTheme="minorHAnsi" w:hAnsiTheme="minorHAnsi" w:cstheme="minorHAnsi"/>
          <w:b/>
          <w:i w:val="0"/>
          <w:sz w:val="22"/>
          <w:szCs w:val="22"/>
        </w:rPr>
        <w:t xml:space="preserve"> </w:t>
      </w:r>
      <w:r w:rsidRPr="007F3C07">
        <w:rPr>
          <w:rFonts w:asciiTheme="minorHAnsi" w:hAnsiTheme="minorHAnsi" w:cstheme="minorHAnsi"/>
          <w:b/>
          <w:i w:val="0"/>
          <w:sz w:val="22"/>
          <w:szCs w:val="22"/>
        </w:rPr>
        <w:t xml:space="preserve">in BMI </w:t>
      </w:r>
      <w:r>
        <w:rPr>
          <w:rFonts w:asciiTheme="minorHAnsi" w:hAnsiTheme="minorHAnsi" w:cstheme="minorHAnsi"/>
          <w:b/>
          <w:i w:val="0"/>
          <w:sz w:val="22"/>
          <w:szCs w:val="22"/>
        </w:rPr>
        <w:t>category</w:t>
      </w:r>
      <w:r w:rsidRPr="007F3C07">
        <w:rPr>
          <w:rFonts w:asciiTheme="minorHAnsi" w:hAnsiTheme="minorHAnsi" w:cstheme="minorHAnsi"/>
          <w:b/>
          <w:i w:val="0"/>
          <w:sz w:val="22"/>
          <w:szCs w:val="22"/>
        </w:rPr>
        <w:t xml:space="preserve"> for both </w:t>
      </w:r>
      <w:r>
        <w:rPr>
          <w:rFonts w:asciiTheme="minorHAnsi" w:hAnsiTheme="minorHAnsi" w:cstheme="minorHAnsi"/>
          <w:b/>
          <w:i w:val="0"/>
          <w:sz w:val="22"/>
          <w:szCs w:val="22"/>
        </w:rPr>
        <w:t>the</w:t>
      </w:r>
      <w:r w:rsidRPr="007F3C07">
        <w:rPr>
          <w:rFonts w:asciiTheme="minorHAnsi" w:hAnsiTheme="minorHAnsi" w:cstheme="minorHAnsi"/>
          <w:b/>
          <w:i w:val="0"/>
          <w:sz w:val="22"/>
          <w:szCs w:val="22"/>
        </w:rPr>
        <w:t xml:space="preserve"> primary (first to second pregnancy) and secondary (second to third pregnancy) cohort</w:t>
      </w:r>
      <w:r>
        <w:rPr>
          <w:rFonts w:asciiTheme="minorHAnsi" w:hAnsiTheme="minorHAnsi" w:cstheme="minorHAnsi"/>
          <w:b/>
          <w:i w:val="0"/>
          <w:sz w:val="22"/>
          <w:szCs w:val="22"/>
        </w:rPr>
        <w:t>s</w:t>
      </w:r>
      <w:r w:rsidRPr="007F3C07">
        <w:rPr>
          <w:rFonts w:asciiTheme="minorHAnsi" w:hAnsiTheme="minorHAnsi" w:cstheme="minorHAnsi"/>
          <w:b/>
          <w:i w:val="0"/>
          <w:sz w:val="22"/>
          <w:szCs w:val="22"/>
        </w:rPr>
        <w:t>, subdivided by BMI category at initial pregnancy in a population-based cohort from Southampton, UK from 2003 to 2018</w:t>
      </w:r>
    </w:p>
    <w:p w:rsidR="00163BC4" w:rsidRPr="009F7F04" w:rsidRDefault="00163BC4" w:rsidP="00163BC4">
      <w:pPr>
        <w:rPr>
          <w:lang w:eastAsia="zh-CN"/>
        </w:rPr>
      </w:pPr>
    </w:p>
    <w:p w:rsidR="00163BC4" w:rsidRDefault="00163BC4" w:rsidP="00163BC4">
      <w:pPr>
        <w:spacing w:line="480" w:lineRule="auto"/>
      </w:pPr>
      <w:r w:rsidRPr="007328FF">
        <w:t>In the primary cohort,</w:t>
      </w:r>
      <w:r>
        <w:t xml:space="preserve"> 3.4% (n=514) of second pregnancy births were premature compared to 4.2% (n=212) of third pregnancy births in the secondary cohort. There was a higher percentage of PBs in women who were underweight at booking than those who were not </w:t>
      </w:r>
      <w:r w:rsidRPr="00922903">
        <w:t>(</w:t>
      </w:r>
      <w:r>
        <w:t>Fig 3).There were fewer indicated than spontaneous PBs in both cohorts (primary cohort, 16.9% of PBs were indicated, secondary cohort 18.4% of PBs were indicated).</w:t>
      </w:r>
      <w:r w:rsidRPr="00F72DF5">
        <w:t xml:space="preserve"> </w:t>
      </w:r>
      <w:r w:rsidRPr="006D0FF9">
        <w:t xml:space="preserve">Women who had a </w:t>
      </w:r>
      <w:r>
        <w:t xml:space="preserve">PB </w:t>
      </w:r>
      <w:r w:rsidRPr="006D0FF9">
        <w:t>were more likely to be smokers</w:t>
      </w:r>
      <w:r>
        <w:t xml:space="preserve"> and to have comorbidities, and </w:t>
      </w:r>
      <w:r w:rsidRPr="006D0FF9">
        <w:t xml:space="preserve">were less likely to have </w:t>
      </w:r>
      <w:r>
        <w:t>a university degree (Table 1, Table 2).</w:t>
      </w:r>
      <w:r w:rsidRPr="006D0FF9">
        <w:t xml:space="preserve"> </w:t>
      </w:r>
      <w:bookmarkStart w:id="8" w:name="_Ref522801282"/>
    </w:p>
    <w:p w:rsidR="00163BC4" w:rsidRPr="007F3C07" w:rsidRDefault="00163BC4" w:rsidP="00163BC4">
      <w:pPr>
        <w:pStyle w:val="Caption"/>
        <w:rPr>
          <w:rFonts w:asciiTheme="minorHAnsi" w:hAnsiTheme="minorHAnsi" w:cstheme="minorHAnsi"/>
          <w:b/>
          <w:i w:val="0"/>
          <w:sz w:val="22"/>
          <w:szCs w:val="22"/>
        </w:rPr>
      </w:pPr>
      <w:r w:rsidRPr="007F3C07">
        <w:rPr>
          <w:rFonts w:asciiTheme="minorHAnsi" w:hAnsiTheme="minorHAnsi" w:cstheme="minorHAnsi"/>
          <w:b/>
          <w:i w:val="0"/>
          <w:sz w:val="22"/>
          <w:szCs w:val="22"/>
        </w:rPr>
        <w:t xml:space="preserve">Fig 3 The percentage of live </w:t>
      </w:r>
      <w:r>
        <w:rPr>
          <w:rFonts w:asciiTheme="minorHAnsi" w:hAnsiTheme="minorHAnsi" w:cstheme="minorHAnsi"/>
          <w:b/>
          <w:i w:val="0"/>
          <w:sz w:val="22"/>
          <w:szCs w:val="22"/>
        </w:rPr>
        <w:t>births</w:t>
      </w:r>
      <w:r w:rsidRPr="007F3C07">
        <w:rPr>
          <w:rFonts w:asciiTheme="minorHAnsi" w:hAnsiTheme="minorHAnsi" w:cstheme="minorHAnsi"/>
          <w:b/>
          <w:i w:val="0"/>
          <w:sz w:val="22"/>
          <w:szCs w:val="22"/>
        </w:rPr>
        <w:t xml:space="preserve"> that were premature for each pregnancy (first</w:t>
      </w:r>
      <w:r>
        <w:rPr>
          <w:rFonts w:asciiTheme="minorHAnsi" w:hAnsiTheme="minorHAnsi" w:cstheme="minorHAnsi"/>
          <w:b/>
          <w:i w:val="0"/>
          <w:sz w:val="22"/>
          <w:szCs w:val="22"/>
        </w:rPr>
        <w:t>,</w:t>
      </w:r>
      <w:r w:rsidRPr="007F3C07">
        <w:rPr>
          <w:rFonts w:asciiTheme="minorHAnsi" w:hAnsiTheme="minorHAnsi" w:cstheme="minorHAnsi"/>
          <w:b/>
          <w:i w:val="0"/>
          <w:sz w:val="22"/>
          <w:szCs w:val="22"/>
        </w:rPr>
        <w:t xml:space="preserve"> second or third), by maternal </w:t>
      </w:r>
      <w:r>
        <w:rPr>
          <w:rFonts w:asciiTheme="minorHAnsi" w:hAnsiTheme="minorHAnsi" w:cstheme="minorHAnsi"/>
          <w:b/>
          <w:i w:val="0"/>
          <w:sz w:val="22"/>
          <w:szCs w:val="22"/>
        </w:rPr>
        <w:t>body mass index (</w:t>
      </w:r>
      <w:r w:rsidRPr="007F3C07">
        <w:rPr>
          <w:rFonts w:asciiTheme="minorHAnsi" w:hAnsiTheme="minorHAnsi" w:cstheme="minorHAnsi"/>
          <w:b/>
          <w:i w:val="0"/>
          <w:sz w:val="22"/>
          <w:szCs w:val="22"/>
        </w:rPr>
        <w:t>BMI</w:t>
      </w:r>
      <w:r>
        <w:rPr>
          <w:rFonts w:asciiTheme="minorHAnsi" w:hAnsiTheme="minorHAnsi" w:cstheme="minorHAnsi"/>
          <w:b/>
          <w:i w:val="0"/>
          <w:sz w:val="22"/>
          <w:szCs w:val="22"/>
        </w:rPr>
        <w:t>)</w:t>
      </w:r>
      <w:r w:rsidRPr="007F3C07">
        <w:rPr>
          <w:rFonts w:asciiTheme="minorHAnsi" w:hAnsiTheme="minorHAnsi" w:cstheme="minorHAnsi"/>
          <w:b/>
          <w:i w:val="0"/>
          <w:sz w:val="22"/>
          <w:szCs w:val="22"/>
        </w:rPr>
        <w:t xml:space="preserve"> at </w:t>
      </w:r>
      <w:r>
        <w:rPr>
          <w:rFonts w:asciiTheme="minorHAnsi" w:hAnsiTheme="minorHAnsi" w:cstheme="minorHAnsi"/>
          <w:b/>
          <w:i w:val="0"/>
          <w:sz w:val="22"/>
          <w:szCs w:val="22"/>
        </w:rPr>
        <w:t>the first antenatal</w:t>
      </w:r>
      <w:r w:rsidRPr="007F3C07">
        <w:rPr>
          <w:rFonts w:asciiTheme="minorHAnsi" w:hAnsiTheme="minorHAnsi" w:cstheme="minorHAnsi"/>
          <w:b/>
          <w:i w:val="0"/>
          <w:sz w:val="22"/>
          <w:szCs w:val="22"/>
        </w:rPr>
        <w:t xml:space="preserve"> appointment</w:t>
      </w:r>
    </w:p>
    <w:p w:rsidR="00163BC4" w:rsidRPr="001B6674" w:rsidRDefault="00163BC4" w:rsidP="00163BC4">
      <w:pPr>
        <w:ind w:firstLine="0"/>
        <w:rPr>
          <w:i/>
          <w:iCs/>
        </w:rPr>
        <w:sectPr w:rsidR="00163BC4" w:rsidRPr="001B6674" w:rsidSect="00DC4995">
          <w:footerReference w:type="default" r:id="rId7"/>
          <w:pgSz w:w="11906" w:h="16838"/>
          <w:pgMar w:top="1440" w:right="1440" w:bottom="1440" w:left="1440" w:header="708" w:footer="708" w:gutter="0"/>
          <w:pgNumType w:start="0"/>
          <w:cols w:space="708"/>
          <w:docGrid w:linePitch="360"/>
        </w:sectPr>
      </w:pPr>
    </w:p>
    <w:bookmarkEnd w:id="8"/>
    <w:p w:rsidR="00163BC4" w:rsidRPr="005812C9" w:rsidRDefault="00163BC4" w:rsidP="00163BC4">
      <w:pPr>
        <w:pStyle w:val="Caption"/>
        <w:keepNext/>
        <w:spacing w:line="360" w:lineRule="auto"/>
        <w:rPr>
          <w:rFonts w:cstheme="minorHAnsi"/>
        </w:rPr>
      </w:pPr>
      <w:r w:rsidRPr="00DC4995">
        <w:rPr>
          <w:rFonts w:asciiTheme="minorHAnsi" w:hAnsiTheme="minorHAnsi" w:cstheme="minorHAnsi"/>
          <w:i w:val="0"/>
          <w:sz w:val="22"/>
          <w:szCs w:val="22"/>
        </w:rPr>
        <w:t xml:space="preserve">Table </w:t>
      </w:r>
      <w:r>
        <w:rPr>
          <w:rFonts w:asciiTheme="minorHAnsi" w:hAnsiTheme="minorHAnsi" w:cstheme="minorHAnsi"/>
          <w:i w:val="0"/>
          <w:noProof/>
          <w:sz w:val="22"/>
          <w:szCs w:val="22"/>
        </w:rPr>
        <w:t>1</w:t>
      </w:r>
      <w:r w:rsidRPr="00DC4995">
        <w:rPr>
          <w:rFonts w:asciiTheme="minorHAnsi" w:hAnsiTheme="minorHAnsi" w:cstheme="minorHAnsi"/>
          <w:i w:val="0"/>
          <w:sz w:val="22"/>
          <w:szCs w:val="22"/>
        </w:rPr>
        <w:t xml:space="preserve"> Characteristics of mothers and infants </w:t>
      </w:r>
      <w:r>
        <w:rPr>
          <w:rFonts w:asciiTheme="minorHAnsi" w:hAnsiTheme="minorHAnsi" w:cstheme="minorHAnsi"/>
          <w:i w:val="0"/>
          <w:sz w:val="22"/>
          <w:szCs w:val="22"/>
        </w:rPr>
        <w:t>born to</w:t>
      </w:r>
      <w:r w:rsidRPr="00DC4995">
        <w:rPr>
          <w:rFonts w:asciiTheme="minorHAnsi" w:hAnsiTheme="minorHAnsi" w:cstheme="minorHAnsi"/>
          <w:i w:val="0"/>
          <w:sz w:val="22"/>
          <w:szCs w:val="22"/>
        </w:rPr>
        <w:t xml:space="preserve"> second live birth pregnancy, categorised by whether the birth was premature (&lt;37 weeks gestation) in a population-based cohort from Southampton, UK from 2003 to 2018.</w:t>
      </w:r>
    </w:p>
    <w:tbl>
      <w:tblPr>
        <w:tblStyle w:val="TableGrid"/>
        <w:tblW w:w="13948" w:type="dxa"/>
        <w:tblLayout w:type="fixed"/>
        <w:tblLook w:val="04A0" w:firstRow="1" w:lastRow="0" w:firstColumn="1" w:lastColumn="0" w:noHBand="0" w:noVBand="1"/>
      </w:tblPr>
      <w:tblGrid>
        <w:gridCol w:w="3114"/>
        <w:gridCol w:w="4111"/>
        <w:gridCol w:w="1417"/>
        <w:gridCol w:w="1559"/>
        <w:gridCol w:w="1276"/>
        <w:gridCol w:w="1276"/>
        <w:gridCol w:w="1195"/>
      </w:tblGrid>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p>
        </w:tc>
        <w:tc>
          <w:tcPr>
            <w:tcW w:w="5528" w:type="dxa"/>
            <w:gridSpan w:val="4"/>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Primary cohort- outcome of second pregnancy</w:t>
            </w:r>
          </w:p>
        </w:tc>
        <w:tc>
          <w:tcPr>
            <w:tcW w:w="1195" w:type="dxa"/>
          </w:tcPr>
          <w:p w:rsidR="00163BC4" w:rsidRPr="00002E98" w:rsidDel="008F5AF1" w:rsidRDefault="00163BC4" w:rsidP="005549B7">
            <w:pPr>
              <w:pStyle w:val="NoSpacing"/>
              <w:rPr>
                <w:rFonts w:asciiTheme="minorHAnsi" w:hAnsiTheme="minorHAnsi" w:cstheme="minorHAnsi"/>
                <w:b/>
                <w:sz w:val="18"/>
                <w:szCs w:val="18"/>
              </w:rPr>
            </w:pPr>
            <w:r w:rsidRPr="00002E98">
              <w:rPr>
                <w:rFonts w:asciiTheme="minorHAnsi" w:hAnsiTheme="minorHAnsi" w:cstheme="minorHAnsi"/>
                <w:b/>
                <w:sz w:val="18"/>
                <w:szCs w:val="18"/>
              </w:rPr>
              <w:t>P value</w:t>
            </w: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p>
        </w:tc>
        <w:tc>
          <w:tcPr>
            <w:tcW w:w="2976"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Term birth</w:t>
            </w:r>
          </w:p>
        </w:tc>
        <w:tc>
          <w:tcPr>
            <w:tcW w:w="2552"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Premature birth</w:t>
            </w:r>
          </w:p>
        </w:tc>
        <w:tc>
          <w:tcPr>
            <w:tcW w:w="1195" w:type="dxa"/>
          </w:tcPr>
          <w:p w:rsidR="00163BC4" w:rsidRPr="00002E98" w:rsidDel="008F5AF1" w:rsidRDefault="00163BC4" w:rsidP="005549B7">
            <w:pPr>
              <w:pStyle w:val="NoSpacing"/>
              <w:rPr>
                <w:rFonts w:asciiTheme="minorHAnsi" w:hAnsiTheme="minorHAnsi" w:cstheme="minorHAnsi"/>
                <w:b/>
                <w:sz w:val="18"/>
                <w:szCs w:val="18"/>
              </w:rPr>
            </w:pP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 (% of cohort)</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14,447</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96.6</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514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 3.4</w:t>
            </w:r>
          </w:p>
        </w:tc>
        <w:tc>
          <w:tcPr>
            <w:tcW w:w="1195" w:type="dxa"/>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age, years (median, IQR)</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29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25-33</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29</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23-33</w:t>
            </w:r>
          </w:p>
        </w:tc>
        <w:tc>
          <w:tcPr>
            <w:tcW w:w="1195" w:type="dxa"/>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0.006</w:t>
            </w:r>
            <w:r w:rsidRPr="0019767E">
              <w:rPr>
                <w:rFonts w:asciiTheme="minorHAnsi" w:hAnsiTheme="minorHAnsi" w:cstheme="minorHAnsi"/>
                <w:b/>
                <w:sz w:val="18"/>
                <w:szCs w:val="18"/>
                <w:vertAlign w:val="superscript"/>
              </w:rPr>
              <w:t>$</w:t>
            </w: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at initial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(median, IQR)</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23.5 </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21.2.-26.9</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23.7</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20.8-27.2</w:t>
            </w:r>
          </w:p>
        </w:tc>
        <w:tc>
          <w:tcPr>
            <w:tcW w:w="1195" w:type="dxa"/>
          </w:tcPr>
          <w:p w:rsidR="00163BC4" w:rsidRPr="00002E98" w:rsidDel="008F5AF1" w:rsidRDefault="00163BC4" w:rsidP="005549B7">
            <w:pPr>
              <w:pStyle w:val="NoSpacing"/>
              <w:rPr>
                <w:rFonts w:asciiTheme="minorHAnsi" w:hAnsiTheme="minorHAnsi" w:cstheme="minorHAnsi"/>
                <w:sz w:val="18"/>
                <w:szCs w:val="18"/>
              </w:rPr>
            </w:pPr>
            <w:r w:rsidRPr="00002E98">
              <w:rPr>
                <w:rFonts w:asciiTheme="minorHAnsi" w:hAnsiTheme="minorHAnsi" w:cstheme="minorHAnsi"/>
                <w:sz w:val="18"/>
                <w:szCs w:val="18"/>
              </w:rPr>
              <w:t>0.485</w:t>
            </w:r>
            <w:r w:rsidRPr="0019767E">
              <w:rPr>
                <w:rFonts w:asciiTheme="minorHAnsi" w:hAnsiTheme="minorHAnsi" w:cstheme="minorHAnsi"/>
                <w:sz w:val="18"/>
                <w:szCs w:val="18"/>
                <w:vertAlign w:val="superscript"/>
              </w:rPr>
              <w:t>$</w:t>
            </w: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at subsequent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(median, IQR)</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24.5 </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21.9-28.5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21.4-28.7</w:t>
            </w:r>
          </w:p>
        </w:tc>
        <w:tc>
          <w:tcPr>
            <w:tcW w:w="1195" w:type="dxa"/>
          </w:tcPr>
          <w:p w:rsidR="00163BC4" w:rsidRPr="00002E98" w:rsidDel="008F5AF1" w:rsidRDefault="00163BC4" w:rsidP="005549B7">
            <w:pPr>
              <w:pStyle w:val="NoSpacing"/>
              <w:rPr>
                <w:rFonts w:asciiTheme="minorHAnsi" w:hAnsiTheme="minorHAnsi" w:cstheme="minorHAnsi"/>
                <w:sz w:val="18"/>
                <w:szCs w:val="18"/>
              </w:rPr>
            </w:pPr>
            <w:r w:rsidRPr="00002E98">
              <w:rPr>
                <w:rFonts w:asciiTheme="minorHAnsi" w:hAnsiTheme="minorHAnsi" w:cstheme="minorHAnsi"/>
                <w:sz w:val="18"/>
                <w:szCs w:val="18"/>
              </w:rPr>
              <w:t>0.275</w:t>
            </w:r>
            <w:r w:rsidRPr="0019767E">
              <w:rPr>
                <w:rFonts w:asciiTheme="minorHAnsi" w:hAnsiTheme="minorHAnsi" w:cstheme="minorHAnsi"/>
                <w:sz w:val="18"/>
                <w:szCs w:val="18"/>
                <w:vertAlign w:val="superscript"/>
              </w:rPr>
              <w:t>$</w:t>
            </w: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category at initial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Underweight &lt;18.5</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3.6</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3.3-3.9</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7.6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5.5-10.2</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Normal weight 18.5-24.9</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59.4</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58.6-60.2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55.6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51.2-60.0</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Overweight 25.0-29.9</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24.0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23.3-24.7</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21.4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17.9-25.2</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Obese ≥30.0</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13.0</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12.5-13.6</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15.4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12.4-18.8</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Pr>
                <w:rFonts w:asciiTheme="minorHAnsi" w:hAnsiTheme="minorHAnsi" w:cstheme="minorHAnsi"/>
                <w:b/>
                <w:sz w:val="18"/>
                <w:szCs w:val="18"/>
              </w:rPr>
              <w:t>Inter</w:t>
            </w:r>
            <w:r w:rsidRPr="009D107D">
              <w:rPr>
                <w:rFonts w:asciiTheme="minorHAnsi" w:hAnsiTheme="minorHAnsi" w:cstheme="minorHAnsi"/>
                <w:b/>
                <w:sz w:val="18"/>
                <w:szCs w:val="18"/>
              </w:rPr>
              <w:t>pregnancy interval, months (median, IQR)</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22.7 </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14.6-34.8</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24.6</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14.0-40.3</w:t>
            </w:r>
          </w:p>
        </w:tc>
        <w:tc>
          <w:tcPr>
            <w:tcW w:w="1195" w:type="dxa"/>
          </w:tcPr>
          <w:p w:rsidR="00163BC4" w:rsidRPr="00002E98" w:rsidDel="008F5AF1" w:rsidRDefault="00163BC4" w:rsidP="005549B7">
            <w:pPr>
              <w:pStyle w:val="NoSpacing"/>
              <w:rPr>
                <w:rFonts w:asciiTheme="minorHAnsi" w:hAnsiTheme="minorHAnsi" w:cstheme="minorHAnsi"/>
                <w:sz w:val="18"/>
                <w:szCs w:val="18"/>
              </w:rPr>
            </w:pPr>
            <w:r w:rsidRPr="00002E98">
              <w:rPr>
                <w:rFonts w:asciiTheme="minorHAnsi" w:hAnsiTheme="minorHAnsi" w:cstheme="minorHAnsi"/>
                <w:sz w:val="18"/>
                <w:szCs w:val="18"/>
              </w:rPr>
              <w:t>0.106</w:t>
            </w:r>
            <w:r w:rsidRPr="0019767E">
              <w:rPr>
                <w:rFonts w:asciiTheme="minorHAnsi" w:hAnsiTheme="minorHAnsi" w:cstheme="minorHAnsi"/>
                <w:sz w:val="18"/>
                <w:szCs w:val="18"/>
                <w:vertAlign w:val="superscript"/>
              </w:rPr>
              <w:t>$</w:t>
            </w: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ethnicity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White</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86.9 </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86.3-87.4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86.2 </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82.9-89.1</w:t>
            </w:r>
          </w:p>
        </w:tc>
        <w:tc>
          <w:tcPr>
            <w:tcW w:w="1195" w:type="dxa"/>
            <w:vMerge w:val="restart"/>
          </w:tcPr>
          <w:p w:rsidR="00163BC4" w:rsidRPr="00002E98" w:rsidDel="008F5AF1"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0.280^</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Other</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13.2</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12.6-13.7</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13.8</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10.9-17.1</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education attainment,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College or lower</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61.4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60.6-62.2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69.8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65.7-73.8</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Higher education</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35.2</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34.4-36.0</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25.1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21.4-29.1</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Unknown</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3.4</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3.1-3.7</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3.3-7.3</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employment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Employed</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68.1</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66.9-68.4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62.9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58.3-66.8</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vertAlign w:val="superscript"/>
              </w:rPr>
            </w:pPr>
            <w:r w:rsidRPr="0019767E">
              <w:rPr>
                <w:rFonts w:asciiTheme="minorHAnsi" w:hAnsiTheme="minorHAnsi" w:cstheme="minorHAnsi"/>
                <w:b/>
                <w:sz w:val="18"/>
                <w:szCs w:val="18"/>
              </w:rPr>
              <w:t>0.013</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Unemployed</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31.9</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30.9-32.4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37.1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32.8-41.3</w:t>
            </w:r>
          </w:p>
        </w:tc>
        <w:tc>
          <w:tcPr>
            <w:tcW w:w="1195" w:type="dxa"/>
            <w:vMerge/>
          </w:tcPr>
          <w:p w:rsidR="00163BC4" w:rsidRPr="0019767E" w:rsidDel="008F5AF1" w:rsidRDefault="00163BC4" w:rsidP="005549B7">
            <w:pPr>
              <w:pStyle w:val="NoSpacing"/>
              <w:rPr>
                <w:rFonts w:asciiTheme="minorHAnsi" w:hAnsiTheme="minorHAnsi" w:cstheme="minorHAnsi"/>
                <w:b/>
                <w:sz w:val="18"/>
                <w:szCs w:val="18"/>
              </w:rPr>
            </w:pP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smoking status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Non-smoker</w:t>
            </w:r>
            <w:r>
              <w:rPr>
                <w:rFonts w:asciiTheme="minorHAnsi" w:hAnsiTheme="minorHAnsi" w:cstheme="minorHAnsi"/>
                <w:b/>
                <w:sz w:val="18"/>
                <w:szCs w:val="18"/>
              </w:rPr>
              <w:t xml:space="preserve"> (including ex-smokers)</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87.7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87.1-88.2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79.2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75.4-82.6</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Current smoker</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12.3</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11.8-12.9</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20.8</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17.4-24.6</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c>
          <w:tcPr>
            <w:tcW w:w="7225"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Gestation at booking appointment for second pregnancy, days (mean, SD)</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77.0</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16.4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75.7</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 18.5</w:t>
            </w:r>
          </w:p>
        </w:tc>
        <w:tc>
          <w:tcPr>
            <w:tcW w:w="1195" w:type="dxa"/>
          </w:tcPr>
          <w:p w:rsidR="00163BC4" w:rsidRPr="00002E98" w:rsidDel="008F5AF1" w:rsidRDefault="00163BC4" w:rsidP="005549B7">
            <w:pPr>
              <w:pStyle w:val="NoSpacing"/>
              <w:rPr>
                <w:rFonts w:asciiTheme="minorHAnsi" w:hAnsiTheme="minorHAnsi" w:cstheme="minorHAnsi"/>
                <w:sz w:val="18"/>
                <w:szCs w:val="18"/>
              </w:rPr>
            </w:pPr>
            <w:r w:rsidRPr="00002E98">
              <w:rPr>
                <w:rFonts w:asciiTheme="minorHAnsi" w:hAnsiTheme="minorHAnsi" w:cstheme="minorHAnsi"/>
                <w:sz w:val="18"/>
                <w:szCs w:val="18"/>
              </w:rPr>
              <w:t>0.078*</w:t>
            </w: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Prematurity category of previous pregnancy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Extremely premature</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0.2</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0.1-0.3</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2.0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0.9-3.5</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Very premature</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0.3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0.2-0.4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4.7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3.0-6.9</w:t>
            </w:r>
          </w:p>
        </w:tc>
        <w:tc>
          <w:tcPr>
            <w:tcW w:w="1195" w:type="dxa"/>
            <w:vMerge/>
          </w:tcPr>
          <w:p w:rsidR="00163BC4" w:rsidRPr="0019767E" w:rsidDel="008F5AF1" w:rsidRDefault="00163BC4" w:rsidP="005549B7">
            <w:pPr>
              <w:pStyle w:val="NoSpacing"/>
              <w:rPr>
                <w:rFonts w:asciiTheme="minorHAnsi" w:hAnsiTheme="minorHAnsi" w:cstheme="minorHAnsi"/>
                <w:b/>
                <w:sz w:val="18"/>
                <w:szCs w:val="18"/>
              </w:rPr>
            </w:pP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Moderate to late premature</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3.7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3.3-4.0</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22.4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18.8-26.2</w:t>
            </w:r>
          </w:p>
        </w:tc>
        <w:tc>
          <w:tcPr>
            <w:tcW w:w="1195" w:type="dxa"/>
            <w:vMerge/>
          </w:tcPr>
          <w:p w:rsidR="00163BC4" w:rsidRPr="0019767E" w:rsidDel="008F5AF1" w:rsidRDefault="00163BC4" w:rsidP="005549B7">
            <w:pPr>
              <w:pStyle w:val="NoSpacing"/>
              <w:rPr>
                <w:rFonts w:asciiTheme="minorHAnsi" w:hAnsiTheme="minorHAnsi" w:cstheme="minorHAnsi"/>
                <w:b/>
                <w:sz w:val="18"/>
                <w:szCs w:val="18"/>
              </w:rPr>
            </w:pP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Term</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95.9</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95.5-96.2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71.0</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66.9-74.9</w:t>
            </w:r>
          </w:p>
        </w:tc>
        <w:tc>
          <w:tcPr>
            <w:tcW w:w="1195" w:type="dxa"/>
            <w:vMerge/>
          </w:tcPr>
          <w:p w:rsidR="00163BC4" w:rsidRPr="0019767E" w:rsidDel="008F5AF1" w:rsidRDefault="00163BC4" w:rsidP="005549B7">
            <w:pPr>
              <w:pStyle w:val="NoSpacing"/>
              <w:rPr>
                <w:rFonts w:asciiTheme="minorHAnsi" w:hAnsiTheme="minorHAnsi" w:cstheme="minorHAnsi"/>
                <w:b/>
                <w:sz w:val="18"/>
                <w:szCs w:val="18"/>
              </w:rPr>
            </w:pPr>
          </w:p>
        </w:tc>
      </w:tr>
      <w:tr w:rsidR="00163BC4" w:rsidRPr="009D107D" w:rsidTr="005549B7">
        <w:tc>
          <w:tcPr>
            <w:tcW w:w="3114" w:type="dxa"/>
            <w:vMerge w:val="restart"/>
          </w:tcPr>
          <w:p w:rsidR="00163BC4" w:rsidRPr="009D107D" w:rsidRDefault="00163BC4" w:rsidP="005549B7">
            <w:pPr>
              <w:pStyle w:val="NoSpacing"/>
              <w:rPr>
                <w:rFonts w:asciiTheme="minorHAnsi" w:hAnsiTheme="minorHAnsi" w:cstheme="minorHAnsi"/>
                <w:b/>
                <w:sz w:val="18"/>
                <w:szCs w:val="18"/>
              </w:rPr>
            </w:pPr>
            <w:r>
              <w:rPr>
                <w:rFonts w:asciiTheme="minorHAnsi" w:hAnsiTheme="minorHAnsi" w:cstheme="minorHAnsi"/>
                <w:b/>
                <w:sz w:val="18"/>
                <w:szCs w:val="18"/>
              </w:rPr>
              <w:t>Mode of birth</w:t>
            </w:r>
            <w:r w:rsidRPr="009D107D">
              <w:rPr>
                <w:rFonts w:asciiTheme="minorHAnsi" w:hAnsiTheme="minorHAnsi" w:cstheme="minorHAnsi"/>
                <w:b/>
                <w:sz w:val="18"/>
                <w:szCs w:val="18"/>
              </w:rPr>
              <w:t xml:space="preserve"> category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Spontaneous labour</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76.5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75.8-77.2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83.1 </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79.5-86.2</w:t>
            </w:r>
          </w:p>
        </w:tc>
        <w:tc>
          <w:tcPr>
            <w:tcW w:w="1195" w:type="dxa"/>
            <w:vMerge w:val="restart"/>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0.001</w:t>
            </w:r>
            <w:r w:rsidRPr="0019767E">
              <w:rPr>
                <w:rFonts w:asciiTheme="minorHAnsi" w:hAnsiTheme="minorHAnsi" w:cstheme="minorHAnsi"/>
                <w:b/>
                <w:sz w:val="18"/>
                <w:szCs w:val="18"/>
                <w:vertAlign w:val="superscript"/>
              </w:rPr>
              <w:t>#</w:t>
            </w:r>
          </w:p>
        </w:tc>
      </w:tr>
      <w:tr w:rsidR="00163BC4" w:rsidRPr="009D107D" w:rsidTr="005549B7">
        <w:tc>
          <w:tcPr>
            <w:tcW w:w="3114"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Induced delivery</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23.5</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22.8-24.2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16.9</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13.8-20.5</w:t>
            </w:r>
          </w:p>
        </w:tc>
        <w:tc>
          <w:tcPr>
            <w:tcW w:w="1195" w:type="dxa"/>
            <w:vMerge/>
          </w:tcPr>
          <w:p w:rsidR="00163BC4" w:rsidRPr="00002E98" w:rsidDel="008F5AF1" w:rsidRDefault="00163BC4" w:rsidP="005549B7">
            <w:pPr>
              <w:pStyle w:val="NoSpacing"/>
              <w:rPr>
                <w:rFonts w:asciiTheme="minorHAnsi" w:hAnsiTheme="minorHAnsi" w:cstheme="minorHAnsi"/>
                <w:sz w:val="18"/>
                <w:szCs w:val="18"/>
              </w:rPr>
            </w:pPr>
          </w:p>
        </w:tc>
      </w:tr>
      <w:tr w:rsidR="00163BC4" w:rsidRPr="009D107D" w:rsidTr="005549B7">
        <w:trPr>
          <w:trHeight w:val="260"/>
        </w:trPr>
        <w:tc>
          <w:tcPr>
            <w:tcW w:w="3114"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Fertility treatment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Yes</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1.6</w:t>
            </w:r>
          </w:p>
        </w:tc>
        <w:tc>
          <w:tcPr>
            <w:tcW w:w="1559"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1.4-1.8</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1.0-3.8</w:t>
            </w:r>
          </w:p>
        </w:tc>
        <w:tc>
          <w:tcPr>
            <w:tcW w:w="1195" w:type="dxa"/>
          </w:tcPr>
          <w:p w:rsidR="00163BC4" w:rsidRPr="0019767E" w:rsidDel="008F5AF1" w:rsidRDefault="00163BC4" w:rsidP="005549B7">
            <w:pPr>
              <w:pStyle w:val="NoSpacing"/>
              <w:rPr>
                <w:rFonts w:asciiTheme="minorHAnsi" w:hAnsiTheme="minorHAnsi" w:cstheme="minorHAnsi"/>
                <w:sz w:val="18"/>
                <w:szCs w:val="18"/>
                <w:vertAlign w:val="superscript"/>
              </w:rPr>
            </w:pPr>
            <w:r w:rsidRPr="00002E98">
              <w:rPr>
                <w:rFonts w:asciiTheme="minorHAnsi" w:hAnsiTheme="minorHAnsi" w:cstheme="minorHAnsi"/>
                <w:sz w:val="18"/>
                <w:szCs w:val="18"/>
              </w:rPr>
              <w:t>0.318</w:t>
            </w:r>
            <w:r w:rsidRPr="00002E98">
              <w:rPr>
                <w:rFonts w:asciiTheme="minorHAnsi" w:hAnsiTheme="minorHAnsi" w:cstheme="minorHAnsi"/>
                <w:sz w:val="18"/>
                <w:szCs w:val="18"/>
                <w:vertAlign w:val="superscript"/>
              </w:rPr>
              <w:t>#</w:t>
            </w:r>
          </w:p>
        </w:tc>
      </w:tr>
      <w:tr w:rsidR="00163BC4" w:rsidRPr="009D107D" w:rsidTr="005549B7">
        <w:trPr>
          <w:trHeight w:val="265"/>
        </w:trPr>
        <w:tc>
          <w:tcPr>
            <w:tcW w:w="3114"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Comorbidities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Yes</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7.0</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6.5-7.4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17.1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14.0-20.7</w:t>
            </w:r>
          </w:p>
        </w:tc>
        <w:tc>
          <w:tcPr>
            <w:tcW w:w="1195" w:type="dxa"/>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rPr>
          <w:trHeight w:val="283"/>
        </w:trPr>
        <w:tc>
          <w:tcPr>
            <w:tcW w:w="3114"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Gender of infant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Male</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51.3 </w:t>
            </w:r>
          </w:p>
        </w:tc>
        <w:tc>
          <w:tcPr>
            <w:tcW w:w="1559"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50.4-52.1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59.3</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54.8-63.4</w:t>
            </w:r>
          </w:p>
        </w:tc>
        <w:tc>
          <w:tcPr>
            <w:tcW w:w="1195" w:type="dxa"/>
          </w:tcPr>
          <w:p w:rsidR="00163BC4" w:rsidRPr="0019767E" w:rsidDel="008F5AF1"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bl>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rPr>
        <w:t>*Tested for significance using</w:t>
      </w:r>
      <w:r>
        <w:rPr>
          <w:rFonts w:asciiTheme="minorHAnsi" w:hAnsiTheme="minorHAnsi" w:cstheme="minorHAnsi"/>
          <w:i w:val="0"/>
          <w:sz w:val="18"/>
        </w:rPr>
        <w:t xml:space="preserve"> </w:t>
      </w:r>
      <w:r w:rsidRPr="00DC4995">
        <w:rPr>
          <w:i w:val="0"/>
        </w:rPr>
        <w:t>an independent samples</w:t>
      </w:r>
      <w:r w:rsidRPr="0019767E">
        <w:rPr>
          <w:rFonts w:asciiTheme="minorHAnsi" w:hAnsiTheme="minorHAnsi" w:cstheme="minorHAnsi"/>
          <w:i w:val="0"/>
          <w:sz w:val="18"/>
        </w:rPr>
        <w:t xml:space="preserve"> T-Test,</w:t>
      </w:r>
    </w:p>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Chi squared test,</w:t>
      </w:r>
    </w:p>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Mann Whitney-U test,</w:t>
      </w:r>
    </w:p>
    <w:p w:rsidR="00163BC4" w:rsidRDefault="00163BC4" w:rsidP="00163BC4">
      <w:pPr>
        <w:pStyle w:val="Caption"/>
        <w:rPr>
          <w:rFonts w:cstheme="minorHAnsi"/>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Fisher’s exact test,</w:t>
      </w:r>
    </w:p>
    <w:p w:rsidR="00163BC4" w:rsidRPr="00DC4995" w:rsidRDefault="00163BC4" w:rsidP="00163BC4">
      <w:pPr>
        <w:pStyle w:val="Caption"/>
        <w:rPr>
          <w:rFonts w:cstheme="minorHAnsi"/>
          <w:sz w:val="18"/>
        </w:rPr>
      </w:pPr>
      <w:r w:rsidRPr="0019767E">
        <w:rPr>
          <w:rFonts w:asciiTheme="minorHAnsi" w:hAnsiTheme="minorHAnsi" w:cstheme="minorHAnsi"/>
          <w:i w:val="0"/>
          <w:iCs w:val="0"/>
          <w:sz w:val="18"/>
        </w:rPr>
        <w:t>Significant P values in bold</w:t>
      </w:r>
    </w:p>
    <w:p w:rsidR="00163BC4" w:rsidRDefault="00163BC4" w:rsidP="00163BC4">
      <w:pPr>
        <w:ind w:firstLine="0"/>
      </w:pPr>
    </w:p>
    <w:p w:rsidR="00163BC4" w:rsidRDefault="00163BC4" w:rsidP="00163BC4">
      <w:pPr>
        <w:widowControl/>
        <w:tabs>
          <w:tab w:val="clear" w:pos="198"/>
        </w:tabs>
        <w:spacing w:after="160" w:line="259" w:lineRule="auto"/>
        <w:ind w:firstLine="0"/>
        <w:jc w:val="left"/>
      </w:pPr>
      <w:r>
        <w:br w:type="page"/>
      </w:r>
    </w:p>
    <w:p w:rsidR="00163BC4" w:rsidRPr="00DC4995" w:rsidRDefault="00163BC4" w:rsidP="00163BC4">
      <w:pPr>
        <w:pStyle w:val="Heading3"/>
        <w:rPr>
          <w:rFonts w:cstheme="minorHAnsi"/>
          <w:iCs/>
          <w:color w:val="44546A" w:themeColor="text2"/>
          <w:spacing w:val="0"/>
          <w:lang w:eastAsia="zh-CN"/>
        </w:rPr>
      </w:pPr>
      <w:r>
        <w:t xml:space="preserve">Table </w:t>
      </w:r>
      <w:r>
        <w:rPr>
          <w:noProof/>
        </w:rPr>
        <w:t>2</w:t>
      </w:r>
      <w:r>
        <w:t xml:space="preserve"> </w:t>
      </w:r>
      <w:r w:rsidRPr="0019767E">
        <w:rPr>
          <w:rFonts w:eastAsiaTheme="minorEastAsia" w:cstheme="minorHAnsi"/>
          <w:b w:val="0"/>
          <w:iCs/>
          <w:color w:val="44546A" w:themeColor="text2"/>
          <w:spacing w:val="0"/>
          <w:szCs w:val="22"/>
          <w:lang w:eastAsia="zh-CN"/>
        </w:rPr>
        <w:t xml:space="preserve">Characteristics of mothers and infants </w:t>
      </w:r>
      <w:r>
        <w:rPr>
          <w:rFonts w:eastAsiaTheme="minorEastAsia" w:cstheme="minorHAnsi"/>
          <w:b w:val="0"/>
          <w:iCs/>
          <w:color w:val="44546A" w:themeColor="text2"/>
          <w:spacing w:val="0"/>
          <w:szCs w:val="22"/>
          <w:lang w:eastAsia="zh-CN"/>
        </w:rPr>
        <w:t>born to</w:t>
      </w:r>
      <w:r w:rsidRPr="0019767E">
        <w:rPr>
          <w:rFonts w:eastAsiaTheme="minorEastAsia" w:cstheme="minorHAnsi"/>
          <w:b w:val="0"/>
          <w:iCs/>
          <w:color w:val="44546A" w:themeColor="text2"/>
          <w:spacing w:val="0"/>
          <w:szCs w:val="22"/>
          <w:lang w:eastAsia="zh-CN"/>
        </w:rPr>
        <w:t xml:space="preserve"> </w:t>
      </w:r>
      <w:r>
        <w:rPr>
          <w:rFonts w:eastAsiaTheme="minorEastAsia" w:cstheme="minorHAnsi"/>
          <w:b w:val="0"/>
          <w:iCs/>
          <w:color w:val="44546A" w:themeColor="text2"/>
          <w:spacing w:val="0"/>
          <w:szCs w:val="22"/>
          <w:lang w:eastAsia="zh-CN"/>
        </w:rPr>
        <w:t>third</w:t>
      </w:r>
      <w:r w:rsidRPr="0019767E">
        <w:rPr>
          <w:rFonts w:eastAsiaTheme="minorEastAsia" w:cstheme="minorHAnsi"/>
          <w:b w:val="0"/>
          <w:iCs/>
          <w:color w:val="44546A" w:themeColor="text2"/>
          <w:spacing w:val="0"/>
          <w:szCs w:val="22"/>
          <w:lang w:eastAsia="zh-CN"/>
        </w:rPr>
        <w:t xml:space="preserve"> live birth pregnancy, categorised by whether the birth was premature (&lt;37 weeks gestation) in a population-based cohort from Southampton, UK from 2003 to 2018.</w:t>
      </w:r>
    </w:p>
    <w:tbl>
      <w:tblPr>
        <w:tblStyle w:val="TableGrid"/>
        <w:tblW w:w="0" w:type="auto"/>
        <w:tblLayout w:type="fixed"/>
        <w:tblLook w:val="04A0" w:firstRow="1" w:lastRow="0" w:firstColumn="1" w:lastColumn="0" w:noHBand="0" w:noVBand="1"/>
      </w:tblPr>
      <w:tblGrid>
        <w:gridCol w:w="2547"/>
        <w:gridCol w:w="4111"/>
        <w:gridCol w:w="1275"/>
        <w:gridCol w:w="1418"/>
        <w:gridCol w:w="1276"/>
        <w:gridCol w:w="1417"/>
        <w:gridCol w:w="1756"/>
      </w:tblGrid>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p>
        </w:tc>
        <w:tc>
          <w:tcPr>
            <w:tcW w:w="5386" w:type="dxa"/>
            <w:gridSpan w:val="4"/>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Secondary cohort- outcome of third pregnancy</w:t>
            </w:r>
          </w:p>
        </w:tc>
        <w:tc>
          <w:tcPr>
            <w:tcW w:w="1756" w:type="dxa"/>
          </w:tcPr>
          <w:p w:rsidR="00163BC4" w:rsidRPr="00512359" w:rsidRDefault="00163BC4" w:rsidP="005549B7">
            <w:pPr>
              <w:pStyle w:val="NoSpacing"/>
              <w:rPr>
                <w:rFonts w:asciiTheme="minorHAnsi" w:hAnsiTheme="minorHAnsi" w:cstheme="minorHAnsi"/>
                <w:b/>
                <w:sz w:val="18"/>
                <w:szCs w:val="18"/>
              </w:rPr>
            </w:pPr>
            <w:r w:rsidRPr="00512359">
              <w:rPr>
                <w:rFonts w:asciiTheme="minorHAnsi" w:hAnsiTheme="minorHAnsi" w:cstheme="minorHAnsi"/>
                <w:b/>
                <w:sz w:val="18"/>
                <w:szCs w:val="18"/>
              </w:rPr>
              <w:t>P value</w:t>
            </w: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p>
        </w:tc>
        <w:tc>
          <w:tcPr>
            <w:tcW w:w="2693"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Term birth</w:t>
            </w:r>
          </w:p>
        </w:tc>
        <w:tc>
          <w:tcPr>
            <w:tcW w:w="2693"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Premature birth</w:t>
            </w:r>
          </w:p>
        </w:tc>
        <w:tc>
          <w:tcPr>
            <w:tcW w:w="1756" w:type="dxa"/>
          </w:tcPr>
          <w:p w:rsidR="00163BC4" w:rsidRPr="00572049" w:rsidRDefault="00163BC4" w:rsidP="005549B7">
            <w:pPr>
              <w:pStyle w:val="NoSpacing"/>
              <w:rPr>
                <w:rFonts w:asciiTheme="minorHAnsi" w:hAnsiTheme="minorHAnsi" w:cstheme="minorHAnsi"/>
                <w:b/>
                <w:sz w:val="18"/>
                <w:szCs w:val="18"/>
              </w:rPr>
            </w:pP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 (% of cohort)</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4,896</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 95.9</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212</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4.2</w:t>
            </w:r>
          </w:p>
        </w:tc>
        <w:tc>
          <w:tcPr>
            <w:tcW w:w="1756" w:type="dxa"/>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age, years (median, IQR)</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29</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26-33</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29</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24-33</w:t>
            </w:r>
          </w:p>
        </w:tc>
        <w:tc>
          <w:tcPr>
            <w:tcW w:w="1756" w:type="dxa"/>
          </w:tcPr>
          <w:p w:rsidR="00163BC4" w:rsidRPr="00572049" w:rsidRDefault="00163BC4" w:rsidP="005549B7">
            <w:pPr>
              <w:pStyle w:val="NoSpacing"/>
              <w:rPr>
                <w:rFonts w:asciiTheme="minorHAnsi" w:hAnsiTheme="minorHAnsi" w:cstheme="minorHAnsi"/>
                <w:sz w:val="18"/>
                <w:szCs w:val="18"/>
              </w:rPr>
            </w:pPr>
            <w:r w:rsidRPr="00572049">
              <w:rPr>
                <w:rFonts w:asciiTheme="minorHAnsi" w:hAnsiTheme="minorHAnsi" w:cstheme="minorHAnsi"/>
                <w:sz w:val="18"/>
                <w:szCs w:val="18"/>
              </w:rPr>
              <w:t>0.068*</w:t>
            </w: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at initial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(median, IQR)</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24.2</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21.6-28.3</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23.9</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20.7-27.8</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b/>
                <w:sz w:val="18"/>
                <w:szCs w:val="18"/>
              </w:rPr>
              <w:t>0.038</w:t>
            </w:r>
            <w:r w:rsidRPr="0019767E">
              <w:rPr>
                <w:rFonts w:asciiTheme="minorHAnsi" w:hAnsiTheme="minorHAnsi" w:cstheme="minorHAnsi"/>
                <w:b/>
                <w:sz w:val="18"/>
                <w:szCs w:val="18"/>
                <w:vertAlign w:val="superscript"/>
              </w:rPr>
              <w:t>$</w:t>
            </w: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at subsequent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(median, IQR)</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25.3</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22.3-29.5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24.7</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22.0-28.4</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0.087</w:t>
            </w:r>
            <w:r w:rsidRPr="0019767E">
              <w:rPr>
                <w:rFonts w:asciiTheme="minorHAnsi" w:hAnsiTheme="minorHAnsi" w:cstheme="minorHAnsi"/>
                <w:sz w:val="18"/>
                <w:szCs w:val="18"/>
                <w:vertAlign w:val="superscript"/>
              </w:rPr>
              <w:t>$</w:t>
            </w: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BMI category at initial pregnancy, kg/m</w:t>
            </w:r>
            <w:r w:rsidRPr="009D107D">
              <w:rPr>
                <w:rFonts w:asciiTheme="minorHAnsi" w:hAnsiTheme="minorHAnsi" w:cstheme="minorHAnsi"/>
                <w:b/>
                <w:sz w:val="18"/>
                <w:szCs w:val="18"/>
                <w:vertAlign w:val="superscript"/>
              </w:rPr>
              <w:t>2</w:t>
            </w:r>
            <w:r w:rsidRPr="009D107D">
              <w:rPr>
                <w:rFonts w:asciiTheme="minorHAnsi" w:hAnsiTheme="minorHAnsi" w:cstheme="minorHAnsi"/>
                <w:b/>
                <w:sz w:val="18"/>
                <w:szCs w:val="18"/>
              </w:rPr>
              <w:t xml:space="preserve">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Underweight &lt;18.5</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3.4 </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2.9-3.9</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5.7</w:t>
            </w:r>
          </w:p>
        </w:tc>
        <w:tc>
          <w:tcPr>
            <w:tcW w:w="1417" w:type="dxa"/>
          </w:tcPr>
          <w:p w:rsidR="00163BC4" w:rsidRPr="009D107D" w:rsidRDefault="00163BC4" w:rsidP="005549B7">
            <w:pPr>
              <w:pStyle w:val="NoSpacing"/>
              <w:rPr>
                <w:rFonts w:asciiTheme="minorHAnsi" w:hAnsiTheme="minorHAnsi" w:cstheme="minorHAnsi"/>
                <w:b/>
                <w:i/>
                <w:sz w:val="18"/>
                <w:szCs w:val="18"/>
              </w:rPr>
            </w:pPr>
            <w:r w:rsidRPr="009D107D">
              <w:rPr>
                <w:rFonts w:asciiTheme="minorHAnsi" w:hAnsiTheme="minorHAnsi" w:cstheme="minorHAnsi"/>
                <w:sz w:val="18"/>
                <w:szCs w:val="18"/>
              </w:rPr>
              <w:t>3.0-9.7</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0.276</w:t>
            </w:r>
            <w:r w:rsidRPr="0019767E">
              <w:rPr>
                <w:rFonts w:asciiTheme="minorHAnsi" w:hAnsiTheme="minorHAnsi" w:cstheme="minorHAnsi"/>
                <w:sz w:val="18"/>
                <w:szCs w:val="18"/>
                <w:vertAlign w:val="superscript"/>
              </w:rPr>
              <w:t>#</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Normal weight 18.5-24.9</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53.0 </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51.6-54.4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54.3</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47.3-61.1</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Overweight 25.0-29.9</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 xml:space="preserve">25.2 </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24.0-26.5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24.1</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18.5-30.4</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Obese ≥30.0</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18.4</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17.3-19.5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16.0</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11.4-21.7</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Pr>
                <w:rFonts w:asciiTheme="minorHAnsi" w:hAnsiTheme="minorHAnsi" w:cstheme="minorHAnsi"/>
                <w:b/>
                <w:sz w:val="18"/>
                <w:szCs w:val="18"/>
              </w:rPr>
              <w:t>Inter</w:t>
            </w:r>
            <w:r w:rsidRPr="009D107D">
              <w:rPr>
                <w:rFonts w:asciiTheme="minorHAnsi" w:hAnsiTheme="minorHAnsi" w:cstheme="minorHAnsi"/>
                <w:b/>
                <w:sz w:val="18"/>
                <w:szCs w:val="18"/>
              </w:rPr>
              <w:t>pregnancy interval, months (median, IQR)</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24.8</w:t>
            </w:r>
          </w:p>
        </w:tc>
        <w:tc>
          <w:tcPr>
            <w:tcW w:w="1418" w:type="dxa"/>
          </w:tcPr>
          <w:p w:rsidR="00163BC4" w:rsidRPr="009D107D" w:rsidRDefault="00163BC4" w:rsidP="005549B7">
            <w:pPr>
              <w:pStyle w:val="NoSpacing"/>
              <w:rPr>
                <w:rFonts w:asciiTheme="minorHAnsi" w:hAnsiTheme="minorHAnsi" w:cstheme="minorHAnsi"/>
                <w:sz w:val="18"/>
                <w:szCs w:val="18"/>
                <w:vertAlign w:val="superscript"/>
              </w:rPr>
            </w:pPr>
            <w:r w:rsidRPr="009D107D">
              <w:rPr>
                <w:rFonts w:asciiTheme="minorHAnsi" w:hAnsiTheme="minorHAnsi" w:cstheme="minorHAnsi"/>
                <w:sz w:val="18"/>
                <w:szCs w:val="18"/>
              </w:rPr>
              <w:t>14.1-42.6</w:t>
            </w:r>
          </w:p>
        </w:tc>
        <w:tc>
          <w:tcPr>
            <w:tcW w:w="1276" w:type="dxa"/>
          </w:tcPr>
          <w:p w:rsidR="00163BC4" w:rsidRPr="009D107D" w:rsidRDefault="00163BC4" w:rsidP="005549B7">
            <w:pPr>
              <w:pStyle w:val="NoSpacing"/>
              <w:rPr>
                <w:rFonts w:asciiTheme="minorHAnsi" w:hAnsiTheme="minorHAnsi" w:cstheme="minorHAnsi"/>
                <w:sz w:val="18"/>
                <w:szCs w:val="18"/>
                <w:vertAlign w:val="superscript"/>
              </w:rPr>
            </w:pPr>
            <w:r w:rsidRPr="009D107D">
              <w:rPr>
                <w:rFonts w:asciiTheme="minorHAnsi" w:hAnsiTheme="minorHAnsi" w:cstheme="minorHAnsi"/>
                <w:sz w:val="18"/>
                <w:szCs w:val="18"/>
              </w:rPr>
              <w:t>24.9</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12.5-47.4</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0.907</w:t>
            </w:r>
            <w:r w:rsidRPr="0019767E">
              <w:rPr>
                <w:rFonts w:asciiTheme="minorHAnsi" w:hAnsiTheme="minorHAnsi" w:cstheme="minorHAnsi"/>
                <w:sz w:val="18"/>
                <w:szCs w:val="18"/>
                <w:vertAlign w:val="superscript"/>
              </w:rPr>
              <w:t>$</w:t>
            </w: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ethnicity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White</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82.4</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81.3-83.4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85.4</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79.9-89.8</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0.822^</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Other</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17.6</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16.6-18.7</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14.6</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10.2-20.1</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education attainment,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College or lower</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75.3</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74.0-76.4</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79.7</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73.7-84.9</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0.162</w:t>
            </w:r>
            <w:r w:rsidRPr="0019767E">
              <w:rPr>
                <w:rFonts w:asciiTheme="minorHAnsi" w:hAnsiTheme="minorHAnsi" w:cstheme="minorHAnsi"/>
                <w:sz w:val="18"/>
                <w:szCs w:val="18"/>
                <w:vertAlign w:val="superscript"/>
              </w:rPr>
              <w:t>#</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Higher education</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22.3</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21.1-23.5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17.0</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12.2-22.7</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Unknown</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2.5</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2.1-3.0</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3.3</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1.3-6.7</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employment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Employed</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49.2</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47.4-50.2</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44.0</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36.6-50.4</w:t>
            </w:r>
          </w:p>
        </w:tc>
        <w:tc>
          <w:tcPr>
            <w:tcW w:w="1756" w:type="dxa"/>
            <w:vMerge w:val="restart"/>
          </w:tcPr>
          <w:p w:rsidR="00163BC4" w:rsidRPr="0019767E" w:rsidRDefault="00163BC4" w:rsidP="005549B7">
            <w:pPr>
              <w:pStyle w:val="NoSpacing"/>
              <w:rPr>
                <w:rFonts w:asciiTheme="minorHAnsi" w:hAnsiTheme="minorHAnsi" w:cstheme="minorHAnsi"/>
                <w:sz w:val="18"/>
                <w:szCs w:val="18"/>
                <w:vertAlign w:val="superscript"/>
              </w:rPr>
            </w:pPr>
            <w:r w:rsidRPr="0019767E">
              <w:rPr>
                <w:rFonts w:asciiTheme="minorHAnsi" w:hAnsiTheme="minorHAnsi" w:cstheme="minorHAnsi"/>
                <w:sz w:val="18"/>
                <w:szCs w:val="18"/>
              </w:rPr>
              <w:t>0.144</w:t>
            </w:r>
            <w:r w:rsidRPr="00572049">
              <w:rPr>
                <w:rFonts w:asciiTheme="minorHAnsi" w:hAnsiTheme="minorHAnsi" w:cstheme="minorHAnsi"/>
                <w:sz w:val="18"/>
                <w:szCs w:val="18"/>
                <w:vertAlign w:val="superscript"/>
              </w:rPr>
              <w:t>#</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Unemployed</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50.8</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50.0-51.8</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56.0</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48.2-62.0</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Maternal smoking status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Non-smoker</w:t>
            </w:r>
            <w:r>
              <w:rPr>
                <w:rFonts w:asciiTheme="minorHAnsi" w:hAnsiTheme="minorHAnsi" w:cstheme="minorHAnsi"/>
                <w:b/>
                <w:sz w:val="18"/>
                <w:szCs w:val="18"/>
              </w:rPr>
              <w:t xml:space="preserve"> (including ex-smokers)</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80.1</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 xml:space="preserve"> 80.0-81.2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67.9</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61.2-74.2</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Current smoker</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19.9</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18.8-21.0</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32.1</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25.8-38.8</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6658" w:type="dxa"/>
            <w:gridSpan w:val="2"/>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Gestation at booking appointment for second pregnancy, days (mean, SD)</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79.5</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18.5</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81.6</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21.8</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0.120*</w:t>
            </w: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Prematurity category of previous pregnancy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Extremely premature</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0.3</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0.2-0.5</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0.9</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0.1-3.4</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b/>
                <w:sz w:val="18"/>
                <w:szCs w:val="18"/>
              </w:rPr>
              <w:t>&lt;0.001^</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Very premature</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0.2</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0.1-0.3</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1.4</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0.3-4.1</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Moderate to late premature</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2.7</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2.2-3.2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19.8</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14.7-25.8</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Term</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96.9</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96.4-97.4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77.8</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71.6-83.2</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c>
          <w:tcPr>
            <w:tcW w:w="2547" w:type="dxa"/>
            <w:vMerge w:val="restart"/>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Delivery category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Spontaneous labour</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73.8</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72.6-75.1</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81.6</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75.7-86.6</w:t>
            </w:r>
          </w:p>
        </w:tc>
        <w:tc>
          <w:tcPr>
            <w:tcW w:w="1756" w:type="dxa"/>
            <w:vMerge w:val="restart"/>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b/>
                <w:sz w:val="18"/>
                <w:szCs w:val="18"/>
              </w:rPr>
              <w:t>0.011</w:t>
            </w:r>
            <w:r w:rsidRPr="0019767E">
              <w:rPr>
                <w:rFonts w:asciiTheme="minorHAnsi" w:hAnsiTheme="minorHAnsi" w:cstheme="minorHAnsi"/>
                <w:b/>
                <w:sz w:val="18"/>
                <w:szCs w:val="18"/>
                <w:vertAlign w:val="superscript"/>
              </w:rPr>
              <w:t>#</w:t>
            </w:r>
          </w:p>
        </w:tc>
      </w:tr>
      <w:tr w:rsidR="00163BC4" w:rsidRPr="009D107D" w:rsidTr="005549B7">
        <w:tc>
          <w:tcPr>
            <w:tcW w:w="2547" w:type="dxa"/>
            <w:vMerge/>
          </w:tcPr>
          <w:p w:rsidR="00163BC4" w:rsidRPr="009D107D" w:rsidRDefault="00163BC4" w:rsidP="005549B7">
            <w:pPr>
              <w:pStyle w:val="NoSpacing"/>
              <w:rPr>
                <w:rFonts w:asciiTheme="minorHAnsi" w:hAnsiTheme="minorHAnsi" w:cstheme="minorHAnsi"/>
                <w:b/>
                <w:sz w:val="18"/>
                <w:szCs w:val="18"/>
              </w:rPr>
            </w:pP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Induced delivery</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26.1</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24.9-27.4</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18.4</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13.4-24.3</w:t>
            </w:r>
          </w:p>
        </w:tc>
        <w:tc>
          <w:tcPr>
            <w:tcW w:w="1756" w:type="dxa"/>
            <w:vMerge/>
          </w:tcPr>
          <w:p w:rsidR="00163BC4" w:rsidRPr="00572049" w:rsidRDefault="00163BC4" w:rsidP="005549B7">
            <w:pPr>
              <w:pStyle w:val="NoSpacing"/>
              <w:rPr>
                <w:rFonts w:asciiTheme="minorHAnsi" w:hAnsiTheme="minorHAnsi" w:cstheme="minorHAnsi"/>
                <w:sz w:val="18"/>
                <w:szCs w:val="18"/>
              </w:rPr>
            </w:pPr>
          </w:p>
        </w:tc>
      </w:tr>
      <w:tr w:rsidR="00163BC4" w:rsidRPr="009D107D" w:rsidTr="005549B7">
        <w:trPr>
          <w:trHeight w:val="247"/>
        </w:trPr>
        <w:tc>
          <w:tcPr>
            <w:tcW w:w="2547"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Fertility treatment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Yes</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0.9</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0.7-1.2</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0.9</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0.1-3.4</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0.716^</w:t>
            </w:r>
          </w:p>
        </w:tc>
      </w:tr>
      <w:tr w:rsidR="00163BC4" w:rsidRPr="009D107D" w:rsidTr="005549B7">
        <w:trPr>
          <w:trHeight w:val="265"/>
        </w:trPr>
        <w:tc>
          <w:tcPr>
            <w:tcW w:w="2547"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Comorbidities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Yes</w:t>
            </w:r>
          </w:p>
        </w:tc>
        <w:tc>
          <w:tcPr>
            <w:tcW w:w="1275"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7.5</w:t>
            </w:r>
          </w:p>
        </w:tc>
        <w:tc>
          <w:tcPr>
            <w:tcW w:w="1418"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6.8-8.2</w:t>
            </w:r>
          </w:p>
        </w:tc>
        <w:tc>
          <w:tcPr>
            <w:tcW w:w="1276"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18.4</w:t>
            </w:r>
          </w:p>
        </w:tc>
        <w:tc>
          <w:tcPr>
            <w:tcW w:w="1417" w:type="dxa"/>
          </w:tcPr>
          <w:p w:rsidR="00163BC4" w:rsidRPr="0019767E" w:rsidRDefault="00163BC4" w:rsidP="005549B7">
            <w:pPr>
              <w:pStyle w:val="NoSpacing"/>
              <w:rPr>
                <w:rFonts w:asciiTheme="minorHAnsi" w:hAnsiTheme="minorHAnsi" w:cstheme="minorHAnsi"/>
                <w:b/>
                <w:sz w:val="18"/>
                <w:szCs w:val="18"/>
              </w:rPr>
            </w:pPr>
            <w:r w:rsidRPr="0019767E">
              <w:rPr>
                <w:rFonts w:asciiTheme="minorHAnsi" w:hAnsiTheme="minorHAnsi" w:cstheme="minorHAnsi"/>
                <w:b/>
                <w:sz w:val="18"/>
                <w:szCs w:val="18"/>
              </w:rPr>
              <w:t>13.4-24.3</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b/>
                <w:sz w:val="18"/>
                <w:szCs w:val="18"/>
              </w:rPr>
              <w:t>&lt;0.001</w:t>
            </w:r>
            <w:r w:rsidRPr="0019767E">
              <w:rPr>
                <w:rFonts w:asciiTheme="minorHAnsi" w:hAnsiTheme="minorHAnsi" w:cstheme="minorHAnsi"/>
                <w:b/>
                <w:sz w:val="18"/>
                <w:szCs w:val="18"/>
                <w:vertAlign w:val="superscript"/>
              </w:rPr>
              <w:t>#</w:t>
            </w:r>
          </w:p>
        </w:tc>
      </w:tr>
      <w:tr w:rsidR="00163BC4" w:rsidRPr="009D107D" w:rsidTr="005549B7">
        <w:trPr>
          <w:trHeight w:val="283"/>
        </w:trPr>
        <w:tc>
          <w:tcPr>
            <w:tcW w:w="2547"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Gender of infant (%, 95% CI)</w:t>
            </w:r>
          </w:p>
        </w:tc>
        <w:tc>
          <w:tcPr>
            <w:tcW w:w="4111" w:type="dxa"/>
          </w:tcPr>
          <w:p w:rsidR="00163BC4" w:rsidRPr="009D107D" w:rsidRDefault="00163BC4" w:rsidP="005549B7">
            <w:pPr>
              <w:pStyle w:val="NoSpacing"/>
              <w:rPr>
                <w:rFonts w:asciiTheme="minorHAnsi" w:hAnsiTheme="minorHAnsi" w:cstheme="minorHAnsi"/>
                <w:b/>
                <w:sz w:val="18"/>
                <w:szCs w:val="18"/>
              </w:rPr>
            </w:pPr>
            <w:r w:rsidRPr="009D107D">
              <w:rPr>
                <w:rFonts w:asciiTheme="minorHAnsi" w:hAnsiTheme="minorHAnsi" w:cstheme="minorHAnsi"/>
                <w:b/>
                <w:sz w:val="18"/>
                <w:szCs w:val="18"/>
              </w:rPr>
              <w:t>Male</w:t>
            </w:r>
          </w:p>
        </w:tc>
        <w:tc>
          <w:tcPr>
            <w:tcW w:w="1275"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50.7</w:t>
            </w:r>
          </w:p>
        </w:tc>
        <w:tc>
          <w:tcPr>
            <w:tcW w:w="1418"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49.2-52.1</w:t>
            </w:r>
          </w:p>
        </w:tc>
        <w:tc>
          <w:tcPr>
            <w:tcW w:w="1276"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53.8</w:t>
            </w:r>
          </w:p>
        </w:tc>
        <w:tc>
          <w:tcPr>
            <w:tcW w:w="1417" w:type="dxa"/>
          </w:tcPr>
          <w:p w:rsidR="00163BC4" w:rsidRPr="009D107D" w:rsidRDefault="00163BC4" w:rsidP="005549B7">
            <w:pPr>
              <w:pStyle w:val="NoSpacing"/>
              <w:rPr>
                <w:rFonts w:asciiTheme="minorHAnsi" w:hAnsiTheme="minorHAnsi" w:cstheme="minorHAnsi"/>
                <w:sz w:val="18"/>
                <w:szCs w:val="18"/>
              </w:rPr>
            </w:pPr>
            <w:r w:rsidRPr="009D107D">
              <w:rPr>
                <w:rFonts w:asciiTheme="minorHAnsi" w:hAnsiTheme="minorHAnsi" w:cstheme="minorHAnsi"/>
                <w:sz w:val="18"/>
                <w:szCs w:val="18"/>
              </w:rPr>
              <w:t>46.3-60.2</w:t>
            </w:r>
          </w:p>
        </w:tc>
        <w:tc>
          <w:tcPr>
            <w:tcW w:w="1756" w:type="dxa"/>
          </w:tcPr>
          <w:p w:rsidR="00163BC4" w:rsidRPr="00572049" w:rsidRDefault="00163BC4" w:rsidP="005549B7">
            <w:pPr>
              <w:pStyle w:val="NoSpacing"/>
              <w:rPr>
                <w:rFonts w:asciiTheme="minorHAnsi" w:hAnsiTheme="minorHAnsi" w:cstheme="minorHAnsi"/>
                <w:sz w:val="18"/>
                <w:szCs w:val="18"/>
              </w:rPr>
            </w:pPr>
            <w:r w:rsidRPr="0019767E">
              <w:rPr>
                <w:rFonts w:asciiTheme="minorHAnsi" w:hAnsiTheme="minorHAnsi" w:cstheme="minorHAnsi"/>
                <w:sz w:val="18"/>
                <w:szCs w:val="18"/>
              </w:rPr>
              <w:t>0.370</w:t>
            </w:r>
            <w:r w:rsidRPr="0019767E">
              <w:rPr>
                <w:rFonts w:asciiTheme="minorHAnsi" w:hAnsiTheme="minorHAnsi" w:cstheme="minorHAnsi"/>
                <w:sz w:val="18"/>
                <w:szCs w:val="18"/>
                <w:vertAlign w:val="superscript"/>
              </w:rPr>
              <w:t>#</w:t>
            </w:r>
          </w:p>
        </w:tc>
      </w:tr>
    </w:tbl>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rPr>
        <w:t xml:space="preserve">*Tested for significance using </w:t>
      </w:r>
      <w:r w:rsidRPr="00AB648D">
        <w:rPr>
          <w:rFonts w:asciiTheme="minorHAnsi" w:hAnsiTheme="minorHAnsi" w:cstheme="minorHAnsi"/>
          <w:i w:val="0"/>
          <w:sz w:val="18"/>
        </w:rPr>
        <w:t xml:space="preserve">an independent samples </w:t>
      </w:r>
      <w:r w:rsidRPr="0019767E">
        <w:rPr>
          <w:rFonts w:asciiTheme="minorHAnsi" w:hAnsiTheme="minorHAnsi" w:cstheme="minorHAnsi"/>
          <w:i w:val="0"/>
          <w:sz w:val="18"/>
        </w:rPr>
        <w:t>T-Test,</w:t>
      </w:r>
    </w:p>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Chi squared test,</w:t>
      </w:r>
    </w:p>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Mann Whitney-U test,</w:t>
      </w:r>
    </w:p>
    <w:p w:rsidR="00163BC4" w:rsidRDefault="00163BC4" w:rsidP="00163BC4">
      <w:pPr>
        <w:pStyle w:val="Caption"/>
        <w:rPr>
          <w:rFonts w:asciiTheme="minorHAnsi" w:hAnsiTheme="minorHAnsi" w:cstheme="minorHAnsi"/>
          <w:i w:val="0"/>
          <w:sz w:val="18"/>
        </w:rPr>
      </w:pPr>
      <w:r w:rsidRPr="0019767E">
        <w:rPr>
          <w:rFonts w:asciiTheme="minorHAnsi" w:hAnsiTheme="minorHAnsi" w:cstheme="minorHAnsi"/>
          <w:i w:val="0"/>
          <w:sz w:val="18"/>
          <w:vertAlign w:val="superscript"/>
        </w:rPr>
        <w:t>^</w:t>
      </w:r>
      <w:r w:rsidRPr="0019767E">
        <w:rPr>
          <w:rFonts w:asciiTheme="minorHAnsi" w:hAnsiTheme="minorHAnsi" w:cstheme="minorHAnsi"/>
          <w:i w:val="0"/>
          <w:sz w:val="18"/>
        </w:rPr>
        <w:t>Tested for significance using Fisher’s exact test,</w:t>
      </w:r>
    </w:p>
    <w:p w:rsidR="00163BC4" w:rsidRPr="0019767E" w:rsidRDefault="00163BC4" w:rsidP="00163BC4">
      <w:pPr>
        <w:pStyle w:val="Caption"/>
        <w:rPr>
          <w:rFonts w:asciiTheme="minorHAnsi" w:hAnsiTheme="minorHAnsi" w:cstheme="minorHAnsi"/>
          <w:i w:val="0"/>
          <w:sz w:val="18"/>
        </w:rPr>
      </w:pPr>
      <w:r w:rsidRPr="0019767E">
        <w:rPr>
          <w:rFonts w:asciiTheme="minorHAnsi" w:hAnsiTheme="minorHAnsi" w:cstheme="minorHAnsi"/>
          <w:i w:val="0"/>
          <w:iCs w:val="0"/>
          <w:sz w:val="18"/>
        </w:rPr>
        <w:t>Significant P values in bold</w:t>
      </w:r>
    </w:p>
    <w:p w:rsidR="00163BC4" w:rsidRDefault="00163BC4" w:rsidP="00163BC4">
      <w:pPr>
        <w:widowControl/>
        <w:tabs>
          <w:tab w:val="clear" w:pos="198"/>
        </w:tabs>
        <w:spacing w:after="160" w:line="259" w:lineRule="auto"/>
        <w:ind w:firstLine="0"/>
        <w:jc w:val="left"/>
      </w:pPr>
      <w:r>
        <w:br w:type="page"/>
      </w:r>
    </w:p>
    <w:p w:rsidR="00163BC4" w:rsidRPr="00DC4995" w:rsidRDefault="00163BC4" w:rsidP="00163BC4">
      <w:pPr>
        <w:ind w:firstLine="0"/>
        <w:sectPr w:rsidR="00163BC4" w:rsidRPr="00DC4995" w:rsidSect="00DC4995">
          <w:footnotePr>
            <w:numFmt w:val="lowerLetter"/>
          </w:footnotePr>
          <w:pgSz w:w="16838" w:h="11906" w:orient="landscape"/>
          <w:pgMar w:top="1440" w:right="1440" w:bottom="1440" w:left="1440" w:header="709" w:footer="709" w:gutter="0"/>
          <w:lnNumType w:countBy="1" w:restart="continuous"/>
          <w:cols w:space="708"/>
          <w:docGrid w:linePitch="360"/>
        </w:sectPr>
      </w:pPr>
    </w:p>
    <w:p w:rsidR="00163BC4" w:rsidRPr="00FF374E" w:rsidRDefault="00163BC4" w:rsidP="00163BC4">
      <w:pPr>
        <w:spacing w:line="480" w:lineRule="auto"/>
      </w:pPr>
      <w:r>
        <w:t xml:space="preserve">There was no significant association found between interpregnancy weight change between first and second pregnancy and PB in the whole primary cohort sample in both the univariable and the multivariable logistic regression models (Table 3). </w:t>
      </w:r>
      <w:bookmarkStart w:id="9" w:name="_Ref523217374"/>
      <w:r w:rsidRPr="00FF374E">
        <w:t>When consider</w:t>
      </w:r>
      <w:r>
        <w:t>ing</w:t>
      </w:r>
      <w:r w:rsidRPr="00FF374E">
        <w:t xml:space="preserve"> the association between weight change from second to third </w:t>
      </w:r>
      <w:r>
        <w:t>pregnancy</w:t>
      </w:r>
      <w:r w:rsidRPr="00FF374E">
        <w:t xml:space="preserve"> and </w:t>
      </w:r>
      <w:r>
        <w:t>PB</w:t>
      </w:r>
      <w:r w:rsidRPr="00FF374E">
        <w:t xml:space="preserve">, weight loss </w:t>
      </w:r>
      <w:r>
        <w:t>(&gt;</w:t>
      </w:r>
      <w:r w:rsidRPr="00FF374E">
        <w:t xml:space="preserve">3 </w:t>
      </w:r>
      <w:r w:rsidRPr="00DB2BFD">
        <w:t>kg/m</w:t>
      </w:r>
      <w:r w:rsidRPr="00DB2BFD">
        <w:rPr>
          <w:vertAlign w:val="superscript"/>
        </w:rPr>
        <w:t>2</w:t>
      </w:r>
      <w:r>
        <w:t xml:space="preserve">) </w:t>
      </w:r>
      <w:r w:rsidRPr="00FF374E">
        <w:t xml:space="preserve">between </w:t>
      </w:r>
      <w:r>
        <w:t>s</w:t>
      </w:r>
      <w:r w:rsidRPr="00FF374E">
        <w:t xml:space="preserve">econd </w:t>
      </w:r>
      <w:r>
        <w:t>and</w:t>
      </w:r>
      <w:r w:rsidRPr="00FF374E">
        <w:t xml:space="preserve"> third </w:t>
      </w:r>
      <w:r>
        <w:t>pregnancy</w:t>
      </w:r>
      <w:r w:rsidRPr="00FF374E">
        <w:t xml:space="preserve"> was found to </w:t>
      </w:r>
      <w:r>
        <w:t>be associated with an increased odds</w:t>
      </w:r>
      <w:r w:rsidRPr="00FF374E">
        <w:t xml:space="preserve"> of </w:t>
      </w:r>
      <w:r>
        <w:t>PB</w:t>
      </w:r>
      <w:r w:rsidRPr="00FF374E">
        <w:t xml:space="preserve"> in </w:t>
      </w:r>
      <w:r>
        <w:t>the whole secondary cohort sample</w:t>
      </w:r>
      <w:r w:rsidRPr="00FF374E">
        <w:t xml:space="preserve"> using a fully</w:t>
      </w:r>
      <w:r>
        <w:t xml:space="preserve"> </w:t>
      </w:r>
      <w:r w:rsidRPr="00FF374E">
        <w:t>adjusted model (</w:t>
      </w:r>
      <w:r>
        <w:t>adjusted odds ratio (aOR) 2.01</w:t>
      </w:r>
      <w:r w:rsidRPr="00FF374E">
        <w:t xml:space="preserve">, </w:t>
      </w:r>
      <w:r>
        <w:t xml:space="preserve">95% </w:t>
      </w:r>
      <w:r w:rsidRPr="00FF374E">
        <w:t>CI</w:t>
      </w:r>
      <w:r>
        <w:t xml:space="preserve"> </w:t>
      </w:r>
      <w:r w:rsidRPr="00FF374E">
        <w:t>1.0</w:t>
      </w:r>
      <w:r>
        <w:t>5</w:t>
      </w:r>
      <w:r w:rsidRPr="00FF374E">
        <w:t>-3.8</w:t>
      </w:r>
      <w:r>
        <w:t>7</w:t>
      </w:r>
      <w:r w:rsidRPr="00FF374E">
        <w:t>) (</w:t>
      </w:r>
      <w:r>
        <w:t>Table 4</w:t>
      </w:r>
      <w:r w:rsidRPr="00FF374E">
        <w:t>)</w:t>
      </w:r>
      <w:r w:rsidRPr="00FF374E">
        <w:rPr>
          <w:i/>
        </w:rPr>
        <w:t>.</w:t>
      </w:r>
      <w:r w:rsidRPr="00FF374E">
        <w:rPr>
          <w:b/>
          <w:i/>
        </w:rPr>
        <w:t xml:space="preserve"> </w:t>
      </w:r>
    </w:p>
    <w:p w:rsidR="00163BC4" w:rsidRPr="00553A63" w:rsidRDefault="00163BC4" w:rsidP="00163BC4">
      <w:pPr>
        <w:sectPr w:rsidR="00163BC4" w:rsidRPr="00553A63" w:rsidSect="00DC4995">
          <w:footnotePr>
            <w:numFmt w:val="lowerLetter"/>
          </w:footnotePr>
          <w:type w:val="continuous"/>
          <w:pgSz w:w="11906" w:h="16838"/>
          <w:pgMar w:top="1440" w:right="1440" w:bottom="1440" w:left="1440" w:header="709" w:footer="709" w:gutter="0"/>
          <w:lnNumType w:countBy="1" w:restart="continuous"/>
          <w:cols w:space="708"/>
          <w:docGrid w:linePitch="360"/>
        </w:sectPr>
      </w:pPr>
      <w:bookmarkStart w:id="10" w:name="_Ref523831487"/>
      <w:bookmarkEnd w:id="9"/>
    </w:p>
    <w:p w:rsidR="00163BC4" w:rsidRPr="00E007DE" w:rsidRDefault="00163BC4" w:rsidP="00163BC4">
      <w:pPr>
        <w:pStyle w:val="tabletitle"/>
        <w:spacing w:after="240"/>
        <w:jc w:val="both"/>
        <w:rPr>
          <w:rFonts w:asciiTheme="minorHAnsi" w:hAnsiTheme="minorHAnsi" w:cstheme="minorHAnsi"/>
          <w:i w:val="0"/>
          <w:sz w:val="22"/>
          <w:szCs w:val="22"/>
        </w:rPr>
      </w:pPr>
      <w:bookmarkStart w:id="11" w:name="_Ref524705930"/>
      <w:r w:rsidRPr="00E007DE">
        <w:rPr>
          <w:rFonts w:asciiTheme="minorHAnsi" w:hAnsiTheme="minorHAnsi" w:cstheme="minorHAnsi"/>
          <w:i w:val="0"/>
          <w:sz w:val="22"/>
          <w:szCs w:val="22"/>
        </w:rPr>
        <w:t xml:space="preserve">Table </w:t>
      </w:r>
      <w:r>
        <w:rPr>
          <w:rFonts w:asciiTheme="minorHAnsi" w:hAnsiTheme="minorHAnsi" w:cstheme="minorHAnsi"/>
          <w:i w:val="0"/>
          <w:sz w:val="22"/>
          <w:szCs w:val="22"/>
        </w:rPr>
        <w:t>3</w:t>
      </w:r>
      <w:r w:rsidRPr="00E007DE">
        <w:rPr>
          <w:rFonts w:asciiTheme="minorHAnsi" w:hAnsiTheme="minorHAnsi" w:cstheme="minorHAnsi"/>
          <w:i w:val="0"/>
          <w:sz w:val="22"/>
          <w:szCs w:val="22"/>
        </w:rPr>
        <w:t xml:space="preserve"> Associations of weight change between first and second live-birth pregnancies with PB at second pregnancy, stratified by BMI group at </w:t>
      </w:r>
      <w:r>
        <w:rPr>
          <w:rFonts w:asciiTheme="minorHAnsi" w:hAnsiTheme="minorHAnsi" w:cstheme="minorHAnsi"/>
          <w:i w:val="0"/>
          <w:sz w:val="22"/>
          <w:szCs w:val="22"/>
        </w:rPr>
        <w:t xml:space="preserve">the start of the </w:t>
      </w:r>
      <w:r w:rsidRPr="00E007DE">
        <w:rPr>
          <w:rFonts w:asciiTheme="minorHAnsi" w:hAnsiTheme="minorHAnsi" w:cstheme="minorHAnsi"/>
          <w:i w:val="0"/>
          <w:sz w:val="22"/>
          <w:szCs w:val="22"/>
        </w:rPr>
        <w:t>first pregnancy, in a population-based cohort. Princess Anne Hospital, Southampton, UK 2003-2018</w:t>
      </w:r>
    </w:p>
    <w:tbl>
      <w:tblPr>
        <w:tblStyle w:val="TableGrid"/>
        <w:tblW w:w="0" w:type="auto"/>
        <w:tblLook w:val="04A0" w:firstRow="1" w:lastRow="0" w:firstColumn="1" w:lastColumn="0" w:noHBand="0" w:noVBand="1"/>
      </w:tblPr>
      <w:tblGrid>
        <w:gridCol w:w="1419"/>
        <w:gridCol w:w="2509"/>
        <w:gridCol w:w="587"/>
        <w:gridCol w:w="933"/>
        <w:gridCol w:w="827"/>
        <w:gridCol w:w="692"/>
        <w:gridCol w:w="1114"/>
        <w:gridCol w:w="958"/>
        <w:gridCol w:w="649"/>
        <w:gridCol w:w="1039"/>
        <w:gridCol w:w="896"/>
        <w:gridCol w:w="583"/>
        <w:gridCol w:w="806"/>
        <w:gridCol w:w="936"/>
      </w:tblGrid>
      <w:tr w:rsidR="00163BC4" w:rsidRPr="00E007DE" w:rsidTr="005549B7">
        <w:tc>
          <w:tcPr>
            <w:tcW w:w="0" w:type="auto"/>
            <w:vMerge w:val="restart"/>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Model</w:t>
            </w:r>
          </w:p>
        </w:tc>
        <w:tc>
          <w:tcPr>
            <w:tcW w:w="0" w:type="auto"/>
            <w:vMerge w:val="restart"/>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BMI group at first pregnancy (n)</w:t>
            </w:r>
          </w:p>
        </w:tc>
        <w:tc>
          <w:tcPr>
            <w:tcW w:w="0" w:type="auto"/>
            <w:gridSpan w:val="3"/>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Decrease in BMI (&lt;-3 units)</w:t>
            </w:r>
          </w:p>
        </w:tc>
        <w:tc>
          <w:tcPr>
            <w:tcW w:w="0" w:type="auto"/>
            <w:gridSpan w:val="3"/>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Decrease in BMI (&lt;-1 to ≥ -3 units)</w:t>
            </w:r>
          </w:p>
        </w:tc>
        <w:tc>
          <w:tcPr>
            <w:tcW w:w="0" w:type="auto"/>
            <w:gridSpan w:val="3"/>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Increase in BMI (&gt;1 to ≤3 units)</w:t>
            </w:r>
          </w:p>
        </w:tc>
        <w:tc>
          <w:tcPr>
            <w:tcW w:w="0" w:type="auto"/>
            <w:gridSpan w:val="3"/>
          </w:tcPr>
          <w:p w:rsidR="00163BC4" w:rsidRPr="00E007DE" w:rsidRDefault="00163BC4" w:rsidP="005549B7">
            <w:pPr>
              <w:pStyle w:val="NoSpacing"/>
              <w:spacing w:after="240"/>
              <w:rPr>
                <w:rFonts w:asciiTheme="minorHAnsi" w:hAnsiTheme="minorHAnsi" w:cstheme="minorHAnsi"/>
                <w:b/>
                <w:szCs w:val="20"/>
              </w:rPr>
            </w:pPr>
            <w:r w:rsidRPr="00E007DE">
              <w:rPr>
                <w:rFonts w:asciiTheme="minorHAnsi" w:hAnsiTheme="minorHAnsi" w:cstheme="minorHAnsi"/>
                <w:b/>
                <w:szCs w:val="20"/>
              </w:rPr>
              <w:t>Increase in BMI (&gt;3 units)</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 xml:space="preserve">P </w:t>
            </w:r>
            <w:r>
              <w:rPr>
                <w:rFonts w:asciiTheme="minorHAnsi" w:hAnsiTheme="minorHAnsi" w:cstheme="minorHAnsi"/>
                <w:b/>
                <w:szCs w:val="20"/>
              </w:rPr>
              <w:t>value</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P</w:t>
            </w:r>
            <w:r>
              <w:rPr>
                <w:rFonts w:asciiTheme="minorHAnsi" w:hAnsiTheme="minorHAnsi" w:cstheme="minorHAnsi"/>
                <w:b/>
                <w:szCs w:val="20"/>
              </w:rPr>
              <w:t xml:space="preserve"> value</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 xml:space="preserve">P </w:t>
            </w:r>
            <w:r>
              <w:rPr>
                <w:rFonts w:asciiTheme="minorHAnsi" w:hAnsiTheme="minorHAnsi" w:cstheme="minorHAnsi"/>
                <w:b/>
                <w:szCs w:val="20"/>
              </w:rPr>
              <w:t>value</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785" w:type="dxa"/>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912" w:type="dxa"/>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P</w:t>
            </w:r>
            <w:r>
              <w:rPr>
                <w:rFonts w:asciiTheme="minorHAnsi" w:hAnsiTheme="minorHAnsi" w:cstheme="minorHAnsi"/>
                <w:b/>
                <w:szCs w:val="20"/>
              </w:rPr>
              <w:t xml:space="preserve"> value</w:t>
            </w:r>
          </w:p>
        </w:tc>
      </w:tr>
      <w:tr w:rsidR="00163BC4" w:rsidRPr="00E007DE" w:rsidTr="005549B7">
        <w:tc>
          <w:tcPr>
            <w:tcW w:w="0" w:type="auto"/>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Unadjusted</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All women (14,961)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0.90-2.14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0.141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0.87-1.53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0.311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0.75-1.19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0.619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1.11</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0.87-1.42</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0.403</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Underweight (564)**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0.75-4.68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0.621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0.26-1.16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0.114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0.66</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0.26-1.68</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0.383</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Normal weight (8,860)</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4.00</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2.15-7.58</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&lt;0.001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0.90-1.90</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0.153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0.72-1.30</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0.844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1.25</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0.89-1.76</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0.191</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Overweight (3,579)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0.49-2.53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0.807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1.00</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0.56-1.81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0.989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0.56-1.52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0.746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0.83</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0.48-1.40</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0.483</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Obese (1,958)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0.22-1.67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0.337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0.64-2.73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0.457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0.60-2.25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0.675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1.35</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0.73-2.51</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0.342</w:t>
            </w:r>
          </w:p>
        </w:tc>
      </w:tr>
      <w:tr w:rsidR="00163BC4" w:rsidRPr="00E007DE" w:rsidTr="005549B7">
        <w:tc>
          <w:tcPr>
            <w:tcW w:w="0" w:type="auto"/>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Fully-adjusted*</w:t>
            </w: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All women (14,845)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0.84-2.13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0.220</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0.87-1.56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0.311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0.71-1.13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0.347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0.91</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0.70-1.19</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0.486</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vertAlign w:val="superscript"/>
              </w:rPr>
            </w:pPr>
            <w:r w:rsidRPr="00E007DE">
              <w:rPr>
                <w:rFonts w:asciiTheme="minorHAnsi" w:hAnsiTheme="minorHAnsi" w:cstheme="minorHAnsi"/>
                <w:b/>
                <w:szCs w:val="20"/>
              </w:rPr>
              <w:t>Underweight (555)**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0.05-3.93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0.446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0.19-1.04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0.062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0.52</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0.18-1.49</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0.235</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Normal weight (8,788)</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3.50</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1.78-6.88</w:t>
            </w:r>
          </w:p>
        </w:tc>
        <w:tc>
          <w:tcPr>
            <w:tcW w:w="0" w:type="auto"/>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&lt;0.001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1.25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0.85-1.84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0.259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0.69-1.28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0.683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0.98</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0.68-1.42</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0.921</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Overweight (3,552)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0.48-2.71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0.764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1.06</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0.57-1.95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0.858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0.90</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0.53-1.52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0.693</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0.76</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0.43-1.35</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0.354</w:t>
            </w:r>
          </w:p>
        </w:tc>
      </w:tr>
      <w:tr w:rsidR="00163BC4" w:rsidRPr="00E007DE" w:rsidTr="005549B7">
        <w:tc>
          <w:tcPr>
            <w:tcW w:w="0" w:type="auto"/>
            <w:vMerge/>
          </w:tcPr>
          <w:p w:rsidR="00163BC4" w:rsidRPr="00E007DE" w:rsidRDefault="00163BC4" w:rsidP="005549B7">
            <w:pPr>
              <w:pStyle w:val="NoSpacing"/>
              <w:rPr>
                <w:rFonts w:asciiTheme="minorHAnsi" w:hAnsiTheme="minorHAnsi" w:cstheme="minorHAnsi"/>
                <w:b/>
                <w:szCs w:val="20"/>
              </w:rPr>
            </w:pPr>
          </w:p>
        </w:tc>
        <w:tc>
          <w:tcPr>
            <w:tcW w:w="0" w:type="auto"/>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Obese (1,945)</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0.57</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0.20-1.62</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0.288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1.48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0.69-3.18</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0.319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1.14</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0.56-2.29</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0.721</w:t>
            </w:r>
          </w:p>
        </w:tc>
        <w:tc>
          <w:tcPr>
            <w:tcW w:w="0" w:type="auto"/>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1.20</w:t>
            </w:r>
          </w:p>
        </w:tc>
        <w:tc>
          <w:tcPr>
            <w:tcW w:w="785"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0.62-2.35</w:t>
            </w:r>
          </w:p>
        </w:tc>
        <w:tc>
          <w:tcPr>
            <w:tcW w:w="912" w:type="dxa"/>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0.590</w:t>
            </w:r>
          </w:p>
        </w:tc>
      </w:tr>
    </w:tbl>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 xml:space="preserve">Odds ratios (OR), confidence intervals (CI) and P value (P) </w:t>
      </w:r>
      <w:r>
        <w:rPr>
          <w:rFonts w:asciiTheme="minorHAnsi" w:hAnsiTheme="minorHAnsi" w:cstheme="minorHAnsi"/>
          <w:i w:val="0"/>
          <w:sz w:val="20"/>
          <w:szCs w:val="20"/>
        </w:rPr>
        <w:t>stratified</w:t>
      </w:r>
      <w:r w:rsidRPr="00E007DE">
        <w:rPr>
          <w:rFonts w:asciiTheme="minorHAnsi" w:hAnsiTheme="minorHAnsi" w:cstheme="minorHAnsi"/>
          <w:i w:val="0"/>
          <w:sz w:val="20"/>
          <w:szCs w:val="20"/>
        </w:rPr>
        <w:t xml:space="preserve"> by BMI change category (five categories) listed for each model.</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All logistic regression models compared to reference category of weight stable (change in BMI (≥-1 to ≤1 kg/m</w:t>
      </w:r>
      <w:r w:rsidRPr="00E007DE">
        <w:rPr>
          <w:rFonts w:asciiTheme="minorHAnsi" w:hAnsiTheme="minorHAnsi" w:cstheme="minorHAnsi"/>
          <w:i w:val="0"/>
          <w:sz w:val="20"/>
          <w:szCs w:val="20"/>
          <w:vertAlign w:val="superscript"/>
        </w:rPr>
        <w:t>2</w:t>
      </w:r>
      <w:r w:rsidRPr="00E007DE">
        <w:rPr>
          <w:rFonts w:asciiTheme="minorHAnsi" w:hAnsiTheme="minorHAnsi" w:cstheme="minorHAnsi"/>
          <w:i w:val="0"/>
          <w:sz w:val="20"/>
          <w:szCs w:val="20"/>
        </w:rPr>
        <w:t>))</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 xml:space="preserve">*adjusted for maternal age, sex of the infant, maternal ethnicity, maternal highest educational achievement, maternal employment status, co-morbidities, pregnancy complications, maternal smoking status, previous PB and fertility treatment, all at second pregnancy. Also adjusted for, interpregnancy interval, BMI at first pregnancy booking appointment and gestational age at first pregnancy booking appointment. </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Significant P values in bold italics</w:t>
      </w:r>
    </w:p>
    <w:p w:rsidR="00163BC4" w:rsidRDefault="00163BC4" w:rsidP="00163BC4">
      <w:pPr>
        <w:pStyle w:val="Caption"/>
      </w:pPr>
      <w:r w:rsidRPr="00E007DE">
        <w:rPr>
          <w:rFonts w:asciiTheme="minorHAnsi" w:hAnsiTheme="minorHAnsi" w:cstheme="minorHAnsi"/>
          <w:i w:val="0"/>
          <w:sz w:val="20"/>
          <w:szCs w:val="20"/>
        </w:rPr>
        <w:t>**Insufficient data to run the model in underweight women whose BMI decreased by &gt; 3 kg/m</w:t>
      </w:r>
      <w:r w:rsidRPr="00E007DE">
        <w:rPr>
          <w:rFonts w:asciiTheme="minorHAnsi" w:hAnsiTheme="minorHAnsi" w:cstheme="minorHAnsi"/>
          <w:i w:val="0"/>
          <w:sz w:val="20"/>
          <w:szCs w:val="20"/>
          <w:vertAlign w:val="superscript"/>
        </w:rPr>
        <w:t>2</w:t>
      </w:r>
      <w:r w:rsidRPr="00E007DE">
        <w:rPr>
          <w:rFonts w:asciiTheme="minorHAnsi" w:hAnsiTheme="minorHAnsi" w:cstheme="minorHAnsi"/>
          <w:i w:val="0"/>
          <w:sz w:val="20"/>
          <w:szCs w:val="20"/>
        </w:rPr>
        <w:t>.</w:t>
      </w:r>
    </w:p>
    <w:p w:rsidR="00163BC4" w:rsidRPr="00E007DE" w:rsidRDefault="00163BC4" w:rsidP="00163BC4">
      <w:pPr>
        <w:pStyle w:val="tabletitle"/>
        <w:spacing w:after="240"/>
        <w:rPr>
          <w:rFonts w:asciiTheme="minorHAnsi" w:hAnsiTheme="minorHAnsi" w:cstheme="minorHAnsi"/>
          <w:i w:val="0"/>
          <w:sz w:val="22"/>
          <w:szCs w:val="22"/>
        </w:rPr>
      </w:pPr>
      <w:r>
        <w:br w:type="page"/>
      </w:r>
      <w:r w:rsidRPr="00E007DE">
        <w:rPr>
          <w:rFonts w:asciiTheme="minorHAnsi" w:hAnsiTheme="minorHAnsi" w:cstheme="minorHAnsi"/>
          <w:i w:val="0"/>
          <w:sz w:val="22"/>
          <w:szCs w:val="22"/>
        </w:rPr>
        <w:t xml:space="preserve">Table </w:t>
      </w:r>
      <w:r>
        <w:rPr>
          <w:rFonts w:asciiTheme="minorHAnsi" w:hAnsiTheme="minorHAnsi" w:cstheme="minorHAnsi"/>
          <w:i w:val="0"/>
          <w:sz w:val="22"/>
          <w:szCs w:val="22"/>
        </w:rPr>
        <w:t>4</w:t>
      </w:r>
      <w:r w:rsidRPr="00E007DE">
        <w:rPr>
          <w:rFonts w:asciiTheme="minorHAnsi" w:hAnsiTheme="minorHAnsi" w:cstheme="minorHAnsi"/>
          <w:i w:val="0"/>
          <w:sz w:val="22"/>
          <w:szCs w:val="22"/>
        </w:rPr>
        <w:t xml:space="preserve"> Associations of weight change between second and third live-birth pregnancies with PB at third pregnancy, </w:t>
      </w:r>
      <w:r>
        <w:rPr>
          <w:rFonts w:asciiTheme="minorHAnsi" w:hAnsiTheme="minorHAnsi" w:cstheme="minorHAnsi"/>
          <w:i w:val="0"/>
          <w:sz w:val="22"/>
          <w:szCs w:val="22"/>
        </w:rPr>
        <w:t>stratified by</w:t>
      </w:r>
      <w:r w:rsidRPr="00E007DE">
        <w:rPr>
          <w:rFonts w:asciiTheme="minorHAnsi" w:hAnsiTheme="minorHAnsi" w:cstheme="minorHAnsi"/>
          <w:i w:val="0"/>
          <w:sz w:val="22"/>
          <w:szCs w:val="22"/>
        </w:rPr>
        <w:t xml:space="preserve"> BMI group at</w:t>
      </w:r>
      <w:r>
        <w:rPr>
          <w:rFonts w:asciiTheme="minorHAnsi" w:hAnsiTheme="minorHAnsi" w:cstheme="minorHAnsi"/>
          <w:i w:val="0"/>
          <w:sz w:val="22"/>
          <w:szCs w:val="22"/>
        </w:rPr>
        <w:t xml:space="preserve"> the start of the</w:t>
      </w:r>
      <w:r w:rsidRPr="00E007DE">
        <w:rPr>
          <w:rFonts w:asciiTheme="minorHAnsi" w:hAnsiTheme="minorHAnsi" w:cstheme="minorHAnsi"/>
          <w:i w:val="0"/>
          <w:sz w:val="22"/>
          <w:szCs w:val="22"/>
        </w:rPr>
        <w:t xml:space="preserve"> second pregnancy, in a population-based cohort from Southampton, UK 2003-2018. </w:t>
      </w:r>
    </w:p>
    <w:tbl>
      <w:tblPr>
        <w:tblStyle w:val="TableGrid"/>
        <w:tblW w:w="5000" w:type="pct"/>
        <w:tblLook w:val="04A0" w:firstRow="1" w:lastRow="0" w:firstColumn="1" w:lastColumn="0" w:noHBand="0" w:noVBand="1"/>
      </w:tblPr>
      <w:tblGrid>
        <w:gridCol w:w="1554"/>
        <w:gridCol w:w="1559"/>
        <w:gridCol w:w="709"/>
        <w:gridCol w:w="1138"/>
        <w:gridCol w:w="854"/>
        <w:gridCol w:w="706"/>
        <w:gridCol w:w="1130"/>
        <w:gridCol w:w="851"/>
        <w:gridCol w:w="709"/>
        <w:gridCol w:w="1135"/>
        <w:gridCol w:w="993"/>
        <w:gridCol w:w="711"/>
        <w:gridCol w:w="990"/>
        <w:gridCol w:w="909"/>
      </w:tblGrid>
      <w:tr w:rsidR="00163BC4" w:rsidRPr="00E007DE" w:rsidTr="005549B7">
        <w:tc>
          <w:tcPr>
            <w:tcW w:w="557" w:type="pct"/>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Model</w:t>
            </w:r>
          </w:p>
        </w:tc>
        <w:tc>
          <w:tcPr>
            <w:tcW w:w="559" w:type="pct"/>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BMI group at first pregnancy (n)</w:t>
            </w:r>
          </w:p>
        </w:tc>
        <w:tc>
          <w:tcPr>
            <w:tcW w:w="968" w:type="pct"/>
            <w:gridSpan w:val="3"/>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Decrease in BMI (&lt;-3 units)</w:t>
            </w:r>
          </w:p>
        </w:tc>
        <w:tc>
          <w:tcPr>
            <w:tcW w:w="963" w:type="pct"/>
            <w:gridSpan w:val="3"/>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Decrease in BMI (&lt;-1 to ≥ -3 units)</w:t>
            </w:r>
          </w:p>
        </w:tc>
        <w:tc>
          <w:tcPr>
            <w:tcW w:w="1016" w:type="pct"/>
            <w:gridSpan w:val="3"/>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Increase in BMI (&gt;1 to ≤3 units)</w:t>
            </w:r>
          </w:p>
        </w:tc>
        <w:tc>
          <w:tcPr>
            <w:tcW w:w="937" w:type="pct"/>
            <w:gridSpan w:val="3"/>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Increase in BMI (&gt;3 units)</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vMerge/>
          </w:tcPr>
          <w:p w:rsidR="00163BC4" w:rsidRPr="00E007DE" w:rsidRDefault="00163BC4" w:rsidP="005549B7">
            <w:pPr>
              <w:pStyle w:val="NoSpacing"/>
              <w:rPr>
                <w:rFonts w:asciiTheme="minorHAnsi" w:hAnsiTheme="minorHAnsi" w:cstheme="minorHAnsi"/>
                <w:b/>
                <w:szCs w:val="20"/>
              </w:rPr>
            </w:pPr>
          </w:p>
        </w:tc>
        <w:tc>
          <w:tcPr>
            <w:tcW w:w="254"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408"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306"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 xml:space="preserve">P </w:t>
            </w:r>
            <w:r>
              <w:rPr>
                <w:rFonts w:asciiTheme="minorHAnsi" w:hAnsiTheme="minorHAnsi" w:cstheme="minorHAnsi"/>
                <w:b/>
                <w:szCs w:val="20"/>
              </w:rPr>
              <w:t>value</w:t>
            </w:r>
          </w:p>
        </w:tc>
        <w:tc>
          <w:tcPr>
            <w:tcW w:w="253"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405"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305"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P</w:t>
            </w:r>
            <w:r>
              <w:rPr>
                <w:rFonts w:asciiTheme="minorHAnsi" w:hAnsiTheme="minorHAnsi" w:cstheme="minorHAnsi"/>
                <w:b/>
                <w:szCs w:val="20"/>
              </w:rPr>
              <w:t xml:space="preserve"> value</w:t>
            </w:r>
          </w:p>
        </w:tc>
        <w:tc>
          <w:tcPr>
            <w:tcW w:w="254"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407"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95% CI</w:t>
            </w:r>
          </w:p>
        </w:tc>
        <w:tc>
          <w:tcPr>
            <w:tcW w:w="356"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 xml:space="preserve">P </w:t>
            </w:r>
            <w:r>
              <w:rPr>
                <w:rFonts w:asciiTheme="minorHAnsi" w:hAnsiTheme="minorHAnsi" w:cstheme="minorHAnsi"/>
                <w:b/>
                <w:szCs w:val="20"/>
              </w:rPr>
              <w:t xml:space="preserve"> value</w:t>
            </w:r>
          </w:p>
        </w:tc>
        <w:tc>
          <w:tcPr>
            <w:tcW w:w="255"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OR</w:t>
            </w:r>
          </w:p>
        </w:tc>
        <w:tc>
          <w:tcPr>
            <w:tcW w:w="355"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 xml:space="preserve">95% CI </w:t>
            </w:r>
          </w:p>
        </w:tc>
        <w:tc>
          <w:tcPr>
            <w:tcW w:w="327"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P</w:t>
            </w:r>
            <w:r>
              <w:rPr>
                <w:rFonts w:asciiTheme="minorHAnsi" w:hAnsiTheme="minorHAnsi" w:cstheme="minorHAnsi"/>
                <w:b/>
                <w:szCs w:val="20"/>
              </w:rPr>
              <w:t xml:space="preserve"> value</w:t>
            </w:r>
          </w:p>
        </w:tc>
      </w:tr>
      <w:tr w:rsidR="00163BC4" w:rsidRPr="00E007DE" w:rsidTr="005549B7">
        <w:tc>
          <w:tcPr>
            <w:tcW w:w="557" w:type="pct"/>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Unadjusted</w:t>
            </w: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All women (5,108)</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1.58</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0.87-2.85</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0.130</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1.05</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0.67-1.66</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0.832</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1.14</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0.80-1.63</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0.456</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1.19</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0.81-1.76</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0.379</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Underweight (168)**</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0.91</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0.25-3.30</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0.888</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0.95</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0.17-5.23</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0.957</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Normal weight (2,710)</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2.43</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0.55-10.67</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0.241</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1.03</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0.54-2.00</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0.916</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1.34</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0.85-2.11</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0.205</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1.39</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0.82-2.35</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0.217</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Overweight (1,286)</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1.30</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0.42-4.00</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0.645</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1.35</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0.62-2.97</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0.453</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0.55</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0.22-1.36</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0.195</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1.39</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0.66-2.93</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0.393</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Obese (935)</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1.88</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0.67-5.32</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0.232</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0.89</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0.25-3.09</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0.850</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1.48</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0.55-3.96</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0.437</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0.68</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0.21-2.17</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0.514</w:t>
            </w:r>
          </w:p>
        </w:tc>
      </w:tr>
      <w:tr w:rsidR="00163BC4" w:rsidRPr="00E007DE" w:rsidTr="005549B7">
        <w:tc>
          <w:tcPr>
            <w:tcW w:w="557" w:type="pct"/>
            <w:vMerge w:val="restar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Fully-adjusted*</w:t>
            </w: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All women (5,057)</w:t>
            </w:r>
          </w:p>
        </w:tc>
        <w:tc>
          <w:tcPr>
            <w:tcW w:w="254" w:type="pct"/>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2.01</w:t>
            </w:r>
          </w:p>
        </w:tc>
        <w:tc>
          <w:tcPr>
            <w:tcW w:w="408" w:type="pct"/>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1.05-3.87</w:t>
            </w:r>
          </w:p>
        </w:tc>
        <w:tc>
          <w:tcPr>
            <w:tcW w:w="306" w:type="pct"/>
          </w:tcPr>
          <w:p w:rsidR="00163BC4" w:rsidRPr="00E007DE" w:rsidRDefault="00163BC4" w:rsidP="005549B7">
            <w:pPr>
              <w:pStyle w:val="NoSpacing"/>
              <w:rPr>
                <w:rFonts w:asciiTheme="minorHAnsi" w:hAnsiTheme="minorHAnsi" w:cstheme="minorHAnsi"/>
                <w:b/>
                <w:i/>
                <w:szCs w:val="20"/>
              </w:rPr>
            </w:pPr>
            <w:r w:rsidRPr="00E007DE">
              <w:rPr>
                <w:rFonts w:asciiTheme="minorHAnsi" w:hAnsiTheme="minorHAnsi" w:cstheme="minorHAnsi"/>
                <w:b/>
                <w:i/>
                <w:szCs w:val="20"/>
              </w:rPr>
              <w:t>0.035</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1.12</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0.70-1.81</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0.635</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1.25</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0.86-1.82</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0.234</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1.22</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0.80-1.87</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0.357</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vertAlign w:val="superscript"/>
              </w:rPr>
            </w:pPr>
            <w:r w:rsidRPr="00E007DE">
              <w:rPr>
                <w:rFonts w:asciiTheme="minorHAnsi" w:hAnsiTheme="minorHAnsi" w:cstheme="minorHAnsi"/>
                <w:b/>
                <w:szCs w:val="20"/>
              </w:rPr>
              <w:t>Underweight (165)**</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0.90</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0.22-3.64</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0.881</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1.13</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0.16-7.91</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0.899</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rPr>
            </w:pPr>
            <w:r w:rsidRPr="00E007DE">
              <w:rPr>
                <w:rFonts w:asciiTheme="minorHAnsi" w:hAnsiTheme="minorHAnsi" w:cstheme="minorHAnsi"/>
                <w:b/>
                <w:szCs w:val="20"/>
              </w:rPr>
              <w:t>Normal weight (2,684)</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3.01</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0.59-15.30</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0.184</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1.08</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0.54-2.18</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0.821</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1.41</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0.87-2.30</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0.163</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1.34</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0.75-2.39</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0.331</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vertAlign w:val="superscript"/>
              </w:rPr>
            </w:pPr>
            <w:r w:rsidRPr="00E007DE">
              <w:rPr>
                <w:rFonts w:asciiTheme="minorHAnsi" w:hAnsiTheme="minorHAnsi" w:cstheme="minorHAnsi"/>
                <w:b/>
                <w:szCs w:val="20"/>
              </w:rPr>
              <w:t>Overweight (1,255)</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1.45</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0.45-4.70</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0.535</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1.58</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0.68-3.66</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0.290</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0.67</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0.26-1.71</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0.402</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1.55</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0.68-3.53</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0.292</w:t>
            </w:r>
          </w:p>
        </w:tc>
      </w:tr>
      <w:tr w:rsidR="00163BC4" w:rsidRPr="00E007DE" w:rsidTr="005549B7">
        <w:tc>
          <w:tcPr>
            <w:tcW w:w="557" w:type="pct"/>
            <w:vMerge/>
          </w:tcPr>
          <w:p w:rsidR="00163BC4" w:rsidRPr="00E007DE" w:rsidRDefault="00163BC4" w:rsidP="005549B7">
            <w:pPr>
              <w:pStyle w:val="NoSpacing"/>
              <w:rPr>
                <w:rFonts w:asciiTheme="minorHAnsi" w:hAnsiTheme="minorHAnsi" w:cstheme="minorHAnsi"/>
                <w:b/>
                <w:szCs w:val="20"/>
              </w:rPr>
            </w:pPr>
          </w:p>
        </w:tc>
        <w:tc>
          <w:tcPr>
            <w:tcW w:w="559" w:type="pct"/>
          </w:tcPr>
          <w:p w:rsidR="00163BC4" w:rsidRPr="00E007DE" w:rsidRDefault="00163BC4" w:rsidP="005549B7">
            <w:pPr>
              <w:pStyle w:val="NoSpacing"/>
              <w:rPr>
                <w:rFonts w:asciiTheme="minorHAnsi" w:hAnsiTheme="minorHAnsi" w:cstheme="minorHAnsi"/>
                <w:b/>
                <w:szCs w:val="20"/>
                <w:vertAlign w:val="superscript"/>
              </w:rPr>
            </w:pPr>
            <w:r w:rsidRPr="00E007DE">
              <w:rPr>
                <w:rFonts w:asciiTheme="minorHAnsi" w:hAnsiTheme="minorHAnsi" w:cstheme="minorHAnsi"/>
                <w:b/>
                <w:szCs w:val="20"/>
              </w:rPr>
              <w:t>Obese (898)</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2.06</w:t>
            </w:r>
          </w:p>
        </w:tc>
        <w:tc>
          <w:tcPr>
            <w:tcW w:w="408"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0.66-6.41</w:t>
            </w:r>
          </w:p>
        </w:tc>
        <w:tc>
          <w:tcPr>
            <w:tcW w:w="30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0.212</w:t>
            </w:r>
          </w:p>
        </w:tc>
        <w:tc>
          <w:tcPr>
            <w:tcW w:w="253"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1.11</w:t>
            </w:r>
          </w:p>
        </w:tc>
        <w:tc>
          <w:tcPr>
            <w:tcW w:w="4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0.30-4.14</w:t>
            </w:r>
          </w:p>
        </w:tc>
        <w:tc>
          <w:tcPr>
            <w:tcW w:w="30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0.882</w:t>
            </w:r>
          </w:p>
        </w:tc>
        <w:tc>
          <w:tcPr>
            <w:tcW w:w="254"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1.96</w:t>
            </w:r>
          </w:p>
        </w:tc>
        <w:tc>
          <w:tcPr>
            <w:tcW w:w="40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0.67-5.72</w:t>
            </w:r>
          </w:p>
        </w:tc>
        <w:tc>
          <w:tcPr>
            <w:tcW w:w="356"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0.220</w:t>
            </w:r>
          </w:p>
        </w:tc>
        <w:tc>
          <w:tcPr>
            <w:tcW w:w="2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0.55</w:t>
            </w:r>
          </w:p>
        </w:tc>
        <w:tc>
          <w:tcPr>
            <w:tcW w:w="355"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0.15-2.06</w:t>
            </w:r>
          </w:p>
        </w:tc>
        <w:tc>
          <w:tcPr>
            <w:tcW w:w="327" w:type="pct"/>
          </w:tcPr>
          <w:p w:rsidR="00163BC4" w:rsidRPr="00E007DE" w:rsidRDefault="00163BC4" w:rsidP="005549B7">
            <w:pPr>
              <w:pStyle w:val="NoSpacing"/>
              <w:rPr>
                <w:rFonts w:asciiTheme="minorHAnsi" w:hAnsiTheme="minorHAnsi" w:cstheme="minorHAnsi"/>
                <w:szCs w:val="20"/>
              </w:rPr>
            </w:pPr>
            <w:r w:rsidRPr="00E007DE">
              <w:rPr>
                <w:rFonts w:asciiTheme="minorHAnsi" w:hAnsiTheme="minorHAnsi" w:cstheme="minorHAnsi"/>
                <w:szCs w:val="20"/>
              </w:rPr>
              <w:t>0.371</w:t>
            </w:r>
          </w:p>
        </w:tc>
      </w:tr>
    </w:tbl>
    <w:p w:rsidR="00163BC4" w:rsidRPr="00E007DE" w:rsidRDefault="00163BC4" w:rsidP="00163BC4">
      <w:pPr>
        <w:pStyle w:val="tabletitle"/>
        <w:rPr>
          <w:rFonts w:asciiTheme="minorHAnsi" w:hAnsiTheme="minorHAnsi" w:cstheme="minorHAnsi"/>
          <w:i w:val="0"/>
        </w:rPr>
      </w:pPr>
      <w:r w:rsidRPr="00E007DE">
        <w:rPr>
          <w:rFonts w:asciiTheme="minorHAnsi" w:hAnsiTheme="minorHAnsi" w:cstheme="minorHAnsi"/>
          <w:i w:val="0"/>
        </w:rPr>
        <w:t xml:space="preserve">Odds ratios (OR), confidence intervals (CI) and P value (P) </w:t>
      </w:r>
      <w:r>
        <w:rPr>
          <w:rFonts w:asciiTheme="minorHAnsi" w:hAnsiTheme="minorHAnsi" w:cstheme="minorHAnsi"/>
          <w:i w:val="0"/>
        </w:rPr>
        <w:t>stratified</w:t>
      </w:r>
      <w:r w:rsidRPr="00E007DE">
        <w:rPr>
          <w:rFonts w:asciiTheme="minorHAnsi" w:hAnsiTheme="minorHAnsi" w:cstheme="minorHAnsi"/>
          <w:i w:val="0"/>
        </w:rPr>
        <w:t xml:space="preserve"> by BMI change category (five categories) listed for each model.</w:t>
      </w:r>
    </w:p>
    <w:p w:rsidR="00163BC4" w:rsidRPr="00E007DE" w:rsidRDefault="00163BC4" w:rsidP="00163BC4">
      <w:pPr>
        <w:pStyle w:val="Caption"/>
        <w:spacing w:after="0"/>
        <w:rPr>
          <w:rFonts w:asciiTheme="minorHAnsi" w:hAnsiTheme="minorHAnsi" w:cstheme="minorHAnsi"/>
          <w:i w:val="0"/>
          <w:sz w:val="20"/>
          <w:szCs w:val="20"/>
        </w:rPr>
      </w:pPr>
      <w:r w:rsidRPr="00E007DE">
        <w:rPr>
          <w:rFonts w:asciiTheme="minorHAnsi" w:hAnsiTheme="minorHAnsi" w:cstheme="minorHAnsi"/>
          <w:i w:val="0"/>
          <w:sz w:val="20"/>
          <w:szCs w:val="20"/>
        </w:rPr>
        <w:t>All logistic regression models compared to reference category of weight stable (No change in BMI (≥-1 to ≤1 kg/m</w:t>
      </w:r>
      <w:r w:rsidRPr="00E007DE">
        <w:rPr>
          <w:rFonts w:asciiTheme="minorHAnsi" w:hAnsiTheme="minorHAnsi" w:cstheme="minorHAnsi"/>
          <w:i w:val="0"/>
          <w:sz w:val="20"/>
          <w:szCs w:val="20"/>
          <w:vertAlign w:val="superscript"/>
        </w:rPr>
        <w:t>2</w:t>
      </w:r>
      <w:r w:rsidRPr="00E007DE">
        <w:rPr>
          <w:rFonts w:asciiTheme="minorHAnsi" w:hAnsiTheme="minorHAnsi" w:cstheme="minorHAnsi"/>
          <w:i w:val="0"/>
          <w:sz w:val="20"/>
          <w:szCs w:val="20"/>
        </w:rPr>
        <w:t>))</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 xml:space="preserve">*adjusted for maternal age, sex of the infant, maternal ethnicity, maternal highest educational achievement, maternal employment status, co-morbidities, pregnancy complications, maternal smoking status, previous PB and fertility treatment, all at third pregnancy. Also adjusted for, interpregnancy interval, BMI at booking for second pregnancy and gestation at booking for second pregnancy. </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Significant P values in italics</w:t>
      </w:r>
    </w:p>
    <w:p w:rsidR="00163BC4" w:rsidRPr="00E007DE" w:rsidRDefault="00163BC4" w:rsidP="00163BC4">
      <w:pPr>
        <w:pStyle w:val="Caption"/>
        <w:rPr>
          <w:rFonts w:asciiTheme="minorHAnsi" w:hAnsiTheme="minorHAnsi" w:cstheme="minorHAnsi"/>
          <w:i w:val="0"/>
          <w:sz w:val="20"/>
          <w:szCs w:val="20"/>
        </w:rPr>
      </w:pPr>
      <w:r w:rsidRPr="00E007DE">
        <w:rPr>
          <w:rFonts w:asciiTheme="minorHAnsi" w:hAnsiTheme="minorHAnsi" w:cstheme="minorHAnsi"/>
          <w:i w:val="0"/>
          <w:sz w:val="20"/>
          <w:szCs w:val="20"/>
        </w:rPr>
        <w:t>**Insufficient data to run the model in underweight women whose BMI decreased.</w:t>
      </w:r>
    </w:p>
    <w:bookmarkEnd w:id="10"/>
    <w:bookmarkEnd w:id="11"/>
    <w:p w:rsidR="00163BC4" w:rsidRDefault="00163BC4" w:rsidP="00163BC4">
      <w:pPr>
        <w:keepNext/>
        <w:ind w:left="-567"/>
        <w:sectPr w:rsidR="00163BC4" w:rsidSect="00DC4995">
          <w:footnotePr>
            <w:numFmt w:val="lowerLetter"/>
          </w:footnotePr>
          <w:type w:val="continuous"/>
          <w:pgSz w:w="16838" w:h="11906" w:orient="landscape"/>
          <w:pgMar w:top="1440" w:right="1440" w:bottom="1440" w:left="1440" w:header="709" w:footer="709" w:gutter="0"/>
          <w:lnNumType w:countBy="1" w:restart="continuous"/>
          <w:cols w:space="708"/>
          <w:docGrid w:linePitch="360"/>
        </w:sectPr>
      </w:pPr>
    </w:p>
    <w:p w:rsidR="00163BC4" w:rsidRPr="005874CE" w:rsidRDefault="00163BC4" w:rsidP="00163BC4">
      <w:pPr>
        <w:spacing w:line="480" w:lineRule="auto"/>
      </w:pPr>
      <w:r>
        <w:t>Subgroup analysis was conducted, stratifying by BMI category at the start of the initial pregnancy. In the primary cohort</w:t>
      </w:r>
      <w:r w:rsidRPr="005874CE">
        <w:t xml:space="preserve">, the odds of </w:t>
      </w:r>
      <w:r>
        <w:t>PB</w:t>
      </w:r>
      <w:r w:rsidRPr="005874CE">
        <w:t xml:space="preserve"> in normal weight women who lost weight (&gt;3 </w:t>
      </w:r>
      <w:r w:rsidRPr="00ED32F3">
        <w:t>kg/m</w:t>
      </w:r>
      <w:r w:rsidRPr="00ED32F3">
        <w:rPr>
          <w:vertAlign w:val="superscript"/>
        </w:rPr>
        <w:t>2</w:t>
      </w:r>
      <w:r w:rsidRPr="005874CE">
        <w:t>) was 3.5 times higher than normal weigh</w:t>
      </w:r>
      <w:r>
        <w:t xml:space="preserve">t women who were weight stable, </w:t>
      </w:r>
      <w:r w:rsidRPr="005874CE">
        <w:t xml:space="preserve">after adjusting for </w:t>
      </w:r>
      <w:r>
        <w:t xml:space="preserve">all covariates (unadjusted OR 4.0. 95% CI 2.15-7.58, aOR 3.50, 95% CI: 1.78-6.88; p&lt;0.001) (Table 3). </w:t>
      </w:r>
      <w:r w:rsidRPr="00872BF1">
        <w:t>There were no significant findings when undertaking the same analysis on the secondary cohort (</w:t>
      </w:r>
      <w:r>
        <w:t>Table 4</w:t>
      </w:r>
      <w:r w:rsidRPr="00872BF1">
        <w:t xml:space="preserve">). </w:t>
      </w:r>
    </w:p>
    <w:p w:rsidR="00163BC4" w:rsidRDefault="00163BC4" w:rsidP="00163BC4">
      <w:pPr>
        <w:spacing w:line="480" w:lineRule="auto"/>
      </w:pPr>
      <w:r>
        <w:t xml:space="preserve">There were 183 women who moved from a normal weight category in their first pregnancy to an underweight category in their second pregnancy (with variable levels of weight loss depending on their starting point). Amongst these women, 6.0% of live births were premature (11 PBs). In addition, there were 110 women who were normal weight at first pregnancy and lost more than 3 </w:t>
      </w:r>
      <w:r w:rsidRPr="00B601C4">
        <w:t>kg/m</w:t>
      </w:r>
      <w:r w:rsidRPr="00B601C4">
        <w:rPr>
          <w:vertAlign w:val="superscript"/>
        </w:rPr>
        <w:t>2</w:t>
      </w:r>
      <w:r>
        <w:rPr>
          <w:vertAlign w:val="superscript"/>
        </w:rPr>
        <w:t xml:space="preserve"> </w:t>
      </w:r>
      <w:r>
        <w:t xml:space="preserve">by booking of their second pregnancy (although not necessarily moving to an underweight BMI depending on their starting point). Amongst these women, 10.9% of live deliveries were premature (12 PBs). Of the 110 women, 27 moved from a normal weight at their first pregnancy booking to underweight at their second pregnancy booking. In this group there were 6 PBs, at a rate of 22%.  Amongst the remaining 83 women, who lost more than 3 </w:t>
      </w:r>
      <w:r w:rsidRPr="00B601C4">
        <w:t>kg/m</w:t>
      </w:r>
      <w:r w:rsidRPr="00B601C4">
        <w:rPr>
          <w:vertAlign w:val="superscript"/>
        </w:rPr>
        <w:t>2</w:t>
      </w:r>
      <w:r>
        <w:rPr>
          <w:vertAlign w:val="superscript"/>
        </w:rPr>
        <w:t xml:space="preserve"> </w:t>
      </w:r>
      <w:r>
        <w:t>but remained normal weight for both pregnancies, 7.8% of live deliveries were premature (6 PBs).</w:t>
      </w:r>
      <w:r w:rsidRPr="00553A63">
        <w:t xml:space="preserve"> </w:t>
      </w:r>
    </w:p>
    <w:p w:rsidR="00163BC4" w:rsidRPr="00C00FE6" w:rsidRDefault="00163BC4" w:rsidP="00163BC4">
      <w:pPr>
        <w:spacing w:line="480" w:lineRule="auto"/>
        <w:rPr>
          <w:highlight w:val="yellow"/>
        </w:rPr>
      </w:pPr>
      <w:r>
        <w:t xml:space="preserve">Subgroup analysis was also conducted by the type of PB. Spontaneous PBs were analysed by excluding indicated premature deliveries and comparing with term deliveries. In the primary cohort (n=427 spontaneous PB, n=14,447 term), weight loss (&gt;3 </w:t>
      </w:r>
      <w:r w:rsidRPr="00DB2BFD">
        <w:t>kg/m</w:t>
      </w:r>
      <w:r w:rsidRPr="00DB2BFD">
        <w:rPr>
          <w:vertAlign w:val="superscript"/>
        </w:rPr>
        <w:t>2</w:t>
      </w:r>
      <w:r>
        <w:t xml:space="preserve">) in women who were normal </w:t>
      </w:r>
      <w:r w:rsidRPr="00BE776C">
        <w:t>weight at first pregnancy was associated with increased odds of spontaneous PB (unadjusted OR 4.03, 95%CI 2.03-7.97, aOR 3</w:t>
      </w:r>
      <w:r>
        <w:t>.34</w:t>
      </w:r>
      <w:r w:rsidRPr="00C72059">
        <w:t xml:space="preserve">, </w:t>
      </w:r>
      <w:r>
        <w:t xml:space="preserve">95% </w:t>
      </w:r>
      <w:r w:rsidRPr="00C72059">
        <w:t>CI</w:t>
      </w:r>
      <w:r>
        <w:t xml:space="preserve"> 1.60</w:t>
      </w:r>
      <w:r w:rsidRPr="00C72059">
        <w:t>-</w:t>
      </w:r>
      <w:r>
        <w:t>6.98</w:t>
      </w:r>
      <w:r w:rsidRPr="00C72059">
        <w:t>, p=0.001).</w:t>
      </w:r>
      <w:r w:rsidRPr="00BC3198">
        <w:t xml:space="preserve"> There were no significant fi</w:t>
      </w:r>
      <w:r>
        <w:t>ndings in the secondary cohort.</w:t>
      </w:r>
    </w:p>
    <w:p w:rsidR="00163BC4" w:rsidRDefault="00163BC4" w:rsidP="00163BC4">
      <w:pPr>
        <w:spacing w:line="480" w:lineRule="auto"/>
      </w:pPr>
      <w:r w:rsidRPr="00945155">
        <w:t xml:space="preserve">Indicated </w:t>
      </w:r>
      <w:r>
        <w:t>PBs</w:t>
      </w:r>
      <w:r w:rsidRPr="00945155">
        <w:t xml:space="preserve"> were analysed by excluding spontaneous </w:t>
      </w:r>
      <w:r>
        <w:t>PB. In the primary cohort (n=87 indicated PB), s</w:t>
      </w:r>
      <w:r w:rsidRPr="00945155">
        <w:t xml:space="preserve">ubstantial weight gain (&gt;3 </w:t>
      </w:r>
      <w:r w:rsidRPr="00DB2BFD">
        <w:t>kg/m</w:t>
      </w:r>
      <w:r w:rsidRPr="00DB2BFD">
        <w:rPr>
          <w:vertAlign w:val="superscript"/>
        </w:rPr>
        <w:t>2</w:t>
      </w:r>
      <w:r w:rsidRPr="00945155">
        <w:t xml:space="preserve">) in normal weight women increased </w:t>
      </w:r>
      <w:r>
        <w:t xml:space="preserve">odds of indicated PB (unadjusted OR 2.30, 95% CI </w:t>
      </w:r>
      <w:r w:rsidRPr="00945155">
        <w:t>1.15-4.58, p=0.018). This</w:t>
      </w:r>
      <w:r>
        <w:t xml:space="preserve"> association was attenuated</w:t>
      </w:r>
      <w:r w:rsidRPr="00945155">
        <w:t xml:space="preserve"> </w:t>
      </w:r>
      <w:r>
        <w:t>after adjusting</w:t>
      </w:r>
      <w:r w:rsidRPr="00945155">
        <w:t xml:space="preserve"> for confounders</w:t>
      </w:r>
      <w:r>
        <w:t xml:space="preserve"> (aOR 1.84, 95% CI 0.86-3.95</w:t>
      </w:r>
      <w:r w:rsidRPr="00945155">
        <w:t>, p=0.1</w:t>
      </w:r>
      <w:r>
        <w:t>15</w:t>
      </w:r>
      <w:r w:rsidRPr="00945155">
        <w:t xml:space="preserve">).  </w:t>
      </w:r>
      <w:r>
        <w:t>T</w:t>
      </w:r>
      <w:r w:rsidRPr="00945155">
        <w:t>here were no significant findings</w:t>
      </w:r>
      <w:r>
        <w:t xml:space="preserve"> in the secondary cohort for the univariable models and the subgroup sample was insufficient to run the fully-adjusted models.</w:t>
      </w:r>
      <w:r>
        <w:br w:type="page"/>
      </w:r>
    </w:p>
    <w:p w:rsidR="00163BC4" w:rsidRPr="00DC4995" w:rsidRDefault="00163BC4" w:rsidP="00163BC4">
      <w:pPr>
        <w:pStyle w:val="Heading2"/>
        <w:rPr>
          <w:color w:val="auto"/>
          <w:sz w:val="36"/>
          <w:szCs w:val="36"/>
        </w:rPr>
      </w:pPr>
      <w:bookmarkStart w:id="12" w:name="_Toc524884295"/>
      <w:r w:rsidRPr="00DC4995">
        <w:rPr>
          <w:rStyle w:val="Heading2Char"/>
          <w:b/>
          <w:color w:val="auto"/>
          <w:sz w:val="36"/>
          <w:szCs w:val="36"/>
        </w:rPr>
        <w:t>Discussion</w:t>
      </w:r>
      <w:bookmarkEnd w:id="12"/>
      <w:r w:rsidRPr="00DC4995">
        <w:rPr>
          <w:color w:val="auto"/>
          <w:sz w:val="36"/>
          <w:szCs w:val="36"/>
        </w:rPr>
        <w:t xml:space="preserve"> </w:t>
      </w:r>
    </w:p>
    <w:p w:rsidR="00163BC4" w:rsidRDefault="00163BC4" w:rsidP="00163BC4">
      <w:pPr>
        <w:spacing w:line="480" w:lineRule="auto"/>
      </w:pPr>
      <w:r w:rsidRPr="000915DB">
        <w:t xml:space="preserve">This study aimed to examine the association between maternal interpregnancy weight change and </w:t>
      </w:r>
      <w:r>
        <w:t>PB</w:t>
      </w:r>
      <w:r w:rsidRPr="000915DB">
        <w:t>, in</w:t>
      </w:r>
      <w:r>
        <w:t xml:space="preserve"> an English population-based cohort.</w:t>
      </w:r>
      <w:r w:rsidRPr="008C63EC">
        <w:t xml:space="preserve"> </w:t>
      </w:r>
      <w:r>
        <w:t>Just under half of women gained weight (&gt;1 kg/m</w:t>
      </w:r>
      <w:r>
        <w:rPr>
          <w:vertAlign w:val="superscript"/>
        </w:rPr>
        <w:t>2</w:t>
      </w:r>
      <w:r>
        <w:t xml:space="preserve">) between their first and second, or second and third pregnancies. There were fewer indicated than spontaneous PBs in both cohorts (16.9% and 18.4% of PBs were indicated in the primary and secondary cohort respectively), which is broadly consistent with other European cohorts of singleton pregnancies </w:t>
      </w:r>
      <w:r>
        <w:rPr>
          <w:noProof/>
        </w:rPr>
        <w:t>[55]</w:t>
      </w:r>
      <w:r>
        <w:t>.</w:t>
      </w:r>
      <w:r w:rsidRPr="00F72DF5">
        <w:t xml:space="preserve"> </w:t>
      </w:r>
      <w:r>
        <w:t xml:space="preserve">Women who had PBs were more </w:t>
      </w:r>
      <w:r w:rsidRPr="006D0FF9">
        <w:t>likely to be smokers</w:t>
      </w:r>
      <w:r>
        <w:t xml:space="preserve"> and to have a comorbidity, and </w:t>
      </w:r>
      <w:r w:rsidRPr="006D0FF9">
        <w:t xml:space="preserve">were less likely to have </w:t>
      </w:r>
      <w:r>
        <w:t xml:space="preserve">a university degree. Interpregnancy weight loss between the first and second pregnancy (primary cohort) in normal weight women was associated with PB. This was also the case when analysing the whole sample of women with second to third pregnancy data (secondary), but not in the stratified analysis by BMI category group at the start of the second pregnancy. There was no association between interpregnancy weight gain and PB after adjusting for confounders. </w:t>
      </w:r>
    </w:p>
    <w:p w:rsidR="00163BC4" w:rsidRDefault="00163BC4" w:rsidP="00163BC4">
      <w:pPr>
        <w:spacing w:line="480" w:lineRule="auto"/>
      </w:pPr>
      <w:r>
        <w:t>Some</w:t>
      </w:r>
      <w:r w:rsidRPr="00372809">
        <w:t xml:space="preserve"> </w:t>
      </w:r>
      <w:r>
        <w:t>studies also found weight loss in normal weight women to be associated with PB</w:t>
      </w:r>
      <w:r w:rsidRPr="00372809">
        <w:t xml:space="preserve"> </w:t>
      </w:r>
      <w:r>
        <w:rPr>
          <w:noProof/>
        </w:rPr>
        <w:t>[12, 22]</w:t>
      </w:r>
      <w:r w:rsidRPr="00372809">
        <w:t>.</w:t>
      </w:r>
      <w:r>
        <w:t xml:space="preserve"> While others found no association between interpregnancy weight loss and PB </w:t>
      </w:r>
      <w:r>
        <w:rPr>
          <w:noProof/>
        </w:rPr>
        <w:t>[15, 23, 56]</w:t>
      </w:r>
      <w:r>
        <w:t xml:space="preserve"> but all of these studies had small sample sizes and may have been underpowered to detect differences, given the relatively low event rate for PB. Additionally, these studies failed to adjust for some key confounders such as maternal comorbidities, previous PB and infant sex.</w:t>
      </w:r>
    </w:p>
    <w:p w:rsidR="00163BC4" w:rsidRDefault="00163BC4" w:rsidP="00163BC4">
      <w:pPr>
        <w:spacing w:line="480" w:lineRule="auto"/>
      </w:pPr>
      <w:r>
        <w:t xml:space="preserve">It is unclear from the literature why interpregnancy weight change may be associated with PB </w:t>
      </w:r>
      <w:r>
        <w:rPr>
          <w:noProof/>
        </w:rPr>
        <w:t>[12]</w:t>
      </w:r>
      <w:r>
        <w:t xml:space="preserve">; there are several potential mechanisms. It is possible that the associations seen are not true associations, but are instead markers for unmeasured confounding. For example, psychosocial stress and underlying poor mental and physical health may all be contributing to both </w:t>
      </w:r>
      <w:r w:rsidRPr="00B45527">
        <w:t>weight loss</w:t>
      </w:r>
      <w:r>
        <w:t xml:space="preserve"> </w:t>
      </w:r>
      <w:r>
        <w:rPr>
          <w:noProof/>
        </w:rPr>
        <w:t>[18]</w:t>
      </w:r>
      <w:r>
        <w:t xml:space="preserve"> and PB </w:t>
      </w:r>
      <w:r>
        <w:rPr>
          <w:noProof/>
        </w:rPr>
        <w:t>[17]</w:t>
      </w:r>
      <w:r w:rsidRPr="007A58B1">
        <w:t>.</w:t>
      </w:r>
      <w:r>
        <w:t xml:space="preserve"> In the primary cohort, normal weight women who had lost weight were significantly more likely to have a shorter interpregnancy interval, be younger and be </w:t>
      </w:r>
      <w:r w:rsidRPr="00701DD3">
        <w:t>smokers than normal weight women who were weight stable or gained weight (data not shown). They also tended to be less likely to have a university degree, or be employed, both markers of socioeconomic status that may be indicative of increased stress, although neither of these differences were statistically significant.</w:t>
      </w:r>
    </w:p>
    <w:p w:rsidR="00163BC4" w:rsidRDefault="00163BC4" w:rsidP="00163BC4">
      <w:pPr>
        <w:spacing w:line="480" w:lineRule="auto"/>
      </w:pPr>
      <w:r>
        <w:t xml:space="preserve">Some women who were normal weight and lost weight moved into the underweight BMI range (n=183 in the primary cohort). Having an underweight BMI in itself is a risk factor for PB </w:t>
      </w:r>
      <w:r>
        <w:rPr>
          <w:noProof/>
        </w:rPr>
        <w:t>[10, 44]</w:t>
      </w:r>
      <w:r>
        <w:t xml:space="preserve">, and again the underlying mechanisms are unclear, but possibly due to micro- and macronutrient malnutrition </w:t>
      </w:r>
      <w:r>
        <w:rPr>
          <w:noProof/>
        </w:rPr>
        <w:t>[44, 57, 58]</w:t>
      </w:r>
      <w:r>
        <w:t xml:space="preserve">. The increased risk in some of these women may be a result of becoming underweight at second pregnancy, rather than the change in weight. Similarly, those who lost large amounts of weight in a short space of time, or who became underweight, might be malnourished, increasing their chances of infection during pregnancy (another risk factor) </w:t>
      </w:r>
      <w:r>
        <w:rPr>
          <w:noProof/>
        </w:rPr>
        <w:t>[16, 17]</w:t>
      </w:r>
      <w:r>
        <w:t>.</w:t>
      </w:r>
    </w:p>
    <w:p w:rsidR="00163BC4" w:rsidRPr="00354365" w:rsidRDefault="00163BC4" w:rsidP="00163BC4">
      <w:pPr>
        <w:spacing w:line="480" w:lineRule="auto"/>
      </w:pPr>
      <w:r>
        <w:t>There was a marginally increased risk of PB in women who lost &gt;3 kg/m</w:t>
      </w:r>
      <w:r>
        <w:rPr>
          <w:vertAlign w:val="superscript"/>
        </w:rPr>
        <w:t>2</w:t>
      </w:r>
      <w:r>
        <w:t xml:space="preserve"> between second and third pregnancies in the whole sample, but not in the stratified baseline BMI subgroup analyses.</w:t>
      </w:r>
      <w:r w:rsidRPr="00704402">
        <w:t xml:space="preserve"> </w:t>
      </w:r>
      <w:r>
        <w:t xml:space="preserve">Wallace et al </w:t>
      </w:r>
      <w:r>
        <w:rPr>
          <w:noProof/>
        </w:rPr>
        <w:t>[15]</w:t>
      </w:r>
      <w:r>
        <w:t xml:space="preserve">, the only other group to consider second to third pregnancy did not replicate this finding. It is worth noting that Wallace et al </w:t>
      </w:r>
      <w:r>
        <w:rPr>
          <w:noProof/>
        </w:rPr>
        <w:t>[15]</w:t>
      </w:r>
      <w:r>
        <w:t xml:space="preserve"> did not adjust for several key confounders (including previous PB, underlying co-morbidities and pregnancy complications), which is likely to have affected their results.</w:t>
      </w:r>
      <w:r w:rsidRPr="00AA4DA2">
        <w:t xml:space="preserve"> </w:t>
      </w:r>
    </w:p>
    <w:p w:rsidR="00163BC4" w:rsidRDefault="00163BC4" w:rsidP="00163BC4">
      <w:pPr>
        <w:spacing w:line="480" w:lineRule="auto"/>
      </w:pPr>
      <w:r>
        <w:t xml:space="preserve">In this study, there was no evidence of association between weight gain and PB in adjusted models. However, Riley et al </w:t>
      </w:r>
      <w:r>
        <w:rPr>
          <w:noProof/>
        </w:rPr>
        <w:t>[59]</w:t>
      </w:r>
      <w:r>
        <w:t xml:space="preserve"> reported that weight gain is associated with a decreased risk of spontaneous PB, in those who were normal weight or overweight at first pregnancy. Wallace et al </w:t>
      </w:r>
      <w:r>
        <w:rPr>
          <w:noProof/>
        </w:rPr>
        <w:t>[13]</w:t>
      </w:r>
      <w:r>
        <w:t xml:space="preserve"> found that weight gain (≥3 kg/m</w:t>
      </w:r>
      <w:r>
        <w:rPr>
          <w:vertAlign w:val="superscript"/>
        </w:rPr>
        <w:t>2</w:t>
      </w:r>
      <w:r>
        <w:t xml:space="preserve">) was associated with reduced risk in all women, although this became non-significant when only including those women with a BMI of 25 or less at first pregnancy. Weight gain (&gt;3 </w:t>
      </w:r>
      <w:r w:rsidRPr="00372809">
        <w:t>kg/m</w:t>
      </w:r>
      <w:r w:rsidRPr="00372809">
        <w:rPr>
          <w:vertAlign w:val="superscript"/>
        </w:rPr>
        <w:t>2</w:t>
      </w:r>
      <w:r>
        <w:t xml:space="preserve">) in normal weight women between first and second pregnancies was associated with indicated PB in an unadjusted model. This finding became non-significant after accounting for confounders. Villamor and Cnattingius </w:t>
      </w:r>
      <w:r>
        <w:rPr>
          <w:noProof/>
        </w:rPr>
        <w:t>[12]</w:t>
      </w:r>
      <w:r>
        <w:t xml:space="preserve"> also found an increased risk of indicated PB among normal or overweight women who gained weight, which became non-significant after removing women with comorbidities from the analysis. McBain et al </w:t>
      </w:r>
      <w:r>
        <w:rPr>
          <w:noProof/>
        </w:rPr>
        <w:t>[11]</w:t>
      </w:r>
      <w:r>
        <w:t xml:space="preserve"> also report that interpregnancy weight gain in</w:t>
      </w:r>
      <w:r w:rsidRPr="00A524DE">
        <w:t xml:space="preserve"> overweight or obese</w:t>
      </w:r>
      <w:r>
        <w:t xml:space="preserve"> women is associated with PB, but they did not adjust for maternal comorbidities in the second pregnancy.</w:t>
      </w:r>
    </w:p>
    <w:p w:rsidR="00163BC4" w:rsidRPr="00DC4995" w:rsidRDefault="00163BC4" w:rsidP="00163BC4">
      <w:pPr>
        <w:pStyle w:val="Heading3"/>
        <w:spacing w:line="480" w:lineRule="auto"/>
        <w:rPr>
          <w:color w:val="auto"/>
          <w:sz w:val="32"/>
          <w:szCs w:val="32"/>
        </w:rPr>
      </w:pPr>
      <w:r w:rsidRPr="00DC4995">
        <w:rPr>
          <w:color w:val="auto"/>
          <w:sz w:val="32"/>
          <w:szCs w:val="32"/>
        </w:rPr>
        <w:t xml:space="preserve">Strengths and limitations </w:t>
      </w:r>
    </w:p>
    <w:p w:rsidR="00163BC4" w:rsidRDefault="00163BC4" w:rsidP="00163BC4">
      <w:pPr>
        <w:spacing w:line="480" w:lineRule="auto"/>
      </w:pPr>
      <w:r>
        <w:t xml:space="preserve">The study had numerous strengths. Utilising routine antenatal healthcare data for all births reduces the risk of selection bias as the cohort represents the regional population, and recall bias as exposure information was collected prospectively. This study had a relatively large sample size, compared with some of the other studies </w:t>
      </w:r>
      <w:r>
        <w:rPr>
          <w:noProof/>
        </w:rPr>
        <w:t>[11, 13, 15, 23, 56, 60, 61]</w:t>
      </w:r>
      <w:r>
        <w:t xml:space="preserve"> in the literature. This study used USS dating rather than LMP wherever possible to ensure the most accurate gestation measurements, and adjusted for the majority of known confounders</w:t>
      </w:r>
      <w:r w:rsidRPr="006E75D9">
        <w:t>. Addi</w:t>
      </w:r>
      <w:r>
        <w:t xml:space="preserve">tionally, this study is only the second to consider second to third pregnancy </w:t>
      </w:r>
      <w:r>
        <w:rPr>
          <w:noProof/>
        </w:rPr>
        <w:t>[15]</w:t>
      </w:r>
      <w:r>
        <w:t xml:space="preserve">, and so adds to the body of evidence for this group. </w:t>
      </w:r>
    </w:p>
    <w:p w:rsidR="00163BC4" w:rsidRDefault="00163BC4" w:rsidP="00163BC4">
      <w:pPr>
        <w:spacing w:line="480" w:lineRule="auto"/>
      </w:pPr>
      <w:r>
        <w:t>I</w:t>
      </w:r>
      <w:r w:rsidRPr="00FA7222">
        <w:t xml:space="preserve">t is likely that the </w:t>
      </w:r>
      <w:r>
        <w:t>secondary cohort</w:t>
      </w:r>
      <w:r w:rsidRPr="00FA7222">
        <w:t xml:space="preserve"> was underpowered to detect differences in </w:t>
      </w:r>
      <w:r>
        <w:t>PB in subgroup analyses</w:t>
      </w:r>
      <w:r w:rsidRPr="00FA7222">
        <w:t>.</w:t>
      </w:r>
      <w:r>
        <w:t xml:space="preserve"> This is because the effect size is expected to be relatively small and PB is a reasonably uncommon occurrence, so a large cohort is required in order to detect differences. This issue is exacerbated when considering spontaneous and indicated PB separately, particularly indicated PB, which made up just 0.58% of the births in the primary cohort (0.76% in the secondary cohort). This may explain why many of the statistically significant findings in the primary cohort were non-significant in the secondary cohort. </w:t>
      </w:r>
    </w:p>
    <w:p w:rsidR="00163BC4" w:rsidRDefault="00163BC4" w:rsidP="00163BC4">
      <w:pPr>
        <w:spacing w:line="480" w:lineRule="auto"/>
      </w:pPr>
      <w:r>
        <w:t>The</w:t>
      </w:r>
      <w:r w:rsidRPr="00872FF7">
        <w:t xml:space="preserve"> </w:t>
      </w:r>
      <w:r>
        <w:t xml:space="preserve">final dataset had a lower percentage of live-born PBs than might be expected (5.0% in the first pregnancy and 3.4% in the second pregnancy in the primary cohort, and 3.9% in the second pregnancy and 4.2% in the third pregnancy in the secondary cohort). This is comparable with Scottish rates of 5.8% </w:t>
      </w:r>
      <w:r>
        <w:rPr>
          <w:noProof/>
        </w:rPr>
        <w:t>[62]</w:t>
      </w:r>
      <w:r>
        <w:t xml:space="preserve"> but less than the UK average of 7.8% </w:t>
      </w:r>
      <w:r>
        <w:rPr>
          <w:noProof/>
        </w:rPr>
        <w:t>[63]</w:t>
      </w:r>
      <w:r>
        <w:t xml:space="preserve">. The dataset as a whole had a rate of 7.2%, but this percentage dropped when exclusions were applied (Fig 1), with the largest reductions being seen as multiple pregnancies, which are strongly associated with PB </w:t>
      </w:r>
      <w:r>
        <w:rPr>
          <w:noProof/>
        </w:rPr>
        <w:t>[10]</w:t>
      </w:r>
      <w:r>
        <w:t xml:space="preserve">, were removed. </w:t>
      </w:r>
    </w:p>
    <w:p w:rsidR="00163BC4" w:rsidRDefault="00163BC4" w:rsidP="00163BC4">
      <w:pPr>
        <w:spacing w:line="480" w:lineRule="auto"/>
      </w:pPr>
      <w:r>
        <w:t>Limitations from using routine data collection include missing data, difficulty ensuring consistency of measurement techniques and equipment, and having to make use of the information that is collected. This meant that some variables were not available, such as gestational weight gain, breastfeeding duration and lifestyle changes such as changes in diet and exercise habits. Where possible the data were checked for consistency and variables that were not considered valid were either entered as missing or omitted from the analysis. Maternal height was self-reported which is a limitation, although this was mitigated (as far as possible) by excluding women whose height was not consistent between the initial and subsequent pregnancy.</w:t>
      </w:r>
      <w:r w:rsidRPr="00942758">
        <w:t xml:space="preserve"> After applying all exclusions, the percentage excluded in the primary cohort was 15.8%, and in the secondary cohort 15.1% (Fig 1).</w:t>
      </w:r>
      <w:r>
        <w:t xml:space="preserve"> Additionally, information on preterm pre-labour rupture of membranes (PPROM) was not available, so any women with PPROM who had an induction to augment labour will have been classified as indicated rather than spontaneous PB. This limits the reliability of the sub-analyses on indicated PB. </w:t>
      </w:r>
    </w:p>
    <w:p w:rsidR="00163BC4" w:rsidRDefault="00163BC4" w:rsidP="00163BC4">
      <w:pPr>
        <w:spacing w:line="480" w:lineRule="auto"/>
      </w:pPr>
      <w:r>
        <w:t xml:space="preserve">Due to </w:t>
      </w:r>
      <w:r w:rsidRPr="00A45343">
        <w:t>multiple statistical test</w:t>
      </w:r>
      <w:r>
        <w:t>ing, the study</w:t>
      </w:r>
      <w:r w:rsidRPr="00A45343">
        <w:t xml:space="preserve"> is vulnerable to an increased chance of type one error</w:t>
      </w:r>
      <w:r w:rsidRPr="005528F1">
        <w:t>.</w:t>
      </w:r>
      <w:r>
        <w:t xml:space="preserve"> In order to reduce the risk of this, a more stringent statistical significance level of p ≤ 0.01 could be applied. At this level, weight loss (&gt;3 kg/m</w:t>
      </w:r>
      <w:r>
        <w:rPr>
          <w:vertAlign w:val="superscript"/>
        </w:rPr>
        <w:t>2</w:t>
      </w:r>
      <w:r>
        <w:t>) in normal weight women between first and second pregnancy would remain significantly associated with increased PB. The association between weight loss and PB in the overall sample in the secondary cohort would not remain statistically significant using this threshold.</w:t>
      </w:r>
    </w:p>
    <w:p w:rsidR="00163BC4" w:rsidRPr="00DC4995" w:rsidRDefault="00163BC4" w:rsidP="00163BC4">
      <w:pPr>
        <w:pStyle w:val="Heading3"/>
        <w:spacing w:line="480" w:lineRule="auto"/>
        <w:rPr>
          <w:color w:val="auto"/>
          <w:sz w:val="32"/>
          <w:szCs w:val="32"/>
        </w:rPr>
      </w:pPr>
      <w:r w:rsidRPr="00DC4995">
        <w:rPr>
          <w:color w:val="auto"/>
          <w:sz w:val="32"/>
          <w:szCs w:val="32"/>
        </w:rPr>
        <w:t>Implications for research and practice</w:t>
      </w:r>
    </w:p>
    <w:p w:rsidR="00163BC4" w:rsidRDefault="00163BC4" w:rsidP="00163BC4">
      <w:pPr>
        <w:spacing w:line="480" w:lineRule="auto"/>
      </w:pPr>
      <w:r>
        <w:t xml:space="preserve">The interpregnancy period is a key opportunity for optimising health before </w:t>
      </w:r>
      <w:r w:rsidRPr="007809B6">
        <w:t>a subsequent pregnancy</w:t>
      </w:r>
      <w:r>
        <w:t xml:space="preserve"> </w:t>
      </w:r>
      <w:r>
        <w:rPr>
          <w:noProof/>
        </w:rPr>
        <w:t>[64]</w:t>
      </w:r>
      <w:r>
        <w:t>, with the intensive health professional contact provided after birth</w:t>
      </w:r>
      <w:r w:rsidRPr="007809B6">
        <w:t>.</w:t>
      </w:r>
      <w:r>
        <w:t xml:space="preserve"> Given the known adverse outcomes associated with obesity</w:t>
      </w:r>
      <w:r w:rsidRPr="008672A0">
        <w:t xml:space="preserve"> during pregnancy</w:t>
      </w:r>
      <w:r>
        <w:t xml:space="preserve"> </w:t>
      </w:r>
      <w:r>
        <w:rPr>
          <w:noProof/>
        </w:rPr>
        <w:t>[65]</w:t>
      </w:r>
      <w:r>
        <w:t xml:space="preserve">, current advice is for obese women to lose weight before conceiving </w:t>
      </w:r>
      <w:r>
        <w:rPr>
          <w:noProof/>
        </w:rPr>
        <w:t>[66]</w:t>
      </w:r>
      <w:r>
        <w:t xml:space="preserve">. This study found no evidence that weight loss in obese women was associated with increased risk of PB. Given the association between weight loss in normal weight women and PB, and the links between being underweight </w:t>
      </w:r>
      <w:r w:rsidRPr="007809B6">
        <w:t xml:space="preserve">and </w:t>
      </w:r>
      <w:r>
        <w:t xml:space="preserve">PB </w:t>
      </w:r>
      <w:r>
        <w:rPr>
          <w:noProof/>
        </w:rPr>
        <w:t>[44]</w:t>
      </w:r>
      <w:r w:rsidRPr="007809B6">
        <w:t xml:space="preserve">, </w:t>
      </w:r>
      <w:r>
        <w:t xml:space="preserve">and other poor outcomes </w:t>
      </w:r>
      <w:r>
        <w:rPr>
          <w:noProof/>
        </w:rPr>
        <w:t>[67]</w:t>
      </w:r>
      <w:r>
        <w:rPr>
          <w:vertAlign w:val="superscript"/>
        </w:rPr>
        <w:t>,</w:t>
      </w:r>
      <w:r>
        <w:rPr>
          <w:noProof/>
        </w:rPr>
        <w:t>[68]</w:t>
      </w:r>
      <w:r>
        <w:t xml:space="preserve">, perhaps advice around weight change should also be given for normal and underweight women. Encouraging normal weight women to remain weight stable may help to reduce PB, as well as other poor maternal and neonatal outcomes </w:t>
      </w:r>
      <w:r>
        <w:rPr>
          <w:noProof/>
        </w:rPr>
        <w:t>[69]</w:t>
      </w:r>
      <w:r>
        <w:t xml:space="preserve">. Encouraging underweight women to eat a balanced diet may result in a normal BMI, reduced nutrient deficiency and better outcomes. However, any recommendations made would have to consider the wider context of other maternal and neonatal outcomes </w:t>
      </w:r>
      <w:r>
        <w:rPr>
          <w:noProof/>
        </w:rPr>
        <w:t>[70]</w:t>
      </w:r>
      <w:r>
        <w:t xml:space="preserve">, as well as the practicalities involved in supporting new mothers to make lifestyle changes, at a time when they have already had significant life changes and their own health may be less of a priority than that of their child </w:t>
      </w:r>
      <w:r>
        <w:rPr>
          <w:noProof/>
        </w:rPr>
        <w:t>[71]</w:t>
      </w:r>
      <w:r>
        <w:t xml:space="preserve">. Supporting women who are unsupported or dealing with challenging circumstances may be particularly important, given the possible associations between stress, socio-economic status, poor maternal health and PB </w:t>
      </w:r>
      <w:r>
        <w:rPr>
          <w:noProof/>
        </w:rPr>
        <w:t>[37-39, 45]</w:t>
      </w:r>
      <w:r>
        <w:t>.</w:t>
      </w:r>
    </w:p>
    <w:p w:rsidR="00163BC4" w:rsidRPr="00DC4995" w:rsidRDefault="00163BC4" w:rsidP="00163BC4">
      <w:pPr>
        <w:pStyle w:val="Heading2"/>
        <w:rPr>
          <w:color w:val="auto"/>
          <w:sz w:val="36"/>
          <w:szCs w:val="36"/>
        </w:rPr>
      </w:pPr>
      <w:r w:rsidRPr="00DC4995">
        <w:rPr>
          <w:color w:val="auto"/>
          <w:sz w:val="36"/>
          <w:szCs w:val="36"/>
        </w:rPr>
        <w:t xml:space="preserve">Conclusion </w:t>
      </w:r>
    </w:p>
    <w:p w:rsidR="00163BC4" w:rsidRDefault="00163BC4" w:rsidP="00163BC4">
      <w:pPr>
        <w:spacing w:line="480" w:lineRule="auto"/>
      </w:pPr>
      <w:r w:rsidRPr="003B4C46">
        <w:t xml:space="preserve">In this study, interpregnancy weight loss for women who had normal weight in their </w:t>
      </w:r>
      <w:r>
        <w:t>first</w:t>
      </w:r>
      <w:r w:rsidRPr="003B4C46">
        <w:t xml:space="preserve"> pregnancy was associated with increased risk of </w:t>
      </w:r>
      <w:r>
        <w:t>PB in their second pregnancy</w:t>
      </w:r>
      <w:r w:rsidRPr="003B4C46">
        <w:t xml:space="preserve">, but not in overweight or obese women. Interpregnancy weight gain was not associated with </w:t>
      </w:r>
      <w:r>
        <w:t>PB</w:t>
      </w:r>
      <w:r w:rsidRPr="003B4C46">
        <w:t xml:space="preserve">. Current </w:t>
      </w:r>
      <w:r>
        <w:t>national</w:t>
      </w:r>
      <w:r w:rsidRPr="003B4C46">
        <w:t xml:space="preserve"> guidelines encouraging obese women to lose weight before a pregnancy should be followed to reduce other maternal and offspring adverse outcomes of maternal obesity. </w:t>
      </w:r>
      <w:r>
        <w:t xml:space="preserve">The interpregnancy period is a key window of opportunity for preventative input to </w:t>
      </w:r>
      <w:r w:rsidRPr="006E75D9">
        <w:t>improve maternal health and thus</w:t>
      </w:r>
      <w:r>
        <w:t xml:space="preserve"> outcomes. </w:t>
      </w:r>
    </w:p>
    <w:p w:rsidR="00163BC4" w:rsidRPr="000F030A" w:rsidRDefault="00163BC4" w:rsidP="00163BC4">
      <w:pPr>
        <w:sectPr w:rsidR="00163BC4" w:rsidRPr="000F030A" w:rsidSect="00DC4995">
          <w:pgSz w:w="11906" w:h="16838"/>
          <w:pgMar w:top="1440" w:right="1440" w:bottom="1440" w:left="1440" w:header="708" w:footer="708" w:gutter="0"/>
          <w:lnNumType w:countBy="1" w:restart="continuous"/>
          <w:cols w:space="708"/>
          <w:docGrid w:linePitch="360"/>
        </w:sectPr>
      </w:pPr>
    </w:p>
    <w:p w:rsidR="00163BC4" w:rsidRDefault="00163BC4" w:rsidP="00163BC4">
      <w:pPr>
        <w:widowControl/>
        <w:tabs>
          <w:tab w:val="clear" w:pos="198"/>
        </w:tabs>
        <w:spacing w:after="160" w:line="259" w:lineRule="auto"/>
        <w:ind w:firstLine="0"/>
        <w:jc w:val="left"/>
      </w:pPr>
      <w:bookmarkStart w:id="13" w:name="_Toc524884298"/>
      <w:r>
        <w:br w:type="page"/>
      </w:r>
    </w:p>
    <w:p w:rsidR="00163BC4" w:rsidRPr="00DC4995" w:rsidRDefault="00163BC4" w:rsidP="00163BC4">
      <w:pPr>
        <w:pStyle w:val="Heading2"/>
        <w:rPr>
          <w:color w:val="auto"/>
          <w:sz w:val="36"/>
          <w:szCs w:val="36"/>
        </w:rPr>
      </w:pPr>
      <w:r w:rsidRPr="00DC4995">
        <w:rPr>
          <w:color w:val="auto"/>
          <w:sz w:val="36"/>
          <w:szCs w:val="36"/>
        </w:rPr>
        <w:t>Acknowledgements</w:t>
      </w:r>
    </w:p>
    <w:p w:rsidR="00163BC4" w:rsidRDefault="00163BC4" w:rsidP="00163BC4">
      <w:pPr>
        <w:widowControl/>
        <w:tabs>
          <w:tab w:val="clear" w:pos="198"/>
        </w:tabs>
        <w:spacing w:after="160" w:line="480" w:lineRule="auto"/>
        <w:ind w:firstLine="0"/>
      </w:pPr>
      <w:r w:rsidRPr="00561E9C">
        <w:t xml:space="preserve">We would like to thank David Cable (Electronic Patient Records Implementation and Service Manager) and Florina Borca (Senior Information Analyst R&amp;D) at University Hospital Southampton for support in accessing the data used in this study. </w:t>
      </w:r>
    </w:p>
    <w:p w:rsidR="00163BC4" w:rsidRDefault="00163BC4" w:rsidP="00163BC4">
      <w:pPr>
        <w:widowControl/>
        <w:tabs>
          <w:tab w:val="clear" w:pos="198"/>
        </w:tabs>
        <w:spacing w:after="160" w:line="259" w:lineRule="auto"/>
        <w:ind w:firstLine="0"/>
        <w:jc w:val="left"/>
        <w:rPr>
          <w:rFonts w:eastAsiaTheme="majorEastAsia" w:cstheme="majorBidi"/>
          <w:b/>
          <w:color w:val="2E74B5" w:themeColor="accent1" w:themeShade="BF"/>
          <w:szCs w:val="26"/>
        </w:rPr>
      </w:pPr>
      <w:r>
        <w:br w:type="page"/>
      </w:r>
    </w:p>
    <w:p w:rsidR="00163BC4" w:rsidRPr="00DC4995" w:rsidRDefault="00163BC4" w:rsidP="00163BC4">
      <w:pPr>
        <w:pStyle w:val="Heading2"/>
        <w:rPr>
          <w:color w:val="auto"/>
          <w:sz w:val="36"/>
          <w:szCs w:val="36"/>
        </w:rPr>
      </w:pPr>
      <w:r w:rsidRPr="00DC4995">
        <w:rPr>
          <w:color w:val="auto"/>
          <w:sz w:val="36"/>
          <w:szCs w:val="36"/>
        </w:rPr>
        <w:t>References</w:t>
      </w:r>
      <w:bookmarkEnd w:id="13"/>
    </w:p>
    <w:p w:rsidR="00163BC4" w:rsidRPr="0059545B" w:rsidRDefault="00163BC4" w:rsidP="00163BC4">
      <w:pPr>
        <w:pStyle w:val="EndNoteBibliography"/>
        <w:ind w:firstLine="0"/>
      </w:pPr>
      <w:r w:rsidRPr="0059545B">
        <w:t>1.</w:t>
      </w:r>
      <w:r w:rsidRPr="0059545B">
        <w:tab/>
      </w:r>
      <w:r>
        <w:tab/>
      </w:r>
      <w:r w:rsidRPr="0059545B">
        <w:t xml:space="preserve">World Health Organization, March of Dimes, Save the Children, The Partnership for Maternal and Newborn and Child Health. Born too soon; The global action report on preterm birth2012 15/06/2018. Available from: </w:t>
      </w:r>
      <w:r w:rsidRPr="007F28CC">
        <w:t>http://apps.who.int/iris/bitstream/handle/10665/44864/9789241503433_eng.pdf?sequence=1</w:t>
      </w:r>
      <w:r w:rsidRPr="0059545B">
        <w:t>.</w:t>
      </w:r>
    </w:p>
    <w:p w:rsidR="00163BC4" w:rsidRPr="0059545B" w:rsidRDefault="00163BC4" w:rsidP="00163BC4">
      <w:pPr>
        <w:pStyle w:val="EndNoteBibliography"/>
        <w:ind w:firstLine="0"/>
      </w:pPr>
      <w:r w:rsidRPr="0059545B">
        <w:t>2.</w:t>
      </w:r>
      <w:r>
        <w:tab/>
      </w:r>
      <w:r w:rsidRPr="0059545B">
        <w:tab/>
        <w:t>Liu L, Oza S, Hogan D, Chu Y, Perin J, Zhu J, et al. Global, regional, and national causes of under-5 mortality in 2000-15: an updated systematic analysis with implications for the Sustainable Development Goals. The Lancet. 2016;388(10063):3027-35. doi: 10.1016/S0140-6736(16)31593-8.</w:t>
      </w:r>
    </w:p>
    <w:p w:rsidR="00163BC4" w:rsidRPr="0059545B" w:rsidRDefault="00163BC4" w:rsidP="00163BC4">
      <w:pPr>
        <w:pStyle w:val="EndNoteBibliography"/>
        <w:ind w:firstLine="0"/>
      </w:pPr>
      <w:r w:rsidRPr="0059545B">
        <w:t>3.</w:t>
      </w:r>
      <w:r w:rsidRPr="0059545B">
        <w:tab/>
      </w:r>
      <w:r>
        <w:tab/>
      </w:r>
      <w:r w:rsidRPr="0059545B">
        <w:t>Blencowe H, Cousens S, Oestergaard MZ, Chou D, Moller AB, Narwal R, et al. National, regional, and worldwide estimates of preterm birth rates in the year 2010 with time trends since 1990 for selected countries: a systematic analysis and implications. The Lancet. 2012;379(9832):2162-72. Epub 2012/06/12. doi: 10.1016/s0140-6736(12)60820-4. PubMed PMID: 22682464.</w:t>
      </w:r>
    </w:p>
    <w:p w:rsidR="00163BC4" w:rsidRPr="0059545B" w:rsidRDefault="00163BC4" w:rsidP="00163BC4">
      <w:pPr>
        <w:pStyle w:val="EndNoteBibliography"/>
        <w:ind w:firstLine="0"/>
      </w:pPr>
      <w:r w:rsidRPr="0059545B">
        <w:t>4.</w:t>
      </w:r>
      <w:r>
        <w:tab/>
      </w:r>
      <w:r w:rsidRPr="0059545B">
        <w:tab/>
        <w:t xml:space="preserve">Frey HA, Klebanoff MA. The epidemiology, etiology, and costs of preterm birth. Seminars in Fetal and Neonatal Medicine. 2016;21(2):68-73. doi: </w:t>
      </w:r>
      <w:r w:rsidRPr="007F28CC">
        <w:t>https://doi.org/10.1016/j.siny.2015.12.011</w:t>
      </w:r>
      <w:r w:rsidRPr="0059545B">
        <w:t>.</w:t>
      </w:r>
    </w:p>
    <w:p w:rsidR="00163BC4" w:rsidRPr="0059545B" w:rsidRDefault="00163BC4" w:rsidP="00163BC4">
      <w:pPr>
        <w:pStyle w:val="EndNoteBibliography"/>
        <w:ind w:firstLine="0"/>
      </w:pPr>
      <w:r w:rsidRPr="0059545B">
        <w:t>5.</w:t>
      </w:r>
      <w:r w:rsidRPr="0059545B">
        <w:tab/>
      </w:r>
      <w:r>
        <w:tab/>
      </w:r>
      <w:r w:rsidRPr="0059545B">
        <w:t xml:space="preserve">Harrison MS, Goldenberg RL. Global burden of prematurity. Seminars in Fetal and Neonatal Medicine. 2016;21(2):74-9. doi: </w:t>
      </w:r>
      <w:r w:rsidRPr="007F28CC">
        <w:t>https://doi.org/10.1016/j.siny.2015.12.007</w:t>
      </w:r>
      <w:r w:rsidRPr="0059545B">
        <w:t>.</w:t>
      </w:r>
    </w:p>
    <w:p w:rsidR="00163BC4" w:rsidRPr="0059545B" w:rsidRDefault="00163BC4" w:rsidP="00163BC4">
      <w:pPr>
        <w:pStyle w:val="EndNoteBibliography"/>
        <w:ind w:firstLine="0"/>
      </w:pPr>
      <w:r w:rsidRPr="0059545B">
        <w:t>6.</w:t>
      </w:r>
      <w:r>
        <w:tab/>
      </w:r>
      <w:r w:rsidRPr="0059545B">
        <w:tab/>
        <w:t xml:space="preserve">Saigal S, Doyle LW. An overview of mortality and sequelae of preterm birth from infancy to adulthood. The Lancet. 2008;371(9608):261-9. doi: </w:t>
      </w:r>
      <w:r w:rsidRPr="007F28CC">
        <w:t>https://doi.org/10.1016/S0140-6736(08)60136-1</w:t>
      </w:r>
      <w:r w:rsidRPr="0059545B">
        <w:t>.</w:t>
      </w:r>
    </w:p>
    <w:p w:rsidR="00163BC4" w:rsidRPr="0059545B" w:rsidRDefault="00163BC4" w:rsidP="00163BC4">
      <w:pPr>
        <w:pStyle w:val="EndNoteBibliography"/>
        <w:ind w:firstLine="0"/>
      </w:pPr>
      <w:r w:rsidRPr="0059545B">
        <w:t>7.</w:t>
      </w:r>
      <w:r w:rsidRPr="0059545B">
        <w:tab/>
      </w:r>
      <w:r>
        <w:tab/>
      </w:r>
      <w:r w:rsidRPr="0059545B">
        <w:t>Hruby A, Hu FB. The epidemiology of obesity: a big picture. PharmacoEconomics. 2015;33(7):673-89. doi: 10.1007/s40273-014-0243-x. PubMed PMID: PMC4859313.</w:t>
      </w:r>
    </w:p>
    <w:p w:rsidR="00163BC4" w:rsidRPr="0059545B" w:rsidRDefault="00163BC4" w:rsidP="00163BC4">
      <w:pPr>
        <w:pStyle w:val="EndNoteBibliography"/>
        <w:ind w:firstLine="0"/>
      </w:pPr>
      <w:r w:rsidRPr="0059545B">
        <w:t>8.</w:t>
      </w:r>
      <w:r w:rsidRPr="0059545B">
        <w:tab/>
      </w:r>
      <w:r>
        <w:tab/>
      </w:r>
      <w:r w:rsidRPr="0059545B">
        <w:t>Poston L, Caleyachetty R, Cnattingius S, Corvalan C, Uauy R, Herring S, et al. Preconceptional and maternal obesity: epidemiology and health consequences. Lancet Diabetes Endocrinol. 2016;4(12):1025-36. doi: 10.1016/s2213-8587(16)30217-0. PubMed PMID: WOS:000393025700029.</w:t>
      </w:r>
    </w:p>
    <w:p w:rsidR="00163BC4" w:rsidRPr="0059545B" w:rsidRDefault="00163BC4" w:rsidP="00163BC4">
      <w:pPr>
        <w:pStyle w:val="EndNoteBibliography"/>
        <w:ind w:firstLine="0"/>
      </w:pPr>
      <w:r w:rsidRPr="0059545B">
        <w:t>9.</w:t>
      </w:r>
      <w:r>
        <w:tab/>
      </w:r>
      <w:r w:rsidRPr="0059545B">
        <w:tab/>
        <w:t xml:space="preserve">NHS Digital. Health Survey for England 2017: Adult and child overweight and obesity: @NHSDigital; 2017 [13/03/2019]. Available from: </w:t>
      </w:r>
      <w:r w:rsidRPr="007F28CC">
        <w:t>https://digital.nhs.uk/data-and-information/publications/statistical/health-survey-for-england/2017</w:t>
      </w:r>
      <w:r w:rsidRPr="0059545B">
        <w:t>.</w:t>
      </w:r>
    </w:p>
    <w:p w:rsidR="00163BC4" w:rsidRPr="0059545B" w:rsidRDefault="00163BC4" w:rsidP="00163BC4">
      <w:pPr>
        <w:pStyle w:val="EndNoteBibliography"/>
        <w:ind w:firstLine="0"/>
      </w:pPr>
      <w:r w:rsidRPr="0059545B">
        <w:t>10.</w:t>
      </w:r>
      <w:r w:rsidRPr="0059545B">
        <w:tab/>
        <w:t xml:space="preserve">Goldenberg RL, Culhane JF, Iams JD, Romero R. Epidemiology and causes of preterm birth. The Lancet. 2008;371(9606):75-84. doi: </w:t>
      </w:r>
      <w:r w:rsidRPr="007F28CC">
        <w:t>https://doi.org/10.1016/S0140-6736(08)60074-4</w:t>
      </w:r>
      <w:r w:rsidRPr="0059545B">
        <w:t>.</w:t>
      </w:r>
    </w:p>
    <w:p w:rsidR="00163BC4" w:rsidRPr="0059545B" w:rsidRDefault="00163BC4" w:rsidP="00163BC4">
      <w:pPr>
        <w:pStyle w:val="EndNoteBibliography"/>
        <w:ind w:firstLine="0"/>
      </w:pPr>
      <w:r w:rsidRPr="0059545B">
        <w:t>11.</w:t>
      </w:r>
      <w:r w:rsidRPr="0059545B">
        <w:tab/>
        <w:t xml:space="preserve">McBain RD, Dekker GA, Clifton VL, Mol BW, Grzeskowiak LE. Impact of inter-pregnancy BMI change on perinatal outcomes: a retrospective cohort study. Eur J Obstet Gynecol Reprod Biol. 2016;205:98-104. doi: </w:t>
      </w:r>
      <w:r w:rsidRPr="007F28CC">
        <w:t>https://dx.doi.org/10.1016/j.ejogrb.2016.07.487</w:t>
      </w:r>
      <w:r w:rsidRPr="0059545B">
        <w:t>. PubMed PMID: 27567535.</w:t>
      </w:r>
    </w:p>
    <w:p w:rsidR="00163BC4" w:rsidRPr="0059545B" w:rsidRDefault="00163BC4" w:rsidP="00163BC4">
      <w:pPr>
        <w:pStyle w:val="EndNoteBibliography"/>
        <w:ind w:firstLine="0"/>
      </w:pPr>
      <w:r w:rsidRPr="0059545B">
        <w:t>12.</w:t>
      </w:r>
      <w:r w:rsidRPr="0059545B">
        <w:tab/>
        <w:t xml:space="preserve">Villamor E, Cnattingius S. Interpregnancy weight change and risk of preterm delivery. Obesity (Silver Spring). 2016;24(3):727-34. doi: </w:t>
      </w:r>
      <w:r w:rsidRPr="007F28CC">
        <w:t>https://dx.doi.org/10.1002/oby.21384</w:t>
      </w:r>
      <w:r w:rsidRPr="0059545B">
        <w:t>. PubMed PMID: 26833699.</w:t>
      </w:r>
    </w:p>
    <w:p w:rsidR="00163BC4" w:rsidRPr="0059545B" w:rsidRDefault="00163BC4" w:rsidP="00163BC4">
      <w:pPr>
        <w:pStyle w:val="EndNoteBibliography"/>
        <w:ind w:firstLine="0"/>
      </w:pPr>
      <w:r w:rsidRPr="0059545B">
        <w:t>13.</w:t>
      </w:r>
      <w:r w:rsidRPr="0059545B">
        <w:tab/>
        <w:t xml:space="preserve">Wallace JM, Bhattacharya S, Campbell DM, Horgan GW. Inter-pregnancy weight change impacts placental weight and is associated with the risk of adverse pregnancy outcomes in the second pregnancy. BMC Pregnancy Childbirth. 2014;14:40. doi: </w:t>
      </w:r>
      <w:r w:rsidRPr="007F28CC">
        <w:t>https://dx.doi.org/10.1186/1471-2393-14-40</w:t>
      </w:r>
      <w:r w:rsidRPr="0059545B">
        <w:t>. PubMed PMID: 24450357.</w:t>
      </w:r>
    </w:p>
    <w:p w:rsidR="00163BC4" w:rsidRPr="0059545B" w:rsidRDefault="00163BC4" w:rsidP="00163BC4">
      <w:pPr>
        <w:pStyle w:val="EndNoteBibliography"/>
        <w:ind w:firstLine="0"/>
      </w:pPr>
      <w:r w:rsidRPr="0059545B">
        <w:t>14.</w:t>
      </w:r>
      <w:r w:rsidRPr="0059545B">
        <w:tab/>
        <w:t>Wallace JM, Bhattacharya S, Campbell DM, Horgan GW. Inter-pregnancy weight change and the risk of recurrent pregnancy complications. PLoS ONE [Internet]. 2016; 11(5):[e0154812 p.].</w:t>
      </w:r>
    </w:p>
    <w:p w:rsidR="00163BC4" w:rsidRPr="0059545B" w:rsidRDefault="00163BC4" w:rsidP="00163BC4">
      <w:pPr>
        <w:pStyle w:val="EndNoteBibliography"/>
        <w:ind w:firstLine="0"/>
      </w:pPr>
      <w:r w:rsidRPr="0059545B">
        <w:t>15.</w:t>
      </w:r>
      <w:r w:rsidRPr="0059545B">
        <w:tab/>
        <w:t>Wallace JM, Bhattacharya S, Horgan GW. Weight change across the start of three consecutive pregnancies and the risk of maternal morbidity and SGA birth at the second and third pregnancy. PLoS ONE [Internet]. 2017; 12(6):[e0179589 p.].</w:t>
      </w:r>
    </w:p>
    <w:p w:rsidR="00163BC4" w:rsidRPr="0059545B" w:rsidRDefault="00163BC4" w:rsidP="00163BC4">
      <w:pPr>
        <w:pStyle w:val="EndNoteBibliography"/>
        <w:ind w:firstLine="0"/>
      </w:pPr>
      <w:r w:rsidRPr="0059545B">
        <w:t>16.</w:t>
      </w:r>
      <w:r w:rsidRPr="0059545B">
        <w:tab/>
        <w:t>Goldenberg RL. The plausibility of micronutrient deficiency in relationship to perinatal infection. The journal of nutrition. 2003;133(5 Suppl 2):1645s-8s. Epub 2003/05/06. doi: 10.1093/jn/133.5.1645S. PubMed PMID: 12730479.</w:t>
      </w:r>
    </w:p>
    <w:p w:rsidR="00163BC4" w:rsidRPr="0059545B" w:rsidRDefault="00163BC4" w:rsidP="00163BC4">
      <w:pPr>
        <w:pStyle w:val="EndNoteBibliography"/>
        <w:ind w:firstLine="0"/>
      </w:pPr>
      <w:r w:rsidRPr="0059545B">
        <w:t>17.</w:t>
      </w:r>
      <w:r w:rsidRPr="0059545B">
        <w:tab/>
        <w:t>Gravett MG, Rubens CE, Nunes TM, the GRG. Global report on preterm birth and stillbirth (2 of 7): discovery science. BMC Pregnancy and Childbirth. 2010;10(Suppl 1):S2-S. doi: 10.1186/1471-2393-10-S1-S2. PubMed PMID: PMC2841774.</w:t>
      </w:r>
    </w:p>
    <w:p w:rsidR="00163BC4" w:rsidRPr="0059545B" w:rsidRDefault="00163BC4" w:rsidP="00163BC4">
      <w:pPr>
        <w:pStyle w:val="EndNoteBibliography"/>
        <w:ind w:firstLine="0"/>
      </w:pPr>
      <w:r w:rsidRPr="0059545B">
        <w:t>18.</w:t>
      </w:r>
      <w:r w:rsidRPr="0059545B">
        <w:tab/>
        <w:t>Kivimäki M, Head J, Ferrie JE, Shipley MJ, Brunner E, Vahtera J, et al. Work stress, weight gain and weight loss: evidence for bidirectional effects of job strain on body mass index in the Whitehall II study. International Journal Of Obesity. 2006;30:982-7. doi: 10.1038/sj.ijo.0803229.</w:t>
      </w:r>
    </w:p>
    <w:p w:rsidR="00163BC4" w:rsidRPr="0059545B" w:rsidRDefault="00163BC4" w:rsidP="00163BC4">
      <w:pPr>
        <w:pStyle w:val="EndNoteBibliography"/>
        <w:ind w:firstLine="0"/>
      </w:pPr>
      <w:r w:rsidRPr="0059545B">
        <w:t>19.</w:t>
      </w:r>
      <w:r w:rsidRPr="0059545B">
        <w:tab/>
        <w:t xml:space="preserve">Royal College of Obstetricians and Gynaecologists. Recurrent miscarriage, investigation and treatment of couples (Green-top Guideline No. 17)2017 01/08/2018. Available from: </w:t>
      </w:r>
      <w:r w:rsidRPr="007F28CC">
        <w:t>https://www.rcog.org.uk/en/guidelines-research-services/guidelines/gtg17/</w:t>
      </w:r>
      <w:r w:rsidRPr="0059545B">
        <w:t>.</w:t>
      </w:r>
    </w:p>
    <w:p w:rsidR="00163BC4" w:rsidRPr="0059545B" w:rsidRDefault="00163BC4" w:rsidP="00163BC4">
      <w:pPr>
        <w:pStyle w:val="EndNoteBibliography"/>
        <w:ind w:firstLine="0"/>
      </w:pPr>
      <w:r w:rsidRPr="0059545B">
        <w:t>20.</w:t>
      </w:r>
      <w:r w:rsidRPr="0059545B">
        <w:tab/>
        <w:t>World Health Organization. Obesity: preventing and managing the global epidemic. WHO. 2000. doi: /entity/nutrition/publications/obesity/WHO_TRS_894/en/index.html.</w:t>
      </w:r>
    </w:p>
    <w:p w:rsidR="00163BC4" w:rsidRPr="0059545B" w:rsidRDefault="00163BC4" w:rsidP="00163BC4">
      <w:pPr>
        <w:pStyle w:val="EndNoteBibliography"/>
        <w:ind w:firstLine="0"/>
      </w:pPr>
      <w:r w:rsidRPr="0059545B">
        <w:t>21.</w:t>
      </w:r>
      <w:r w:rsidRPr="0059545B">
        <w:tab/>
        <w:t xml:space="preserve">National Institute for Health and Care Excellence. Guidance and guidelines CG62: Antenatal care for uncomplicated pregnancies: NICE; 2018 [24/07/2018]. Available from: </w:t>
      </w:r>
      <w:r w:rsidRPr="007F28CC">
        <w:t>https://www.nice.org.uk/guidance/cg62/chapter/appendix-d-antenatal-appointments-schedule-and-content</w:t>
      </w:r>
      <w:r w:rsidRPr="0059545B">
        <w:t>.</w:t>
      </w:r>
    </w:p>
    <w:p w:rsidR="00163BC4" w:rsidRPr="0059545B" w:rsidRDefault="00163BC4" w:rsidP="00163BC4">
      <w:pPr>
        <w:pStyle w:val="EndNoteBibliography"/>
        <w:ind w:firstLine="0"/>
      </w:pPr>
      <w:r w:rsidRPr="0059545B">
        <w:t>22.</w:t>
      </w:r>
      <w:r w:rsidRPr="0059545B">
        <w:tab/>
        <w:t xml:space="preserve">Whiteman VE, Rao K, Duan J, Alio A, Marty PJ, Salihu HM. Changes in prepregnancy body mass index between pregnancies and risk of preterm phenotypes. Am J Perinatol. 2011;28(1):67-74. doi: </w:t>
      </w:r>
      <w:r w:rsidRPr="007F28CC">
        <w:t>https://dx.doi.org/10.1055/s-0030-1262905</w:t>
      </w:r>
      <w:r w:rsidRPr="0059545B">
        <w:t>. PubMed PMID: 20640971.</w:t>
      </w:r>
    </w:p>
    <w:p w:rsidR="00163BC4" w:rsidRPr="0059545B" w:rsidRDefault="00163BC4" w:rsidP="00163BC4">
      <w:pPr>
        <w:pStyle w:val="EndNoteBibliography"/>
        <w:ind w:firstLine="0"/>
      </w:pPr>
      <w:r w:rsidRPr="0059545B">
        <w:t>23.</w:t>
      </w:r>
      <w:r w:rsidRPr="0059545B">
        <w:tab/>
        <w:t xml:space="preserve">Hoff GL, Cai J, Okah FA, Dew PC. Pre-pregnancy overweight status between successive pregnancies and pregnancy outcomes. J Womens Health (Larchmt). 2009;18(9):1413-7. doi: </w:t>
      </w:r>
      <w:r w:rsidRPr="007F28CC">
        <w:t>https://dx.doi.org/10.1089/jwh.2008.1290</w:t>
      </w:r>
      <w:r w:rsidRPr="0059545B">
        <w:t>. PubMed PMID: 19698074.</w:t>
      </w:r>
    </w:p>
    <w:p w:rsidR="00163BC4" w:rsidRPr="0059545B" w:rsidRDefault="00163BC4" w:rsidP="00163BC4">
      <w:pPr>
        <w:pStyle w:val="EndNoteBibliography"/>
        <w:ind w:firstLine="0"/>
      </w:pPr>
      <w:r w:rsidRPr="0059545B">
        <w:t>24.</w:t>
      </w:r>
      <w:r w:rsidRPr="0059545B">
        <w:tab/>
        <w:t>Ziauddeen N, Wilding S, Roderick PJ, Macklon NS, Alwan NA. Is maternal weight gain between pregnancies associated with risk of large-for-gestational age birth? Analysis of a UK population-based cohort. BMJ Open. 2019;9(7):e026220. doi: 10.1136/bmjopen-2018-026220.</w:t>
      </w:r>
    </w:p>
    <w:p w:rsidR="00163BC4" w:rsidRPr="0059545B" w:rsidRDefault="00163BC4" w:rsidP="00163BC4">
      <w:pPr>
        <w:pStyle w:val="EndNoteBibliography"/>
        <w:ind w:firstLine="0"/>
      </w:pPr>
      <w:r w:rsidRPr="0059545B">
        <w:t>25.</w:t>
      </w:r>
      <w:r w:rsidRPr="0059545B">
        <w:tab/>
        <w:t xml:space="preserve">Villamor E, Cnattingius S. Interpregnancy weight change and risk of adverse pregnancy outcomes: a population-based study. The Lancet. 2006;368(9542):1164-70. doi: </w:t>
      </w:r>
      <w:r w:rsidRPr="007F28CC">
        <w:t>https://doi.org/10.1016/S0140-6736(06)69473-7</w:t>
      </w:r>
      <w:r w:rsidRPr="0059545B">
        <w:t>.</w:t>
      </w:r>
    </w:p>
    <w:p w:rsidR="00163BC4" w:rsidRPr="0059545B" w:rsidRDefault="00163BC4" w:rsidP="00163BC4">
      <w:pPr>
        <w:pStyle w:val="EndNoteBibliography"/>
        <w:ind w:firstLine="0"/>
      </w:pPr>
      <w:r w:rsidRPr="0059545B">
        <w:t>26.</w:t>
      </w:r>
      <w:r w:rsidRPr="0059545B">
        <w:tab/>
        <w:t>Heslehurst N, Rankin J, Wilkinson JR, Summerbell CD. A nationally representative study of maternal obesity in England, UK: trends in incidence and demographic inequalities in 619,323 births, 1989–2007. International Journal Of Obesity. 2009;34:420-8. doi: 10.1038/ijo.2009.250.</w:t>
      </w:r>
    </w:p>
    <w:p w:rsidR="00163BC4" w:rsidRPr="0059545B" w:rsidRDefault="00163BC4" w:rsidP="00163BC4">
      <w:pPr>
        <w:pStyle w:val="EndNoteBibliography"/>
        <w:ind w:firstLine="0"/>
      </w:pPr>
      <w:r w:rsidRPr="0059545B">
        <w:t>27.</w:t>
      </w:r>
      <w:r w:rsidRPr="0059545B">
        <w:tab/>
        <w:t xml:space="preserve">Culhane JF, Goldenberg RL. Racial disparities in preterm birth. Semin Perinatol. 2011;35(4):234-9. doi: </w:t>
      </w:r>
      <w:r w:rsidRPr="007F28CC">
        <w:t>https://doi.org/10.1053/j.semperi.2011.02.020</w:t>
      </w:r>
      <w:r w:rsidRPr="0059545B">
        <w:t>.</w:t>
      </w:r>
    </w:p>
    <w:p w:rsidR="00163BC4" w:rsidRPr="0059545B" w:rsidRDefault="00163BC4" w:rsidP="00163BC4">
      <w:pPr>
        <w:pStyle w:val="EndNoteBibliography"/>
        <w:ind w:firstLine="0"/>
      </w:pPr>
      <w:r w:rsidRPr="0059545B">
        <w:t>28.</w:t>
      </w:r>
      <w:r w:rsidRPr="0059545B">
        <w:tab/>
        <w:t>Snijder MB, Galenkamp H, Prins M, Derks EM, Peters RJG, Zwinderman AH, et al. Cohort profile: the healthy life in an urban setting (HELIUS) study in Amsterdam, the Netherlands. BMJ Open. 2017;7(12). doi: 10.1136/bmjopen-2017-017873.</w:t>
      </w:r>
    </w:p>
    <w:p w:rsidR="00163BC4" w:rsidRPr="0059545B" w:rsidRDefault="00163BC4" w:rsidP="00163BC4">
      <w:pPr>
        <w:pStyle w:val="EndNoteBibliography"/>
        <w:ind w:firstLine="0"/>
      </w:pPr>
      <w:r w:rsidRPr="0059545B">
        <w:t>29.</w:t>
      </w:r>
      <w:r w:rsidRPr="0059545B">
        <w:tab/>
        <w:t>Ehtisham S, Crabtree N, Clark P, Shaw N, Barrett T. Ethnic differences in insulin resistance and body composition in United Kingdom adolescents. The Journal of Clinical Endocrinology &amp; Metabolism. 2005;90(7):3963-9. doi: 10.1210/jc.2004-2001.</w:t>
      </w:r>
    </w:p>
    <w:p w:rsidR="00163BC4" w:rsidRPr="0059545B" w:rsidRDefault="00163BC4" w:rsidP="00163BC4">
      <w:pPr>
        <w:pStyle w:val="EndNoteBibliography"/>
        <w:ind w:firstLine="0"/>
      </w:pPr>
      <w:r w:rsidRPr="0059545B">
        <w:t>30.</w:t>
      </w:r>
      <w:r w:rsidRPr="0059545B">
        <w:tab/>
        <w:t>Devaux M, Sassi F. Social inequalities in obesity and overweight in 11 OECD countries. European Journal of Public Health. 2013;23(3):464-9. doi: 10.1093/eurpub/ckr058.</w:t>
      </w:r>
    </w:p>
    <w:p w:rsidR="00163BC4" w:rsidRPr="0059545B" w:rsidRDefault="00163BC4" w:rsidP="00163BC4">
      <w:pPr>
        <w:pStyle w:val="EndNoteBibliography"/>
        <w:ind w:firstLine="0"/>
      </w:pPr>
      <w:r w:rsidRPr="0059545B">
        <w:t>31.</w:t>
      </w:r>
      <w:r w:rsidRPr="0059545B">
        <w:tab/>
        <w:t>Drewnowski A. Obesity, diets, and social inequalities. Nutrition Reviews. 2009;67(suppl_1):S36-S9. doi: 10.1111/j.1753-4887.2009.00157.x.</w:t>
      </w:r>
    </w:p>
    <w:p w:rsidR="00163BC4" w:rsidRPr="0059545B" w:rsidRDefault="00163BC4" w:rsidP="00163BC4">
      <w:pPr>
        <w:pStyle w:val="EndNoteBibliography"/>
        <w:ind w:firstLine="0"/>
      </w:pPr>
      <w:r w:rsidRPr="0059545B">
        <w:t>32.</w:t>
      </w:r>
      <w:r w:rsidRPr="0059545B">
        <w:tab/>
        <w:t>Thompson JM, Irgens LM, Rasmussen S, Daltveit AK. Secular trends in socio-economic status and the implications for preterm birth. Paediatr Perinat Epidemiol. 2006;20(3):182-7. Epub 2006/04/25. doi: 10.1111/j.1365-3016.2006.00711.x. PubMed PMID: 16629692.</w:t>
      </w:r>
    </w:p>
    <w:p w:rsidR="00163BC4" w:rsidRPr="0059545B" w:rsidRDefault="00163BC4" w:rsidP="00163BC4">
      <w:pPr>
        <w:pStyle w:val="EndNoteBibliography"/>
        <w:ind w:firstLine="0"/>
      </w:pPr>
      <w:r w:rsidRPr="0059545B">
        <w:t>33.</w:t>
      </w:r>
      <w:r w:rsidRPr="0059545B">
        <w:tab/>
        <w:t>Petersen CB, Mortensen LH, Morgen CS, Madsen M, Schnor O, Arntzen A, et al. Socio-economic inequality in preterm birth: a comparative study of the Nordic countries from 1981 to 2000. Paediatr Perinat Epidemiol. 2009;23(1):66-75. doi: doi:10.1111/j.1365-3016.2008.00977.x.</w:t>
      </w:r>
    </w:p>
    <w:p w:rsidR="00163BC4" w:rsidRPr="0059545B" w:rsidRDefault="00163BC4" w:rsidP="00163BC4">
      <w:pPr>
        <w:pStyle w:val="EndNoteBibliography"/>
        <w:ind w:firstLine="0"/>
      </w:pPr>
      <w:r w:rsidRPr="0059545B">
        <w:t>34.</w:t>
      </w:r>
      <w:r w:rsidRPr="0059545B">
        <w:tab/>
        <w:t>Jaddoe VWV, Troe E-JWM, Hofman A, Mackenbach JP, Moll HA, Steegers EAP, et al. Active and passive maternal smoking during pregnancy and the risks of low birthweight and preterm birth: the Generation R Study. Paediatr Perinat Epidemiol. 2008;22(2):162-71. doi: doi:10.1111/j.1365-3016.2007.00916.x.</w:t>
      </w:r>
    </w:p>
    <w:p w:rsidR="00163BC4" w:rsidRPr="0059545B" w:rsidRDefault="00163BC4" w:rsidP="00163BC4">
      <w:pPr>
        <w:pStyle w:val="EndNoteBibliography"/>
        <w:ind w:firstLine="0"/>
      </w:pPr>
      <w:r w:rsidRPr="0059545B">
        <w:t>35.</w:t>
      </w:r>
      <w:r w:rsidRPr="0059545B">
        <w:tab/>
        <w:t>Smith LK, Draper ES, Evans TA, Field DJ, Johnson SJ, Manktelow BN, et al. Associations between late and moderately preterm birth and smoking, alcohol, drug use and diet: a population-based case–cohort study. Archives of Disease in Childhood - Fetal and Neonatal Edition. 2015;100:F486-91. doi: 10.1136/archdischild-2014-307265.</w:t>
      </w:r>
    </w:p>
    <w:p w:rsidR="00163BC4" w:rsidRPr="0059545B" w:rsidRDefault="00163BC4" w:rsidP="00163BC4">
      <w:pPr>
        <w:pStyle w:val="EndNoteBibliography"/>
        <w:ind w:firstLine="0"/>
      </w:pPr>
      <w:r w:rsidRPr="0059545B">
        <w:t>36.</w:t>
      </w:r>
      <w:r w:rsidRPr="0059545B">
        <w:tab/>
        <w:t>Canoy D, Wareham N, Luben R, Welch A, Bingham S, Day N, et al. Cigarette smoking and fat distribution in 21,828 British men and women: a population-based study. Obesity Research. 2005;13(8):1466-75. doi: doi:10.1038/oby.2005.177.</w:t>
      </w:r>
    </w:p>
    <w:p w:rsidR="00163BC4" w:rsidRPr="0059545B" w:rsidRDefault="00163BC4" w:rsidP="00163BC4">
      <w:pPr>
        <w:pStyle w:val="EndNoteBibliography"/>
        <w:ind w:firstLine="0"/>
      </w:pPr>
      <w:r w:rsidRPr="0059545B">
        <w:t>37.</w:t>
      </w:r>
      <w:r w:rsidRPr="0059545B">
        <w:tab/>
        <w:t>Saurel-Cubizolles M, Zeitlin J, Lelong N, Papiernik E, Di R, Breart G. Employment, working conditions, and preterm birth: results from the Europop case-control survey. Journal of Epidemiology and Community Health. 2004;58(5):395-401. doi: 10.1136/jech.2003.008029. PubMed PMID: PMC1732750.</w:t>
      </w:r>
    </w:p>
    <w:p w:rsidR="00163BC4" w:rsidRPr="0059545B" w:rsidRDefault="00163BC4" w:rsidP="00163BC4">
      <w:pPr>
        <w:pStyle w:val="EndNoteBibliography"/>
        <w:ind w:firstLine="0"/>
      </w:pPr>
      <w:r w:rsidRPr="0059545B">
        <w:t>38.</w:t>
      </w:r>
      <w:r w:rsidRPr="0059545B">
        <w:tab/>
        <w:t>Brett KM, Strogatz DS, Savitz DA. Employment, job strain, and preterm delivery among women in North Carolina. American Journal of Public Health. 1997;87(2):199-204. PubMed PMID: PMC1380794.</w:t>
      </w:r>
    </w:p>
    <w:p w:rsidR="00163BC4" w:rsidRPr="0059545B" w:rsidRDefault="00163BC4" w:rsidP="00163BC4">
      <w:pPr>
        <w:pStyle w:val="EndNoteBibliography"/>
        <w:ind w:firstLine="0"/>
      </w:pPr>
      <w:r w:rsidRPr="0059545B">
        <w:t>39.</w:t>
      </w:r>
      <w:r w:rsidRPr="0059545B">
        <w:tab/>
        <w:t>Smith LK, Draper ES, Manktelow BN, Dorling JS, Field DJ. Socioeconomic inequalities in very preterm birth rates. Archives of Disease in Childhood - Fetal and Neonatal Edition. 2007;92(1):F11-F4. doi: 10.1136/adc.2005.090308.</w:t>
      </w:r>
    </w:p>
    <w:p w:rsidR="00163BC4" w:rsidRPr="0059545B" w:rsidRDefault="00163BC4" w:rsidP="00163BC4">
      <w:pPr>
        <w:pStyle w:val="EndNoteBibliography"/>
        <w:ind w:firstLine="0"/>
      </w:pPr>
      <w:r w:rsidRPr="0059545B">
        <w:t>40.</w:t>
      </w:r>
      <w:r w:rsidRPr="0059545B">
        <w:tab/>
        <w:t>Ananth CV, Getahun D, Peltier MR, Salihu HM, Vintzileos AM. Recurrence of spontaneous versus medically indicated preterm birth. American Journal of Obstetrics and Gynecology. 2006;195(3):643-50. Epub 2006/09/05. doi: 10.1016/j.ajog.2006.05.022. PubMed PMID: 16949395.</w:t>
      </w:r>
    </w:p>
    <w:p w:rsidR="00163BC4" w:rsidRPr="0059545B" w:rsidRDefault="00163BC4" w:rsidP="00163BC4">
      <w:pPr>
        <w:pStyle w:val="EndNoteBibliography"/>
        <w:ind w:firstLine="0"/>
      </w:pPr>
      <w:r w:rsidRPr="0059545B">
        <w:t>41.</w:t>
      </w:r>
      <w:r w:rsidRPr="0059545B">
        <w:tab/>
        <w:t>Sperrin M, Marshall AD, Higgins V, Buchan IE, Renehan AG. Slowing down of adult body mass index trend increases in England: a latent class analysis of cross-sectional surveys (1992–2010). International Journal Of Obesity. 2013;38:818-24. doi: 10.1038/ijo.2013.161</w:t>
      </w:r>
    </w:p>
    <w:p w:rsidR="00163BC4" w:rsidRPr="0059545B" w:rsidRDefault="00163BC4" w:rsidP="00163BC4">
      <w:pPr>
        <w:pStyle w:val="EndNoteBibliography"/>
        <w:ind w:firstLine="0"/>
      </w:pPr>
      <w:r w:rsidRPr="007F28CC">
        <w:t>https://www.nature.com/articles/ijo2013161#supplementary-information</w:t>
      </w:r>
      <w:r w:rsidRPr="0059545B">
        <w:t>.</w:t>
      </w:r>
    </w:p>
    <w:p w:rsidR="00163BC4" w:rsidRPr="0059545B" w:rsidRDefault="00163BC4" w:rsidP="00163BC4">
      <w:pPr>
        <w:pStyle w:val="EndNoteBibliography"/>
        <w:ind w:firstLine="0"/>
      </w:pPr>
      <w:r w:rsidRPr="0059545B">
        <w:t>42.</w:t>
      </w:r>
      <w:r w:rsidRPr="0059545B">
        <w:tab/>
        <w:t>Schempf AH, Branum AM, Lukacs SL, Schoendorf KC. Maternal age and parity-associated risks of preterm birth: differences by race/ethnicity. Paediatr Perinat Epidemiol. 2007;21(1):34-43. doi: doi:10.1111/j.1365-3016.2007.00785.x.</w:t>
      </w:r>
    </w:p>
    <w:p w:rsidR="00163BC4" w:rsidRPr="0059545B" w:rsidRDefault="00163BC4" w:rsidP="00163BC4">
      <w:pPr>
        <w:pStyle w:val="EndNoteBibliography"/>
        <w:ind w:firstLine="0"/>
      </w:pPr>
      <w:r w:rsidRPr="0059545B">
        <w:t>43.</w:t>
      </w:r>
      <w:r w:rsidRPr="0059545B">
        <w:tab/>
        <w:t>Newburn-Cook CV, Onyskiw JE. Is older maternal age a risk factor for preterm birth and fetal growth restriction? A systematic review. Health Care for Women International. 2005;26(9):852-75. doi: 10.1080/07399330500230912.</w:t>
      </w:r>
    </w:p>
    <w:p w:rsidR="00163BC4" w:rsidRPr="0059545B" w:rsidRDefault="00163BC4" w:rsidP="00163BC4">
      <w:pPr>
        <w:pStyle w:val="EndNoteBibliography"/>
        <w:ind w:firstLine="0"/>
      </w:pPr>
      <w:r w:rsidRPr="0059545B">
        <w:t>44.</w:t>
      </w:r>
      <w:r w:rsidRPr="0059545B">
        <w:tab/>
        <w:t xml:space="preserve">Hendler I, Goldenberg RL, Mercer BM, Iams JD, Meis PJ, Moawad AH, et al. The preterm prediction study: association between maternal body mass index and spontaneous and indicated preterm birth. American Journal of Obstetrics and Gynecology. 2005;192(3):882-6. doi: </w:t>
      </w:r>
      <w:r w:rsidRPr="007F28CC">
        <w:t>https://doi.org/10.1016/j.ajog.2004.09.021</w:t>
      </w:r>
      <w:r w:rsidRPr="0059545B">
        <w:t>.</w:t>
      </w:r>
    </w:p>
    <w:p w:rsidR="00163BC4" w:rsidRPr="0059545B" w:rsidRDefault="00163BC4" w:rsidP="00163BC4">
      <w:pPr>
        <w:pStyle w:val="EndNoteBibliography"/>
        <w:ind w:firstLine="0"/>
      </w:pPr>
      <w:r w:rsidRPr="0059545B">
        <w:t>45.</w:t>
      </w:r>
      <w:r w:rsidRPr="0059545B">
        <w:tab/>
        <w:t>Auger N, Le TUN, Park AL, Luo Z-C. Association between maternal comorbidity and preterm birth by severity and clinical subtype: retrospective cohort study. BMC Pregnancy and Childbirth. 2011;11(1):67. doi: 10.1186/1471-2393-11-67.</w:t>
      </w:r>
    </w:p>
    <w:p w:rsidR="00163BC4" w:rsidRPr="0059545B" w:rsidRDefault="00163BC4" w:rsidP="00163BC4">
      <w:pPr>
        <w:pStyle w:val="EndNoteBibliography"/>
        <w:ind w:firstLine="0"/>
      </w:pPr>
      <w:r w:rsidRPr="0059545B">
        <w:t>46.</w:t>
      </w:r>
      <w:r w:rsidRPr="0059545B">
        <w:tab/>
        <w:t>Wang JX, Norman RJ, Kristiansson P. The effect of various infertility treatments on the risk of preterm birth. Human Reproduction. 2002;17(4):945-9. doi: 10.1093/humrep/17.4.945.</w:t>
      </w:r>
    </w:p>
    <w:p w:rsidR="00163BC4" w:rsidRPr="0059545B" w:rsidRDefault="00163BC4" w:rsidP="00163BC4">
      <w:pPr>
        <w:pStyle w:val="EndNoteBibliography"/>
        <w:ind w:firstLine="0"/>
      </w:pPr>
      <w:r w:rsidRPr="0059545B">
        <w:t>47.</w:t>
      </w:r>
      <w:r w:rsidRPr="0059545B">
        <w:tab/>
        <w:t xml:space="preserve">Dunietz GL, Holzman C, McKane P, Li C, Boulet SL, Todem D, et al. Assisted reproductive technology and the risk of preterm birth among primiparas. Fertility and Sterility. 2015;103(4):974-9. doi: </w:t>
      </w:r>
      <w:r w:rsidRPr="007F28CC">
        <w:t>https://doi.org/10.1016/j.fertnstert.2015.01.015</w:t>
      </w:r>
      <w:r w:rsidRPr="0059545B">
        <w:t>.</w:t>
      </w:r>
    </w:p>
    <w:p w:rsidR="00163BC4" w:rsidRPr="0059545B" w:rsidRDefault="00163BC4" w:rsidP="00163BC4">
      <w:pPr>
        <w:pStyle w:val="EndNoteBibliography"/>
        <w:ind w:firstLine="0"/>
      </w:pPr>
      <w:r w:rsidRPr="0059545B">
        <w:t>48.</w:t>
      </w:r>
      <w:r w:rsidRPr="0059545B">
        <w:tab/>
        <w:t>Zeitlin J, Saurel-Cubizolles M-J, de Mouzon J, Rivera L, Ancel P-Y, Blondel B, et al. Fetal sex and preterm birth: are males at greater risk? Human Reproduction. 2002;17(10):2762-8. doi: 10.1093/humrep/17.10.2762.</w:t>
      </w:r>
    </w:p>
    <w:p w:rsidR="00163BC4" w:rsidRPr="0059545B" w:rsidRDefault="00163BC4" w:rsidP="00163BC4">
      <w:pPr>
        <w:pStyle w:val="EndNoteBibliography"/>
        <w:ind w:firstLine="0"/>
      </w:pPr>
      <w:r w:rsidRPr="0059545B">
        <w:t>49.</w:t>
      </w:r>
      <w:r w:rsidRPr="0059545B">
        <w:tab/>
        <w:t>Smith GCS, Pell JP, Dobbie R. Interpregnancy interval and risk of preterm birth and neonatal death: retrospective cohort study. Bmj. 2003;327(7410):313. doi: 10.1136/bmj.327.7410.313.</w:t>
      </w:r>
    </w:p>
    <w:p w:rsidR="00163BC4" w:rsidRPr="0059545B" w:rsidRDefault="00163BC4" w:rsidP="00163BC4">
      <w:pPr>
        <w:pStyle w:val="EndNoteBibliography"/>
        <w:ind w:firstLine="0"/>
      </w:pPr>
      <w:r w:rsidRPr="0059545B">
        <w:t>50.</w:t>
      </w:r>
      <w:r w:rsidRPr="0059545B">
        <w:tab/>
        <w:t>Davis EM, Babineau DC, Wang X, Zyzanski S, Abrams B, Bodnar L, et al. Short inter-pregnancy intervals, parity, excessive pregnancy weight gain and risk of maternal obesity. Maternal and child health journal. 2014;18(3):554-62. doi: 10.1007/s10995-013-1272-3. PubMed PMID: PMC3840151.</w:t>
      </w:r>
    </w:p>
    <w:p w:rsidR="00163BC4" w:rsidRPr="0059545B" w:rsidRDefault="00163BC4" w:rsidP="00163BC4">
      <w:pPr>
        <w:pStyle w:val="EndNoteBibliography"/>
        <w:ind w:firstLine="0"/>
      </w:pPr>
      <w:r w:rsidRPr="0059545B">
        <w:t>51.</w:t>
      </w:r>
      <w:r w:rsidRPr="0059545B">
        <w:tab/>
        <w:t xml:space="preserve">World Health Organisation. Report of a WHO Technical Consultation on Birth Spacing Geneva2007 [01/03/2019]. Available from: </w:t>
      </w:r>
      <w:r w:rsidRPr="007F28CC">
        <w:t>https://apps.who.int/iris/bitstream/handle/10665/69855/WHO_RHR_07.1_eng.pdf?sequence=1</w:t>
      </w:r>
      <w:r w:rsidRPr="0059545B">
        <w:t>.</w:t>
      </w:r>
    </w:p>
    <w:p w:rsidR="00163BC4" w:rsidRPr="0059545B" w:rsidRDefault="00163BC4" w:rsidP="00163BC4">
      <w:pPr>
        <w:pStyle w:val="EndNoteBibliography"/>
        <w:ind w:firstLine="0"/>
      </w:pPr>
      <w:r w:rsidRPr="0059545B">
        <w:t>52.</w:t>
      </w:r>
      <w:r w:rsidRPr="0059545B">
        <w:tab/>
        <w:t xml:space="preserve">Smith L, Savory J, Couves J, Burns E. Alcohol consumption during pregnancy: Cross-sectional survey. Midwifery. 2014;30(12):1173-8. doi: </w:t>
      </w:r>
      <w:r w:rsidRPr="007F28CC">
        <w:t>https://doi.org/10.1016/j.midw.2014.04.002</w:t>
      </w:r>
      <w:r w:rsidRPr="0059545B">
        <w:t>.</w:t>
      </w:r>
    </w:p>
    <w:p w:rsidR="00163BC4" w:rsidRPr="0059545B" w:rsidRDefault="00163BC4" w:rsidP="00163BC4">
      <w:pPr>
        <w:pStyle w:val="EndNoteBibliography"/>
        <w:ind w:firstLine="0"/>
      </w:pPr>
      <w:r w:rsidRPr="0059545B">
        <w:t>53.</w:t>
      </w:r>
      <w:r w:rsidRPr="0059545B">
        <w:tab/>
        <w:t>Mårdby A-C, Lupattelli A, Hensing G, Nordeng H. Consumption of alcohol during pregnancy—a multinational European study. Women and Birth [Internet]. 2017 2017/08/01/; 30(4):[e207-e13 pp.].</w:t>
      </w:r>
    </w:p>
    <w:p w:rsidR="00163BC4" w:rsidRPr="0059545B" w:rsidRDefault="00163BC4" w:rsidP="00163BC4">
      <w:pPr>
        <w:pStyle w:val="EndNoteBibliography"/>
        <w:ind w:firstLine="0"/>
      </w:pPr>
      <w:r w:rsidRPr="0059545B">
        <w:t>54.</w:t>
      </w:r>
      <w:r w:rsidRPr="0059545B">
        <w:tab/>
        <w:t>StataCorp. Stata Statistical Software: Release 15. College Station, Texas: StataCorp LLC; 2017.</w:t>
      </w:r>
    </w:p>
    <w:p w:rsidR="00163BC4" w:rsidRPr="0059545B" w:rsidRDefault="00163BC4" w:rsidP="00163BC4">
      <w:pPr>
        <w:pStyle w:val="EndNoteBibliography"/>
        <w:ind w:firstLine="0"/>
      </w:pPr>
      <w:r w:rsidRPr="0059545B">
        <w:t>55.</w:t>
      </w:r>
      <w:r w:rsidRPr="0059545B">
        <w:tab/>
        <w:t>Zeitlin J, Szamotulska K, Drewniak N, Mohangoo A, Chalmers J, Sakkeus L, et al. Preterm birth time trends in Europe: a study of 19 countries. BJOG: An International Journal of Obstetrics &amp; Gynaecology. 2013;120(11):1356-65. doi: doi:10.1111/1471-0528.12281.</w:t>
      </w:r>
    </w:p>
    <w:p w:rsidR="00163BC4" w:rsidRPr="0059545B" w:rsidRDefault="00163BC4" w:rsidP="00163BC4">
      <w:pPr>
        <w:pStyle w:val="EndNoteBibliography"/>
        <w:ind w:firstLine="0"/>
      </w:pPr>
      <w:r w:rsidRPr="0059545B">
        <w:t>56.</w:t>
      </w:r>
      <w:r w:rsidRPr="0059545B">
        <w:tab/>
        <w:t xml:space="preserve">Chen A, Klebanoff MA, Basso O. Pre-pregnancy body mass index change between pregnancies and preterm birth in the following pregnancy. Paediatr Perinat Epidemiol. 2009;23(3):207-15. doi: </w:t>
      </w:r>
      <w:r w:rsidRPr="007F28CC">
        <w:t>https://dx.doi.org/10.1111/j.1365-3016.2009.01029.x</w:t>
      </w:r>
      <w:r w:rsidRPr="0059545B">
        <w:t>. PubMed PMID: 19775382.</w:t>
      </w:r>
    </w:p>
    <w:p w:rsidR="00163BC4" w:rsidRPr="0059545B" w:rsidRDefault="00163BC4" w:rsidP="00163BC4">
      <w:pPr>
        <w:pStyle w:val="EndNoteBibliography"/>
        <w:ind w:firstLine="0"/>
      </w:pPr>
      <w:r w:rsidRPr="0059545B">
        <w:t>57.</w:t>
      </w:r>
      <w:r w:rsidRPr="0059545B">
        <w:tab/>
        <w:t>Neggers Y, Goldenberg RL. Some thoughts on body mass index, micronutrient intakes and pregnancy outcome. The Journal of Nutrition. 2003;133(5):1737S-40S. doi: 10.1093/jn/133.5.1737S.</w:t>
      </w:r>
    </w:p>
    <w:p w:rsidR="00163BC4" w:rsidRPr="0059545B" w:rsidRDefault="00163BC4" w:rsidP="00163BC4">
      <w:pPr>
        <w:pStyle w:val="EndNoteBibliography"/>
        <w:ind w:firstLine="0"/>
      </w:pPr>
      <w:r w:rsidRPr="0059545B">
        <w:t>58.</w:t>
      </w:r>
      <w:r w:rsidRPr="0059545B">
        <w:tab/>
        <w:t>Jans G, Matthys C, Bogaerts A, Lannoo M, Verhaeghe J, Van der Schueren B, et al. Maternal micronutrient deficiencies and related adverse neonatal outcomes after bariatric surgery: a systematic review. Advances in Nutrition. 2015;6(4):420-9. doi: 10.3945/an.114.008086.</w:t>
      </w:r>
    </w:p>
    <w:p w:rsidR="00163BC4" w:rsidRPr="0059545B" w:rsidRDefault="00163BC4" w:rsidP="00163BC4">
      <w:pPr>
        <w:pStyle w:val="EndNoteBibliography"/>
        <w:ind w:firstLine="0"/>
      </w:pPr>
      <w:r w:rsidRPr="0059545B">
        <w:t>59.</w:t>
      </w:r>
      <w:r w:rsidRPr="0059545B">
        <w:tab/>
        <w:t xml:space="preserve">Riley KL, Carmichael SL, Mayo JA, Shachar BZ, Girsen AI, Wallenstein MB, et al. Body mass index change between pregnancies and risk of spontaneous preterm birth. Am J Perinatol. 2016;33(10):1017-22. doi: </w:t>
      </w:r>
      <w:r w:rsidRPr="007F28CC">
        <w:t>https://dx.doi.org/10.1055/s-0036-1572533</w:t>
      </w:r>
      <w:r w:rsidRPr="0059545B">
        <w:t>. PubMed PMID: 27128743.</w:t>
      </w:r>
    </w:p>
    <w:p w:rsidR="00163BC4" w:rsidRPr="0059545B" w:rsidRDefault="00163BC4" w:rsidP="00163BC4">
      <w:pPr>
        <w:pStyle w:val="EndNoteBibliography"/>
        <w:ind w:firstLine="0"/>
      </w:pPr>
      <w:r w:rsidRPr="0059545B">
        <w:t>60.</w:t>
      </w:r>
      <w:r w:rsidRPr="0059545B">
        <w:tab/>
        <w:t xml:space="preserve">Girsen AI, Mayo JA, Wallenstein MB, Gould JB, Carmichael SL, Stevenson DK, et al. What factors are related to recurrent preterm birth among underweight women? J Matern Fetal Neonatal Med. 2018;31(5):560-6. doi: </w:t>
      </w:r>
      <w:r w:rsidRPr="007F28CC">
        <w:t>https://dx.doi.org/10.1080/14767058.2017.1292243</w:t>
      </w:r>
      <w:r w:rsidRPr="0059545B">
        <w:t>. PubMed PMID: 28166677.</w:t>
      </w:r>
    </w:p>
    <w:p w:rsidR="00163BC4" w:rsidRPr="0059545B" w:rsidRDefault="00163BC4" w:rsidP="00163BC4">
      <w:pPr>
        <w:pStyle w:val="EndNoteBibliography"/>
        <w:ind w:firstLine="0"/>
      </w:pPr>
      <w:r w:rsidRPr="0059545B">
        <w:t>61.</w:t>
      </w:r>
      <w:r w:rsidRPr="0059545B">
        <w:tab/>
        <w:t>Merlino A, Laffineuse L, Collin M, Mercer B. Impact of weight loss between pregnancies on recurrent preterm birth. Am J Obstet Gynecol. 2006;195(3):818-21. PubMed PMID: 16949418.</w:t>
      </w:r>
    </w:p>
    <w:p w:rsidR="00163BC4" w:rsidRPr="0059545B" w:rsidRDefault="00163BC4" w:rsidP="00163BC4">
      <w:pPr>
        <w:pStyle w:val="EndNoteBibliography"/>
        <w:ind w:firstLine="0"/>
      </w:pPr>
      <w:r w:rsidRPr="0059545B">
        <w:t>62.</w:t>
      </w:r>
      <w:r w:rsidRPr="0059545B">
        <w:tab/>
        <w:t>Norman JE, Morris C, Chalmers J. The effect of changing patterns of obstetric care in Scotland (1980–2004) on rates of preterm birth and its neonatal consequences: perinatal database study. PLOS Medicine [Internet]. 2009; 6(9):[e1000153 p.].</w:t>
      </w:r>
    </w:p>
    <w:p w:rsidR="00163BC4" w:rsidRPr="0059545B" w:rsidRDefault="00163BC4" w:rsidP="00163BC4">
      <w:pPr>
        <w:pStyle w:val="EndNoteBibliography"/>
        <w:ind w:firstLine="0"/>
      </w:pPr>
      <w:r w:rsidRPr="0059545B">
        <w:t>63.</w:t>
      </w:r>
      <w:r w:rsidRPr="0059545B">
        <w:tab/>
        <w:t xml:space="preserve">Blencowe H, Cousens S, Oestergaard MZ, Chou D, Moller AB, Narwal R, et al. National, regional, and worldwide estimates of preterm birth rates in the year 2010 with time trends since 1990 for selected countries: a systematic analysis and implications. Supplimentary Appendix. The Lancet [Internet]. 2012 03/08/2018; 379(9832):[76-81 pp.]. Available from: </w:t>
      </w:r>
      <w:r w:rsidRPr="007F28CC">
        <w:t>https://ars.els-cdn.com/content/image/1-s2.0-S0140673612608204-mmc1.pdf</w:t>
      </w:r>
      <w:r w:rsidRPr="0059545B">
        <w:t>.</w:t>
      </w:r>
    </w:p>
    <w:p w:rsidR="00163BC4" w:rsidRPr="0059545B" w:rsidRDefault="00163BC4" w:rsidP="00163BC4">
      <w:pPr>
        <w:pStyle w:val="EndNoteBibliography"/>
        <w:ind w:firstLine="0"/>
      </w:pPr>
      <w:r w:rsidRPr="0059545B">
        <w:t>64.</w:t>
      </w:r>
      <w:r w:rsidRPr="0059545B">
        <w:tab/>
        <w:t>Bastian LA, Pathiraja VC, Krause K, Namenek Brouwer RJ, Swamy GK, Lovelady CA, et al. Multiparity is associated with high motivation to change diet among overweight and obese postpartum women. Women's health issues : official publication of the Jacobs Institute of Women's Health. 2010;20(2):133-8. Epub 2010/02/13. doi: 10.1016/j.whi.2009.11.005. PubMed PMID: 20149971; PubMed Central PMCID: PMCPMC2849268.</w:t>
      </w:r>
    </w:p>
    <w:p w:rsidR="00163BC4" w:rsidRPr="0059545B" w:rsidRDefault="00163BC4" w:rsidP="00163BC4">
      <w:pPr>
        <w:pStyle w:val="EndNoteBibliography"/>
        <w:ind w:firstLine="0"/>
      </w:pPr>
      <w:r w:rsidRPr="0059545B">
        <w:t>65.</w:t>
      </w:r>
      <w:r w:rsidRPr="0059545B">
        <w:tab/>
        <w:t>Sebire NJ, Jolly M, Harris JP, Wadsworth J, Joffe M, Beard RW, et al. Maternal obesity and pregnancy outcome: a study of 287 213 pregnancies in London. International Journal Of Obesity. 2001;25:1175-82. doi: 10.1038/sj.ijo.0801670.</w:t>
      </w:r>
    </w:p>
    <w:p w:rsidR="00163BC4" w:rsidRPr="0059545B" w:rsidRDefault="00163BC4" w:rsidP="00163BC4">
      <w:pPr>
        <w:pStyle w:val="EndNoteBibliography"/>
        <w:ind w:firstLine="0"/>
      </w:pPr>
      <w:r w:rsidRPr="0059545B">
        <w:t>66.</w:t>
      </w:r>
      <w:r w:rsidRPr="0059545B">
        <w:tab/>
        <w:t xml:space="preserve">National Institute for Health Care Excellence. Public health guideline [PH27]: Weight management before, during and after pregnancy: NICE; 2010 [08/08/2018]. Available from: </w:t>
      </w:r>
      <w:r w:rsidRPr="007F28CC">
        <w:t>https://www.nice.org.uk/guidance/ph27/chapter/1-Recommendations#recommendation-1-preparing-for-pregnancy-women-with-a-bmi-of-30-or-more</w:t>
      </w:r>
      <w:r w:rsidRPr="0059545B">
        <w:t>.</w:t>
      </w:r>
    </w:p>
    <w:p w:rsidR="00163BC4" w:rsidRPr="0059545B" w:rsidRDefault="00163BC4" w:rsidP="00163BC4">
      <w:pPr>
        <w:pStyle w:val="EndNoteBibliography"/>
        <w:ind w:firstLine="0"/>
      </w:pPr>
      <w:r w:rsidRPr="0059545B">
        <w:t>67.</w:t>
      </w:r>
      <w:r w:rsidRPr="0059545B">
        <w:tab/>
        <w:t xml:space="preserve">Yu Z, Han S, Zhu J, Sun X, Ji C, Guo X. Pre-pregnancy body mass index in relation to infant birth weight and offspring overweight/obesity: a systematic review and meta-analysis. PLoS ONE [Internet]. 2013 PMC3628788]; 8(4):[e61627 p.]. Available from: </w:t>
      </w:r>
      <w:r w:rsidRPr="007F28CC">
        <w:t>https://www.ncbi.nlm.nih.gov/pmc/articles/PMC3628788/pdf/pone.0061627.pdf</w:t>
      </w:r>
      <w:r w:rsidRPr="0059545B">
        <w:t>.</w:t>
      </w:r>
    </w:p>
    <w:p w:rsidR="00163BC4" w:rsidRPr="0059545B" w:rsidRDefault="00163BC4" w:rsidP="00163BC4">
      <w:pPr>
        <w:pStyle w:val="EndNoteBibliography"/>
        <w:ind w:firstLine="0"/>
      </w:pPr>
      <w:r w:rsidRPr="0059545B">
        <w:t>68.</w:t>
      </w:r>
      <w:r w:rsidRPr="0059545B">
        <w:tab/>
        <w:t>Han Z, Mulla S, Beyene J, Liao G, McDonald SD, on behalf of the Knowledge Synthesis G. Maternal underweight and the risk of preterm birth and low birth weight: a systematic review and meta-analyses. International Journal of Epidemiology. 2011;40(1):65-101. doi: 10.1093/ije/dyq195.</w:t>
      </w:r>
    </w:p>
    <w:p w:rsidR="00163BC4" w:rsidRPr="0059545B" w:rsidRDefault="00163BC4" w:rsidP="00163BC4">
      <w:pPr>
        <w:pStyle w:val="EndNoteBibliography"/>
        <w:ind w:firstLine="0"/>
      </w:pPr>
      <w:r w:rsidRPr="0059545B">
        <w:t>69.</w:t>
      </w:r>
      <w:r w:rsidRPr="0059545B">
        <w:tab/>
        <w:t xml:space="preserve">Oteng-Ntim E, Mononen S, Sawicki O, Seed PT, Bick D, Poston L. Interpregnancy weight change and adverse pregnancy outcomes: a systematic review and meta-analysis. BMJ Open [Internet]. 2018; 8(6):[e018778 p.]. Available from: </w:t>
      </w:r>
      <w:r w:rsidRPr="007F28CC">
        <w:t>http://bmjopen.bmj.com/content/bmjopen/8/6/e018778.full.pdf</w:t>
      </w:r>
      <w:r w:rsidRPr="0059545B">
        <w:t>.</w:t>
      </w:r>
    </w:p>
    <w:p w:rsidR="00163BC4" w:rsidRPr="0059545B" w:rsidRDefault="00163BC4" w:rsidP="00163BC4">
      <w:pPr>
        <w:pStyle w:val="EndNoteBibliography"/>
        <w:ind w:firstLine="0"/>
      </w:pPr>
      <w:r w:rsidRPr="0059545B">
        <w:t>70.</w:t>
      </w:r>
      <w:r w:rsidRPr="0059545B">
        <w:tab/>
        <w:t>Bhattacharya S, Campbell DM, Liston WA, Bhattacharya S. Effect of body mass index on pregnancy outcomes in nulliparous women delivering singleton babies. BMC Public Health. 2007;7(1):168. doi: 10.1186/1471-2458-7-168.</w:t>
      </w:r>
    </w:p>
    <w:p w:rsidR="00163BC4" w:rsidRPr="0059545B" w:rsidRDefault="00163BC4" w:rsidP="00163BC4">
      <w:pPr>
        <w:pStyle w:val="EndNoteBibliography"/>
        <w:ind w:firstLine="0"/>
      </w:pPr>
      <w:r w:rsidRPr="0059545B">
        <w:t>71.</w:t>
      </w:r>
      <w:r w:rsidRPr="0059545B">
        <w:tab/>
        <w:t>Edvardsson K, Ivarsson A, Eurenius E, Garvare R, Nyström ME, Small R, et al. Giving offspring a healthy start: parents' experiences of health promotion and lifestyle change during pregnancy and early parenthood. BMC Public Health. 2011;11(1):936. doi: 10.1186/1471-2458-11-936.</w:t>
      </w:r>
    </w:p>
    <w:p w:rsidR="00163BC4" w:rsidRDefault="00163BC4" w:rsidP="00163BC4">
      <w:pPr>
        <w:pStyle w:val="NoSpacing"/>
      </w:pPr>
    </w:p>
    <w:p w:rsidR="00163BC4" w:rsidRDefault="00163BC4" w:rsidP="00163BC4"/>
    <w:p w:rsidR="00522F68" w:rsidRDefault="00522F68"/>
    <w:sectPr w:rsidR="00522F68" w:rsidSect="00DC4995">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12E90">
      <w:pPr>
        <w:spacing w:line="240" w:lineRule="auto"/>
      </w:pPr>
      <w:r>
        <w:separator/>
      </w:r>
    </w:p>
  </w:endnote>
  <w:endnote w:type="continuationSeparator" w:id="0">
    <w:p w:rsidR="00000000" w:rsidRDefault="00412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060824"/>
      <w:docPartObj>
        <w:docPartGallery w:val="Page Numbers (Bottom of Page)"/>
        <w:docPartUnique/>
      </w:docPartObj>
    </w:sdtPr>
    <w:sdtEndPr>
      <w:rPr>
        <w:noProof/>
      </w:rPr>
    </w:sdtEndPr>
    <w:sdtContent>
      <w:p w:rsidR="00DC4995" w:rsidRDefault="00163BC4">
        <w:pPr>
          <w:pStyle w:val="Footer"/>
        </w:pPr>
        <w:r>
          <w:fldChar w:fldCharType="begin"/>
        </w:r>
        <w:r>
          <w:instrText xml:space="preserve"> PAGE   \* MERGEFORMAT </w:instrText>
        </w:r>
        <w:r>
          <w:fldChar w:fldCharType="separate"/>
        </w:r>
        <w:r>
          <w:rPr>
            <w:noProof/>
          </w:rPr>
          <w:t>1</w:t>
        </w:r>
        <w:r>
          <w:rPr>
            <w:noProof/>
          </w:rPr>
          <w:fldChar w:fldCharType="end"/>
        </w:r>
      </w:p>
    </w:sdtContent>
  </w:sdt>
  <w:p w:rsidR="00DC4995" w:rsidRDefault="00412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12E90">
      <w:pPr>
        <w:spacing w:line="240" w:lineRule="auto"/>
      </w:pPr>
      <w:r>
        <w:separator/>
      </w:r>
    </w:p>
  </w:footnote>
  <w:footnote w:type="continuationSeparator" w:id="0">
    <w:p w:rsidR="00000000" w:rsidRDefault="00412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630"/>
    <w:multiLevelType w:val="hybridMultilevel"/>
    <w:tmpl w:val="79649556"/>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 w15:restartNumberingAfterBreak="0">
    <w:nsid w:val="067D1025"/>
    <w:multiLevelType w:val="hybridMultilevel"/>
    <w:tmpl w:val="F98C2C76"/>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 w15:restartNumberingAfterBreak="0">
    <w:nsid w:val="15D537CE"/>
    <w:multiLevelType w:val="hybridMultilevel"/>
    <w:tmpl w:val="80DAC31A"/>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457" w:hanging="360"/>
      </w:pPr>
      <w:rPr>
        <w:rFonts w:ascii="Courier New" w:hAnsi="Courier New" w:cs="Courier New" w:hint="default"/>
      </w:rPr>
    </w:lvl>
    <w:lvl w:ilvl="2" w:tplc="08090005" w:tentative="1">
      <w:start w:val="1"/>
      <w:numFmt w:val="bullet"/>
      <w:lvlText w:val=""/>
      <w:lvlJc w:val="left"/>
      <w:pPr>
        <w:ind w:left="1177" w:hanging="360"/>
      </w:pPr>
      <w:rPr>
        <w:rFonts w:ascii="Wingdings" w:hAnsi="Wingdings" w:hint="default"/>
      </w:rPr>
    </w:lvl>
    <w:lvl w:ilvl="3" w:tplc="08090001" w:tentative="1">
      <w:start w:val="1"/>
      <w:numFmt w:val="bullet"/>
      <w:lvlText w:val=""/>
      <w:lvlJc w:val="left"/>
      <w:pPr>
        <w:ind w:left="1897" w:hanging="360"/>
      </w:pPr>
      <w:rPr>
        <w:rFonts w:ascii="Symbol" w:hAnsi="Symbol" w:hint="default"/>
      </w:rPr>
    </w:lvl>
    <w:lvl w:ilvl="4" w:tplc="08090003" w:tentative="1">
      <w:start w:val="1"/>
      <w:numFmt w:val="bullet"/>
      <w:lvlText w:val="o"/>
      <w:lvlJc w:val="left"/>
      <w:pPr>
        <w:ind w:left="2617" w:hanging="360"/>
      </w:pPr>
      <w:rPr>
        <w:rFonts w:ascii="Courier New" w:hAnsi="Courier New" w:cs="Courier New" w:hint="default"/>
      </w:rPr>
    </w:lvl>
    <w:lvl w:ilvl="5" w:tplc="08090005" w:tentative="1">
      <w:start w:val="1"/>
      <w:numFmt w:val="bullet"/>
      <w:lvlText w:val=""/>
      <w:lvlJc w:val="left"/>
      <w:pPr>
        <w:ind w:left="3337" w:hanging="360"/>
      </w:pPr>
      <w:rPr>
        <w:rFonts w:ascii="Wingdings" w:hAnsi="Wingdings" w:hint="default"/>
      </w:rPr>
    </w:lvl>
    <w:lvl w:ilvl="6" w:tplc="08090001" w:tentative="1">
      <w:start w:val="1"/>
      <w:numFmt w:val="bullet"/>
      <w:lvlText w:val=""/>
      <w:lvlJc w:val="left"/>
      <w:pPr>
        <w:ind w:left="4057" w:hanging="360"/>
      </w:pPr>
      <w:rPr>
        <w:rFonts w:ascii="Symbol" w:hAnsi="Symbol" w:hint="default"/>
      </w:rPr>
    </w:lvl>
    <w:lvl w:ilvl="7" w:tplc="08090003" w:tentative="1">
      <w:start w:val="1"/>
      <w:numFmt w:val="bullet"/>
      <w:lvlText w:val="o"/>
      <w:lvlJc w:val="left"/>
      <w:pPr>
        <w:ind w:left="4777" w:hanging="360"/>
      </w:pPr>
      <w:rPr>
        <w:rFonts w:ascii="Courier New" w:hAnsi="Courier New" w:cs="Courier New" w:hint="default"/>
      </w:rPr>
    </w:lvl>
    <w:lvl w:ilvl="8" w:tplc="08090005" w:tentative="1">
      <w:start w:val="1"/>
      <w:numFmt w:val="bullet"/>
      <w:lvlText w:val=""/>
      <w:lvlJc w:val="left"/>
      <w:pPr>
        <w:ind w:left="5497" w:hanging="360"/>
      </w:pPr>
      <w:rPr>
        <w:rFonts w:ascii="Wingdings" w:hAnsi="Wingdings" w:hint="default"/>
      </w:rPr>
    </w:lvl>
  </w:abstractNum>
  <w:abstractNum w:abstractNumId="3" w15:restartNumberingAfterBreak="0">
    <w:nsid w:val="18191E75"/>
    <w:multiLevelType w:val="hybridMultilevel"/>
    <w:tmpl w:val="D86682C4"/>
    <w:lvl w:ilvl="0" w:tplc="426EFCE6">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D11EEE"/>
    <w:multiLevelType w:val="hybridMultilevel"/>
    <w:tmpl w:val="8F809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D505C4"/>
    <w:multiLevelType w:val="hybridMultilevel"/>
    <w:tmpl w:val="BE4051C6"/>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6" w15:restartNumberingAfterBreak="0">
    <w:nsid w:val="2849218B"/>
    <w:multiLevelType w:val="hybridMultilevel"/>
    <w:tmpl w:val="256C23DC"/>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7" w15:restartNumberingAfterBreak="0">
    <w:nsid w:val="2F481835"/>
    <w:multiLevelType w:val="hybridMultilevel"/>
    <w:tmpl w:val="D8A00190"/>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8" w15:restartNumberingAfterBreak="0">
    <w:nsid w:val="30295E23"/>
    <w:multiLevelType w:val="hybridMultilevel"/>
    <w:tmpl w:val="59A223C2"/>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9" w15:restartNumberingAfterBreak="0">
    <w:nsid w:val="308937C0"/>
    <w:multiLevelType w:val="hybridMultilevel"/>
    <w:tmpl w:val="F3A47684"/>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0" w15:restartNumberingAfterBreak="0">
    <w:nsid w:val="31EC69CB"/>
    <w:multiLevelType w:val="hybridMultilevel"/>
    <w:tmpl w:val="BA7A7346"/>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1" w15:restartNumberingAfterBreak="0">
    <w:nsid w:val="37334C32"/>
    <w:multiLevelType w:val="hybridMultilevel"/>
    <w:tmpl w:val="BD60BF40"/>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2" w15:restartNumberingAfterBreak="0">
    <w:nsid w:val="3D3966FB"/>
    <w:multiLevelType w:val="hybridMultilevel"/>
    <w:tmpl w:val="1276AE62"/>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3" w15:restartNumberingAfterBreak="0">
    <w:nsid w:val="3E9232C7"/>
    <w:multiLevelType w:val="hybridMultilevel"/>
    <w:tmpl w:val="6A92EC6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3EDB28BC"/>
    <w:multiLevelType w:val="hybridMultilevel"/>
    <w:tmpl w:val="DCE6EBEC"/>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5" w15:restartNumberingAfterBreak="0">
    <w:nsid w:val="4AD211EA"/>
    <w:multiLevelType w:val="hybridMultilevel"/>
    <w:tmpl w:val="DAAA61F8"/>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6" w15:restartNumberingAfterBreak="0">
    <w:nsid w:val="4B2876F0"/>
    <w:multiLevelType w:val="hybridMultilevel"/>
    <w:tmpl w:val="E4A0930C"/>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7" w15:restartNumberingAfterBreak="0">
    <w:nsid w:val="4D324257"/>
    <w:multiLevelType w:val="hybridMultilevel"/>
    <w:tmpl w:val="5052CC06"/>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8" w15:restartNumberingAfterBreak="0">
    <w:nsid w:val="59491CE6"/>
    <w:multiLevelType w:val="hybridMultilevel"/>
    <w:tmpl w:val="97A62BEC"/>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9" w15:restartNumberingAfterBreak="0">
    <w:nsid w:val="5CC00274"/>
    <w:multiLevelType w:val="hybridMultilevel"/>
    <w:tmpl w:val="9C8C0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235A2F"/>
    <w:multiLevelType w:val="hybridMultilevel"/>
    <w:tmpl w:val="2D22E8AE"/>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1" w15:restartNumberingAfterBreak="0">
    <w:nsid w:val="64CA6BD5"/>
    <w:multiLevelType w:val="hybridMultilevel"/>
    <w:tmpl w:val="2DD0D458"/>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2" w15:restartNumberingAfterBreak="0">
    <w:nsid w:val="65EE2211"/>
    <w:multiLevelType w:val="hybridMultilevel"/>
    <w:tmpl w:val="57F0F5B4"/>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3" w15:restartNumberingAfterBreak="0">
    <w:nsid w:val="67087486"/>
    <w:multiLevelType w:val="hybridMultilevel"/>
    <w:tmpl w:val="3B940272"/>
    <w:lvl w:ilvl="0" w:tplc="0809000F">
      <w:start w:val="1"/>
      <w:numFmt w:val="decimal"/>
      <w:lvlText w:val="%1."/>
      <w:lvlJc w:val="left"/>
      <w:pPr>
        <w:ind w:left="558" w:hanging="360"/>
      </w:pPr>
    </w:lvl>
    <w:lvl w:ilvl="1" w:tplc="08090019" w:tentative="1">
      <w:start w:val="1"/>
      <w:numFmt w:val="lowerLetter"/>
      <w:lvlText w:val="%2."/>
      <w:lvlJc w:val="left"/>
      <w:pPr>
        <w:ind w:left="1278" w:hanging="360"/>
      </w:pPr>
    </w:lvl>
    <w:lvl w:ilvl="2" w:tplc="0809001B" w:tentative="1">
      <w:start w:val="1"/>
      <w:numFmt w:val="lowerRoman"/>
      <w:lvlText w:val="%3."/>
      <w:lvlJc w:val="right"/>
      <w:pPr>
        <w:ind w:left="1998" w:hanging="180"/>
      </w:pPr>
    </w:lvl>
    <w:lvl w:ilvl="3" w:tplc="0809000F" w:tentative="1">
      <w:start w:val="1"/>
      <w:numFmt w:val="decimal"/>
      <w:lvlText w:val="%4."/>
      <w:lvlJc w:val="left"/>
      <w:pPr>
        <w:ind w:left="2718" w:hanging="360"/>
      </w:pPr>
    </w:lvl>
    <w:lvl w:ilvl="4" w:tplc="08090019" w:tentative="1">
      <w:start w:val="1"/>
      <w:numFmt w:val="lowerLetter"/>
      <w:lvlText w:val="%5."/>
      <w:lvlJc w:val="left"/>
      <w:pPr>
        <w:ind w:left="3438" w:hanging="360"/>
      </w:pPr>
    </w:lvl>
    <w:lvl w:ilvl="5" w:tplc="0809001B" w:tentative="1">
      <w:start w:val="1"/>
      <w:numFmt w:val="lowerRoman"/>
      <w:lvlText w:val="%6."/>
      <w:lvlJc w:val="right"/>
      <w:pPr>
        <w:ind w:left="4158" w:hanging="180"/>
      </w:pPr>
    </w:lvl>
    <w:lvl w:ilvl="6" w:tplc="0809000F" w:tentative="1">
      <w:start w:val="1"/>
      <w:numFmt w:val="decimal"/>
      <w:lvlText w:val="%7."/>
      <w:lvlJc w:val="left"/>
      <w:pPr>
        <w:ind w:left="4878" w:hanging="360"/>
      </w:pPr>
    </w:lvl>
    <w:lvl w:ilvl="7" w:tplc="08090019" w:tentative="1">
      <w:start w:val="1"/>
      <w:numFmt w:val="lowerLetter"/>
      <w:lvlText w:val="%8."/>
      <w:lvlJc w:val="left"/>
      <w:pPr>
        <w:ind w:left="5598" w:hanging="360"/>
      </w:pPr>
    </w:lvl>
    <w:lvl w:ilvl="8" w:tplc="0809001B" w:tentative="1">
      <w:start w:val="1"/>
      <w:numFmt w:val="lowerRoman"/>
      <w:lvlText w:val="%9."/>
      <w:lvlJc w:val="right"/>
      <w:pPr>
        <w:ind w:left="6318" w:hanging="180"/>
      </w:pPr>
    </w:lvl>
  </w:abstractNum>
  <w:abstractNum w:abstractNumId="24" w15:restartNumberingAfterBreak="0">
    <w:nsid w:val="690D7275"/>
    <w:multiLevelType w:val="hybridMultilevel"/>
    <w:tmpl w:val="69EE571E"/>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5" w15:restartNumberingAfterBreak="0">
    <w:nsid w:val="695F287B"/>
    <w:multiLevelType w:val="hybridMultilevel"/>
    <w:tmpl w:val="6C5C608E"/>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6" w15:restartNumberingAfterBreak="0">
    <w:nsid w:val="6AAD3844"/>
    <w:multiLevelType w:val="hybridMultilevel"/>
    <w:tmpl w:val="7D52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B57B7"/>
    <w:multiLevelType w:val="hybridMultilevel"/>
    <w:tmpl w:val="9C7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B5E74"/>
    <w:multiLevelType w:val="hybridMultilevel"/>
    <w:tmpl w:val="83E2F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F54632"/>
    <w:multiLevelType w:val="hybridMultilevel"/>
    <w:tmpl w:val="58E60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B325CC"/>
    <w:multiLevelType w:val="hybridMultilevel"/>
    <w:tmpl w:val="9076A6EE"/>
    <w:lvl w:ilvl="0" w:tplc="D3E209BA">
      <w:start w:val="1"/>
      <w:numFmt w:val="bullet"/>
      <w:lvlText w:val=""/>
      <w:lvlJc w:val="left"/>
      <w:pPr>
        <w:ind w:left="171" w:hanging="171"/>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1" w15:restartNumberingAfterBreak="0">
    <w:nsid w:val="7E3337EB"/>
    <w:multiLevelType w:val="hybridMultilevel"/>
    <w:tmpl w:val="CCF092E0"/>
    <w:lvl w:ilvl="0" w:tplc="426EFCE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3"/>
  </w:num>
  <w:num w:numId="4">
    <w:abstractNumId w:val="4"/>
  </w:num>
  <w:num w:numId="5">
    <w:abstractNumId w:val="28"/>
  </w:num>
  <w:num w:numId="6">
    <w:abstractNumId w:val="2"/>
  </w:num>
  <w:num w:numId="7">
    <w:abstractNumId w:val="6"/>
  </w:num>
  <w:num w:numId="8">
    <w:abstractNumId w:val="8"/>
  </w:num>
  <w:num w:numId="9">
    <w:abstractNumId w:val="25"/>
  </w:num>
  <w:num w:numId="10">
    <w:abstractNumId w:val="24"/>
  </w:num>
  <w:num w:numId="11">
    <w:abstractNumId w:val="12"/>
  </w:num>
  <w:num w:numId="12">
    <w:abstractNumId w:val="17"/>
  </w:num>
  <w:num w:numId="13">
    <w:abstractNumId w:val="16"/>
  </w:num>
  <w:num w:numId="14">
    <w:abstractNumId w:val="14"/>
  </w:num>
  <w:num w:numId="15">
    <w:abstractNumId w:val="15"/>
  </w:num>
  <w:num w:numId="16">
    <w:abstractNumId w:val="18"/>
  </w:num>
  <w:num w:numId="17">
    <w:abstractNumId w:val="21"/>
  </w:num>
  <w:num w:numId="18">
    <w:abstractNumId w:val="1"/>
  </w:num>
  <w:num w:numId="19">
    <w:abstractNumId w:val="10"/>
  </w:num>
  <w:num w:numId="20">
    <w:abstractNumId w:val="30"/>
  </w:num>
  <w:num w:numId="21">
    <w:abstractNumId w:val="0"/>
  </w:num>
  <w:num w:numId="22">
    <w:abstractNumId w:val="5"/>
  </w:num>
  <w:num w:numId="23">
    <w:abstractNumId w:val="22"/>
  </w:num>
  <w:num w:numId="24">
    <w:abstractNumId w:val="7"/>
  </w:num>
  <w:num w:numId="25">
    <w:abstractNumId w:val="9"/>
  </w:num>
  <w:num w:numId="26">
    <w:abstractNumId w:val="11"/>
  </w:num>
  <w:num w:numId="27">
    <w:abstractNumId w:val="20"/>
  </w:num>
  <w:num w:numId="28">
    <w:abstractNumId w:val="3"/>
  </w:num>
  <w:num w:numId="29">
    <w:abstractNumId w:val="31"/>
  </w:num>
  <w:num w:numId="30">
    <w:abstractNumId w:val="19"/>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BC4"/>
    <w:rsid w:val="00163BC4"/>
    <w:rsid w:val="00412E90"/>
    <w:rsid w:val="00522F68"/>
    <w:rsid w:val="00826888"/>
    <w:rsid w:val="008B0FD3"/>
    <w:rsid w:val="00FF3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BEFA-6835-4792-91CE-265604F9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BC4"/>
    <w:pPr>
      <w:widowControl w:val="0"/>
      <w:tabs>
        <w:tab w:val="left" w:pos="198"/>
      </w:tabs>
      <w:spacing w:after="0" w:line="360" w:lineRule="auto"/>
      <w:ind w:firstLine="510"/>
      <w:jc w:val="both"/>
    </w:pPr>
    <w:rPr>
      <w:rFonts w:eastAsiaTheme="minorEastAsia" w:cs="Arial"/>
      <w:spacing w:val="4"/>
      <w:lang w:eastAsia="en-GB"/>
    </w:rPr>
  </w:style>
  <w:style w:type="paragraph" w:styleId="Heading1">
    <w:name w:val="heading 1"/>
    <w:basedOn w:val="NoSpacing"/>
    <w:next w:val="Normal"/>
    <w:link w:val="Heading1Char"/>
    <w:uiPriority w:val="9"/>
    <w:qFormat/>
    <w:rsid w:val="00163BC4"/>
    <w:pPr>
      <w:keepNext/>
      <w:keepLines/>
      <w:spacing w:before="480" w:after="240"/>
      <w:outlineLvl w:val="0"/>
    </w:pPr>
    <w:rPr>
      <w:rFonts w:eastAsiaTheme="majorEastAsia" w:cstheme="majorBidi"/>
      <w:b/>
      <w:bCs/>
      <w:spacing w:val="4"/>
      <w:sz w:val="24"/>
      <w:szCs w:val="28"/>
      <w:lang w:eastAsia="en-GB"/>
    </w:rPr>
  </w:style>
  <w:style w:type="paragraph" w:styleId="Heading2">
    <w:name w:val="heading 2"/>
    <w:basedOn w:val="Normal"/>
    <w:next w:val="Normal"/>
    <w:link w:val="Heading2Char"/>
    <w:uiPriority w:val="9"/>
    <w:unhideWhenUsed/>
    <w:qFormat/>
    <w:rsid w:val="00163BC4"/>
    <w:pPr>
      <w:keepNext/>
      <w:keepLines/>
      <w:spacing w:before="40" w:after="240"/>
      <w:ind w:firstLine="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163BC4"/>
    <w:pPr>
      <w:keepNext/>
      <w:keepLines/>
      <w:spacing w:before="240" w:after="120"/>
      <w:ind w:firstLine="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unhideWhenUsed/>
    <w:qFormat/>
    <w:rsid w:val="00163B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C4"/>
    <w:rPr>
      <w:rFonts w:ascii="Arial" w:eastAsiaTheme="majorEastAsia" w:hAnsi="Arial" w:cstheme="majorBidi"/>
      <w:b/>
      <w:bCs/>
      <w:spacing w:val="4"/>
      <w:sz w:val="24"/>
      <w:szCs w:val="28"/>
      <w:lang w:eastAsia="en-GB"/>
    </w:rPr>
  </w:style>
  <w:style w:type="character" w:customStyle="1" w:styleId="Heading2Char">
    <w:name w:val="Heading 2 Char"/>
    <w:basedOn w:val="DefaultParagraphFont"/>
    <w:link w:val="Heading2"/>
    <w:uiPriority w:val="9"/>
    <w:rsid w:val="00163BC4"/>
    <w:rPr>
      <w:rFonts w:eastAsiaTheme="majorEastAsia" w:cstheme="majorBidi"/>
      <w:b/>
      <w:color w:val="2E74B5" w:themeColor="accent1" w:themeShade="BF"/>
      <w:spacing w:val="4"/>
      <w:szCs w:val="26"/>
      <w:lang w:eastAsia="en-GB"/>
    </w:rPr>
  </w:style>
  <w:style w:type="character" w:customStyle="1" w:styleId="Heading3Char">
    <w:name w:val="Heading 3 Char"/>
    <w:basedOn w:val="DefaultParagraphFont"/>
    <w:link w:val="Heading3"/>
    <w:uiPriority w:val="9"/>
    <w:rsid w:val="00163BC4"/>
    <w:rPr>
      <w:rFonts w:eastAsiaTheme="majorEastAsia" w:cstheme="majorBidi"/>
      <w:b/>
      <w:color w:val="1F4D78" w:themeColor="accent1" w:themeShade="7F"/>
      <w:spacing w:val="4"/>
      <w:szCs w:val="24"/>
      <w:lang w:eastAsia="en-GB"/>
    </w:rPr>
  </w:style>
  <w:style w:type="character" w:customStyle="1" w:styleId="Heading4Char">
    <w:name w:val="Heading 4 Char"/>
    <w:basedOn w:val="DefaultParagraphFont"/>
    <w:link w:val="Heading4"/>
    <w:uiPriority w:val="9"/>
    <w:rsid w:val="00163BC4"/>
    <w:rPr>
      <w:rFonts w:asciiTheme="majorHAnsi" w:eastAsiaTheme="majorEastAsia" w:hAnsiTheme="majorHAnsi" w:cstheme="majorBidi"/>
      <w:i/>
      <w:iCs/>
      <w:color w:val="2E74B5" w:themeColor="accent1" w:themeShade="BF"/>
      <w:spacing w:val="4"/>
      <w:lang w:eastAsia="en-GB"/>
    </w:rPr>
  </w:style>
  <w:style w:type="paragraph" w:styleId="ListParagraph">
    <w:name w:val="List Paragraph"/>
    <w:basedOn w:val="Normal"/>
    <w:uiPriority w:val="34"/>
    <w:qFormat/>
    <w:rsid w:val="00163BC4"/>
    <w:pPr>
      <w:ind w:left="720"/>
      <w:contextualSpacing/>
    </w:pPr>
  </w:style>
  <w:style w:type="paragraph" w:styleId="Caption">
    <w:name w:val="caption"/>
    <w:basedOn w:val="NoSpacing"/>
    <w:next w:val="Normal"/>
    <w:link w:val="CaptionChar"/>
    <w:uiPriority w:val="35"/>
    <w:unhideWhenUsed/>
    <w:qFormat/>
    <w:rsid w:val="00163BC4"/>
    <w:pPr>
      <w:spacing w:after="360"/>
      <w:contextualSpacing/>
    </w:pPr>
    <w:rPr>
      <w:i/>
      <w:iCs/>
      <w:color w:val="44546A" w:themeColor="text2"/>
      <w:sz w:val="16"/>
      <w:szCs w:val="18"/>
    </w:rPr>
  </w:style>
  <w:style w:type="table" w:styleId="TableGrid">
    <w:name w:val="Table Grid"/>
    <w:basedOn w:val="TableNormal"/>
    <w:uiPriority w:val="39"/>
    <w:rsid w:val="00163BC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163BC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3BC4"/>
    <w:rPr>
      <w:rFonts w:ascii="Calibri" w:eastAsiaTheme="minorEastAsia" w:hAnsi="Calibri" w:cs="Calibri"/>
      <w:noProof/>
      <w:spacing w:val="4"/>
      <w:lang w:eastAsia="en-GB"/>
    </w:rPr>
  </w:style>
  <w:style w:type="paragraph" w:styleId="Footer">
    <w:name w:val="footer"/>
    <w:basedOn w:val="Normal"/>
    <w:link w:val="FooterChar"/>
    <w:uiPriority w:val="99"/>
    <w:unhideWhenUsed/>
    <w:rsid w:val="00163BC4"/>
    <w:pPr>
      <w:tabs>
        <w:tab w:val="center" w:pos="4513"/>
        <w:tab w:val="right" w:pos="9026"/>
      </w:tabs>
      <w:spacing w:line="240" w:lineRule="auto"/>
    </w:pPr>
  </w:style>
  <w:style w:type="character" w:customStyle="1" w:styleId="FooterChar">
    <w:name w:val="Footer Char"/>
    <w:basedOn w:val="DefaultParagraphFont"/>
    <w:link w:val="Footer"/>
    <w:uiPriority w:val="99"/>
    <w:rsid w:val="00163BC4"/>
    <w:rPr>
      <w:rFonts w:eastAsiaTheme="minorEastAsia" w:cs="Arial"/>
      <w:spacing w:val="4"/>
      <w:lang w:eastAsia="en-GB"/>
    </w:rPr>
  </w:style>
  <w:style w:type="character" w:styleId="LineNumber">
    <w:name w:val="line number"/>
    <w:basedOn w:val="DefaultParagraphFont"/>
    <w:uiPriority w:val="99"/>
    <w:semiHidden/>
    <w:unhideWhenUsed/>
    <w:rsid w:val="00163BC4"/>
  </w:style>
  <w:style w:type="paragraph" w:customStyle="1" w:styleId="EndNoteBibliographyTitle">
    <w:name w:val="EndNote Bibliography Title"/>
    <w:basedOn w:val="Normal"/>
    <w:link w:val="EndNoteBibliographyTitleChar"/>
    <w:rsid w:val="00163BC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63BC4"/>
    <w:rPr>
      <w:rFonts w:ascii="Calibri" w:eastAsiaTheme="minorEastAsia" w:hAnsi="Calibri" w:cs="Calibri"/>
      <w:noProof/>
      <w:spacing w:val="4"/>
      <w:lang w:eastAsia="en-GB"/>
    </w:rPr>
  </w:style>
  <w:style w:type="character" w:styleId="Hyperlink">
    <w:name w:val="Hyperlink"/>
    <w:basedOn w:val="DefaultParagraphFont"/>
    <w:uiPriority w:val="99"/>
    <w:unhideWhenUsed/>
    <w:rsid w:val="00163BC4"/>
    <w:rPr>
      <w:color w:val="0563C1" w:themeColor="hyperlink"/>
      <w:u w:val="single"/>
    </w:rPr>
  </w:style>
  <w:style w:type="character" w:styleId="PlaceholderText">
    <w:name w:val="Placeholder Text"/>
    <w:basedOn w:val="DefaultParagraphFont"/>
    <w:uiPriority w:val="99"/>
    <w:semiHidden/>
    <w:rsid w:val="00163BC4"/>
    <w:rPr>
      <w:color w:val="808080"/>
    </w:rPr>
  </w:style>
  <w:style w:type="paragraph" w:styleId="NoSpacing">
    <w:name w:val="No Spacing"/>
    <w:link w:val="NoSpacingChar"/>
    <w:uiPriority w:val="1"/>
    <w:qFormat/>
    <w:rsid w:val="00163BC4"/>
    <w:pPr>
      <w:spacing w:after="0" w:line="240" w:lineRule="auto"/>
    </w:pPr>
    <w:rPr>
      <w:rFonts w:ascii="Arial" w:eastAsiaTheme="minorEastAsia" w:hAnsi="Arial"/>
      <w:sz w:val="20"/>
      <w:lang w:eastAsia="zh-CN"/>
    </w:rPr>
  </w:style>
  <w:style w:type="paragraph" w:customStyle="1" w:styleId="Default">
    <w:name w:val="Default"/>
    <w:rsid w:val="00163BC4"/>
    <w:pPr>
      <w:autoSpaceDE w:val="0"/>
      <w:autoSpaceDN w:val="0"/>
      <w:adjustRightInd w:val="0"/>
      <w:spacing w:after="0" w:line="240" w:lineRule="auto"/>
    </w:pPr>
    <w:rPr>
      <w:rFonts w:ascii="Lucida Sans" w:hAnsi="Lucida Sans" w:cs="Lucida Sans"/>
      <w:color w:val="000000"/>
      <w:sz w:val="24"/>
      <w:szCs w:val="24"/>
    </w:rPr>
  </w:style>
  <w:style w:type="paragraph" w:styleId="Header">
    <w:name w:val="header"/>
    <w:basedOn w:val="Normal"/>
    <w:link w:val="HeaderChar"/>
    <w:uiPriority w:val="99"/>
    <w:unhideWhenUsed/>
    <w:rsid w:val="00163BC4"/>
    <w:pPr>
      <w:tabs>
        <w:tab w:val="center" w:pos="4513"/>
        <w:tab w:val="right" w:pos="9026"/>
      </w:tabs>
      <w:spacing w:line="240" w:lineRule="auto"/>
    </w:pPr>
  </w:style>
  <w:style w:type="character" w:customStyle="1" w:styleId="HeaderChar">
    <w:name w:val="Header Char"/>
    <w:basedOn w:val="DefaultParagraphFont"/>
    <w:link w:val="Header"/>
    <w:uiPriority w:val="99"/>
    <w:rsid w:val="00163BC4"/>
    <w:rPr>
      <w:rFonts w:eastAsiaTheme="minorEastAsia" w:cs="Arial"/>
      <w:spacing w:val="4"/>
      <w:lang w:eastAsia="en-GB"/>
    </w:rPr>
  </w:style>
  <w:style w:type="paragraph" w:styleId="BalloonText">
    <w:name w:val="Balloon Text"/>
    <w:basedOn w:val="Normal"/>
    <w:link w:val="BalloonTextChar"/>
    <w:uiPriority w:val="99"/>
    <w:semiHidden/>
    <w:unhideWhenUsed/>
    <w:rsid w:val="00163B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BC4"/>
    <w:rPr>
      <w:rFonts w:ascii="Segoe UI" w:eastAsiaTheme="minorEastAsia" w:hAnsi="Segoe UI" w:cs="Segoe UI"/>
      <w:spacing w:val="4"/>
      <w:sz w:val="18"/>
      <w:szCs w:val="18"/>
      <w:lang w:eastAsia="en-GB"/>
    </w:rPr>
  </w:style>
  <w:style w:type="paragraph" w:styleId="NormalWeb">
    <w:name w:val="Normal (Web)"/>
    <w:basedOn w:val="Normal"/>
    <w:uiPriority w:val="99"/>
    <w:unhideWhenUsed/>
    <w:rsid w:val="00163BC4"/>
    <w:pPr>
      <w:spacing w:before="100" w:beforeAutospacing="1" w:after="100" w:afterAutospacing="1" w:line="240" w:lineRule="auto"/>
    </w:pPr>
    <w:rPr>
      <w:rFonts w:ascii="Times New Roman" w:eastAsia="Times New Roman" w:hAnsi="Times New Roman" w:cs="Times New Roman"/>
      <w:sz w:val="24"/>
      <w:szCs w:val="24"/>
    </w:rPr>
  </w:style>
  <w:style w:type="table" w:styleId="GridTable5Dark-Accent3">
    <w:name w:val="Grid Table 5 Dark Accent 3"/>
    <w:basedOn w:val="TableNormal"/>
    <w:uiPriority w:val="50"/>
    <w:rsid w:val="00163B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2">
    <w:name w:val="List Table 2"/>
    <w:basedOn w:val="TableNormal"/>
    <w:uiPriority w:val="47"/>
    <w:rsid w:val="00163B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163BC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
    <w:name w:val="List Table 3"/>
    <w:basedOn w:val="TableNormal"/>
    <w:uiPriority w:val="48"/>
    <w:rsid w:val="00163B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63B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63B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Caption"/>
    <w:link w:val="tabletitleChar"/>
    <w:qFormat/>
    <w:rsid w:val="00163BC4"/>
    <w:pPr>
      <w:spacing w:after="0"/>
    </w:pPr>
    <w:rPr>
      <w:sz w:val="20"/>
      <w:szCs w:val="20"/>
    </w:rPr>
  </w:style>
  <w:style w:type="table" w:styleId="ListTable2-Accent3">
    <w:name w:val="List Table 2 Accent 3"/>
    <w:basedOn w:val="TableNormal"/>
    <w:uiPriority w:val="47"/>
    <w:rsid w:val="00163B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SpacingChar">
    <w:name w:val="No Spacing Char"/>
    <w:basedOn w:val="DefaultParagraphFont"/>
    <w:link w:val="NoSpacing"/>
    <w:uiPriority w:val="1"/>
    <w:rsid w:val="00163BC4"/>
    <w:rPr>
      <w:rFonts w:ascii="Arial" w:eastAsiaTheme="minorEastAsia" w:hAnsi="Arial"/>
      <w:sz w:val="20"/>
      <w:lang w:eastAsia="zh-CN"/>
    </w:rPr>
  </w:style>
  <w:style w:type="character" w:customStyle="1" w:styleId="CaptionChar">
    <w:name w:val="Caption Char"/>
    <w:basedOn w:val="NoSpacingChar"/>
    <w:link w:val="Caption"/>
    <w:uiPriority w:val="35"/>
    <w:rsid w:val="00163BC4"/>
    <w:rPr>
      <w:rFonts w:ascii="Arial" w:eastAsiaTheme="minorEastAsia" w:hAnsi="Arial"/>
      <w:i/>
      <w:iCs/>
      <w:color w:val="44546A" w:themeColor="text2"/>
      <w:sz w:val="16"/>
      <w:szCs w:val="18"/>
      <w:lang w:eastAsia="zh-CN"/>
    </w:rPr>
  </w:style>
  <w:style w:type="character" w:customStyle="1" w:styleId="tabletitleChar">
    <w:name w:val="table title Char"/>
    <w:basedOn w:val="CaptionChar"/>
    <w:link w:val="tabletitle"/>
    <w:rsid w:val="00163BC4"/>
    <w:rPr>
      <w:rFonts w:ascii="Arial" w:eastAsiaTheme="minorEastAsia" w:hAnsi="Arial"/>
      <w:i/>
      <w:iCs/>
      <w:color w:val="44546A" w:themeColor="text2"/>
      <w:sz w:val="20"/>
      <w:szCs w:val="20"/>
      <w:lang w:eastAsia="zh-CN"/>
    </w:rPr>
  </w:style>
  <w:style w:type="paragraph" w:styleId="FootnoteText">
    <w:name w:val="footnote text"/>
    <w:basedOn w:val="Normal"/>
    <w:link w:val="FootnoteTextChar"/>
    <w:uiPriority w:val="99"/>
    <w:semiHidden/>
    <w:unhideWhenUsed/>
    <w:rsid w:val="00163BC4"/>
    <w:pPr>
      <w:spacing w:line="240" w:lineRule="auto"/>
    </w:pPr>
    <w:rPr>
      <w:szCs w:val="20"/>
    </w:rPr>
  </w:style>
  <w:style w:type="character" w:customStyle="1" w:styleId="FootnoteTextChar">
    <w:name w:val="Footnote Text Char"/>
    <w:basedOn w:val="DefaultParagraphFont"/>
    <w:link w:val="FootnoteText"/>
    <w:uiPriority w:val="99"/>
    <w:semiHidden/>
    <w:rsid w:val="00163BC4"/>
    <w:rPr>
      <w:rFonts w:eastAsiaTheme="minorEastAsia" w:cs="Arial"/>
      <w:spacing w:val="4"/>
      <w:szCs w:val="20"/>
      <w:lang w:eastAsia="en-GB"/>
    </w:rPr>
  </w:style>
  <w:style w:type="character" w:styleId="FootnoteReference">
    <w:name w:val="footnote reference"/>
    <w:basedOn w:val="DefaultParagraphFont"/>
    <w:uiPriority w:val="99"/>
    <w:semiHidden/>
    <w:unhideWhenUsed/>
    <w:rsid w:val="00163BC4"/>
    <w:rPr>
      <w:vertAlign w:val="superscript"/>
    </w:rPr>
  </w:style>
  <w:style w:type="paragraph" w:styleId="TOCHeading">
    <w:name w:val="TOC Heading"/>
    <w:basedOn w:val="Heading1"/>
    <w:next w:val="Normal"/>
    <w:uiPriority w:val="39"/>
    <w:unhideWhenUsed/>
    <w:qFormat/>
    <w:rsid w:val="00163BC4"/>
    <w:pPr>
      <w:spacing w:before="240" w:after="0" w:line="259" w:lineRule="auto"/>
      <w:outlineLvl w:val="9"/>
    </w:pPr>
    <w:rPr>
      <w:rFonts w:asciiTheme="majorHAnsi" w:hAnsiTheme="majorHAnsi"/>
      <w:b w:val="0"/>
      <w:bCs w:val="0"/>
      <w:color w:val="2E74B5" w:themeColor="accent1" w:themeShade="BF"/>
      <w:spacing w:val="0"/>
      <w:sz w:val="32"/>
      <w:szCs w:val="32"/>
      <w:lang w:val="en-US" w:eastAsia="en-US"/>
    </w:rPr>
  </w:style>
  <w:style w:type="paragraph" w:styleId="TOC3">
    <w:name w:val="toc 3"/>
    <w:basedOn w:val="Normal"/>
    <w:next w:val="Normal"/>
    <w:autoRedefine/>
    <w:uiPriority w:val="39"/>
    <w:unhideWhenUsed/>
    <w:rsid w:val="00163BC4"/>
    <w:pPr>
      <w:tabs>
        <w:tab w:val="clear" w:pos="198"/>
      </w:tabs>
      <w:spacing w:after="100"/>
      <w:ind w:left="400"/>
    </w:pPr>
  </w:style>
  <w:style w:type="paragraph" w:styleId="TOC2">
    <w:name w:val="toc 2"/>
    <w:basedOn w:val="Normal"/>
    <w:next w:val="Normal"/>
    <w:autoRedefine/>
    <w:uiPriority w:val="39"/>
    <w:unhideWhenUsed/>
    <w:rsid w:val="00163BC4"/>
    <w:pPr>
      <w:tabs>
        <w:tab w:val="clear" w:pos="198"/>
      </w:tabs>
      <w:spacing w:after="100"/>
      <w:ind w:left="200"/>
    </w:pPr>
  </w:style>
  <w:style w:type="paragraph" w:styleId="TOC1">
    <w:name w:val="toc 1"/>
    <w:basedOn w:val="Normal"/>
    <w:next w:val="Normal"/>
    <w:autoRedefine/>
    <w:uiPriority w:val="39"/>
    <w:unhideWhenUsed/>
    <w:rsid w:val="00163BC4"/>
    <w:pPr>
      <w:tabs>
        <w:tab w:val="clear" w:pos="198"/>
      </w:tabs>
      <w:spacing w:after="100"/>
    </w:pPr>
  </w:style>
  <w:style w:type="character" w:styleId="FollowedHyperlink">
    <w:name w:val="FollowedHyperlink"/>
    <w:basedOn w:val="DefaultParagraphFont"/>
    <w:uiPriority w:val="99"/>
    <w:semiHidden/>
    <w:unhideWhenUsed/>
    <w:rsid w:val="00163BC4"/>
    <w:rPr>
      <w:color w:val="954F72" w:themeColor="followedHyperlink"/>
      <w:u w:val="single"/>
    </w:rPr>
  </w:style>
  <w:style w:type="character" w:styleId="CommentReference">
    <w:name w:val="annotation reference"/>
    <w:basedOn w:val="DefaultParagraphFont"/>
    <w:uiPriority w:val="99"/>
    <w:semiHidden/>
    <w:unhideWhenUsed/>
    <w:rsid w:val="00163BC4"/>
    <w:rPr>
      <w:sz w:val="16"/>
      <w:szCs w:val="16"/>
    </w:rPr>
  </w:style>
  <w:style w:type="paragraph" w:styleId="CommentText">
    <w:name w:val="annotation text"/>
    <w:basedOn w:val="Normal"/>
    <w:link w:val="CommentTextChar"/>
    <w:uiPriority w:val="99"/>
    <w:semiHidden/>
    <w:unhideWhenUsed/>
    <w:rsid w:val="00163BC4"/>
    <w:pPr>
      <w:spacing w:line="240" w:lineRule="auto"/>
    </w:pPr>
    <w:rPr>
      <w:sz w:val="20"/>
      <w:szCs w:val="20"/>
    </w:rPr>
  </w:style>
  <w:style w:type="character" w:customStyle="1" w:styleId="CommentTextChar">
    <w:name w:val="Comment Text Char"/>
    <w:basedOn w:val="DefaultParagraphFont"/>
    <w:link w:val="CommentText"/>
    <w:uiPriority w:val="99"/>
    <w:semiHidden/>
    <w:rsid w:val="00163BC4"/>
    <w:rPr>
      <w:rFonts w:eastAsiaTheme="minorEastAsia" w:cs="Arial"/>
      <w:spacing w:val="4"/>
      <w:sz w:val="20"/>
      <w:szCs w:val="20"/>
      <w:lang w:eastAsia="en-GB"/>
    </w:rPr>
  </w:style>
  <w:style w:type="paragraph" w:styleId="CommentSubject">
    <w:name w:val="annotation subject"/>
    <w:basedOn w:val="CommentText"/>
    <w:next w:val="CommentText"/>
    <w:link w:val="CommentSubjectChar"/>
    <w:uiPriority w:val="99"/>
    <w:semiHidden/>
    <w:unhideWhenUsed/>
    <w:rsid w:val="00163BC4"/>
    <w:rPr>
      <w:b/>
      <w:bCs/>
    </w:rPr>
  </w:style>
  <w:style w:type="character" w:customStyle="1" w:styleId="CommentSubjectChar">
    <w:name w:val="Comment Subject Char"/>
    <w:basedOn w:val="CommentTextChar"/>
    <w:link w:val="CommentSubject"/>
    <w:uiPriority w:val="99"/>
    <w:semiHidden/>
    <w:rsid w:val="00163BC4"/>
    <w:rPr>
      <w:rFonts w:eastAsiaTheme="minorEastAsia" w:cs="Arial"/>
      <w:b/>
      <w:bCs/>
      <w:spacing w:val="4"/>
      <w:sz w:val="20"/>
      <w:szCs w:val="20"/>
      <w:lang w:eastAsia="en-GB"/>
    </w:rPr>
  </w:style>
  <w:style w:type="paragraph" w:customStyle="1" w:styleId="Lijstalinea">
    <w:name w:val="Lijstalinea"/>
    <w:basedOn w:val="Normal"/>
    <w:qFormat/>
    <w:rsid w:val="00163BC4"/>
    <w:pPr>
      <w:widowControl/>
      <w:tabs>
        <w:tab w:val="clear" w:pos="198"/>
      </w:tabs>
      <w:spacing w:after="200" w:line="276" w:lineRule="auto"/>
      <w:ind w:left="720" w:firstLine="0"/>
      <w:contextualSpacing/>
      <w:jc w:val="left"/>
    </w:pPr>
    <w:rPr>
      <w:rFonts w:ascii="Calibri" w:eastAsia="Calibri" w:hAnsi="Calibri" w:cs="Times New Roman"/>
      <w:spacing w:val="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8358</Words>
  <Characters>47641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G.K.B.</dc:creator>
  <cp:keywords/>
  <dc:description/>
  <cp:lastModifiedBy>Lucas N.</cp:lastModifiedBy>
  <cp:revision>2</cp:revision>
  <dcterms:created xsi:type="dcterms:W3CDTF">2019-11-26T15:26:00Z</dcterms:created>
  <dcterms:modified xsi:type="dcterms:W3CDTF">2019-11-26T15:26:00Z</dcterms:modified>
</cp:coreProperties>
</file>