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013CE" w14:textId="77777777" w:rsidR="00372DFA" w:rsidRDefault="00936D25">
      <w:bookmarkStart w:id="0" w:name="_GoBack"/>
      <w:bookmarkEnd w:id="0"/>
      <w:r>
        <w:t xml:space="preserve"> </w:t>
      </w:r>
    </w:p>
    <w:p w14:paraId="3494B6E7" w14:textId="77777777" w:rsidR="00372DFA" w:rsidRDefault="00372DFA"/>
    <w:p w14:paraId="4839996E" w14:textId="77777777" w:rsidR="00372DFA" w:rsidRDefault="00372DFA"/>
    <w:p w14:paraId="64BFDECF" w14:textId="7C03D4CE" w:rsidR="0071365B" w:rsidRPr="00470C06" w:rsidRDefault="00AF50FA" w:rsidP="00923560">
      <w:pPr>
        <w:jc w:val="both"/>
        <w:rPr>
          <w:rFonts w:ascii="Arial" w:hAnsi="Arial" w:cs="Arial"/>
          <w:b/>
        </w:rPr>
      </w:pPr>
      <w:r w:rsidRPr="00470C06">
        <w:rPr>
          <w:rFonts w:ascii="Arial" w:hAnsi="Arial" w:cs="Arial"/>
          <w:b/>
        </w:rPr>
        <w:t>Sustainable bioenergy</w:t>
      </w:r>
      <w:r w:rsidR="00DB0DDF" w:rsidRPr="00470C06">
        <w:rPr>
          <w:rFonts w:ascii="Arial" w:hAnsi="Arial" w:cs="Arial"/>
          <w:b/>
        </w:rPr>
        <w:t xml:space="preserve"> </w:t>
      </w:r>
      <w:r w:rsidR="00FA634D" w:rsidRPr="00470C06">
        <w:rPr>
          <w:rFonts w:ascii="Arial" w:hAnsi="Arial" w:cs="Arial"/>
          <w:b/>
        </w:rPr>
        <w:t xml:space="preserve">for </w:t>
      </w:r>
      <w:r w:rsidR="00CC51D6" w:rsidRPr="00470C06">
        <w:rPr>
          <w:rFonts w:ascii="Arial" w:hAnsi="Arial" w:cs="Arial"/>
          <w:b/>
        </w:rPr>
        <w:t>climate mitigation</w:t>
      </w:r>
      <w:r w:rsidR="00BE1BC9" w:rsidRPr="00470C06">
        <w:rPr>
          <w:rFonts w:ascii="Arial" w:hAnsi="Arial" w:cs="Arial"/>
          <w:b/>
        </w:rPr>
        <w:t xml:space="preserve"> –</w:t>
      </w:r>
      <w:r w:rsidR="00F2419E">
        <w:rPr>
          <w:rFonts w:ascii="Arial" w:hAnsi="Arial" w:cs="Arial"/>
          <w:b/>
        </w:rPr>
        <w:t xml:space="preserve"> </w:t>
      </w:r>
      <w:r w:rsidR="00470C06" w:rsidRPr="00470C06">
        <w:rPr>
          <w:rFonts w:ascii="Arial" w:hAnsi="Arial" w:cs="Arial"/>
          <w:b/>
        </w:rPr>
        <w:t xml:space="preserve">developing </w:t>
      </w:r>
      <w:r w:rsidR="00FA634D" w:rsidRPr="00470C06">
        <w:rPr>
          <w:rFonts w:ascii="Arial" w:hAnsi="Arial" w:cs="Arial"/>
          <w:b/>
        </w:rPr>
        <w:t>drought tolerant trees and grasses</w:t>
      </w:r>
    </w:p>
    <w:p w14:paraId="2FD3A0D7" w14:textId="630FD9A8" w:rsidR="00082879" w:rsidRPr="00614991" w:rsidRDefault="00082879" w:rsidP="00923560">
      <w:pPr>
        <w:jc w:val="both"/>
        <w:rPr>
          <w:rFonts w:ascii="Arial" w:hAnsi="Arial" w:cs="Arial"/>
          <w:vertAlign w:val="superscript"/>
        </w:rPr>
      </w:pPr>
      <w:r w:rsidRPr="00470C06">
        <w:rPr>
          <w:rFonts w:ascii="Arial" w:hAnsi="Arial" w:cs="Arial"/>
        </w:rPr>
        <w:t>G</w:t>
      </w:r>
      <w:r w:rsidR="00F2419E">
        <w:rPr>
          <w:rFonts w:ascii="Arial" w:hAnsi="Arial" w:cs="Arial"/>
        </w:rPr>
        <w:t xml:space="preserve"> </w:t>
      </w:r>
      <w:r w:rsidRPr="00470C06">
        <w:rPr>
          <w:rFonts w:ascii="Arial" w:hAnsi="Arial" w:cs="Arial"/>
        </w:rPr>
        <w:t>Taylor</w:t>
      </w:r>
      <w:r w:rsidR="008510A7" w:rsidRPr="00470C06">
        <w:rPr>
          <w:rFonts w:ascii="Arial" w:hAnsi="Arial" w:cs="Arial"/>
          <w:vertAlign w:val="superscript"/>
        </w:rPr>
        <w:t>1,2</w:t>
      </w:r>
      <w:r w:rsidR="00470C06">
        <w:rPr>
          <w:rFonts w:ascii="Arial" w:hAnsi="Arial" w:cs="Arial"/>
          <w:vertAlign w:val="superscript"/>
        </w:rPr>
        <w:t>,4</w:t>
      </w:r>
      <w:r w:rsidR="005376D0">
        <w:rPr>
          <w:rFonts w:ascii="Arial" w:hAnsi="Arial" w:cs="Arial"/>
        </w:rPr>
        <w:t>,</w:t>
      </w:r>
      <w:r w:rsidR="00F2419E">
        <w:rPr>
          <w:rFonts w:ascii="Arial" w:hAnsi="Arial" w:cs="Arial"/>
        </w:rPr>
        <w:t xml:space="preserve"> </w:t>
      </w:r>
      <w:r w:rsidRPr="00470C06">
        <w:rPr>
          <w:rFonts w:ascii="Arial" w:hAnsi="Arial" w:cs="Arial"/>
        </w:rPr>
        <w:t>I</w:t>
      </w:r>
      <w:r w:rsidR="004F3393">
        <w:rPr>
          <w:rFonts w:ascii="Arial" w:hAnsi="Arial" w:cs="Arial"/>
        </w:rPr>
        <w:t>S</w:t>
      </w:r>
      <w:r w:rsidRPr="00470C06">
        <w:rPr>
          <w:rFonts w:ascii="Arial" w:hAnsi="Arial" w:cs="Arial"/>
        </w:rPr>
        <w:t xml:space="preserve"> Donnison</w:t>
      </w:r>
      <w:r w:rsidR="008510A7" w:rsidRPr="00470C06">
        <w:rPr>
          <w:rFonts w:ascii="Arial" w:hAnsi="Arial" w:cs="Arial"/>
          <w:vertAlign w:val="superscript"/>
        </w:rPr>
        <w:t>3</w:t>
      </w:r>
      <w:r w:rsidR="005376D0">
        <w:rPr>
          <w:rFonts w:ascii="Arial" w:hAnsi="Arial" w:cs="Arial"/>
        </w:rPr>
        <w:t>, D Murphy-Bokern</w:t>
      </w:r>
      <w:r w:rsidR="00614991">
        <w:rPr>
          <w:rFonts w:ascii="Arial" w:hAnsi="Arial" w:cs="Arial"/>
          <w:vertAlign w:val="superscript"/>
        </w:rPr>
        <w:t>4</w:t>
      </w:r>
      <w:r w:rsidR="005376D0">
        <w:rPr>
          <w:rFonts w:ascii="Arial" w:hAnsi="Arial" w:cs="Arial"/>
        </w:rPr>
        <w:t>, M Morgante</w:t>
      </w:r>
      <w:r w:rsidR="00614991">
        <w:rPr>
          <w:rFonts w:ascii="Arial" w:hAnsi="Arial" w:cs="Arial"/>
          <w:vertAlign w:val="superscript"/>
        </w:rPr>
        <w:t>5</w:t>
      </w:r>
      <w:r w:rsidR="005376D0">
        <w:rPr>
          <w:rFonts w:ascii="Arial" w:hAnsi="Arial" w:cs="Arial"/>
        </w:rPr>
        <w:t xml:space="preserve">, </w:t>
      </w:r>
      <w:r w:rsidR="004F3393" w:rsidRPr="00B80D32">
        <w:rPr>
          <w:rFonts w:ascii="Arial" w:hAnsi="Arial" w:cs="Arial"/>
        </w:rPr>
        <w:t>M</w:t>
      </w:r>
      <w:r w:rsidR="00614991" w:rsidRPr="00B80D32">
        <w:rPr>
          <w:rFonts w:ascii="Arial" w:hAnsi="Arial" w:cs="Arial"/>
        </w:rPr>
        <w:t>-</w:t>
      </w:r>
      <w:r w:rsidR="00E40669" w:rsidRPr="00B80D32">
        <w:rPr>
          <w:rFonts w:ascii="Arial" w:hAnsi="Arial" w:cs="Arial"/>
        </w:rPr>
        <w:t>B Bogeat-Triboulo</w:t>
      </w:r>
      <w:r w:rsidR="004F3393" w:rsidRPr="00B80D32">
        <w:rPr>
          <w:rFonts w:ascii="Arial" w:hAnsi="Arial" w:cs="Arial"/>
        </w:rPr>
        <w:t>t</w:t>
      </w:r>
      <w:r w:rsidR="00614991" w:rsidRPr="00B80D32">
        <w:rPr>
          <w:rFonts w:ascii="Arial" w:hAnsi="Arial" w:cs="Arial"/>
          <w:vertAlign w:val="superscript"/>
        </w:rPr>
        <w:t>6</w:t>
      </w:r>
      <w:r w:rsidR="004F3393" w:rsidRPr="00B80D32">
        <w:rPr>
          <w:rFonts w:ascii="Arial" w:hAnsi="Arial" w:cs="Arial"/>
        </w:rPr>
        <w:t xml:space="preserve">, </w:t>
      </w:r>
      <w:r w:rsidR="005376D0">
        <w:rPr>
          <w:rFonts w:ascii="Arial" w:hAnsi="Arial" w:cs="Arial"/>
        </w:rPr>
        <w:t>R</w:t>
      </w:r>
      <w:r w:rsidR="004F3393">
        <w:rPr>
          <w:rFonts w:ascii="Arial" w:hAnsi="Arial" w:cs="Arial"/>
        </w:rPr>
        <w:t xml:space="preserve"> Bhalerao</w:t>
      </w:r>
      <w:r w:rsidR="00614991">
        <w:rPr>
          <w:rFonts w:ascii="Arial" w:hAnsi="Arial" w:cs="Arial"/>
          <w:vertAlign w:val="superscript"/>
        </w:rPr>
        <w:t>7</w:t>
      </w:r>
      <w:r w:rsidR="004F3393">
        <w:rPr>
          <w:rFonts w:ascii="Arial" w:hAnsi="Arial" w:cs="Arial"/>
        </w:rPr>
        <w:t>, M Hertzberg</w:t>
      </w:r>
      <w:r w:rsidR="00614991">
        <w:rPr>
          <w:rFonts w:ascii="Arial" w:hAnsi="Arial" w:cs="Arial"/>
          <w:vertAlign w:val="superscript"/>
        </w:rPr>
        <w:t>8</w:t>
      </w:r>
      <w:r w:rsidR="004F3393">
        <w:rPr>
          <w:rFonts w:ascii="Arial" w:hAnsi="Arial" w:cs="Arial"/>
        </w:rPr>
        <w:t>, A</w:t>
      </w:r>
      <w:r w:rsidR="005376D0">
        <w:rPr>
          <w:rFonts w:ascii="Arial" w:hAnsi="Arial" w:cs="Arial"/>
        </w:rPr>
        <w:t xml:space="preserve"> Polle</w:t>
      </w:r>
      <w:r w:rsidR="00614991">
        <w:rPr>
          <w:rFonts w:ascii="Arial" w:hAnsi="Arial" w:cs="Arial"/>
          <w:vertAlign w:val="superscript"/>
        </w:rPr>
        <w:t>9</w:t>
      </w:r>
      <w:r w:rsidR="005376D0">
        <w:rPr>
          <w:rFonts w:ascii="Arial" w:hAnsi="Arial" w:cs="Arial"/>
        </w:rPr>
        <w:t>,</w:t>
      </w:r>
      <w:r w:rsidR="004F3393">
        <w:rPr>
          <w:rFonts w:ascii="Arial" w:hAnsi="Arial" w:cs="Arial"/>
        </w:rPr>
        <w:t xml:space="preserve"> A Harfouche</w:t>
      </w:r>
      <w:r w:rsidR="00614991">
        <w:rPr>
          <w:rFonts w:ascii="Arial" w:hAnsi="Arial" w:cs="Arial"/>
          <w:vertAlign w:val="superscript"/>
        </w:rPr>
        <w:t>10</w:t>
      </w:r>
      <w:r w:rsidR="004F3393">
        <w:rPr>
          <w:rFonts w:ascii="Arial" w:hAnsi="Arial" w:cs="Arial"/>
        </w:rPr>
        <w:t>,</w:t>
      </w:r>
      <w:r w:rsidR="005376D0">
        <w:rPr>
          <w:rFonts w:ascii="Arial" w:hAnsi="Arial" w:cs="Arial"/>
        </w:rPr>
        <w:t xml:space="preserve"> </w:t>
      </w:r>
      <w:r w:rsidR="00614991">
        <w:rPr>
          <w:rFonts w:ascii="Arial" w:hAnsi="Arial" w:cs="Arial"/>
        </w:rPr>
        <w:t>F Alasia</w:t>
      </w:r>
      <w:r w:rsidR="00614991">
        <w:rPr>
          <w:rFonts w:ascii="Arial" w:hAnsi="Arial" w:cs="Arial"/>
          <w:vertAlign w:val="superscript"/>
        </w:rPr>
        <w:t>11</w:t>
      </w:r>
      <w:r w:rsidR="00614991">
        <w:rPr>
          <w:rFonts w:ascii="Arial" w:hAnsi="Arial" w:cs="Arial"/>
        </w:rPr>
        <w:t>, V Petoussi</w:t>
      </w:r>
      <w:r w:rsidR="00614991">
        <w:rPr>
          <w:rFonts w:ascii="Arial" w:hAnsi="Arial" w:cs="Arial"/>
          <w:vertAlign w:val="superscript"/>
        </w:rPr>
        <w:t>12</w:t>
      </w:r>
      <w:r w:rsidR="00614991">
        <w:rPr>
          <w:rFonts w:ascii="Arial" w:hAnsi="Arial" w:cs="Arial"/>
        </w:rPr>
        <w:t>, D Trebbi</w:t>
      </w:r>
      <w:r w:rsidR="00614991">
        <w:rPr>
          <w:rFonts w:ascii="Arial" w:hAnsi="Arial" w:cs="Arial"/>
          <w:vertAlign w:val="superscript"/>
        </w:rPr>
        <w:t>13</w:t>
      </w:r>
      <w:r w:rsidR="00614991">
        <w:rPr>
          <w:rFonts w:ascii="Arial" w:hAnsi="Arial" w:cs="Arial"/>
        </w:rPr>
        <w:t>,</w:t>
      </w:r>
      <w:r w:rsidR="006D1999">
        <w:rPr>
          <w:rFonts w:ascii="Arial" w:hAnsi="Arial" w:cs="Arial"/>
        </w:rPr>
        <w:t xml:space="preserve"> K Schwarz</w:t>
      </w:r>
      <w:r w:rsidR="006D1999">
        <w:rPr>
          <w:rFonts w:ascii="Arial" w:hAnsi="Arial" w:cs="Arial"/>
          <w:vertAlign w:val="superscript"/>
        </w:rPr>
        <w:t>14</w:t>
      </w:r>
      <w:r w:rsidR="00F2419E">
        <w:rPr>
          <w:rFonts w:ascii="Arial" w:hAnsi="Arial" w:cs="Arial"/>
        </w:rPr>
        <w:t xml:space="preserve">, </w:t>
      </w:r>
      <w:r w:rsidR="004F3393">
        <w:rPr>
          <w:rFonts w:ascii="Arial" w:hAnsi="Arial" w:cs="Arial"/>
        </w:rPr>
        <w:t>J</w:t>
      </w:r>
      <w:r w:rsidR="00F2419E">
        <w:rPr>
          <w:rFonts w:ascii="Arial" w:hAnsi="Arial" w:cs="Arial"/>
        </w:rPr>
        <w:t>JB</w:t>
      </w:r>
      <w:r w:rsidR="004F3393">
        <w:rPr>
          <w:rFonts w:ascii="Arial" w:hAnsi="Arial" w:cs="Arial"/>
        </w:rPr>
        <w:t xml:space="preserve"> Keurentjes</w:t>
      </w:r>
      <w:r w:rsidR="006D1999">
        <w:rPr>
          <w:rFonts w:ascii="Arial" w:hAnsi="Arial" w:cs="Arial"/>
          <w:vertAlign w:val="superscript"/>
        </w:rPr>
        <w:t>15</w:t>
      </w:r>
      <w:r w:rsidR="004F3393">
        <w:rPr>
          <w:rFonts w:ascii="Arial" w:hAnsi="Arial" w:cs="Arial"/>
        </w:rPr>
        <w:t xml:space="preserve">, </w:t>
      </w:r>
      <w:r w:rsidR="00614991">
        <w:rPr>
          <w:rFonts w:ascii="Arial" w:hAnsi="Arial" w:cs="Arial"/>
        </w:rPr>
        <w:t>M Centritto</w:t>
      </w:r>
      <w:r w:rsidR="006D1999">
        <w:rPr>
          <w:rFonts w:ascii="Arial" w:hAnsi="Arial" w:cs="Arial"/>
          <w:vertAlign w:val="superscript"/>
        </w:rPr>
        <w:t>16</w:t>
      </w:r>
      <w:r w:rsidR="00614991">
        <w:rPr>
          <w:rFonts w:ascii="Arial" w:hAnsi="Arial" w:cs="Arial"/>
        </w:rPr>
        <w:t xml:space="preserve">, </w:t>
      </w:r>
      <w:r w:rsidR="004F3393">
        <w:rPr>
          <w:rFonts w:ascii="Arial" w:hAnsi="Arial" w:cs="Arial"/>
        </w:rPr>
        <w:t>B Genty</w:t>
      </w:r>
      <w:r w:rsidR="006D1999">
        <w:rPr>
          <w:rFonts w:ascii="Arial" w:hAnsi="Arial" w:cs="Arial"/>
          <w:vertAlign w:val="superscript"/>
        </w:rPr>
        <w:t>17</w:t>
      </w:r>
      <w:r w:rsidR="004F3393">
        <w:rPr>
          <w:rFonts w:ascii="Arial" w:hAnsi="Arial" w:cs="Arial"/>
        </w:rPr>
        <w:t>, J Flexas</w:t>
      </w:r>
      <w:r w:rsidR="006D1999">
        <w:rPr>
          <w:rFonts w:ascii="Arial" w:hAnsi="Arial" w:cs="Arial"/>
          <w:vertAlign w:val="superscript"/>
        </w:rPr>
        <w:t>18</w:t>
      </w:r>
      <w:r w:rsidR="004F3393">
        <w:rPr>
          <w:rFonts w:ascii="Arial" w:hAnsi="Arial" w:cs="Arial"/>
        </w:rPr>
        <w:t>, E Grill</w:t>
      </w:r>
      <w:r w:rsidR="006D1999">
        <w:rPr>
          <w:rFonts w:ascii="Arial" w:hAnsi="Arial" w:cs="Arial"/>
          <w:vertAlign w:val="superscript"/>
        </w:rPr>
        <w:t>19</w:t>
      </w:r>
      <w:r w:rsidR="004F3393">
        <w:rPr>
          <w:rFonts w:ascii="Arial" w:hAnsi="Arial" w:cs="Arial"/>
        </w:rPr>
        <w:t>, S Salvi</w:t>
      </w:r>
      <w:r w:rsidR="006D1999">
        <w:rPr>
          <w:rFonts w:ascii="Arial" w:hAnsi="Arial" w:cs="Arial"/>
          <w:vertAlign w:val="superscript"/>
        </w:rPr>
        <w:t>20</w:t>
      </w:r>
      <w:r w:rsidR="004F3393">
        <w:rPr>
          <w:rFonts w:ascii="Arial" w:hAnsi="Arial" w:cs="Arial"/>
        </w:rPr>
        <w:t xml:space="preserve">,  </w:t>
      </w:r>
      <w:r w:rsidR="00464DBB">
        <w:rPr>
          <w:rFonts w:ascii="Arial" w:hAnsi="Arial" w:cs="Arial"/>
        </w:rPr>
        <w:t>WJ Davi</w:t>
      </w:r>
      <w:r w:rsidR="00923560">
        <w:rPr>
          <w:rFonts w:ascii="Arial" w:hAnsi="Arial" w:cs="Arial"/>
        </w:rPr>
        <w:t>e</w:t>
      </w:r>
      <w:r w:rsidR="00464DBB">
        <w:rPr>
          <w:rFonts w:ascii="Arial" w:hAnsi="Arial" w:cs="Arial"/>
        </w:rPr>
        <w:t>s</w:t>
      </w:r>
      <w:r w:rsidR="00614991">
        <w:rPr>
          <w:rFonts w:ascii="Arial" w:hAnsi="Arial" w:cs="Arial"/>
          <w:vertAlign w:val="superscript"/>
        </w:rPr>
        <w:t>21</w:t>
      </w:r>
    </w:p>
    <w:p w14:paraId="64CE1253" w14:textId="77777777" w:rsidR="00470C06" w:rsidRPr="00470C06" w:rsidRDefault="00470C06" w:rsidP="00923560">
      <w:pPr>
        <w:jc w:val="both"/>
        <w:rPr>
          <w:rFonts w:ascii="Arial" w:hAnsi="Arial" w:cs="Arial"/>
          <w:vertAlign w:val="superscript"/>
        </w:rPr>
      </w:pPr>
    </w:p>
    <w:p w14:paraId="50A1D929" w14:textId="77777777" w:rsidR="00470C06" w:rsidRPr="009401FF" w:rsidRDefault="00470C06" w:rsidP="00923560">
      <w:pPr>
        <w:jc w:val="both"/>
        <w:rPr>
          <w:rFonts w:ascii="Arial" w:hAnsi="Arial" w:cs="Arial"/>
        </w:rPr>
      </w:pPr>
      <w:r w:rsidRPr="009401FF">
        <w:rPr>
          <w:rFonts w:ascii="Arial" w:hAnsi="Arial" w:cs="Arial"/>
          <w:vertAlign w:val="superscript"/>
        </w:rPr>
        <w:t>1</w:t>
      </w:r>
      <w:r w:rsidRPr="009401FF">
        <w:rPr>
          <w:rFonts w:ascii="Arial" w:hAnsi="Arial" w:cs="Arial"/>
        </w:rPr>
        <w:t xml:space="preserve"> School of Biological Sciences, University of S</w:t>
      </w:r>
      <w:r w:rsidR="0077368A" w:rsidRPr="009401FF">
        <w:rPr>
          <w:rFonts w:ascii="Arial" w:hAnsi="Arial" w:cs="Arial"/>
        </w:rPr>
        <w:t>outhampton, Southampton, SO17 1</w:t>
      </w:r>
      <w:r w:rsidRPr="009401FF">
        <w:rPr>
          <w:rFonts w:ascii="Arial" w:hAnsi="Arial" w:cs="Arial"/>
        </w:rPr>
        <w:t>BJ, UK</w:t>
      </w:r>
    </w:p>
    <w:p w14:paraId="6C14E005" w14:textId="77777777" w:rsidR="00470C06" w:rsidRPr="009401FF" w:rsidRDefault="00470C06" w:rsidP="00923560">
      <w:pPr>
        <w:jc w:val="both"/>
        <w:rPr>
          <w:rFonts w:ascii="Arial" w:hAnsi="Arial" w:cs="Arial"/>
        </w:rPr>
      </w:pPr>
      <w:r w:rsidRPr="009401FF">
        <w:rPr>
          <w:rFonts w:ascii="Arial" w:hAnsi="Arial" w:cs="Arial"/>
          <w:vertAlign w:val="superscript"/>
        </w:rPr>
        <w:t>2</w:t>
      </w:r>
      <w:r w:rsidRPr="009401FF">
        <w:rPr>
          <w:rFonts w:ascii="Arial" w:hAnsi="Arial" w:cs="Arial"/>
        </w:rPr>
        <w:t xml:space="preserve"> Department of Plant Sciences, University of California at Davis, Davis, 95616 California, USA</w:t>
      </w:r>
    </w:p>
    <w:p w14:paraId="77E30FC2" w14:textId="24D796C5" w:rsidR="00470C06" w:rsidRPr="00B80D32" w:rsidRDefault="00470C06" w:rsidP="00923560">
      <w:pPr>
        <w:jc w:val="both"/>
        <w:rPr>
          <w:rFonts w:ascii="Arial" w:hAnsi="Arial" w:cs="Arial"/>
          <w:spacing w:val="-2"/>
          <w:shd w:val="clear" w:color="auto" w:fill="FFFFFF"/>
        </w:rPr>
      </w:pPr>
      <w:r w:rsidRPr="009401FF">
        <w:rPr>
          <w:rFonts w:ascii="Arial" w:hAnsi="Arial" w:cs="Arial"/>
          <w:vertAlign w:val="superscript"/>
        </w:rPr>
        <w:t>3</w:t>
      </w:r>
      <w:r w:rsidRPr="00B80D32">
        <w:rPr>
          <w:rFonts w:ascii="Arial" w:hAnsi="Arial" w:cs="Arial"/>
          <w:spacing w:val="-2"/>
          <w:shd w:val="clear" w:color="auto" w:fill="FFFFFF"/>
        </w:rPr>
        <w:t xml:space="preserve"> Institute of Biological, Environmental &amp; Rural Sciences (IBERS),</w:t>
      </w:r>
      <w:r w:rsidR="005C4B30">
        <w:rPr>
          <w:rFonts w:ascii="Arial" w:hAnsi="Arial" w:cs="Arial"/>
          <w:spacing w:val="-2"/>
          <w:shd w:val="clear" w:color="auto" w:fill="FFFFFF"/>
        </w:rPr>
        <w:t xml:space="preserve"> </w:t>
      </w:r>
      <w:r w:rsidRPr="00B80D32">
        <w:rPr>
          <w:rFonts w:ascii="Arial" w:hAnsi="Arial" w:cs="Arial"/>
          <w:spacing w:val="-2"/>
          <w:shd w:val="clear" w:color="auto" w:fill="FFFFFF"/>
        </w:rPr>
        <w:t>Aberystwyth University, Plas Gogerddan, Aberystwyth, Ceredigion, SY23 3EE</w:t>
      </w:r>
    </w:p>
    <w:p w14:paraId="5CE06DB3" w14:textId="089283A7" w:rsidR="006D1999" w:rsidRPr="002C7AD5" w:rsidRDefault="006D1999" w:rsidP="00923560">
      <w:pPr>
        <w:jc w:val="both"/>
        <w:rPr>
          <w:rFonts w:ascii="Arial" w:hAnsi="Arial" w:cs="Arial"/>
          <w:spacing w:val="-2"/>
          <w:shd w:val="clear" w:color="auto" w:fill="FFFFFF"/>
          <w:lang w:val="en-GB"/>
        </w:rPr>
      </w:pPr>
      <w:r w:rsidRPr="002C7AD5">
        <w:rPr>
          <w:rFonts w:ascii="Arial" w:hAnsi="Arial" w:cs="Arial"/>
          <w:spacing w:val="-2"/>
          <w:shd w:val="clear" w:color="auto" w:fill="FFFFFF"/>
          <w:vertAlign w:val="superscript"/>
          <w:lang w:val="en-GB"/>
        </w:rPr>
        <w:t>4</w:t>
      </w:r>
      <w:r w:rsidR="00E40669" w:rsidRPr="002C7AD5">
        <w:rPr>
          <w:rFonts w:ascii="Arial" w:hAnsi="Arial" w:cs="Arial"/>
          <w:spacing w:val="-2"/>
          <w:shd w:val="clear" w:color="auto" w:fill="FFFFFF"/>
          <w:lang w:val="en-GB"/>
        </w:rPr>
        <w:t xml:space="preserve"> </w:t>
      </w:r>
      <w:r w:rsidR="00E40669" w:rsidRPr="002C7AD5">
        <w:rPr>
          <w:rFonts w:ascii="Arial" w:hAnsi="Arial" w:cs="Arial"/>
          <w:bCs/>
          <w:shd w:val="clear" w:color="auto" w:fill="FFFFFF"/>
          <w:lang w:val="en-GB"/>
        </w:rPr>
        <w:t>Lindenweg 12, Kroge</w:t>
      </w:r>
      <w:r w:rsidR="00E40669" w:rsidRPr="002C7AD5">
        <w:rPr>
          <w:rFonts w:ascii="Cambria Math" w:hAnsi="Cambria Math" w:cs="Cambria Math"/>
          <w:bCs/>
          <w:shd w:val="clear" w:color="auto" w:fill="FFFFFF"/>
          <w:lang w:val="en-GB"/>
        </w:rPr>
        <w:t>‐</w:t>
      </w:r>
      <w:r w:rsidR="00E40669" w:rsidRPr="002C7AD5">
        <w:rPr>
          <w:rFonts w:ascii="Arial" w:hAnsi="Arial" w:cs="Arial"/>
          <w:bCs/>
          <w:shd w:val="clear" w:color="auto" w:fill="FFFFFF"/>
          <w:lang w:val="en-GB"/>
        </w:rPr>
        <w:t xml:space="preserve">Ehrendorf, Lohne, </w:t>
      </w:r>
      <w:r w:rsidR="005C4B30">
        <w:rPr>
          <w:rFonts w:ascii="Arial" w:hAnsi="Arial" w:cs="Arial"/>
          <w:bCs/>
          <w:shd w:val="clear" w:color="auto" w:fill="FFFFFF"/>
          <w:lang w:val="en-GB"/>
        </w:rPr>
        <w:t>D-</w:t>
      </w:r>
      <w:r w:rsidR="00E40669" w:rsidRPr="002C7AD5">
        <w:rPr>
          <w:rFonts w:ascii="Arial" w:hAnsi="Arial" w:cs="Arial"/>
          <w:bCs/>
          <w:shd w:val="clear" w:color="auto" w:fill="FFFFFF"/>
          <w:lang w:val="en-GB"/>
        </w:rPr>
        <w:t>49393 Germany</w:t>
      </w:r>
    </w:p>
    <w:p w14:paraId="28DD5F58" w14:textId="77777777" w:rsidR="006D1999" w:rsidRPr="00B80D32" w:rsidRDefault="006D1999" w:rsidP="00923560">
      <w:pPr>
        <w:jc w:val="both"/>
        <w:rPr>
          <w:rFonts w:ascii="Arial" w:hAnsi="Arial" w:cs="Arial"/>
          <w:spacing w:val="-2"/>
          <w:shd w:val="clear" w:color="auto" w:fill="FFFFFF"/>
        </w:rPr>
      </w:pPr>
      <w:r w:rsidRPr="009B61C6">
        <w:rPr>
          <w:rFonts w:ascii="Arial" w:hAnsi="Arial" w:cs="Arial"/>
          <w:spacing w:val="-2"/>
          <w:shd w:val="clear" w:color="auto" w:fill="FFFFFF"/>
          <w:vertAlign w:val="superscript"/>
          <w:lang w:val="en-GB"/>
        </w:rPr>
        <w:t xml:space="preserve"> </w:t>
      </w:r>
      <w:r w:rsidRPr="00B80D32">
        <w:rPr>
          <w:rFonts w:ascii="Arial" w:hAnsi="Arial" w:cs="Arial"/>
          <w:spacing w:val="-2"/>
          <w:shd w:val="clear" w:color="auto" w:fill="FFFFFF"/>
          <w:vertAlign w:val="superscript"/>
        </w:rPr>
        <w:t xml:space="preserve">5 </w:t>
      </w:r>
      <w:r w:rsidRPr="00B80D32">
        <w:rPr>
          <w:rFonts w:ascii="Arial" w:hAnsi="Arial" w:cs="Arial"/>
          <w:spacing w:val="-2"/>
          <w:shd w:val="clear" w:color="auto" w:fill="FFFFFF"/>
        </w:rPr>
        <w:t>Department of Agricultural and Environmental Sciences, University of Udine, Via delle Scienze, 206, 33100, Udine, Italy</w:t>
      </w:r>
    </w:p>
    <w:p w14:paraId="4FB12D72" w14:textId="77777777" w:rsidR="002C7AD5" w:rsidRDefault="006D1999" w:rsidP="00923560">
      <w:pPr>
        <w:shd w:val="clear" w:color="auto" w:fill="FFFFFF"/>
        <w:spacing w:line="240" w:lineRule="auto"/>
        <w:jc w:val="both"/>
        <w:textAlignment w:val="baseline"/>
        <w:rPr>
          <w:rFonts w:ascii="Arial" w:hAnsi="Arial" w:cs="Arial"/>
          <w:spacing w:val="-2"/>
          <w:shd w:val="clear" w:color="auto" w:fill="FFFFFF"/>
          <w:vertAlign w:val="superscript"/>
          <w:lang w:val="nl-NL"/>
        </w:rPr>
      </w:pPr>
      <w:r w:rsidRPr="00B80D32">
        <w:rPr>
          <w:rFonts w:ascii="Arial" w:hAnsi="Arial" w:cs="Arial"/>
          <w:spacing w:val="-2"/>
          <w:shd w:val="clear" w:color="auto" w:fill="FFFFFF"/>
          <w:vertAlign w:val="superscript"/>
        </w:rPr>
        <w:t xml:space="preserve"> </w:t>
      </w:r>
      <w:r w:rsidRPr="009B61C6">
        <w:rPr>
          <w:rFonts w:ascii="Arial" w:hAnsi="Arial" w:cs="Arial"/>
          <w:spacing w:val="-2"/>
          <w:shd w:val="clear" w:color="auto" w:fill="FFFFFF"/>
          <w:vertAlign w:val="superscript"/>
          <w:lang w:val="nl-NL"/>
        </w:rPr>
        <w:t>6</w:t>
      </w:r>
      <w:r w:rsidR="00E40669" w:rsidRPr="009B61C6">
        <w:rPr>
          <w:rFonts w:ascii="Arial" w:hAnsi="Arial" w:cs="Arial"/>
          <w:spacing w:val="-2"/>
          <w:shd w:val="clear" w:color="auto" w:fill="FFFFFF"/>
          <w:lang w:val="nl-NL"/>
        </w:rPr>
        <w:t xml:space="preserve"> </w:t>
      </w:r>
      <w:r w:rsidR="00E40669" w:rsidRPr="009B61C6">
        <w:rPr>
          <w:rFonts w:ascii="Arial" w:eastAsia="Times New Roman" w:hAnsi="Arial" w:cs="Arial"/>
          <w:lang w:val="nl-NL"/>
        </w:rPr>
        <w:t>UMR EEF, INRA, Université de Lorraine, 54280 Champenoux, France</w:t>
      </w:r>
      <w:r w:rsidRPr="009B61C6">
        <w:rPr>
          <w:rFonts w:ascii="Arial" w:hAnsi="Arial" w:cs="Arial"/>
          <w:spacing w:val="-2"/>
          <w:shd w:val="clear" w:color="auto" w:fill="FFFFFF"/>
          <w:vertAlign w:val="superscript"/>
          <w:lang w:val="nl-NL"/>
        </w:rPr>
        <w:t xml:space="preserve"> </w:t>
      </w:r>
    </w:p>
    <w:p w14:paraId="4F9F7B59" w14:textId="4962085A" w:rsidR="006D1999" w:rsidRPr="009B61C6" w:rsidRDefault="006D1999" w:rsidP="00923560">
      <w:pPr>
        <w:shd w:val="clear" w:color="auto" w:fill="FFFFFF"/>
        <w:spacing w:line="240" w:lineRule="auto"/>
        <w:jc w:val="both"/>
        <w:textAlignment w:val="baseline"/>
        <w:rPr>
          <w:rFonts w:ascii="Arial" w:eastAsia="Times New Roman" w:hAnsi="Arial" w:cs="Arial"/>
          <w:lang w:val="nl-NL"/>
        </w:rPr>
      </w:pPr>
      <w:r w:rsidRPr="009B61C6">
        <w:rPr>
          <w:rFonts w:ascii="Arial" w:hAnsi="Arial" w:cs="Arial"/>
          <w:spacing w:val="-2"/>
          <w:shd w:val="clear" w:color="auto" w:fill="FFFFFF"/>
          <w:vertAlign w:val="superscript"/>
          <w:lang w:val="nl-NL"/>
        </w:rPr>
        <w:t>7</w:t>
      </w:r>
      <w:r w:rsidR="009B61C6">
        <w:rPr>
          <w:rFonts w:ascii="Arial" w:hAnsi="Arial" w:cs="Arial"/>
          <w:spacing w:val="-2"/>
          <w:shd w:val="clear" w:color="auto" w:fill="FFFFFF"/>
          <w:vertAlign w:val="superscript"/>
          <w:lang w:val="nl-NL"/>
        </w:rPr>
        <w:t xml:space="preserve"> </w:t>
      </w:r>
      <w:r w:rsidR="009B61C6">
        <w:rPr>
          <w:rFonts w:ascii="Arial" w:hAnsi="Arial" w:cs="Arial"/>
          <w:spacing w:val="-2"/>
          <w:shd w:val="clear" w:color="auto" w:fill="FFFFFF"/>
          <w:lang w:val="nl-NL"/>
        </w:rPr>
        <w:t>Department of Forest Genetics and Plant Physiology, Umea Plant Sciences Centre, Swedish University of Agricultural Sciences, 90183 Umea, Sweden</w:t>
      </w:r>
    </w:p>
    <w:p w14:paraId="344BF101" w14:textId="77777777" w:rsidR="006D1999" w:rsidRPr="009B61C6" w:rsidRDefault="006D1999" w:rsidP="00923560">
      <w:pPr>
        <w:jc w:val="both"/>
        <w:rPr>
          <w:rFonts w:ascii="Arial" w:hAnsi="Arial" w:cs="Arial"/>
          <w:spacing w:val="-2"/>
          <w:shd w:val="clear" w:color="auto" w:fill="FFFFFF"/>
          <w:lang w:val="de-DE"/>
        </w:rPr>
      </w:pPr>
      <w:r w:rsidRPr="009B61C6">
        <w:rPr>
          <w:rFonts w:ascii="Arial" w:hAnsi="Arial" w:cs="Arial"/>
          <w:spacing w:val="-2"/>
          <w:shd w:val="clear" w:color="auto" w:fill="FFFFFF"/>
          <w:vertAlign w:val="superscript"/>
          <w:lang w:val="nl-NL"/>
        </w:rPr>
        <w:t xml:space="preserve"> </w:t>
      </w:r>
      <w:r w:rsidRPr="009B61C6">
        <w:rPr>
          <w:rFonts w:ascii="Arial" w:hAnsi="Arial" w:cs="Arial"/>
          <w:spacing w:val="-2"/>
          <w:shd w:val="clear" w:color="auto" w:fill="FFFFFF"/>
          <w:vertAlign w:val="superscript"/>
          <w:lang w:val="de-DE"/>
        </w:rPr>
        <w:t>8</w:t>
      </w:r>
      <w:r w:rsidR="00617A63" w:rsidRPr="009B61C6">
        <w:rPr>
          <w:rFonts w:ascii="Arial" w:hAnsi="Arial" w:cs="Arial"/>
          <w:spacing w:val="-2"/>
          <w:shd w:val="clear" w:color="auto" w:fill="FFFFFF"/>
          <w:vertAlign w:val="superscript"/>
          <w:lang w:val="de-DE"/>
        </w:rPr>
        <w:t xml:space="preserve"> </w:t>
      </w:r>
      <w:r w:rsidR="00617A63" w:rsidRPr="009B61C6">
        <w:rPr>
          <w:rStyle w:val="Strong"/>
          <w:rFonts w:ascii="Arial" w:hAnsi="Arial" w:cs="Arial"/>
          <w:b w:val="0"/>
          <w:shd w:val="clear" w:color="auto" w:fill="FFFFFF"/>
          <w:lang w:val="de-DE"/>
        </w:rPr>
        <w:t xml:space="preserve">SweTree Technologies AB, </w:t>
      </w:r>
      <w:r w:rsidR="00617A63" w:rsidRPr="009B61C6">
        <w:rPr>
          <w:rFonts w:ascii="Arial" w:hAnsi="Arial" w:cs="Arial"/>
          <w:shd w:val="clear" w:color="auto" w:fill="FFFFFF"/>
          <w:lang w:val="de-DE"/>
        </w:rPr>
        <w:t>P.O Box 4095, SE-904 03 Umeå, Sweden</w:t>
      </w:r>
    </w:p>
    <w:p w14:paraId="60698DE0" w14:textId="77777777" w:rsidR="006D1999" w:rsidRPr="00B80D32" w:rsidRDefault="006D1999" w:rsidP="00923560">
      <w:pPr>
        <w:jc w:val="both"/>
        <w:rPr>
          <w:rFonts w:ascii="Arial" w:hAnsi="Arial" w:cs="Arial"/>
          <w:spacing w:val="-2"/>
          <w:shd w:val="clear" w:color="auto" w:fill="FFFFFF"/>
        </w:rPr>
      </w:pPr>
      <w:r w:rsidRPr="009B61C6">
        <w:rPr>
          <w:rFonts w:ascii="Arial" w:hAnsi="Arial" w:cs="Arial"/>
          <w:spacing w:val="-2"/>
          <w:shd w:val="clear" w:color="auto" w:fill="FFFFFF"/>
          <w:vertAlign w:val="superscript"/>
          <w:lang w:val="de-DE"/>
        </w:rPr>
        <w:t xml:space="preserve"> </w:t>
      </w:r>
      <w:r w:rsidRPr="00B80D32">
        <w:rPr>
          <w:rFonts w:ascii="Arial" w:hAnsi="Arial" w:cs="Arial"/>
          <w:spacing w:val="-2"/>
          <w:shd w:val="clear" w:color="auto" w:fill="FFFFFF"/>
          <w:vertAlign w:val="superscript"/>
        </w:rPr>
        <w:t>9</w:t>
      </w:r>
      <w:r w:rsidR="00E40669" w:rsidRPr="00B80D32">
        <w:rPr>
          <w:rFonts w:ascii="Arial" w:hAnsi="Arial" w:cs="Arial"/>
          <w:spacing w:val="-2"/>
          <w:shd w:val="clear" w:color="auto" w:fill="FFFFFF"/>
        </w:rPr>
        <w:t xml:space="preserve"> </w:t>
      </w:r>
      <w:r w:rsidR="00E40669" w:rsidRPr="00B80D32">
        <w:rPr>
          <w:rFonts w:ascii="Arial" w:hAnsi="Arial" w:cs="Arial"/>
          <w:bCs/>
          <w:shd w:val="clear" w:color="auto" w:fill="FFFFFF"/>
        </w:rPr>
        <w:t>Büsgen</w:t>
      </w:r>
      <w:r w:rsidR="00E40669" w:rsidRPr="00B80D32">
        <w:rPr>
          <w:rFonts w:ascii="Cambria Math" w:hAnsi="Cambria Math" w:cs="Cambria Math"/>
          <w:bCs/>
          <w:shd w:val="clear" w:color="auto" w:fill="FFFFFF"/>
        </w:rPr>
        <w:t>‐</w:t>
      </w:r>
      <w:r w:rsidR="00E40669" w:rsidRPr="00B80D32">
        <w:rPr>
          <w:rFonts w:ascii="Arial" w:hAnsi="Arial" w:cs="Arial"/>
          <w:bCs/>
          <w:shd w:val="clear" w:color="auto" w:fill="FFFFFF"/>
        </w:rPr>
        <w:t>Institute, Department of Forest Botany and Tree Physiology, Georg</w:t>
      </w:r>
      <w:r w:rsidR="00E40669" w:rsidRPr="00B80D32">
        <w:rPr>
          <w:rFonts w:ascii="Cambria Math" w:hAnsi="Cambria Math" w:cs="Cambria Math"/>
          <w:bCs/>
          <w:shd w:val="clear" w:color="auto" w:fill="FFFFFF"/>
        </w:rPr>
        <w:t>‐</w:t>
      </w:r>
      <w:r w:rsidR="00E40669" w:rsidRPr="00B80D32">
        <w:rPr>
          <w:rFonts w:ascii="Arial" w:hAnsi="Arial" w:cs="Arial"/>
          <w:bCs/>
          <w:shd w:val="clear" w:color="auto" w:fill="FFFFFF"/>
        </w:rPr>
        <w:t>August University, Göttingen, 37077 Germany</w:t>
      </w:r>
    </w:p>
    <w:p w14:paraId="4C74B466" w14:textId="77777777" w:rsidR="006D1999" w:rsidRPr="00B80D32" w:rsidRDefault="006D1999" w:rsidP="00923560">
      <w:pPr>
        <w:jc w:val="both"/>
        <w:rPr>
          <w:rFonts w:ascii="Arial" w:hAnsi="Arial" w:cs="Arial"/>
          <w:spacing w:val="-2"/>
          <w:shd w:val="clear" w:color="auto" w:fill="FFFFFF"/>
        </w:rPr>
      </w:pPr>
      <w:r w:rsidRPr="00B80D32">
        <w:rPr>
          <w:rFonts w:ascii="Arial" w:hAnsi="Arial" w:cs="Arial"/>
          <w:spacing w:val="-2"/>
          <w:shd w:val="clear" w:color="auto" w:fill="FFFFFF"/>
          <w:vertAlign w:val="superscript"/>
        </w:rPr>
        <w:t xml:space="preserve"> 10</w:t>
      </w:r>
      <w:r w:rsidRPr="00B80D32">
        <w:rPr>
          <w:rFonts w:ascii="Arial" w:hAnsi="Arial" w:cs="Arial"/>
          <w:spacing w:val="-2"/>
          <w:shd w:val="clear" w:color="auto" w:fill="FFFFFF"/>
        </w:rPr>
        <w:t xml:space="preserve"> </w:t>
      </w:r>
      <w:r w:rsidRPr="00B80D32">
        <w:rPr>
          <w:rFonts w:ascii="Arial" w:hAnsi="Arial" w:cs="Arial"/>
          <w:shd w:val="clear" w:color="auto" w:fill="FFFFFF"/>
        </w:rPr>
        <w:t>Department for Innovation in Biological, Agro-food and Forest Systems, University of Tuscia, Viterbo, Italy</w:t>
      </w:r>
    </w:p>
    <w:p w14:paraId="343987B8" w14:textId="77777777" w:rsidR="006D1999" w:rsidRPr="00B80D32" w:rsidRDefault="006D1999" w:rsidP="00923560">
      <w:pPr>
        <w:jc w:val="both"/>
        <w:rPr>
          <w:rFonts w:ascii="Arial" w:hAnsi="Arial" w:cs="Arial"/>
          <w:spacing w:val="-2"/>
          <w:shd w:val="clear" w:color="auto" w:fill="FFFFFF"/>
        </w:rPr>
      </w:pPr>
      <w:r w:rsidRPr="00B80D32">
        <w:rPr>
          <w:rFonts w:ascii="Arial" w:hAnsi="Arial" w:cs="Arial"/>
          <w:spacing w:val="-2"/>
          <w:shd w:val="clear" w:color="auto" w:fill="FFFFFF"/>
          <w:vertAlign w:val="superscript"/>
        </w:rPr>
        <w:t xml:space="preserve"> 11</w:t>
      </w:r>
      <w:r w:rsidR="00617A63" w:rsidRPr="00B80D32">
        <w:rPr>
          <w:rFonts w:ascii="Arial" w:hAnsi="Arial" w:cs="Arial"/>
          <w:spacing w:val="-2"/>
          <w:shd w:val="clear" w:color="auto" w:fill="FFFFFF"/>
        </w:rPr>
        <w:t xml:space="preserve"> Franco Alasia Vivai, Strada Solerette, 5/A, 12038 Savigliano, Italy</w:t>
      </w:r>
    </w:p>
    <w:p w14:paraId="1E186F71" w14:textId="77777777" w:rsidR="006D1999" w:rsidRPr="00B80D32" w:rsidRDefault="006D1999" w:rsidP="00923560">
      <w:pPr>
        <w:jc w:val="both"/>
        <w:rPr>
          <w:rFonts w:ascii="Arial" w:hAnsi="Arial" w:cs="Arial"/>
          <w:spacing w:val="-2"/>
          <w:shd w:val="clear" w:color="auto" w:fill="FFFFFF"/>
        </w:rPr>
      </w:pPr>
      <w:r w:rsidRPr="00B80D32">
        <w:rPr>
          <w:rFonts w:ascii="Arial" w:hAnsi="Arial" w:cs="Arial"/>
          <w:spacing w:val="-2"/>
          <w:shd w:val="clear" w:color="auto" w:fill="FFFFFF"/>
          <w:vertAlign w:val="superscript"/>
        </w:rPr>
        <w:t xml:space="preserve"> 12</w:t>
      </w:r>
      <w:r w:rsidR="00617A63" w:rsidRPr="00B80D32">
        <w:rPr>
          <w:rFonts w:ascii="Arial" w:hAnsi="Arial" w:cs="Arial"/>
          <w:spacing w:val="-2"/>
          <w:shd w:val="clear" w:color="auto" w:fill="FFFFFF"/>
        </w:rPr>
        <w:t xml:space="preserve"> </w:t>
      </w:r>
      <w:r w:rsidR="006C5351" w:rsidRPr="00B80D32">
        <w:rPr>
          <w:rFonts w:ascii="Arial" w:hAnsi="Arial" w:cs="Arial"/>
          <w:spacing w:val="-2"/>
          <w:shd w:val="clear" w:color="auto" w:fill="FFFFFF"/>
        </w:rPr>
        <w:t>Department of Sociology,University of Crete,Gallos Campus,74100 Rethymno, Greece</w:t>
      </w:r>
    </w:p>
    <w:p w14:paraId="2A781479" w14:textId="77777777" w:rsidR="006D1999" w:rsidRPr="00B80D32" w:rsidRDefault="006D1999" w:rsidP="00923560">
      <w:pPr>
        <w:jc w:val="both"/>
        <w:rPr>
          <w:rFonts w:ascii="Arial" w:hAnsi="Arial" w:cs="Arial"/>
        </w:rPr>
      </w:pPr>
      <w:r w:rsidRPr="00B80D32">
        <w:rPr>
          <w:rFonts w:ascii="Arial" w:hAnsi="Arial" w:cs="Arial"/>
          <w:spacing w:val="-2"/>
          <w:shd w:val="clear" w:color="auto" w:fill="FFFFFF"/>
          <w:vertAlign w:val="superscript"/>
        </w:rPr>
        <w:t xml:space="preserve"> 13</w:t>
      </w:r>
      <w:r w:rsidRPr="00B80D32">
        <w:rPr>
          <w:rFonts w:ascii="Arial" w:hAnsi="Arial" w:cs="Arial"/>
          <w:spacing w:val="-2"/>
          <w:shd w:val="clear" w:color="auto" w:fill="FFFFFF"/>
        </w:rPr>
        <w:t xml:space="preserve"> </w:t>
      </w:r>
      <w:r w:rsidRPr="00B80D32">
        <w:rPr>
          <w:rFonts w:ascii="Arial" w:hAnsi="Arial" w:cs="Arial"/>
        </w:rPr>
        <w:t xml:space="preserve">Geneticlab, Via Roveredo, 20/B, 33170 Pordenone, Italy </w:t>
      </w:r>
    </w:p>
    <w:p w14:paraId="5BB6384D" w14:textId="0C29FCF1" w:rsidR="006D1999" w:rsidRPr="002C7AD5" w:rsidRDefault="00E40669" w:rsidP="00923560">
      <w:pPr>
        <w:jc w:val="both"/>
        <w:rPr>
          <w:rFonts w:ascii="Arial" w:hAnsi="Arial" w:cs="Arial"/>
          <w:bCs/>
          <w:shd w:val="clear" w:color="auto" w:fill="FFFFFF"/>
          <w:lang w:val="de-DE"/>
        </w:rPr>
      </w:pPr>
      <w:r w:rsidRPr="002C7AD5">
        <w:rPr>
          <w:rFonts w:ascii="Arial" w:hAnsi="Arial" w:cs="Arial"/>
          <w:spacing w:val="-2"/>
          <w:shd w:val="clear" w:color="auto" w:fill="FFFFFF"/>
          <w:vertAlign w:val="superscript"/>
          <w:lang w:val="de-DE"/>
        </w:rPr>
        <w:t xml:space="preserve">14 </w:t>
      </w:r>
      <w:r w:rsidR="005C4B30" w:rsidRPr="009C2647">
        <w:rPr>
          <w:rFonts w:ascii="Arial" w:hAnsi="Arial" w:cs="Arial"/>
          <w:bCs/>
          <w:shd w:val="clear" w:color="auto" w:fill="FFFFFF"/>
          <w:lang w:val="de-DE"/>
        </w:rPr>
        <w:t>Julius Kühn</w:t>
      </w:r>
      <w:r w:rsidR="005C4B30" w:rsidRPr="009C2647">
        <w:rPr>
          <w:rFonts w:ascii="Cambria Math" w:hAnsi="Cambria Math" w:cs="Cambria Math"/>
          <w:bCs/>
          <w:shd w:val="clear" w:color="auto" w:fill="FFFFFF"/>
          <w:lang w:val="de-DE"/>
        </w:rPr>
        <w:t>‐</w:t>
      </w:r>
      <w:r w:rsidR="005C4B30" w:rsidRPr="009C2647">
        <w:rPr>
          <w:rFonts w:ascii="Arial" w:hAnsi="Arial" w:cs="Arial"/>
          <w:bCs/>
          <w:shd w:val="clear" w:color="auto" w:fill="FFFFFF"/>
          <w:lang w:val="de-DE"/>
        </w:rPr>
        <w:t>Institut (JKI) Bundesforschungsinstitut für Kulturpflanzen, Institute for Crop and Soil Science, Bundesallee 50, D</w:t>
      </w:r>
      <w:r w:rsidR="005C4B30" w:rsidRPr="009C2647">
        <w:rPr>
          <w:rFonts w:ascii="Cambria Math" w:hAnsi="Cambria Math" w:cs="Cambria Math"/>
          <w:bCs/>
          <w:shd w:val="clear" w:color="auto" w:fill="FFFFFF"/>
          <w:lang w:val="de-DE"/>
        </w:rPr>
        <w:t>‐</w:t>
      </w:r>
      <w:r w:rsidR="005C4B30" w:rsidRPr="009C2647">
        <w:rPr>
          <w:rFonts w:ascii="Arial" w:hAnsi="Arial" w:cs="Arial"/>
          <w:bCs/>
          <w:shd w:val="clear" w:color="auto" w:fill="FFFFFF"/>
          <w:lang w:val="de-DE"/>
        </w:rPr>
        <w:t>38116 Braunschweig, Germany</w:t>
      </w:r>
      <w:r w:rsidR="005C4B30" w:rsidRPr="002C7AD5" w:rsidDel="005C4B30">
        <w:rPr>
          <w:rFonts w:ascii="Arial" w:hAnsi="Arial" w:cs="Arial"/>
          <w:bCs/>
          <w:shd w:val="clear" w:color="auto" w:fill="FFFFFF"/>
          <w:lang w:val="de-DE"/>
        </w:rPr>
        <w:t xml:space="preserve"> </w:t>
      </w:r>
    </w:p>
    <w:p w14:paraId="789AD3B6" w14:textId="77777777" w:rsidR="00E40669" w:rsidRPr="00B80D32" w:rsidRDefault="00E40669" w:rsidP="00923560">
      <w:pPr>
        <w:jc w:val="both"/>
        <w:rPr>
          <w:rFonts w:ascii="Arial" w:hAnsi="Arial" w:cs="Arial"/>
          <w:spacing w:val="-2"/>
          <w:shd w:val="clear" w:color="auto" w:fill="FFFFFF"/>
        </w:rPr>
      </w:pPr>
      <w:r w:rsidRPr="00B80D32">
        <w:rPr>
          <w:rFonts w:ascii="Arial" w:hAnsi="Arial" w:cs="Arial"/>
          <w:spacing w:val="-2"/>
          <w:shd w:val="clear" w:color="auto" w:fill="FFFFFF"/>
          <w:vertAlign w:val="superscript"/>
        </w:rPr>
        <w:t xml:space="preserve">15 </w:t>
      </w:r>
      <w:r w:rsidRPr="00B80D32">
        <w:rPr>
          <w:rFonts w:ascii="Arial" w:hAnsi="Arial" w:cs="Arial"/>
          <w:spacing w:val="-2"/>
          <w:shd w:val="clear" w:color="auto" w:fill="FFFFFF"/>
        </w:rPr>
        <w:t>Laboratory of Genetics, Wageningen University</w:t>
      </w:r>
      <w:r w:rsidR="00F2419E">
        <w:rPr>
          <w:rFonts w:ascii="Arial" w:hAnsi="Arial" w:cs="Arial"/>
          <w:spacing w:val="-2"/>
          <w:shd w:val="clear" w:color="auto" w:fill="FFFFFF"/>
        </w:rPr>
        <w:t xml:space="preserve"> &amp; Research</w:t>
      </w:r>
      <w:r w:rsidRPr="00B80D32">
        <w:rPr>
          <w:rFonts w:ascii="Arial" w:hAnsi="Arial" w:cs="Arial"/>
          <w:spacing w:val="-2"/>
          <w:shd w:val="clear" w:color="auto" w:fill="FFFFFF"/>
        </w:rPr>
        <w:t>, Droevendaalsesteeg 1, 6708 PB, Wageningen, The Netherlands</w:t>
      </w:r>
    </w:p>
    <w:p w14:paraId="66B8E2FA" w14:textId="77777777" w:rsidR="006D1999" w:rsidRPr="00B80D32" w:rsidRDefault="006D1999" w:rsidP="00923560">
      <w:pPr>
        <w:jc w:val="both"/>
        <w:rPr>
          <w:rFonts w:ascii="Arial" w:hAnsi="Arial" w:cs="Arial"/>
          <w:spacing w:val="-2"/>
          <w:shd w:val="clear" w:color="auto" w:fill="FFFFFF"/>
        </w:rPr>
      </w:pPr>
      <w:r w:rsidRPr="00B80D32">
        <w:rPr>
          <w:rFonts w:ascii="Arial" w:hAnsi="Arial" w:cs="Arial"/>
          <w:spacing w:val="-2"/>
          <w:shd w:val="clear" w:color="auto" w:fill="FFFFFF"/>
          <w:vertAlign w:val="superscript"/>
        </w:rPr>
        <w:t xml:space="preserve"> 16</w:t>
      </w:r>
      <w:r w:rsidR="00E40669" w:rsidRPr="00B80D32">
        <w:rPr>
          <w:rFonts w:ascii="Arial" w:hAnsi="Arial" w:cs="Arial"/>
          <w:spacing w:val="-2"/>
          <w:shd w:val="clear" w:color="auto" w:fill="FFFFFF"/>
          <w:vertAlign w:val="superscript"/>
        </w:rPr>
        <w:t xml:space="preserve"> </w:t>
      </w:r>
      <w:r w:rsidR="00E40669" w:rsidRPr="00B80D32">
        <w:rPr>
          <w:rFonts w:ascii="Arial" w:hAnsi="Arial" w:cs="Arial"/>
          <w:shd w:val="clear" w:color="auto" w:fill="FFFFFF"/>
        </w:rPr>
        <w:t>Trees and Timber Institute, National Research Council of Italy, Sesto Fiorentino, Italy</w:t>
      </w:r>
    </w:p>
    <w:p w14:paraId="5DE88662" w14:textId="77777777" w:rsidR="006D1999" w:rsidRPr="002C7AD5" w:rsidRDefault="006D1999" w:rsidP="00923560">
      <w:pPr>
        <w:shd w:val="clear" w:color="auto" w:fill="FFFFFF" w:themeFill="background1"/>
        <w:jc w:val="both"/>
        <w:rPr>
          <w:rFonts w:ascii="Arial" w:hAnsi="Arial" w:cs="Arial"/>
          <w:spacing w:val="-2"/>
          <w:shd w:val="clear" w:color="auto" w:fill="FFFFFF"/>
        </w:rPr>
      </w:pPr>
      <w:r w:rsidRPr="00B80D32">
        <w:rPr>
          <w:rFonts w:ascii="Arial" w:hAnsi="Arial" w:cs="Arial"/>
          <w:spacing w:val="-2"/>
          <w:shd w:val="clear" w:color="auto" w:fill="FFFFFF"/>
          <w:vertAlign w:val="superscript"/>
        </w:rPr>
        <w:lastRenderedPageBreak/>
        <w:t xml:space="preserve"> </w:t>
      </w:r>
      <w:r w:rsidRPr="002C7AD5">
        <w:rPr>
          <w:rFonts w:ascii="Arial" w:hAnsi="Arial" w:cs="Arial"/>
          <w:spacing w:val="-2"/>
          <w:shd w:val="clear" w:color="auto" w:fill="FFFFFF"/>
          <w:vertAlign w:val="superscript"/>
        </w:rPr>
        <w:t>17</w:t>
      </w:r>
      <w:r w:rsidR="00617A63" w:rsidRPr="002C7AD5">
        <w:rPr>
          <w:rFonts w:ascii="Arial" w:hAnsi="Arial" w:cs="Arial"/>
          <w:spacing w:val="-2"/>
          <w:shd w:val="clear" w:color="auto" w:fill="FFFFFF"/>
          <w:vertAlign w:val="superscript"/>
        </w:rPr>
        <w:t xml:space="preserve"> </w:t>
      </w:r>
      <w:r w:rsidR="006C5351" w:rsidRPr="002C7AD5">
        <w:rPr>
          <w:rFonts w:ascii="Arial" w:hAnsi="Arial" w:cs="Arial"/>
          <w:shd w:val="clear" w:color="auto" w:fill="EBF1F9"/>
        </w:rPr>
        <w:t>Centre d'Etudes Atomiques, Centre National de la Recherche Scientifique, Université Aix-Marseille, Unité Mixte de Recherche 6191 Biologie Végétale et Microbiologie Environnementale, Laboratoire d'Ecophysiologie Moléculaire des Plantes, 13108 Saint Paul lez Durance, France</w:t>
      </w:r>
    </w:p>
    <w:p w14:paraId="3C783737" w14:textId="77777777" w:rsidR="006D1999" w:rsidRPr="002C7AD5" w:rsidRDefault="006D1999" w:rsidP="00923560">
      <w:pPr>
        <w:shd w:val="clear" w:color="auto" w:fill="FFFFFF" w:themeFill="background1"/>
        <w:jc w:val="both"/>
        <w:rPr>
          <w:rFonts w:ascii="Arial" w:hAnsi="Arial" w:cs="Arial"/>
          <w:spacing w:val="-2"/>
          <w:shd w:val="clear" w:color="auto" w:fill="FFFFFF"/>
        </w:rPr>
      </w:pPr>
      <w:r w:rsidRPr="002C7AD5">
        <w:rPr>
          <w:rFonts w:ascii="Arial" w:hAnsi="Arial" w:cs="Arial"/>
          <w:spacing w:val="-2"/>
          <w:shd w:val="clear" w:color="auto" w:fill="FFFFFF"/>
          <w:vertAlign w:val="superscript"/>
        </w:rPr>
        <w:t xml:space="preserve"> 18</w:t>
      </w:r>
      <w:r w:rsidR="006C5351" w:rsidRPr="002C7AD5">
        <w:rPr>
          <w:rFonts w:ascii="Arial" w:hAnsi="Arial" w:cs="Arial"/>
          <w:spacing w:val="-2"/>
          <w:shd w:val="clear" w:color="auto" w:fill="FFFFFF"/>
        </w:rPr>
        <w:t xml:space="preserve"> </w:t>
      </w:r>
      <w:r w:rsidR="006C5351" w:rsidRPr="002C7AD5">
        <w:rPr>
          <w:rFonts w:ascii="Arial" w:hAnsi="Arial" w:cs="Arial"/>
          <w:shd w:val="clear" w:color="auto" w:fill="F5F5F5"/>
        </w:rPr>
        <w:t>Research Group on Plant Biology under Mediterranean Conditions, Departament de Biologia, Universitat de les Illes Balears, Carretera de Valldemossa Km 7.5, 07122 Palma de Mallorca, Illes Balears, Spain</w:t>
      </w:r>
    </w:p>
    <w:p w14:paraId="6532892C" w14:textId="31BA57F5" w:rsidR="005C4B30" w:rsidRPr="002C7AD5" w:rsidRDefault="006D1999" w:rsidP="00923560">
      <w:pPr>
        <w:shd w:val="clear" w:color="auto" w:fill="FFFFFF" w:themeFill="background1"/>
        <w:jc w:val="both"/>
        <w:rPr>
          <w:rFonts w:ascii="Arial" w:hAnsi="Arial" w:cs="Arial"/>
          <w:lang w:val="nl-NL"/>
        </w:rPr>
      </w:pPr>
      <w:r w:rsidRPr="002C7AD5">
        <w:rPr>
          <w:rFonts w:ascii="Arial" w:hAnsi="Arial" w:cs="Arial"/>
          <w:spacing w:val="-2"/>
          <w:shd w:val="clear" w:color="auto" w:fill="FFFFFF"/>
          <w:vertAlign w:val="superscript"/>
        </w:rPr>
        <w:t xml:space="preserve"> </w:t>
      </w:r>
      <w:r w:rsidRPr="00A734C8">
        <w:rPr>
          <w:rFonts w:ascii="Arial" w:hAnsi="Arial" w:cs="Arial"/>
          <w:spacing w:val="-2"/>
          <w:shd w:val="clear" w:color="auto" w:fill="FFFFFF"/>
          <w:vertAlign w:val="superscript"/>
          <w:lang w:val="nl-NL"/>
        </w:rPr>
        <w:t xml:space="preserve">19 </w:t>
      </w:r>
      <w:r w:rsidR="005C4B30">
        <w:rPr>
          <w:rStyle w:val="nlm-country"/>
          <w:rFonts w:ascii="Arial" w:hAnsi="Arial" w:cs="Arial"/>
          <w:shd w:val="clear" w:color="auto" w:fill="EEEEEE"/>
          <w:lang w:val="nl-NL"/>
        </w:rPr>
        <w:t xml:space="preserve"> </w:t>
      </w:r>
      <w:r w:rsidR="005C4B30" w:rsidRPr="009C2647">
        <w:rPr>
          <w:rFonts w:ascii="Arial" w:hAnsi="Arial" w:cs="Arial"/>
          <w:shd w:val="clear" w:color="auto" w:fill="EEEEEE"/>
          <w:lang w:val="de-DE"/>
        </w:rPr>
        <w:t>Lehrstuhl für Botanik, </w:t>
      </w:r>
      <w:r w:rsidR="005C4B30" w:rsidRPr="009C2647">
        <w:rPr>
          <w:rStyle w:val="nlm-institution"/>
          <w:rFonts w:ascii="Arial" w:hAnsi="Arial" w:cs="Arial"/>
          <w:shd w:val="clear" w:color="auto" w:fill="EEEEEE"/>
          <w:lang w:val="de-DE"/>
        </w:rPr>
        <w:t>Technische Universität München</w:t>
      </w:r>
      <w:r w:rsidR="005C4B30" w:rsidRPr="009C2647">
        <w:rPr>
          <w:rFonts w:ascii="Arial" w:hAnsi="Arial" w:cs="Arial"/>
          <w:shd w:val="clear" w:color="auto" w:fill="EEEEEE"/>
          <w:lang w:val="de-DE"/>
        </w:rPr>
        <w:t>, 85354 Freising, </w:t>
      </w:r>
      <w:r w:rsidR="005C4B30" w:rsidRPr="009C2647">
        <w:rPr>
          <w:rStyle w:val="nlm-country"/>
          <w:rFonts w:ascii="Arial" w:hAnsi="Arial" w:cs="Arial"/>
          <w:shd w:val="clear" w:color="auto" w:fill="EEEEEE"/>
          <w:lang w:val="de-DE"/>
        </w:rPr>
        <w:t>Germany</w:t>
      </w:r>
    </w:p>
    <w:p w14:paraId="58A243EC" w14:textId="77777777" w:rsidR="006D1999" w:rsidRPr="00B80D32" w:rsidRDefault="006D1999" w:rsidP="00923560">
      <w:pPr>
        <w:jc w:val="both"/>
        <w:rPr>
          <w:rFonts w:ascii="Arial" w:hAnsi="Arial" w:cs="Arial"/>
        </w:rPr>
      </w:pPr>
      <w:r w:rsidRPr="00B80D32">
        <w:rPr>
          <w:rFonts w:ascii="Arial" w:hAnsi="Arial" w:cs="Arial"/>
          <w:spacing w:val="-2"/>
          <w:shd w:val="clear" w:color="auto" w:fill="FFFFFF"/>
          <w:vertAlign w:val="superscript"/>
        </w:rPr>
        <w:t>20</w:t>
      </w:r>
      <w:r w:rsidRPr="00B80D32">
        <w:rPr>
          <w:rFonts w:ascii="Arial" w:hAnsi="Arial" w:cs="Arial"/>
          <w:spacing w:val="-2"/>
          <w:shd w:val="clear" w:color="auto" w:fill="FFFFFF"/>
        </w:rPr>
        <w:t xml:space="preserve"> </w:t>
      </w:r>
      <w:r w:rsidRPr="00B80D32">
        <w:rPr>
          <w:rFonts w:ascii="Arial" w:hAnsi="Arial" w:cs="Arial"/>
        </w:rPr>
        <w:t xml:space="preserve">Department of Agricultural Sciences (DipSA), University of Bologna, Viale Fanin 44, 40127 Bologna, Italy </w:t>
      </w:r>
    </w:p>
    <w:p w14:paraId="6414A859" w14:textId="77777777" w:rsidR="006D1999" w:rsidRPr="00B80D32" w:rsidRDefault="006D1999" w:rsidP="00923560">
      <w:pPr>
        <w:jc w:val="both"/>
        <w:rPr>
          <w:rFonts w:ascii="Arial" w:hAnsi="Arial" w:cs="Arial"/>
          <w:spacing w:val="-2"/>
          <w:shd w:val="clear" w:color="auto" w:fill="FFFFFF"/>
        </w:rPr>
      </w:pPr>
      <w:r w:rsidRPr="00B80D32">
        <w:rPr>
          <w:rFonts w:ascii="Arial" w:hAnsi="Arial" w:cs="Arial"/>
          <w:spacing w:val="-2"/>
          <w:shd w:val="clear" w:color="auto" w:fill="FFFFFF"/>
          <w:vertAlign w:val="superscript"/>
        </w:rPr>
        <w:t xml:space="preserve"> 21</w:t>
      </w:r>
      <w:r w:rsidR="00617A63" w:rsidRPr="00B80D32">
        <w:rPr>
          <w:rFonts w:ascii="Arial" w:hAnsi="Arial" w:cs="Arial"/>
          <w:spacing w:val="-2"/>
          <w:shd w:val="clear" w:color="auto" w:fill="FFFFFF"/>
        </w:rPr>
        <w:t xml:space="preserve"> </w:t>
      </w:r>
      <w:r w:rsidR="00617A63" w:rsidRPr="00B80D32">
        <w:rPr>
          <w:rFonts w:ascii="Arial" w:hAnsi="Arial" w:cs="Arial"/>
        </w:rPr>
        <w:t>Lancaster Environment Centre, Lancaster University, Lancaster, UK</w:t>
      </w:r>
    </w:p>
    <w:p w14:paraId="078B4297" w14:textId="77777777" w:rsidR="006D1999" w:rsidRDefault="006D1999" w:rsidP="00923560">
      <w:pPr>
        <w:jc w:val="both"/>
        <w:rPr>
          <w:rFonts w:ascii="Arial" w:hAnsi="Arial" w:cs="Arial"/>
          <w:color w:val="4E4E4E"/>
          <w:spacing w:val="-2"/>
          <w:shd w:val="clear" w:color="auto" w:fill="FFFFFF"/>
        </w:rPr>
      </w:pPr>
    </w:p>
    <w:p w14:paraId="04864FAF" w14:textId="77777777" w:rsidR="006D1999" w:rsidRDefault="006D1999" w:rsidP="00923560">
      <w:pPr>
        <w:jc w:val="both"/>
        <w:rPr>
          <w:rFonts w:ascii="Arial" w:hAnsi="Arial" w:cs="Arial"/>
          <w:color w:val="4E4E4E"/>
          <w:spacing w:val="-2"/>
          <w:shd w:val="clear" w:color="auto" w:fill="FFFFFF"/>
        </w:rPr>
      </w:pPr>
    </w:p>
    <w:p w14:paraId="2FABA239" w14:textId="28B30505" w:rsidR="00470C06" w:rsidRPr="00470C06" w:rsidRDefault="00470C06">
      <w:pPr>
        <w:rPr>
          <w:rFonts w:ascii="Arial" w:hAnsi="Arial" w:cs="Arial"/>
        </w:rPr>
      </w:pPr>
      <w:r>
        <w:rPr>
          <w:rFonts w:ascii="Arial" w:hAnsi="Arial" w:cs="Arial"/>
          <w:vertAlign w:val="superscript"/>
        </w:rPr>
        <w:t xml:space="preserve">4 </w:t>
      </w:r>
      <w:r>
        <w:rPr>
          <w:rFonts w:ascii="Arial" w:hAnsi="Arial" w:cs="Arial"/>
        </w:rPr>
        <w:t xml:space="preserve"> Corresponding author, gtaylor@ucdavis.edu</w:t>
      </w:r>
    </w:p>
    <w:p w14:paraId="667B40A4" w14:textId="77777777" w:rsidR="00082879" w:rsidRDefault="00082879">
      <w:r>
        <w:t>Keywords:</w:t>
      </w:r>
      <w:r w:rsidR="006C5351">
        <w:rPr>
          <w:i/>
        </w:rPr>
        <w:t xml:space="preserve"> </w:t>
      </w:r>
      <w:r w:rsidRPr="008510A7">
        <w:rPr>
          <w:i/>
        </w:rPr>
        <w:t>Miscanthus, Populus, Arundo</w:t>
      </w:r>
      <w:r>
        <w:t>, molecular breeding, next generation sequencing, marginal land</w:t>
      </w:r>
      <w:r w:rsidR="00DB0DDF">
        <w:t>, lignocellulosic crop</w:t>
      </w:r>
    </w:p>
    <w:p w14:paraId="216BCEEA" w14:textId="77777777" w:rsidR="00082879" w:rsidRDefault="00082879"/>
    <w:p w14:paraId="3FED99BC" w14:textId="77777777" w:rsidR="00082879" w:rsidRDefault="00082879">
      <w:r>
        <w:t>Section:</w:t>
      </w:r>
    </w:p>
    <w:p w14:paraId="192F9A04" w14:textId="77777777" w:rsidR="00082879" w:rsidRDefault="00082879">
      <w:r>
        <w:t>Preface</w:t>
      </w:r>
    </w:p>
    <w:p w14:paraId="52344153" w14:textId="77777777" w:rsidR="00082879" w:rsidRDefault="00082879">
      <w:r>
        <w:br w:type="page"/>
      </w:r>
    </w:p>
    <w:p w14:paraId="39BAFDFF" w14:textId="77777777" w:rsidR="00082879" w:rsidRDefault="00082879" w:rsidP="00BE6785">
      <w:pPr>
        <w:jc w:val="both"/>
        <w:rPr>
          <w:b/>
        </w:rPr>
      </w:pPr>
      <w:r>
        <w:rPr>
          <w:b/>
        </w:rPr>
        <w:lastRenderedPageBreak/>
        <w:t>ABSTRACT</w:t>
      </w:r>
    </w:p>
    <w:p w14:paraId="55AEE83E" w14:textId="77777777" w:rsidR="00082879" w:rsidRDefault="00082879" w:rsidP="00BE6785">
      <w:pPr>
        <w:jc w:val="both"/>
        <w:rPr>
          <w:b/>
        </w:rPr>
      </w:pPr>
      <w:r>
        <w:rPr>
          <w:b/>
        </w:rPr>
        <w:t>Background and Aims</w:t>
      </w:r>
    </w:p>
    <w:p w14:paraId="32106CBD" w14:textId="6296F17D" w:rsidR="000D7AE8" w:rsidRPr="000D7AE8" w:rsidRDefault="000D7AE8" w:rsidP="00BE6785">
      <w:pPr>
        <w:jc w:val="both"/>
      </w:pPr>
      <w:r>
        <w:t>Bioenergy crops are central to climate mitigation strategies that utilize biogenic carbon, such as BECCS (Bioenergy with Carbon Capture and Storage), alongside the us</w:t>
      </w:r>
      <w:r w:rsidR="0077368A">
        <w:t>e of biomass for heat, power,</w:t>
      </w:r>
      <w:r w:rsidR="00B80D32">
        <w:t xml:space="preserve"> </w:t>
      </w:r>
      <w:r>
        <w:t>liquid fuels</w:t>
      </w:r>
      <w:r w:rsidR="0077368A">
        <w:t xml:space="preserve"> and</w:t>
      </w:r>
      <w:r w:rsidR="00C76425">
        <w:t xml:space="preserve"> in the future, </w:t>
      </w:r>
      <w:r w:rsidR="002F56B2">
        <w:t xml:space="preserve"> </w:t>
      </w:r>
      <w:r w:rsidR="0077368A">
        <w:t>biorefin</w:t>
      </w:r>
      <w:r w:rsidR="002F56B2">
        <w:t>ing to chemicals</w:t>
      </w:r>
      <w:r>
        <w:t xml:space="preserve">. </w:t>
      </w:r>
      <w:r w:rsidR="00693C09">
        <w:t>S</w:t>
      </w:r>
      <w:r>
        <w:t>everal promising lignocellulosic crops are emerging that have no food role – fast growing trees and grasses – but are well suited as bioenergy feedstocks</w:t>
      </w:r>
      <w:r w:rsidR="00F2419E">
        <w:t>,</w:t>
      </w:r>
      <w:r w:rsidR="00693C09">
        <w:t xml:space="preserve"> including</w:t>
      </w:r>
      <w:r>
        <w:t xml:space="preserve"> </w:t>
      </w:r>
      <w:r>
        <w:rPr>
          <w:i/>
        </w:rPr>
        <w:t xml:space="preserve">Populus, Salix, Arundo, Miscanthus, </w:t>
      </w:r>
      <w:r w:rsidR="002C7AD5">
        <w:rPr>
          <w:i/>
        </w:rPr>
        <w:t>Panicum</w:t>
      </w:r>
      <w:r>
        <w:rPr>
          <w:i/>
        </w:rPr>
        <w:t xml:space="preserve">, </w:t>
      </w:r>
      <w:r>
        <w:t xml:space="preserve">and </w:t>
      </w:r>
      <w:r>
        <w:rPr>
          <w:i/>
        </w:rPr>
        <w:t>Sorghum.</w:t>
      </w:r>
    </w:p>
    <w:p w14:paraId="3B285CD0" w14:textId="77777777" w:rsidR="00082879" w:rsidRDefault="00082879" w:rsidP="00BE6785">
      <w:pPr>
        <w:jc w:val="both"/>
        <w:rPr>
          <w:b/>
        </w:rPr>
      </w:pPr>
      <w:r>
        <w:rPr>
          <w:b/>
        </w:rPr>
        <w:t>Scope</w:t>
      </w:r>
    </w:p>
    <w:p w14:paraId="167D5C59" w14:textId="70F4C624" w:rsidR="000D7AE8" w:rsidRPr="00693C09" w:rsidRDefault="0003230D" w:rsidP="00BE6785">
      <w:pPr>
        <w:jc w:val="both"/>
        <w:rPr>
          <w:b/>
        </w:rPr>
      </w:pPr>
      <w:r>
        <w:t xml:space="preserve">These promising </w:t>
      </w:r>
      <w:r w:rsidR="000D7AE8">
        <w:t>crops remain largely undomesticated and</w:t>
      </w:r>
      <w:r w:rsidR="001F5A02">
        <w:t>,</w:t>
      </w:r>
      <w:r w:rsidR="000D7AE8">
        <w:t xml:space="preserve"> until recently,</w:t>
      </w:r>
      <w:r w:rsidR="00693C09">
        <w:t xml:space="preserve"> ha</w:t>
      </w:r>
      <w:r w:rsidR="001F5A02">
        <w:t>ve had</w:t>
      </w:r>
      <w:r w:rsidR="000D7AE8">
        <w:t xml:space="preserve"> limited germplasm resources. In order to avoid competition with food crops for land</w:t>
      </w:r>
      <w:r w:rsidR="0077368A">
        <w:t xml:space="preserve"> and nature conservation</w:t>
      </w:r>
      <w:r w:rsidR="000D7AE8">
        <w:t>, it is likely that future bioenergy crops will be grown on</w:t>
      </w:r>
      <w:r w:rsidR="008A7CDB">
        <w:t xml:space="preserve"> marginal</w:t>
      </w:r>
      <w:r w:rsidR="001F5A02">
        <w:t xml:space="preserve"> land that is not needed for food production and</w:t>
      </w:r>
      <w:r w:rsidR="000D7AE8">
        <w:t xml:space="preserve"> </w:t>
      </w:r>
      <w:r w:rsidR="008A7CDB">
        <w:t xml:space="preserve">is </w:t>
      </w:r>
      <w:r w:rsidR="000D7AE8">
        <w:t>of poor quality and subject to drought stress</w:t>
      </w:r>
      <w:r>
        <w:t>. Thus,</w:t>
      </w:r>
      <w:r w:rsidR="000D7AE8">
        <w:t xml:space="preserve"> </w:t>
      </w:r>
      <w:r w:rsidR="0077368A">
        <w:t xml:space="preserve">here we define </w:t>
      </w:r>
      <w:r w:rsidR="000D7AE8">
        <w:t xml:space="preserve">an </w:t>
      </w:r>
      <w:r w:rsidR="000D7AE8" w:rsidRPr="00C76425">
        <w:rPr>
          <w:i/>
        </w:rPr>
        <w:t>ideotype for drought tolerance</w:t>
      </w:r>
      <w:r w:rsidR="000D7AE8">
        <w:t xml:space="preserve"> that will enable biomass production to be maintained in the face of moderate drought stress</w:t>
      </w:r>
      <w:r w:rsidR="0077368A">
        <w:t>. This</w:t>
      </w:r>
      <w:r w:rsidR="000D7AE8">
        <w:t xml:space="preserve"> includes traits that can readily be measured in wide populations of several hundred unique genotypes for </w:t>
      </w:r>
      <w:r w:rsidR="00F2419E">
        <w:t>genome wide association studies (</w:t>
      </w:r>
      <w:r w:rsidR="000D7AE8">
        <w:t>GWAS</w:t>
      </w:r>
      <w:r w:rsidR="00F2419E">
        <w:t>)</w:t>
      </w:r>
      <w:r w:rsidR="000D7AE8">
        <w:t>, alongside traits that are informative but can only easily be assessed in limited numbers or training populations that ma</w:t>
      </w:r>
      <w:r>
        <w:t>y be more suitable for Genomic S</w:t>
      </w:r>
      <w:r w:rsidR="000D7AE8">
        <w:t>election</w:t>
      </w:r>
      <w:r>
        <w:t xml:space="preserve"> (GS)</w:t>
      </w:r>
      <w:r w:rsidR="000D7AE8">
        <w:t xml:space="preserve">. </w:t>
      </w:r>
      <w:r>
        <w:t>Phenotyping</w:t>
      </w:r>
      <w:r w:rsidR="003302B4">
        <w:t xml:space="preserve">, </w:t>
      </w:r>
      <w:r>
        <w:t>not genotyping</w:t>
      </w:r>
      <w:r w:rsidR="003302B4">
        <w:t>,</w:t>
      </w:r>
      <w:r>
        <w:t xml:space="preserve"> is now the major bottleneck for progress since in all lignocellulosic crops studied, extensive use has been made of next generation sequencing such that several thousand markers are now available and populations are emerging that will enable rapid progress for drought tolerance breeding. </w:t>
      </w:r>
      <w:r w:rsidR="0077368A">
        <w:t>The emergence of n</w:t>
      </w:r>
      <w:r>
        <w:t>ovel technologies for targeted genotype-by-sequencing are particularly welcome.</w:t>
      </w:r>
      <w:r w:rsidR="00693C09">
        <w:t xml:space="preserve"> Genome </w:t>
      </w:r>
      <w:r w:rsidR="009B61C6">
        <w:t>E</w:t>
      </w:r>
      <w:r w:rsidR="00693C09">
        <w:t xml:space="preserve">diting </w:t>
      </w:r>
      <w:r w:rsidR="009B61C6">
        <w:t xml:space="preserve">(GE) </w:t>
      </w:r>
      <w:r w:rsidR="00693C09">
        <w:t xml:space="preserve">has already been demonstrated for </w:t>
      </w:r>
      <w:r w:rsidR="00693C09">
        <w:rPr>
          <w:i/>
        </w:rPr>
        <w:t>Populus</w:t>
      </w:r>
      <w:r w:rsidR="00693C09">
        <w:t xml:space="preserve"> and offers significant potential for rapid deployment of drought tolerant crops through manipulation of ABA receptors, as demonstrated in </w:t>
      </w:r>
      <w:r w:rsidR="00693C09" w:rsidRPr="009B61C6">
        <w:rPr>
          <w:i/>
        </w:rPr>
        <w:t>Arabidopsis</w:t>
      </w:r>
      <w:r w:rsidR="00693C09">
        <w:t>, with other gene targets yet to be tested.</w:t>
      </w:r>
    </w:p>
    <w:p w14:paraId="624C926E" w14:textId="77777777" w:rsidR="00082879" w:rsidRPr="00936D25" w:rsidRDefault="00082879" w:rsidP="00BE6785">
      <w:pPr>
        <w:jc w:val="both"/>
      </w:pPr>
      <w:r>
        <w:rPr>
          <w:b/>
        </w:rPr>
        <w:t>Conclusions</w:t>
      </w:r>
      <w:r w:rsidR="00936D25">
        <w:rPr>
          <w:b/>
        </w:rPr>
        <w:t xml:space="preserve"> </w:t>
      </w:r>
      <w:r w:rsidR="00936D25">
        <w:t xml:space="preserve">  </w:t>
      </w:r>
    </w:p>
    <w:p w14:paraId="2E9A6678" w14:textId="7B05380A" w:rsidR="00082879" w:rsidRPr="0003230D" w:rsidRDefault="00693C09" w:rsidP="00BE6785">
      <w:pPr>
        <w:jc w:val="both"/>
      </w:pPr>
      <w:r>
        <w:t xml:space="preserve">Bioenergy is predicted to </w:t>
      </w:r>
      <w:r w:rsidR="0003230D" w:rsidRPr="0003230D">
        <w:t>be the fastest developing renewabl</w:t>
      </w:r>
      <w:r>
        <w:t>e energy over the coming decade and significant investment over the past decade has been made in developing genomic resources and in collecting wild germplasm from within the natural ranges of several tree and grass crops. Harnessing these resources for climate</w:t>
      </w:r>
      <w:r w:rsidR="003302B4">
        <w:t>-</w:t>
      </w:r>
      <w:r>
        <w:t>resilient crops for the future remains a challenge but one that is likely to be successful.</w:t>
      </w:r>
      <w:r w:rsidR="00082879" w:rsidRPr="0003230D">
        <w:br w:type="page"/>
      </w:r>
    </w:p>
    <w:p w14:paraId="7459E1A2" w14:textId="77777777" w:rsidR="00082879" w:rsidRDefault="00082879" w:rsidP="00BE6785">
      <w:pPr>
        <w:spacing w:line="360" w:lineRule="auto"/>
        <w:jc w:val="both"/>
        <w:rPr>
          <w:b/>
        </w:rPr>
      </w:pPr>
      <w:r>
        <w:rPr>
          <w:b/>
        </w:rPr>
        <w:t>INTRODUCTION</w:t>
      </w:r>
      <w:r w:rsidR="00122EDC">
        <w:rPr>
          <w:b/>
        </w:rPr>
        <w:t xml:space="preserve"> – </w:t>
      </w:r>
      <w:r w:rsidR="00122EDC" w:rsidRPr="00BE1BC9">
        <w:rPr>
          <w:b/>
          <w:caps/>
        </w:rPr>
        <w:t>Biomass is required for a low carbon future</w:t>
      </w:r>
    </w:p>
    <w:p w14:paraId="3731EE1A" w14:textId="49572114" w:rsidR="000E6D6F" w:rsidRPr="004408AC" w:rsidRDefault="00122EDC" w:rsidP="00BE6785">
      <w:pPr>
        <w:spacing w:line="360" w:lineRule="auto"/>
        <w:jc w:val="both"/>
      </w:pPr>
      <w:r>
        <w:t>Biomass</w:t>
      </w:r>
      <w:r w:rsidR="000E6D6F">
        <w:t xml:space="preserve"> used for bioenergy</w:t>
      </w:r>
      <w:r w:rsidR="00CB10B5">
        <w:t xml:space="preserve"> has a significant greenhouse gas (GHG) mitigation potential and biomass</w:t>
      </w:r>
      <w:r>
        <w:t xml:space="preserve"> resources are required now more than ever to ensure a sustainable low</w:t>
      </w:r>
      <w:r w:rsidR="003302B4">
        <w:t>-</w:t>
      </w:r>
      <w:r>
        <w:t>carbon future</w:t>
      </w:r>
      <w:r w:rsidR="00CB10B5">
        <w:t xml:space="preserve"> for the planet</w:t>
      </w:r>
      <w:r>
        <w:t xml:space="preserve">. In the </w:t>
      </w:r>
      <w:r w:rsidR="0065382C">
        <w:t xml:space="preserve">most </w:t>
      </w:r>
      <w:r>
        <w:t xml:space="preserve">recent </w:t>
      </w:r>
      <w:r w:rsidR="00BE6B5C" w:rsidRPr="00E926D6">
        <w:t>Intergovernmental Panel on Climate Change</w:t>
      </w:r>
      <w:r w:rsidR="00BE6B5C">
        <w:t xml:space="preserve"> </w:t>
      </w:r>
      <w:r w:rsidR="00F258F8">
        <w:t xml:space="preserve"> 5th</w:t>
      </w:r>
      <w:r>
        <w:t xml:space="preserve"> </w:t>
      </w:r>
      <w:r w:rsidRPr="006655E1">
        <w:t>report</w:t>
      </w:r>
      <w:r w:rsidR="0085279F" w:rsidRPr="006655E1">
        <w:t xml:space="preserve"> (</w:t>
      </w:r>
      <w:r w:rsidR="006655E1" w:rsidRPr="006655E1">
        <w:t>IPCC, 2014</w:t>
      </w:r>
      <w:r w:rsidR="0085279F" w:rsidRPr="006655E1">
        <w:t>),</w:t>
      </w:r>
      <w:r w:rsidR="00F258F8">
        <w:t xml:space="preserve"> </w:t>
      </w:r>
      <w:r w:rsidR="008A7CDB">
        <w:t xml:space="preserve">the majority of </w:t>
      </w:r>
      <w:r w:rsidR="00F258F8">
        <w:t xml:space="preserve"> scenarios rely on bioenergy with carbon capture and storage (BECCS) to remove CO</w:t>
      </w:r>
      <w:r w:rsidR="00F258F8">
        <w:rPr>
          <w:vertAlign w:val="subscript"/>
        </w:rPr>
        <w:t>2</w:t>
      </w:r>
      <w:r w:rsidR="00F258F8">
        <w:t xml:space="preserve"> from the atmosphere. More recently</w:t>
      </w:r>
      <w:r w:rsidR="0065382C">
        <w:t>,</w:t>
      </w:r>
      <w:r w:rsidR="00F258F8">
        <w:t xml:space="preserve"> in a consideration of</w:t>
      </w:r>
      <w:r>
        <w:t xml:space="preserve"> pathways to limit global warming to 1.5 </w:t>
      </w:r>
      <w:r w:rsidR="00D741D9" w:rsidRPr="00D741D9">
        <w:rPr>
          <w:rFonts w:cstheme="minorHAnsi"/>
          <w:vertAlign w:val="superscript"/>
        </w:rPr>
        <w:t>◦</w:t>
      </w:r>
      <w:r>
        <w:t xml:space="preserve">C, there is a heavy emphasis on technologies </w:t>
      </w:r>
      <w:r w:rsidR="00F258F8">
        <w:t xml:space="preserve">to rapidly achieve </w:t>
      </w:r>
      <w:r w:rsidR="002A22D9">
        <w:t xml:space="preserve">net </w:t>
      </w:r>
      <w:r w:rsidR="00CB10B5">
        <w:t xml:space="preserve">zero </w:t>
      </w:r>
      <w:r w:rsidR="0065382C">
        <w:t xml:space="preserve">or even </w:t>
      </w:r>
      <w:r w:rsidR="00CB10B5">
        <w:t xml:space="preserve">negative </w:t>
      </w:r>
      <w:r w:rsidR="002A22D9">
        <w:t>emissions</w:t>
      </w:r>
      <w:r w:rsidR="009C7BE2">
        <w:t xml:space="preserve"> by 2050</w:t>
      </w:r>
      <w:r w:rsidR="008A7CDB">
        <w:t xml:space="preserve"> - </w:t>
      </w:r>
      <w:r w:rsidR="009B61C6">
        <w:t>so called Negative Emissions Technologies (NETs,</w:t>
      </w:r>
      <w:r w:rsidR="00C76425">
        <w:t xml:space="preserve"> </w:t>
      </w:r>
      <w:r w:rsidR="00746A7C">
        <w:t>Fuss et al</w:t>
      </w:r>
      <w:r w:rsidR="00163364">
        <w:t>.,</w:t>
      </w:r>
      <w:r w:rsidR="00746A7C">
        <w:t xml:space="preserve"> </w:t>
      </w:r>
      <w:r w:rsidR="001706E0">
        <w:t>2014).</w:t>
      </w:r>
      <w:r w:rsidR="009B61C6">
        <w:t xml:space="preserve"> The most significant of these technologies include afforestation and reforestation, the use of biochar, Direct Air Capture and Sequestration (DACCS), enhanced weathering of minerals, soil carbon sequestration and BECCS. Of these, BECCS </w:t>
      </w:r>
      <w:r w:rsidR="00C76425">
        <w:t xml:space="preserve">has </w:t>
      </w:r>
      <w:r w:rsidR="009B61C6">
        <w:t xml:space="preserve">more potential to deliver reduced global warming than afforestation and reforestation and biochar, although DACCS and soil carbon sequestration </w:t>
      </w:r>
      <w:r w:rsidR="00C76425">
        <w:t xml:space="preserve">are </w:t>
      </w:r>
      <w:r w:rsidR="00326641">
        <w:t xml:space="preserve"> </w:t>
      </w:r>
      <w:r w:rsidR="00C76425">
        <w:t xml:space="preserve">considered to </w:t>
      </w:r>
      <w:r w:rsidR="009B61C6">
        <w:t xml:space="preserve">have an equivalent potential </w:t>
      </w:r>
      <w:r w:rsidR="00C76425">
        <w:t>to</w:t>
      </w:r>
      <w:r w:rsidR="009B61C6">
        <w:t xml:space="preserve"> BECCS (Fuss et al., 2018). </w:t>
      </w:r>
      <w:r w:rsidR="00AE6245">
        <w:t>For example</w:t>
      </w:r>
      <w:r w:rsidR="008A7CDB">
        <w:t>,</w:t>
      </w:r>
      <w:r w:rsidR="00AE6245">
        <w:t xml:space="preserve"> in the UK</w:t>
      </w:r>
      <w:r w:rsidR="00372DFA">
        <w:t xml:space="preserve"> sustainable bioenergy is</w:t>
      </w:r>
      <w:r w:rsidR="009B61C6">
        <w:t xml:space="preserve"> </w:t>
      </w:r>
      <w:r w:rsidR="00372DFA">
        <w:t xml:space="preserve">required to supply at least 10% of energy demand, even in a modest zero emissions </w:t>
      </w:r>
      <w:r w:rsidR="00372DFA" w:rsidRPr="00CA30BC">
        <w:t xml:space="preserve">scenario </w:t>
      </w:r>
      <w:r w:rsidR="00CA30BC" w:rsidRPr="00CA30BC">
        <w:t>(C</w:t>
      </w:r>
      <w:r w:rsidR="00CA30BC">
        <w:t xml:space="preserve">ommittee on </w:t>
      </w:r>
      <w:r w:rsidR="00CA30BC" w:rsidRPr="00CA30BC">
        <w:t>C</w:t>
      </w:r>
      <w:r w:rsidR="00CA30BC">
        <w:t>limate Change</w:t>
      </w:r>
      <w:r w:rsidR="00CA30BC" w:rsidRPr="00CA30BC">
        <w:t>, 2019)</w:t>
      </w:r>
      <w:r w:rsidR="00CA30BC">
        <w:t>.</w:t>
      </w:r>
      <w:r w:rsidR="00CB10B5">
        <w:t xml:space="preserve"> Bioenergy and </w:t>
      </w:r>
      <w:r w:rsidR="0085279F">
        <w:t>BECCS</w:t>
      </w:r>
      <w:r w:rsidR="00CB10B5">
        <w:t xml:space="preserve"> are significant</w:t>
      </w:r>
      <w:r w:rsidR="009C7BE2">
        <w:t xml:space="preserve"> </w:t>
      </w:r>
      <w:r w:rsidR="003302B4">
        <w:t xml:space="preserve">elements of </w:t>
      </w:r>
      <w:r w:rsidR="009C7BE2">
        <w:t xml:space="preserve">the </w:t>
      </w:r>
      <w:r w:rsidR="00CB10B5">
        <w:t>technology options to limit global warming,</w:t>
      </w:r>
      <w:r w:rsidR="000E6D6F">
        <w:t xml:space="preserve"> where the favo</w:t>
      </w:r>
      <w:r w:rsidR="0085279F">
        <w:t>u</w:t>
      </w:r>
      <w:r w:rsidR="000E6D6F">
        <w:t>red feedstock</w:t>
      </w:r>
      <w:r w:rsidR="009C7BE2">
        <w:t>s</w:t>
      </w:r>
      <w:r w:rsidR="000E6D6F">
        <w:t xml:space="preserve"> are second generation </w:t>
      </w:r>
      <w:r w:rsidR="00921841">
        <w:t xml:space="preserve">(2G) </w:t>
      </w:r>
      <w:r w:rsidR="000E6D6F">
        <w:t xml:space="preserve">dedicated cellulosic crops (e.g. </w:t>
      </w:r>
      <w:r w:rsidR="000E6D6F">
        <w:rPr>
          <w:i/>
        </w:rPr>
        <w:t>Miscanthus</w:t>
      </w:r>
      <w:r w:rsidR="000E6D6F">
        <w:t xml:space="preserve"> and poplar)</w:t>
      </w:r>
      <w:r w:rsidR="002008AC">
        <w:t xml:space="preserve">. Although other innovative crops being considered include micro- and macro-algae, these are not </w:t>
      </w:r>
      <w:r w:rsidR="009B61C6">
        <w:t xml:space="preserve">included here </w:t>
      </w:r>
      <w:r w:rsidR="002008AC">
        <w:t>since</w:t>
      </w:r>
      <w:r w:rsidR="009B61C6">
        <w:t xml:space="preserve"> at present</w:t>
      </w:r>
      <w:r w:rsidR="002008AC">
        <w:t xml:space="preserve"> they remain uncompetitive due to the high costs of cultivation and harvest an</w:t>
      </w:r>
      <w:r w:rsidR="003329AD">
        <w:t>d,</w:t>
      </w:r>
      <w:r w:rsidR="002008AC">
        <w:t xml:space="preserve"> in the medium-term at least, may be more suited to high value chemical production (Laurens et al., 2017)</w:t>
      </w:r>
      <w:r w:rsidR="000E6D6F">
        <w:t xml:space="preserve">. </w:t>
      </w:r>
      <w:r w:rsidR="0065382C">
        <w:t xml:space="preserve">Cellulosic </w:t>
      </w:r>
      <w:r w:rsidR="000E6D6F">
        <w:t>crops have no food role, in contrast to many first generation bioenergy crops (e.g. oilseed rape and maize), and can be used for electricity, liquid fuel, biogas, hydrogen production and to supply feedstocks to complex biorefineries</w:t>
      </w:r>
      <w:r w:rsidR="0065382C">
        <w:t>,</w:t>
      </w:r>
      <w:r w:rsidR="000E6D6F">
        <w:t xml:space="preserve"> producing energy alongside a range of high quality chemicals </w:t>
      </w:r>
      <w:r w:rsidR="00CA30BC">
        <w:t>(Taylor, 2008).</w:t>
      </w:r>
      <w:r w:rsidR="000E6D6F">
        <w:t xml:space="preserve"> However, t</w:t>
      </w:r>
      <w:r w:rsidR="00CB10B5">
        <w:t xml:space="preserve">he </w:t>
      </w:r>
      <w:r w:rsidR="003329AD">
        <w:t xml:space="preserve">merits </w:t>
      </w:r>
      <w:r w:rsidR="00CB10B5">
        <w:t>of wide</w:t>
      </w:r>
      <w:r w:rsidR="0085279F">
        <w:t>-</w:t>
      </w:r>
      <w:r w:rsidR="00CB10B5">
        <w:t xml:space="preserve">scale bioenergy deployment to </w:t>
      </w:r>
      <w:r w:rsidR="003329AD">
        <w:t xml:space="preserve">reduce greenhouse gas emissions </w:t>
      </w:r>
      <w:r w:rsidR="000E6D6F">
        <w:t xml:space="preserve"> are still question</w:t>
      </w:r>
      <w:r w:rsidR="003329AD">
        <w:t>ed</w:t>
      </w:r>
      <w:r w:rsidR="000E6D6F">
        <w:t xml:space="preserve"> since the Integrated Assessment Models </w:t>
      </w:r>
      <w:r w:rsidR="009B61C6">
        <w:t xml:space="preserve">(IAMs), </w:t>
      </w:r>
      <w:r w:rsidR="000E6D6F">
        <w:t>used to explore energy</w:t>
      </w:r>
      <w:r w:rsidR="003329AD">
        <w:t xml:space="preserve"> futures</w:t>
      </w:r>
      <w:r w:rsidR="000E6D6F">
        <w:t xml:space="preserve"> make assump</w:t>
      </w:r>
      <w:r w:rsidR="009C7BE2">
        <w:t>tions about land availability</w:t>
      </w:r>
      <w:r w:rsidR="008A7CDB">
        <w:t xml:space="preserve">, </w:t>
      </w:r>
      <w:r w:rsidR="009C7BE2">
        <w:t xml:space="preserve">idealized management and also </w:t>
      </w:r>
      <w:r w:rsidR="003329AD">
        <w:t>about</w:t>
      </w:r>
      <w:r w:rsidR="009C7BE2">
        <w:t xml:space="preserve"> the cost of carbon. The land that may be required, globally, for future </w:t>
      </w:r>
      <w:r w:rsidR="0009683F">
        <w:t>BECCS deployment</w:t>
      </w:r>
      <w:r w:rsidR="009B61C6">
        <w:t xml:space="preserve"> alone</w:t>
      </w:r>
      <w:r w:rsidR="0009683F">
        <w:t xml:space="preserve"> ha</w:t>
      </w:r>
      <w:r w:rsidR="00F258F8">
        <w:t>s been estimated</w:t>
      </w:r>
      <w:r w:rsidR="0009683F">
        <w:t xml:space="preserve"> between 100- 500 Mha, by </w:t>
      </w:r>
      <w:r w:rsidR="0009683F" w:rsidRPr="00342C94">
        <w:t>2050 (</w:t>
      </w:r>
      <w:r w:rsidR="00D741D9" w:rsidRPr="00342C94">
        <w:t>Slade et al.</w:t>
      </w:r>
      <w:r w:rsidR="00342C94" w:rsidRPr="00342C94">
        <w:t>,</w:t>
      </w:r>
      <w:r w:rsidR="00D741D9" w:rsidRPr="00342C94">
        <w:t xml:space="preserve"> </w:t>
      </w:r>
      <w:r w:rsidR="00342C94">
        <w:t>2014</w:t>
      </w:r>
      <w:r w:rsidR="008A7CDB">
        <w:t>)</w:t>
      </w:r>
      <w:r w:rsidR="00342C94">
        <w:t>.</w:t>
      </w:r>
      <w:r w:rsidR="00B07DD4">
        <w:t xml:space="preserve"> At the same time, i</w:t>
      </w:r>
      <w:r w:rsidR="0035219E">
        <w:t>t is recognised that competition for land is increasing</w:t>
      </w:r>
      <w:r w:rsidR="00326641">
        <w:t>.Land is r</w:t>
      </w:r>
      <w:r w:rsidR="00B07DD4">
        <w:t>equired for future sustainable food production that optimizes human health (Willett et al., 2019), delivers afforestation and reforestation (</w:t>
      </w:r>
      <w:r w:rsidR="005834E2">
        <w:t>Bastin et al., 2019</w:t>
      </w:r>
      <w:r w:rsidR="00B07DD4">
        <w:t>)</w:t>
      </w:r>
      <w:r w:rsidR="005834E2">
        <w:t xml:space="preserve"> and as such there is </w:t>
      </w:r>
      <w:r w:rsidR="0035219E">
        <w:t>potential for bioenergy crops to displace land for food</w:t>
      </w:r>
      <w:r w:rsidR="005834E2">
        <w:t xml:space="preserve"> and other ecosystem services</w:t>
      </w:r>
      <w:r w:rsidR="0035219E">
        <w:t xml:space="preserve">, with negative impacts on the environment (Petty and Barucha, 2014). </w:t>
      </w:r>
      <w:r w:rsidR="0085279F">
        <w:t xml:space="preserve">Where this large land use change may </w:t>
      </w:r>
      <w:r w:rsidR="003329AD">
        <w:t>occur</w:t>
      </w:r>
      <w:r w:rsidR="0085279F">
        <w:t xml:space="preserve"> and</w:t>
      </w:r>
      <w:r w:rsidR="00F258F8">
        <w:t xml:space="preserve"> </w:t>
      </w:r>
      <w:r w:rsidR="00A81A1E">
        <w:t xml:space="preserve">what </w:t>
      </w:r>
      <w:r w:rsidR="00F258F8">
        <w:t>the imp</w:t>
      </w:r>
      <w:r w:rsidR="0085279F">
        <w:t xml:space="preserve">lications </w:t>
      </w:r>
      <w:r w:rsidR="00A81A1E">
        <w:t xml:space="preserve">are </w:t>
      </w:r>
      <w:r w:rsidR="0085279F">
        <w:t xml:space="preserve">for </w:t>
      </w:r>
      <w:r w:rsidR="00F258F8">
        <w:t>a wide range of ecosystems services and natural capital</w:t>
      </w:r>
      <w:r w:rsidR="00737DC7">
        <w:t>, including food and nutrient security and the preservation of biodiversity and soil carbon stocks</w:t>
      </w:r>
      <w:r w:rsidR="00A81A1E">
        <w:t>,</w:t>
      </w:r>
      <w:r w:rsidR="00F258F8">
        <w:t xml:space="preserve"> </w:t>
      </w:r>
      <w:r w:rsidR="00A81A1E">
        <w:t xml:space="preserve">is </w:t>
      </w:r>
      <w:r w:rsidR="00F258F8">
        <w:t>only just emerging</w:t>
      </w:r>
      <w:r w:rsidR="007F0DAB">
        <w:t>.</w:t>
      </w:r>
      <w:r w:rsidR="00737DC7">
        <w:t xml:space="preserve"> </w:t>
      </w:r>
      <w:r w:rsidR="007F0DAB">
        <w:t>M</w:t>
      </w:r>
      <w:r w:rsidR="00737DC7">
        <w:t xml:space="preserve">ost of the mitigation scenarios use a base-line </w:t>
      </w:r>
      <w:r w:rsidR="009B61C6">
        <w:t xml:space="preserve">bioenergy </w:t>
      </w:r>
      <w:r w:rsidR="00737DC7">
        <w:t xml:space="preserve">crop yield for </w:t>
      </w:r>
      <w:r w:rsidR="00B80D32">
        <w:t xml:space="preserve">modelling </w:t>
      </w:r>
      <w:r w:rsidR="00737DC7">
        <w:t>of 10 tonnes of biomass ha</w:t>
      </w:r>
      <w:r w:rsidR="00737DC7">
        <w:rPr>
          <w:vertAlign w:val="superscript"/>
        </w:rPr>
        <w:t>-1</w:t>
      </w:r>
      <w:r w:rsidR="00737DC7">
        <w:t xml:space="preserve"> y</w:t>
      </w:r>
      <w:r w:rsidR="00737DC7">
        <w:rPr>
          <w:vertAlign w:val="superscript"/>
        </w:rPr>
        <w:t>-1</w:t>
      </w:r>
      <w:r w:rsidR="007F0DAB">
        <w:t>, but in</w:t>
      </w:r>
      <w:r w:rsidR="00737DC7">
        <w:t xml:space="preserve"> </w:t>
      </w:r>
      <w:r w:rsidR="00CC51D6">
        <w:t>a</w:t>
      </w:r>
      <w:r w:rsidR="00737DC7">
        <w:t xml:space="preserve"> recent global </w:t>
      </w:r>
      <w:r w:rsidR="00737DC7" w:rsidRPr="006648D5">
        <w:t>analysis of lignocellulosic crop yields (</w:t>
      </w:r>
      <w:r w:rsidR="00C55510" w:rsidRPr="006648D5">
        <w:t>Allwright and Taylor, 2015</w:t>
      </w:r>
      <w:r w:rsidR="00737DC7" w:rsidRPr="006648D5">
        <w:t xml:space="preserve">), it is apparent that yield may be double this baseline value </w:t>
      </w:r>
      <w:r w:rsidR="004408AC" w:rsidRPr="006648D5">
        <w:t>(Laurent et al., 2015)</w:t>
      </w:r>
      <w:r w:rsidR="009B61C6">
        <w:t>. T</w:t>
      </w:r>
      <w:r w:rsidR="002008AC">
        <w:t>he impact of this o</w:t>
      </w:r>
      <w:r w:rsidR="00B80D32">
        <w:t>n</w:t>
      </w:r>
      <w:r w:rsidR="002008AC">
        <w:t xml:space="preserve"> fuel yield will vary, depending on species due to the varying energy densities of different bioenergy crops (Valentine et al., 2011)</w:t>
      </w:r>
      <w:r w:rsidR="007F0DAB">
        <w:t>. This</w:t>
      </w:r>
      <w:r w:rsidR="00737DC7" w:rsidRPr="006648D5">
        <w:t xml:space="preserve"> </w:t>
      </w:r>
      <w:r w:rsidR="009B61C6">
        <w:t xml:space="preserve">gap between actual and potential </w:t>
      </w:r>
      <w:r w:rsidR="00737DC7" w:rsidRPr="006648D5">
        <w:t xml:space="preserve">yield is most often associated with </w:t>
      </w:r>
      <w:r w:rsidR="005135C4">
        <w:t xml:space="preserve">drought stress and is </w:t>
      </w:r>
      <w:r w:rsidR="008A7CDB">
        <w:t xml:space="preserve">reduced </w:t>
      </w:r>
      <w:r w:rsidR="005135C4">
        <w:t>by using irrigation</w:t>
      </w:r>
      <w:r w:rsidR="004408AC">
        <w:t xml:space="preserve">. Interestingly, this study also showed that the most productive lignocellulosic crop was </w:t>
      </w:r>
      <w:r w:rsidR="004408AC" w:rsidRPr="004408AC">
        <w:rPr>
          <w:i/>
        </w:rPr>
        <w:t>Arundo donax</w:t>
      </w:r>
      <w:r w:rsidR="004408AC">
        <w:rPr>
          <w:i/>
        </w:rPr>
        <w:softHyphen/>
      </w:r>
      <w:r w:rsidR="004408AC">
        <w:t xml:space="preserve">, a largely understudied </w:t>
      </w:r>
      <w:r w:rsidR="007143E8">
        <w:t xml:space="preserve">and unimproved </w:t>
      </w:r>
      <w:r w:rsidR="004408AC">
        <w:t>grass.</w:t>
      </w:r>
    </w:p>
    <w:p w14:paraId="118824CE" w14:textId="6B9EC02A" w:rsidR="003E4001" w:rsidRPr="003E4001" w:rsidRDefault="003E4001" w:rsidP="00BE6785">
      <w:pPr>
        <w:spacing w:line="360" w:lineRule="auto"/>
        <w:jc w:val="both"/>
        <w:rPr>
          <w:bCs/>
          <w:lang w:val="en-GB"/>
        </w:rPr>
      </w:pPr>
      <w:r w:rsidRPr="003E4001">
        <w:rPr>
          <w:bCs/>
          <w:lang w:val="en-GB"/>
        </w:rPr>
        <w:t xml:space="preserve">Despite its potential, significant unresolved challenges </w:t>
      </w:r>
      <w:r w:rsidR="005135C4">
        <w:rPr>
          <w:bCs/>
          <w:lang w:val="en-GB"/>
        </w:rPr>
        <w:t>remain if</w:t>
      </w:r>
      <w:r w:rsidRPr="003E4001">
        <w:rPr>
          <w:bCs/>
          <w:lang w:val="en-GB"/>
        </w:rPr>
        <w:t xml:space="preserve"> BECCS </w:t>
      </w:r>
      <w:r w:rsidR="005135C4">
        <w:rPr>
          <w:bCs/>
          <w:lang w:val="en-GB"/>
        </w:rPr>
        <w:t xml:space="preserve">is to be used </w:t>
      </w:r>
      <w:r w:rsidRPr="003E4001">
        <w:rPr>
          <w:bCs/>
          <w:lang w:val="en-GB"/>
        </w:rPr>
        <w:t>at appropriate scale to deliver a 3</w:t>
      </w:r>
      <w:r w:rsidR="00186C4F">
        <w:rPr>
          <w:bCs/>
          <w:lang w:val="en-GB"/>
        </w:rPr>
        <w:t xml:space="preserve"> </w:t>
      </w:r>
      <w:r w:rsidRPr="003E4001">
        <w:rPr>
          <w:bCs/>
          <w:lang w:val="en-GB"/>
        </w:rPr>
        <w:t>GtC eq</w:t>
      </w:r>
      <w:r w:rsidR="005135C4">
        <w:rPr>
          <w:bCs/>
          <w:lang w:val="en-GB"/>
        </w:rPr>
        <w:t>.</w:t>
      </w:r>
      <w:r w:rsidRPr="003E4001">
        <w:rPr>
          <w:bCs/>
          <w:lang w:val="en-GB"/>
        </w:rPr>
        <w:t xml:space="preserve"> per year</w:t>
      </w:r>
      <w:r w:rsidR="00D741D9">
        <w:rPr>
          <w:bCs/>
          <w:lang w:val="en-GB"/>
        </w:rPr>
        <w:t xml:space="preserve"> of net negative emissions</w:t>
      </w:r>
      <w:r w:rsidRPr="003E4001">
        <w:rPr>
          <w:bCs/>
          <w:lang w:val="en-GB"/>
        </w:rPr>
        <w:t xml:space="preserve"> out to 2100</w:t>
      </w:r>
      <w:r w:rsidR="005135C4">
        <w:rPr>
          <w:bCs/>
          <w:lang w:val="en-GB"/>
        </w:rPr>
        <w:t xml:space="preserve"> as part of efforts to avoid a temperature rise in excess of </w:t>
      </w:r>
      <w:r w:rsidR="00A81A1E">
        <w:rPr>
          <w:bCs/>
          <w:lang w:val="en-GB"/>
        </w:rPr>
        <w:t xml:space="preserve"> </w:t>
      </w:r>
      <w:r w:rsidR="00D741D9">
        <w:rPr>
          <w:bCs/>
          <w:lang w:val="en-GB"/>
        </w:rPr>
        <w:t>1.5</w:t>
      </w:r>
      <w:r w:rsidR="00186C4F">
        <w:rPr>
          <w:rFonts w:cstheme="minorHAnsi"/>
          <w:bCs/>
          <w:lang w:val="en-GB"/>
        </w:rPr>
        <w:t>◦</w:t>
      </w:r>
      <w:r w:rsidR="00D741D9">
        <w:rPr>
          <w:bCs/>
          <w:lang w:val="en-GB"/>
        </w:rPr>
        <w:t>C</w:t>
      </w:r>
      <w:r w:rsidR="006648D5">
        <w:rPr>
          <w:bCs/>
          <w:lang w:val="en-GB"/>
        </w:rPr>
        <w:t xml:space="preserve">. Both the CCS </w:t>
      </w:r>
      <w:r w:rsidRPr="003E4001">
        <w:rPr>
          <w:bCs/>
          <w:lang w:val="en-GB"/>
        </w:rPr>
        <w:t xml:space="preserve">and bioenergy components of BECCS require new insights, but significant challenges concerning the supply of sustainable biomass </w:t>
      </w:r>
      <w:r w:rsidR="00D741D9">
        <w:rPr>
          <w:bCs/>
          <w:lang w:val="en-GB"/>
        </w:rPr>
        <w:t>are highlighted in Table 1.</w:t>
      </w:r>
    </w:p>
    <w:tbl>
      <w:tblPr>
        <w:tblStyle w:val="TableContemporary"/>
        <w:tblW w:w="0" w:type="auto"/>
        <w:tblLook w:val="04A0" w:firstRow="1" w:lastRow="0" w:firstColumn="1" w:lastColumn="0" w:noHBand="0" w:noVBand="1"/>
      </w:tblPr>
      <w:tblGrid>
        <w:gridCol w:w="7650"/>
      </w:tblGrid>
      <w:tr w:rsidR="00D741D9" w:rsidRPr="003E4001" w14:paraId="190D616C" w14:textId="77777777" w:rsidTr="00AE6245">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2EF89FA5" w14:textId="77777777" w:rsidR="00AE6245" w:rsidRDefault="00AE6245" w:rsidP="00BE6785">
            <w:pPr>
              <w:spacing w:line="240" w:lineRule="auto"/>
              <w:jc w:val="both"/>
              <w:rPr>
                <w:b w:val="0"/>
                <w:lang w:val="en-GB"/>
              </w:rPr>
            </w:pPr>
          </w:p>
          <w:p w14:paraId="1311483F" w14:textId="77777777" w:rsidR="00C93B87" w:rsidRDefault="00C93B87" w:rsidP="00BE6785">
            <w:pPr>
              <w:spacing w:line="240" w:lineRule="auto"/>
              <w:jc w:val="both"/>
              <w:rPr>
                <w:b w:val="0"/>
                <w:lang w:val="en-GB"/>
              </w:rPr>
            </w:pPr>
            <w:r w:rsidRPr="004615B8">
              <w:rPr>
                <w:lang w:val="en-GB"/>
              </w:rPr>
              <w:t>Table 1:</w:t>
            </w:r>
            <w:r>
              <w:rPr>
                <w:b w:val="0"/>
                <w:lang w:val="en-GB"/>
              </w:rPr>
              <w:t xml:space="preserve"> </w:t>
            </w:r>
            <w:r w:rsidR="00186C4F">
              <w:rPr>
                <w:b w:val="0"/>
                <w:lang w:val="en-GB"/>
              </w:rPr>
              <w:t xml:space="preserve">Ensuring </w:t>
            </w:r>
            <w:r>
              <w:rPr>
                <w:b w:val="0"/>
                <w:lang w:val="en-GB"/>
              </w:rPr>
              <w:t xml:space="preserve">future deployment of bioenergy for climate change mitigation </w:t>
            </w:r>
          </w:p>
        </w:tc>
      </w:tr>
      <w:tr w:rsidR="00AE6245" w:rsidRPr="003E4001" w14:paraId="2853662C" w14:textId="77777777" w:rsidTr="00AE6245">
        <w:trPr>
          <w:cnfStyle w:val="000000100000" w:firstRow="0" w:lastRow="0" w:firstColumn="0" w:lastColumn="0" w:oddVBand="0" w:evenVBand="0" w:oddHBand="1" w:evenHBand="0" w:firstRowFirstColumn="0" w:firstRowLastColumn="0" w:lastRowFirstColumn="0" w:lastRowLastColumn="0"/>
        </w:trPr>
        <w:tc>
          <w:tcPr>
            <w:tcW w:w="7650" w:type="dxa"/>
            <w:shd w:val="clear" w:color="auto" w:fill="auto"/>
          </w:tcPr>
          <w:p w14:paraId="315F191E" w14:textId="77777777" w:rsidR="00AE6245" w:rsidRDefault="00AE6245" w:rsidP="00BE6785">
            <w:pPr>
              <w:spacing w:after="0" w:line="360" w:lineRule="auto"/>
              <w:jc w:val="both"/>
              <w:rPr>
                <w:lang w:val="en-GB"/>
              </w:rPr>
            </w:pPr>
          </w:p>
        </w:tc>
      </w:tr>
      <w:tr w:rsidR="003E4001" w:rsidRPr="003E4001" w14:paraId="4F3563D0" w14:textId="77777777" w:rsidTr="00AE6245">
        <w:trPr>
          <w:cnfStyle w:val="000000010000" w:firstRow="0" w:lastRow="0" w:firstColumn="0" w:lastColumn="0" w:oddVBand="0" w:evenVBand="0" w:oddHBand="0" w:evenHBand="1" w:firstRowFirstColumn="0" w:firstRowLastColumn="0" w:lastRowFirstColumn="0" w:lastRowLastColumn="0"/>
        </w:trPr>
        <w:tc>
          <w:tcPr>
            <w:tcW w:w="7650" w:type="dxa"/>
            <w:shd w:val="clear" w:color="auto" w:fill="auto"/>
          </w:tcPr>
          <w:p w14:paraId="22836A65" w14:textId="77777777" w:rsidR="00D741D9" w:rsidRPr="00C93B87" w:rsidRDefault="00C93B87" w:rsidP="00BE6785">
            <w:pPr>
              <w:pBdr>
                <w:top w:val="single" w:sz="4" w:space="1" w:color="auto"/>
                <w:bottom w:val="single" w:sz="4" w:space="1" w:color="auto"/>
              </w:pBdr>
              <w:spacing w:after="0" w:line="240" w:lineRule="auto"/>
              <w:jc w:val="both"/>
              <w:rPr>
                <w:lang w:val="en-GB"/>
              </w:rPr>
            </w:pPr>
            <w:r>
              <w:rPr>
                <w:lang w:val="en-GB"/>
              </w:rPr>
              <w:t>Significant challenges to ensure sustainable bioenergy</w:t>
            </w:r>
          </w:p>
          <w:p w14:paraId="26957850" w14:textId="575AD96C" w:rsidR="003E4001" w:rsidRPr="00C93B87" w:rsidRDefault="005135C4" w:rsidP="00BE6785">
            <w:pPr>
              <w:spacing w:after="0" w:line="240" w:lineRule="auto"/>
              <w:jc w:val="both"/>
              <w:rPr>
                <w:i/>
                <w:lang w:val="en-GB"/>
              </w:rPr>
            </w:pPr>
            <w:r>
              <w:rPr>
                <w:b/>
                <w:bCs/>
                <w:lang w:val="en-GB"/>
              </w:rPr>
              <w:t>L</w:t>
            </w:r>
            <w:r w:rsidR="003E4001" w:rsidRPr="00C93B87">
              <w:rPr>
                <w:b/>
                <w:bCs/>
                <w:lang w:val="en-GB"/>
              </w:rPr>
              <w:t>and availability</w:t>
            </w:r>
            <w:r w:rsidR="003E4001" w:rsidRPr="00C93B87">
              <w:rPr>
                <w:bCs/>
                <w:lang w:val="en-GB"/>
              </w:rPr>
              <w:t xml:space="preserve">  - finding </w:t>
            </w:r>
            <w:r w:rsidR="00BE6B5C">
              <w:rPr>
                <w:bCs/>
                <w:lang w:val="en-GB"/>
              </w:rPr>
              <w:t xml:space="preserve">marginal agricultural </w:t>
            </w:r>
            <w:r w:rsidR="003E4001" w:rsidRPr="00C93B87">
              <w:rPr>
                <w:bCs/>
                <w:lang w:val="en-GB"/>
              </w:rPr>
              <w:t>land for adequate bioenergy crop deployment</w:t>
            </w:r>
          </w:p>
        </w:tc>
      </w:tr>
      <w:tr w:rsidR="003E4001" w:rsidRPr="003E4001" w14:paraId="7A4CF36C" w14:textId="77777777" w:rsidTr="00AE6245">
        <w:trPr>
          <w:cnfStyle w:val="000000100000" w:firstRow="0" w:lastRow="0" w:firstColumn="0" w:lastColumn="0" w:oddVBand="0" w:evenVBand="0" w:oddHBand="1" w:evenHBand="0" w:firstRowFirstColumn="0" w:firstRowLastColumn="0" w:lastRowFirstColumn="0" w:lastRowLastColumn="0"/>
        </w:trPr>
        <w:tc>
          <w:tcPr>
            <w:tcW w:w="7650" w:type="dxa"/>
            <w:shd w:val="clear" w:color="auto" w:fill="auto"/>
          </w:tcPr>
          <w:p w14:paraId="4E42F8BB" w14:textId="77777777" w:rsidR="003E4001" w:rsidRPr="00D741D9" w:rsidRDefault="003E4001" w:rsidP="00BE6785">
            <w:pPr>
              <w:spacing w:after="0" w:line="240" w:lineRule="auto"/>
              <w:jc w:val="both"/>
              <w:rPr>
                <w:bCs/>
                <w:i/>
                <w:lang w:val="en-GB"/>
              </w:rPr>
            </w:pPr>
            <w:r w:rsidRPr="00C93B87">
              <w:rPr>
                <w:b/>
                <w:bCs/>
                <w:lang w:val="en-GB"/>
              </w:rPr>
              <w:t>Yield limitations</w:t>
            </w:r>
            <w:r w:rsidRPr="00D741D9">
              <w:rPr>
                <w:bCs/>
                <w:lang w:val="en-GB"/>
              </w:rPr>
              <w:t xml:space="preserve"> -  addressing the gap between potential and actual yield</w:t>
            </w:r>
          </w:p>
        </w:tc>
      </w:tr>
      <w:tr w:rsidR="003E4001" w:rsidRPr="003E4001" w14:paraId="6DF647AD" w14:textId="77777777" w:rsidTr="00AE6245">
        <w:trPr>
          <w:cnfStyle w:val="000000010000" w:firstRow="0" w:lastRow="0" w:firstColumn="0" w:lastColumn="0" w:oddVBand="0" w:evenVBand="0" w:oddHBand="0" w:evenHBand="1" w:firstRowFirstColumn="0" w:firstRowLastColumn="0" w:lastRowFirstColumn="0" w:lastRowLastColumn="0"/>
        </w:trPr>
        <w:tc>
          <w:tcPr>
            <w:tcW w:w="7650" w:type="dxa"/>
            <w:tcBorders>
              <w:bottom w:val="nil"/>
            </w:tcBorders>
            <w:shd w:val="clear" w:color="auto" w:fill="auto"/>
          </w:tcPr>
          <w:p w14:paraId="75238019" w14:textId="77777777" w:rsidR="003E4001" w:rsidRPr="00D741D9" w:rsidRDefault="003E4001" w:rsidP="00BE6785">
            <w:pPr>
              <w:spacing w:after="0" w:line="240" w:lineRule="auto"/>
              <w:jc w:val="both"/>
              <w:rPr>
                <w:bCs/>
                <w:lang w:val="en-GB"/>
              </w:rPr>
            </w:pPr>
            <w:r w:rsidRPr="00C93B87">
              <w:rPr>
                <w:b/>
                <w:bCs/>
                <w:lang w:val="en-GB"/>
              </w:rPr>
              <w:t>Water use and climate resilience</w:t>
            </w:r>
            <w:r w:rsidRPr="00D741D9">
              <w:rPr>
                <w:bCs/>
                <w:lang w:val="en-GB"/>
              </w:rPr>
              <w:t xml:space="preserve"> of bioenergy crops– water-energy-food nexus</w:t>
            </w:r>
          </w:p>
        </w:tc>
      </w:tr>
      <w:tr w:rsidR="003E4001" w:rsidRPr="003E4001" w14:paraId="5C2D55E4" w14:textId="77777777" w:rsidTr="00AE6245">
        <w:trPr>
          <w:cnfStyle w:val="000000100000" w:firstRow="0" w:lastRow="0" w:firstColumn="0" w:lastColumn="0" w:oddVBand="0" w:evenVBand="0" w:oddHBand="1" w:evenHBand="0" w:firstRowFirstColumn="0" w:firstRowLastColumn="0" w:lastRowFirstColumn="0" w:lastRowLastColumn="0"/>
        </w:trPr>
        <w:tc>
          <w:tcPr>
            <w:tcW w:w="7650" w:type="dxa"/>
            <w:tcBorders>
              <w:top w:val="nil"/>
              <w:bottom w:val="single" w:sz="4" w:space="0" w:color="auto"/>
            </w:tcBorders>
            <w:shd w:val="clear" w:color="auto" w:fill="auto"/>
          </w:tcPr>
          <w:p w14:paraId="1C2896C9" w14:textId="77777777" w:rsidR="003E4001" w:rsidRPr="00D741D9" w:rsidRDefault="003E4001" w:rsidP="00BE6785">
            <w:pPr>
              <w:spacing w:after="0" w:line="240" w:lineRule="auto"/>
              <w:jc w:val="both"/>
              <w:rPr>
                <w:bCs/>
                <w:lang w:val="en-GB"/>
              </w:rPr>
            </w:pPr>
            <w:r w:rsidRPr="00C93B87">
              <w:rPr>
                <w:b/>
                <w:bCs/>
                <w:lang w:val="en-GB"/>
              </w:rPr>
              <w:t>Sustainability</w:t>
            </w:r>
            <w:r w:rsidRPr="00D741D9">
              <w:rPr>
                <w:bCs/>
                <w:lang w:val="en-GB"/>
              </w:rPr>
              <w:t xml:space="preserve"> with respect to ecosystem services, biodiversity and natural capital</w:t>
            </w:r>
          </w:p>
        </w:tc>
      </w:tr>
    </w:tbl>
    <w:p w14:paraId="5244E07F" w14:textId="77777777" w:rsidR="003E4001" w:rsidRPr="003E4001" w:rsidRDefault="003E4001" w:rsidP="00BE6785">
      <w:pPr>
        <w:spacing w:line="360" w:lineRule="auto"/>
        <w:jc w:val="both"/>
        <w:rPr>
          <w:bCs/>
          <w:lang w:val="en-GB"/>
        </w:rPr>
      </w:pPr>
    </w:p>
    <w:p w14:paraId="37654BB8" w14:textId="0D2F2C6C" w:rsidR="003E4001" w:rsidRPr="003E4001" w:rsidRDefault="00AE6245" w:rsidP="00BE6785">
      <w:pPr>
        <w:spacing w:line="360" w:lineRule="auto"/>
        <w:jc w:val="both"/>
        <w:rPr>
          <w:bCs/>
          <w:lang w:val="en-GB"/>
        </w:rPr>
      </w:pPr>
      <w:r>
        <w:rPr>
          <w:bCs/>
          <w:lang w:val="en-GB"/>
        </w:rPr>
        <w:t xml:space="preserve">At </w:t>
      </w:r>
      <w:r w:rsidR="003E4001" w:rsidRPr="003E4001">
        <w:rPr>
          <w:bCs/>
          <w:lang w:val="en-GB"/>
        </w:rPr>
        <w:t xml:space="preserve">current rates of crop performance, </w:t>
      </w:r>
      <w:r w:rsidR="00C93B87">
        <w:rPr>
          <w:bCs/>
          <w:i/>
          <w:lang w:val="en-GB"/>
        </w:rPr>
        <w:t xml:space="preserve"> </w:t>
      </w:r>
      <w:r w:rsidR="00C93B87" w:rsidRPr="009B61C6">
        <w:rPr>
          <w:bCs/>
          <w:lang w:val="en-GB"/>
        </w:rPr>
        <w:t xml:space="preserve">approximately </w:t>
      </w:r>
      <w:r w:rsidR="003E4001" w:rsidRPr="009B61C6">
        <w:rPr>
          <w:bCs/>
          <w:lang w:val="en-GB"/>
        </w:rPr>
        <w:t>500 Mha of land dedicated to biomass supply i</w:t>
      </w:r>
      <w:r w:rsidR="005135C4">
        <w:rPr>
          <w:bCs/>
          <w:lang w:val="en-GB"/>
        </w:rPr>
        <w:t>s needed</w:t>
      </w:r>
      <w:r w:rsidR="003E4001" w:rsidRPr="009B61C6">
        <w:rPr>
          <w:bCs/>
          <w:lang w:val="en-GB"/>
        </w:rPr>
        <w:t xml:space="preserve"> to fulfil the requirements of BECCS</w:t>
      </w:r>
      <w:r>
        <w:rPr>
          <w:b/>
          <w:bCs/>
          <w:i/>
          <w:lang w:val="en-GB"/>
        </w:rPr>
        <w:t xml:space="preserve"> </w:t>
      </w:r>
      <w:r>
        <w:rPr>
          <w:bCs/>
          <w:lang w:val="en-GB"/>
        </w:rPr>
        <w:t>(Figure 1)</w:t>
      </w:r>
      <w:r w:rsidR="003E4001" w:rsidRPr="003E4001">
        <w:rPr>
          <w:bCs/>
          <w:lang w:val="en-GB"/>
        </w:rPr>
        <w:t>. Although this represents a fraction of that currently used for global arable crop production (1.5 billion ha) or pasture (3.5 billion ha), it is nevertheless significant</w:t>
      </w:r>
      <w:r w:rsidR="005834E2">
        <w:rPr>
          <w:bCs/>
          <w:lang w:val="en-GB"/>
        </w:rPr>
        <w:t>, at approximately half of the land take estimated that might be available for improved global tree cover (Bastin et al., 2019)</w:t>
      </w:r>
      <w:r w:rsidR="009B61C6">
        <w:rPr>
          <w:bCs/>
          <w:lang w:val="en-GB"/>
        </w:rPr>
        <w:t xml:space="preserve">. </w:t>
      </w:r>
      <w:r w:rsidR="003E4001" w:rsidRPr="003E4001">
        <w:rPr>
          <w:bCs/>
          <w:lang w:val="en-GB"/>
        </w:rPr>
        <w:t xml:space="preserve"> </w:t>
      </w:r>
      <w:r w:rsidR="00EC4769">
        <w:rPr>
          <w:bCs/>
          <w:lang w:val="en-GB"/>
        </w:rPr>
        <w:t>G</w:t>
      </w:r>
      <w:r w:rsidR="003E4001" w:rsidRPr="003E4001">
        <w:rPr>
          <w:bCs/>
          <w:lang w:val="en-GB"/>
        </w:rPr>
        <w:t>rowth in food</w:t>
      </w:r>
      <w:r w:rsidR="00EC4769">
        <w:rPr>
          <w:bCs/>
          <w:lang w:val="en-GB"/>
        </w:rPr>
        <w:t xml:space="preserve"> consumption</w:t>
      </w:r>
      <w:r w:rsidR="003E4001" w:rsidRPr="003E4001">
        <w:rPr>
          <w:bCs/>
          <w:lang w:val="en-GB"/>
        </w:rPr>
        <w:t xml:space="preserve"> is predicted to continue </w:t>
      </w:r>
      <w:r w:rsidR="00AE2174">
        <w:rPr>
          <w:bCs/>
          <w:lang w:val="en-GB"/>
        </w:rPr>
        <w:t>for at least the</w:t>
      </w:r>
      <w:r w:rsidR="00163364">
        <w:rPr>
          <w:bCs/>
          <w:lang w:val="en-GB"/>
        </w:rPr>
        <w:t xml:space="preserve"> next 40 years (Godfray et al., </w:t>
      </w:r>
      <w:r w:rsidR="00AE2174">
        <w:rPr>
          <w:bCs/>
          <w:lang w:val="en-GB"/>
        </w:rPr>
        <w:t>2014)</w:t>
      </w:r>
      <w:r w:rsidR="009B61C6">
        <w:rPr>
          <w:bCs/>
          <w:lang w:val="en-GB"/>
        </w:rPr>
        <w:t xml:space="preserve">, with </w:t>
      </w:r>
      <w:r w:rsidR="00EC4769">
        <w:rPr>
          <w:bCs/>
          <w:lang w:val="en-GB"/>
        </w:rPr>
        <w:t xml:space="preserve">the consequence </w:t>
      </w:r>
      <w:r w:rsidR="009B61C6">
        <w:rPr>
          <w:bCs/>
          <w:lang w:val="en-GB"/>
        </w:rPr>
        <w:t xml:space="preserve">that </w:t>
      </w:r>
      <w:r w:rsidR="00A86975">
        <w:rPr>
          <w:bCs/>
          <w:lang w:val="en-GB"/>
        </w:rPr>
        <w:t xml:space="preserve"> </w:t>
      </w:r>
      <w:r w:rsidR="003E4001" w:rsidRPr="003E4001">
        <w:rPr>
          <w:bCs/>
          <w:lang w:val="en-GB"/>
        </w:rPr>
        <w:t xml:space="preserve">significant changes </w:t>
      </w:r>
      <w:r w:rsidR="00EC4769">
        <w:rPr>
          <w:bCs/>
          <w:lang w:val="en-GB"/>
        </w:rPr>
        <w:t xml:space="preserve">are likely </w:t>
      </w:r>
      <w:r w:rsidR="003E4001" w:rsidRPr="003E4001">
        <w:rPr>
          <w:bCs/>
          <w:lang w:val="en-GB"/>
        </w:rPr>
        <w:t xml:space="preserve"> to </w:t>
      </w:r>
      <w:r w:rsidR="00EC4769">
        <w:rPr>
          <w:bCs/>
          <w:lang w:val="en-GB"/>
        </w:rPr>
        <w:t>the</w:t>
      </w:r>
      <w:r w:rsidR="00AE2174">
        <w:rPr>
          <w:bCs/>
          <w:lang w:val="en-GB"/>
        </w:rPr>
        <w:t xml:space="preserve"> global food production system</w:t>
      </w:r>
      <w:r w:rsidR="00EC4769">
        <w:rPr>
          <w:bCs/>
          <w:lang w:val="en-GB"/>
        </w:rPr>
        <w:t xml:space="preserve"> (</w:t>
      </w:r>
      <w:r w:rsidR="00AE2174">
        <w:rPr>
          <w:bCs/>
          <w:lang w:val="en-GB"/>
        </w:rPr>
        <w:t>Godfray et al., 2010)</w:t>
      </w:r>
      <w:r w:rsidR="005834E2">
        <w:rPr>
          <w:bCs/>
          <w:lang w:val="en-GB"/>
        </w:rPr>
        <w:t xml:space="preserve"> and many </w:t>
      </w:r>
      <w:r w:rsidR="003E4001" w:rsidRPr="003E4001">
        <w:rPr>
          <w:bCs/>
          <w:lang w:val="en-GB"/>
        </w:rPr>
        <w:t>of the challe</w:t>
      </w:r>
      <w:r>
        <w:rPr>
          <w:bCs/>
          <w:lang w:val="en-GB"/>
        </w:rPr>
        <w:t xml:space="preserve">nges facing the food system are </w:t>
      </w:r>
      <w:r w:rsidR="003E4001" w:rsidRPr="003E4001">
        <w:rPr>
          <w:bCs/>
          <w:lang w:val="en-GB"/>
        </w:rPr>
        <w:t>also relevant t</w:t>
      </w:r>
      <w:r w:rsidR="00AE2174">
        <w:rPr>
          <w:bCs/>
          <w:lang w:val="en-GB"/>
        </w:rPr>
        <w:t>o land use for bioenergy crops (God</w:t>
      </w:r>
      <w:r w:rsidR="007F0DAB">
        <w:rPr>
          <w:bCs/>
          <w:lang w:val="en-GB"/>
        </w:rPr>
        <w:t>f</w:t>
      </w:r>
      <w:r w:rsidR="00AE2174">
        <w:rPr>
          <w:bCs/>
          <w:lang w:val="en-GB"/>
        </w:rPr>
        <w:t>ray et al., 2014).</w:t>
      </w:r>
      <w:r w:rsidR="003E4001" w:rsidRPr="003E4001">
        <w:rPr>
          <w:bCs/>
          <w:lang w:val="en-GB"/>
        </w:rPr>
        <w:t xml:space="preserve"> </w:t>
      </w:r>
      <w:r w:rsidR="004615B8">
        <w:rPr>
          <w:bCs/>
          <w:lang w:val="en-GB"/>
        </w:rPr>
        <w:t>Although</w:t>
      </w:r>
      <w:r w:rsidR="003E4001" w:rsidRPr="003E4001">
        <w:rPr>
          <w:bCs/>
          <w:lang w:val="en-GB"/>
        </w:rPr>
        <w:t xml:space="preserve"> (2G) non-food bioenergy crops – dedicated fast growing trees and grasses</w:t>
      </w:r>
      <w:r w:rsidR="00404251">
        <w:rPr>
          <w:bCs/>
          <w:lang w:val="en-GB"/>
        </w:rPr>
        <w:t xml:space="preserve"> -</w:t>
      </w:r>
      <w:r w:rsidR="003E4001" w:rsidRPr="003E4001">
        <w:rPr>
          <w:bCs/>
          <w:lang w:val="en-GB"/>
        </w:rPr>
        <w:t xml:space="preserve"> have gained prominence as a potential source of sustainable lignocellulosic biomass that could feed th</w:t>
      </w:r>
      <w:r w:rsidR="00AE2174">
        <w:rPr>
          <w:bCs/>
          <w:lang w:val="en-GB"/>
        </w:rPr>
        <w:t xml:space="preserve">e </w:t>
      </w:r>
      <w:r w:rsidR="009B61C6">
        <w:rPr>
          <w:bCs/>
          <w:lang w:val="en-GB"/>
        </w:rPr>
        <w:t xml:space="preserve">bioenergy, </w:t>
      </w:r>
      <w:r w:rsidR="00AE2174">
        <w:rPr>
          <w:bCs/>
          <w:lang w:val="en-GB"/>
        </w:rPr>
        <w:t>BECCS</w:t>
      </w:r>
      <w:r w:rsidR="009B61C6">
        <w:rPr>
          <w:bCs/>
          <w:lang w:val="en-GB"/>
        </w:rPr>
        <w:t xml:space="preserve"> and bioeconomy</w:t>
      </w:r>
      <w:r w:rsidR="00AE2174">
        <w:rPr>
          <w:bCs/>
          <w:lang w:val="en-GB"/>
        </w:rPr>
        <w:t xml:space="preserve"> technology requirement</w:t>
      </w:r>
      <w:r w:rsidR="009B61C6">
        <w:rPr>
          <w:bCs/>
          <w:lang w:val="en-GB"/>
        </w:rPr>
        <w:t>s</w:t>
      </w:r>
      <w:r w:rsidR="00AE2174">
        <w:rPr>
          <w:bCs/>
          <w:lang w:val="en-GB"/>
        </w:rPr>
        <w:t xml:space="preserve"> (Somerville et al., 2010)</w:t>
      </w:r>
      <w:r w:rsidR="003E4001" w:rsidRPr="003E4001">
        <w:rPr>
          <w:bCs/>
          <w:lang w:val="en-GB"/>
        </w:rPr>
        <w:t>, they must be delivered with minimal impacts on food crops, in a future where pressure to</w:t>
      </w:r>
      <w:r w:rsidR="00AE2174">
        <w:rPr>
          <w:bCs/>
          <w:lang w:val="en-GB"/>
        </w:rPr>
        <w:t xml:space="preserve"> produce more food will remain</w:t>
      </w:r>
      <w:r w:rsidR="003E4001" w:rsidRPr="003E4001">
        <w:rPr>
          <w:bCs/>
          <w:lang w:val="en-GB"/>
        </w:rPr>
        <w:t xml:space="preserve">.  </w:t>
      </w:r>
      <w:r w:rsidR="004615B8">
        <w:rPr>
          <w:bCs/>
          <w:lang w:val="en-GB"/>
        </w:rPr>
        <w:t xml:space="preserve">Thus, future </w:t>
      </w:r>
      <w:r w:rsidR="005834E2">
        <w:rPr>
          <w:bCs/>
          <w:lang w:val="en-GB"/>
        </w:rPr>
        <w:t xml:space="preserve">bioenergy </w:t>
      </w:r>
      <w:r w:rsidR="003E4001" w:rsidRPr="003E4001">
        <w:rPr>
          <w:bCs/>
          <w:lang w:val="en-GB"/>
        </w:rPr>
        <w:t xml:space="preserve">yield enhancement </w:t>
      </w:r>
      <w:r w:rsidR="00BE6785">
        <w:rPr>
          <w:bCs/>
          <w:lang w:val="en-GB"/>
        </w:rPr>
        <w:t xml:space="preserve">should </w:t>
      </w:r>
      <w:r w:rsidR="003E4001" w:rsidRPr="003E4001">
        <w:rPr>
          <w:bCs/>
          <w:lang w:val="en-GB"/>
        </w:rPr>
        <w:t xml:space="preserve">be achieved alongside increasing environmental </w:t>
      </w:r>
      <w:r w:rsidR="005C3F59">
        <w:rPr>
          <w:bCs/>
          <w:lang w:val="en-GB"/>
        </w:rPr>
        <w:t>performance of production systems</w:t>
      </w:r>
      <w:r w:rsidR="003E4001" w:rsidRPr="003E4001">
        <w:rPr>
          <w:bCs/>
          <w:lang w:val="en-GB"/>
        </w:rPr>
        <w:t>,</w:t>
      </w:r>
      <w:r w:rsidR="00571662">
        <w:rPr>
          <w:bCs/>
          <w:lang w:val="en-GB"/>
        </w:rPr>
        <w:t xml:space="preserve"> </w:t>
      </w:r>
      <w:r w:rsidR="003E4001" w:rsidRPr="003E4001">
        <w:rPr>
          <w:bCs/>
          <w:lang w:val="en-GB"/>
        </w:rPr>
        <w:t>with respect to fertilizer inputs, water use, carbon storage</w:t>
      </w:r>
      <w:r w:rsidR="00326641">
        <w:rPr>
          <w:bCs/>
          <w:lang w:val="en-GB"/>
        </w:rPr>
        <w:t>, food security</w:t>
      </w:r>
      <w:r w:rsidR="003E4001" w:rsidRPr="003E4001">
        <w:rPr>
          <w:bCs/>
          <w:lang w:val="en-GB"/>
        </w:rPr>
        <w:t xml:space="preserve"> and other management strategies to improve ecosystem services.</w:t>
      </w:r>
      <w:r w:rsidR="005834E2">
        <w:rPr>
          <w:bCs/>
          <w:lang w:val="en-GB"/>
        </w:rPr>
        <w:t xml:space="preserve"> </w:t>
      </w:r>
    </w:p>
    <w:p w14:paraId="441694AE" w14:textId="65C7D485" w:rsidR="00AF50FA" w:rsidRPr="003E4001" w:rsidRDefault="003E4001" w:rsidP="00BE6785">
      <w:pPr>
        <w:spacing w:line="360" w:lineRule="auto"/>
        <w:jc w:val="both"/>
        <w:rPr>
          <w:bCs/>
          <w:lang w:val="en-GB"/>
        </w:rPr>
      </w:pPr>
      <w:r w:rsidRPr="003E4001">
        <w:rPr>
          <w:bCs/>
          <w:lang w:val="en-GB"/>
        </w:rPr>
        <w:t xml:space="preserve">The importance of yield </w:t>
      </w:r>
      <w:r w:rsidR="009B61C6">
        <w:rPr>
          <w:bCs/>
          <w:lang w:val="en-GB"/>
        </w:rPr>
        <w:t xml:space="preserve">increase </w:t>
      </w:r>
      <w:r w:rsidRPr="003E4001">
        <w:rPr>
          <w:bCs/>
          <w:lang w:val="en-GB"/>
        </w:rPr>
        <w:t>for BECCS</w:t>
      </w:r>
      <w:r w:rsidR="005834E2">
        <w:rPr>
          <w:bCs/>
          <w:lang w:val="en-GB"/>
        </w:rPr>
        <w:t xml:space="preserve"> </w:t>
      </w:r>
      <w:r w:rsidRPr="003E4001">
        <w:rPr>
          <w:bCs/>
          <w:lang w:val="en-GB"/>
        </w:rPr>
        <w:t>cann</w:t>
      </w:r>
      <w:r w:rsidR="00E0702F">
        <w:rPr>
          <w:bCs/>
          <w:lang w:val="en-GB"/>
        </w:rPr>
        <w:t>ot be over-stated. Foley et al</w:t>
      </w:r>
      <w:r w:rsidR="00163364">
        <w:rPr>
          <w:bCs/>
          <w:lang w:val="en-GB"/>
        </w:rPr>
        <w:t>.,</w:t>
      </w:r>
      <w:r w:rsidR="00E0702F">
        <w:rPr>
          <w:bCs/>
          <w:lang w:val="en-GB"/>
        </w:rPr>
        <w:t xml:space="preserve"> (2011)</w:t>
      </w:r>
      <w:r w:rsidRPr="003E4001">
        <w:rPr>
          <w:bCs/>
          <w:lang w:val="en-GB"/>
        </w:rPr>
        <w:t xml:space="preserve">, considered </w:t>
      </w:r>
      <w:r w:rsidR="00EB2370">
        <w:rPr>
          <w:bCs/>
          <w:lang w:val="en-GB"/>
        </w:rPr>
        <w:t xml:space="preserve">production </w:t>
      </w:r>
      <w:r w:rsidRPr="003E4001">
        <w:rPr>
          <w:bCs/>
          <w:lang w:val="en-GB"/>
        </w:rPr>
        <w:t xml:space="preserve"> intensification </w:t>
      </w:r>
      <w:r w:rsidR="00EB2370">
        <w:rPr>
          <w:bCs/>
          <w:lang w:val="en-GB"/>
        </w:rPr>
        <w:t xml:space="preserve">as </w:t>
      </w:r>
      <w:r w:rsidRPr="003E4001">
        <w:rPr>
          <w:bCs/>
          <w:lang w:val="en-GB"/>
        </w:rPr>
        <w:t xml:space="preserve">imperative to enable the doubling of food </w:t>
      </w:r>
      <w:r w:rsidR="009B61C6">
        <w:rPr>
          <w:bCs/>
          <w:lang w:val="en-GB"/>
        </w:rPr>
        <w:t xml:space="preserve">delivery </w:t>
      </w:r>
      <w:r w:rsidRPr="003E4001">
        <w:rPr>
          <w:bCs/>
          <w:lang w:val="en-GB"/>
        </w:rPr>
        <w:t xml:space="preserve">by 2050, thus avoiding further agricultural land expansion. Enhanced yield for BECCS will be particularly powerful, </w:t>
      </w:r>
      <w:r w:rsidR="004615B8">
        <w:rPr>
          <w:bCs/>
          <w:lang w:val="en-GB"/>
        </w:rPr>
        <w:t xml:space="preserve">potentially enabling </w:t>
      </w:r>
      <w:r w:rsidRPr="003E4001">
        <w:rPr>
          <w:bCs/>
          <w:lang w:val="en-GB"/>
        </w:rPr>
        <w:t xml:space="preserve">delivery of 100 EJ BECCS by 2100, </w:t>
      </w:r>
      <w:r w:rsidRPr="003E4001">
        <w:rPr>
          <w:bCs/>
          <w:i/>
          <w:lang w:val="en-GB"/>
        </w:rPr>
        <w:t>requiring less than 250 Mha</w:t>
      </w:r>
      <w:r w:rsidRPr="003E4001">
        <w:rPr>
          <w:bCs/>
          <w:lang w:val="en-GB"/>
        </w:rPr>
        <w:t>, rather than</w:t>
      </w:r>
      <w:r w:rsidR="00C93B87">
        <w:rPr>
          <w:bCs/>
          <w:lang w:val="en-GB"/>
        </w:rPr>
        <w:t xml:space="preserve"> 3</w:t>
      </w:r>
      <w:r w:rsidRPr="003E4001">
        <w:rPr>
          <w:bCs/>
          <w:lang w:val="en-GB"/>
        </w:rPr>
        <w:t>00- 500 Mha</w:t>
      </w:r>
      <w:r w:rsidR="00C93B87">
        <w:rPr>
          <w:bCs/>
          <w:lang w:val="en-GB"/>
        </w:rPr>
        <w:t xml:space="preserve"> (Figure 1</w:t>
      </w:r>
      <w:r w:rsidR="00E0702F">
        <w:rPr>
          <w:bCs/>
          <w:lang w:val="en-GB"/>
        </w:rPr>
        <w:t>a). As identified (Godfray et al., 2014)</w:t>
      </w:r>
      <w:r w:rsidRPr="003E4001">
        <w:rPr>
          <w:bCs/>
          <w:lang w:val="en-GB"/>
        </w:rPr>
        <w:t xml:space="preserve"> for food crops and in recent work for bioenergy crops </w:t>
      </w:r>
      <w:r w:rsidR="00E0702F">
        <w:rPr>
          <w:bCs/>
          <w:lang w:val="en-GB"/>
        </w:rPr>
        <w:t>as show</w:t>
      </w:r>
      <w:r w:rsidR="00A52A67">
        <w:rPr>
          <w:bCs/>
          <w:lang w:val="en-GB"/>
        </w:rPr>
        <w:t>n</w:t>
      </w:r>
      <w:r w:rsidR="00E0702F">
        <w:rPr>
          <w:bCs/>
          <w:lang w:val="en-GB"/>
        </w:rPr>
        <w:t xml:space="preserve"> in Figure 1, </w:t>
      </w:r>
      <w:r w:rsidRPr="003E4001">
        <w:rPr>
          <w:bCs/>
          <w:lang w:val="en-GB"/>
        </w:rPr>
        <w:t xml:space="preserve">significant </w:t>
      </w:r>
      <w:r w:rsidR="00326641">
        <w:rPr>
          <w:bCs/>
          <w:lang w:val="en-GB"/>
        </w:rPr>
        <w:t xml:space="preserve">gaps between potential and actual </w:t>
      </w:r>
      <w:r w:rsidRPr="003E4001">
        <w:rPr>
          <w:bCs/>
          <w:lang w:val="en-GB"/>
        </w:rPr>
        <w:t>yield exist for both crop types. Current germplasm available has the technical potential to deliver &gt;25 t ha</w:t>
      </w:r>
      <w:r w:rsidRPr="003E4001">
        <w:rPr>
          <w:bCs/>
          <w:vertAlign w:val="superscript"/>
          <w:lang w:val="en-GB"/>
        </w:rPr>
        <w:t>-1</w:t>
      </w:r>
      <w:r w:rsidRPr="003E4001">
        <w:rPr>
          <w:bCs/>
          <w:lang w:val="en-GB"/>
        </w:rPr>
        <w:t xml:space="preserve"> y</w:t>
      </w:r>
      <w:r w:rsidRPr="003E4001">
        <w:rPr>
          <w:bCs/>
          <w:vertAlign w:val="superscript"/>
          <w:lang w:val="en-GB"/>
        </w:rPr>
        <w:t>-1</w:t>
      </w:r>
      <w:r w:rsidRPr="003E4001">
        <w:rPr>
          <w:bCs/>
          <w:lang w:val="en-GB"/>
        </w:rPr>
        <w:t xml:space="preserve"> </w:t>
      </w:r>
      <w:r w:rsidR="00326641">
        <w:rPr>
          <w:bCs/>
          <w:lang w:val="en-GB"/>
        </w:rPr>
        <w:t xml:space="preserve">(Figure 1b), </w:t>
      </w:r>
      <w:r w:rsidRPr="003E4001">
        <w:rPr>
          <w:bCs/>
          <w:lang w:val="en-GB"/>
        </w:rPr>
        <w:t xml:space="preserve">but </w:t>
      </w:r>
      <w:r w:rsidR="00AF50FA">
        <w:rPr>
          <w:bCs/>
          <w:lang w:val="en-GB"/>
        </w:rPr>
        <w:t xml:space="preserve">this is rarely realised, because management regimes are </w:t>
      </w:r>
      <w:r w:rsidR="00326641">
        <w:rPr>
          <w:bCs/>
          <w:lang w:val="en-GB"/>
        </w:rPr>
        <w:t xml:space="preserve">often </w:t>
      </w:r>
      <w:r w:rsidR="00AF50FA">
        <w:rPr>
          <w:bCs/>
          <w:lang w:val="en-GB"/>
        </w:rPr>
        <w:t>sub-optimal, and are likely to remain so on marginal land</w:t>
      </w:r>
      <w:r w:rsidR="00326641">
        <w:rPr>
          <w:bCs/>
          <w:lang w:val="en-GB"/>
        </w:rPr>
        <w:t xml:space="preserve"> without targeting breeding for such specialist low-input conditions</w:t>
      </w:r>
      <w:r w:rsidR="00AF50FA">
        <w:rPr>
          <w:bCs/>
          <w:lang w:val="en-GB"/>
        </w:rPr>
        <w:t>.</w:t>
      </w:r>
    </w:p>
    <w:p w14:paraId="3152B1F3" w14:textId="41B5E77D" w:rsidR="003E4001" w:rsidRPr="003E4001" w:rsidRDefault="003E4001" w:rsidP="00BE6785">
      <w:pPr>
        <w:spacing w:line="360" w:lineRule="auto"/>
        <w:jc w:val="both"/>
        <w:rPr>
          <w:bCs/>
          <w:lang w:val="en-GB"/>
        </w:rPr>
      </w:pPr>
      <w:r w:rsidRPr="003E4001">
        <w:rPr>
          <w:bCs/>
          <w:lang w:val="en-GB"/>
        </w:rPr>
        <w:t>Significant new opportunities now exist to</w:t>
      </w:r>
      <w:r w:rsidR="00571662">
        <w:rPr>
          <w:bCs/>
          <w:lang w:val="en-GB"/>
        </w:rPr>
        <w:t xml:space="preserve"> </w:t>
      </w:r>
      <w:r w:rsidR="009B61C6">
        <w:rPr>
          <w:bCs/>
          <w:lang w:val="en-GB"/>
        </w:rPr>
        <w:t>enhance yield</w:t>
      </w:r>
      <w:r w:rsidRPr="003E4001">
        <w:rPr>
          <w:bCs/>
          <w:lang w:val="en-GB"/>
        </w:rPr>
        <w:t>, using technological approaches not available even five years ago, including i</w:t>
      </w:r>
      <w:r w:rsidR="004615B8">
        <w:rPr>
          <w:bCs/>
          <w:lang w:val="en-GB"/>
        </w:rPr>
        <w:t>.</w:t>
      </w:r>
      <w:r w:rsidRPr="003E4001">
        <w:rPr>
          <w:bCs/>
          <w:lang w:val="en-GB"/>
        </w:rPr>
        <w:t xml:space="preserve"> genetic modification</w:t>
      </w:r>
      <w:r w:rsidR="00AF50FA">
        <w:rPr>
          <w:bCs/>
          <w:lang w:val="en-GB"/>
        </w:rPr>
        <w:t xml:space="preserve"> through gene editing</w:t>
      </w:r>
      <w:r w:rsidRPr="003E4001">
        <w:rPr>
          <w:bCs/>
          <w:lang w:val="en-GB"/>
        </w:rPr>
        <w:t>, ii</w:t>
      </w:r>
      <w:r w:rsidR="004615B8">
        <w:rPr>
          <w:bCs/>
          <w:lang w:val="en-GB"/>
        </w:rPr>
        <w:t>.</w:t>
      </w:r>
      <w:r w:rsidRPr="003E4001">
        <w:rPr>
          <w:bCs/>
          <w:lang w:val="en-GB"/>
        </w:rPr>
        <w:t xml:space="preserve"> plant breeding</w:t>
      </w:r>
      <w:r w:rsidR="00AF50FA">
        <w:rPr>
          <w:bCs/>
          <w:lang w:val="en-GB"/>
        </w:rPr>
        <w:t xml:space="preserve"> using molecular approaches and genomic selection</w:t>
      </w:r>
      <w:r w:rsidRPr="003E4001">
        <w:rPr>
          <w:bCs/>
          <w:lang w:val="en-GB"/>
        </w:rPr>
        <w:t>, iii</w:t>
      </w:r>
      <w:r w:rsidR="004615B8">
        <w:rPr>
          <w:bCs/>
          <w:lang w:val="en-GB"/>
        </w:rPr>
        <w:t>.</w:t>
      </w:r>
      <w:r w:rsidRPr="003E4001">
        <w:rPr>
          <w:bCs/>
          <w:lang w:val="en-GB"/>
        </w:rPr>
        <w:t xml:space="preserve"> precision agriculture and iv</w:t>
      </w:r>
      <w:r w:rsidR="004615B8">
        <w:rPr>
          <w:bCs/>
          <w:lang w:val="en-GB"/>
        </w:rPr>
        <w:t>.</w:t>
      </w:r>
      <w:r w:rsidRPr="003E4001">
        <w:rPr>
          <w:bCs/>
          <w:lang w:val="en-GB"/>
        </w:rPr>
        <w:t xml:space="preserve"> agroecology as</w:t>
      </w:r>
      <w:r w:rsidR="00AF50FA">
        <w:rPr>
          <w:bCs/>
          <w:lang w:val="en-GB"/>
        </w:rPr>
        <w:t xml:space="preserve"> key to </w:t>
      </w:r>
      <w:r w:rsidR="00EB2370">
        <w:rPr>
          <w:bCs/>
          <w:lang w:val="en-GB"/>
        </w:rPr>
        <w:t>closing</w:t>
      </w:r>
      <w:r w:rsidR="00AF50FA">
        <w:rPr>
          <w:bCs/>
          <w:lang w:val="en-GB"/>
        </w:rPr>
        <w:t xml:space="preserve"> the yield gap. However, </w:t>
      </w:r>
      <w:r w:rsidRPr="003E4001">
        <w:rPr>
          <w:bCs/>
          <w:lang w:val="en-GB"/>
        </w:rPr>
        <w:t xml:space="preserve">future sustainable intensification </w:t>
      </w:r>
      <w:r w:rsidR="00531D3C">
        <w:rPr>
          <w:bCs/>
          <w:lang w:val="en-GB"/>
        </w:rPr>
        <w:t xml:space="preserve">should </w:t>
      </w:r>
      <w:r w:rsidRPr="003E4001">
        <w:rPr>
          <w:bCs/>
          <w:lang w:val="en-GB"/>
        </w:rPr>
        <w:t>also be</w:t>
      </w:r>
      <w:r w:rsidR="009B61C6">
        <w:rPr>
          <w:bCs/>
          <w:lang w:val="en-GB"/>
        </w:rPr>
        <w:t xml:space="preserve"> minimize</w:t>
      </w:r>
      <w:r w:rsidR="00326641">
        <w:rPr>
          <w:bCs/>
          <w:lang w:val="en-GB"/>
        </w:rPr>
        <w:t xml:space="preserve"> fertilizer and water inputs</w:t>
      </w:r>
      <w:r w:rsidRPr="003E4001">
        <w:rPr>
          <w:bCs/>
          <w:lang w:val="en-GB"/>
        </w:rPr>
        <w:t xml:space="preserve">, since they </w:t>
      </w:r>
      <w:r w:rsidR="009B61C6">
        <w:rPr>
          <w:bCs/>
          <w:lang w:val="en-GB"/>
        </w:rPr>
        <w:t xml:space="preserve">may </w:t>
      </w:r>
      <w:r w:rsidRPr="003E4001">
        <w:rPr>
          <w:bCs/>
          <w:lang w:val="en-GB"/>
        </w:rPr>
        <w:t>add to environmental degradation and GHG emissions</w:t>
      </w:r>
      <w:r w:rsidR="00531D3C">
        <w:rPr>
          <w:bCs/>
          <w:lang w:val="en-GB"/>
        </w:rPr>
        <w:t>. In addition to GHG mitigation, a wide consideration of ecosystem services impacts should also be considered for bioenergy cropping (Holland et al., 2015;  Manning et al., 2015; Milner et al., 2016)</w:t>
      </w:r>
      <w:r w:rsidRPr="003E4001">
        <w:rPr>
          <w:bCs/>
          <w:lang w:val="en-GB"/>
        </w:rPr>
        <w:t>. There seems little doubt that land must be utilised effectively in a future resource-constrained world.</w:t>
      </w:r>
      <w:r w:rsidR="00AF50FA">
        <w:rPr>
          <w:bCs/>
          <w:lang w:val="en-GB"/>
        </w:rPr>
        <w:t xml:space="preserve"> In these circumstances, understanding</w:t>
      </w:r>
      <w:r w:rsidR="001F7AEF">
        <w:rPr>
          <w:bCs/>
          <w:lang w:val="en-GB"/>
        </w:rPr>
        <w:t xml:space="preserve"> the nature of bioenergy crop yield and how this may be impacted by future climate scenarios is particularly timely</w:t>
      </w:r>
      <w:r w:rsidR="00D64078">
        <w:rPr>
          <w:bCs/>
          <w:lang w:val="en-GB"/>
        </w:rPr>
        <w:t xml:space="preserve"> and in this context, drought-prone </w:t>
      </w:r>
      <w:r w:rsidR="00F521D8">
        <w:rPr>
          <w:bCs/>
          <w:lang w:val="en-GB"/>
        </w:rPr>
        <w:t xml:space="preserve">sites </w:t>
      </w:r>
      <w:r w:rsidR="00D64078">
        <w:rPr>
          <w:bCs/>
          <w:lang w:val="en-GB"/>
        </w:rPr>
        <w:t>where drought tolerant crops can grow, may be particularly important</w:t>
      </w:r>
      <w:r w:rsidR="001F7AEF">
        <w:rPr>
          <w:bCs/>
          <w:lang w:val="en-GB"/>
        </w:rPr>
        <w:t>. Alongside this, an assessment of new technologies and how they may be deployed for the perennial lignocellulosic crops is a</w:t>
      </w:r>
      <w:r w:rsidR="00CF6A56">
        <w:rPr>
          <w:bCs/>
          <w:lang w:val="en-GB"/>
        </w:rPr>
        <w:t>lso warra</w:t>
      </w:r>
      <w:r w:rsidR="001F7AEF">
        <w:rPr>
          <w:bCs/>
          <w:lang w:val="en-GB"/>
        </w:rPr>
        <w:t>nted.</w:t>
      </w:r>
    </w:p>
    <w:p w14:paraId="4C818FD8" w14:textId="77777777" w:rsidR="000E6D6F" w:rsidRDefault="000E6D6F" w:rsidP="00BE6785">
      <w:pPr>
        <w:jc w:val="both"/>
      </w:pPr>
    </w:p>
    <w:p w14:paraId="21781FC5" w14:textId="77777777" w:rsidR="00082879" w:rsidRDefault="00BE1BC9" w:rsidP="00BE6785">
      <w:pPr>
        <w:jc w:val="both"/>
        <w:rPr>
          <w:b/>
        </w:rPr>
      </w:pPr>
      <w:r>
        <w:rPr>
          <w:b/>
        </w:rPr>
        <w:t xml:space="preserve">DEVELOPING </w:t>
      </w:r>
      <w:r w:rsidR="00082879">
        <w:rPr>
          <w:b/>
        </w:rPr>
        <w:t xml:space="preserve">BIOENERGY CROPS FOR </w:t>
      </w:r>
      <w:r w:rsidR="00513245">
        <w:rPr>
          <w:b/>
        </w:rPr>
        <w:t xml:space="preserve">FUTURE </w:t>
      </w:r>
      <w:r w:rsidR="00082879">
        <w:rPr>
          <w:b/>
        </w:rPr>
        <w:t>DROUGHTED ENVIRONMENTS</w:t>
      </w:r>
    </w:p>
    <w:p w14:paraId="18679B4A" w14:textId="7E2A869C" w:rsidR="007A3595" w:rsidRPr="007A3595" w:rsidRDefault="007A3595" w:rsidP="00BE6785">
      <w:pPr>
        <w:ind w:firstLine="720"/>
        <w:jc w:val="both"/>
        <w:rPr>
          <w:b/>
        </w:rPr>
      </w:pPr>
      <w:r w:rsidRPr="007A3595">
        <w:rPr>
          <w:b/>
        </w:rPr>
        <w:t>Physiological and biochemical re</w:t>
      </w:r>
      <w:r w:rsidR="00F521D8">
        <w:rPr>
          <w:b/>
        </w:rPr>
        <w:t>s</w:t>
      </w:r>
      <w:r w:rsidRPr="007A3595">
        <w:rPr>
          <w:b/>
        </w:rPr>
        <w:t>po</w:t>
      </w:r>
      <w:r w:rsidR="00F521D8">
        <w:rPr>
          <w:b/>
        </w:rPr>
        <w:t>n</w:t>
      </w:r>
      <w:r w:rsidRPr="007A3595">
        <w:rPr>
          <w:b/>
        </w:rPr>
        <w:t>ses to water deficit</w:t>
      </w:r>
    </w:p>
    <w:p w14:paraId="59BD2DBD" w14:textId="3E30CF61" w:rsidR="009F31D7" w:rsidRPr="009F31D7" w:rsidRDefault="00C93B87" w:rsidP="009B61C6">
      <w:pPr>
        <w:shd w:val="clear" w:color="auto" w:fill="FFFFFF" w:themeFill="background1"/>
        <w:spacing w:line="360" w:lineRule="auto"/>
        <w:jc w:val="both"/>
      </w:pPr>
      <w:r>
        <w:t>Water limits crop growth more than any other environmental variable and it</w:t>
      </w:r>
      <w:r w:rsidR="00F521D8">
        <w:t xml:space="preserve"> i</w:t>
      </w:r>
      <w:r>
        <w:t xml:space="preserve">s perhaps not surprising that in the largely unimproved germplasm of lignocellulosic feedstock crops, water has </w:t>
      </w:r>
      <w:r w:rsidR="004615B8">
        <w:t xml:space="preserve">a significant </w:t>
      </w:r>
      <w:r w:rsidR="00D64078">
        <w:t xml:space="preserve">and variable </w:t>
      </w:r>
      <w:r w:rsidR="004615B8">
        <w:t>impact on yield</w:t>
      </w:r>
      <w:r w:rsidR="00D64078">
        <w:t xml:space="preserve"> across a wide range of diverse genetic material</w:t>
      </w:r>
      <w:r w:rsidR="00620EA1">
        <w:t xml:space="preserve"> (Richard et al., 2019)</w:t>
      </w:r>
      <w:r>
        <w:t xml:space="preserve">. </w:t>
      </w:r>
      <w:r w:rsidR="00D64078">
        <w:t xml:space="preserve">At the same time, marginal land is likely to be drought-prone land </w:t>
      </w:r>
      <w:r w:rsidR="009B61C6">
        <w:t xml:space="preserve">for </w:t>
      </w:r>
      <w:r w:rsidR="00D64078">
        <w:t>future  bioenergy crops for climate mitigation using BECCS. Thus, understanding how lignocellul</w:t>
      </w:r>
      <w:r w:rsidR="00F56C6F">
        <w:t>ose</w:t>
      </w:r>
      <w:r w:rsidR="00D64078">
        <w:t xml:space="preserve"> crops respond to limited water supply is critical for future crop breeding and selection</w:t>
      </w:r>
      <w:r w:rsidR="00F56C6F">
        <w:t>.</w:t>
      </w:r>
      <w:r w:rsidR="00D64078">
        <w:t xml:space="preserve"> </w:t>
      </w:r>
      <w:r w:rsidR="00F56C6F">
        <w:t>O</w:t>
      </w:r>
      <w:r w:rsidR="00D64078">
        <w:t xml:space="preserve">bservations and data acquired from model plants and food crops </w:t>
      </w:r>
      <w:r w:rsidR="00F56C6F">
        <w:t>are</w:t>
      </w:r>
      <w:r w:rsidR="00D64078">
        <w:t xml:space="preserve"> likely to be</w:t>
      </w:r>
      <w:r w:rsidR="00F521D8">
        <w:t>,</w:t>
      </w:r>
      <w:r w:rsidR="00D64078">
        <w:t xml:space="preserve"> at best, only partially informative. </w:t>
      </w:r>
      <w:r w:rsidR="009F31D7" w:rsidRPr="009F31D7">
        <w:t>Drought tolerance is a complex trait - difficult to quantify and highly variable</w:t>
      </w:r>
      <w:r w:rsidR="00513CB4">
        <w:t xml:space="preserve"> (Passiora, 2012).</w:t>
      </w:r>
      <w:r w:rsidR="009F31D7" w:rsidRPr="009F31D7">
        <w:t xml:space="preserve"> </w:t>
      </w:r>
      <w:r w:rsidR="00F521D8">
        <w:t>F</w:t>
      </w:r>
      <w:r w:rsidR="009F31D7" w:rsidRPr="009F31D7">
        <w:t xml:space="preserve">or example, plant characteristics conferring positive drought tolerance in some circumstances may become </w:t>
      </w:r>
      <w:r w:rsidR="00F56C6F">
        <w:t>detrimental in other circumstances</w:t>
      </w:r>
      <w:r w:rsidR="009F31D7" w:rsidRPr="009F31D7">
        <w:t>, depending on the severity and duration of the drought</w:t>
      </w:r>
      <w:r w:rsidR="004D00D0">
        <w:t xml:space="preserve"> (</w:t>
      </w:r>
      <w:r w:rsidR="004D00D0" w:rsidRPr="000E1DFA">
        <w:t>Tardieu, 2012</w:t>
      </w:r>
      <w:r w:rsidR="004D00D0" w:rsidRPr="00A3530F">
        <w:t>)</w:t>
      </w:r>
      <w:r w:rsidR="004D00D0" w:rsidRPr="000E1DFA">
        <w:t xml:space="preserve"> </w:t>
      </w:r>
      <w:r w:rsidR="009F31D7" w:rsidRPr="000E1DFA">
        <w:t>and thus</w:t>
      </w:r>
      <w:r w:rsidR="009F31D7" w:rsidRPr="009F31D7">
        <w:t xml:space="preserve"> it is essential to understand which drought scenarios are relevant for any particular cropping type. </w:t>
      </w:r>
      <w:r w:rsidR="00DB0DDF">
        <w:t>N</w:t>
      </w:r>
      <w:r w:rsidR="009F31D7" w:rsidRPr="009F31D7">
        <w:t xml:space="preserve">on‐food </w:t>
      </w:r>
      <w:r w:rsidR="00A1099B">
        <w:t>bio</w:t>
      </w:r>
      <w:r w:rsidR="009F31D7" w:rsidRPr="009F31D7">
        <w:t>energy crops such as fast growing trees</w:t>
      </w:r>
      <w:r w:rsidR="00A1099B">
        <w:t xml:space="preserve"> and grasses</w:t>
      </w:r>
      <w:r w:rsidR="009F31D7" w:rsidRPr="009F31D7">
        <w:t xml:space="preserve"> are </w:t>
      </w:r>
      <w:r w:rsidR="00DB0DDF">
        <w:t xml:space="preserve">thus </w:t>
      </w:r>
      <w:r w:rsidR="009F31D7" w:rsidRPr="009F31D7">
        <w:t xml:space="preserve">required that are able to grow on marginal land where water supply is likely to be limited in </w:t>
      </w:r>
      <w:r w:rsidR="009F31D7" w:rsidRPr="004456E0">
        <w:t>future</w:t>
      </w:r>
      <w:r w:rsidR="009F31D7" w:rsidRPr="004456E0">
        <w:rPr>
          <w:vertAlign w:val="superscript"/>
        </w:rPr>
        <w:t xml:space="preserve"> </w:t>
      </w:r>
      <w:r w:rsidR="004456E0" w:rsidRPr="004456E0">
        <w:softHyphen/>
        <w:t xml:space="preserve"> (Oilver et al., 2019; Viger et al., 2016).</w:t>
      </w:r>
      <w:r w:rsidR="009F31D7" w:rsidRPr="004456E0">
        <w:t xml:space="preserve"> Understanding</w:t>
      </w:r>
      <w:r w:rsidR="009F31D7" w:rsidRPr="009F31D7">
        <w:t xml:space="preserve"> the genetic basis of adaptation to drought is therefore a pressing research priority in these </w:t>
      </w:r>
      <w:r w:rsidR="009F31D7" w:rsidRPr="009B61C6">
        <w:t>crops</w:t>
      </w:r>
      <w:r w:rsidR="009B61C6">
        <w:t xml:space="preserve"> </w:t>
      </w:r>
      <w:r w:rsidR="004456E0" w:rsidRPr="009B61C6">
        <w:t>(Allwright</w:t>
      </w:r>
      <w:r w:rsidR="004456E0">
        <w:t xml:space="preserve"> and Taylor, 2015), </w:t>
      </w:r>
      <w:r w:rsidR="009F31D7" w:rsidRPr="009F31D7">
        <w:t>where water supply is of overriding importance in determining biomass yield. Genotypes adapted to low precipitation regimes have been identified in a wide range of arable crops and fragm</w:t>
      </w:r>
      <w:r w:rsidR="00DB0DDF">
        <w:t xml:space="preserve">ented data are now emerging for bioenergy crops, including </w:t>
      </w:r>
      <w:r w:rsidR="00DB0DDF" w:rsidRPr="00DB0DDF">
        <w:rPr>
          <w:i/>
        </w:rPr>
        <w:t>Populus</w:t>
      </w:r>
      <w:r w:rsidR="00A1099B" w:rsidRPr="009F31D7">
        <w:t xml:space="preserve"> </w:t>
      </w:r>
      <w:r w:rsidR="00DB0DDF">
        <w:t xml:space="preserve">and </w:t>
      </w:r>
      <w:r w:rsidR="00DB0DDF">
        <w:rPr>
          <w:i/>
        </w:rPr>
        <w:t xml:space="preserve">Miscanthus </w:t>
      </w:r>
      <w:r w:rsidR="00DB0DDF">
        <w:t>(</w:t>
      </w:r>
      <w:r w:rsidR="00DB0DDF" w:rsidRPr="006F3745">
        <w:t>Da Costa et al</w:t>
      </w:r>
      <w:r w:rsidR="006F3745">
        <w:t>.,</w:t>
      </w:r>
      <w:r w:rsidR="00DB0DDF" w:rsidRPr="006F3745">
        <w:t xml:space="preserve"> 2019</w:t>
      </w:r>
      <w:r w:rsidR="00DB0DDF">
        <w:t xml:space="preserve">) and also </w:t>
      </w:r>
      <w:r w:rsidR="00DB0DDF">
        <w:rPr>
          <w:i/>
        </w:rPr>
        <w:t xml:space="preserve">Arundo </w:t>
      </w:r>
      <w:r w:rsidR="00DB0DDF" w:rsidRPr="006F3745">
        <w:t>(Howarth et al 2019)</w:t>
      </w:r>
      <w:r w:rsidR="009F31D7" w:rsidRPr="006F3745">
        <w:t>, suggest</w:t>
      </w:r>
      <w:r w:rsidR="00DB0DDF" w:rsidRPr="006F3745">
        <w:t>ing</w:t>
      </w:r>
      <w:r w:rsidR="009F31D7" w:rsidRPr="009F31D7">
        <w:t xml:space="preserve"> that enough diversity exists for targeted genetic improvement for drought tolerance. Wide variation ha</w:t>
      </w:r>
      <w:r w:rsidR="00F521D8">
        <w:t>s</w:t>
      </w:r>
      <w:r w:rsidR="009F31D7" w:rsidRPr="009F31D7">
        <w:t xml:space="preserve"> been reported</w:t>
      </w:r>
      <w:r w:rsidR="00C241DE">
        <w:t xml:space="preserve"> </w:t>
      </w:r>
      <w:r w:rsidR="009F31D7" w:rsidRPr="009F31D7">
        <w:t xml:space="preserve">in traits such as intrinsic water use efficiency, leaf carbon isotope discrimination, stomatal conductance, stomatal density, and differences in gene expression and metabolic changes in response to drought in </w:t>
      </w:r>
      <w:r w:rsidR="009F31D7" w:rsidRPr="009F31D7">
        <w:rPr>
          <w:i/>
        </w:rPr>
        <w:t>Populus</w:t>
      </w:r>
      <w:r w:rsidR="009F31D7" w:rsidRPr="009F31D7">
        <w:t xml:space="preserve"> </w:t>
      </w:r>
      <w:r w:rsidR="003E3405">
        <w:t xml:space="preserve">and several bioenergy grasses including </w:t>
      </w:r>
      <w:r w:rsidR="003E3405">
        <w:rPr>
          <w:i/>
        </w:rPr>
        <w:t>Phalaris, Dacty</w:t>
      </w:r>
      <w:r w:rsidR="007F0DAB">
        <w:rPr>
          <w:i/>
        </w:rPr>
        <w:t>lis</w:t>
      </w:r>
      <w:r w:rsidR="003E3405">
        <w:rPr>
          <w:i/>
        </w:rPr>
        <w:t xml:space="preserve"> </w:t>
      </w:r>
      <w:r w:rsidR="003E3405">
        <w:t xml:space="preserve"> (Klaas et al</w:t>
      </w:r>
      <w:r w:rsidR="00B217D1">
        <w:t>.,</w:t>
      </w:r>
      <w:r w:rsidR="003E3405">
        <w:t xml:space="preserve"> 2019) and </w:t>
      </w:r>
      <w:r w:rsidR="003E3405">
        <w:rPr>
          <w:i/>
        </w:rPr>
        <w:t xml:space="preserve">Miscanthus </w:t>
      </w:r>
      <w:r w:rsidR="003E3405" w:rsidRPr="006F3745">
        <w:t>(</w:t>
      </w:r>
      <w:r w:rsidR="00355C02" w:rsidRPr="006F3745">
        <w:t>Stavridou et al</w:t>
      </w:r>
      <w:r w:rsidR="00B217D1">
        <w:t>.</w:t>
      </w:r>
      <w:r w:rsidR="00355C02" w:rsidRPr="006F3745">
        <w:t>, 2019</w:t>
      </w:r>
      <w:r w:rsidR="003E3405" w:rsidRPr="006F3745">
        <w:t>) have</w:t>
      </w:r>
      <w:r w:rsidR="003E3405">
        <w:t xml:space="preserve"> been identified</w:t>
      </w:r>
      <w:r w:rsidR="009F31D7" w:rsidRPr="009F31D7">
        <w:t>. The ability of some</w:t>
      </w:r>
      <w:r w:rsidR="003E3405">
        <w:t xml:space="preserve"> bioenergy crops, for example</w:t>
      </w:r>
      <w:r w:rsidR="009F31D7" w:rsidRPr="009F31D7">
        <w:t xml:space="preserve"> </w:t>
      </w:r>
      <w:r w:rsidR="009F31D7" w:rsidRPr="009F31D7">
        <w:rPr>
          <w:i/>
        </w:rPr>
        <w:t>Populus</w:t>
      </w:r>
      <w:r w:rsidR="009F31D7" w:rsidRPr="009F31D7">
        <w:t xml:space="preserve"> species to tolerate extremely droughted environments</w:t>
      </w:r>
      <w:r w:rsidR="00F521D8">
        <w:t>,</w:t>
      </w:r>
      <w:r w:rsidR="009F31D7" w:rsidRPr="009F31D7">
        <w:t xml:space="preserve"> including </w:t>
      </w:r>
      <w:r w:rsidR="009F31D7" w:rsidRPr="009F31D7">
        <w:rPr>
          <w:i/>
        </w:rPr>
        <w:t>Populus euphratica,</w:t>
      </w:r>
      <w:r w:rsidR="009F31D7" w:rsidRPr="009F31D7">
        <w:t xml:space="preserve"> found in salty and arid environments such as the Negev </w:t>
      </w:r>
      <w:r w:rsidR="009F31D7" w:rsidRPr="004456E0">
        <w:t>desert</w:t>
      </w:r>
      <w:r w:rsidR="004456E0" w:rsidRPr="004456E0">
        <w:t xml:space="preserve"> (Bogeat-Triboulet et al., 2007)</w:t>
      </w:r>
      <w:r w:rsidR="00F521D8">
        <w:t>,</w:t>
      </w:r>
      <w:r w:rsidR="004456E0" w:rsidRPr="004456E0">
        <w:t xml:space="preserve"> </w:t>
      </w:r>
      <w:r w:rsidR="009F31D7" w:rsidRPr="004456E0">
        <w:t>has</w:t>
      </w:r>
      <w:r w:rsidR="009F31D7" w:rsidRPr="009F31D7">
        <w:t xml:space="preserve"> also been noted.</w:t>
      </w:r>
      <w:r w:rsidR="001E2780">
        <w:t xml:space="preserve"> Some bioenergy crops, in contrast to those</w:t>
      </w:r>
      <w:r w:rsidR="00B956F7">
        <w:t xml:space="preserve"> considered</w:t>
      </w:r>
      <w:r w:rsidR="001E2780">
        <w:t xml:space="preserve"> here, </w:t>
      </w:r>
      <w:r w:rsidR="00326641">
        <w:t xml:space="preserve"> </w:t>
      </w:r>
      <w:r w:rsidR="001E2780">
        <w:t>may be desert plants and highly tolerant of dry soils, however these extremes and severe droughts are outside the scope of this review and do not confirm to our ideotype for drought tolerance.</w:t>
      </w:r>
      <w:r w:rsidR="009F31D7" w:rsidRPr="009F31D7">
        <w:t xml:space="preserve"> Quantifying genetic diversity and understanding the physiological traits associated with genetic variation provides the first step to developing superior plants for drought tolerance that will underpin the release of trees</w:t>
      </w:r>
      <w:r w:rsidR="003E3405">
        <w:t xml:space="preserve"> and grasses</w:t>
      </w:r>
      <w:r w:rsidR="009F31D7" w:rsidRPr="009F31D7">
        <w:t xml:space="preserve"> resilient for future drought-prone climates. </w:t>
      </w:r>
      <w:r w:rsidR="003E3405">
        <w:t xml:space="preserve"> </w:t>
      </w:r>
      <w:r w:rsidR="009F31D7" w:rsidRPr="009F31D7">
        <w:t xml:space="preserve">Here we define drought tolerance as the </w:t>
      </w:r>
      <w:r w:rsidR="009F31D7" w:rsidRPr="009F31D7">
        <w:rPr>
          <w:b/>
        </w:rPr>
        <w:t>‘</w:t>
      </w:r>
      <w:r w:rsidR="009F31D7" w:rsidRPr="009F31D7">
        <w:rPr>
          <w:b/>
          <w:i/>
        </w:rPr>
        <w:t>maintenance of plant biomass production in the face of moderate and persistent drought stress</w:t>
      </w:r>
      <w:r w:rsidR="009F31D7" w:rsidRPr="009F31D7">
        <w:rPr>
          <w:b/>
        </w:rPr>
        <w:t>’</w:t>
      </w:r>
      <w:r w:rsidR="009F31D7" w:rsidRPr="009F31D7">
        <w:t xml:space="preserve"> since this type of drought scenario is likely to be more relevant to continued productivity in biomass bioenergy crops</w:t>
      </w:r>
      <w:r w:rsidR="009F31D7" w:rsidRPr="009F31D7">
        <w:rPr>
          <w:i/>
        </w:rPr>
        <w:t xml:space="preserve">. </w:t>
      </w:r>
      <w:r w:rsidR="009F31D7" w:rsidRPr="009F31D7">
        <w:t>Much of the research undert</w:t>
      </w:r>
      <w:r w:rsidR="003E3405">
        <w:t>aken to date on drought tolerance in model plant</w:t>
      </w:r>
      <w:r w:rsidR="00B956F7">
        <w:t>s</w:t>
      </w:r>
      <w:r w:rsidR="003E3405">
        <w:t xml:space="preserve"> and </w:t>
      </w:r>
      <w:r w:rsidR="009F31D7" w:rsidRPr="009F31D7">
        <w:t xml:space="preserve">arable crops, such as that on early vigor, flowering time, grain fill, and partitioning, is of limited relevance to bioenergy crops, since these traits </w:t>
      </w:r>
      <w:r w:rsidR="00F42DC4">
        <w:t xml:space="preserve">in annual crops </w:t>
      </w:r>
      <w:r w:rsidR="009F31D7" w:rsidRPr="009F31D7">
        <w:t>tend to reflect end</w:t>
      </w:r>
      <w:r w:rsidR="009F31D7">
        <w:t>-</w:t>
      </w:r>
      <w:r w:rsidR="009F31D7" w:rsidRPr="009F31D7">
        <w:t xml:space="preserve">of-life mechanisms to overcome drought stress and are highly dependent on plant developmental stage. Plants mitigate </w:t>
      </w:r>
      <w:r w:rsidR="00F42DC4">
        <w:t>the effects of</w:t>
      </w:r>
      <w:r w:rsidR="009F31D7" w:rsidRPr="009F31D7">
        <w:t xml:space="preserve"> limited soil water availability through a range of mechanisms and improvements in drought tolerance should be specific to the targeted crop system and the type of drought that occurs most </w:t>
      </w:r>
      <w:r w:rsidR="009F31D7" w:rsidRPr="00A47781">
        <w:t>frequently</w:t>
      </w:r>
      <w:r w:rsidR="00A47781" w:rsidRPr="00A47781">
        <w:t xml:space="preserve"> (Tardieu, 2012)</w:t>
      </w:r>
      <w:r w:rsidR="009F31D7" w:rsidRPr="00A47781">
        <w:t xml:space="preserve"> and</w:t>
      </w:r>
      <w:r w:rsidR="00A47781">
        <w:t xml:space="preserve"> for </w:t>
      </w:r>
      <w:r w:rsidR="009F31D7" w:rsidRPr="009F31D7">
        <w:t xml:space="preserve">maintaining productivity in </w:t>
      </w:r>
      <w:r w:rsidR="003E3405" w:rsidRPr="003E3405">
        <w:t>bioenergy crops</w:t>
      </w:r>
      <w:r w:rsidR="003E3405">
        <w:rPr>
          <w:i/>
        </w:rPr>
        <w:t xml:space="preserve"> </w:t>
      </w:r>
      <w:r w:rsidR="009F31D7" w:rsidRPr="009F31D7">
        <w:t>this means maximising overall biomass accumulation. Thus, drought tolerant genotypes must maintain cell production and expansion, leaf growth, gree</w:t>
      </w:r>
      <w:r w:rsidR="009F31D7">
        <w:t>n</w:t>
      </w:r>
      <w:r w:rsidR="009F31D7" w:rsidRPr="009F31D7">
        <w:t>ness and gas exchange rates under soil water deficits (traits identif</w:t>
      </w:r>
      <w:r w:rsidR="005A0750">
        <w:t xml:space="preserve">ied as being drought responsive; </w:t>
      </w:r>
      <w:r w:rsidR="005A0750" w:rsidRPr="005A0750">
        <w:t>Liu and Dickman</w:t>
      </w:r>
      <w:r w:rsidR="005A0750">
        <w:t>, 1999; Tschaplinski et al., 2006; Marron et al., 2002; Tardieu and Tuberosa, 2010; Di Ollas and Dodd, 2016)</w:t>
      </w:r>
      <w:r w:rsidR="00F059BE">
        <w:t>. Root traits are also important in maintaining biomass production during drought (Parra-Londono et al., 2018; Xie et al., 2017)</w:t>
      </w:r>
      <w:r w:rsidR="00B956F7">
        <w:t xml:space="preserve">. </w:t>
      </w:r>
      <w:r w:rsidR="00F059BE">
        <w:t xml:space="preserve">In contrast, </w:t>
      </w:r>
      <w:r w:rsidR="009F31D7" w:rsidRPr="009F31D7">
        <w:t xml:space="preserve">other traits important during terminal or very intense drought events like cell protection mechanisms and cavitation prevention may be less </w:t>
      </w:r>
      <w:r w:rsidR="00F059BE">
        <w:t xml:space="preserve">relevant for the drought ideotype being considered here </w:t>
      </w:r>
      <w:r w:rsidR="005A0750">
        <w:t>(Marron et al.,2002b; Sack and Holbrook, 2006;  Cochard et al., 2007).</w:t>
      </w:r>
    </w:p>
    <w:p w14:paraId="49908CEB" w14:textId="77777777" w:rsidR="00620EA1" w:rsidRDefault="00620EA1" w:rsidP="00BE6785">
      <w:pPr>
        <w:spacing w:line="360" w:lineRule="auto"/>
        <w:jc w:val="both"/>
      </w:pPr>
    </w:p>
    <w:p w14:paraId="497AE45E" w14:textId="77777777" w:rsidR="007A3595" w:rsidRPr="007A3595" w:rsidRDefault="007A3595" w:rsidP="00BE6785">
      <w:pPr>
        <w:spacing w:line="360" w:lineRule="auto"/>
        <w:jc w:val="both"/>
        <w:rPr>
          <w:b/>
        </w:rPr>
      </w:pPr>
      <w:r>
        <w:tab/>
      </w:r>
      <w:r>
        <w:rPr>
          <w:b/>
        </w:rPr>
        <w:t>Developing an ideotype for drought tolerance – understanding complexity for future breeding</w:t>
      </w:r>
    </w:p>
    <w:p w14:paraId="0A97D18E" w14:textId="7E534038" w:rsidR="009F31D7" w:rsidRDefault="00A1099B" w:rsidP="00BE6785">
      <w:pPr>
        <w:spacing w:line="360" w:lineRule="auto"/>
        <w:jc w:val="both"/>
      </w:pPr>
      <w:r w:rsidRPr="00BE6785">
        <w:t>An ideotype</w:t>
      </w:r>
      <w:r w:rsidR="0088276E" w:rsidRPr="00BE6785">
        <w:t xml:space="preserve"> is defined as the idealized plant for a given environment </w:t>
      </w:r>
      <w:r w:rsidR="00D76448" w:rsidRPr="00BE6785">
        <w:t xml:space="preserve">(Donald, 1968) </w:t>
      </w:r>
      <w:r w:rsidR="0088276E" w:rsidRPr="00BE6785">
        <w:t xml:space="preserve">and here we are interested in the ideotype for drought tolerance in bioenergy crops. Strictly speaking, </w:t>
      </w:r>
      <w:r w:rsidR="00D76448" w:rsidRPr="00BE6785">
        <w:t xml:space="preserve">several bioenergy drought tolerance ideotypes may exist and are likely to be species specific. A drought </w:t>
      </w:r>
      <w:r w:rsidR="009B61C6">
        <w:t xml:space="preserve">tolerance </w:t>
      </w:r>
      <w:r w:rsidR="00D76448" w:rsidRPr="00BE6785">
        <w:t>ideotype for bioenergy poplar trees suggests that selection of f</w:t>
      </w:r>
      <w:r w:rsidR="009F31D7" w:rsidRPr="00BE6785">
        <w:t xml:space="preserve">ast growing genotypes </w:t>
      </w:r>
      <w:r w:rsidR="00D76448" w:rsidRPr="00BE6785">
        <w:t xml:space="preserve">originating from </w:t>
      </w:r>
      <w:r w:rsidR="009F31D7" w:rsidRPr="00BE6785">
        <w:t>wetter areas of Europe (e.g. northern Italy) out-perform</w:t>
      </w:r>
      <w:r w:rsidR="00B956F7">
        <w:t>s</w:t>
      </w:r>
      <w:r w:rsidR="009F31D7" w:rsidRPr="00BE6785">
        <w:t xml:space="preserve"> those from droughted environments (e.g. southern Spain), even during drought. In this way, we found genotypes with </w:t>
      </w:r>
      <w:r w:rsidR="009F31D7" w:rsidRPr="00BE6785">
        <w:rPr>
          <w:i/>
        </w:rPr>
        <w:t>high hydraulic capacity</w:t>
      </w:r>
      <w:r w:rsidR="009F31D7" w:rsidRPr="00BE6785">
        <w:t xml:space="preserve">, and </w:t>
      </w:r>
      <w:r w:rsidR="009F31D7" w:rsidRPr="00BE6785">
        <w:rPr>
          <w:i/>
        </w:rPr>
        <w:t>large leaves made up of many cells and high stomatal index</w:t>
      </w:r>
      <w:r w:rsidR="009F31D7" w:rsidRPr="00BE6785">
        <w:t xml:space="preserve"> </w:t>
      </w:r>
      <w:r w:rsidR="009F31D7" w:rsidRPr="00BE6785">
        <w:rPr>
          <w:i/>
        </w:rPr>
        <w:t>and responsive</w:t>
      </w:r>
      <w:r w:rsidR="009F31D7" w:rsidRPr="009F31D7">
        <w:rPr>
          <w:i/>
        </w:rPr>
        <w:t xml:space="preserve"> stomata</w:t>
      </w:r>
      <w:r w:rsidR="00D76448">
        <w:rPr>
          <w:i/>
        </w:rPr>
        <w:t>, with high transpiration efficiency (TE water loss per unit biomass gained)</w:t>
      </w:r>
      <w:r w:rsidR="009F31D7" w:rsidRPr="009F31D7">
        <w:t xml:space="preserve"> to be best suited to drought environments across Europe. Moreover, although water use efficiency (WUE) and saccharification potential are less heritable </w:t>
      </w:r>
      <w:r w:rsidR="009F31D7" w:rsidRPr="00923560">
        <w:t xml:space="preserve">breeding targets, genotypes which combine </w:t>
      </w:r>
      <w:r w:rsidR="00BA0AAB" w:rsidRPr="00923560">
        <w:t xml:space="preserve">high </w:t>
      </w:r>
      <w:r w:rsidR="009F31D7" w:rsidRPr="00923560">
        <w:t>yield,</w:t>
      </w:r>
      <w:r w:rsidR="00D76448" w:rsidRPr="00923560">
        <w:t xml:space="preserve"> </w:t>
      </w:r>
      <w:r w:rsidR="009F31D7" w:rsidRPr="00923560">
        <w:t>WUE and saccharification potential</w:t>
      </w:r>
      <w:r w:rsidR="00355C02" w:rsidRPr="00923560">
        <w:t xml:space="preserve"> have been identified.</w:t>
      </w:r>
      <w:r w:rsidR="005C4B30" w:rsidRPr="00923560">
        <w:t xml:space="preserve"> Interestingly, saccharification potential increased under moderate drought (Wildhagen et al. 2018).</w:t>
      </w:r>
      <w:r w:rsidR="00355C02" w:rsidRPr="00923560">
        <w:t xml:space="preserve"> At the same time, Papcek et al., </w:t>
      </w:r>
      <w:r w:rsidR="00CB1071" w:rsidRPr="00923560">
        <w:t>(</w:t>
      </w:r>
      <w:r w:rsidR="00355C02" w:rsidRPr="00923560">
        <w:t>2019</w:t>
      </w:r>
      <w:r w:rsidR="00CB1071" w:rsidRPr="00923560">
        <w:t>)</w:t>
      </w:r>
      <w:r w:rsidR="00355C02" w:rsidRPr="00923560">
        <w:t>, have over-expressed poplar ABA</w:t>
      </w:r>
      <w:r w:rsidR="00CB1071" w:rsidRPr="00923560">
        <w:t xml:space="preserve"> receptors in </w:t>
      </w:r>
      <w:r w:rsidR="00CB1071" w:rsidRPr="00923560">
        <w:rPr>
          <w:i/>
        </w:rPr>
        <w:t>Arabidopsis</w:t>
      </w:r>
      <w:r w:rsidR="00CB1071" w:rsidRPr="00923560">
        <w:t xml:space="preserve"> and observed a 26% increase in WUE</w:t>
      </w:r>
      <w:r w:rsidR="00326641" w:rsidRPr="00923560">
        <w:t>. This suggests</w:t>
      </w:r>
      <w:r w:rsidR="00CB1071" w:rsidRPr="00923560">
        <w:t xml:space="preserve"> that ABA induced stomatal closure may be an important drought tolerance mechanism in </w:t>
      </w:r>
      <w:r w:rsidR="00CB1071" w:rsidRPr="00923560">
        <w:rPr>
          <w:i/>
        </w:rPr>
        <w:t>Populus</w:t>
      </w:r>
      <w:r w:rsidR="00CB1071" w:rsidRPr="00923560">
        <w:t>, a result supported by the findings of Brunetti et al.,</w:t>
      </w:r>
      <w:r w:rsidR="00CB1071" w:rsidRPr="00513CB4">
        <w:t xml:space="preserve"> (2019), </w:t>
      </w:r>
      <w:r w:rsidR="00CB1071">
        <w:t>who de</w:t>
      </w:r>
      <w:r w:rsidR="00CB1071" w:rsidRPr="00CB1071">
        <w:t>m</w:t>
      </w:r>
      <w:r w:rsidR="00CB1071">
        <w:t xml:space="preserve">onstrated a tight link between ABA-related gene expression and altered photosynthesis and stomatal conductance in response to drought in this bioenergy tree. </w:t>
      </w:r>
      <w:r w:rsidR="005C4B30">
        <w:t xml:space="preserve">The overwhelming impact of ABA control on biomass production was also demonstrated with a range of transgenic poplars grown outdoors (Yu et al. 2019). </w:t>
      </w:r>
      <w:r w:rsidR="00CB1071">
        <w:t>From these and other findings</w:t>
      </w:r>
      <w:r w:rsidR="003533A5">
        <w:t>,</w:t>
      </w:r>
      <w:r w:rsidR="00CB1071">
        <w:t xml:space="preserve"> a</w:t>
      </w:r>
      <w:r w:rsidR="009F31D7" w:rsidRPr="009F31D7">
        <w:t xml:space="preserve"> list of key phenotypic traits that are tractable in very large populations</w:t>
      </w:r>
      <w:r>
        <w:t xml:space="preserve"> of bioenergy crops</w:t>
      </w:r>
      <w:r w:rsidR="009F31D7" w:rsidRPr="009F31D7">
        <w:t xml:space="preserve"> and </w:t>
      </w:r>
      <w:r w:rsidR="00CB1071">
        <w:t xml:space="preserve">underpin the </w:t>
      </w:r>
      <w:r w:rsidR="009F31D7" w:rsidRPr="009F31D7">
        <w:t>drought tolerance</w:t>
      </w:r>
      <w:r w:rsidR="00CB1071">
        <w:t xml:space="preserve"> ideotype have been identified</w:t>
      </w:r>
      <w:r>
        <w:t xml:space="preserve"> and are summarized in Table 2</w:t>
      </w:r>
      <w:r w:rsidR="009F31D7" w:rsidRPr="009F31D7">
        <w:t xml:space="preserve">. </w:t>
      </w:r>
      <w:r w:rsidR="00BE1BC9">
        <w:t xml:space="preserve">Since phenotyping has become the costly, time-consuming and ‘bottle-necked’ activity in the study of links between phenotype and </w:t>
      </w:r>
      <w:r w:rsidR="00BE1BC9" w:rsidRPr="000E1DFA">
        <w:t>genotype</w:t>
      </w:r>
      <w:r w:rsidR="000E1DFA">
        <w:t xml:space="preserve"> (Tard</w:t>
      </w:r>
      <w:r w:rsidR="000E1DFA" w:rsidRPr="000E1DFA">
        <w:t>i</w:t>
      </w:r>
      <w:r w:rsidR="000E1DFA">
        <w:t>e</w:t>
      </w:r>
      <w:r w:rsidR="000E1DFA" w:rsidRPr="000E1DFA">
        <w:t>u et al., 2017)</w:t>
      </w:r>
      <w:r w:rsidR="00BE1BC9" w:rsidRPr="000E1DFA">
        <w:t>, here we have</w:t>
      </w:r>
      <w:r w:rsidR="00BE1BC9">
        <w:t xml:space="preserve"> identified two types of informative phenotyping measurement</w:t>
      </w:r>
      <w:r w:rsidR="00F13827">
        <w:t xml:space="preserve">. </w:t>
      </w:r>
      <w:r w:rsidR="00BE1BC9">
        <w:t xml:space="preserve"> 1): measurements that can be made in many 100s of samples, that are well-studied and conceptualized and representative of drought responses and used for association and other mapping to inform genetic loci</w:t>
      </w:r>
      <w:r w:rsidR="00734865">
        <w:t xml:space="preserve"> (GWAS traits)</w:t>
      </w:r>
      <w:r w:rsidR="00326641">
        <w:t>;</w:t>
      </w:r>
      <w:r w:rsidR="00BE1BC9">
        <w:t xml:space="preserve"> </w:t>
      </w:r>
      <w:r w:rsidR="009B61C6">
        <w:t xml:space="preserve"> </w:t>
      </w:r>
      <w:r w:rsidR="00BE1BC9">
        <w:t>2): measurements that are highly informative but too time consuming for whole population studies</w:t>
      </w:r>
      <w:r w:rsidR="00734865">
        <w:t xml:space="preserve"> and may</w:t>
      </w:r>
      <w:r w:rsidR="00BA0AAB">
        <w:t>,</w:t>
      </w:r>
      <w:r w:rsidR="00734865">
        <w:t xml:space="preserve"> therefor</w:t>
      </w:r>
      <w:r w:rsidR="00BA0AAB">
        <w:t>e,</w:t>
      </w:r>
      <w:r w:rsidR="00734865">
        <w:t xml:space="preserve"> be suited to Genomic Selection traits in training and test populations (GS traits)</w:t>
      </w:r>
      <w:r w:rsidR="00BE1BC9">
        <w:t xml:space="preserve">. </w:t>
      </w:r>
      <w:r w:rsidR="002F34FC">
        <w:t xml:space="preserve">One area that is significantly understudied in bioenergy crops with respect to drought tolerance is that </w:t>
      </w:r>
      <w:r w:rsidR="002F34FC" w:rsidRPr="00513CB4">
        <w:t>of root traits</w:t>
      </w:r>
      <w:r w:rsidR="00734865">
        <w:t xml:space="preserve"> (Para-London et al., 2018)</w:t>
      </w:r>
      <w:r w:rsidR="002F34FC" w:rsidRPr="00513CB4">
        <w:t xml:space="preserve">, for which there is a paucity of information, although a recent report suggests that deep roots may become more significant for water transport in droughted conditions, at least for </w:t>
      </w:r>
      <w:r w:rsidR="002F34FC" w:rsidRPr="00513CB4">
        <w:rPr>
          <w:i/>
        </w:rPr>
        <w:t>Arundo</w:t>
      </w:r>
      <w:r w:rsidR="002F34FC" w:rsidRPr="00513CB4">
        <w:t xml:space="preserve"> </w:t>
      </w:r>
      <w:r w:rsidR="002F34FC" w:rsidRPr="00513CB4">
        <w:rPr>
          <w:color w:val="000000" w:themeColor="text1"/>
        </w:rPr>
        <w:t>(Zageda-Lizarazu and Monti, 2019</w:t>
      </w:r>
      <w:r w:rsidR="002F34FC" w:rsidRPr="00513CB4">
        <w:t>)</w:t>
      </w:r>
      <w:r w:rsidR="00F13827">
        <w:t>. W</w:t>
      </w:r>
      <w:r w:rsidR="002F34FC" w:rsidRPr="00513CB4">
        <w:t xml:space="preserve">hilst root architecture and function certainly remain an area where further </w:t>
      </w:r>
      <w:r w:rsidR="00E81241" w:rsidRPr="00513CB4">
        <w:t>research is required</w:t>
      </w:r>
      <w:r w:rsidR="00F13827">
        <w:t xml:space="preserve">, new modelling approaches are emerging that are likely to be of value in the </w:t>
      </w:r>
      <w:r w:rsidR="00276E1C">
        <w:t>discovery of root ideotypes f</w:t>
      </w:r>
      <w:r w:rsidR="00F13827">
        <w:t>o</w:t>
      </w:r>
      <w:r w:rsidR="00276E1C">
        <w:t>r</w:t>
      </w:r>
      <w:r w:rsidR="00F13827">
        <w:t xml:space="preserve"> drought tolerance (Schnepf et al., 2018)</w:t>
      </w:r>
      <w:r w:rsidR="00BA0AAB">
        <w:t>.</w:t>
      </w:r>
    </w:p>
    <w:p w14:paraId="7D4EDB2C" w14:textId="2C025338" w:rsidR="00E81241" w:rsidRDefault="00E81241" w:rsidP="00BE6785">
      <w:pPr>
        <w:spacing w:line="360" w:lineRule="auto"/>
        <w:jc w:val="both"/>
      </w:pPr>
    </w:p>
    <w:p w14:paraId="703F4E1A" w14:textId="35FFEF7D" w:rsidR="00326641" w:rsidRDefault="00326641" w:rsidP="00BE6785">
      <w:pPr>
        <w:spacing w:line="360" w:lineRule="auto"/>
        <w:jc w:val="both"/>
      </w:pPr>
    </w:p>
    <w:p w14:paraId="36935644" w14:textId="4D5013FE" w:rsidR="00326641" w:rsidRDefault="00326641" w:rsidP="00BE6785">
      <w:pPr>
        <w:spacing w:line="360" w:lineRule="auto"/>
        <w:jc w:val="both"/>
      </w:pPr>
    </w:p>
    <w:p w14:paraId="141BD9A8" w14:textId="38250591" w:rsidR="00326641" w:rsidRDefault="00326641" w:rsidP="00BE6785">
      <w:pPr>
        <w:spacing w:line="360" w:lineRule="auto"/>
        <w:jc w:val="both"/>
      </w:pPr>
    </w:p>
    <w:p w14:paraId="7F53630A" w14:textId="7EE98229" w:rsidR="00326641" w:rsidRDefault="00326641" w:rsidP="00BE6785">
      <w:pPr>
        <w:spacing w:line="360" w:lineRule="auto"/>
        <w:jc w:val="both"/>
      </w:pPr>
    </w:p>
    <w:p w14:paraId="5F335DBF" w14:textId="77777777" w:rsidR="00326641" w:rsidRDefault="00326641" w:rsidP="00BE6785">
      <w:pPr>
        <w:spacing w:line="360" w:lineRule="auto"/>
        <w:jc w:val="both"/>
      </w:pPr>
    </w:p>
    <w:p w14:paraId="553B15BA" w14:textId="77777777" w:rsidR="00B80D32" w:rsidRDefault="00B80D32" w:rsidP="00BE6785">
      <w:pPr>
        <w:spacing w:line="240" w:lineRule="auto"/>
        <w:jc w:val="both"/>
        <w:rPr>
          <w:b/>
        </w:rPr>
      </w:pPr>
    </w:p>
    <w:p w14:paraId="56BD6C64" w14:textId="77777777" w:rsidR="00B80D32" w:rsidRDefault="00B80D32" w:rsidP="00BE6785">
      <w:pPr>
        <w:spacing w:line="240" w:lineRule="auto"/>
        <w:jc w:val="both"/>
        <w:rPr>
          <w:b/>
        </w:rPr>
      </w:pPr>
    </w:p>
    <w:p w14:paraId="3BF420C7" w14:textId="77777777" w:rsidR="00B80D32" w:rsidRDefault="00B80D32" w:rsidP="00BE6785">
      <w:pPr>
        <w:spacing w:line="240" w:lineRule="auto"/>
        <w:jc w:val="both"/>
        <w:rPr>
          <w:b/>
        </w:rPr>
      </w:pPr>
    </w:p>
    <w:p w14:paraId="1F9A5414" w14:textId="77777777" w:rsidR="00B80D32" w:rsidRDefault="00B80D32" w:rsidP="00BE6785">
      <w:pPr>
        <w:spacing w:line="240" w:lineRule="auto"/>
        <w:jc w:val="both"/>
        <w:rPr>
          <w:b/>
        </w:rPr>
      </w:pPr>
    </w:p>
    <w:p w14:paraId="7E983850" w14:textId="77777777" w:rsidR="00BE6785" w:rsidRDefault="00BE6785" w:rsidP="00BE6785">
      <w:pPr>
        <w:spacing w:line="240" w:lineRule="auto"/>
        <w:jc w:val="both"/>
        <w:rPr>
          <w:b/>
        </w:rPr>
      </w:pPr>
    </w:p>
    <w:p w14:paraId="30B545FB" w14:textId="77777777" w:rsidR="00BE6785" w:rsidRDefault="00BE6785" w:rsidP="00BE6785">
      <w:pPr>
        <w:spacing w:line="240" w:lineRule="auto"/>
        <w:jc w:val="both"/>
        <w:rPr>
          <w:b/>
        </w:rPr>
      </w:pPr>
    </w:p>
    <w:p w14:paraId="354A7DD5" w14:textId="5AC1FC11" w:rsidR="00BE1BC9" w:rsidRDefault="00BE1BC9" w:rsidP="00BE6785">
      <w:pPr>
        <w:spacing w:line="240" w:lineRule="auto"/>
        <w:jc w:val="both"/>
        <w:rPr>
          <w:b/>
        </w:rPr>
      </w:pPr>
      <w:r>
        <w:rPr>
          <w:b/>
        </w:rPr>
        <w:t xml:space="preserve">Table 2: </w:t>
      </w:r>
      <w:r w:rsidRPr="00BE1BC9">
        <w:t xml:space="preserve">A summary of phenotyping measurements that provide insight into the ideotype for drought tolerance in bioenergy crops, where type of measurement is defined as </w:t>
      </w:r>
      <w:r w:rsidR="0088276E">
        <w:t>either 1)</w:t>
      </w:r>
      <w:r w:rsidRPr="00BE1BC9">
        <w:t xml:space="preserve"> made on many 100s of samples possible for use in GWAS analysis</w:t>
      </w:r>
      <w:r w:rsidR="00BA0AAB">
        <w:t xml:space="preserve"> </w:t>
      </w:r>
      <w:r w:rsidR="0088276E">
        <w:t>or 2)</w:t>
      </w:r>
      <w:r w:rsidRPr="00BE1BC9">
        <w:t xml:space="preserve"> informative measur</w:t>
      </w:r>
      <w:r w:rsidR="0088276E">
        <w:t>e</w:t>
      </w:r>
      <w:r w:rsidRPr="00BE1BC9">
        <w:t xml:space="preserve">ments but too costly or time consuming for GWAS and may be more suited to </w:t>
      </w:r>
      <w:r w:rsidR="0088276E">
        <w:t>G</w:t>
      </w:r>
      <w:r w:rsidRPr="00BE1BC9">
        <w:t>enomic Selection (GS).</w:t>
      </w:r>
      <w:r>
        <w:rPr>
          <w:b/>
        </w:rPr>
        <w:t xml:space="preserve"> </w:t>
      </w:r>
    </w:p>
    <w:tbl>
      <w:tblPr>
        <w:tblStyle w:val="TableGrid"/>
        <w:tblW w:w="9533" w:type="dxa"/>
        <w:tblInd w:w="7" w:type="dxa"/>
        <w:tblCellMar>
          <w:top w:w="37" w:type="dxa"/>
          <w:left w:w="107" w:type="dxa"/>
          <w:right w:w="48" w:type="dxa"/>
        </w:tblCellMar>
        <w:tblLook w:val="04A0" w:firstRow="1" w:lastRow="0" w:firstColumn="1" w:lastColumn="0" w:noHBand="0" w:noVBand="1"/>
      </w:tblPr>
      <w:tblGrid>
        <w:gridCol w:w="2034"/>
        <w:gridCol w:w="6078"/>
        <w:gridCol w:w="715"/>
        <w:gridCol w:w="706"/>
      </w:tblGrid>
      <w:tr w:rsidR="00A1099B" w:rsidRPr="00A1099B" w14:paraId="7300BF48" w14:textId="77777777" w:rsidTr="0071365B">
        <w:trPr>
          <w:trHeight w:val="836"/>
        </w:trPr>
        <w:tc>
          <w:tcPr>
            <w:tcW w:w="2064" w:type="dxa"/>
            <w:tcBorders>
              <w:top w:val="single" w:sz="4" w:space="0" w:color="000000"/>
              <w:left w:val="single" w:sz="4" w:space="0" w:color="000000"/>
              <w:bottom w:val="single" w:sz="4" w:space="0" w:color="000000"/>
              <w:right w:val="single" w:sz="4" w:space="0" w:color="000000"/>
            </w:tcBorders>
            <w:shd w:val="clear" w:color="auto" w:fill="E7E6E6"/>
          </w:tcPr>
          <w:p w14:paraId="05CA3172" w14:textId="77777777" w:rsidR="00A1099B" w:rsidRPr="00A1099B" w:rsidRDefault="00A1099B" w:rsidP="00BE6785">
            <w:pPr>
              <w:ind w:left="7" w:right="19"/>
              <w:jc w:val="both"/>
              <w:rPr>
                <w:rFonts w:ascii="Arial" w:eastAsia="Arial" w:hAnsi="Arial" w:cs="Arial"/>
                <w:color w:val="000000"/>
                <w:sz w:val="18"/>
                <w:szCs w:val="18"/>
              </w:rPr>
            </w:pPr>
            <w:r w:rsidRPr="00A1099B">
              <w:rPr>
                <w:rFonts w:ascii="Arial" w:eastAsia="Arial" w:hAnsi="Arial" w:cs="Arial"/>
                <w:b/>
                <w:color w:val="000000"/>
                <w:sz w:val="18"/>
                <w:szCs w:val="18"/>
              </w:rPr>
              <w:t xml:space="preserve">Traits of value for drought tolerance assessment </w:t>
            </w:r>
            <w:r w:rsidRPr="00BE1BC9">
              <w:rPr>
                <w:rFonts w:ascii="Arial" w:eastAsia="Arial" w:hAnsi="Arial" w:cs="Arial"/>
                <w:b/>
                <w:color w:val="000000"/>
                <w:sz w:val="18"/>
                <w:szCs w:val="18"/>
              </w:rPr>
              <w:t>in bioenergy crops</w:t>
            </w:r>
          </w:p>
        </w:tc>
        <w:tc>
          <w:tcPr>
            <w:tcW w:w="6210" w:type="dxa"/>
            <w:tcBorders>
              <w:top w:val="single" w:sz="4" w:space="0" w:color="000000"/>
              <w:left w:val="single" w:sz="4" w:space="0" w:color="000000"/>
              <w:bottom w:val="single" w:sz="4" w:space="0" w:color="000000"/>
              <w:right w:val="single" w:sz="4" w:space="0" w:color="000000"/>
            </w:tcBorders>
            <w:shd w:val="clear" w:color="auto" w:fill="E7E6E6"/>
          </w:tcPr>
          <w:p w14:paraId="38D78675" w14:textId="77777777" w:rsidR="00A1099B" w:rsidRPr="00A1099B" w:rsidRDefault="00A1099B" w:rsidP="00BE6785">
            <w:pPr>
              <w:ind w:right="63"/>
              <w:jc w:val="both"/>
              <w:rPr>
                <w:rFonts w:ascii="Arial" w:eastAsia="Arial" w:hAnsi="Arial" w:cs="Arial"/>
                <w:color w:val="000000"/>
                <w:sz w:val="18"/>
                <w:szCs w:val="18"/>
              </w:rPr>
            </w:pPr>
            <w:r w:rsidRPr="00BE1BC9">
              <w:rPr>
                <w:rFonts w:ascii="Arial" w:eastAsia="Arial" w:hAnsi="Arial" w:cs="Arial"/>
                <w:b/>
                <w:color w:val="000000"/>
                <w:sz w:val="18"/>
                <w:szCs w:val="18"/>
              </w:rPr>
              <w:t>Relationship to drought tolerance</w:t>
            </w:r>
          </w:p>
        </w:tc>
        <w:tc>
          <w:tcPr>
            <w:tcW w:w="540" w:type="dxa"/>
            <w:tcBorders>
              <w:top w:val="single" w:sz="4" w:space="0" w:color="000000"/>
              <w:left w:val="single" w:sz="4" w:space="0" w:color="000000"/>
              <w:bottom w:val="single" w:sz="4" w:space="0" w:color="000000"/>
              <w:right w:val="single" w:sz="4" w:space="0" w:color="000000"/>
            </w:tcBorders>
            <w:shd w:val="clear" w:color="auto" w:fill="E7E6E6"/>
          </w:tcPr>
          <w:p w14:paraId="3F4DF824" w14:textId="77777777" w:rsidR="00DB0DDF" w:rsidRPr="00A1099B" w:rsidRDefault="00734865" w:rsidP="00BE6785">
            <w:pPr>
              <w:jc w:val="both"/>
              <w:rPr>
                <w:rFonts w:ascii="Arial" w:eastAsia="Arial" w:hAnsi="Arial" w:cs="Arial"/>
                <w:b/>
                <w:color w:val="000000"/>
                <w:sz w:val="18"/>
                <w:szCs w:val="18"/>
              </w:rPr>
            </w:pPr>
            <w:r>
              <w:rPr>
                <w:rFonts w:ascii="Arial" w:eastAsia="Arial" w:hAnsi="Arial" w:cs="Arial"/>
                <w:b/>
                <w:color w:val="000000"/>
                <w:sz w:val="18"/>
                <w:szCs w:val="18"/>
              </w:rPr>
              <w:t>GWAS or GS trait</w:t>
            </w:r>
          </w:p>
        </w:tc>
        <w:tc>
          <w:tcPr>
            <w:tcW w:w="719" w:type="dxa"/>
            <w:tcBorders>
              <w:top w:val="single" w:sz="4" w:space="0" w:color="000000"/>
              <w:left w:val="single" w:sz="4" w:space="0" w:color="000000"/>
              <w:bottom w:val="single" w:sz="4" w:space="0" w:color="000000"/>
              <w:right w:val="single" w:sz="4" w:space="0" w:color="000000"/>
            </w:tcBorders>
            <w:shd w:val="clear" w:color="auto" w:fill="E7E6E6"/>
          </w:tcPr>
          <w:p w14:paraId="2D355B6A" w14:textId="77777777" w:rsidR="00A1099B" w:rsidRPr="00A1099B" w:rsidRDefault="00DB0DDF" w:rsidP="00BE6785">
            <w:pPr>
              <w:ind w:right="60"/>
              <w:jc w:val="both"/>
              <w:rPr>
                <w:rFonts w:ascii="Arial" w:eastAsia="Arial" w:hAnsi="Arial" w:cs="Arial"/>
                <w:color w:val="000000"/>
                <w:sz w:val="18"/>
                <w:szCs w:val="18"/>
              </w:rPr>
            </w:pPr>
            <w:r w:rsidRPr="00BE1BC9">
              <w:rPr>
                <w:rFonts w:ascii="Arial" w:eastAsia="Arial" w:hAnsi="Arial" w:cs="Arial"/>
                <w:b/>
                <w:color w:val="000000"/>
                <w:sz w:val="18"/>
                <w:szCs w:val="18"/>
              </w:rPr>
              <w:t xml:space="preserve"> </w:t>
            </w:r>
            <w:r w:rsidR="00A1099B" w:rsidRPr="00A1099B">
              <w:rPr>
                <w:rFonts w:ascii="Arial" w:eastAsia="Arial" w:hAnsi="Arial" w:cs="Arial"/>
                <w:b/>
                <w:color w:val="000000"/>
                <w:sz w:val="18"/>
                <w:szCs w:val="18"/>
              </w:rPr>
              <w:t xml:space="preserve">Ref </w:t>
            </w:r>
          </w:p>
        </w:tc>
      </w:tr>
      <w:tr w:rsidR="00A1099B" w:rsidRPr="00A1099B" w14:paraId="0F6CAC5E" w14:textId="77777777" w:rsidTr="00513CB4">
        <w:trPr>
          <w:trHeight w:val="628"/>
        </w:trPr>
        <w:tc>
          <w:tcPr>
            <w:tcW w:w="2064" w:type="dxa"/>
            <w:tcBorders>
              <w:top w:val="single" w:sz="4" w:space="0" w:color="000000"/>
              <w:left w:val="single" w:sz="4" w:space="0" w:color="000000"/>
              <w:bottom w:val="single" w:sz="4" w:space="0" w:color="000000"/>
              <w:right w:val="single" w:sz="4" w:space="0" w:color="000000"/>
            </w:tcBorders>
          </w:tcPr>
          <w:p w14:paraId="7EB71BD2" w14:textId="77777777" w:rsidR="00A1099B" w:rsidRPr="00A1099B" w:rsidRDefault="00A1099B" w:rsidP="00BE6785">
            <w:pPr>
              <w:tabs>
                <w:tab w:val="right" w:pos="1909"/>
              </w:tabs>
              <w:jc w:val="both"/>
              <w:rPr>
                <w:rFonts w:ascii="Arial" w:eastAsia="Arial" w:hAnsi="Arial" w:cs="Arial"/>
                <w:color w:val="000000"/>
                <w:sz w:val="18"/>
                <w:szCs w:val="18"/>
              </w:rPr>
            </w:pPr>
            <w:r w:rsidRPr="00A1099B">
              <w:rPr>
                <w:rFonts w:ascii="Arial" w:eastAsia="Arial" w:hAnsi="Arial" w:cs="Arial"/>
                <w:color w:val="000000"/>
                <w:sz w:val="18"/>
                <w:szCs w:val="18"/>
              </w:rPr>
              <w:t>Whole</w:t>
            </w:r>
            <w:r w:rsidRPr="00A1099B">
              <w:rPr>
                <w:rFonts w:ascii="Arial" w:eastAsia="Arial" w:hAnsi="Arial" w:cs="Arial"/>
                <w:color w:val="000000"/>
                <w:sz w:val="18"/>
                <w:szCs w:val="18"/>
              </w:rPr>
              <w:tab/>
            </w:r>
            <w:r w:rsidR="002F34FC">
              <w:rPr>
                <w:rFonts w:ascii="Arial" w:eastAsia="Arial" w:hAnsi="Arial" w:cs="Arial"/>
                <w:color w:val="000000"/>
                <w:sz w:val="18"/>
                <w:szCs w:val="18"/>
              </w:rPr>
              <w:t>plant</w:t>
            </w:r>
          </w:p>
          <w:p w14:paraId="51B3526E"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biomass</w:t>
            </w:r>
          </w:p>
          <w:p w14:paraId="676E2BA3"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productivity</w:t>
            </w:r>
          </w:p>
        </w:tc>
        <w:tc>
          <w:tcPr>
            <w:tcW w:w="6210" w:type="dxa"/>
            <w:tcBorders>
              <w:top w:val="single" w:sz="4" w:space="0" w:color="000000"/>
              <w:left w:val="single" w:sz="4" w:space="0" w:color="000000"/>
              <w:bottom w:val="single" w:sz="4" w:space="0" w:color="000000"/>
              <w:right w:val="single" w:sz="4" w:space="0" w:color="000000"/>
            </w:tcBorders>
          </w:tcPr>
          <w:p w14:paraId="088CF8B7" w14:textId="69D4A444" w:rsidR="00A1099B" w:rsidRPr="00A1099B" w:rsidRDefault="00A1099B" w:rsidP="00BE6785">
            <w:pPr>
              <w:ind w:right="59"/>
              <w:jc w:val="both"/>
              <w:rPr>
                <w:rFonts w:ascii="Arial" w:eastAsia="Arial" w:hAnsi="Arial" w:cs="Arial"/>
                <w:color w:val="000000"/>
                <w:sz w:val="18"/>
                <w:szCs w:val="18"/>
              </w:rPr>
            </w:pPr>
            <w:r w:rsidRPr="00A1099B">
              <w:rPr>
                <w:rFonts w:ascii="Arial" w:eastAsia="Arial" w:hAnsi="Arial" w:cs="Arial"/>
                <w:color w:val="000000"/>
                <w:sz w:val="18"/>
                <w:szCs w:val="18"/>
              </w:rPr>
              <w:t>Non-destructive assessments of tree diameter and height as a measure of productivity, taken sta</w:t>
            </w:r>
            <w:r w:rsidR="002F34FC">
              <w:rPr>
                <w:rFonts w:ascii="Arial" w:eastAsia="Arial" w:hAnsi="Arial" w:cs="Arial"/>
                <w:color w:val="000000"/>
                <w:sz w:val="18"/>
                <w:szCs w:val="18"/>
              </w:rPr>
              <w:t>rt of drought and end of season. For grasses, tillering has been shown to be linked to yield</w:t>
            </w:r>
            <w:r w:rsidR="009B61C6">
              <w:rPr>
                <w:rFonts w:ascii="Arial" w:eastAsia="Arial" w:hAnsi="Arial" w:cs="Arial"/>
                <w:color w:val="000000"/>
                <w:sz w:val="18"/>
                <w:szCs w:val="18"/>
              </w:rPr>
              <w:t xml:space="preserve"> during drought</w:t>
            </w:r>
          </w:p>
        </w:tc>
        <w:tc>
          <w:tcPr>
            <w:tcW w:w="540" w:type="dxa"/>
            <w:tcBorders>
              <w:top w:val="single" w:sz="4" w:space="0" w:color="000000"/>
              <w:left w:val="single" w:sz="4" w:space="0" w:color="000000"/>
              <w:bottom w:val="single" w:sz="4" w:space="0" w:color="000000"/>
              <w:right w:val="single" w:sz="4" w:space="0" w:color="000000"/>
            </w:tcBorders>
          </w:tcPr>
          <w:p w14:paraId="232E388F"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3F3C82A4" w14:textId="77777777" w:rsidR="00A1099B" w:rsidRPr="00A1099B" w:rsidRDefault="005A0750" w:rsidP="00BE6785">
            <w:pPr>
              <w:jc w:val="both"/>
              <w:rPr>
                <w:rFonts w:ascii="Arial" w:eastAsia="Arial" w:hAnsi="Arial" w:cs="Arial"/>
                <w:color w:val="000000"/>
                <w:sz w:val="18"/>
                <w:szCs w:val="18"/>
              </w:rPr>
            </w:pPr>
            <w:r>
              <w:rPr>
                <w:rFonts w:ascii="Arial" w:eastAsia="Arial" w:hAnsi="Arial" w:cs="Arial"/>
                <w:color w:val="000000"/>
                <w:sz w:val="18"/>
                <w:szCs w:val="18"/>
              </w:rPr>
              <w:t>1</w:t>
            </w:r>
          </w:p>
        </w:tc>
      </w:tr>
      <w:tr w:rsidR="00A1099B" w:rsidRPr="00A1099B" w14:paraId="0FFCC6E4" w14:textId="77777777" w:rsidTr="0071365B">
        <w:trPr>
          <w:trHeight w:val="516"/>
        </w:trPr>
        <w:tc>
          <w:tcPr>
            <w:tcW w:w="2064" w:type="dxa"/>
            <w:tcBorders>
              <w:top w:val="single" w:sz="4" w:space="0" w:color="000000"/>
              <w:left w:val="single" w:sz="4" w:space="0" w:color="000000"/>
              <w:bottom w:val="single" w:sz="4" w:space="0" w:color="000000"/>
              <w:right w:val="single" w:sz="4" w:space="0" w:color="000000"/>
            </w:tcBorders>
          </w:tcPr>
          <w:p w14:paraId="571D3D02"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Leaf </w:t>
            </w:r>
            <w:r w:rsidRPr="00A1099B">
              <w:rPr>
                <w:rFonts w:ascii="Arial" w:eastAsia="Arial" w:hAnsi="Arial" w:cs="Arial"/>
                <w:color w:val="000000"/>
                <w:sz w:val="18"/>
                <w:szCs w:val="18"/>
              </w:rPr>
              <w:tab/>
              <w:t xml:space="preserve">size </w:t>
            </w:r>
            <w:r w:rsidRPr="00A1099B">
              <w:rPr>
                <w:rFonts w:ascii="Arial" w:eastAsia="Arial" w:hAnsi="Arial" w:cs="Arial"/>
                <w:color w:val="000000"/>
                <w:sz w:val="18"/>
                <w:szCs w:val="18"/>
              </w:rPr>
              <w:tab/>
              <w:t>and shape</w:t>
            </w:r>
          </w:p>
        </w:tc>
        <w:tc>
          <w:tcPr>
            <w:tcW w:w="6210" w:type="dxa"/>
            <w:tcBorders>
              <w:top w:val="single" w:sz="4" w:space="0" w:color="000000"/>
              <w:left w:val="single" w:sz="4" w:space="0" w:color="000000"/>
              <w:bottom w:val="single" w:sz="4" w:space="0" w:color="000000"/>
              <w:right w:val="single" w:sz="4" w:space="0" w:color="000000"/>
            </w:tcBorders>
          </w:tcPr>
          <w:p w14:paraId="17BA4BAC"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Strong evidence as a proxy for yield potential in </w:t>
            </w:r>
            <w:r w:rsidRPr="00A1099B">
              <w:rPr>
                <w:rFonts w:ascii="Arial" w:eastAsia="Arial" w:hAnsi="Arial" w:cs="Arial"/>
                <w:i/>
                <w:color w:val="000000"/>
                <w:sz w:val="18"/>
                <w:szCs w:val="18"/>
              </w:rPr>
              <w:t>Populus</w:t>
            </w:r>
            <w:r w:rsidRPr="00A1099B">
              <w:rPr>
                <w:rFonts w:ascii="Arial" w:eastAsia="Arial" w:hAnsi="Arial" w:cs="Arial"/>
                <w:color w:val="000000"/>
                <w:sz w:val="18"/>
                <w:szCs w:val="18"/>
              </w:rPr>
              <w:t xml:space="preserve"> and a key trait for drought tolerance </w:t>
            </w:r>
          </w:p>
        </w:tc>
        <w:tc>
          <w:tcPr>
            <w:tcW w:w="540" w:type="dxa"/>
            <w:tcBorders>
              <w:top w:val="single" w:sz="4" w:space="0" w:color="000000"/>
              <w:left w:val="single" w:sz="4" w:space="0" w:color="000000"/>
              <w:bottom w:val="single" w:sz="4" w:space="0" w:color="000000"/>
              <w:right w:val="single" w:sz="4" w:space="0" w:color="000000"/>
            </w:tcBorders>
          </w:tcPr>
          <w:p w14:paraId="60F5C612"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p>
        </w:tc>
        <w:tc>
          <w:tcPr>
            <w:tcW w:w="719" w:type="dxa"/>
            <w:tcBorders>
              <w:top w:val="single" w:sz="4" w:space="0" w:color="000000"/>
              <w:left w:val="single" w:sz="4" w:space="0" w:color="000000"/>
              <w:bottom w:val="single" w:sz="4" w:space="0" w:color="000000"/>
              <w:right w:val="single" w:sz="4" w:space="0" w:color="000000"/>
            </w:tcBorders>
          </w:tcPr>
          <w:p w14:paraId="4FBC9068" w14:textId="77777777" w:rsidR="00A1099B" w:rsidRPr="00A1099B" w:rsidRDefault="00A1099B" w:rsidP="00BE6785">
            <w:pPr>
              <w:ind w:left="1"/>
              <w:jc w:val="both"/>
              <w:rPr>
                <w:rFonts w:ascii="Arial" w:eastAsia="Arial" w:hAnsi="Arial" w:cs="Arial"/>
                <w:color w:val="000000"/>
                <w:sz w:val="18"/>
                <w:szCs w:val="18"/>
              </w:rPr>
            </w:pPr>
            <w:r w:rsidRPr="00A1099B">
              <w:rPr>
                <w:rFonts w:ascii="Arial" w:eastAsia="Arial" w:hAnsi="Arial" w:cs="Arial"/>
                <w:color w:val="000000"/>
                <w:sz w:val="18"/>
                <w:szCs w:val="18"/>
              </w:rPr>
              <w:t xml:space="preserve"> </w:t>
            </w:r>
            <w:r w:rsidR="002F34FC">
              <w:rPr>
                <w:rFonts w:ascii="Arial" w:eastAsia="Arial" w:hAnsi="Arial" w:cs="Arial"/>
                <w:color w:val="000000"/>
                <w:sz w:val="18"/>
                <w:szCs w:val="18"/>
              </w:rPr>
              <w:t>2</w:t>
            </w:r>
          </w:p>
        </w:tc>
      </w:tr>
      <w:tr w:rsidR="00A1099B" w:rsidRPr="00A1099B" w14:paraId="2F704CE9" w14:textId="77777777" w:rsidTr="00BE1BC9">
        <w:trPr>
          <w:trHeight w:val="646"/>
        </w:trPr>
        <w:tc>
          <w:tcPr>
            <w:tcW w:w="2064" w:type="dxa"/>
            <w:tcBorders>
              <w:top w:val="single" w:sz="4" w:space="0" w:color="000000"/>
              <w:left w:val="single" w:sz="4" w:space="0" w:color="000000"/>
              <w:bottom w:val="single" w:sz="4" w:space="0" w:color="000000"/>
              <w:right w:val="single" w:sz="4" w:space="0" w:color="000000"/>
            </w:tcBorders>
          </w:tcPr>
          <w:p w14:paraId="6F66DBE3" w14:textId="77777777" w:rsidR="00A1099B" w:rsidRPr="00A1099B" w:rsidRDefault="00A1099B" w:rsidP="00BE6785">
            <w:pPr>
              <w:ind w:right="450"/>
              <w:jc w:val="both"/>
              <w:rPr>
                <w:rFonts w:ascii="Arial" w:eastAsia="Arial" w:hAnsi="Arial" w:cs="Arial"/>
                <w:color w:val="000000"/>
                <w:sz w:val="18"/>
                <w:szCs w:val="18"/>
              </w:rPr>
            </w:pPr>
            <w:r w:rsidRPr="00A1099B">
              <w:rPr>
                <w:rFonts w:ascii="Arial" w:eastAsia="Arial" w:hAnsi="Arial" w:cs="Arial"/>
                <w:color w:val="000000"/>
                <w:sz w:val="18"/>
                <w:szCs w:val="18"/>
              </w:rPr>
              <w:t>Leaf cell production and expansion</w:t>
            </w:r>
          </w:p>
        </w:tc>
        <w:tc>
          <w:tcPr>
            <w:tcW w:w="6210" w:type="dxa"/>
            <w:tcBorders>
              <w:top w:val="single" w:sz="4" w:space="0" w:color="000000"/>
              <w:left w:val="single" w:sz="4" w:space="0" w:color="000000"/>
              <w:bottom w:val="single" w:sz="4" w:space="0" w:color="000000"/>
              <w:right w:val="single" w:sz="4" w:space="0" w:color="000000"/>
            </w:tcBorders>
          </w:tcPr>
          <w:p w14:paraId="580E831B" w14:textId="77777777" w:rsidR="00A1099B" w:rsidRPr="00A1099B" w:rsidRDefault="00A1099B" w:rsidP="00BE6785">
            <w:pPr>
              <w:ind w:right="58"/>
              <w:jc w:val="both"/>
              <w:rPr>
                <w:rFonts w:ascii="Arial" w:eastAsia="Arial" w:hAnsi="Arial" w:cs="Arial"/>
                <w:color w:val="000000"/>
                <w:sz w:val="18"/>
                <w:szCs w:val="18"/>
              </w:rPr>
            </w:pPr>
            <w:r w:rsidRPr="00A1099B">
              <w:rPr>
                <w:rFonts w:ascii="Arial" w:eastAsia="Arial" w:hAnsi="Arial" w:cs="Arial"/>
                <w:color w:val="000000"/>
                <w:sz w:val="18"/>
                <w:szCs w:val="18"/>
              </w:rPr>
              <w:t xml:space="preserve">Leaf cell production is highly heritable and linked to leaf size. Cell size has low heritability but elasticity of cells is linked to drought tolerance </w:t>
            </w:r>
          </w:p>
        </w:tc>
        <w:tc>
          <w:tcPr>
            <w:tcW w:w="540" w:type="dxa"/>
            <w:tcBorders>
              <w:top w:val="single" w:sz="4" w:space="0" w:color="000000"/>
              <w:left w:val="single" w:sz="4" w:space="0" w:color="000000"/>
              <w:bottom w:val="single" w:sz="4" w:space="0" w:color="000000"/>
              <w:right w:val="single" w:sz="4" w:space="0" w:color="000000"/>
            </w:tcBorders>
          </w:tcPr>
          <w:p w14:paraId="3FC89586"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p>
        </w:tc>
        <w:tc>
          <w:tcPr>
            <w:tcW w:w="719" w:type="dxa"/>
            <w:tcBorders>
              <w:top w:val="single" w:sz="4" w:space="0" w:color="000000"/>
              <w:left w:val="single" w:sz="4" w:space="0" w:color="000000"/>
              <w:bottom w:val="single" w:sz="4" w:space="0" w:color="000000"/>
              <w:right w:val="single" w:sz="4" w:space="0" w:color="000000"/>
            </w:tcBorders>
          </w:tcPr>
          <w:p w14:paraId="0D1D130B" w14:textId="77777777" w:rsidR="00A1099B" w:rsidRPr="00A1099B" w:rsidRDefault="00A1099B" w:rsidP="00BE6785">
            <w:pPr>
              <w:ind w:left="1"/>
              <w:jc w:val="both"/>
              <w:rPr>
                <w:rFonts w:ascii="Arial" w:eastAsia="Arial" w:hAnsi="Arial" w:cs="Arial"/>
                <w:color w:val="000000"/>
                <w:sz w:val="18"/>
                <w:szCs w:val="18"/>
              </w:rPr>
            </w:pPr>
            <w:r w:rsidRPr="00A1099B">
              <w:rPr>
                <w:rFonts w:ascii="Arial" w:eastAsia="Arial" w:hAnsi="Arial" w:cs="Arial"/>
                <w:color w:val="000000"/>
                <w:sz w:val="18"/>
                <w:szCs w:val="18"/>
              </w:rPr>
              <w:t xml:space="preserve"> </w:t>
            </w:r>
            <w:r w:rsidR="0006748E">
              <w:rPr>
                <w:rFonts w:ascii="Arial" w:eastAsia="Arial" w:hAnsi="Arial" w:cs="Arial"/>
                <w:color w:val="000000"/>
                <w:sz w:val="18"/>
                <w:szCs w:val="18"/>
              </w:rPr>
              <w:t>3</w:t>
            </w:r>
          </w:p>
        </w:tc>
      </w:tr>
      <w:tr w:rsidR="00A1099B" w:rsidRPr="00A1099B" w14:paraId="38A33BA9" w14:textId="77777777" w:rsidTr="00BE1BC9">
        <w:trPr>
          <w:trHeight w:val="502"/>
        </w:trPr>
        <w:tc>
          <w:tcPr>
            <w:tcW w:w="2064" w:type="dxa"/>
            <w:tcBorders>
              <w:top w:val="single" w:sz="4" w:space="0" w:color="000000"/>
              <w:left w:val="single" w:sz="4" w:space="0" w:color="000000"/>
              <w:bottom w:val="single" w:sz="4" w:space="0" w:color="000000"/>
              <w:right w:val="single" w:sz="4" w:space="0" w:color="000000"/>
            </w:tcBorders>
          </w:tcPr>
          <w:p w14:paraId="02435E2A"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Stomatal density and index</w:t>
            </w:r>
          </w:p>
        </w:tc>
        <w:tc>
          <w:tcPr>
            <w:tcW w:w="6210" w:type="dxa"/>
            <w:tcBorders>
              <w:top w:val="single" w:sz="4" w:space="0" w:color="000000"/>
              <w:left w:val="single" w:sz="4" w:space="0" w:color="000000"/>
              <w:bottom w:val="single" w:sz="4" w:space="0" w:color="000000"/>
              <w:right w:val="single" w:sz="4" w:space="0" w:color="000000"/>
            </w:tcBorders>
          </w:tcPr>
          <w:p w14:paraId="6D802ABA"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Evidence from several crops of links to water use </w:t>
            </w:r>
          </w:p>
        </w:tc>
        <w:tc>
          <w:tcPr>
            <w:tcW w:w="540" w:type="dxa"/>
            <w:tcBorders>
              <w:top w:val="single" w:sz="4" w:space="0" w:color="000000"/>
              <w:left w:val="single" w:sz="4" w:space="0" w:color="000000"/>
              <w:bottom w:val="single" w:sz="4" w:space="0" w:color="000000"/>
              <w:right w:val="single" w:sz="4" w:space="0" w:color="000000"/>
            </w:tcBorders>
          </w:tcPr>
          <w:p w14:paraId="68F4079F"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p>
        </w:tc>
        <w:tc>
          <w:tcPr>
            <w:tcW w:w="719" w:type="dxa"/>
            <w:tcBorders>
              <w:top w:val="single" w:sz="4" w:space="0" w:color="000000"/>
              <w:left w:val="single" w:sz="4" w:space="0" w:color="000000"/>
              <w:bottom w:val="single" w:sz="4" w:space="0" w:color="000000"/>
              <w:right w:val="single" w:sz="4" w:space="0" w:color="000000"/>
            </w:tcBorders>
          </w:tcPr>
          <w:p w14:paraId="74D55ED0" w14:textId="77777777" w:rsidR="00A1099B" w:rsidRPr="00A1099B" w:rsidRDefault="002F34FC" w:rsidP="00BE6785">
            <w:pPr>
              <w:ind w:left="1"/>
              <w:jc w:val="both"/>
              <w:rPr>
                <w:rFonts w:ascii="Arial" w:eastAsia="Arial" w:hAnsi="Arial" w:cs="Arial"/>
                <w:color w:val="000000"/>
                <w:sz w:val="18"/>
                <w:szCs w:val="18"/>
              </w:rPr>
            </w:pPr>
            <w:r>
              <w:rPr>
                <w:rFonts w:ascii="Arial" w:eastAsia="Arial" w:hAnsi="Arial" w:cs="Arial"/>
                <w:color w:val="000000"/>
                <w:sz w:val="18"/>
                <w:szCs w:val="18"/>
              </w:rPr>
              <w:t>4</w:t>
            </w:r>
          </w:p>
        </w:tc>
      </w:tr>
      <w:tr w:rsidR="00A1099B" w:rsidRPr="00A1099B" w14:paraId="25FB7E0F" w14:textId="77777777" w:rsidTr="00BE1BC9">
        <w:trPr>
          <w:trHeight w:val="475"/>
        </w:trPr>
        <w:tc>
          <w:tcPr>
            <w:tcW w:w="2064" w:type="dxa"/>
            <w:tcBorders>
              <w:top w:val="single" w:sz="4" w:space="0" w:color="000000"/>
              <w:left w:val="single" w:sz="4" w:space="0" w:color="000000"/>
              <w:bottom w:val="single" w:sz="4" w:space="0" w:color="000000"/>
              <w:right w:val="single" w:sz="4" w:space="0" w:color="000000"/>
            </w:tcBorders>
          </w:tcPr>
          <w:p w14:paraId="6934A406"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Turgor loss point</w:t>
            </w:r>
            <w:r w:rsidR="00620EA1">
              <w:rPr>
                <w:rFonts w:ascii="Arial" w:eastAsia="Arial" w:hAnsi="Arial" w:cs="Arial"/>
                <w:color w:val="000000"/>
                <w:sz w:val="18"/>
                <w:szCs w:val="18"/>
              </w:rPr>
              <w:t xml:space="preserve"> and osmotic adjustment</w:t>
            </w:r>
          </w:p>
        </w:tc>
        <w:tc>
          <w:tcPr>
            <w:tcW w:w="6210" w:type="dxa"/>
            <w:tcBorders>
              <w:top w:val="single" w:sz="4" w:space="0" w:color="000000"/>
              <w:left w:val="single" w:sz="4" w:space="0" w:color="000000"/>
              <w:bottom w:val="single" w:sz="4" w:space="0" w:color="000000"/>
              <w:right w:val="single" w:sz="4" w:space="0" w:color="000000"/>
            </w:tcBorders>
          </w:tcPr>
          <w:p w14:paraId="23856E05" w14:textId="2FE4651B" w:rsidR="00A1099B" w:rsidRPr="00A1099B" w:rsidRDefault="00A1099B" w:rsidP="00BE6785">
            <w:pPr>
              <w:jc w:val="both"/>
              <w:rPr>
                <w:rFonts w:ascii="Arial" w:eastAsia="Arial" w:hAnsi="Arial" w:cs="Arial"/>
                <w:color w:val="000000"/>
                <w:sz w:val="18"/>
                <w:szCs w:val="18"/>
              </w:rPr>
            </w:pPr>
            <w:r w:rsidRPr="00BE1BC9">
              <w:rPr>
                <w:rFonts w:ascii="Arial" w:eastAsia="Arial" w:hAnsi="Arial" w:cs="Arial"/>
                <w:color w:val="000000"/>
                <w:sz w:val="18"/>
                <w:szCs w:val="18"/>
              </w:rPr>
              <w:t>Literature has</w:t>
            </w:r>
            <w:r w:rsidRPr="00A1099B">
              <w:rPr>
                <w:rFonts w:ascii="Arial" w:eastAsia="Arial" w:hAnsi="Arial" w:cs="Arial"/>
                <w:color w:val="000000"/>
                <w:sz w:val="18"/>
                <w:szCs w:val="18"/>
              </w:rPr>
              <w:t xml:space="preserve"> shown this to be a valuable trait and can be measured in many samples </w:t>
            </w:r>
            <w:r w:rsidR="00620EA1">
              <w:rPr>
                <w:rFonts w:ascii="Arial" w:eastAsia="Arial" w:hAnsi="Arial" w:cs="Arial"/>
                <w:color w:val="000000"/>
                <w:sz w:val="18"/>
                <w:szCs w:val="18"/>
              </w:rPr>
              <w:t>using an osmometer and metabolite analysis</w:t>
            </w:r>
          </w:p>
        </w:tc>
        <w:tc>
          <w:tcPr>
            <w:tcW w:w="540" w:type="dxa"/>
            <w:tcBorders>
              <w:top w:val="single" w:sz="4" w:space="0" w:color="000000"/>
              <w:left w:val="single" w:sz="4" w:space="0" w:color="000000"/>
              <w:bottom w:val="single" w:sz="4" w:space="0" w:color="000000"/>
              <w:right w:val="single" w:sz="4" w:space="0" w:color="000000"/>
            </w:tcBorders>
          </w:tcPr>
          <w:p w14:paraId="50DA889D"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r w:rsidR="00A1099B" w:rsidRPr="00A1099B">
              <w:rPr>
                <w:rFonts w:ascii="Arial" w:eastAsia="Arial" w:hAnsi="Arial" w:cs="Arial"/>
                <w:color w:val="000000"/>
                <w:sz w:val="18"/>
                <w:szCs w:val="1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AB7BDDC" w14:textId="77777777" w:rsidR="00A1099B" w:rsidRPr="00A1099B" w:rsidRDefault="002F34FC" w:rsidP="00BE6785">
            <w:pPr>
              <w:ind w:left="1"/>
              <w:jc w:val="both"/>
              <w:rPr>
                <w:rFonts w:ascii="Arial" w:eastAsia="Arial" w:hAnsi="Arial" w:cs="Arial"/>
                <w:color w:val="000000"/>
                <w:sz w:val="18"/>
                <w:szCs w:val="18"/>
              </w:rPr>
            </w:pPr>
            <w:r>
              <w:rPr>
                <w:rFonts w:ascii="Arial" w:eastAsia="Arial" w:hAnsi="Arial" w:cs="Arial"/>
                <w:color w:val="000000"/>
                <w:sz w:val="18"/>
                <w:szCs w:val="18"/>
              </w:rPr>
              <w:t>5</w:t>
            </w:r>
            <w:r w:rsidR="00620EA1">
              <w:rPr>
                <w:rFonts w:ascii="Arial" w:eastAsia="Arial" w:hAnsi="Arial" w:cs="Arial"/>
                <w:color w:val="000000"/>
                <w:sz w:val="18"/>
                <w:szCs w:val="18"/>
              </w:rPr>
              <w:t>, 9</w:t>
            </w:r>
          </w:p>
        </w:tc>
      </w:tr>
      <w:tr w:rsidR="00A1099B" w:rsidRPr="00A1099B" w14:paraId="08035C09" w14:textId="77777777" w:rsidTr="00BE1BC9">
        <w:trPr>
          <w:trHeight w:val="907"/>
        </w:trPr>
        <w:tc>
          <w:tcPr>
            <w:tcW w:w="2064" w:type="dxa"/>
            <w:tcBorders>
              <w:top w:val="single" w:sz="4" w:space="0" w:color="000000"/>
              <w:left w:val="single" w:sz="4" w:space="0" w:color="000000"/>
              <w:bottom w:val="single" w:sz="4" w:space="0" w:color="000000"/>
              <w:right w:val="single" w:sz="4" w:space="0" w:color="000000"/>
            </w:tcBorders>
          </w:tcPr>
          <w:p w14:paraId="3C1FD6D2" w14:textId="77777777" w:rsidR="00A1099B" w:rsidRPr="00A1099B" w:rsidRDefault="00A1099B" w:rsidP="00BE6785">
            <w:pPr>
              <w:spacing w:after="51" w:line="249" w:lineRule="auto"/>
              <w:ind w:right="59"/>
              <w:jc w:val="both"/>
              <w:rPr>
                <w:rFonts w:ascii="Arial" w:eastAsia="Arial" w:hAnsi="Arial" w:cs="Arial"/>
                <w:color w:val="000000"/>
                <w:sz w:val="18"/>
                <w:szCs w:val="18"/>
              </w:rPr>
            </w:pPr>
            <w:r w:rsidRPr="00A1099B">
              <w:rPr>
                <w:rFonts w:ascii="Arial" w:eastAsia="Arial" w:hAnsi="Arial" w:cs="Arial"/>
                <w:color w:val="000000"/>
                <w:sz w:val="18"/>
                <w:szCs w:val="18"/>
              </w:rPr>
              <w:t xml:space="preserve">Carbon isotope discrimination as a proxy </w:t>
            </w:r>
            <w:r w:rsidRPr="00A1099B">
              <w:rPr>
                <w:rFonts w:ascii="Arial" w:eastAsia="Arial" w:hAnsi="Arial" w:cs="Arial"/>
                <w:color w:val="000000"/>
                <w:sz w:val="18"/>
                <w:szCs w:val="18"/>
              </w:rPr>
              <w:tab/>
              <w:t>for</w:t>
            </w:r>
          </w:p>
          <w:p w14:paraId="2C811A2C" w14:textId="5805BB2D"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WUE</w:t>
            </w:r>
            <w:r w:rsidR="009B61C6">
              <w:rPr>
                <w:rFonts w:ascii="Arial" w:eastAsia="Arial" w:hAnsi="Arial" w:cs="Arial"/>
                <w:color w:val="000000"/>
                <w:sz w:val="18"/>
                <w:szCs w:val="18"/>
              </w:rPr>
              <w:t xml:space="preserve"> (</w:t>
            </w:r>
            <w:r w:rsidRPr="00A1099B">
              <w:rPr>
                <w:rFonts w:ascii="Arial" w:eastAsia="Arial" w:hAnsi="Arial" w:cs="Arial"/>
                <w:color w:val="000000"/>
                <w:sz w:val="18"/>
                <w:szCs w:val="18"/>
              </w:rPr>
              <w:t>integrated</w:t>
            </w:r>
            <w:r w:rsidR="009B61C6">
              <w:rPr>
                <w:rFonts w:ascii="Arial" w:eastAsia="Arial" w:hAnsi="Arial" w:cs="Arial"/>
                <w:color w:val="000000"/>
                <w:sz w:val="18"/>
                <w:szCs w:val="18"/>
              </w:rPr>
              <w:t>)</w:t>
            </w:r>
          </w:p>
        </w:tc>
        <w:tc>
          <w:tcPr>
            <w:tcW w:w="6210" w:type="dxa"/>
            <w:tcBorders>
              <w:top w:val="single" w:sz="4" w:space="0" w:color="000000"/>
              <w:left w:val="single" w:sz="4" w:space="0" w:color="000000"/>
              <w:bottom w:val="single" w:sz="4" w:space="0" w:color="000000"/>
              <w:right w:val="single" w:sz="4" w:space="0" w:color="000000"/>
            </w:tcBorders>
          </w:tcPr>
          <w:p w14:paraId="6FD5C254" w14:textId="77777777" w:rsidR="00A1099B" w:rsidRPr="00A1099B" w:rsidRDefault="00A1099B" w:rsidP="00BE6785">
            <w:pPr>
              <w:ind w:right="62"/>
              <w:jc w:val="both"/>
              <w:rPr>
                <w:rFonts w:ascii="Arial" w:eastAsia="Arial" w:hAnsi="Arial" w:cs="Arial"/>
                <w:color w:val="000000"/>
                <w:sz w:val="18"/>
                <w:szCs w:val="18"/>
              </w:rPr>
            </w:pPr>
            <w:r w:rsidRPr="00A1099B">
              <w:rPr>
                <w:rFonts w:ascii="Arial" w:eastAsia="Arial" w:hAnsi="Arial" w:cs="Arial"/>
                <w:color w:val="000000"/>
                <w:sz w:val="18"/>
                <w:szCs w:val="18"/>
              </w:rPr>
              <w:t xml:space="preserve">Excellent proxy for integrated seasonal water used efficiency, using wood samples. Extensive evidence on heritability and usefulness in breeding </w:t>
            </w:r>
          </w:p>
        </w:tc>
        <w:tc>
          <w:tcPr>
            <w:tcW w:w="540" w:type="dxa"/>
            <w:tcBorders>
              <w:top w:val="single" w:sz="4" w:space="0" w:color="000000"/>
              <w:left w:val="single" w:sz="4" w:space="0" w:color="000000"/>
              <w:bottom w:val="single" w:sz="4" w:space="0" w:color="000000"/>
              <w:right w:val="single" w:sz="4" w:space="0" w:color="000000"/>
            </w:tcBorders>
          </w:tcPr>
          <w:p w14:paraId="768D0121"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r w:rsidR="00A1099B" w:rsidRPr="00A1099B">
              <w:rPr>
                <w:rFonts w:ascii="Arial" w:eastAsia="Arial" w:hAnsi="Arial" w:cs="Arial"/>
                <w:color w:val="000000"/>
                <w:sz w:val="18"/>
                <w:szCs w:val="1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1A714F7E" w14:textId="77777777" w:rsidR="00A1099B" w:rsidRPr="00A1099B" w:rsidRDefault="002F34FC" w:rsidP="00BE6785">
            <w:pPr>
              <w:ind w:left="1"/>
              <w:jc w:val="both"/>
              <w:rPr>
                <w:rFonts w:ascii="Arial" w:eastAsia="Arial" w:hAnsi="Arial" w:cs="Arial"/>
                <w:color w:val="000000"/>
                <w:sz w:val="18"/>
                <w:szCs w:val="18"/>
              </w:rPr>
            </w:pPr>
            <w:r>
              <w:rPr>
                <w:rFonts w:ascii="Arial" w:eastAsia="Arial" w:hAnsi="Arial" w:cs="Arial"/>
                <w:color w:val="000000"/>
                <w:sz w:val="18"/>
                <w:szCs w:val="18"/>
              </w:rPr>
              <w:t>6</w:t>
            </w:r>
          </w:p>
        </w:tc>
      </w:tr>
      <w:tr w:rsidR="00A1099B" w:rsidRPr="00A1099B" w14:paraId="157F565A" w14:textId="77777777" w:rsidTr="00BE1BC9">
        <w:trPr>
          <w:trHeight w:val="457"/>
        </w:trPr>
        <w:tc>
          <w:tcPr>
            <w:tcW w:w="2064" w:type="dxa"/>
            <w:tcBorders>
              <w:top w:val="single" w:sz="4" w:space="0" w:color="000000"/>
              <w:left w:val="single" w:sz="4" w:space="0" w:color="000000"/>
              <w:bottom w:val="single" w:sz="4" w:space="0" w:color="000000"/>
              <w:right w:val="single" w:sz="4" w:space="0" w:color="000000"/>
            </w:tcBorders>
          </w:tcPr>
          <w:p w14:paraId="03EE6EC9"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Hydraulic</w:t>
            </w:r>
          </w:p>
          <w:p w14:paraId="6D1CBA42" w14:textId="68079705" w:rsidR="00A1099B" w:rsidRPr="00A1099B" w:rsidRDefault="00C44328" w:rsidP="00BE6785">
            <w:pPr>
              <w:jc w:val="both"/>
              <w:rPr>
                <w:rFonts w:ascii="Arial" w:eastAsia="Arial" w:hAnsi="Arial" w:cs="Arial"/>
                <w:color w:val="000000"/>
                <w:sz w:val="18"/>
                <w:szCs w:val="18"/>
              </w:rPr>
            </w:pPr>
            <w:r>
              <w:rPr>
                <w:rFonts w:ascii="Arial" w:eastAsia="Arial" w:hAnsi="Arial" w:cs="Arial"/>
                <w:color w:val="000000"/>
                <w:sz w:val="18"/>
                <w:szCs w:val="18"/>
              </w:rPr>
              <w:t>c</w:t>
            </w:r>
            <w:r w:rsidR="00A1099B" w:rsidRPr="00A1099B">
              <w:rPr>
                <w:rFonts w:ascii="Arial" w:eastAsia="Arial" w:hAnsi="Arial" w:cs="Arial"/>
                <w:color w:val="000000"/>
                <w:sz w:val="18"/>
                <w:szCs w:val="18"/>
              </w:rPr>
              <w:t>onductivity</w:t>
            </w:r>
          </w:p>
        </w:tc>
        <w:tc>
          <w:tcPr>
            <w:tcW w:w="6210" w:type="dxa"/>
            <w:tcBorders>
              <w:top w:val="single" w:sz="4" w:space="0" w:color="000000"/>
              <w:left w:val="single" w:sz="4" w:space="0" w:color="000000"/>
              <w:bottom w:val="single" w:sz="4" w:space="0" w:color="000000"/>
              <w:right w:val="single" w:sz="4" w:space="0" w:color="000000"/>
            </w:tcBorders>
          </w:tcPr>
          <w:p w14:paraId="02225A62"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Found to be tightly linked to drought tolerance </w:t>
            </w:r>
          </w:p>
        </w:tc>
        <w:tc>
          <w:tcPr>
            <w:tcW w:w="540" w:type="dxa"/>
            <w:tcBorders>
              <w:top w:val="single" w:sz="4" w:space="0" w:color="000000"/>
              <w:left w:val="single" w:sz="4" w:space="0" w:color="000000"/>
              <w:bottom w:val="single" w:sz="4" w:space="0" w:color="000000"/>
              <w:right w:val="single" w:sz="4" w:space="0" w:color="000000"/>
            </w:tcBorders>
          </w:tcPr>
          <w:p w14:paraId="7AF2245C"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GS</w:t>
            </w:r>
          </w:p>
        </w:tc>
        <w:tc>
          <w:tcPr>
            <w:tcW w:w="719" w:type="dxa"/>
            <w:tcBorders>
              <w:top w:val="single" w:sz="4" w:space="0" w:color="000000"/>
              <w:left w:val="single" w:sz="4" w:space="0" w:color="000000"/>
              <w:bottom w:val="single" w:sz="4" w:space="0" w:color="000000"/>
              <w:right w:val="single" w:sz="4" w:space="0" w:color="000000"/>
            </w:tcBorders>
          </w:tcPr>
          <w:p w14:paraId="3669D78F" w14:textId="77777777" w:rsidR="00A1099B" w:rsidRPr="00A1099B" w:rsidRDefault="002F34FC" w:rsidP="00BE6785">
            <w:pPr>
              <w:ind w:left="1"/>
              <w:jc w:val="both"/>
              <w:rPr>
                <w:rFonts w:ascii="Arial" w:eastAsia="Arial" w:hAnsi="Arial" w:cs="Arial"/>
                <w:color w:val="000000"/>
                <w:sz w:val="18"/>
                <w:szCs w:val="18"/>
              </w:rPr>
            </w:pPr>
            <w:r>
              <w:rPr>
                <w:rFonts w:ascii="Arial" w:eastAsia="Arial" w:hAnsi="Arial" w:cs="Arial"/>
                <w:color w:val="000000"/>
                <w:sz w:val="18"/>
                <w:szCs w:val="18"/>
              </w:rPr>
              <w:t>7</w:t>
            </w:r>
          </w:p>
        </w:tc>
      </w:tr>
      <w:tr w:rsidR="00A1099B" w:rsidRPr="00A1099B" w14:paraId="4DD35F8B" w14:textId="77777777" w:rsidTr="0071365B">
        <w:trPr>
          <w:trHeight w:val="516"/>
        </w:trPr>
        <w:tc>
          <w:tcPr>
            <w:tcW w:w="2064" w:type="dxa"/>
            <w:tcBorders>
              <w:top w:val="single" w:sz="4" w:space="0" w:color="000000"/>
              <w:left w:val="single" w:sz="4" w:space="0" w:color="000000"/>
              <w:bottom w:val="single" w:sz="4" w:space="0" w:color="000000"/>
              <w:right w:val="single" w:sz="4" w:space="0" w:color="000000"/>
            </w:tcBorders>
          </w:tcPr>
          <w:p w14:paraId="51208686"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Stomatal closure</w:t>
            </w:r>
          </w:p>
        </w:tc>
        <w:tc>
          <w:tcPr>
            <w:tcW w:w="6210" w:type="dxa"/>
            <w:tcBorders>
              <w:top w:val="single" w:sz="4" w:space="0" w:color="000000"/>
              <w:left w:val="single" w:sz="4" w:space="0" w:color="000000"/>
              <w:bottom w:val="single" w:sz="4" w:space="0" w:color="000000"/>
              <w:right w:val="single" w:sz="4" w:space="0" w:color="000000"/>
            </w:tcBorders>
          </w:tcPr>
          <w:p w14:paraId="67D595A0"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Rapid partial stomatal closure and maintenance of water potential linked to drought tolerance </w:t>
            </w:r>
          </w:p>
        </w:tc>
        <w:tc>
          <w:tcPr>
            <w:tcW w:w="540" w:type="dxa"/>
            <w:tcBorders>
              <w:top w:val="single" w:sz="4" w:space="0" w:color="000000"/>
              <w:left w:val="single" w:sz="4" w:space="0" w:color="000000"/>
              <w:bottom w:val="single" w:sz="4" w:space="0" w:color="000000"/>
              <w:right w:val="single" w:sz="4" w:space="0" w:color="000000"/>
            </w:tcBorders>
          </w:tcPr>
          <w:p w14:paraId="07D9F7E4"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GS</w:t>
            </w:r>
          </w:p>
        </w:tc>
        <w:tc>
          <w:tcPr>
            <w:tcW w:w="719" w:type="dxa"/>
            <w:tcBorders>
              <w:top w:val="single" w:sz="4" w:space="0" w:color="000000"/>
              <w:left w:val="single" w:sz="4" w:space="0" w:color="000000"/>
              <w:bottom w:val="single" w:sz="4" w:space="0" w:color="000000"/>
              <w:right w:val="single" w:sz="4" w:space="0" w:color="000000"/>
            </w:tcBorders>
          </w:tcPr>
          <w:p w14:paraId="5007945C" w14:textId="77777777" w:rsidR="00A1099B" w:rsidRPr="00A1099B" w:rsidRDefault="0006748E" w:rsidP="00BE6785">
            <w:pPr>
              <w:ind w:left="1"/>
              <w:jc w:val="both"/>
              <w:rPr>
                <w:rFonts w:ascii="Arial" w:eastAsia="Arial" w:hAnsi="Arial" w:cs="Arial"/>
                <w:color w:val="000000"/>
                <w:sz w:val="18"/>
                <w:szCs w:val="18"/>
              </w:rPr>
            </w:pPr>
            <w:r>
              <w:rPr>
                <w:rFonts w:ascii="Arial" w:eastAsia="Arial" w:hAnsi="Arial" w:cs="Arial"/>
                <w:color w:val="000000"/>
                <w:sz w:val="18"/>
                <w:szCs w:val="18"/>
              </w:rPr>
              <w:t>NA</w:t>
            </w:r>
          </w:p>
        </w:tc>
      </w:tr>
      <w:tr w:rsidR="00A1099B" w:rsidRPr="00A1099B" w14:paraId="3B4FB69D" w14:textId="77777777" w:rsidTr="0071365B">
        <w:trPr>
          <w:trHeight w:val="516"/>
        </w:trPr>
        <w:tc>
          <w:tcPr>
            <w:tcW w:w="2064" w:type="dxa"/>
            <w:tcBorders>
              <w:top w:val="single" w:sz="4" w:space="0" w:color="000000"/>
              <w:left w:val="single" w:sz="4" w:space="0" w:color="000000"/>
              <w:bottom w:val="single" w:sz="4" w:space="0" w:color="000000"/>
              <w:right w:val="single" w:sz="4" w:space="0" w:color="000000"/>
            </w:tcBorders>
          </w:tcPr>
          <w:p w14:paraId="41053455" w14:textId="4F93825F"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Xylem water potential - </w:t>
            </w:r>
            <w:r w:rsidR="005C4B30">
              <w:rPr>
                <w:rFonts w:ascii="Arial" w:eastAsia="Arial" w:hAnsi="Arial" w:cs="Arial"/>
                <w:color w:val="000000"/>
                <w:sz w:val="18"/>
                <w:szCs w:val="18"/>
              </w:rPr>
              <w:t xml:space="preserve">- </w:t>
            </w:r>
            <w:r w:rsidRPr="00A1099B">
              <w:rPr>
                <w:rFonts w:ascii="Arial" w:eastAsia="Arial" w:hAnsi="Arial" w:cs="Arial"/>
                <w:color w:val="000000"/>
                <w:sz w:val="18"/>
                <w:szCs w:val="18"/>
              </w:rPr>
              <w:t>predawn</w:t>
            </w:r>
          </w:p>
        </w:tc>
        <w:tc>
          <w:tcPr>
            <w:tcW w:w="6210" w:type="dxa"/>
            <w:tcBorders>
              <w:top w:val="single" w:sz="4" w:space="0" w:color="000000"/>
              <w:left w:val="single" w:sz="4" w:space="0" w:color="000000"/>
              <w:bottom w:val="single" w:sz="4" w:space="0" w:color="000000"/>
              <w:right w:val="single" w:sz="4" w:space="0" w:color="000000"/>
            </w:tcBorders>
          </w:tcPr>
          <w:p w14:paraId="7FB57CBD"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A useful indicator to assess plant strategy to avoid or tolerate reduced soil moisture, alongside stomatal conductance </w:t>
            </w:r>
          </w:p>
        </w:tc>
        <w:tc>
          <w:tcPr>
            <w:tcW w:w="540" w:type="dxa"/>
            <w:tcBorders>
              <w:top w:val="single" w:sz="4" w:space="0" w:color="000000"/>
              <w:left w:val="single" w:sz="4" w:space="0" w:color="000000"/>
              <w:bottom w:val="single" w:sz="4" w:space="0" w:color="000000"/>
              <w:right w:val="single" w:sz="4" w:space="0" w:color="000000"/>
            </w:tcBorders>
          </w:tcPr>
          <w:p w14:paraId="707F5305"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GS</w:t>
            </w:r>
            <w:r w:rsidR="00A1099B" w:rsidRPr="00A1099B">
              <w:rPr>
                <w:rFonts w:ascii="Arial" w:eastAsia="Arial" w:hAnsi="Arial" w:cs="Arial"/>
                <w:color w:val="000000"/>
                <w:sz w:val="18"/>
                <w:szCs w:val="1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5FA0EA77" w14:textId="77777777" w:rsidR="00A1099B" w:rsidRPr="00A1099B" w:rsidRDefault="00A1099B" w:rsidP="00BE6785">
            <w:pPr>
              <w:ind w:left="1"/>
              <w:jc w:val="both"/>
              <w:rPr>
                <w:rFonts w:ascii="Arial" w:eastAsia="Arial" w:hAnsi="Arial" w:cs="Arial"/>
                <w:color w:val="000000"/>
                <w:sz w:val="18"/>
                <w:szCs w:val="18"/>
              </w:rPr>
            </w:pPr>
            <w:r w:rsidRPr="00A1099B">
              <w:rPr>
                <w:rFonts w:ascii="Arial" w:eastAsia="Arial" w:hAnsi="Arial" w:cs="Arial"/>
                <w:color w:val="000000"/>
                <w:sz w:val="18"/>
                <w:szCs w:val="18"/>
              </w:rPr>
              <w:t xml:space="preserve">NA </w:t>
            </w:r>
          </w:p>
        </w:tc>
      </w:tr>
      <w:tr w:rsidR="00A1099B" w:rsidRPr="00A1099B" w14:paraId="143DDBCA" w14:textId="77777777" w:rsidTr="00BE1BC9">
        <w:trPr>
          <w:trHeight w:val="916"/>
        </w:trPr>
        <w:tc>
          <w:tcPr>
            <w:tcW w:w="2064" w:type="dxa"/>
            <w:tcBorders>
              <w:top w:val="single" w:sz="4" w:space="0" w:color="000000"/>
              <w:left w:val="single" w:sz="4" w:space="0" w:color="000000"/>
              <w:bottom w:val="single" w:sz="4" w:space="0" w:color="000000"/>
              <w:right w:val="single" w:sz="4" w:space="0" w:color="000000"/>
            </w:tcBorders>
          </w:tcPr>
          <w:p w14:paraId="7C1D87A3"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Canopy greenness</w:t>
            </w:r>
          </w:p>
        </w:tc>
        <w:tc>
          <w:tcPr>
            <w:tcW w:w="6210" w:type="dxa"/>
            <w:tcBorders>
              <w:top w:val="single" w:sz="4" w:space="0" w:color="000000"/>
              <w:left w:val="single" w:sz="4" w:space="0" w:color="000000"/>
              <w:bottom w:val="single" w:sz="4" w:space="0" w:color="000000"/>
              <w:right w:val="single" w:sz="4" w:space="0" w:color="000000"/>
            </w:tcBorders>
          </w:tcPr>
          <w:p w14:paraId="13E979EB" w14:textId="77777777" w:rsidR="00A1099B" w:rsidRPr="00A1099B" w:rsidRDefault="00A1099B" w:rsidP="00BE6785">
            <w:pPr>
              <w:ind w:right="60"/>
              <w:jc w:val="both"/>
              <w:rPr>
                <w:rFonts w:ascii="Arial" w:eastAsia="Arial" w:hAnsi="Arial" w:cs="Arial"/>
                <w:color w:val="000000"/>
                <w:sz w:val="18"/>
                <w:szCs w:val="18"/>
              </w:rPr>
            </w:pPr>
            <w:r w:rsidRPr="00A1099B">
              <w:rPr>
                <w:rFonts w:ascii="Arial" w:eastAsia="Arial" w:hAnsi="Arial" w:cs="Arial"/>
                <w:color w:val="000000"/>
                <w:sz w:val="18"/>
                <w:szCs w:val="18"/>
              </w:rPr>
              <w:t xml:space="preserve">Measured with proximal SPAD, an early indicator for drought tolerance for </w:t>
            </w:r>
            <w:r w:rsidRPr="00A1099B">
              <w:rPr>
                <w:rFonts w:ascii="Arial" w:eastAsia="Arial" w:hAnsi="Arial" w:cs="Arial"/>
                <w:i/>
                <w:color w:val="000000"/>
                <w:sz w:val="18"/>
                <w:szCs w:val="18"/>
              </w:rPr>
              <w:t>P. trichocarpa</w:t>
            </w:r>
            <w:r w:rsidRPr="00A1099B">
              <w:rPr>
                <w:rFonts w:ascii="Arial" w:eastAsia="Arial" w:hAnsi="Arial" w:cs="Arial"/>
                <w:color w:val="000000"/>
                <w:sz w:val="18"/>
                <w:szCs w:val="18"/>
              </w:rPr>
              <w:t xml:space="preserve"> will now be improved using NDVI with a multi-spectral camera mounted on a UAV, with opportunity to quantify other spectra and make 1,000s of measurements, daily </w:t>
            </w:r>
          </w:p>
        </w:tc>
        <w:tc>
          <w:tcPr>
            <w:tcW w:w="540" w:type="dxa"/>
            <w:tcBorders>
              <w:top w:val="single" w:sz="4" w:space="0" w:color="000000"/>
              <w:left w:val="single" w:sz="4" w:space="0" w:color="000000"/>
              <w:bottom w:val="single" w:sz="4" w:space="0" w:color="000000"/>
              <w:right w:val="single" w:sz="4" w:space="0" w:color="000000"/>
            </w:tcBorders>
          </w:tcPr>
          <w:p w14:paraId="7EF6F007"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p>
        </w:tc>
        <w:tc>
          <w:tcPr>
            <w:tcW w:w="719" w:type="dxa"/>
            <w:tcBorders>
              <w:top w:val="single" w:sz="4" w:space="0" w:color="000000"/>
              <w:left w:val="single" w:sz="4" w:space="0" w:color="000000"/>
              <w:bottom w:val="single" w:sz="4" w:space="0" w:color="000000"/>
              <w:right w:val="single" w:sz="4" w:space="0" w:color="000000"/>
            </w:tcBorders>
          </w:tcPr>
          <w:p w14:paraId="62633D91" w14:textId="77777777" w:rsidR="00A1099B" w:rsidRPr="00A1099B" w:rsidRDefault="00A1099B" w:rsidP="00BE6785">
            <w:pPr>
              <w:ind w:left="1"/>
              <w:jc w:val="both"/>
              <w:rPr>
                <w:rFonts w:ascii="Arial" w:eastAsia="Arial" w:hAnsi="Arial" w:cs="Arial"/>
                <w:color w:val="000000"/>
                <w:sz w:val="18"/>
                <w:szCs w:val="18"/>
              </w:rPr>
            </w:pPr>
            <w:r w:rsidRPr="00A1099B">
              <w:rPr>
                <w:rFonts w:ascii="Arial" w:eastAsia="Arial" w:hAnsi="Arial" w:cs="Arial"/>
                <w:color w:val="000000"/>
                <w:sz w:val="18"/>
                <w:szCs w:val="18"/>
              </w:rPr>
              <w:t xml:space="preserve">NA </w:t>
            </w:r>
          </w:p>
        </w:tc>
      </w:tr>
      <w:tr w:rsidR="00A1099B" w:rsidRPr="00A1099B" w14:paraId="3229088A" w14:textId="77777777" w:rsidTr="00BE1BC9">
        <w:trPr>
          <w:trHeight w:val="583"/>
        </w:trPr>
        <w:tc>
          <w:tcPr>
            <w:tcW w:w="2064" w:type="dxa"/>
            <w:tcBorders>
              <w:top w:val="single" w:sz="4" w:space="0" w:color="000000"/>
              <w:left w:val="single" w:sz="4" w:space="0" w:color="000000"/>
              <w:bottom w:val="single" w:sz="4" w:space="0" w:color="000000"/>
              <w:right w:val="single" w:sz="4" w:space="0" w:color="000000"/>
            </w:tcBorders>
          </w:tcPr>
          <w:p w14:paraId="24258E61"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Canopy and leaf</w:t>
            </w:r>
          </w:p>
          <w:p w14:paraId="4FD3E957"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infra-red temperature</w:t>
            </w:r>
          </w:p>
        </w:tc>
        <w:tc>
          <w:tcPr>
            <w:tcW w:w="6210" w:type="dxa"/>
            <w:tcBorders>
              <w:top w:val="single" w:sz="4" w:space="0" w:color="000000"/>
              <w:left w:val="single" w:sz="4" w:space="0" w:color="000000"/>
              <w:bottom w:val="single" w:sz="4" w:space="0" w:color="000000"/>
              <w:right w:val="single" w:sz="4" w:space="0" w:color="000000"/>
            </w:tcBorders>
          </w:tcPr>
          <w:p w14:paraId="0FABA119"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Hand held IR probe and UAV mounted camera as a proxy for stomatal opening, able to make 1000s, daily </w:t>
            </w:r>
          </w:p>
        </w:tc>
        <w:tc>
          <w:tcPr>
            <w:tcW w:w="540" w:type="dxa"/>
            <w:tcBorders>
              <w:top w:val="single" w:sz="4" w:space="0" w:color="000000"/>
              <w:left w:val="single" w:sz="4" w:space="0" w:color="000000"/>
              <w:bottom w:val="single" w:sz="4" w:space="0" w:color="000000"/>
              <w:right w:val="single" w:sz="4" w:space="0" w:color="000000"/>
            </w:tcBorders>
          </w:tcPr>
          <w:p w14:paraId="4650048A"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p>
        </w:tc>
        <w:tc>
          <w:tcPr>
            <w:tcW w:w="719" w:type="dxa"/>
            <w:tcBorders>
              <w:top w:val="single" w:sz="4" w:space="0" w:color="000000"/>
              <w:left w:val="single" w:sz="4" w:space="0" w:color="000000"/>
              <w:bottom w:val="single" w:sz="4" w:space="0" w:color="000000"/>
              <w:right w:val="single" w:sz="4" w:space="0" w:color="000000"/>
            </w:tcBorders>
          </w:tcPr>
          <w:p w14:paraId="06CAEE6A" w14:textId="77777777" w:rsidR="00A1099B" w:rsidRPr="00A1099B" w:rsidRDefault="00620EA1" w:rsidP="00BE6785">
            <w:pPr>
              <w:ind w:left="1"/>
              <w:jc w:val="both"/>
              <w:rPr>
                <w:rFonts w:ascii="Arial" w:eastAsia="Arial" w:hAnsi="Arial" w:cs="Arial"/>
                <w:color w:val="000000"/>
                <w:sz w:val="18"/>
                <w:szCs w:val="18"/>
              </w:rPr>
            </w:pPr>
            <w:r>
              <w:rPr>
                <w:rFonts w:ascii="Arial" w:eastAsia="Arial" w:hAnsi="Arial" w:cs="Arial"/>
                <w:color w:val="000000"/>
                <w:sz w:val="18"/>
                <w:szCs w:val="18"/>
              </w:rPr>
              <w:t>NA</w:t>
            </w:r>
          </w:p>
        </w:tc>
      </w:tr>
      <w:tr w:rsidR="00A1099B" w:rsidRPr="00A1099B" w14:paraId="5B157CB1" w14:textId="77777777" w:rsidTr="002F34FC">
        <w:trPr>
          <w:trHeight w:val="763"/>
        </w:trPr>
        <w:tc>
          <w:tcPr>
            <w:tcW w:w="2064" w:type="dxa"/>
            <w:tcBorders>
              <w:top w:val="single" w:sz="4" w:space="0" w:color="000000"/>
              <w:left w:val="single" w:sz="4" w:space="0" w:color="000000"/>
              <w:bottom w:val="single" w:sz="4" w:space="0" w:color="000000"/>
              <w:right w:val="single" w:sz="4" w:space="0" w:color="000000"/>
            </w:tcBorders>
          </w:tcPr>
          <w:p w14:paraId="6B395A2A"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Yield Stress Index</w:t>
            </w:r>
          </w:p>
        </w:tc>
        <w:tc>
          <w:tcPr>
            <w:tcW w:w="6210" w:type="dxa"/>
            <w:tcBorders>
              <w:top w:val="single" w:sz="4" w:space="0" w:color="000000"/>
              <w:left w:val="single" w:sz="4" w:space="0" w:color="000000"/>
              <w:bottom w:val="single" w:sz="4" w:space="0" w:color="000000"/>
              <w:right w:val="single" w:sz="4" w:space="0" w:color="000000"/>
            </w:tcBorders>
          </w:tcPr>
          <w:p w14:paraId="1244FAC4" w14:textId="77777777" w:rsidR="00A1099B" w:rsidRPr="00BE1BC9" w:rsidRDefault="00DB0DDF" w:rsidP="00BE6785">
            <w:pPr>
              <w:spacing w:after="120" w:line="480" w:lineRule="auto"/>
              <w:jc w:val="both"/>
              <w:rPr>
                <w:rFonts w:ascii="Arial" w:eastAsia="Cambria Math" w:hAnsi="Arial" w:cs="Arial"/>
                <w:color w:val="000000"/>
                <w:sz w:val="18"/>
                <w:szCs w:val="18"/>
              </w:rPr>
            </w:pPr>
            <m:oMathPara>
              <m:oMath>
                <m:r>
                  <w:rPr>
                    <w:rFonts w:ascii="Cambria Math" w:hAnsi="Cambria Math" w:cs="Arial"/>
                    <w:kern w:val="32"/>
                    <w:sz w:val="18"/>
                    <w:szCs w:val="18"/>
                    <w:lang w:eastAsia="en-GB"/>
                  </w:rPr>
                  <m:t>YSI=</m:t>
                </m:r>
                <m:d>
                  <m:dPr>
                    <m:ctrlPr>
                      <w:rPr>
                        <w:rFonts w:ascii="Cambria Math" w:hAnsi="Cambria Math" w:cs="Arial"/>
                        <w:bCs/>
                        <w:i/>
                        <w:kern w:val="32"/>
                        <w:sz w:val="18"/>
                        <w:szCs w:val="18"/>
                        <w:lang w:eastAsia="en-GB"/>
                      </w:rPr>
                    </m:ctrlPr>
                  </m:dPr>
                  <m:e>
                    <m:f>
                      <m:fPr>
                        <m:ctrlPr>
                          <w:rPr>
                            <w:rFonts w:ascii="Cambria Math" w:hAnsi="Cambria Math" w:cs="Arial"/>
                            <w:bCs/>
                            <w:i/>
                            <w:kern w:val="32"/>
                            <w:sz w:val="18"/>
                            <w:szCs w:val="18"/>
                            <w:lang w:eastAsia="en-GB"/>
                          </w:rPr>
                        </m:ctrlPr>
                      </m:fPr>
                      <m:num>
                        <m:sSub>
                          <m:sSubPr>
                            <m:ctrlPr>
                              <w:rPr>
                                <w:rFonts w:ascii="Cambria Math" w:hAnsi="Cambria Math" w:cs="Arial"/>
                                <w:bCs/>
                                <w:i/>
                                <w:kern w:val="32"/>
                                <w:sz w:val="18"/>
                                <w:szCs w:val="18"/>
                                <w:lang w:eastAsia="en-GB"/>
                              </w:rPr>
                            </m:ctrlPr>
                          </m:sSubPr>
                          <m:e>
                            <m:r>
                              <w:rPr>
                                <w:rFonts w:ascii="Cambria Math" w:hAnsi="Cambria Math" w:cs="Arial"/>
                                <w:kern w:val="32"/>
                                <w:sz w:val="18"/>
                                <w:szCs w:val="18"/>
                                <w:lang w:eastAsia="en-GB"/>
                              </w:rPr>
                              <m:t>Geno</m:t>
                            </m:r>
                          </m:e>
                          <m:sub>
                            <m:r>
                              <w:rPr>
                                <w:rFonts w:ascii="Cambria Math" w:hAnsi="Cambria Math" w:cs="Arial"/>
                                <w:kern w:val="32"/>
                                <w:sz w:val="18"/>
                                <w:szCs w:val="18"/>
                                <w:lang w:eastAsia="en-GB"/>
                              </w:rPr>
                              <m:t>drought</m:t>
                            </m:r>
                          </m:sub>
                        </m:sSub>
                      </m:num>
                      <m:den>
                        <m:sSub>
                          <m:sSubPr>
                            <m:ctrlPr>
                              <w:rPr>
                                <w:rFonts w:ascii="Cambria Math" w:hAnsi="Cambria Math" w:cs="Arial"/>
                                <w:bCs/>
                                <w:i/>
                                <w:kern w:val="32"/>
                                <w:sz w:val="18"/>
                                <w:szCs w:val="18"/>
                                <w:lang w:eastAsia="en-GB"/>
                              </w:rPr>
                            </m:ctrlPr>
                          </m:sSubPr>
                          <m:e>
                            <m:r>
                              <w:rPr>
                                <w:rFonts w:ascii="Cambria Math" w:hAnsi="Cambria Math" w:cs="Arial"/>
                                <w:kern w:val="32"/>
                                <w:sz w:val="18"/>
                                <w:szCs w:val="18"/>
                                <w:lang w:eastAsia="en-GB"/>
                              </w:rPr>
                              <m:t>Pop</m:t>
                            </m:r>
                          </m:e>
                          <m:sub>
                            <m:r>
                              <w:rPr>
                                <w:rFonts w:ascii="Cambria Math" w:hAnsi="Cambria Math" w:cs="Arial"/>
                                <w:kern w:val="32"/>
                                <w:sz w:val="18"/>
                                <w:szCs w:val="18"/>
                                <w:lang w:eastAsia="en-GB"/>
                              </w:rPr>
                              <m:t>drought</m:t>
                            </m:r>
                          </m:sub>
                        </m:sSub>
                      </m:den>
                    </m:f>
                  </m:e>
                </m:d>
                <m:r>
                  <w:rPr>
                    <w:rFonts w:ascii="Cambria Math" w:hAnsi="Cambria Math" w:cs="Arial"/>
                    <w:kern w:val="32"/>
                    <w:sz w:val="18"/>
                    <w:szCs w:val="18"/>
                    <w:lang w:eastAsia="en-GB"/>
                  </w:rPr>
                  <m:t xml:space="preserve">x </m:t>
                </m:r>
                <m:d>
                  <m:dPr>
                    <m:ctrlPr>
                      <w:rPr>
                        <w:rFonts w:ascii="Cambria Math" w:hAnsi="Cambria Math" w:cs="Arial"/>
                        <w:bCs/>
                        <w:i/>
                        <w:kern w:val="32"/>
                        <w:sz w:val="18"/>
                        <w:szCs w:val="18"/>
                        <w:lang w:eastAsia="en-GB"/>
                      </w:rPr>
                    </m:ctrlPr>
                  </m:dPr>
                  <m:e>
                    <m:f>
                      <m:fPr>
                        <m:ctrlPr>
                          <w:rPr>
                            <w:rFonts w:ascii="Cambria Math" w:hAnsi="Cambria Math" w:cs="Arial"/>
                            <w:bCs/>
                            <w:i/>
                            <w:kern w:val="32"/>
                            <w:sz w:val="18"/>
                            <w:szCs w:val="18"/>
                            <w:lang w:eastAsia="en-GB"/>
                          </w:rPr>
                        </m:ctrlPr>
                      </m:fPr>
                      <m:num>
                        <m:sSub>
                          <m:sSubPr>
                            <m:ctrlPr>
                              <w:rPr>
                                <w:rFonts w:ascii="Cambria Math" w:hAnsi="Cambria Math" w:cs="Arial"/>
                                <w:bCs/>
                                <w:i/>
                                <w:kern w:val="32"/>
                                <w:sz w:val="18"/>
                                <w:szCs w:val="18"/>
                                <w:lang w:eastAsia="en-GB"/>
                              </w:rPr>
                            </m:ctrlPr>
                          </m:sSubPr>
                          <m:e>
                            <m:r>
                              <w:rPr>
                                <w:rFonts w:ascii="Cambria Math" w:hAnsi="Cambria Math" w:cs="Arial"/>
                                <w:kern w:val="32"/>
                                <w:sz w:val="18"/>
                                <w:szCs w:val="18"/>
                                <w:lang w:eastAsia="en-GB"/>
                              </w:rPr>
                              <m:t>Geno</m:t>
                            </m:r>
                          </m:e>
                          <m:sub>
                            <m:r>
                              <w:rPr>
                                <w:rFonts w:ascii="Cambria Math" w:hAnsi="Cambria Math" w:cs="Arial"/>
                                <w:kern w:val="32"/>
                                <w:sz w:val="18"/>
                                <w:szCs w:val="18"/>
                                <w:lang w:eastAsia="en-GB"/>
                              </w:rPr>
                              <m:t>control</m:t>
                            </m:r>
                          </m:sub>
                        </m:sSub>
                      </m:num>
                      <m:den>
                        <m:sSub>
                          <m:sSubPr>
                            <m:ctrlPr>
                              <w:rPr>
                                <w:rFonts w:ascii="Cambria Math" w:hAnsi="Cambria Math" w:cs="Arial"/>
                                <w:bCs/>
                                <w:i/>
                                <w:kern w:val="32"/>
                                <w:sz w:val="18"/>
                                <w:szCs w:val="18"/>
                                <w:lang w:eastAsia="en-GB"/>
                              </w:rPr>
                            </m:ctrlPr>
                          </m:sSubPr>
                          <m:e>
                            <m:r>
                              <w:rPr>
                                <w:rFonts w:ascii="Cambria Math" w:hAnsi="Cambria Math" w:cs="Arial"/>
                                <w:kern w:val="32"/>
                                <w:sz w:val="18"/>
                                <w:szCs w:val="18"/>
                                <w:lang w:eastAsia="en-GB"/>
                              </w:rPr>
                              <m:t>Pop</m:t>
                            </m:r>
                          </m:e>
                          <m:sub>
                            <m:r>
                              <w:rPr>
                                <w:rFonts w:ascii="Cambria Math" w:hAnsi="Cambria Math" w:cs="Arial"/>
                                <w:kern w:val="32"/>
                                <w:sz w:val="18"/>
                                <w:szCs w:val="18"/>
                                <w:lang w:eastAsia="en-GB"/>
                              </w:rPr>
                              <m:t>control</m:t>
                            </m:r>
                          </m:sub>
                        </m:sSub>
                      </m:den>
                    </m:f>
                  </m:e>
                </m:d>
                <m:r>
                  <w:rPr>
                    <w:rFonts w:ascii="Cambria Math" w:hAnsi="Cambria Math" w:cs="Arial"/>
                    <w:kern w:val="32"/>
                    <w:sz w:val="18"/>
                    <w:szCs w:val="18"/>
                    <w:lang w:eastAsia="en-GB"/>
                  </w:rPr>
                  <m:t xml:space="preserve"> x </m:t>
                </m:r>
                <m:d>
                  <m:dPr>
                    <m:ctrlPr>
                      <w:rPr>
                        <w:rFonts w:ascii="Cambria Math" w:hAnsi="Cambria Math" w:cs="Arial"/>
                        <w:bCs/>
                        <w:i/>
                        <w:kern w:val="32"/>
                        <w:sz w:val="18"/>
                        <w:szCs w:val="18"/>
                        <w:lang w:eastAsia="en-GB"/>
                      </w:rPr>
                    </m:ctrlPr>
                  </m:dPr>
                  <m:e>
                    <m:f>
                      <m:fPr>
                        <m:ctrlPr>
                          <w:rPr>
                            <w:rFonts w:ascii="Cambria Math" w:hAnsi="Cambria Math" w:cs="Arial"/>
                            <w:bCs/>
                            <w:i/>
                            <w:kern w:val="32"/>
                            <w:sz w:val="18"/>
                            <w:szCs w:val="18"/>
                            <w:lang w:eastAsia="en-GB"/>
                          </w:rPr>
                        </m:ctrlPr>
                      </m:fPr>
                      <m:num>
                        <m:sSub>
                          <m:sSubPr>
                            <m:ctrlPr>
                              <w:rPr>
                                <w:rFonts w:ascii="Cambria Math" w:hAnsi="Cambria Math" w:cs="Arial"/>
                                <w:bCs/>
                                <w:i/>
                                <w:kern w:val="32"/>
                                <w:sz w:val="18"/>
                                <w:szCs w:val="18"/>
                                <w:lang w:eastAsia="en-GB"/>
                              </w:rPr>
                            </m:ctrlPr>
                          </m:sSubPr>
                          <m:e>
                            <m:r>
                              <w:rPr>
                                <w:rFonts w:ascii="Cambria Math" w:hAnsi="Cambria Math" w:cs="Arial"/>
                                <w:kern w:val="32"/>
                                <w:sz w:val="18"/>
                                <w:szCs w:val="18"/>
                                <w:lang w:eastAsia="en-GB"/>
                              </w:rPr>
                              <m:t>Pop</m:t>
                            </m:r>
                          </m:e>
                          <m:sub>
                            <m:r>
                              <w:rPr>
                                <w:rFonts w:ascii="Cambria Math" w:hAnsi="Cambria Math" w:cs="Arial"/>
                                <w:kern w:val="32"/>
                                <w:sz w:val="18"/>
                                <w:szCs w:val="18"/>
                                <w:lang w:eastAsia="en-GB"/>
                              </w:rPr>
                              <m:t>drought</m:t>
                            </m:r>
                          </m:sub>
                        </m:sSub>
                      </m:num>
                      <m:den>
                        <m:sSub>
                          <m:sSubPr>
                            <m:ctrlPr>
                              <w:rPr>
                                <w:rFonts w:ascii="Cambria Math" w:hAnsi="Cambria Math" w:cs="Arial"/>
                                <w:bCs/>
                                <w:i/>
                                <w:kern w:val="32"/>
                                <w:sz w:val="18"/>
                                <w:szCs w:val="18"/>
                                <w:lang w:eastAsia="en-GB"/>
                              </w:rPr>
                            </m:ctrlPr>
                          </m:sSubPr>
                          <m:e>
                            <m:r>
                              <w:rPr>
                                <w:rFonts w:ascii="Cambria Math" w:hAnsi="Cambria Math" w:cs="Arial"/>
                                <w:kern w:val="32"/>
                                <w:sz w:val="18"/>
                                <w:szCs w:val="18"/>
                                <w:lang w:eastAsia="en-GB"/>
                              </w:rPr>
                              <m:t>Pop</m:t>
                            </m:r>
                          </m:e>
                          <m:sub>
                            <m:r>
                              <w:rPr>
                                <w:rFonts w:ascii="Cambria Math" w:hAnsi="Cambria Math" w:cs="Arial"/>
                                <w:kern w:val="32"/>
                                <w:sz w:val="18"/>
                                <w:szCs w:val="18"/>
                                <w:lang w:eastAsia="en-GB"/>
                              </w:rPr>
                              <m:t>control</m:t>
                            </m:r>
                          </m:sub>
                        </m:sSub>
                      </m:den>
                    </m:f>
                  </m:e>
                </m:d>
              </m:oMath>
            </m:oMathPara>
          </w:p>
          <w:p w14:paraId="7B54EE44" w14:textId="77777777" w:rsidR="00DB0DDF" w:rsidRPr="00A1099B" w:rsidRDefault="00DB0DDF" w:rsidP="00BE6785">
            <w:pPr>
              <w:tabs>
                <w:tab w:val="center" w:pos="1886"/>
                <w:tab w:val="center" w:pos="3320"/>
                <w:tab w:val="center" w:pos="4730"/>
              </w:tabs>
              <w:jc w:val="both"/>
              <w:rPr>
                <w:rFonts w:ascii="Arial" w:eastAsia="Arial" w:hAnsi="Arial" w:cs="Arial"/>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Pr>
          <w:p w14:paraId="0445A855"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r w:rsidR="00A1099B" w:rsidRPr="00A1099B">
              <w:rPr>
                <w:rFonts w:ascii="Arial" w:eastAsia="Arial" w:hAnsi="Arial" w:cs="Arial"/>
                <w:color w:val="000000"/>
                <w:sz w:val="18"/>
                <w:szCs w:val="1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7F5781A4" w14:textId="77777777" w:rsidR="00A1099B" w:rsidRPr="00A1099B" w:rsidRDefault="002F34FC" w:rsidP="00BE6785">
            <w:pPr>
              <w:ind w:left="1"/>
              <w:jc w:val="both"/>
              <w:rPr>
                <w:rFonts w:ascii="Arial" w:eastAsia="Arial" w:hAnsi="Arial" w:cs="Arial"/>
                <w:color w:val="000000"/>
                <w:sz w:val="18"/>
                <w:szCs w:val="18"/>
              </w:rPr>
            </w:pPr>
            <w:r>
              <w:rPr>
                <w:rFonts w:ascii="Arial" w:eastAsia="Arial" w:hAnsi="Arial" w:cs="Arial"/>
                <w:color w:val="000000"/>
                <w:sz w:val="18"/>
                <w:szCs w:val="18"/>
              </w:rPr>
              <w:t>6</w:t>
            </w:r>
          </w:p>
        </w:tc>
      </w:tr>
      <w:tr w:rsidR="00A1099B" w:rsidRPr="00A1099B" w14:paraId="614FEFF2" w14:textId="77777777" w:rsidTr="002F34FC">
        <w:trPr>
          <w:trHeight w:val="862"/>
        </w:trPr>
        <w:tc>
          <w:tcPr>
            <w:tcW w:w="2064" w:type="dxa"/>
            <w:tcBorders>
              <w:top w:val="single" w:sz="4" w:space="0" w:color="000000"/>
              <w:left w:val="single" w:sz="4" w:space="0" w:color="000000"/>
              <w:bottom w:val="single" w:sz="4" w:space="0" w:color="000000"/>
              <w:right w:val="single" w:sz="4" w:space="0" w:color="000000"/>
            </w:tcBorders>
          </w:tcPr>
          <w:p w14:paraId="625D85EA"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Drought</w:t>
            </w:r>
          </w:p>
          <w:p w14:paraId="38E74643"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Resistance Index</w:t>
            </w:r>
          </w:p>
        </w:tc>
        <w:tc>
          <w:tcPr>
            <w:tcW w:w="6210" w:type="dxa"/>
            <w:tcBorders>
              <w:top w:val="single" w:sz="4" w:space="0" w:color="000000"/>
              <w:left w:val="single" w:sz="4" w:space="0" w:color="000000"/>
              <w:bottom w:val="single" w:sz="4" w:space="0" w:color="000000"/>
              <w:right w:val="single" w:sz="4" w:space="0" w:color="000000"/>
            </w:tcBorders>
          </w:tcPr>
          <w:p w14:paraId="1B7F5388" w14:textId="77777777" w:rsidR="00DB0DDF" w:rsidRPr="00DB0DDF" w:rsidRDefault="00DB0DDF" w:rsidP="00BE6785">
            <w:pPr>
              <w:spacing w:after="120" w:line="264" w:lineRule="auto"/>
              <w:jc w:val="both"/>
              <w:rPr>
                <w:rFonts w:ascii="Arial" w:hAnsi="Arial" w:cs="Arial"/>
                <w:sz w:val="18"/>
                <w:szCs w:val="18"/>
                <w:lang w:eastAsia="zh-CN"/>
              </w:rPr>
            </w:pPr>
            <m:oMathPara>
              <m:oMath>
                <m:r>
                  <w:rPr>
                    <w:rFonts w:ascii="Cambria Math" w:eastAsia="SimSun" w:hAnsi="Cambria Math" w:cs="Arial"/>
                    <w:sz w:val="18"/>
                    <w:szCs w:val="18"/>
                    <w:lang w:eastAsia="zh-CN"/>
                  </w:rPr>
                  <m:t xml:space="preserve">DRI= </m:t>
                </m:r>
                <m:f>
                  <m:fPr>
                    <m:ctrlPr>
                      <w:rPr>
                        <w:rFonts w:ascii="Cambria Math" w:eastAsia="SimSun" w:hAnsi="Cambria Math" w:cs="Arial"/>
                        <w:i/>
                        <w:sz w:val="18"/>
                        <w:szCs w:val="18"/>
                        <w:lang w:eastAsia="zh-CN"/>
                      </w:rPr>
                    </m:ctrlPr>
                  </m:fPr>
                  <m:num>
                    <m:sSub>
                      <m:sSubPr>
                        <m:ctrlPr>
                          <w:rPr>
                            <w:rFonts w:ascii="Cambria Math" w:eastAsia="SimSun" w:hAnsi="Cambria Math" w:cs="Arial"/>
                            <w:i/>
                            <w:sz w:val="18"/>
                            <w:szCs w:val="18"/>
                            <w:lang w:eastAsia="zh-CN"/>
                          </w:rPr>
                        </m:ctrlPr>
                      </m:sSubPr>
                      <m:e>
                        <m:r>
                          <w:rPr>
                            <w:rFonts w:ascii="Cambria Math" w:eastAsia="SimSun" w:hAnsi="Cambria Math" w:cs="Arial"/>
                            <w:sz w:val="18"/>
                            <w:szCs w:val="18"/>
                            <w:lang w:eastAsia="zh-CN"/>
                          </w:rPr>
                          <m:t>(Geno</m:t>
                        </m:r>
                      </m:e>
                      <m:sub>
                        <m:r>
                          <w:rPr>
                            <w:rFonts w:ascii="Cambria Math" w:eastAsia="SimSun" w:hAnsi="Cambria Math" w:cs="Arial"/>
                            <w:sz w:val="18"/>
                            <w:szCs w:val="18"/>
                            <w:lang w:eastAsia="zh-CN"/>
                          </w:rPr>
                          <m:t>drought</m:t>
                        </m:r>
                      </m:sub>
                    </m:sSub>
                    <m:r>
                      <w:rPr>
                        <w:rFonts w:ascii="Cambria Math" w:eastAsia="SimSun" w:hAnsi="Cambria Math" w:cs="Arial"/>
                        <w:sz w:val="18"/>
                        <w:szCs w:val="18"/>
                        <w:lang w:eastAsia="zh-CN"/>
                      </w:rPr>
                      <m:t>/</m:t>
                    </m:r>
                    <m:sSub>
                      <m:sSubPr>
                        <m:ctrlPr>
                          <w:rPr>
                            <w:rFonts w:ascii="Cambria Math" w:eastAsia="SimSun" w:hAnsi="Cambria Math" w:cs="Arial"/>
                            <w:i/>
                            <w:sz w:val="18"/>
                            <w:szCs w:val="18"/>
                            <w:lang w:eastAsia="zh-CN"/>
                          </w:rPr>
                        </m:ctrlPr>
                      </m:sSubPr>
                      <m:e>
                        <m:r>
                          <w:rPr>
                            <w:rFonts w:ascii="Cambria Math" w:eastAsia="SimSun" w:hAnsi="Cambria Math" w:cs="Arial"/>
                            <w:sz w:val="18"/>
                            <w:szCs w:val="18"/>
                            <w:lang w:eastAsia="zh-CN"/>
                          </w:rPr>
                          <m:t>Geno</m:t>
                        </m:r>
                      </m:e>
                      <m:sub>
                        <m:r>
                          <w:rPr>
                            <w:rFonts w:ascii="Cambria Math" w:eastAsia="SimSun" w:hAnsi="Cambria Math" w:cs="Arial"/>
                            <w:sz w:val="18"/>
                            <w:szCs w:val="18"/>
                            <w:lang w:eastAsia="zh-CN"/>
                          </w:rPr>
                          <m:t>control</m:t>
                        </m:r>
                      </m:sub>
                    </m:sSub>
                    <m:r>
                      <w:rPr>
                        <w:rFonts w:ascii="Cambria Math" w:eastAsia="SimSun" w:hAnsi="Cambria Math" w:cs="Arial"/>
                        <w:sz w:val="18"/>
                        <w:szCs w:val="18"/>
                        <w:lang w:eastAsia="zh-CN"/>
                      </w:rPr>
                      <m:t>)</m:t>
                    </m:r>
                  </m:num>
                  <m:den>
                    <m:sSub>
                      <m:sSubPr>
                        <m:ctrlPr>
                          <w:rPr>
                            <w:rFonts w:ascii="Cambria Math" w:eastAsia="SimSun" w:hAnsi="Cambria Math" w:cs="Arial"/>
                            <w:i/>
                            <w:sz w:val="18"/>
                            <w:szCs w:val="18"/>
                            <w:lang w:eastAsia="zh-CN"/>
                          </w:rPr>
                        </m:ctrlPr>
                      </m:sSubPr>
                      <m:e>
                        <m:r>
                          <w:rPr>
                            <w:rFonts w:ascii="Cambria Math" w:eastAsia="SimSun" w:hAnsi="Cambria Math" w:cs="Arial"/>
                            <w:sz w:val="18"/>
                            <w:szCs w:val="18"/>
                            <w:lang w:eastAsia="zh-CN"/>
                          </w:rPr>
                          <m:t>(Pop</m:t>
                        </m:r>
                      </m:e>
                      <m:sub>
                        <m:r>
                          <w:rPr>
                            <w:rFonts w:ascii="Cambria Math" w:eastAsia="SimSun" w:hAnsi="Cambria Math" w:cs="Arial"/>
                            <w:sz w:val="18"/>
                            <w:szCs w:val="18"/>
                            <w:lang w:eastAsia="zh-CN"/>
                          </w:rPr>
                          <m:t>drought</m:t>
                        </m:r>
                      </m:sub>
                    </m:sSub>
                    <m:r>
                      <w:rPr>
                        <w:rFonts w:ascii="Cambria Math" w:eastAsia="SimSun" w:hAnsi="Cambria Math" w:cs="Arial"/>
                        <w:sz w:val="18"/>
                        <w:szCs w:val="18"/>
                        <w:lang w:eastAsia="zh-CN"/>
                      </w:rPr>
                      <m:t>/</m:t>
                    </m:r>
                    <m:sSub>
                      <m:sSubPr>
                        <m:ctrlPr>
                          <w:rPr>
                            <w:rFonts w:ascii="Cambria Math" w:eastAsia="SimSun" w:hAnsi="Cambria Math" w:cs="Arial"/>
                            <w:i/>
                            <w:sz w:val="18"/>
                            <w:szCs w:val="18"/>
                            <w:lang w:eastAsia="zh-CN"/>
                          </w:rPr>
                        </m:ctrlPr>
                      </m:sSubPr>
                      <m:e>
                        <m:r>
                          <w:rPr>
                            <w:rFonts w:ascii="Cambria Math" w:eastAsia="SimSun" w:hAnsi="Cambria Math" w:cs="Arial"/>
                            <w:sz w:val="18"/>
                            <w:szCs w:val="18"/>
                            <w:lang w:eastAsia="zh-CN"/>
                          </w:rPr>
                          <m:t>Pop</m:t>
                        </m:r>
                      </m:e>
                      <m:sub>
                        <m:r>
                          <w:rPr>
                            <w:rFonts w:ascii="Cambria Math" w:eastAsia="SimSun" w:hAnsi="Cambria Math" w:cs="Arial"/>
                            <w:sz w:val="18"/>
                            <w:szCs w:val="18"/>
                            <w:lang w:eastAsia="zh-CN"/>
                          </w:rPr>
                          <m:t>control</m:t>
                        </m:r>
                      </m:sub>
                    </m:sSub>
                    <m:r>
                      <w:rPr>
                        <w:rFonts w:ascii="Cambria Math" w:eastAsia="SimSun" w:hAnsi="Cambria Math" w:cs="Arial"/>
                        <w:sz w:val="18"/>
                        <w:szCs w:val="18"/>
                        <w:lang w:eastAsia="zh-CN"/>
                      </w:rPr>
                      <m:t>)</m:t>
                    </m:r>
                  </m:den>
                </m:f>
              </m:oMath>
            </m:oMathPara>
          </w:p>
          <w:p w14:paraId="7EB43E0D" w14:textId="77777777" w:rsidR="00DB0DDF" w:rsidRPr="00BE1BC9" w:rsidRDefault="00DB0DDF" w:rsidP="00BE6785">
            <w:pPr>
              <w:jc w:val="both"/>
              <w:rPr>
                <w:rFonts w:ascii="Arial" w:eastAsia="Arial" w:hAnsi="Arial" w:cs="Arial"/>
                <w:color w:val="000000"/>
                <w:sz w:val="18"/>
                <w:szCs w:val="18"/>
              </w:rPr>
            </w:pPr>
          </w:p>
          <w:p w14:paraId="63BD7B05" w14:textId="77777777" w:rsidR="00A1099B" w:rsidRPr="00A1099B" w:rsidRDefault="00A1099B" w:rsidP="00BE6785">
            <w:pPr>
              <w:jc w:val="both"/>
              <w:rPr>
                <w:rFonts w:ascii="Arial" w:eastAsia="Arial" w:hAnsi="Arial" w:cs="Arial"/>
                <w:color w:val="000000"/>
                <w:sz w:val="18"/>
                <w:szCs w:val="18"/>
              </w:rPr>
            </w:pPr>
            <w:r w:rsidRPr="00A1099B">
              <w:rPr>
                <w:rFonts w:ascii="Arial" w:eastAsia="Arial" w:hAnsi="Arial" w:cs="Arial"/>
                <w:color w:val="000000"/>
                <w:sz w:val="18"/>
                <w:szCs w:val="18"/>
              </w:rPr>
              <w:t xml:space="preserve">Where geno and pheno represent genotypic and phenotypic means </w:t>
            </w:r>
          </w:p>
        </w:tc>
        <w:tc>
          <w:tcPr>
            <w:tcW w:w="540" w:type="dxa"/>
            <w:tcBorders>
              <w:top w:val="single" w:sz="4" w:space="0" w:color="000000"/>
              <w:left w:val="single" w:sz="4" w:space="0" w:color="000000"/>
              <w:bottom w:val="single" w:sz="4" w:space="0" w:color="000000"/>
              <w:right w:val="single" w:sz="4" w:space="0" w:color="000000"/>
            </w:tcBorders>
          </w:tcPr>
          <w:p w14:paraId="77256A38" w14:textId="77777777" w:rsidR="00A1099B" w:rsidRPr="00A1099B" w:rsidRDefault="00734865" w:rsidP="00BE6785">
            <w:pPr>
              <w:ind w:left="1"/>
              <w:jc w:val="both"/>
              <w:rPr>
                <w:rFonts w:ascii="Arial" w:eastAsia="Arial" w:hAnsi="Arial" w:cs="Arial"/>
                <w:color w:val="000000"/>
                <w:sz w:val="18"/>
                <w:szCs w:val="18"/>
              </w:rPr>
            </w:pPr>
            <w:r>
              <w:rPr>
                <w:rFonts w:ascii="Arial" w:eastAsia="Arial" w:hAnsi="Arial" w:cs="Arial"/>
                <w:color w:val="000000"/>
                <w:sz w:val="18"/>
                <w:szCs w:val="18"/>
              </w:rPr>
              <w:t>GWAS</w:t>
            </w:r>
            <w:r w:rsidR="00A1099B" w:rsidRPr="00A1099B">
              <w:rPr>
                <w:rFonts w:ascii="Arial" w:eastAsia="Arial" w:hAnsi="Arial" w:cs="Arial"/>
                <w:color w:val="000000"/>
                <w:sz w:val="18"/>
                <w:szCs w:val="1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7168ECC3" w14:textId="77777777" w:rsidR="00A1099B" w:rsidRPr="00A1099B" w:rsidRDefault="00620EA1" w:rsidP="00BE6785">
            <w:pPr>
              <w:ind w:left="1"/>
              <w:jc w:val="both"/>
              <w:rPr>
                <w:rFonts w:ascii="Arial" w:eastAsia="Arial" w:hAnsi="Arial" w:cs="Arial"/>
                <w:color w:val="000000"/>
                <w:sz w:val="18"/>
                <w:szCs w:val="18"/>
              </w:rPr>
            </w:pPr>
            <w:r>
              <w:rPr>
                <w:rFonts w:ascii="Arial" w:eastAsia="Arial" w:hAnsi="Arial" w:cs="Arial"/>
                <w:color w:val="000000"/>
                <w:sz w:val="18"/>
                <w:szCs w:val="18"/>
              </w:rPr>
              <w:t>8</w:t>
            </w:r>
          </w:p>
        </w:tc>
      </w:tr>
    </w:tbl>
    <w:p w14:paraId="52B50189" w14:textId="77777777" w:rsidR="00BE6785" w:rsidRDefault="00BE6785" w:rsidP="00BE6785">
      <w:pPr>
        <w:spacing w:after="0" w:line="240" w:lineRule="auto"/>
        <w:jc w:val="both"/>
        <w:rPr>
          <w:sz w:val="18"/>
          <w:szCs w:val="18"/>
        </w:rPr>
      </w:pPr>
    </w:p>
    <w:p w14:paraId="0508D0D2" w14:textId="77777777" w:rsidR="003E3405" w:rsidRPr="00620EA1" w:rsidRDefault="0006748E" w:rsidP="00BE6785">
      <w:pPr>
        <w:spacing w:after="0" w:line="240" w:lineRule="auto"/>
        <w:jc w:val="both"/>
        <w:rPr>
          <w:sz w:val="18"/>
          <w:szCs w:val="18"/>
        </w:rPr>
      </w:pPr>
      <w:r w:rsidRPr="00620EA1">
        <w:rPr>
          <w:sz w:val="18"/>
          <w:szCs w:val="18"/>
        </w:rPr>
        <w:t xml:space="preserve">Where references are 1, Laurue et al., 2019; 2, Rae et al., 2004; 3, Allwright and Taylor, 2015; 4, Bertolino et al., 2019; 5, Bartlett et al., 2012; 6, Fernandez et al., 1992; 7, Cochard et al., 2007; 8, </w:t>
      </w:r>
      <w:r w:rsidR="00620EA1" w:rsidRPr="00620EA1">
        <w:rPr>
          <w:sz w:val="18"/>
          <w:szCs w:val="18"/>
        </w:rPr>
        <w:t>Fischer and</w:t>
      </w:r>
      <w:r w:rsidR="00620EA1">
        <w:rPr>
          <w:sz w:val="18"/>
          <w:szCs w:val="18"/>
        </w:rPr>
        <w:t xml:space="preserve"> Maurer, 1978; 9, Tschaplinski et al, 2019.</w:t>
      </w:r>
    </w:p>
    <w:p w14:paraId="3E3FB8EB" w14:textId="77777777" w:rsidR="00E81241" w:rsidRDefault="00E81241" w:rsidP="00BE6785">
      <w:pPr>
        <w:jc w:val="both"/>
        <w:rPr>
          <w:b/>
        </w:rPr>
      </w:pPr>
    </w:p>
    <w:p w14:paraId="2DA5E4CA" w14:textId="4A7ED38A" w:rsidR="00082879" w:rsidRDefault="00122EDC" w:rsidP="00BE6785">
      <w:pPr>
        <w:jc w:val="both"/>
        <w:rPr>
          <w:b/>
        </w:rPr>
      </w:pPr>
      <w:r>
        <w:rPr>
          <w:b/>
        </w:rPr>
        <w:t>ACCELERATING DISCOVERY</w:t>
      </w:r>
      <w:r w:rsidR="002D7D8D">
        <w:rPr>
          <w:b/>
        </w:rPr>
        <w:t xml:space="preserve"> </w:t>
      </w:r>
      <w:r>
        <w:rPr>
          <w:b/>
        </w:rPr>
        <w:t>-</w:t>
      </w:r>
      <w:r w:rsidR="002D7D8D">
        <w:rPr>
          <w:b/>
        </w:rPr>
        <w:t xml:space="preserve"> </w:t>
      </w:r>
      <w:r w:rsidR="00082879">
        <w:rPr>
          <w:b/>
        </w:rPr>
        <w:t xml:space="preserve">THE TECHNICAL POTENTIAL OF </w:t>
      </w:r>
      <w:r w:rsidR="00513245">
        <w:rPr>
          <w:b/>
        </w:rPr>
        <w:t>NEW GENOMIC TECHNOLOGIES FOR FUTURE BIOENERGY</w:t>
      </w:r>
    </w:p>
    <w:p w14:paraId="5046F5EB" w14:textId="5AD39303" w:rsidR="00476F8C" w:rsidRDefault="00E26AA5" w:rsidP="00BE6785">
      <w:pPr>
        <w:spacing w:line="360" w:lineRule="auto"/>
        <w:jc w:val="both"/>
        <w:rPr>
          <w:rFonts w:ascii="Calibri" w:hAnsi="Calibri"/>
        </w:rPr>
      </w:pPr>
      <w:r>
        <w:rPr>
          <w:rFonts w:ascii="Calibri" w:hAnsi="Calibri"/>
          <w:bCs/>
        </w:rPr>
        <w:t xml:space="preserve">Game-changing molecular technologies </w:t>
      </w:r>
      <w:r w:rsidR="00C44328">
        <w:rPr>
          <w:rFonts w:ascii="Calibri" w:hAnsi="Calibri"/>
          <w:bCs/>
        </w:rPr>
        <w:t xml:space="preserve">made </w:t>
      </w:r>
      <w:r>
        <w:rPr>
          <w:rFonts w:ascii="Calibri" w:hAnsi="Calibri"/>
          <w:bCs/>
        </w:rPr>
        <w:t xml:space="preserve">available in the last few </w:t>
      </w:r>
      <w:r w:rsidRPr="00E62293">
        <w:rPr>
          <w:rFonts w:ascii="Calibri" w:hAnsi="Calibri"/>
          <w:bCs/>
        </w:rPr>
        <w:t>years are now set to make possible</w:t>
      </w:r>
      <w:r>
        <w:rPr>
          <w:rFonts w:ascii="Calibri" w:hAnsi="Calibri"/>
          <w:bCs/>
        </w:rPr>
        <w:t xml:space="preserve"> the rapid development and deployment of lignocellulosic bioenergy trees and grasses</w:t>
      </w:r>
      <w:r w:rsidRPr="00E62293">
        <w:rPr>
          <w:rFonts w:ascii="Calibri" w:hAnsi="Calibri"/>
          <w:bCs/>
        </w:rPr>
        <w:t>. Although twenty years in the making, the first reports of the application</w:t>
      </w:r>
      <w:r w:rsidR="005C4B30">
        <w:rPr>
          <w:rFonts w:ascii="Calibri" w:hAnsi="Calibri"/>
          <w:bCs/>
        </w:rPr>
        <w:t xml:space="preserve"> of</w:t>
      </w:r>
      <w:r w:rsidR="005C4B30" w:rsidRPr="005C4B30">
        <w:rPr>
          <w:rFonts w:ascii="Calibri" w:hAnsi="Calibri"/>
          <w:bCs/>
        </w:rPr>
        <w:t xml:space="preserve"> </w:t>
      </w:r>
      <w:r w:rsidR="005C4B30" w:rsidRPr="001C06B7">
        <w:rPr>
          <w:rFonts w:ascii="Calibri" w:hAnsi="Calibri"/>
          <w:bCs/>
        </w:rPr>
        <w:t>Clustered Regularly Interspaced Short Palindromic Repeats/CRISPR-associated protein 9</w:t>
      </w:r>
      <w:r w:rsidRPr="00E62293">
        <w:rPr>
          <w:rFonts w:ascii="Calibri" w:hAnsi="Calibri"/>
          <w:bCs/>
        </w:rPr>
        <w:t xml:space="preserve"> </w:t>
      </w:r>
      <w:r w:rsidR="005C4B30">
        <w:rPr>
          <w:rFonts w:ascii="Calibri" w:hAnsi="Calibri"/>
          <w:bCs/>
        </w:rPr>
        <w:t>(</w:t>
      </w:r>
      <w:r w:rsidRPr="00E62293">
        <w:rPr>
          <w:rFonts w:ascii="Calibri" w:hAnsi="Calibri"/>
          <w:bCs/>
        </w:rPr>
        <w:t>CRISPR-Cas</w:t>
      </w:r>
      <w:r w:rsidR="005C4B30">
        <w:rPr>
          <w:rFonts w:ascii="Calibri" w:hAnsi="Calibri"/>
          <w:bCs/>
        </w:rPr>
        <w:t>9)</w:t>
      </w:r>
      <w:r w:rsidRPr="00E62293">
        <w:rPr>
          <w:rFonts w:ascii="Calibri" w:hAnsi="Calibri"/>
          <w:bCs/>
        </w:rPr>
        <w:t xml:space="preserve"> technology appeared only </w:t>
      </w:r>
      <w:r>
        <w:rPr>
          <w:rFonts w:ascii="Calibri" w:hAnsi="Calibri"/>
          <w:bCs/>
        </w:rPr>
        <w:t xml:space="preserve">a few </w:t>
      </w:r>
      <w:r w:rsidR="00E81241">
        <w:rPr>
          <w:rFonts w:ascii="Calibri" w:hAnsi="Calibri"/>
          <w:bCs/>
        </w:rPr>
        <w:t>years ago (Lander et al., 2016)</w:t>
      </w:r>
      <w:r>
        <w:rPr>
          <w:rFonts w:ascii="Calibri" w:hAnsi="Calibri"/>
          <w:bCs/>
        </w:rPr>
        <w:t>, enabling precise and efficient gene</w:t>
      </w:r>
      <w:r w:rsidRPr="00E62293">
        <w:rPr>
          <w:rFonts w:ascii="Calibri" w:hAnsi="Calibri"/>
          <w:bCs/>
        </w:rPr>
        <w:t xml:space="preserve"> editing using an adapti</w:t>
      </w:r>
      <w:r w:rsidR="00E81241">
        <w:rPr>
          <w:rFonts w:ascii="Calibri" w:hAnsi="Calibri"/>
          <w:bCs/>
        </w:rPr>
        <w:t>ve immune response of bacteria (Lander et al., 2016)</w:t>
      </w:r>
      <w:r w:rsidRPr="00E62293">
        <w:rPr>
          <w:rFonts w:ascii="Calibri" w:hAnsi="Calibri"/>
          <w:bCs/>
        </w:rPr>
        <w:t>. It is one of a cadre of nuclease technologies able to make precise double-stranded DNA breaks</w:t>
      </w:r>
      <w:r w:rsidR="00C44328">
        <w:rPr>
          <w:rFonts w:ascii="Calibri" w:hAnsi="Calibri"/>
          <w:bCs/>
        </w:rPr>
        <w:t xml:space="preserve"> now</w:t>
      </w:r>
      <w:r w:rsidR="005C4B30">
        <w:rPr>
          <w:rFonts w:ascii="Calibri" w:hAnsi="Calibri"/>
          <w:bCs/>
        </w:rPr>
        <w:t>,</w:t>
      </w:r>
      <w:r w:rsidRPr="00E62293">
        <w:rPr>
          <w:rFonts w:ascii="Calibri" w:hAnsi="Calibri"/>
          <w:bCs/>
        </w:rPr>
        <w:t xml:space="preserve"> </w:t>
      </w:r>
      <w:r w:rsidR="00CF6A56">
        <w:rPr>
          <w:rFonts w:ascii="Calibri" w:hAnsi="Calibri"/>
          <w:bCs/>
        </w:rPr>
        <w:t xml:space="preserve"> </w:t>
      </w:r>
      <w:r w:rsidRPr="00E62293">
        <w:rPr>
          <w:rFonts w:ascii="Calibri" w:hAnsi="Calibri"/>
          <w:bCs/>
        </w:rPr>
        <w:t>used for significant new discoveries in a range of crop plants, some of which have now been agreed for rele</w:t>
      </w:r>
      <w:r w:rsidR="0047201C">
        <w:rPr>
          <w:rFonts w:ascii="Calibri" w:hAnsi="Calibri"/>
          <w:bCs/>
        </w:rPr>
        <w:t xml:space="preserve">ase by appropriate </w:t>
      </w:r>
      <w:r w:rsidR="0047201C" w:rsidRPr="009B61C6">
        <w:rPr>
          <w:rFonts w:cstheme="minorHAnsi"/>
          <w:bCs/>
        </w:rPr>
        <w:t>authorities (</w:t>
      </w:r>
      <w:r w:rsidR="0047201C" w:rsidRPr="009B61C6">
        <w:rPr>
          <w:rFonts w:cstheme="minorHAnsi"/>
          <w:noProof/>
          <w:lang w:eastAsia="zh-CN"/>
        </w:rPr>
        <w:t>Schaeffer and Nakata, 2016)</w:t>
      </w:r>
      <w:r w:rsidRPr="009B61C6">
        <w:rPr>
          <w:rFonts w:cstheme="minorHAnsi"/>
          <w:bCs/>
        </w:rPr>
        <w:t>.</w:t>
      </w:r>
      <w:r w:rsidRPr="00E62293">
        <w:rPr>
          <w:rFonts w:ascii="Calibri" w:hAnsi="Calibri"/>
          <w:bCs/>
        </w:rPr>
        <w:t xml:space="preserve">  The advantage of CRISPR-Cas is the ability to back-cross and remove inserted DNA</w:t>
      </w:r>
      <w:r w:rsidR="009B61C6">
        <w:rPr>
          <w:rFonts w:ascii="Calibri" w:hAnsi="Calibri"/>
          <w:bCs/>
        </w:rPr>
        <w:t xml:space="preserve">. This </w:t>
      </w:r>
      <w:r w:rsidRPr="00E62293">
        <w:rPr>
          <w:rFonts w:ascii="Calibri" w:hAnsi="Calibri"/>
          <w:bCs/>
        </w:rPr>
        <w:t>lead</w:t>
      </w:r>
      <w:r w:rsidR="009B61C6">
        <w:rPr>
          <w:rFonts w:ascii="Calibri" w:hAnsi="Calibri"/>
          <w:bCs/>
        </w:rPr>
        <w:t>s</w:t>
      </w:r>
      <w:r w:rsidRPr="00E62293">
        <w:rPr>
          <w:rFonts w:ascii="Calibri" w:hAnsi="Calibri"/>
          <w:bCs/>
        </w:rPr>
        <w:t xml:space="preserve"> to few</w:t>
      </w:r>
      <w:r>
        <w:rPr>
          <w:rFonts w:ascii="Calibri" w:hAnsi="Calibri"/>
          <w:bCs/>
        </w:rPr>
        <w:t>er</w:t>
      </w:r>
      <w:r w:rsidRPr="00E62293">
        <w:rPr>
          <w:rFonts w:ascii="Calibri" w:hAnsi="Calibri"/>
          <w:bCs/>
        </w:rPr>
        <w:t xml:space="preserve"> regulatory hurdles although the value of this for trees remains to be determined</w:t>
      </w:r>
      <w:r>
        <w:rPr>
          <w:rFonts w:ascii="Calibri" w:hAnsi="Calibri"/>
          <w:bCs/>
        </w:rPr>
        <w:t xml:space="preserve">. </w:t>
      </w:r>
      <w:r w:rsidRPr="00E62293">
        <w:rPr>
          <w:rFonts w:ascii="Calibri" w:hAnsi="Calibri"/>
          <w:bCs/>
        </w:rPr>
        <w:t xml:space="preserve">The potential of these technologies cannot be </w:t>
      </w:r>
      <w:r w:rsidR="00C44328">
        <w:rPr>
          <w:rFonts w:ascii="Calibri" w:hAnsi="Calibri"/>
          <w:bCs/>
        </w:rPr>
        <w:t>over</w:t>
      </w:r>
      <w:r w:rsidRPr="00E62293">
        <w:rPr>
          <w:rFonts w:ascii="Calibri" w:hAnsi="Calibri"/>
          <w:bCs/>
        </w:rPr>
        <w:t xml:space="preserve">estimated – recent research comparing RNAi </w:t>
      </w:r>
      <w:r>
        <w:rPr>
          <w:rFonts w:ascii="Calibri" w:hAnsi="Calibri"/>
          <w:bCs/>
        </w:rPr>
        <w:t>and CRISPR-Cas modified potatoes shows that a</w:t>
      </w:r>
      <w:r w:rsidRPr="00E62293">
        <w:rPr>
          <w:rFonts w:ascii="Calibri" w:hAnsi="Calibri"/>
          <w:bCs/>
        </w:rPr>
        <w:t>lthough both t</w:t>
      </w:r>
      <w:r>
        <w:rPr>
          <w:rFonts w:ascii="Calibri" w:hAnsi="Calibri"/>
          <w:bCs/>
        </w:rPr>
        <w:t>echnologies led to reduced vacu</w:t>
      </w:r>
      <w:r w:rsidRPr="00E62293">
        <w:rPr>
          <w:rFonts w:ascii="Calibri" w:hAnsi="Calibri"/>
          <w:bCs/>
        </w:rPr>
        <w:t>olar invertases, in CRISPR</w:t>
      </w:r>
      <w:r>
        <w:rPr>
          <w:rFonts w:ascii="Calibri" w:hAnsi="Calibri"/>
          <w:bCs/>
        </w:rPr>
        <w:t xml:space="preserve">- Cas this was more effective and without the obligatory need to express the RNAi construct in commercial plants, in perpetuity. </w:t>
      </w:r>
      <w:r w:rsidR="00476F8C" w:rsidRPr="00D124B4">
        <w:rPr>
          <w:rFonts w:ascii="Calibri" w:hAnsi="Calibri"/>
        </w:rPr>
        <w:t xml:space="preserve">In the past </w:t>
      </w:r>
      <w:r w:rsidR="00C44328">
        <w:rPr>
          <w:rFonts w:ascii="Calibri" w:hAnsi="Calibri"/>
        </w:rPr>
        <w:t xml:space="preserve">the use of </w:t>
      </w:r>
      <w:r w:rsidR="00476F8C" w:rsidRPr="00D124B4">
        <w:rPr>
          <w:rFonts w:ascii="Calibri" w:hAnsi="Calibri"/>
        </w:rPr>
        <w:t>such new technologies have lagged behind in trees by years and often decades</w:t>
      </w:r>
      <w:r w:rsidR="00C44328">
        <w:rPr>
          <w:rFonts w:ascii="Calibri" w:hAnsi="Calibri"/>
        </w:rPr>
        <w:t xml:space="preserve">. However, </w:t>
      </w:r>
      <w:r w:rsidR="00476F8C">
        <w:rPr>
          <w:rFonts w:ascii="Calibri" w:hAnsi="Calibri"/>
          <w:bCs/>
        </w:rPr>
        <w:t>w</w:t>
      </w:r>
      <w:r w:rsidR="00476F8C" w:rsidRPr="00E62293">
        <w:rPr>
          <w:rFonts w:ascii="Calibri" w:hAnsi="Calibri"/>
          <w:bCs/>
        </w:rPr>
        <w:t xml:space="preserve">ith staggering speed, </w:t>
      </w:r>
      <w:r w:rsidR="00476F8C">
        <w:rPr>
          <w:rFonts w:ascii="Calibri" w:hAnsi="Calibri"/>
          <w:bCs/>
        </w:rPr>
        <w:t>and</w:t>
      </w:r>
      <w:r w:rsidR="00476F8C" w:rsidRPr="00E62293">
        <w:rPr>
          <w:rFonts w:ascii="Calibri" w:hAnsi="Calibri"/>
          <w:bCs/>
        </w:rPr>
        <w:t xml:space="preserve"> </w:t>
      </w:r>
      <w:r w:rsidR="00476F8C" w:rsidRPr="00D124B4">
        <w:rPr>
          <w:rFonts w:ascii="Calibri" w:hAnsi="Calibri"/>
        </w:rPr>
        <w:t>only 2 years after the first plant experiment, two separate reports for</w:t>
      </w:r>
      <w:r w:rsidR="00476F8C">
        <w:rPr>
          <w:rFonts w:ascii="Calibri" w:hAnsi="Calibri"/>
        </w:rPr>
        <w:t xml:space="preserve"> bioenergy</w:t>
      </w:r>
      <w:r w:rsidR="00476F8C" w:rsidRPr="00D124B4">
        <w:rPr>
          <w:rFonts w:ascii="Calibri" w:hAnsi="Calibri"/>
        </w:rPr>
        <w:t xml:space="preserve"> </w:t>
      </w:r>
      <w:r w:rsidR="00476F8C" w:rsidRPr="00D124B4">
        <w:rPr>
          <w:rFonts w:ascii="Calibri" w:hAnsi="Calibri"/>
          <w:i/>
        </w:rPr>
        <w:t>Populus</w:t>
      </w:r>
      <w:r w:rsidR="00476F8C" w:rsidRPr="00D124B4">
        <w:rPr>
          <w:rFonts w:ascii="Calibri" w:hAnsi="Calibri"/>
        </w:rPr>
        <w:t xml:space="preserve"> were made in 2015, spanning different species of the </w:t>
      </w:r>
      <w:r w:rsidR="00476F8C" w:rsidRPr="00D124B4">
        <w:rPr>
          <w:rFonts w:ascii="Calibri" w:hAnsi="Calibri"/>
          <w:i/>
        </w:rPr>
        <w:t>Populus</w:t>
      </w:r>
      <w:r w:rsidR="0047201C">
        <w:rPr>
          <w:rFonts w:ascii="Calibri" w:hAnsi="Calibri"/>
        </w:rPr>
        <w:t xml:space="preserve"> genus (</w:t>
      </w:r>
      <w:r w:rsidR="0047201C">
        <w:t>Tsai</w:t>
      </w:r>
      <w:r w:rsidR="0047201C" w:rsidRPr="0047201C">
        <w:t xml:space="preserve"> and </w:t>
      </w:r>
      <w:r w:rsidR="0047201C">
        <w:t>Xue</w:t>
      </w:r>
      <w:r w:rsidR="0047201C" w:rsidRPr="0047201C">
        <w:t>, 2015;</w:t>
      </w:r>
      <w:r w:rsidR="0047201C">
        <w:t xml:space="preserve"> Fan et al., 2015)</w:t>
      </w:r>
      <w:r w:rsidR="00476F8C" w:rsidRPr="00D124B4">
        <w:rPr>
          <w:rFonts w:ascii="Calibri" w:hAnsi="Calibri"/>
        </w:rPr>
        <w:t xml:space="preserve">. </w:t>
      </w:r>
      <w:r w:rsidR="00863BE9">
        <w:rPr>
          <w:rFonts w:ascii="Calibri" w:hAnsi="Calibri"/>
        </w:rPr>
        <w:t xml:space="preserve">Many targets are already available that could potentially improve drought tolerance using a </w:t>
      </w:r>
      <w:r w:rsidR="006F5B65">
        <w:rPr>
          <w:rFonts w:ascii="Calibri" w:hAnsi="Calibri"/>
        </w:rPr>
        <w:t xml:space="preserve">gene editing </w:t>
      </w:r>
      <w:r w:rsidR="00863BE9">
        <w:rPr>
          <w:rFonts w:ascii="Calibri" w:hAnsi="Calibri"/>
        </w:rPr>
        <w:t>approach including genes coding for ABA recept</w:t>
      </w:r>
      <w:r w:rsidR="00470C06">
        <w:rPr>
          <w:rFonts w:ascii="Calibri" w:hAnsi="Calibri"/>
        </w:rPr>
        <w:t>or proteins and a drought response gene from sugar cane (Bagcy et al., 2019)</w:t>
      </w:r>
    </w:p>
    <w:p w14:paraId="4D551EB9" w14:textId="67925A6D" w:rsidR="00513245" w:rsidRDefault="00E26AA5" w:rsidP="00BE6785">
      <w:pPr>
        <w:spacing w:line="360" w:lineRule="auto"/>
        <w:jc w:val="both"/>
        <w:rPr>
          <w:rFonts w:ascii="Calibri" w:hAnsi="Calibri"/>
          <w:bCs/>
        </w:rPr>
      </w:pPr>
      <w:r>
        <w:rPr>
          <w:rFonts w:ascii="Calibri" w:hAnsi="Calibri"/>
          <w:bCs/>
        </w:rPr>
        <w:t xml:space="preserve">At the same time, yield and resilience </w:t>
      </w:r>
      <w:r w:rsidR="003558C1">
        <w:rPr>
          <w:rFonts w:ascii="Calibri" w:hAnsi="Calibri"/>
          <w:bCs/>
        </w:rPr>
        <w:t xml:space="preserve">to climatic stress </w:t>
      </w:r>
      <w:r>
        <w:rPr>
          <w:rFonts w:ascii="Calibri" w:hAnsi="Calibri"/>
          <w:bCs/>
        </w:rPr>
        <w:t>are complex phenotypes,</w:t>
      </w:r>
      <w:r w:rsidR="00EE7F9D">
        <w:rPr>
          <w:rFonts w:ascii="Calibri" w:hAnsi="Calibri"/>
          <w:bCs/>
        </w:rPr>
        <w:t xml:space="preserve"> as described above,</w:t>
      </w:r>
      <w:r>
        <w:rPr>
          <w:rFonts w:ascii="Calibri" w:hAnsi="Calibri"/>
          <w:bCs/>
        </w:rPr>
        <w:t xml:space="preserve"> that may often be difficult to resolve at the level of </w:t>
      </w:r>
      <w:r w:rsidR="006F5B65">
        <w:rPr>
          <w:rFonts w:ascii="Calibri" w:hAnsi="Calibri"/>
          <w:bCs/>
        </w:rPr>
        <w:t xml:space="preserve">a </w:t>
      </w:r>
      <w:r>
        <w:rPr>
          <w:rFonts w:ascii="Calibri" w:hAnsi="Calibri"/>
          <w:bCs/>
        </w:rPr>
        <w:t xml:space="preserve">single gene and as such, other approaches are required to determine stacks of underpinning candidate genes for gene </w:t>
      </w:r>
      <w:r w:rsidRPr="00E62293">
        <w:rPr>
          <w:rFonts w:ascii="Calibri" w:hAnsi="Calibri"/>
          <w:bCs/>
        </w:rPr>
        <w:t xml:space="preserve">editing. </w:t>
      </w:r>
      <w:r>
        <w:rPr>
          <w:rFonts w:ascii="Calibri" w:hAnsi="Calibri"/>
          <w:bCs/>
        </w:rPr>
        <w:t xml:space="preserve">Genome- wide association </w:t>
      </w:r>
      <w:r w:rsidR="006F5B65">
        <w:rPr>
          <w:rFonts w:ascii="Calibri" w:hAnsi="Calibri"/>
          <w:bCs/>
        </w:rPr>
        <w:t>mapping</w:t>
      </w:r>
      <w:r>
        <w:rPr>
          <w:rFonts w:ascii="Calibri" w:hAnsi="Calibri"/>
          <w:bCs/>
        </w:rPr>
        <w:t xml:space="preserve"> provides the toolkit to develop such approaches and enables significant associations between complex traits and underlying genetic variation to be </w:t>
      </w:r>
      <w:r w:rsidR="003558C1">
        <w:rPr>
          <w:rFonts w:ascii="Calibri" w:hAnsi="Calibri"/>
          <w:bCs/>
        </w:rPr>
        <w:t>identified</w:t>
      </w:r>
      <w:r>
        <w:rPr>
          <w:rFonts w:ascii="Calibri" w:hAnsi="Calibri"/>
          <w:bCs/>
        </w:rPr>
        <w:t xml:space="preserve">. Although </w:t>
      </w:r>
      <w:r w:rsidR="00EE7F9D">
        <w:rPr>
          <w:rFonts w:ascii="Calibri" w:hAnsi="Calibri"/>
          <w:bCs/>
        </w:rPr>
        <w:t xml:space="preserve">useful </w:t>
      </w:r>
      <w:r w:rsidRPr="00E62293">
        <w:rPr>
          <w:rFonts w:ascii="Calibri" w:hAnsi="Calibri"/>
          <w:bCs/>
        </w:rPr>
        <w:t>in</w:t>
      </w:r>
      <w:r w:rsidR="009B61C6">
        <w:rPr>
          <w:rFonts w:ascii="Calibri" w:hAnsi="Calibri"/>
          <w:bCs/>
        </w:rPr>
        <w:t xml:space="preserve"> understanding the genetic basis of </w:t>
      </w:r>
      <w:r>
        <w:rPr>
          <w:rFonts w:ascii="Calibri" w:hAnsi="Calibri"/>
          <w:bCs/>
        </w:rPr>
        <w:t>traits</w:t>
      </w:r>
      <w:r w:rsidR="00F1606B">
        <w:rPr>
          <w:rFonts w:ascii="Calibri" w:hAnsi="Calibri"/>
          <w:bCs/>
        </w:rPr>
        <w:t xml:space="preserve"> including in bioenergy crops (Lopez-Alverez et al., 2017; Porth et al., 201</w:t>
      </w:r>
      <w:r w:rsidR="00F87D85">
        <w:rPr>
          <w:rFonts w:ascii="Calibri" w:hAnsi="Calibri"/>
          <w:bCs/>
        </w:rPr>
        <w:t>3</w:t>
      </w:r>
      <w:r w:rsidR="00F1606B">
        <w:rPr>
          <w:rFonts w:ascii="Calibri" w:hAnsi="Calibri"/>
          <w:bCs/>
        </w:rPr>
        <w:t>) and staple food crops</w:t>
      </w:r>
      <w:r>
        <w:rPr>
          <w:rFonts w:ascii="Calibri" w:hAnsi="Calibri"/>
          <w:bCs/>
        </w:rPr>
        <w:t>,</w:t>
      </w:r>
      <w:r w:rsidR="00F1606B">
        <w:rPr>
          <w:rFonts w:ascii="Calibri" w:hAnsi="Calibri"/>
          <w:bCs/>
        </w:rPr>
        <w:t xml:space="preserve"> such as wheat (Rasheed et al., 2018), </w:t>
      </w:r>
      <w:r>
        <w:rPr>
          <w:rFonts w:ascii="Calibri" w:hAnsi="Calibri"/>
          <w:bCs/>
        </w:rPr>
        <w:t xml:space="preserve"> GWAS has been of limited value to breeding</w:t>
      </w:r>
      <w:r w:rsidR="00513245">
        <w:rPr>
          <w:rFonts w:ascii="Calibri" w:hAnsi="Calibri"/>
          <w:bCs/>
        </w:rPr>
        <w:t xml:space="preserve"> pipeline</w:t>
      </w:r>
      <w:r w:rsidR="006F5B65">
        <w:rPr>
          <w:rFonts w:ascii="Calibri" w:hAnsi="Calibri"/>
          <w:bCs/>
        </w:rPr>
        <w:t>s</w:t>
      </w:r>
      <w:r>
        <w:rPr>
          <w:rFonts w:ascii="Calibri" w:hAnsi="Calibri"/>
          <w:bCs/>
        </w:rPr>
        <w:t xml:space="preserve"> or Marker Assisted Selection</w:t>
      </w:r>
      <w:r w:rsidR="006F5B65">
        <w:rPr>
          <w:rFonts w:ascii="Calibri" w:hAnsi="Calibri"/>
          <w:bCs/>
        </w:rPr>
        <w:t xml:space="preserve"> (</w:t>
      </w:r>
      <w:r>
        <w:rPr>
          <w:rFonts w:ascii="Calibri" w:hAnsi="Calibri"/>
          <w:bCs/>
        </w:rPr>
        <w:t>MAS</w:t>
      </w:r>
      <w:r w:rsidR="006F5B65">
        <w:rPr>
          <w:rFonts w:ascii="Calibri" w:hAnsi="Calibri"/>
          <w:bCs/>
        </w:rPr>
        <w:t>)</w:t>
      </w:r>
      <w:r w:rsidR="00CF6958">
        <w:rPr>
          <w:rFonts w:ascii="Calibri" w:hAnsi="Calibri"/>
          <w:bCs/>
        </w:rPr>
        <w:t xml:space="preserve"> (Janninck et al, 2010)</w:t>
      </w:r>
      <w:r w:rsidR="00513245">
        <w:rPr>
          <w:rFonts w:ascii="Calibri" w:hAnsi="Calibri"/>
          <w:bCs/>
        </w:rPr>
        <w:t>. However, a</w:t>
      </w:r>
      <w:r w:rsidRPr="00E62293">
        <w:rPr>
          <w:rFonts w:ascii="Calibri" w:hAnsi="Calibri"/>
          <w:bCs/>
        </w:rPr>
        <w:t xml:space="preserve"> paradigm-shift has</w:t>
      </w:r>
      <w:r w:rsidR="00513245">
        <w:rPr>
          <w:rFonts w:ascii="Calibri" w:hAnsi="Calibri"/>
          <w:bCs/>
        </w:rPr>
        <w:t xml:space="preserve"> </w:t>
      </w:r>
      <w:r w:rsidR="003558C1">
        <w:rPr>
          <w:rFonts w:ascii="Calibri" w:hAnsi="Calibri"/>
          <w:bCs/>
        </w:rPr>
        <w:t>occured</w:t>
      </w:r>
      <w:r w:rsidRPr="00E62293">
        <w:rPr>
          <w:rFonts w:ascii="Calibri" w:hAnsi="Calibri"/>
          <w:bCs/>
        </w:rPr>
        <w:t xml:space="preserve"> in the last few years by the introduction of Genomic Selection (GS)</w:t>
      </w:r>
      <w:r w:rsidR="00F1606B">
        <w:rPr>
          <w:rFonts w:ascii="Calibri" w:hAnsi="Calibri"/>
          <w:bCs/>
        </w:rPr>
        <w:t>. R</w:t>
      </w:r>
      <w:r w:rsidRPr="00E62293">
        <w:rPr>
          <w:rFonts w:ascii="Calibri" w:hAnsi="Calibri"/>
          <w:bCs/>
        </w:rPr>
        <w:t xml:space="preserve">ather than seeking to identify </w:t>
      </w:r>
      <w:r w:rsidR="00513245">
        <w:rPr>
          <w:rFonts w:ascii="Calibri" w:hAnsi="Calibri"/>
          <w:bCs/>
        </w:rPr>
        <w:t xml:space="preserve">single </w:t>
      </w:r>
      <w:r w:rsidR="00513245" w:rsidRPr="00CF6958">
        <w:rPr>
          <w:rFonts w:ascii="Calibri" w:hAnsi="Calibri"/>
          <w:bCs/>
        </w:rPr>
        <w:t>markers associated with</w:t>
      </w:r>
      <w:r w:rsidR="00F1606B">
        <w:rPr>
          <w:rFonts w:ascii="Calibri" w:hAnsi="Calibri"/>
          <w:bCs/>
        </w:rPr>
        <w:t xml:space="preserve"> </w:t>
      </w:r>
      <w:r w:rsidRPr="00CF6958">
        <w:rPr>
          <w:rFonts w:ascii="Calibri" w:hAnsi="Calibri"/>
          <w:bCs/>
        </w:rPr>
        <w:t>trait</w:t>
      </w:r>
      <w:r w:rsidR="00513245" w:rsidRPr="00CF6958">
        <w:rPr>
          <w:rFonts w:ascii="Calibri" w:hAnsi="Calibri"/>
          <w:bCs/>
        </w:rPr>
        <w:t>s of interest</w:t>
      </w:r>
      <w:r w:rsidRPr="00CF6958">
        <w:rPr>
          <w:rFonts w:ascii="Calibri" w:hAnsi="Calibri"/>
          <w:bCs/>
        </w:rPr>
        <w:t xml:space="preserve">, </w:t>
      </w:r>
      <w:r w:rsidR="00F1606B">
        <w:rPr>
          <w:rFonts w:ascii="Calibri" w:hAnsi="Calibri"/>
          <w:bCs/>
        </w:rPr>
        <w:t xml:space="preserve">GS </w:t>
      </w:r>
      <w:r w:rsidRPr="00CF6958">
        <w:rPr>
          <w:rFonts w:ascii="Calibri" w:hAnsi="Calibri"/>
          <w:bCs/>
        </w:rPr>
        <w:t xml:space="preserve">uses all marker data to predict the trait in a test population, providing </w:t>
      </w:r>
      <w:r w:rsidR="00513245" w:rsidRPr="00CF6958">
        <w:rPr>
          <w:rFonts w:ascii="Calibri" w:hAnsi="Calibri"/>
          <w:bCs/>
        </w:rPr>
        <w:t xml:space="preserve">a </w:t>
      </w:r>
      <w:r w:rsidRPr="00CF6958">
        <w:rPr>
          <w:rFonts w:ascii="Calibri" w:hAnsi="Calibri"/>
          <w:bCs/>
        </w:rPr>
        <w:t>breeding value that can then be tested in a validation population</w:t>
      </w:r>
      <w:r w:rsidR="00EE7F9D" w:rsidRPr="00CF6958">
        <w:rPr>
          <w:rFonts w:ascii="Calibri" w:hAnsi="Calibri"/>
          <w:bCs/>
        </w:rPr>
        <w:t xml:space="preserve">, as described for </w:t>
      </w:r>
      <w:r w:rsidR="00EE7F9D" w:rsidRPr="009401FF">
        <w:rPr>
          <w:rFonts w:ascii="Calibri" w:hAnsi="Calibri"/>
          <w:bCs/>
          <w:i/>
        </w:rPr>
        <w:t>Miscanthus</w:t>
      </w:r>
      <w:r w:rsidR="00EE7F9D" w:rsidRPr="00CF6958">
        <w:rPr>
          <w:rFonts w:ascii="Calibri" w:hAnsi="Calibri"/>
          <w:bCs/>
        </w:rPr>
        <w:t xml:space="preserve"> by </w:t>
      </w:r>
      <w:r w:rsidR="00513245" w:rsidRPr="00CF6958">
        <w:rPr>
          <w:rFonts w:ascii="Calibri" w:hAnsi="Calibri"/>
          <w:bCs/>
        </w:rPr>
        <w:t>S</w:t>
      </w:r>
      <w:r w:rsidR="00EE7F9D" w:rsidRPr="00CF6958">
        <w:rPr>
          <w:rFonts w:ascii="Calibri" w:hAnsi="Calibri"/>
          <w:bCs/>
        </w:rPr>
        <w:t>l</w:t>
      </w:r>
      <w:r w:rsidR="00513245" w:rsidRPr="00CF6958">
        <w:rPr>
          <w:rFonts w:ascii="Calibri" w:hAnsi="Calibri"/>
          <w:bCs/>
        </w:rPr>
        <w:t>a</w:t>
      </w:r>
      <w:r w:rsidR="00CF6958" w:rsidRPr="00CF6958">
        <w:rPr>
          <w:rFonts w:ascii="Calibri" w:hAnsi="Calibri"/>
          <w:bCs/>
        </w:rPr>
        <w:t>vov et al., (2019)</w:t>
      </w:r>
      <w:r w:rsidR="00513245" w:rsidRPr="00CF6958">
        <w:rPr>
          <w:rFonts w:ascii="Calibri" w:hAnsi="Calibri"/>
          <w:bCs/>
        </w:rPr>
        <w:t xml:space="preserve">. </w:t>
      </w:r>
      <w:r w:rsidRPr="00CF6958">
        <w:rPr>
          <w:rFonts w:ascii="Calibri" w:hAnsi="Calibri"/>
          <w:bCs/>
        </w:rPr>
        <w:t>This</w:t>
      </w:r>
      <w:r w:rsidRPr="00E62293">
        <w:rPr>
          <w:rFonts w:ascii="Calibri" w:hAnsi="Calibri"/>
          <w:bCs/>
        </w:rPr>
        <w:t xml:space="preserve"> </w:t>
      </w:r>
      <w:r w:rsidR="003558C1">
        <w:rPr>
          <w:rFonts w:ascii="Calibri" w:hAnsi="Calibri"/>
          <w:bCs/>
        </w:rPr>
        <w:t>knowledge</w:t>
      </w:r>
      <w:r w:rsidRPr="00E62293">
        <w:rPr>
          <w:rFonts w:ascii="Calibri" w:hAnsi="Calibri"/>
          <w:bCs/>
        </w:rPr>
        <w:t xml:space="preserve"> is now being applied to </w:t>
      </w:r>
      <w:r w:rsidR="006E4053">
        <w:rPr>
          <w:rFonts w:ascii="Calibri" w:hAnsi="Calibri"/>
          <w:bCs/>
        </w:rPr>
        <w:t xml:space="preserve">bioenergy </w:t>
      </w:r>
      <w:r w:rsidRPr="00E62293">
        <w:rPr>
          <w:rFonts w:ascii="Calibri" w:hAnsi="Calibri"/>
          <w:bCs/>
        </w:rPr>
        <w:t>trees</w:t>
      </w:r>
      <w:r w:rsidR="006E4053">
        <w:rPr>
          <w:rFonts w:ascii="Calibri" w:hAnsi="Calibri"/>
          <w:bCs/>
        </w:rPr>
        <w:t xml:space="preserve"> and grasses</w:t>
      </w:r>
      <w:r w:rsidR="00CF6958">
        <w:rPr>
          <w:rFonts w:ascii="Calibri" w:hAnsi="Calibri"/>
          <w:bCs/>
        </w:rPr>
        <w:t xml:space="preserve"> (Resende et al.,  2010)</w:t>
      </w:r>
      <w:r w:rsidRPr="00E62293">
        <w:rPr>
          <w:rFonts w:ascii="Calibri" w:hAnsi="Calibri"/>
          <w:bCs/>
        </w:rPr>
        <w:t xml:space="preserve"> </w:t>
      </w:r>
      <w:r w:rsidR="003558C1">
        <w:rPr>
          <w:rFonts w:ascii="Calibri" w:hAnsi="Calibri"/>
          <w:bCs/>
        </w:rPr>
        <w:t>to</w:t>
      </w:r>
      <w:r w:rsidRPr="00E62293">
        <w:rPr>
          <w:rFonts w:ascii="Calibri" w:hAnsi="Calibri"/>
          <w:bCs/>
        </w:rPr>
        <w:t xml:space="preserve"> overcome some of the innate difficulties of undomesticated tree populations with rapid rates of linkage disequilibrium (LD) decay, halving t</w:t>
      </w:r>
      <w:r w:rsidR="00513245">
        <w:rPr>
          <w:rFonts w:ascii="Calibri" w:hAnsi="Calibri"/>
          <w:bCs/>
        </w:rPr>
        <w:t xml:space="preserve">he time of the breeding cycle. </w:t>
      </w:r>
      <w:r w:rsidR="009854F0">
        <w:rPr>
          <w:rFonts w:ascii="Calibri" w:hAnsi="Calibri"/>
          <w:bCs/>
        </w:rPr>
        <w:t>Using</w:t>
      </w:r>
      <w:r w:rsidR="00513245">
        <w:rPr>
          <w:rFonts w:ascii="Calibri" w:hAnsi="Calibri"/>
          <w:bCs/>
        </w:rPr>
        <w:t xml:space="preserve"> a sophisticated</w:t>
      </w:r>
      <w:r w:rsidR="009854F0">
        <w:rPr>
          <w:rFonts w:ascii="Calibri" w:hAnsi="Calibri"/>
          <w:bCs/>
        </w:rPr>
        <w:t>,</w:t>
      </w:r>
      <w:r w:rsidR="00513245">
        <w:rPr>
          <w:rFonts w:ascii="Calibri" w:hAnsi="Calibri"/>
          <w:bCs/>
        </w:rPr>
        <w:t xml:space="preserve"> approach Slavov et al (2019) show that it is possible to work with multiple breeding targets</w:t>
      </w:r>
      <w:r w:rsidR="009854F0">
        <w:rPr>
          <w:rFonts w:ascii="Calibri" w:hAnsi="Calibri"/>
          <w:bCs/>
        </w:rPr>
        <w:t xml:space="preserve"> using GS</w:t>
      </w:r>
      <w:r w:rsidR="00513245">
        <w:rPr>
          <w:rFonts w:ascii="Calibri" w:hAnsi="Calibri"/>
          <w:bCs/>
        </w:rPr>
        <w:t xml:space="preserve"> in the absence of </w:t>
      </w:r>
      <w:r w:rsidR="00513245">
        <w:rPr>
          <w:rFonts w:ascii="Calibri" w:hAnsi="Calibri"/>
          <w:bCs/>
          <w:i/>
        </w:rPr>
        <w:t xml:space="preserve">a priori </w:t>
      </w:r>
      <w:r w:rsidR="00513245">
        <w:rPr>
          <w:rFonts w:ascii="Calibri" w:hAnsi="Calibri"/>
          <w:bCs/>
        </w:rPr>
        <w:t>knowledge that may enable effective yield intensification in the future, where environmental constraints such as drought are considered. This approach is revolutioniz</w:t>
      </w:r>
      <w:r w:rsidR="00513245" w:rsidRPr="00E62293">
        <w:rPr>
          <w:rFonts w:ascii="Calibri" w:hAnsi="Calibri"/>
          <w:bCs/>
        </w:rPr>
        <w:t>ing animal breeding and from initial results looks to be significantly more accurate for plant systems.</w:t>
      </w:r>
    </w:p>
    <w:p w14:paraId="55887DB1" w14:textId="374A53EE" w:rsidR="00D64078" w:rsidRDefault="00E26AA5" w:rsidP="00BE6785">
      <w:pPr>
        <w:spacing w:line="360" w:lineRule="auto"/>
        <w:jc w:val="both"/>
        <w:rPr>
          <w:rFonts w:ascii="Calibri" w:hAnsi="Calibri"/>
        </w:rPr>
      </w:pPr>
      <w:r w:rsidRPr="00E62293">
        <w:rPr>
          <w:rFonts w:ascii="Calibri" w:hAnsi="Calibri"/>
          <w:bCs/>
        </w:rPr>
        <w:t>GS relies on a high density of molecular markers, accurate phenotypic data and a trai</w:t>
      </w:r>
      <w:r w:rsidR="006F3745">
        <w:rPr>
          <w:rFonts w:ascii="Calibri" w:hAnsi="Calibri"/>
          <w:bCs/>
        </w:rPr>
        <w:t>ning and validation population (Desta et al., 2014)</w:t>
      </w:r>
      <w:r>
        <w:rPr>
          <w:rFonts w:ascii="Calibri" w:hAnsi="Calibri"/>
          <w:bCs/>
        </w:rPr>
        <w:t xml:space="preserve">. </w:t>
      </w:r>
      <w:r w:rsidR="00EE7F9D">
        <w:rPr>
          <w:rFonts w:ascii="Calibri" w:hAnsi="Calibri"/>
          <w:bCs/>
        </w:rPr>
        <w:t xml:space="preserve">Molecular marker development in lignocellulosic crops has </w:t>
      </w:r>
      <w:r w:rsidR="006E4053">
        <w:rPr>
          <w:rFonts w:ascii="Calibri" w:hAnsi="Calibri"/>
          <w:bCs/>
        </w:rPr>
        <w:t xml:space="preserve">often </w:t>
      </w:r>
      <w:r w:rsidR="00EE7F9D">
        <w:rPr>
          <w:rFonts w:ascii="Calibri" w:hAnsi="Calibri"/>
          <w:bCs/>
        </w:rPr>
        <w:t xml:space="preserve">been limited to relatively small panels of </w:t>
      </w:r>
      <w:r w:rsidR="00EE7F9D">
        <w:rPr>
          <w:rFonts w:ascii="Calibri" w:hAnsi="Calibri"/>
        </w:rPr>
        <w:t xml:space="preserve">informative SNPs on </w:t>
      </w:r>
      <w:r w:rsidRPr="001F5E98">
        <w:rPr>
          <w:rFonts w:ascii="Calibri" w:hAnsi="Calibri"/>
        </w:rPr>
        <w:t>small population</w:t>
      </w:r>
      <w:r w:rsidR="00EE7F9D">
        <w:rPr>
          <w:rFonts w:ascii="Calibri" w:hAnsi="Calibri"/>
        </w:rPr>
        <w:t>s</w:t>
      </w:r>
      <w:r w:rsidR="006E4053">
        <w:rPr>
          <w:rFonts w:ascii="Calibri" w:hAnsi="Calibri"/>
        </w:rPr>
        <w:t xml:space="preserve"> of individuals. However, rapid progress is now being made in these genetically diverse and unimproved crops. For example, going back to wild populations of </w:t>
      </w:r>
      <w:r w:rsidR="006E4053">
        <w:rPr>
          <w:rFonts w:ascii="Calibri" w:hAnsi="Calibri"/>
          <w:i/>
        </w:rPr>
        <w:t xml:space="preserve"> Miscanthus sacchariflorus</w:t>
      </w:r>
      <w:r w:rsidR="006F5B65">
        <w:rPr>
          <w:rFonts w:ascii="Calibri" w:hAnsi="Calibri"/>
        </w:rPr>
        <w:t>,</w:t>
      </w:r>
      <w:r w:rsidR="006E4053">
        <w:rPr>
          <w:rFonts w:ascii="Calibri" w:hAnsi="Calibri"/>
        </w:rPr>
        <w:t xml:space="preserve"> which is one of the parents of the commercial hybrid </w:t>
      </w:r>
      <w:r w:rsidR="006E4053" w:rsidRPr="006E4053">
        <w:rPr>
          <w:rFonts w:ascii="Calibri" w:hAnsi="Calibri"/>
          <w:i/>
        </w:rPr>
        <w:t>Miscanthus</w:t>
      </w:r>
      <w:r w:rsidR="006E4053">
        <w:rPr>
          <w:rFonts w:ascii="Calibri" w:hAnsi="Calibri"/>
        </w:rPr>
        <w:t xml:space="preserve">, </w:t>
      </w:r>
      <w:r w:rsidR="006F5B65" w:rsidRPr="006F3745">
        <w:rPr>
          <w:rFonts w:ascii="Calibri" w:hAnsi="Calibri"/>
        </w:rPr>
        <w:t xml:space="preserve">Clark et al </w:t>
      </w:r>
      <w:r w:rsidR="006F5B65">
        <w:rPr>
          <w:rFonts w:ascii="Calibri" w:hAnsi="Calibri"/>
        </w:rPr>
        <w:t>(</w:t>
      </w:r>
      <w:r w:rsidR="006F5B65" w:rsidRPr="006F3745">
        <w:rPr>
          <w:rFonts w:ascii="Calibri" w:hAnsi="Calibri"/>
        </w:rPr>
        <w:t>2019)</w:t>
      </w:r>
      <w:r w:rsidR="006F5B65">
        <w:rPr>
          <w:rFonts w:ascii="Calibri" w:hAnsi="Calibri"/>
        </w:rPr>
        <w:t xml:space="preserve"> </w:t>
      </w:r>
      <w:r w:rsidR="006E4053">
        <w:rPr>
          <w:rFonts w:ascii="Calibri" w:hAnsi="Calibri"/>
        </w:rPr>
        <w:t>ha</w:t>
      </w:r>
      <w:r w:rsidR="006F5B65">
        <w:rPr>
          <w:rFonts w:ascii="Calibri" w:hAnsi="Calibri"/>
        </w:rPr>
        <w:t>ve</w:t>
      </w:r>
      <w:r w:rsidR="006E4053">
        <w:rPr>
          <w:rFonts w:ascii="Calibri" w:hAnsi="Calibri"/>
        </w:rPr>
        <w:t xml:space="preserve"> </w:t>
      </w:r>
      <w:r w:rsidR="00E53E96">
        <w:rPr>
          <w:rFonts w:ascii="Calibri" w:hAnsi="Calibri"/>
        </w:rPr>
        <w:t xml:space="preserve">identified </w:t>
      </w:r>
      <w:r w:rsidR="006E4053">
        <w:rPr>
          <w:rFonts w:ascii="Calibri" w:hAnsi="Calibri"/>
        </w:rPr>
        <w:t xml:space="preserve">over 34,000 SNPs in more than 700 individuals in the </w:t>
      </w:r>
      <w:r w:rsidR="00E53E96">
        <w:rPr>
          <w:rFonts w:ascii="Calibri" w:hAnsi="Calibri"/>
        </w:rPr>
        <w:t>n</w:t>
      </w:r>
      <w:r w:rsidR="006E4053">
        <w:rPr>
          <w:rFonts w:ascii="Calibri" w:hAnsi="Calibri"/>
        </w:rPr>
        <w:t xml:space="preserve">atural population range of this species across </w:t>
      </w:r>
      <w:r w:rsidR="00E53E96">
        <w:rPr>
          <w:rFonts w:ascii="Calibri" w:hAnsi="Calibri"/>
        </w:rPr>
        <w:t>East Asia and ha</w:t>
      </w:r>
      <w:r w:rsidR="006F5B65">
        <w:rPr>
          <w:rFonts w:ascii="Calibri" w:hAnsi="Calibri"/>
        </w:rPr>
        <w:t>ve</w:t>
      </w:r>
      <w:r w:rsidR="00E53E96">
        <w:rPr>
          <w:rFonts w:ascii="Calibri" w:hAnsi="Calibri"/>
        </w:rPr>
        <w:t xml:space="preserve"> also resolved population structure. This has revealed enhanced genetic diversity relative to the other hybrid parent suggesting </w:t>
      </w:r>
      <w:r w:rsidR="00E53E96">
        <w:rPr>
          <w:rFonts w:ascii="Calibri" w:hAnsi="Calibri"/>
          <w:i/>
        </w:rPr>
        <w:t xml:space="preserve">M. sacchariflorus </w:t>
      </w:r>
      <w:r w:rsidR="00E53E96">
        <w:rPr>
          <w:rFonts w:ascii="Calibri" w:hAnsi="Calibri"/>
        </w:rPr>
        <w:t>as an important source of genetic diversity for future breeding efforts.</w:t>
      </w:r>
      <w:r w:rsidR="00A47DC3">
        <w:rPr>
          <w:rFonts w:ascii="Calibri" w:hAnsi="Calibri"/>
        </w:rPr>
        <w:t xml:space="preserve"> Such wild collections also have a value in identifying early leads for breeding, since they are phenotypically diverse when assessed for yield and a recent report of such wild hybrids identified yield enhancement relative to the current commercial hybrid  (</w:t>
      </w:r>
      <w:r w:rsidR="006F3745">
        <w:rPr>
          <w:rFonts w:ascii="Calibri" w:hAnsi="Calibri"/>
        </w:rPr>
        <w:t>Huang et al.</w:t>
      </w:r>
      <w:r w:rsidR="00A47DC3" w:rsidRPr="006F3745">
        <w:rPr>
          <w:rFonts w:ascii="Calibri" w:hAnsi="Calibri"/>
        </w:rPr>
        <w:t>, 2019).</w:t>
      </w:r>
      <w:r w:rsidR="00E53E96">
        <w:rPr>
          <w:rFonts w:ascii="Calibri" w:hAnsi="Calibri"/>
        </w:rPr>
        <w:t xml:space="preserve"> </w:t>
      </w:r>
      <w:r w:rsidR="00513245">
        <w:rPr>
          <w:rFonts w:ascii="Calibri" w:hAnsi="Calibri"/>
        </w:rPr>
        <w:t>G</w:t>
      </w:r>
      <w:r w:rsidR="00A47DC3">
        <w:rPr>
          <w:rFonts w:ascii="Calibri" w:hAnsi="Calibri"/>
        </w:rPr>
        <w:t>enotyping</w:t>
      </w:r>
      <w:r w:rsidR="009854F0">
        <w:rPr>
          <w:rFonts w:ascii="Calibri" w:hAnsi="Calibri"/>
        </w:rPr>
        <w:t>-</w:t>
      </w:r>
      <w:r w:rsidR="00A47DC3">
        <w:rPr>
          <w:rFonts w:ascii="Calibri" w:hAnsi="Calibri"/>
        </w:rPr>
        <w:t>by</w:t>
      </w:r>
      <w:r w:rsidR="009854F0">
        <w:rPr>
          <w:rFonts w:ascii="Calibri" w:hAnsi="Calibri"/>
        </w:rPr>
        <w:t>-</w:t>
      </w:r>
      <w:r w:rsidR="00A47DC3">
        <w:rPr>
          <w:rFonts w:ascii="Calibri" w:hAnsi="Calibri"/>
        </w:rPr>
        <w:t>sequencing</w:t>
      </w:r>
      <w:r w:rsidR="00CF6A56">
        <w:rPr>
          <w:rFonts w:ascii="Calibri" w:hAnsi="Calibri"/>
        </w:rPr>
        <w:t xml:space="preserve"> (GBS) approaches</w:t>
      </w:r>
      <w:r w:rsidR="00A47DC3">
        <w:rPr>
          <w:rFonts w:ascii="Calibri" w:hAnsi="Calibri"/>
        </w:rPr>
        <w:t xml:space="preserve">, as described for </w:t>
      </w:r>
      <w:r w:rsidR="00A47DC3">
        <w:rPr>
          <w:rFonts w:ascii="Calibri" w:hAnsi="Calibri"/>
          <w:i/>
        </w:rPr>
        <w:t xml:space="preserve">Miscanthus </w:t>
      </w:r>
      <w:r w:rsidR="00CF6A56">
        <w:rPr>
          <w:rFonts w:ascii="Calibri" w:hAnsi="Calibri"/>
        </w:rPr>
        <w:t xml:space="preserve"> are</w:t>
      </w:r>
      <w:r w:rsidR="00A47DC3">
        <w:rPr>
          <w:rFonts w:ascii="Calibri" w:hAnsi="Calibri"/>
        </w:rPr>
        <w:t xml:space="preserve"> </w:t>
      </w:r>
      <w:r w:rsidR="00513245">
        <w:rPr>
          <w:rFonts w:ascii="Calibri" w:hAnsi="Calibri"/>
        </w:rPr>
        <w:t xml:space="preserve">rapidly </w:t>
      </w:r>
      <w:r w:rsidR="00A47DC3">
        <w:rPr>
          <w:rFonts w:ascii="Calibri" w:hAnsi="Calibri"/>
        </w:rPr>
        <w:t>providing outstanding resource</w:t>
      </w:r>
      <w:r w:rsidR="00CF6A56">
        <w:rPr>
          <w:rFonts w:ascii="Calibri" w:hAnsi="Calibri"/>
        </w:rPr>
        <w:t>s</w:t>
      </w:r>
      <w:r w:rsidR="00A47DC3">
        <w:rPr>
          <w:rFonts w:ascii="Calibri" w:hAnsi="Calibri"/>
        </w:rPr>
        <w:t xml:space="preserve"> for molecular breeding, including in the less well characterized bioenergy trees, such as shrub willow (</w:t>
      </w:r>
      <w:r w:rsidR="00A47DC3" w:rsidRPr="006F3745">
        <w:rPr>
          <w:rFonts w:ascii="Calibri" w:hAnsi="Calibri"/>
        </w:rPr>
        <w:t>Carlson et al 2019</w:t>
      </w:r>
      <w:r w:rsidR="00A47DC3">
        <w:rPr>
          <w:rFonts w:ascii="Calibri" w:hAnsi="Calibri"/>
        </w:rPr>
        <w:t>)</w:t>
      </w:r>
      <w:r w:rsidR="00CF6A56">
        <w:rPr>
          <w:rFonts w:ascii="Calibri" w:hAnsi="Calibri"/>
        </w:rPr>
        <w:t xml:space="preserve"> and oil crops including Jatropha (</w:t>
      </w:r>
      <w:r w:rsidR="00CF6A56" w:rsidRPr="006F3745">
        <w:rPr>
          <w:rFonts w:ascii="Calibri" w:hAnsi="Calibri"/>
        </w:rPr>
        <w:t>Va</w:t>
      </w:r>
      <w:r w:rsidR="006F3745" w:rsidRPr="006F3745">
        <w:rPr>
          <w:rFonts w:ascii="Calibri" w:hAnsi="Calibri"/>
        </w:rPr>
        <w:t>ndepitte et</w:t>
      </w:r>
      <w:r w:rsidR="00513245" w:rsidRPr="006F3745">
        <w:rPr>
          <w:rFonts w:ascii="Calibri" w:hAnsi="Calibri"/>
        </w:rPr>
        <w:t xml:space="preserve"> al, 2019).</w:t>
      </w:r>
      <w:r w:rsidR="00513245">
        <w:rPr>
          <w:rFonts w:ascii="Calibri" w:hAnsi="Calibri"/>
        </w:rPr>
        <w:t xml:space="preserve"> For shrub willow, </w:t>
      </w:r>
      <w:r w:rsidR="00D64078">
        <w:rPr>
          <w:rFonts w:ascii="Calibri" w:hAnsi="Calibri"/>
        </w:rPr>
        <w:t>GBS has</w:t>
      </w:r>
      <w:r w:rsidR="00CF6A56">
        <w:rPr>
          <w:rFonts w:ascii="Calibri" w:hAnsi="Calibri"/>
        </w:rPr>
        <w:t xml:space="preserve"> provide</w:t>
      </w:r>
      <w:r w:rsidR="009854F0">
        <w:rPr>
          <w:rFonts w:ascii="Calibri" w:hAnsi="Calibri"/>
        </w:rPr>
        <w:t>d</w:t>
      </w:r>
      <w:r w:rsidR="00CF6A56">
        <w:rPr>
          <w:rFonts w:ascii="Calibri" w:hAnsi="Calibri"/>
        </w:rPr>
        <w:t xml:space="preserve"> the first insights into linkage analysis and linkage disequilibrium for this crop,</w:t>
      </w:r>
      <w:r w:rsidR="0086709E">
        <w:rPr>
          <w:rFonts w:ascii="Calibri" w:hAnsi="Calibri"/>
        </w:rPr>
        <w:t xml:space="preserve"> and identified chromosome 5 and 10 as important hotspots for yield-related traits. </w:t>
      </w:r>
      <w:r w:rsidR="007E6C34">
        <w:rPr>
          <w:rFonts w:ascii="Calibri" w:hAnsi="Calibri"/>
        </w:rPr>
        <w:t xml:space="preserve">For </w:t>
      </w:r>
      <w:r w:rsidR="007E6C34">
        <w:rPr>
          <w:rFonts w:ascii="Calibri" w:hAnsi="Calibri"/>
          <w:i/>
        </w:rPr>
        <w:t>Populus</w:t>
      </w:r>
      <w:r w:rsidR="007E6C34">
        <w:rPr>
          <w:rFonts w:ascii="Calibri" w:hAnsi="Calibri"/>
        </w:rPr>
        <w:t xml:space="preserve"> extensive genotyping has been undertaken in a number of wi</w:t>
      </w:r>
      <w:r w:rsidR="006F5B65">
        <w:rPr>
          <w:rFonts w:ascii="Calibri" w:hAnsi="Calibri"/>
        </w:rPr>
        <w:t>l</w:t>
      </w:r>
      <w:r w:rsidR="007E6C34">
        <w:rPr>
          <w:rFonts w:ascii="Calibri" w:hAnsi="Calibri"/>
        </w:rPr>
        <w:t xml:space="preserve">d populations, but particularly in a collection of wild </w:t>
      </w:r>
      <w:r w:rsidR="007E6C34">
        <w:rPr>
          <w:rFonts w:ascii="Calibri" w:hAnsi="Calibri"/>
          <w:i/>
        </w:rPr>
        <w:t>P. trichocarpa</w:t>
      </w:r>
      <w:r w:rsidR="007E6C34">
        <w:rPr>
          <w:rFonts w:ascii="Calibri" w:hAnsi="Calibri"/>
        </w:rPr>
        <w:t xml:space="preserve"> from the western USA that has been effectively used to unravel the genomic basis of stress tolerance and bioenergy wood chemistry traits (Muchero et al., 2018; Porth et al., 2013; Evans et al., 2014)</w:t>
      </w:r>
      <w:r w:rsidR="00BE6785">
        <w:rPr>
          <w:rFonts w:ascii="Calibri" w:hAnsi="Calibri"/>
        </w:rPr>
        <w:t>. E</w:t>
      </w:r>
      <w:r w:rsidR="008A706A">
        <w:rPr>
          <w:rFonts w:ascii="Calibri" w:hAnsi="Calibri"/>
        </w:rPr>
        <w:t>ven for forest trees, where secondary cell wall biosynthesis is complex and differen</w:t>
      </w:r>
      <w:r w:rsidR="006F5B65">
        <w:rPr>
          <w:rFonts w:ascii="Calibri" w:hAnsi="Calibri"/>
        </w:rPr>
        <w:t>t</w:t>
      </w:r>
      <w:r w:rsidR="008A706A">
        <w:rPr>
          <w:rFonts w:ascii="Calibri" w:hAnsi="Calibri"/>
        </w:rPr>
        <w:t xml:space="preserve"> to many monocot crop plants (Meents et al., 2018)</w:t>
      </w:r>
      <w:r w:rsidR="00BE6785">
        <w:rPr>
          <w:rFonts w:ascii="Calibri" w:hAnsi="Calibri"/>
        </w:rPr>
        <w:t>, progress is being made for widescale genotyping</w:t>
      </w:r>
      <w:r w:rsidR="007E6C34">
        <w:rPr>
          <w:rFonts w:ascii="Calibri" w:hAnsi="Calibri"/>
        </w:rPr>
        <w:t xml:space="preserve">.  </w:t>
      </w:r>
      <w:r w:rsidR="0086709E">
        <w:rPr>
          <w:rFonts w:ascii="Calibri" w:hAnsi="Calibri"/>
        </w:rPr>
        <w:t>Despite this progress,</w:t>
      </w:r>
      <w:r w:rsidR="00BE6785">
        <w:rPr>
          <w:rFonts w:ascii="Calibri" w:hAnsi="Calibri"/>
        </w:rPr>
        <w:t xml:space="preserve"> however,</w:t>
      </w:r>
      <w:r w:rsidR="00D64078">
        <w:rPr>
          <w:rFonts w:ascii="Calibri" w:hAnsi="Calibri"/>
        </w:rPr>
        <w:t xml:space="preserve"> </w:t>
      </w:r>
      <w:r w:rsidR="00CF6A56">
        <w:rPr>
          <w:rFonts w:ascii="Calibri" w:hAnsi="Calibri"/>
        </w:rPr>
        <w:t>GBS</w:t>
      </w:r>
      <w:r w:rsidR="008A706A">
        <w:rPr>
          <w:rFonts w:ascii="Calibri" w:hAnsi="Calibri"/>
        </w:rPr>
        <w:t xml:space="preserve"> </w:t>
      </w:r>
      <w:r w:rsidR="00CF6A56">
        <w:rPr>
          <w:rFonts w:ascii="Calibri" w:hAnsi="Calibri"/>
        </w:rPr>
        <w:t>still remains costly</w:t>
      </w:r>
      <w:r w:rsidR="007E6C34">
        <w:rPr>
          <w:rFonts w:ascii="Calibri" w:hAnsi="Calibri"/>
        </w:rPr>
        <w:t xml:space="preserve"> and this may limit progress</w:t>
      </w:r>
      <w:r w:rsidR="00CF6A56">
        <w:rPr>
          <w:rFonts w:ascii="Calibri" w:hAnsi="Calibri"/>
        </w:rPr>
        <w:t>. In a n</w:t>
      </w:r>
      <w:r w:rsidR="00A47DC3">
        <w:rPr>
          <w:rFonts w:ascii="Calibri" w:hAnsi="Calibri"/>
        </w:rPr>
        <w:t xml:space="preserve">ovel </w:t>
      </w:r>
      <w:r w:rsidR="009854F0">
        <w:rPr>
          <w:rFonts w:ascii="Calibri" w:hAnsi="Calibri"/>
        </w:rPr>
        <w:t>g</w:t>
      </w:r>
      <w:r w:rsidRPr="001F5E98">
        <w:rPr>
          <w:rFonts w:ascii="Calibri" w:hAnsi="Calibri"/>
        </w:rPr>
        <w:t>enotyping</w:t>
      </w:r>
      <w:r w:rsidR="009854F0">
        <w:rPr>
          <w:rFonts w:ascii="Calibri" w:hAnsi="Calibri"/>
        </w:rPr>
        <w:t>-</w:t>
      </w:r>
      <w:r w:rsidRPr="001F5E98">
        <w:rPr>
          <w:rFonts w:ascii="Calibri" w:hAnsi="Calibri"/>
        </w:rPr>
        <w:t xml:space="preserve">by </w:t>
      </w:r>
      <w:r w:rsidR="009854F0">
        <w:rPr>
          <w:rFonts w:ascii="Calibri" w:hAnsi="Calibri"/>
        </w:rPr>
        <w:t>-s</w:t>
      </w:r>
      <w:r w:rsidRPr="001F5E98">
        <w:rPr>
          <w:rFonts w:ascii="Calibri" w:hAnsi="Calibri"/>
        </w:rPr>
        <w:t>equencing (GBS) app</w:t>
      </w:r>
      <w:r w:rsidR="00CF6A56">
        <w:rPr>
          <w:rFonts w:ascii="Calibri" w:hAnsi="Calibri"/>
        </w:rPr>
        <w:t>roach</w:t>
      </w:r>
      <w:r w:rsidR="00D64078">
        <w:rPr>
          <w:rFonts w:ascii="Calibri" w:hAnsi="Calibri"/>
        </w:rPr>
        <w:t xml:space="preserve"> that addresses the efficient and effective deployment of markers, in</w:t>
      </w:r>
      <w:r w:rsidRPr="001F5E98">
        <w:rPr>
          <w:rFonts w:ascii="Calibri" w:hAnsi="Calibri"/>
        </w:rPr>
        <w:t xml:space="preserve"> </w:t>
      </w:r>
      <w:r w:rsidRPr="001F5E98">
        <w:rPr>
          <w:rFonts w:ascii="Calibri" w:hAnsi="Calibri"/>
          <w:i/>
          <w:iCs/>
        </w:rPr>
        <w:t>P. nigra</w:t>
      </w:r>
      <w:r w:rsidR="00D64078">
        <w:rPr>
          <w:rFonts w:ascii="Calibri" w:hAnsi="Calibri"/>
          <w:i/>
          <w:iCs/>
        </w:rPr>
        <w:t xml:space="preserve">, </w:t>
      </w:r>
      <w:r w:rsidRPr="001F5E98">
        <w:rPr>
          <w:rFonts w:ascii="Calibri" w:hAnsi="Calibri"/>
        </w:rPr>
        <w:t xml:space="preserve">Single Primer Enrichment Technology (SPET) </w:t>
      </w:r>
      <w:r w:rsidR="0086709E">
        <w:rPr>
          <w:rFonts w:ascii="Calibri" w:hAnsi="Calibri"/>
        </w:rPr>
        <w:t>was used</w:t>
      </w:r>
      <w:r w:rsidR="007E6C34">
        <w:rPr>
          <w:rFonts w:ascii="Calibri" w:hAnsi="Calibri"/>
        </w:rPr>
        <w:t xml:space="preserve"> for the first time,</w:t>
      </w:r>
      <w:r w:rsidR="0086709E">
        <w:rPr>
          <w:rFonts w:ascii="Calibri" w:hAnsi="Calibri"/>
        </w:rPr>
        <w:t xml:space="preserve"> </w:t>
      </w:r>
      <w:r w:rsidRPr="001F5E98">
        <w:rPr>
          <w:rFonts w:ascii="Calibri" w:hAnsi="Calibri"/>
        </w:rPr>
        <w:t>to target SNPs within each gene</w:t>
      </w:r>
      <w:r w:rsidR="0086709E">
        <w:rPr>
          <w:rFonts w:ascii="Calibri" w:hAnsi="Calibri"/>
        </w:rPr>
        <w:t xml:space="preserve"> model, thus reducing costs and providing a ‘smart’ enrichment technology</w:t>
      </w:r>
      <w:r w:rsidRPr="001F5E98">
        <w:rPr>
          <w:rFonts w:ascii="Calibri" w:hAnsi="Calibri"/>
        </w:rPr>
        <w:t xml:space="preserve">. </w:t>
      </w:r>
      <w:r w:rsidR="000B6492">
        <w:rPr>
          <w:rFonts w:ascii="Calibri" w:hAnsi="Calibri"/>
        </w:rPr>
        <w:t>This provides a significant improvement over random sampling over genomic loci that may contain much redundancy and is inconsistent between laboratories (Scaglione et al., 2019).</w:t>
      </w:r>
    </w:p>
    <w:p w14:paraId="704ACB03" w14:textId="77777777" w:rsidR="00620EA1" w:rsidRDefault="00620EA1" w:rsidP="00BE6785">
      <w:pPr>
        <w:jc w:val="both"/>
        <w:rPr>
          <w:b/>
        </w:rPr>
      </w:pPr>
    </w:p>
    <w:p w14:paraId="005B1885" w14:textId="23A401E9" w:rsidR="008510A7" w:rsidRDefault="00122EDC" w:rsidP="00BE6785">
      <w:pPr>
        <w:jc w:val="both"/>
        <w:rPr>
          <w:b/>
        </w:rPr>
      </w:pPr>
      <w:r>
        <w:rPr>
          <w:b/>
        </w:rPr>
        <w:t>OUTLOOK -</w:t>
      </w:r>
      <w:r w:rsidR="002D7D8D">
        <w:rPr>
          <w:b/>
        </w:rPr>
        <w:t xml:space="preserve"> </w:t>
      </w:r>
      <w:r w:rsidR="008510A7">
        <w:rPr>
          <w:b/>
        </w:rPr>
        <w:t>BIOENERGY FUTURES IN A RESOURCE</w:t>
      </w:r>
      <w:r w:rsidR="009854F0">
        <w:rPr>
          <w:b/>
        </w:rPr>
        <w:t>-</w:t>
      </w:r>
      <w:r w:rsidR="008510A7">
        <w:rPr>
          <w:b/>
        </w:rPr>
        <w:t>CONSTRAINED WORLD</w:t>
      </w:r>
    </w:p>
    <w:p w14:paraId="41C8657B" w14:textId="15EE511B" w:rsidR="00EA7DC6" w:rsidRPr="007E6C34" w:rsidRDefault="00EA7DC6" w:rsidP="00BE6785">
      <w:pPr>
        <w:spacing w:line="360" w:lineRule="auto"/>
        <w:jc w:val="both"/>
      </w:pPr>
      <w:r>
        <w:t>Bioenergy will lead the growth in renewables over the coming decades</w:t>
      </w:r>
      <w:r w:rsidR="009B61C6">
        <w:t>, according to the International Energy Agency renewables report, 2018</w:t>
      </w:r>
      <w:r>
        <w:t xml:space="preserve"> and will continue to make the largest contribution, globally to renewable energy, significantly through generation of heat and as a transport fuel and increasingly as part of the circular bioeconomy. Added to this, as BECCS technologies mature and are </w:t>
      </w:r>
      <w:r w:rsidR="0079385A">
        <w:t xml:space="preserve">more </w:t>
      </w:r>
      <w:r>
        <w:t>widely deployed, bioenergy will also play a key role in the move towards net zero or negative CO</w:t>
      </w:r>
      <w:r>
        <w:rPr>
          <w:vertAlign w:val="subscript"/>
        </w:rPr>
        <w:t>2</w:t>
      </w:r>
      <w:r>
        <w:t xml:space="preserve"> emissions that will enable </w:t>
      </w:r>
      <w:r w:rsidR="0079385A">
        <w:t xml:space="preserve">the </w:t>
      </w:r>
      <w:r>
        <w:t xml:space="preserve">global temperature rise to be held </w:t>
      </w:r>
      <w:r w:rsidR="0079385A">
        <w:t xml:space="preserve">below </w:t>
      </w:r>
      <w:r>
        <w:t xml:space="preserve"> 2.0 </w:t>
      </w:r>
      <w:r>
        <w:rPr>
          <w:rFonts w:cstheme="minorHAnsi"/>
        </w:rPr>
        <w:t>◦</w:t>
      </w:r>
      <w:r>
        <w:t xml:space="preserve">C. Thus, bioenergy </w:t>
      </w:r>
      <w:r w:rsidR="00FA634D">
        <w:t xml:space="preserve">will be increasingly required for the </w:t>
      </w:r>
      <w:r>
        <w:t>emerging low carbon economy and society. At the same time, sustainable second generation, non-food, lignocellulosic crops that are key to these bioenergy development</w:t>
      </w:r>
      <w:r w:rsidR="000C76C5">
        <w:t>s</w:t>
      </w:r>
      <w:r>
        <w:t xml:space="preserve"> remain largely under-developed with limited breeding and selection. Their perenni</w:t>
      </w:r>
      <w:r w:rsidR="00FA634D">
        <w:t xml:space="preserve">ality, long breeding cycles, </w:t>
      </w:r>
      <w:r>
        <w:t>wide and heterogeneous germplasm</w:t>
      </w:r>
      <w:r w:rsidR="000C76C5">
        <w:t xml:space="preserve"> and untapped genomic resources, until recently have presented a bottleneck.  However, as th</w:t>
      </w:r>
      <w:r w:rsidR="00FA634D">
        <w:t xml:space="preserve">is review reports, the utilization of emerging DNA technologies is providing a step-change in discovery and accelerating our understanding of complex drought tolerance traits and their links to underlying genes and suites of molecular markers that can be used to underpin an array of genomic approaches for breeding and improvement. At the same time, </w:t>
      </w:r>
      <w:r w:rsidR="007E6C34">
        <w:t xml:space="preserve">although </w:t>
      </w:r>
      <w:r w:rsidR="00FA634D">
        <w:t>phenotyping remains a bottleneck</w:t>
      </w:r>
      <w:r w:rsidR="000E1DFA">
        <w:t xml:space="preserve"> </w:t>
      </w:r>
      <w:r w:rsidR="00FA634D">
        <w:t>that is now limiting how these genomi</w:t>
      </w:r>
      <w:r w:rsidR="007E6C34">
        <w:t>c technologies can be deployed</w:t>
      </w:r>
      <w:r w:rsidR="000E1DFA">
        <w:t xml:space="preserve"> (Tardieu et al., 2017)</w:t>
      </w:r>
      <w:r w:rsidR="007E6C34">
        <w:t xml:space="preserve">, </w:t>
      </w:r>
      <w:r w:rsidR="00FA634D">
        <w:t xml:space="preserve">the research </w:t>
      </w:r>
      <w:r w:rsidR="0079385A">
        <w:t>reported</w:t>
      </w:r>
      <w:r w:rsidR="00FA634D">
        <w:t xml:space="preserve"> here provides a clear insight into the ideotypes for drought tolerance </w:t>
      </w:r>
      <w:r w:rsidR="007E6C34">
        <w:t xml:space="preserve">that should be targeted </w:t>
      </w:r>
      <w:r w:rsidR="008A706A">
        <w:t xml:space="preserve">using </w:t>
      </w:r>
      <w:r w:rsidR="007E6C34">
        <w:t>molecular breeding approaches and modelling frameworks to ensure success over the coming decades. Alongside this, genome editing has already be</w:t>
      </w:r>
      <w:r w:rsidR="008A706A">
        <w:t>en</w:t>
      </w:r>
      <w:r w:rsidR="007E6C34">
        <w:t xml:space="preserve"> demonstrated in bioenergy </w:t>
      </w:r>
      <w:r w:rsidR="007E6C34">
        <w:rPr>
          <w:i/>
        </w:rPr>
        <w:t>Populus</w:t>
      </w:r>
      <w:r w:rsidR="007E6C34">
        <w:t xml:space="preserve"> trees and provides a significant opportunity to develop future bioenergy crops that can tolerate droughted environments without incurring a yield penalty.</w:t>
      </w:r>
    </w:p>
    <w:p w14:paraId="3FE9FE3F" w14:textId="77777777" w:rsidR="00BF002C" w:rsidRDefault="00BF002C" w:rsidP="00BE6785">
      <w:pPr>
        <w:jc w:val="both"/>
        <w:rPr>
          <w:b/>
        </w:rPr>
      </w:pPr>
    </w:p>
    <w:p w14:paraId="0ECB8198" w14:textId="77777777" w:rsidR="00082879" w:rsidRDefault="00082879" w:rsidP="00BE6785">
      <w:pPr>
        <w:spacing w:line="360" w:lineRule="auto"/>
        <w:jc w:val="both"/>
        <w:rPr>
          <w:b/>
        </w:rPr>
      </w:pPr>
      <w:r>
        <w:rPr>
          <w:b/>
        </w:rPr>
        <w:t>ACKNOWLEDGEMENTS</w:t>
      </w:r>
    </w:p>
    <w:p w14:paraId="30375B5E" w14:textId="3C54F9BE" w:rsidR="00082879" w:rsidRDefault="00082879" w:rsidP="00BE6785">
      <w:pPr>
        <w:spacing w:line="360" w:lineRule="auto"/>
        <w:jc w:val="both"/>
      </w:pPr>
      <w:r>
        <w:t xml:space="preserve">We thank the reviewers of papers in this Special Issue, alongside those authors who contributed articles, who all gave their time and commitment to this collection of papers. Special thanks to Trude </w:t>
      </w:r>
      <w:r w:rsidR="00EA7DC6">
        <w:t>S</w:t>
      </w:r>
      <w:r>
        <w:t>chwarzacher, Pet Heslop-Harrison and Catherine Hyland for supporting us in all aspects of developing t</w:t>
      </w:r>
      <w:r w:rsidR="00CC51D6">
        <w:t>his special issue. This article</w:t>
      </w:r>
      <w:r>
        <w:t xml:space="preserve"> was conceived and written during the project</w:t>
      </w:r>
      <w:r w:rsidR="008510A7">
        <w:t xml:space="preserve"> WATBIO, that was funded from the</w:t>
      </w:r>
      <w:r w:rsidR="009B61C6">
        <w:t xml:space="preserve"> European Community</w:t>
      </w:r>
      <w:r w:rsidR="008510A7">
        <w:t xml:space="preserve"> Seventh Framework</w:t>
      </w:r>
      <w:r w:rsidR="009B61C6">
        <w:t xml:space="preserve"> Programme</w:t>
      </w:r>
      <w:r w:rsidR="008510A7">
        <w:t xml:space="preserve"> For Research</w:t>
      </w:r>
      <w:r w:rsidR="009B61C6">
        <w:t xml:space="preserve"> (FP7/2007-2013) under the grant agreement, </w:t>
      </w:r>
      <w:r w:rsidR="008510A7">
        <w:t xml:space="preserve"> </w:t>
      </w:r>
      <w:r w:rsidR="008510A7" w:rsidRPr="008510A7">
        <w:t>FP7-311922</w:t>
      </w:r>
      <w:r w:rsidR="009B61C6">
        <w:t>, www.watbio.eu.</w:t>
      </w:r>
    </w:p>
    <w:p w14:paraId="56B8F2FF" w14:textId="77777777" w:rsidR="008510A7" w:rsidRDefault="008510A7" w:rsidP="00BE6785">
      <w:pPr>
        <w:jc w:val="both"/>
        <w:rPr>
          <w:b/>
        </w:rPr>
      </w:pPr>
      <w:r w:rsidRPr="008510A7">
        <w:rPr>
          <w:b/>
        </w:rPr>
        <w:t>LITERATURE CITED</w:t>
      </w:r>
    </w:p>
    <w:p w14:paraId="104F1647" w14:textId="77777777" w:rsidR="00693C09" w:rsidRPr="00863BE9" w:rsidRDefault="00693C09" w:rsidP="00BE6785">
      <w:pPr>
        <w:pStyle w:val="p2"/>
        <w:jc w:val="both"/>
        <w:rPr>
          <w:rFonts w:ascii="Arial" w:hAnsi="Arial" w:cs="Arial"/>
          <w:sz w:val="22"/>
          <w:szCs w:val="22"/>
        </w:rPr>
      </w:pPr>
      <w:r w:rsidRPr="00863BE9">
        <w:rPr>
          <w:rFonts w:ascii="Arial" w:hAnsi="Arial" w:cs="Arial"/>
          <w:sz w:val="22"/>
          <w:szCs w:val="22"/>
        </w:rPr>
        <w:t>Allwright MR and Taylor G, 2015. Molecular breeding for improved second generation bioenergy crops.  Trends in Plant Science, doi:10.1016/j.tplants.2015.10.002.</w:t>
      </w:r>
    </w:p>
    <w:p w14:paraId="45165C03" w14:textId="77777777" w:rsidR="00693C09" w:rsidRPr="00863BE9" w:rsidRDefault="00693C09" w:rsidP="00BE6785">
      <w:pPr>
        <w:pStyle w:val="p2"/>
        <w:jc w:val="both"/>
        <w:rPr>
          <w:rFonts w:ascii="Arial" w:hAnsi="Arial" w:cs="Arial"/>
          <w:sz w:val="22"/>
          <w:szCs w:val="22"/>
        </w:rPr>
      </w:pPr>
    </w:p>
    <w:p w14:paraId="6491EAE3" w14:textId="77777777" w:rsidR="00326641" w:rsidRDefault="00693C09" w:rsidP="00BE6785">
      <w:pPr>
        <w:pStyle w:val="Heading2"/>
        <w:spacing w:line="240" w:lineRule="auto"/>
        <w:jc w:val="both"/>
        <w:rPr>
          <w:rFonts w:ascii="Arial" w:hAnsi="Arial" w:cs="Arial"/>
          <w:color w:val="auto"/>
          <w:sz w:val="22"/>
          <w:szCs w:val="22"/>
        </w:rPr>
      </w:pPr>
      <w:r w:rsidRPr="00863BE9">
        <w:rPr>
          <w:rFonts w:ascii="Arial" w:hAnsi="Arial" w:cs="Arial"/>
          <w:color w:val="auto"/>
          <w:sz w:val="22"/>
          <w:szCs w:val="22"/>
        </w:rPr>
        <w:t>Bartlett MK, Scoffoni C, Sack L. 2012. The determinants of leaf turgor loss point and prediction of a drought tolerance of species and biomes: global meta-analysis, Ecology Letters 15, 393-405.</w:t>
      </w:r>
    </w:p>
    <w:p w14:paraId="7706EC1D" w14:textId="77777777" w:rsidR="00326641" w:rsidRDefault="00326641" w:rsidP="00BE6785">
      <w:pPr>
        <w:pStyle w:val="Heading2"/>
        <w:spacing w:line="240" w:lineRule="auto"/>
        <w:jc w:val="both"/>
        <w:rPr>
          <w:rFonts w:ascii="Arial" w:hAnsi="Arial" w:cs="Arial"/>
          <w:color w:val="auto"/>
          <w:sz w:val="22"/>
          <w:szCs w:val="22"/>
        </w:rPr>
      </w:pPr>
    </w:p>
    <w:p w14:paraId="05D4BE1A" w14:textId="00FAC676" w:rsidR="0071365B" w:rsidRPr="00863BE9" w:rsidRDefault="00326641" w:rsidP="00BE6785">
      <w:pPr>
        <w:pStyle w:val="Heading2"/>
        <w:spacing w:line="240" w:lineRule="auto"/>
        <w:jc w:val="both"/>
        <w:rPr>
          <w:rFonts w:ascii="Arial" w:hAnsi="Arial" w:cs="Arial"/>
          <w:color w:val="auto"/>
          <w:sz w:val="22"/>
          <w:szCs w:val="22"/>
        </w:rPr>
      </w:pPr>
      <w:r>
        <w:rPr>
          <w:rFonts w:ascii="Arial" w:hAnsi="Arial" w:cs="Arial"/>
          <w:color w:val="auto"/>
          <w:sz w:val="22"/>
          <w:szCs w:val="22"/>
        </w:rPr>
        <w:t xml:space="preserve">Bastin J-F, Finegold Y, Garcia C, et al., 2019. </w:t>
      </w:r>
      <w:r w:rsidR="00BE6B5C">
        <w:rPr>
          <w:rFonts w:ascii="Arial" w:hAnsi="Arial" w:cs="Arial"/>
          <w:color w:val="auto"/>
          <w:sz w:val="22"/>
          <w:szCs w:val="22"/>
        </w:rPr>
        <w:t>The global tree restoration potential. Science, 365, 76-79.</w:t>
      </w:r>
      <w:r w:rsidR="0071365B" w:rsidRPr="00863BE9">
        <w:rPr>
          <w:rFonts w:ascii="Arial" w:hAnsi="Arial" w:cs="Arial"/>
          <w:color w:val="auto"/>
          <w:sz w:val="22"/>
          <w:szCs w:val="22"/>
        </w:rPr>
        <w:t xml:space="preserve"> </w:t>
      </w:r>
    </w:p>
    <w:p w14:paraId="4D8DAB35" w14:textId="77777777" w:rsidR="0071365B" w:rsidRPr="00863BE9" w:rsidRDefault="0071365B" w:rsidP="00BE6785">
      <w:pPr>
        <w:pStyle w:val="Heading2"/>
        <w:spacing w:line="240" w:lineRule="auto"/>
        <w:jc w:val="both"/>
        <w:rPr>
          <w:rFonts w:ascii="Arial" w:hAnsi="Arial" w:cs="Arial"/>
          <w:color w:val="auto"/>
          <w:sz w:val="22"/>
          <w:szCs w:val="22"/>
        </w:rPr>
      </w:pPr>
    </w:p>
    <w:p w14:paraId="4EEE0032" w14:textId="77777777" w:rsidR="0071365B" w:rsidRPr="00863BE9" w:rsidRDefault="0071365B"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863BE9">
        <w:rPr>
          <w:rFonts w:ascii="Arial" w:hAnsi="Arial" w:cs="Arial"/>
          <w:color w:val="auto"/>
          <w:sz w:val="22"/>
          <w:szCs w:val="22"/>
          <w:lang w:val="pt-BR"/>
        </w:rPr>
        <w:t>Begcy K, Mariano ED, Lembke CG et al., 2019. ,</w:t>
      </w:r>
      <w:r w:rsidRPr="00863BE9">
        <w:rPr>
          <w:rFonts w:ascii="Arial" w:hAnsi="Arial" w:cs="Arial"/>
          <w:color w:val="auto"/>
          <w:sz w:val="22"/>
          <w:szCs w:val="22"/>
        </w:rPr>
        <w:t xml:space="preserve">Scdr2 improves tolerance to salinity and drought, </w:t>
      </w:r>
      <w:r w:rsidRPr="00863BE9">
        <w:rPr>
          <w:rFonts w:ascii="Arial" w:hAnsi="Arial" w:cs="Arial"/>
          <w:i/>
          <w:color w:val="auto"/>
          <w:sz w:val="22"/>
          <w:szCs w:val="22"/>
          <w:bdr w:val="none" w:sz="0" w:space="0" w:color="auto" w:frame="1"/>
          <w:shd w:val="clear" w:color="auto" w:fill="FFFFFF"/>
        </w:rPr>
        <w:t xml:space="preserve">Annals of Botany </w:t>
      </w:r>
      <w:r w:rsidRPr="00863BE9">
        <w:rPr>
          <w:rFonts w:ascii="Arial" w:hAnsi="Arial" w:cs="Arial"/>
          <w:color w:val="auto"/>
          <w:sz w:val="22"/>
          <w:szCs w:val="22"/>
          <w:bdr w:val="none" w:sz="0" w:space="0" w:color="auto" w:frame="1"/>
          <w:shd w:val="clear" w:color="auto" w:fill="FFFFFF"/>
        </w:rPr>
        <w:t>124: xxx–xxx, doi:</w:t>
      </w:r>
      <w:r w:rsidRPr="00863BE9">
        <w:rPr>
          <w:rFonts w:ascii="Arial" w:hAnsi="Arial" w:cs="Arial"/>
          <w:noProof/>
          <w:color w:val="auto"/>
          <w:sz w:val="22"/>
          <w:szCs w:val="22"/>
          <w:lang w:eastAsia="en-GB"/>
        </w:rPr>
        <w:t xml:space="preserve"> </w:t>
      </w:r>
      <w:r w:rsidRPr="00863BE9">
        <w:rPr>
          <w:rFonts w:ascii="Arial" w:hAnsi="Arial" w:cs="Arial"/>
          <w:color w:val="auto"/>
          <w:sz w:val="22"/>
          <w:szCs w:val="22"/>
          <w:bdr w:val="none" w:sz="0" w:space="0" w:color="auto" w:frame="1"/>
          <w:shd w:val="clear" w:color="auto" w:fill="FFFFFF"/>
        </w:rPr>
        <w:t>10.1093/aob/mcz044</w:t>
      </w:r>
      <w:r w:rsidR="009D13BB">
        <w:rPr>
          <w:rFonts w:ascii="Arial" w:hAnsi="Arial" w:cs="Arial"/>
          <w:color w:val="auto"/>
          <w:sz w:val="22"/>
          <w:szCs w:val="22"/>
          <w:bdr w:val="none" w:sz="0" w:space="0" w:color="auto" w:frame="1"/>
          <w:shd w:val="clear" w:color="auto" w:fill="FFFFFF"/>
        </w:rPr>
        <w:t>.</w:t>
      </w:r>
    </w:p>
    <w:p w14:paraId="1B8A663E" w14:textId="77777777" w:rsidR="00693C09" w:rsidRPr="00863BE9" w:rsidRDefault="00693C09" w:rsidP="00BE6785">
      <w:pPr>
        <w:pStyle w:val="p2"/>
        <w:jc w:val="both"/>
        <w:rPr>
          <w:rFonts w:ascii="Arial" w:hAnsi="Arial" w:cs="Arial"/>
          <w:sz w:val="22"/>
          <w:szCs w:val="22"/>
        </w:rPr>
      </w:pPr>
    </w:p>
    <w:p w14:paraId="27811777" w14:textId="77777777" w:rsidR="00693C09" w:rsidRPr="00863BE9" w:rsidRDefault="00693C09" w:rsidP="00BE6785">
      <w:pPr>
        <w:pStyle w:val="p2"/>
        <w:jc w:val="both"/>
        <w:rPr>
          <w:rFonts w:ascii="Arial" w:hAnsi="Arial" w:cs="Arial"/>
          <w:sz w:val="22"/>
          <w:szCs w:val="22"/>
        </w:rPr>
      </w:pPr>
      <w:r w:rsidRPr="00863BE9">
        <w:rPr>
          <w:rFonts w:ascii="Arial" w:hAnsi="Arial" w:cs="Arial"/>
          <w:sz w:val="22"/>
          <w:szCs w:val="22"/>
        </w:rPr>
        <w:t>Bertolino LT, Caine RS, Gray JE. 2019. Impact of stomatal density and morphology on water use efficiency in a changing world. Frontiers in Plant Science 10, 225.</w:t>
      </w:r>
    </w:p>
    <w:p w14:paraId="1E6DF9E3" w14:textId="77777777" w:rsidR="00693C09" w:rsidRPr="00863BE9" w:rsidRDefault="00693C09" w:rsidP="00BE6785">
      <w:pPr>
        <w:pStyle w:val="p2"/>
        <w:jc w:val="both"/>
        <w:rPr>
          <w:rFonts w:ascii="Arial" w:hAnsi="Arial" w:cs="Arial"/>
          <w:sz w:val="22"/>
          <w:szCs w:val="22"/>
        </w:rPr>
      </w:pPr>
    </w:p>
    <w:p w14:paraId="7C184224" w14:textId="77777777" w:rsidR="00693C09" w:rsidRPr="00863BE9" w:rsidRDefault="00693C09" w:rsidP="00BE6785">
      <w:pPr>
        <w:pStyle w:val="p2"/>
        <w:jc w:val="both"/>
        <w:rPr>
          <w:rFonts w:ascii="Arial" w:hAnsi="Arial" w:cs="Arial"/>
          <w:sz w:val="22"/>
          <w:szCs w:val="22"/>
        </w:rPr>
      </w:pPr>
      <w:r w:rsidRPr="00863BE9">
        <w:rPr>
          <w:rFonts w:ascii="Arial" w:hAnsi="Arial" w:cs="Arial"/>
          <w:sz w:val="22"/>
          <w:szCs w:val="22"/>
        </w:rPr>
        <w:t xml:space="preserve">Bogeat-Triboulot M-B, Brosché M, Renaut J., et al. 2007. Gradual soil water depletion results in reversible changes of gene expression, protein profiles, ecophysiology, and growth performance in Populus euphratica, a poplar growing in arid regions. Plant Physiology 143, 876–892. </w:t>
      </w:r>
    </w:p>
    <w:p w14:paraId="49AE66A0" w14:textId="77777777" w:rsidR="00693C09" w:rsidRPr="00863BE9" w:rsidRDefault="00693C09" w:rsidP="00BE6785">
      <w:pPr>
        <w:pStyle w:val="p2"/>
        <w:jc w:val="both"/>
        <w:rPr>
          <w:rFonts w:ascii="Arial" w:hAnsi="Arial" w:cs="Arial"/>
          <w:sz w:val="22"/>
          <w:szCs w:val="22"/>
        </w:rPr>
      </w:pPr>
    </w:p>
    <w:p w14:paraId="42A3D23B" w14:textId="77777777" w:rsidR="00DC7D48" w:rsidRPr="00863BE9" w:rsidRDefault="00693C09"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863BE9">
        <w:rPr>
          <w:rFonts w:ascii="Arial" w:hAnsi="Arial" w:cs="Arial"/>
          <w:color w:val="auto"/>
          <w:sz w:val="22"/>
          <w:szCs w:val="22"/>
        </w:rPr>
        <w:t>Brunetti</w:t>
      </w:r>
      <w:r w:rsidR="00DC7D48" w:rsidRPr="00863BE9">
        <w:rPr>
          <w:rFonts w:ascii="Arial" w:hAnsi="Arial" w:cs="Arial"/>
          <w:color w:val="auto"/>
          <w:sz w:val="22"/>
          <w:szCs w:val="22"/>
          <w:lang w:val="it-IT"/>
        </w:rPr>
        <w:t xml:space="preserve"> C, Gori A, Marino G, et al.,</w:t>
      </w:r>
      <w:r w:rsidR="00DC7D48" w:rsidRPr="00863BE9">
        <w:rPr>
          <w:rFonts w:ascii="Arial" w:hAnsi="Arial" w:cs="Arial"/>
          <w:color w:val="auto"/>
          <w:sz w:val="22"/>
          <w:szCs w:val="22"/>
        </w:rPr>
        <w:t xml:space="preserve"> 2019. Effects of ABA dynamics on poplar acclimation to drought, </w:t>
      </w:r>
      <w:r w:rsidR="00DC7D48" w:rsidRPr="00863BE9">
        <w:rPr>
          <w:rFonts w:ascii="Arial" w:hAnsi="Arial" w:cs="Arial"/>
          <w:color w:val="auto"/>
          <w:sz w:val="22"/>
          <w:szCs w:val="22"/>
          <w:bdr w:val="none" w:sz="0" w:space="0" w:color="auto" w:frame="1"/>
          <w:shd w:val="clear" w:color="auto" w:fill="FFFFFF"/>
        </w:rPr>
        <w:t>Annals of Botany 124: xxx–xxx, doi:</w:t>
      </w:r>
      <w:r w:rsidR="00DC7D48" w:rsidRPr="00863BE9">
        <w:rPr>
          <w:rFonts w:ascii="Arial" w:hAnsi="Arial" w:cs="Arial"/>
          <w:noProof/>
          <w:color w:val="auto"/>
          <w:sz w:val="22"/>
          <w:szCs w:val="22"/>
          <w:lang w:eastAsia="en-GB"/>
        </w:rPr>
        <w:t xml:space="preserve"> </w:t>
      </w:r>
      <w:r w:rsidR="00DC7D48" w:rsidRPr="00863BE9">
        <w:rPr>
          <w:rFonts w:ascii="Arial" w:hAnsi="Arial" w:cs="Arial"/>
          <w:color w:val="auto"/>
          <w:sz w:val="22"/>
          <w:szCs w:val="22"/>
          <w:bdr w:val="none" w:sz="0" w:space="0" w:color="auto" w:frame="1"/>
          <w:shd w:val="clear" w:color="auto" w:fill="FFFFFF"/>
        </w:rPr>
        <w:t>10.1093/aob/mcz005</w:t>
      </w:r>
    </w:p>
    <w:p w14:paraId="21C4ED90" w14:textId="77777777" w:rsidR="00693C09" w:rsidRPr="00863BE9" w:rsidRDefault="00693C09" w:rsidP="00BE6785">
      <w:pPr>
        <w:pStyle w:val="p2"/>
        <w:jc w:val="both"/>
        <w:rPr>
          <w:rFonts w:ascii="Arial" w:hAnsi="Arial" w:cs="Arial"/>
          <w:sz w:val="22"/>
          <w:szCs w:val="22"/>
        </w:rPr>
      </w:pPr>
    </w:p>
    <w:p w14:paraId="1ADA75C5" w14:textId="77777777" w:rsidR="0071365B" w:rsidRPr="00863BE9" w:rsidRDefault="0071365B" w:rsidP="00BE6785">
      <w:pPr>
        <w:spacing w:line="240" w:lineRule="auto"/>
        <w:ind w:right="1134"/>
        <w:jc w:val="both"/>
        <w:rPr>
          <w:rFonts w:ascii="Arial" w:hAnsi="Arial" w:cs="Arial"/>
          <w:bdr w:val="none" w:sz="0" w:space="0" w:color="auto" w:frame="1"/>
          <w:shd w:val="clear" w:color="auto" w:fill="FFFFFF"/>
        </w:rPr>
      </w:pPr>
      <w:r w:rsidRPr="00863BE9">
        <w:rPr>
          <w:rFonts w:ascii="Arial" w:hAnsi="Arial" w:cs="Arial"/>
        </w:rPr>
        <w:t>Carlson CR,  Gouker FE,  Crowell</w:t>
      </w:r>
      <w:r w:rsidRPr="00863BE9">
        <w:rPr>
          <w:rFonts w:ascii="Arial" w:eastAsiaTheme="majorEastAsia" w:hAnsi="Arial" w:cs="Arial"/>
          <w:noProof/>
          <w:shd w:val="clear" w:color="auto" w:fill="FFFFFF"/>
          <w:lang w:eastAsia="en-GB"/>
        </w:rPr>
        <w:t xml:space="preserve"> CR, et al., 2019. Linkage and association mapping of complex traits in shrub willow, </w:t>
      </w:r>
      <w:r w:rsidRPr="00863BE9">
        <w:rPr>
          <w:rFonts w:ascii="Arial" w:hAnsi="Arial" w:cs="Arial"/>
          <w:bdr w:val="none" w:sz="0" w:space="0" w:color="auto" w:frame="1"/>
          <w:shd w:val="clear" w:color="auto" w:fill="FFFFFF"/>
        </w:rPr>
        <w:t xml:space="preserve">Annals of Botany, 124: xxx–xxx, doi:  </w:t>
      </w:r>
      <w:r w:rsidRPr="00863BE9">
        <w:rPr>
          <w:rFonts w:ascii="Arial" w:hAnsi="Arial" w:cs="Arial"/>
          <w:noProof/>
          <w:lang w:eastAsia="en-GB"/>
        </w:rPr>
        <w:t xml:space="preserve"> </w:t>
      </w:r>
      <w:r w:rsidRPr="00863BE9">
        <w:rPr>
          <w:rFonts w:ascii="Arial" w:hAnsi="Arial" w:cs="Arial"/>
          <w:bdr w:val="none" w:sz="0" w:space="0" w:color="auto" w:frame="1"/>
          <w:shd w:val="clear" w:color="auto" w:fill="FFFFFF"/>
        </w:rPr>
        <w:t>10.1093/aob/mcz047</w:t>
      </w:r>
    </w:p>
    <w:p w14:paraId="49E4D2D8" w14:textId="77777777" w:rsidR="00693C09" w:rsidRPr="00923560" w:rsidRDefault="00693C09" w:rsidP="00BE6785">
      <w:pPr>
        <w:spacing w:line="240" w:lineRule="auto"/>
        <w:jc w:val="both"/>
        <w:rPr>
          <w:rFonts w:ascii="Arial" w:hAnsi="Arial" w:cs="Arial"/>
          <w:noProof/>
          <w:color w:val="000000"/>
          <w:lang w:val="nl-NL" w:eastAsia="zh-CN"/>
        </w:rPr>
      </w:pPr>
      <w:r w:rsidRPr="00863BE9">
        <w:rPr>
          <w:rFonts w:ascii="Arial" w:hAnsi="Arial" w:cs="Arial"/>
          <w:noProof/>
          <w:color w:val="000000"/>
          <w:lang w:val="en" w:eastAsia="zh-CN"/>
        </w:rPr>
        <w:t xml:space="preserve">Campbell J. Elliot, Lobell DB, Genova RC, Field CB. 2008. The Global Potential of Bioenergy on Abandoned Agriculture Lands. </w:t>
      </w:r>
      <w:r w:rsidRPr="00923560">
        <w:rPr>
          <w:rFonts w:ascii="Arial" w:hAnsi="Arial" w:cs="Arial"/>
          <w:noProof/>
          <w:color w:val="000000"/>
          <w:lang w:val="nl-NL" w:eastAsia="zh-CN"/>
        </w:rPr>
        <w:t>Environ. Sci. Technol. 45, 5791-5794.</w:t>
      </w:r>
    </w:p>
    <w:p w14:paraId="6A797EDC" w14:textId="77777777" w:rsidR="00042463" w:rsidRPr="00863BE9" w:rsidRDefault="00693C09"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923560">
        <w:rPr>
          <w:rFonts w:ascii="Arial" w:hAnsi="Arial" w:cs="Arial"/>
          <w:noProof/>
          <w:color w:val="auto"/>
          <w:sz w:val="22"/>
          <w:szCs w:val="22"/>
          <w:lang w:val="nl-NL" w:eastAsia="zh-CN"/>
        </w:rPr>
        <w:t>Clark</w:t>
      </w:r>
      <w:r w:rsidR="00042463" w:rsidRPr="00923560">
        <w:rPr>
          <w:rFonts w:ascii="Arial" w:hAnsi="Arial" w:cs="Arial"/>
          <w:color w:val="auto"/>
          <w:sz w:val="22"/>
          <w:szCs w:val="22"/>
          <w:lang w:val="nl-NL"/>
        </w:rPr>
        <w:t>LV</w:t>
      </w:r>
      <w:r w:rsidR="00042463" w:rsidRPr="00923560">
        <w:rPr>
          <w:rFonts w:ascii="Arial" w:hAnsi="Arial" w:cs="Arial"/>
          <w:bCs/>
          <w:color w:val="auto"/>
          <w:sz w:val="22"/>
          <w:szCs w:val="22"/>
          <w:lang w:val="nl-NL"/>
        </w:rPr>
        <w:t>, Jin, X Petersen KK et al., 2019.</w:t>
      </w:r>
      <w:r w:rsidRPr="00923560">
        <w:rPr>
          <w:rFonts w:ascii="Arial" w:hAnsi="Arial" w:cs="Arial"/>
          <w:noProof/>
          <w:color w:val="auto"/>
          <w:sz w:val="22"/>
          <w:szCs w:val="22"/>
          <w:lang w:val="nl-NL" w:eastAsia="zh-CN"/>
        </w:rPr>
        <w:t xml:space="preserve"> </w:t>
      </w:r>
      <w:r w:rsidR="00042463" w:rsidRPr="00863BE9">
        <w:rPr>
          <w:rFonts w:ascii="Arial" w:hAnsi="Arial" w:cs="Arial"/>
          <w:color w:val="auto"/>
          <w:sz w:val="22"/>
          <w:szCs w:val="22"/>
        </w:rPr>
        <w:t xml:space="preserve">Population structure of </w:t>
      </w:r>
      <w:r w:rsidR="00042463" w:rsidRPr="00863BE9">
        <w:rPr>
          <w:rFonts w:ascii="Arial" w:hAnsi="Arial" w:cs="Arial"/>
          <w:i/>
          <w:color w:val="auto"/>
          <w:sz w:val="22"/>
          <w:szCs w:val="22"/>
        </w:rPr>
        <w:t xml:space="preserve">Miscanthus sacchariflorus, </w:t>
      </w:r>
      <w:r w:rsidR="00042463" w:rsidRPr="00863BE9">
        <w:rPr>
          <w:rFonts w:ascii="Arial" w:hAnsi="Arial" w:cs="Arial"/>
          <w:color w:val="auto"/>
          <w:sz w:val="22"/>
          <w:szCs w:val="22"/>
          <w:bdr w:val="none" w:sz="0" w:space="0" w:color="auto" w:frame="1"/>
          <w:shd w:val="clear" w:color="auto" w:fill="FFFFFF"/>
        </w:rPr>
        <w:t>Annals of Botany 124: xxx–xxx, doi:</w:t>
      </w:r>
      <w:r w:rsidR="00042463" w:rsidRPr="00863BE9">
        <w:rPr>
          <w:rFonts w:ascii="Arial" w:hAnsi="Arial" w:cs="Arial"/>
          <w:noProof/>
          <w:color w:val="auto"/>
          <w:sz w:val="22"/>
          <w:szCs w:val="22"/>
          <w:lang w:eastAsia="en-GB"/>
        </w:rPr>
        <w:t xml:space="preserve"> </w:t>
      </w:r>
      <w:r w:rsidR="00042463" w:rsidRPr="00863BE9">
        <w:rPr>
          <w:rFonts w:ascii="Arial" w:hAnsi="Arial" w:cs="Arial"/>
          <w:color w:val="auto"/>
          <w:sz w:val="22"/>
          <w:szCs w:val="22"/>
          <w:bdr w:val="none" w:sz="0" w:space="0" w:color="auto" w:frame="1"/>
          <w:shd w:val="clear" w:color="auto" w:fill="FFFFFF"/>
        </w:rPr>
        <w:t>10.1093/aob/mcy161</w:t>
      </w:r>
      <w:r w:rsidR="009D13BB">
        <w:rPr>
          <w:rFonts w:ascii="Arial" w:hAnsi="Arial" w:cs="Arial"/>
          <w:color w:val="auto"/>
          <w:sz w:val="22"/>
          <w:szCs w:val="22"/>
          <w:bdr w:val="none" w:sz="0" w:space="0" w:color="auto" w:frame="1"/>
          <w:shd w:val="clear" w:color="auto" w:fill="FFFFFF"/>
        </w:rPr>
        <w:t>.</w:t>
      </w:r>
    </w:p>
    <w:p w14:paraId="5204A852" w14:textId="77777777" w:rsidR="00042463" w:rsidRPr="00863BE9" w:rsidRDefault="00042463" w:rsidP="00BE6785">
      <w:pPr>
        <w:spacing w:after="0" w:line="240" w:lineRule="auto"/>
        <w:jc w:val="both"/>
        <w:rPr>
          <w:rFonts w:ascii="Arial" w:eastAsia="Calibri" w:hAnsi="Arial" w:cs="Arial"/>
        </w:rPr>
      </w:pPr>
    </w:p>
    <w:p w14:paraId="17BA28EF" w14:textId="77777777" w:rsidR="00693C09" w:rsidRPr="00863BE9" w:rsidRDefault="00693C09" w:rsidP="00BE6785">
      <w:pPr>
        <w:spacing w:after="0" w:line="240" w:lineRule="auto"/>
        <w:jc w:val="both"/>
        <w:rPr>
          <w:rFonts w:ascii="Arial" w:eastAsia="Calibri" w:hAnsi="Arial" w:cs="Arial"/>
        </w:rPr>
      </w:pPr>
      <w:r w:rsidRPr="00863BE9">
        <w:rPr>
          <w:rFonts w:ascii="Arial" w:eastAsia="Calibri" w:hAnsi="Arial" w:cs="Arial"/>
        </w:rPr>
        <w:t>Cochard H, Casella E and Mencuccini M. 2007. Xylem vulnerability to cavitation varies among poplar and willow clones and correlates with yield. Tree Physiology 27, 1761–1767.</w:t>
      </w:r>
    </w:p>
    <w:p w14:paraId="5BC115D1" w14:textId="77777777" w:rsidR="00693C09" w:rsidRPr="00863BE9" w:rsidRDefault="00693C09" w:rsidP="00BE6785">
      <w:pPr>
        <w:spacing w:after="0" w:line="240" w:lineRule="auto"/>
        <w:jc w:val="both"/>
        <w:rPr>
          <w:rFonts w:ascii="Arial" w:eastAsia="Calibri" w:hAnsi="Arial" w:cs="Arial"/>
        </w:rPr>
      </w:pPr>
    </w:p>
    <w:p w14:paraId="196EC739" w14:textId="77777777" w:rsidR="00693C09" w:rsidRPr="00863BE9" w:rsidRDefault="00693C09" w:rsidP="00BE6785">
      <w:pPr>
        <w:spacing w:line="240" w:lineRule="auto"/>
        <w:jc w:val="both"/>
        <w:rPr>
          <w:rFonts w:ascii="Arial" w:hAnsi="Arial" w:cs="Arial"/>
        </w:rPr>
      </w:pPr>
      <w:r w:rsidRPr="00863BE9">
        <w:rPr>
          <w:rFonts w:ascii="Arial" w:hAnsi="Arial" w:cs="Arial"/>
        </w:rPr>
        <w:t>Committee on Climate Change, 2019. Net zero. The UK’s contribution to stop global warming, CCC, May 2019.</w:t>
      </w:r>
    </w:p>
    <w:p w14:paraId="49DD9672" w14:textId="77777777" w:rsidR="00693C09" w:rsidRPr="00863BE9" w:rsidRDefault="00693C09" w:rsidP="00BE6785">
      <w:pPr>
        <w:spacing w:after="0" w:line="240" w:lineRule="auto"/>
        <w:jc w:val="both"/>
        <w:rPr>
          <w:rFonts w:ascii="Arial" w:eastAsia="Calibri" w:hAnsi="Arial" w:cs="Arial"/>
        </w:rPr>
      </w:pPr>
      <w:r w:rsidRPr="00863BE9">
        <w:rPr>
          <w:rFonts w:ascii="Arial" w:hAnsi="Arial" w:cs="Arial"/>
        </w:rPr>
        <w:t>Da Costa et al</w:t>
      </w:r>
      <w:r w:rsidRPr="00863BE9">
        <w:rPr>
          <w:rFonts w:ascii="Arial" w:eastAsia="Calibri" w:hAnsi="Arial" w:cs="Arial"/>
        </w:rPr>
        <w:t xml:space="preserve"> de Ollas C and Dodd IC. 2016. Physiological impacts of ABA–JA interactions under water-limitation. Plant Molecular Biology 91(6): 641–650.</w:t>
      </w:r>
    </w:p>
    <w:p w14:paraId="54E16ADB" w14:textId="77777777" w:rsidR="00693C09" w:rsidRPr="00863BE9" w:rsidRDefault="00693C09" w:rsidP="00BE6785">
      <w:pPr>
        <w:spacing w:after="0" w:line="240" w:lineRule="auto"/>
        <w:jc w:val="both"/>
        <w:rPr>
          <w:rFonts w:ascii="Arial" w:eastAsia="Calibri" w:hAnsi="Arial" w:cs="Arial"/>
        </w:rPr>
      </w:pPr>
    </w:p>
    <w:p w14:paraId="66CD2C6C" w14:textId="77777777" w:rsidR="00042463" w:rsidRPr="00863BE9" w:rsidRDefault="00693C09" w:rsidP="00BE6785">
      <w:pPr>
        <w:pStyle w:val="Heading2"/>
        <w:spacing w:line="240" w:lineRule="auto"/>
        <w:jc w:val="both"/>
        <w:rPr>
          <w:rFonts w:ascii="Arial" w:eastAsia="Calibri" w:hAnsi="Arial" w:cs="Arial"/>
          <w:iCs/>
          <w:color w:val="auto"/>
          <w:sz w:val="22"/>
          <w:szCs w:val="22"/>
          <w:bdr w:val="none" w:sz="0" w:space="0" w:color="auto" w:frame="1"/>
          <w:shd w:val="clear" w:color="auto" w:fill="FFFFFF"/>
          <w:lang w:val="en-GB"/>
        </w:rPr>
      </w:pPr>
      <w:r w:rsidRPr="00863BE9">
        <w:rPr>
          <w:rFonts w:ascii="Arial" w:hAnsi="Arial" w:cs="Arial"/>
          <w:color w:val="auto"/>
          <w:sz w:val="22"/>
          <w:szCs w:val="22"/>
        </w:rPr>
        <w:t>da Costa, RFM</w:t>
      </w:r>
      <w:r w:rsidR="00042463" w:rsidRPr="00863BE9">
        <w:rPr>
          <w:rFonts w:ascii="Arial" w:hAnsi="Arial" w:cs="Arial"/>
          <w:color w:val="auto"/>
          <w:sz w:val="22"/>
          <w:szCs w:val="22"/>
        </w:rPr>
        <w:t xml:space="preserve">, </w:t>
      </w:r>
      <w:r w:rsidRPr="00863BE9">
        <w:rPr>
          <w:rFonts w:ascii="Arial" w:hAnsi="Arial" w:cs="Arial"/>
          <w:color w:val="auto"/>
          <w:sz w:val="22"/>
          <w:szCs w:val="22"/>
        </w:rPr>
        <w:t xml:space="preserve"> Simister,</w:t>
      </w:r>
      <w:r w:rsidR="00042463" w:rsidRPr="00863BE9">
        <w:rPr>
          <w:rFonts w:ascii="Arial" w:hAnsi="Arial" w:cs="Arial"/>
          <w:color w:val="auto"/>
          <w:sz w:val="22"/>
          <w:szCs w:val="22"/>
        </w:rPr>
        <w:t xml:space="preserve"> R,</w:t>
      </w:r>
      <w:r w:rsidRPr="00863BE9">
        <w:rPr>
          <w:rFonts w:ascii="Arial" w:hAnsi="Arial" w:cs="Arial"/>
          <w:color w:val="auto"/>
          <w:sz w:val="22"/>
          <w:szCs w:val="22"/>
        </w:rPr>
        <w:t xml:space="preserve"> Roberts,</w:t>
      </w:r>
      <w:r w:rsidR="00042463" w:rsidRPr="00863BE9">
        <w:rPr>
          <w:rFonts w:ascii="Arial" w:hAnsi="Arial" w:cs="Arial"/>
          <w:color w:val="auto"/>
          <w:sz w:val="22"/>
          <w:szCs w:val="22"/>
        </w:rPr>
        <w:t xml:space="preserve"> LA, </w:t>
      </w:r>
      <w:r w:rsidRPr="00863BE9">
        <w:rPr>
          <w:rFonts w:ascii="Arial" w:hAnsi="Arial" w:cs="Arial"/>
          <w:color w:val="auto"/>
          <w:sz w:val="22"/>
          <w:szCs w:val="22"/>
        </w:rPr>
        <w:t xml:space="preserve">Timms-Taravella, </w:t>
      </w:r>
      <w:r w:rsidR="00042463" w:rsidRPr="00863BE9">
        <w:rPr>
          <w:rFonts w:ascii="Arial" w:hAnsi="Arial" w:cs="Arial"/>
          <w:color w:val="auto"/>
          <w:sz w:val="22"/>
          <w:szCs w:val="22"/>
        </w:rPr>
        <w:t xml:space="preserve">E, </w:t>
      </w:r>
      <w:r w:rsidRPr="00863BE9">
        <w:rPr>
          <w:rFonts w:ascii="Arial" w:hAnsi="Arial" w:cs="Arial"/>
          <w:color w:val="auto"/>
          <w:sz w:val="22"/>
          <w:szCs w:val="22"/>
        </w:rPr>
        <w:t>Cambler,</w:t>
      </w:r>
      <w:r w:rsidR="00042463" w:rsidRPr="00863BE9">
        <w:rPr>
          <w:rFonts w:ascii="Arial" w:hAnsi="Arial" w:cs="Arial"/>
          <w:color w:val="auto"/>
          <w:sz w:val="22"/>
          <w:szCs w:val="22"/>
        </w:rPr>
        <w:t xml:space="preserve"> AB, </w:t>
      </w:r>
      <w:r w:rsidRPr="00863BE9">
        <w:rPr>
          <w:rFonts w:ascii="Arial" w:hAnsi="Arial" w:cs="Arial"/>
          <w:color w:val="auto"/>
          <w:sz w:val="22"/>
          <w:szCs w:val="22"/>
        </w:rPr>
        <w:t>Corke,</w:t>
      </w:r>
      <w:r w:rsidR="00042463" w:rsidRPr="00863BE9">
        <w:rPr>
          <w:rFonts w:ascii="Arial" w:hAnsi="Arial" w:cs="Arial"/>
          <w:color w:val="auto"/>
          <w:sz w:val="22"/>
          <w:szCs w:val="22"/>
        </w:rPr>
        <w:t xml:space="preserve"> FM,</w:t>
      </w:r>
      <w:r w:rsidRPr="00863BE9">
        <w:rPr>
          <w:rFonts w:ascii="Arial" w:hAnsi="Arial" w:cs="Arial"/>
          <w:color w:val="auto"/>
          <w:sz w:val="22"/>
          <w:szCs w:val="22"/>
        </w:rPr>
        <w:t xml:space="preserve"> Han,</w:t>
      </w:r>
      <w:r w:rsidR="00042463" w:rsidRPr="00863BE9">
        <w:rPr>
          <w:rFonts w:ascii="Arial" w:hAnsi="Arial" w:cs="Arial"/>
          <w:color w:val="auto"/>
          <w:sz w:val="22"/>
          <w:szCs w:val="22"/>
        </w:rPr>
        <w:t xml:space="preserve"> J </w:t>
      </w:r>
      <w:r w:rsidRPr="00863BE9">
        <w:rPr>
          <w:rFonts w:ascii="Arial" w:hAnsi="Arial" w:cs="Arial"/>
          <w:color w:val="auto"/>
          <w:sz w:val="22"/>
          <w:szCs w:val="22"/>
        </w:rPr>
        <w:t xml:space="preserve"> Ward,</w:t>
      </w:r>
      <w:r w:rsidR="00042463" w:rsidRPr="00863BE9">
        <w:rPr>
          <w:rFonts w:ascii="Arial" w:hAnsi="Arial" w:cs="Arial"/>
          <w:color w:val="auto"/>
          <w:sz w:val="22"/>
          <w:szCs w:val="22"/>
        </w:rPr>
        <w:t xml:space="preserve"> RJ </w:t>
      </w:r>
      <w:r w:rsidRPr="00863BE9">
        <w:rPr>
          <w:rFonts w:ascii="Arial" w:hAnsi="Arial" w:cs="Arial"/>
          <w:color w:val="auto"/>
          <w:sz w:val="22"/>
          <w:szCs w:val="22"/>
        </w:rPr>
        <w:t xml:space="preserve">Buckeridge, </w:t>
      </w:r>
      <w:r w:rsidR="00042463" w:rsidRPr="00863BE9">
        <w:rPr>
          <w:rFonts w:ascii="Arial" w:hAnsi="Arial" w:cs="Arial"/>
          <w:color w:val="auto"/>
          <w:sz w:val="22"/>
          <w:szCs w:val="22"/>
        </w:rPr>
        <w:t xml:space="preserve"> MS, Gomez, LD, </w:t>
      </w:r>
      <w:r w:rsidRPr="00863BE9">
        <w:rPr>
          <w:rFonts w:ascii="Arial" w:hAnsi="Arial" w:cs="Arial"/>
          <w:color w:val="auto"/>
          <w:sz w:val="22"/>
          <w:szCs w:val="22"/>
        </w:rPr>
        <w:t>Bosch</w:t>
      </w:r>
      <w:r w:rsidR="00042463" w:rsidRPr="00863BE9">
        <w:rPr>
          <w:rFonts w:ascii="Arial" w:hAnsi="Arial" w:cs="Arial"/>
          <w:color w:val="auto"/>
          <w:sz w:val="22"/>
          <w:szCs w:val="22"/>
        </w:rPr>
        <w:t xml:space="preserve"> M. 2019. E</w:t>
      </w:r>
      <w:r w:rsidR="00042463" w:rsidRPr="00863BE9">
        <w:rPr>
          <w:rFonts w:ascii="Arial" w:eastAsia="MS Gothic" w:hAnsi="Arial" w:cs="Arial"/>
          <w:iCs/>
          <w:noProof/>
          <w:color w:val="auto"/>
          <w:sz w:val="22"/>
          <w:szCs w:val="22"/>
          <w:shd w:val="clear" w:color="auto" w:fill="FFFFFF"/>
          <w:lang w:val="en-GB" w:eastAsia="en-GB"/>
        </w:rPr>
        <w:t xml:space="preserve">nvironmental stress affects Miscanthus biomass accumulation and sugar release. </w:t>
      </w:r>
      <w:r w:rsidR="00042463" w:rsidRPr="00863BE9">
        <w:rPr>
          <w:rFonts w:ascii="Arial" w:eastAsia="Calibri" w:hAnsi="Arial" w:cs="Arial"/>
          <w:iCs/>
          <w:color w:val="auto"/>
          <w:sz w:val="22"/>
          <w:szCs w:val="22"/>
          <w:bdr w:val="none" w:sz="0" w:space="0" w:color="auto" w:frame="1"/>
          <w:shd w:val="clear" w:color="auto" w:fill="FFFFFF"/>
          <w:lang w:val="en-GB"/>
        </w:rPr>
        <w:t>Annals of Botany 124, xxx–xxx, 2019</w:t>
      </w:r>
    </w:p>
    <w:p w14:paraId="682E1568" w14:textId="77777777" w:rsidR="00042463" w:rsidRPr="00923560" w:rsidRDefault="00042463" w:rsidP="00BE6785">
      <w:pPr>
        <w:spacing w:after="0" w:line="240" w:lineRule="auto"/>
        <w:jc w:val="both"/>
        <w:rPr>
          <w:rFonts w:ascii="Arial" w:eastAsia="Calibri" w:hAnsi="Arial" w:cs="Arial"/>
          <w:iCs/>
          <w:bdr w:val="none" w:sz="0" w:space="0" w:color="auto" w:frame="1"/>
          <w:shd w:val="clear" w:color="auto" w:fill="FFFFFF"/>
          <w:lang w:val="nl-NL"/>
        </w:rPr>
      </w:pPr>
      <w:r w:rsidRPr="00923560">
        <w:rPr>
          <w:rFonts w:ascii="Arial" w:eastAsia="Calibri" w:hAnsi="Arial" w:cs="Arial"/>
          <w:iCs/>
          <w:bdr w:val="none" w:sz="0" w:space="0" w:color="auto" w:frame="1"/>
          <w:shd w:val="clear" w:color="auto" w:fill="FFFFFF"/>
          <w:lang w:val="nl-NL"/>
        </w:rPr>
        <w:t>doi:</w:t>
      </w:r>
      <w:r w:rsidRPr="00923560">
        <w:rPr>
          <w:rFonts w:ascii="Arial" w:eastAsia="Calibri" w:hAnsi="Arial" w:cs="Arial"/>
          <w:iCs/>
          <w:noProof/>
          <w:lang w:val="nl-NL" w:eastAsia="en-GB"/>
        </w:rPr>
        <w:t xml:space="preserve"> </w:t>
      </w:r>
      <w:r w:rsidRPr="00923560">
        <w:rPr>
          <w:rFonts w:ascii="Arial" w:eastAsia="Calibri" w:hAnsi="Arial" w:cs="Arial"/>
          <w:iCs/>
          <w:bdr w:val="none" w:sz="0" w:space="0" w:color="auto" w:frame="1"/>
          <w:shd w:val="clear" w:color="auto" w:fill="FFFFFF"/>
          <w:lang w:val="nl-NL"/>
        </w:rPr>
        <w:t>10.1093/aob/mcy155</w:t>
      </w:r>
      <w:r w:rsidR="009D13BB" w:rsidRPr="00923560">
        <w:rPr>
          <w:rFonts w:ascii="Arial" w:eastAsia="Calibri" w:hAnsi="Arial" w:cs="Arial"/>
          <w:iCs/>
          <w:bdr w:val="none" w:sz="0" w:space="0" w:color="auto" w:frame="1"/>
          <w:shd w:val="clear" w:color="auto" w:fill="FFFFFF"/>
          <w:lang w:val="nl-NL"/>
        </w:rPr>
        <w:t>.</w:t>
      </w:r>
    </w:p>
    <w:p w14:paraId="4AF81F61" w14:textId="77777777" w:rsidR="00693C09" w:rsidRPr="00923560" w:rsidRDefault="00042463" w:rsidP="00BE6785">
      <w:pPr>
        <w:spacing w:line="240" w:lineRule="auto"/>
        <w:jc w:val="both"/>
        <w:rPr>
          <w:rFonts w:ascii="Arial" w:eastAsia="Calibri" w:hAnsi="Arial" w:cs="Arial"/>
          <w:lang w:val="nl-NL"/>
        </w:rPr>
      </w:pPr>
      <w:r w:rsidRPr="00923560">
        <w:rPr>
          <w:rFonts w:ascii="Arial" w:hAnsi="Arial" w:cs="Arial"/>
          <w:lang w:val="nl-NL"/>
        </w:rPr>
        <w:t xml:space="preserve"> </w:t>
      </w:r>
    </w:p>
    <w:p w14:paraId="2BD8BBF5" w14:textId="77777777" w:rsidR="00693C09" w:rsidRDefault="00693C09" w:rsidP="00BE6785">
      <w:pPr>
        <w:spacing w:line="240" w:lineRule="auto"/>
        <w:jc w:val="both"/>
        <w:rPr>
          <w:rFonts w:ascii="Arial" w:hAnsi="Arial" w:cs="Arial"/>
          <w:noProof/>
          <w:lang w:val="en" w:eastAsia="zh-CN"/>
        </w:rPr>
      </w:pPr>
      <w:r w:rsidRPr="00923560">
        <w:rPr>
          <w:rFonts w:ascii="Arial" w:hAnsi="Arial" w:cs="Arial"/>
          <w:noProof/>
          <w:lang w:val="nl-NL" w:eastAsia="zh-CN"/>
        </w:rPr>
        <w:t xml:space="preserve">Desta et al., 2014. </w:t>
      </w:r>
      <w:r w:rsidRPr="00863BE9">
        <w:rPr>
          <w:rFonts w:ascii="Arial" w:hAnsi="Arial" w:cs="Arial"/>
          <w:noProof/>
          <w:lang w:val="en" w:eastAsia="zh-CN"/>
        </w:rPr>
        <w:t>Genomic selection: genomic-wide prediction in plant improvement. Trends in Plant Science, September, Vol 19, No. 9.</w:t>
      </w:r>
    </w:p>
    <w:p w14:paraId="34AF792D" w14:textId="77777777" w:rsidR="00D76448" w:rsidRDefault="00D76448" w:rsidP="00BE6785">
      <w:pPr>
        <w:spacing w:line="240" w:lineRule="auto"/>
        <w:jc w:val="both"/>
        <w:rPr>
          <w:rFonts w:ascii="Arial" w:hAnsi="Arial" w:cs="Arial"/>
          <w:noProof/>
          <w:lang w:val="en" w:eastAsia="zh-CN"/>
        </w:rPr>
      </w:pPr>
      <w:r>
        <w:rPr>
          <w:rFonts w:ascii="Arial" w:hAnsi="Arial" w:cs="Arial"/>
          <w:noProof/>
          <w:lang w:val="en" w:eastAsia="zh-CN"/>
        </w:rPr>
        <w:t>Dona</w:t>
      </w:r>
      <w:r w:rsidR="00F13827">
        <w:rPr>
          <w:rFonts w:ascii="Arial" w:hAnsi="Arial" w:cs="Arial"/>
          <w:noProof/>
          <w:lang w:val="en" w:eastAsia="zh-CN"/>
        </w:rPr>
        <w:t>l</w:t>
      </w:r>
      <w:r>
        <w:rPr>
          <w:rFonts w:ascii="Arial" w:hAnsi="Arial" w:cs="Arial"/>
          <w:noProof/>
          <w:lang w:val="en" w:eastAsia="zh-CN"/>
        </w:rPr>
        <w:t>d CM, 1968. The breeding of crop ideotypes. Euphytica, 17, 385-403.</w:t>
      </w:r>
    </w:p>
    <w:p w14:paraId="4AC87EA6" w14:textId="77777777" w:rsidR="008A706A" w:rsidRDefault="008A706A" w:rsidP="00BE6785">
      <w:pPr>
        <w:spacing w:line="240" w:lineRule="auto"/>
        <w:jc w:val="both"/>
        <w:rPr>
          <w:rFonts w:ascii="Arial" w:hAnsi="Arial" w:cs="Arial"/>
          <w:noProof/>
          <w:lang w:val="en" w:eastAsia="zh-CN"/>
        </w:rPr>
      </w:pPr>
    </w:p>
    <w:p w14:paraId="08AF9534" w14:textId="77777777" w:rsidR="008A706A" w:rsidRPr="009D13BB" w:rsidRDefault="00B448F1" w:rsidP="00BE6785">
      <w:pPr>
        <w:spacing w:line="240" w:lineRule="auto"/>
        <w:jc w:val="both"/>
        <w:rPr>
          <w:rFonts w:ascii="Arial" w:hAnsi="Arial" w:cs="Arial"/>
        </w:rPr>
      </w:pPr>
      <w:r>
        <w:rPr>
          <w:rFonts w:ascii="Arial" w:hAnsi="Arial" w:cs="Arial"/>
          <w:noProof/>
          <w:lang w:val="en" w:eastAsia="zh-CN"/>
        </w:rPr>
        <w:t>E</w:t>
      </w:r>
      <w:r w:rsidR="008A706A">
        <w:rPr>
          <w:rFonts w:ascii="Arial" w:hAnsi="Arial" w:cs="Arial"/>
          <w:noProof/>
          <w:lang w:val="en" w:eastAsia="zh-CN"/>
        </w:rPr>
        <w:t>vans</w:t>
      </w:r>
      <w:r w:rsidR="009D13BB">
        <w:rPr>
          <w:rFonts w:ascii="Arial" w:hAnsi="Arial" w:cs="Arial"/>
          <w:noProof/>
          <w:lang w:val="en" w:eastAsia="zh-CN"/>
        </w:rPr>
        <w:t xml:space="preserve"> LM, Slavov GT, Rodgers-Melnick E, Martin J, Ranjan P, Brunner AM et al., 2014. Population genomics of </w:t>
      </w:r>
      <w:r w:rsidR="009D13BB" w:rsidRPr="00F87D85">
        <w:rPr>
          <w:rFonts w:ascii="Arial" w:hAnsi="Arial" w:cs="Arial"/>
          <w:i/>
          <w:noProof/>
          <w:lang w:val="en" w:eastAsia="zh-CN"/>
        </w:rPr>
        <w:t>Populus trichocarpa</w:t>
      </w:r>
      <w:r w:rsidR="009D13BB">
        <w:rPr>
          <w:rFonts w:ascii="Arial" w:hAnsi="Arial" w:cs="Arial"/>
          <w:noProof/>
          <w:lang w:val="en" w:eastAsia="zh-CN"/>
        </w:rPr>
        <w:t xml:space="preserve"> identifies signatures of selection and adaptive trait associations. Nature Genetics, 46, 1089-96.</w:t>
      </w:r>
    </w:p>
    <w:p w14:paraId="52FB98C6" w14:textId="77777777" w:rsidR="00693C09" w:rsidRPr="00863BE9" w:rsidRDefault="00693C09" w:rsidP="00BE6785">
      <w:pPr>
        <w:spacing w:line="240" w:lineRule="auto"/>
        <w:jc w:val="both"/>
        <w:rPr>
          <w:rFonts w:ascii="Arial" w:hAnsi="Arial" w:cs="Arial"/>
          <w:lang w:val="en"/>
        </w:rPr>
      </w:pPr>
      <w:r w:rsidRPr="00863BE9">
        <w:rPr>
          <w:rFonts w:ascii="Arial" w:hAnsi="Arial" w:cs="Arial"/>
          <w:color w:val="000000" w:themeColor="text1"/>
          <w:lang w:val="en"/>
        </w:rPr>
        <w:t xml:space="preserve">Fan </w:t>
      </w:r>
      <w:hyperlink r:id="rId8" w:history="1">
        <w:r w:rsidRPr="00863BE9">
          <w:rPr>
            <w:rStyle w:val="Hyperlink"/>
            <w:rFonts w:ascii="Arial" w:hAnsi="Arial" w:cs="Arial"/>
            <w:color w:val="000000" w:themeColor="text1"/>
            <w:shd w:val="clear" w:color="auto" w:fill="FFFFFF"/>
          </w:rPr>
          <w:t>D</w:t>
        </w:r>
      </w:hyperlink>
      <w:r w:rsidRPr="00863BE9">
        <w:rPr>
          <w:rFonts w:ascii="Arial" w:hAnsi="Arial" w:cs="Arial"/>
          <w:color w:val="000000" w:themeColor="text1"/>
          <w:shd w:val="clear" w:color="auto" w:fill="FFFFFF"/>
        </w:rPr>
        <w:t>, </w:t>
      </w:r>
      <w:hyperlink r:id="rId9" w:history="1">
        <w:r w:rsidRPr="00863BE9">
          <w:rPr>
            <w:rStyle w:val="Hyperlink"/>
            <w:rFonts w:ascii="Arial" w:hAnsi="Arial" w:cs="Arial"/>
            <w:color w:val="000000" w:themeColor="text1"/>
            <w:shd w:val="clear" w:color="auto" w:fill="FFFFFF"/>
          </w:rPr>
          <w:t>Liu T</w:t>
        </w:r>
      </w:hyperlink>
      <w:r w:rsidRPr="00863BE9">
        <w:rPr>
          <w:rFonts w:ascii="Arial" w:hAnsi="Arial" w:cs="Arial"/>
          <w:color w:val="000000" w:themeColor="text1"/>
          <w:shd w:val="clear" w:color="auto" w:fill="FFFFFF"/>
        </w:rPr>
        <w:t>, Li C, </w:t>
      </w:r>
      <w:hyperlink r:id="rId10" w:history="1">
        <w:r w:rsidRPr="00863BE9">
          <w:rPr>
            <w:rStyle w:val="Hyperlink"/>
            <w:rFonts w:ascii="Arial" w:hAnsi="Arial" w:cs="Arial"/>
            <w:color w:val="000000" w:themeColor="text1"/>
            <w:shd w:val="clear" w:color="auto" w:fill="FFFFFF"/>
          </w:rPr>
          <w:t>Jiao B</w:t>
        </w:r>
      </w:hyperlink>
      <w:r w:rsidRPr="00863BE9">
        <w:rPr>
          <w:rFonts w:ascii="Arial" w:hAnsi="Arial" w:cs="Arial"/>
          <w:color w:val="000000" w:themeColor="text1"/>
          <w:shd w:val="clear" w:color="auto" w:fill="FFFFFF"/>
        </w:rPr>
        <w:t>, </w:t>
      </w:r>
      <w:hyperlink r:id="rId11" w:history="1">
        <w:r w:rsidRPr="00863BE9">
          <w:rPr>
            <w:rStyle w:val="Hyperlink"/>
            <w:rFonts w:ascii="Arial" w:hAnsi="Arial" w:cs="Arial"/>
            <w:color w:val="000000" w:themeColor="text1"/>
            <w:shd w:val="clear" w:color="auto" w:fill="FFFFFF"/>
          </w:rPr>
          <w:t>Li S</w:t>
        </w:r>
      </w:hyperlink>
      <w:r w:rsidRPr="00863BE9">
        <w:rPr>
          <w:rFonts w:ascii="Arial" w:hAnsi="Arial" w:cs="Arial"/>
          <w:color w:val="000000" w:themeColor="text1"/>
          <w:shd w:val="clear" w:color="auto" w:fill="FFFFFF"/>
        </w:rPr>
        <w:t>, </w:t>
      </w:r>
      <w:hyperlink r:id="rId12" w:history="1">
        <w:r w:rsidRPr="00863BE9">
          <w:rPr>
            <w:rStyle w:val="Hyperlink"/>
            <w:rFonts w:ascii="Arial" w:hAnsi="Arial" w:cs="Arial"/>
            <w:color w:val="000000" w:themeColor="text1"/>
            <w:shd w:val="clear" w:color="auto" w:fill="FFFFFF"/>
          </w:rPr>
          <w:t>Hou Y</w:t>
        </w:r>
      </w:hyperlink>
      <w:r w:rsidRPr="00863BE9">
        <w:rPr>
          <w:rFonts w:ascii="Arial" w:hAnsi="Arial" w:cs="Arial"/>
          <w:color w:val="000000" w:themeColor="text1"/>
          <w:shd w:val="clear" w:color="auto" w:fill="FFFFFF"/>
        </w:rPr>
        <w:t>, </w:t>
      </w:r>
      <w:hyperlink r:id="rId13" w:history="1">
        <w:r w:rsidRPr="00863BE9">
          <w:rPr>
            <w:rStyle w:val="Hyperlink"/>
            <w:rFonts w:ascii="Arial" w:hAnsi="Arial" w:cs="Arial"/>
            <w:color w:val="000000" w:themeColor="text1"/>
            <w:shd w:val="clear" w:color="auto" w:fill="FFFFFF"/>
          </w:rPr>
          <w:t>Luo K</w:t>
        </w:r>
      </w:hyperlink>
      <w:r w:rsidRPr="00863BE9">
        <w:rPr>
          <w:rFonts w:ascii="Arial" w:hAnsi="Arial" w:cs="Arial"/>
          <w:color w:val="000000" w:themeColor="text1"/>
        </w:rPr>
        <w:t xml:space="preserve"> </w:t>
      </w:r>
      <w:r w:rsidRPr="00863BE9">
        <w:rPr>
          <w:rFonts w:ascii="Arial" w:hAnsi="Arial" w:cs="Arial"/>
          <w:color w:val="000000" w:themeColor="text1"/>
          <w:lang w:val="en"/>
        </w:rPr>
        <w:t xml:space="preserve"> 2015. </w:t>
      </w:r>
      <w:r w:rsidRPr="00863BE9">
        <w:rPr>
          <w:rFonts w:ascii="Arial" w:hAnsi="Arial" w:cs="Arial"/>
          <w:lang w:val="en"/>
        </w:rPr>
        <w:t xml:space="preserve">Efficient CRISPR/Cas9-mediated Targeted Mutagenesis in </w:t>
      </w:r>
      <w:r w:rsidRPr="00863BE9">
        <w:rPr>
          <w:rFonts w:ascii="Arial" w:hAnsi="Arial" w:cs="Arial"/>
          <w:i/>
          <w:lang w:val="en"/>
        </w:rPr>
        <w:t>Populus</w:t>
      </w:r>
      <w:r w:rsidRPr="00863BE9">
        <w:rPr>
          <w:rFonts w:ascii="Arial" w:hAnsi="Arial" w:cs="Arial"/>
          <w:lang w:val="en"/>
        </w:rPr>
        <w:t xml:space="preserve"> in the First Generation. Scientific Reports, 5, 12217.</w:t>
      </w:r>
    </w:p>
    <w:p w14:paraId="1920B634" w14:textId="77777777" w:rsidR="00693C09" w:rsidRPr="00863BE9" w:rsidRDefault="00693C09" w:rsidP="00BE6785">
      <w:pPr>
        <w:pStyle w:val="p2"/>
        <w:jc w:val="both"/>
        <w:rPr>
          <w:rFonts w:ascii="Arial" w:hAnsi="Arial" w:cs="Arial"/>
          <w:sz w:val="22"/>
          <w:szCs w:val="22"/>
        </w:rPr>
      </w:pPr>
      <w:r w:rsidRPr="00863BE9">
        <w:rPr>
          <w:rFonts w:ascii="Arial" w:hAnsi="Arial" w:cs="Arial"/>
          <w:sz w:val="22"/>
          <w:szCs w:val="22"/>
        </w:rPr>
        <w:t>Fernandez GGJ. 1992. Effective Selection Criteria for Assessing Plant Stress Tolerance. In: Proceedings of the International Symposium on Adaptation of Vegetables and Other Food Crops in Temperature and Water Stress. AVRDC, Shanhua, 257–70.</w:t>
      </w:r>
    </w:p>
    <w:p w14:paraId="16FAAD4E" w14:textId="77777777" w:rsidR="00693C09" w:rsidRPr="00863BE9" w:rsidRDefault="00693C09" w:rsidP="00BE6785">
      <w:pPr>
        <w:spacing w:line="240" w:lineRule="auto"/>
        <w:jc w:val="both"/>
        <w:rPr>
          <w:rFonts w:ascii="Arial" w:hAnsi="Arial" w:cs="Arial"/>
          <w:noProof/>
          <w:color w:val="000000"/>
          <w:lang w:eastAsia="zh-CN"/>
        </w:rPr>
      </w:pPr>
    </w:p>
    <w:p w14:paraId="29D73698" w14:textId="77777777" w:rsidR="00693C09" w:rsidRPr="00863BE9" w:rsidRDefault="00693C09" w:rsidP="00BE6785">
      <w:pPr>
        <w:spacing w:line="240" w:lineRule="auto"/>
        <w:jc w:val="both"/>
        <w:rPr>
          <w:rFonts w:ascii="Arial" w:hAnsi="Arial" w:cs="Arial"/>
          <w:noProof/>
          <w:color w:val="000000"/>
          <w:lang w:eastAsia="zh-CN"/>
        </w:rPr>
      </w:pPr>
      <w:r w:rsidRPr="00863BE9">
        <w:rPr>
          <w:rFonts w:ascii="Arial" w:hAnsi="Arial" w:cs="Arial"/>
          <w:noProof/>
          <w:color w:val="000000"/>
          <w:lang w:eastAsia="zh-CN"/>
        </w:rPr>
        <w:t>Foley JA et al.,</w:t>
      </w:r>
      <w:r w:rsidRPr="00863BE9">
        <w:rPr>
          <w:rFonts w:ascii="Arial" w:hAnsi="Arial" w:cs="Arial"/>
          <w:b/>
          <w:noProof/>
          <w:color w:val="000000"/>
          <w:lang w:eastAsia="zh-CN"/>
        </w:rPr>
        <w:t xml:space="preserve"> </w:t>
      </w:r>
      <w:r w:rsidRPr="00863BE9">
        <w:rPr>
          <w:rFonts w:ascii="Arial" w:hAnsi="Arial" w:cs="Arial"/>
          <w:noProof/>
          <w:color w:val="000000"/>
          <w:lang w:eastAsia="zh-CN"/>
        </w:rPr>
        <w:t>2011. Solutions for a cultivated planet</w:t>
      </w:r>
      <w:r w:rsidRPr="00863BE9">
        <w:rPr>
          <w:rFonts w:ascii="Arial" w:hAnsi="Arial" w:cs="Arial"/>
          <w:i/>
          <w:noProof/>
          <w:color w:val="000000"/>
          <w:lang w:eastAsia="zh-CN"/>
        </w:rPr>
        <w:t>.</w:t>
      </w:r>
      <w:r w:rsidRPr="00863BE9">
        <w:rPr>
          <w:rFonts w:ascii="Arial" w:hAnsi="Arial" w:cs="Arial"/>
          <w:noProof/>
          <w:color w:val="000000"/>
          <w:lang w:eastAsia="zh-CN"/>
        </w:rPr>
        <w:t xml:space="preserve"> Nature</w:t>
      </w:r>
      <w:r w:rsidRPr="00863BE9">
        <w:rPr>
          <w:rFonts w:ascii="Arial" w:hAnsi="Arial" w:cs="Arial"/>
          <w:b/>
          <w:noProof/>
          <w:color w:val="000000"/>
          <w:lang w:eastAsia="zh-CN"/>
        </w:rPr>
        <w:t>,</w:t>
      </w:r>
      <w:r w:rsidRPr="00863BE9">
        <w:rPr>
          <w:rFonts w:ascii="Arial" w:hAnsi="Arial" w:cs="Arial"/>
          <w:noProof/>
          <w:color w:val="000000"/>
          <w:lang w:eastAsia="zh-CN"/>
        </w:rPr>
        <w:t xml:space="preserve"> 478(7369): p. 337-342. </w:t>
      </w:r>
    </w:p>
    <w:p w14:paraId="405633F8" w14:textId="01BBBEDF" w:rsidR="00693C09" w:rsidRDefault="00693C09" w:rsidP="00BE6785">
      <w:pPr>
        <w:spacing w:line="240" w:lineRule="auto"/>
        <w:jc w:val="both"/>
        <w:rPr>
          <w:rFonts w:ascii="Arial" w:hAnsi="Arial" w:cs="Arial"/>
        </w:rPr>
      </w:pPr>
      <w:r w:rsidRPr="00863BE9">
        <w:rPr>
          <w:rFonts w:ascii="Arial" w:hAnsi="Arial" w:cs="Arial"/>
        </w:rPr>
        <w:t>Fuss S, Canadell JP, Peter GP, Tavoni M, Andrew RM, Andrew RM, Ciais P, Jackson RB, Jones CD, Kraxner F, Nakicenovic N, Le Quere C, Raupach MR, Sharifi A, Smith P, Yamagata Y  2014. Betting on negative emissions</w:t>
      </w:r>
      <w:r w:rsidRPr="00863BE9">
        <w:rPr>
          <w:rFonts w:ascii="Arial" w:hAnsi="Arial" w:cs="Arial"/>
          <w:i/>
        </w:rPr>
        <w:t>.</w:t>
      </w:r>
      <w:r w:rsidRPr="00863BE9">
        <w:rPr>
          <w:rFonts w:ascii="Arial" w:hAnsi="Arial" w:cs="Arial"/>
        </w:rPr>
        <w:t xml:space="preserve"> Nature Climate Change, 4, 850-853.</w:t>
      </w:r>
    </w:p>
    <w:p w14:paraId="1C580B77" w14:textId="30754486" w:rsidR="009B61C6" w:rsidRPr="00863BE9" w:rsidRDefault="009B61C6" w:rsidP="00BE6785">
      <w:pPr>
        <w:spacing w:line="240" w:lineRule="auto"/>
        <w:jc w:val="both"/>
        <w:rPr>
          <w:rFonts w:ascii="Arial" w:hAnsi="Arial" w:cs="Arial"/>
        </w:rPr>
      </w:pPr>
      <w:r>
        <w:rPr>
          <w:rFonts w:ascii="Arial" w:hAnsi="Arial" w:cs="Arial"/>
        </w:rPr>
        <w:t>Fuss S, Lamb WF, Callaghan MW, et al.,  2018. Negative Emissions- Part 2: Costs, potential and side effects. Environmental Research Letters, 13, 063002.</w:t>
      </w:r>
    </w:p>
    <w:p w14:paraId="46148743" w14:textId="77777777" w:rsidR="00693C09" w:rsidRPr="00863BE9" w:rsidRDefault="00693C09" w:rsidP="00BE6785">
      <w:pPr>
        <w:spacing w:line="240" w:lineRule="auto"/>
        <w:jc w:val="both"/>
        <w:rPr>
          <w:rFonts w:ascii="Arial" w:hAnsi="Arial" w:cs="Arial"/>
          <w:noProof/>
          <w:color w:val="000000"/>
          <w:lang w:eastAsia="zh-CN"/>
        </w:rPr>
      </w:pPr>
      <w:r w:rsidRPr="00863BE9">
        <w:rPr>
          <w:rFonts w:ascii="Arial" w:hAnsi="Arial" w:cs="Arial"/>
          <w:noProof/>
          <w:color w:val="000000"/>
          <w:lang w:eastAsia="zh-CN"/>
        </w:rPr>
        <w:t xml:space="preserve">Godfray HJC et al., 2010.  Food Security: The Challenge of Feeding 9 Billion People. Science, 327, 812-818.  </w:t>
      </w:r>
    </w:p>
    <w:p w14:paraId="1C95EAD6" w14:textId="77777777" w:rsidR="00693C09" w:rsidRDefault="00693C09" w:rsidP="00BE6785">
      <w:pPr>
        <w:spacing w:line="240" w:lineRule="auto"/>
        <w:jc w:val="both"/>
        <w:rPr>
          <w:rFonts w:ascii="Arial" w:hAnsi="Arial" w:cs="Arial"/>
          <w:noProof/>
          <w:color w:val="000000"/>
          <w:lang w:eastAsia="zh-CN"/>
        </w:rPr>
      </w:pPr>
      <w:r w:rsidRPr="00863BE9">
        <w:rPr>
          <w:rFonts w:ascii="Arial" w:hAnsi="Arial" w:cs="Arial"/>
          <w:noProof/>
          <w:color w:val="000000"/>
          <w:lang w:eastAsia="zh-CN"/>
        </w:rPr>
        <w:t>Godfray HJC et al., 2014. Food security and sustainable intensification</w:t>
      </w:r>
      <w:r w:rsidRPr="00863BE9">
        <w:rPr>
          <w:rFonts w:ascii="Arial" w:hAnsi="Arial" w:cs="Arial"/>
          <w:i/>
          <w:noProof/>
          <w:color w:val="000000"/>
          <w:lang w:eastAsia="zh-CN"/>
        </w:rPr>
        <w:t>.</w:t>
      </w:r>
      <w:r w:rsidRPr="00863BE9">
        <w:rPr>
          <w:rFonts w:ascii="Arial" w:hAnsi="Arial" w:cs="Arial"/>
          <w:noProof/>
          <w:color w:val="000000"/>
          <w:lang w:eastAsia="zh-CN"/>
        </w:rPr>
        <w:t xml:space="preserve"> Phil. Trans. R. Soc. B,  369, 20120273.</w:t>
      </w:r>
    </w:p>
    <w:p w14:paraId="3E5ED0E2" w14:textId="77777777" w:rsidR="00531D3C" w:rsidRPr="00863BE9" w:rsidRDefault="00531D3C" w:rsidP="00BE6785">
      <w:pPr>
        <w:spacing w:line="240" w:lineRule="auto"/>
        <w:jc w:val="both"/>
        <w:rPr>
          <w:rFonts w:ascii="Arial" w:hAnsi="Arial" w:cs="Arial"/>
          <w:noProof/>
          <w:color w:val="000000"/>
          <w:lang w:eastAsia="zh-CN"/>
        </w:rPr>
      </w:pPr>
      <w:r>
        <w:rPr>
          <w:rFonts w:ascii="Arial" w:hAnsi="Arial" w:cs="Arial"/>
          <w:noProof/>
          <w:color w:val="000000"/>
          <w:lang w:eastAsia="zh-CN"/>
        </w:rPr>
        <w:t>Holland RA, Eigenbrod F, Muggaridge A, Brown G, Clarke D, Taylor G 2015. A synthesis of the ecosystem services impact of second generation bioenergy crop production. Renewable and Sustainable Energy Reviews, 46, 30-40.</w:t>
      </w:r>
    </w:p>
    <w:p w14:paraId="56805055" w14:textId="77777777" w:rsidR="00E41189" w:rsidRDefault="00693C09" w:rsidP="00BE6785">
      <w:pPr>
        <w:pStyle w:val="Heading2"/>
        <w:spacing w:line="240" w:lineRule="auto"/>
        <w:jc w:val="both"/>
        <w:rPr>
          <w:rFonts w:ascii="Arial" w:hAnsi="Arial" w:cs="Arial"/>
          <w:noProof/>
          <w:color w:val="000000"/>
          <w:lang w:eastAsia="zh-CN"/>
        </w:rPr>
      </w:pPr>
      <w:r w:rsidRPr="00863BE9">
        <w:rPr>
          <w:rFonts w:ascii="Arial" w:hAnsi="Arial" w:cs="Arial"/>
          <w:noProof/>
          <w:color w:val="auto"/>
          <w:sz w:val="22"/>
          <w:szCs w:val="22"/>
          <w:lang w:eastAsia="zh-CN"/>
        </w:rPr>
        <w:t>Howarth</w:t>
      </w:r>
      <w:r w:rsidR="00042463" w:rsidRPr="00863BE9">
        <w:rPr>
          <w:rFonts w:ascii="Arial" w:hAnsi="Arial" w:cs="Arial"/>
          <w:color w:val="auto"/>
          <w:sz w:val="22"/>
          <w:szCs w:val="22"/>
          <w:lang w:val="it-IT"/>
        </w:rPr>
        <w:t xml:space="preserve"> M, Marino G, Riggi,</w:t>
      </w:r>
      <w:r w:rsidRPr="00863BE9">
        <w:rPr>
          <w:rFonts w:ascii="Arial" w:hAnsi="Arial" w:cs="Arial"/>
          <w:noProof/>
          <w:color w:val="auto"/>
          <w:sz w:val="22"/>
          <w:szCs w:val="22"/>
          <w:lang w:eastAsia="zh-CN"/>
        </w:rPr>
        <w:t xml:space="preserve"> </w:t>
      </w:r>
      <w:r w:rsidR="00042463" w:rsidRPr="00863BE9">
        <w:rPr>
          <w:rFonts w:ascii="Arial" w:hAnsi="Arial" w:cs="Arial"/>
          <w:noProof/>
          <w:color w:val="auto"/>
          <w:sz w:val="22"/>
          <w:szCs w:val="22"/>
          <w:lang w:eastAsia="zh-CN"/>
        </w:rPr>
        <w:t xml:space="preserve">E </w:t>
      </w:r>
      <w:r w:rsidRPr="00863BE9">
        <w:rPr>
          <w:rFonts w:ascii="Arial" w:hAnsi="Arial" w:cs="Arial"/>
          <w:noProof/>
          <w:color w:val="auto"/>
          <w:sz w:val="22"/>
          <w:szCs w:val="22"/>
          <w:lang w:eastAsia="zh-CN"/>
        </w:rPr>
        <w:t>et al.,</w:t>
      </w:r>
      <w:r w:rsidR="00042463" w:rsidRPr="00863BE9">
        <w:rPr>
          <w:rFonts w:ascii="Arial" w:hAnsi="Arial" w:cs="Arial"/>
          <w:noProof/>
          <w:color w:val="auto"/>
          <w:sz w:val="22"/>
          <w:szCs w:val="22"/>
          <w:lang w:eastAsia="zh-CN"/>
        </w:rPr>
        <w:t xml:space="preserve"> 2019. </w:t>
      </w:r>
      <w:r w:rsidR="00E41189" w:rsidRPr="00863BE9">
        <w:rPr>
          <w:rFonts w:ascii="Arial" w:hAnsi="Arial" w:cs="Arial"/>
          <w:color w:val="auto"/>
          <w:sz w:val="22"/>
          <w:szCs w:val="22"/>
        </w:rPr>
        <w:t xml:space="preserve">Morphological and physiological traits determine Arundo drought recovery, </w:t>
      </w:r>
      <w:r w:rsidR="00E41189" w:rsidRPr="00863BE9">
        <w:rPr>
          <w:rFonts w:ascii="Arial" w:hAnsi="Arial" w:cs="Arial"/>
          <w:i/>
          <w:color w:val="auto"/>
          <w:sz w:val="22"/>
          <w:szCs w:val="22"/>
          <w:bdr w:val="none" w:sz="0" w:space="0" w:color="auto" w:frame="1"/>
          <w:shd w:val="clear" w:color="auto" w:fill="FFFFFF"/>
        </w:rPr>
        <w:t xml:space="preserve">Annals of Botany </w:t>
      </w:r>
      <w:r w:rsidR="00E41189" w:rsidRPr="00863BE9">
        <w:rPr>
          <w:rFonts w:ascii="Arial" w:hAnsi="Arial" w:cs="Arial"/>
          <w:color w:val="auto"/>
          <w:sz w:val="22"/>
          <w:szCs w:val="22"/>
          <w:bdr w:val="none" w:sz="0" w:space="0" w:color="auto" w:frame="1"/>
          <w:shd w:val="clear" w:color="auto" w:fill="FFFFFF"/>
        </w:rPr>
        <w:t>124: xxx–xxx, doi:</w:t>
      </w:r>
      <w:r w:rsidR="00E41189" w:rsidRPr="00863BE9">
        <w:rPr>
          <w:rFonts w:ascii="Arial" w:hAnsi="Arial" w:cs="Arial"/>
          <w:noProof/>
          <w:color w:val="auto"/>
          <w:sz w:val="22"/>
          <w:szCs w:val="22"/>
          <w:lang w:eastAsia="en-GB"/>
        </w:rPr>
        <w:t xml:space="preserve"> </w:t>
      </w:r>
      <w:r w:rsidR="00E41189" w:rsidRPr="00863BE9">
        <w:rPr>
          <w:rFonts w:ascii="Arial" w:hAnsi="Arial" w:cs="Arial"/>
          <w:color w:val="auto"/>
          <w:sz w:val="22"/>
          <w:szCs w:val="22"/>
          <w:bdr w:val="none" w:sz="0" w:space="0" w:color="auto" w:frame="1"/>
          <w:shd w:val="clear" w:color="auto" w:fill="FFFFFF"/>
        </w:rPr>
        <w:t>10.1093/aob/mcy223</w:t>
      </w:r>
      <w:r w:rsidR="00BE6785">
        <w:rPr>
          <w:rFonts w:ascii="Arial" w:hAnsi="Arial" w:cs="Arial"/>
          <w:color w:val="auto"/>
          <w:sz w:val="22"/>
          <w:szCs w:val="22"/>
          <w:bdr w:val="none" w:sz="0" w:space="0" w:color="auto" w:frame="1"/>
          <w:shd w:val="clear" w:color="auto" w:fill="FFFFFF"/>
        </w:rPr>
        <w:t>.</w:t>
      </w:r>
    </w:p>
    <w:p w14:paraId="1396ABBE" w14:textId="77777777" w:rsidR="00BE6785" w:rsidRPr="009D13BB" w:rsidRDefault="00BE6785" w:rsidP="009D13BB">
      <w:pPr>
        <w:rPr>
          <w:lang w:eastAsia="zh-CN"/>
        </w:rPr>
      </w:pPr>
    </w:p>
    <w:p w14:paraId="164749DB" w14:textId="77777777" w:rsidR="00E41189" w:rsidRPr="00863BE9" w:rsidRDefault="00693C09"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863BE9">
        <w:rPr>
          <w:rFonts w:ascii="Arial" w:hAnsi="Arial" w:cs="Arial"/>
          <w:noProof/>
          <w:color w:val="auto"/>
          <w:sz w:val="22"/>
          <w:szCs w:val="22"/>
          <w:lang w:eastAsia="zh-CN"/>
        </w:rPr>
        <w:t>Huang</w:t>
      </w:r>
      <w:r w:rsidR="00E41189" w:rsidRPr="00863BE9">
        <w:rPr>
          <w:rFonts w:ascii="Arial" w:hAnsi="Arial" w:cs="Arial"/>
          <w:color w:val="auto"/>
          <w:sz w:val="22"/>
          <w:szCs w:val="22"/>
        </w:rPr>
        <w:t xml:space="preserve"> LS,  Flavell R,  Donnison IS, </w:t>
      </w:r>
      <w:r w:rsidR="00E41189" w:rsidRPr="00863BE9">
        <w:rPr>
          <w:rFonts w:ascii="Arial" w:hAnsi="Arial" w:cs="Arial"/>
          <w:noProof/>
          <w:color w:val="auto"/>
          <w:sz w:val="22"/>
          <w:szCs w:val="22"/>
          <w:lang w:eastAsia="zh-CN"/>
        </w:rPr>
        <w:t xml:space="preserve"> </w:t>
      </w:r>
      <w:r w:rsidRPr="00863BE9">
        <w:rPr>
          <w:rFonts w:ascii="Arial" w:hAnsi="Arial" w:cs="Arial"/>
          <w:noProof/>
          <w:color w:val="auto"/>
          <w:sz w:val="22"/>
          <w:szCs w:val="22"/>
          <w:lang w:eastAsia="zh-CN"/>
        </w:rPr>
        <w:t>et al</w:t>
      </w:r>
      <w:r w:rsidR="00E41189" w:rsidRPr="00863BE9">
        <w:rPr>
          <w:rFonts w:ascii="Arial" w:hAnsi="Arial" w:cs="Arial"/>
          <w:noProof/>
          <w:color w:val="auto"/>
          <w:sz w:val="22"/>
          <w:szCs w:val="22"/>
          <w:lang w:eastAsia="zh-CN"/>
        </w:rPr>
        <w:t xml:space="preserve">., 2019. </w:t>
      </w:r>
      <w:r w:rsidR="00E41189" w:rsidRPr="00863BE9">
        <w:rPr>
          <w:rFonts w:ascii="Arial" w:hAnsi="Arial" w:cs="Arial"/>
          <w:i/>
          <w:color w:val="auto"/>
          <w:sz w:val="22"/>
          <w:szCs w:val="22"/>
        </w:rPr>
        <w:t>Miscanthus</w:t>
      </w:r>
      <w:r w:rsidR="00E41189" w:rsidRPr="00863BE9">
        <w:rPr>
          <w:rFonts w:ascii="Arial" w:hAnsi="Arial" w:cs="Arial"/>
          <w:color w:val="auto"/>
          <w:sz w:val="22"/>
          <w:szCs w:val="22"/>
        </w:rPr>
        <w:t xml:space="preserve"> germplasm collection for breeding, </w:t>
      </w:r>
      <w:r w:rsidR="00E41189" w:rsidRPr="00863BE9">
        <w:rPr>
          <w:rFonts w:ascii="Arial" w:hAnsi="Arial" w:cs="Arial"/>
          <w:i/>
          <w:color w:val="auto"/>
          <w:sz w:val="22"/>
          <w:szCs w:val="22"/>
          <w:bdr w:val="none" w:sz="0" w:space="0" w:color="auto" w:frame="1"/>
          <w:shd w:val="clear" w:color="auto" w:fill="FFFFFF"/>
        </w:rPr>
        <w:t xml:space="preserve">Annals of Botany </w:t>
      </w:r>
      <w:r w:rsidR="00E41189" w:rsidRPr="00863BE9">
        <w:rPr>
          <w:rFonts w:ascii="Arial" w:hAnsi="Arial" w:cs="Arial"/>
          <w:color w:val="auto"/>
          <w:sz w:val="22"/>
          <w:szCs w:val="22"/>
          <w:bdr w:val="none" w:sz="0" w:space="0" w:color="auto" w:frame="1"/>
          <w:shd w:val="clear" w:color="auto" w:fill="FFFFFF"/>
        </w:rPr>
        <w:t>124: xxx–xxx, doi:</w:t>
      </w:r>
      <w:r w:rsidR="00E41189" w:rsidRPr="00863BE9">
        <w:rPr>
          <w:rFonts w:ascii="Arial" w:hAnsi="Arial" w:cs="Arial"/>
          <w:noProof/>
          <w:color w:val="auto"/>
          <w:sz w:val="22"/>
          <w:szCs w:val="22"/>
          <w:lang w:eastAsia="en-GB"/>
        </w:rPr>
        <w:t xml:space="preserve"> </w:t>
      </w:r>
      <w:r w:rsidR="00E41189" w:rsidRPr="00863BE9">
        <w:rPr>
          <w:rFonts w:ascii="Arial" w:hAnsi="Arial" w:cs="Arial"/>
          <w:color w:val="auto"/>
          <w:sz w:val="22"/>
          <w:szCs w:val="22"/>
          <w:bdr w:val="none" w:sz="0" w:space="0" w:color="auto" w:frame="1"/>
          <w:shd w:val="clear" w:color="auto" w:fill="FFFFFF"/>
        </w:rPr>
        <w:t>10.1093/aob/mcy231</w:t>
      </w:r>
      <w:r w:rsidR="00BE6785">
        <w:rPr>
          <w:rFonts w:ascii="Arial" w:hAnsi="Arial" w:cs="Arial"/>
          <w:color w:val="auto"/>
          <w:sz w:val="22"/>
          <w:szCs w:val="22"/>
          <w:bdr w:val="none" w:sz="0" w:space="0" w:color="auto" w:frame="1"/>
          <w:shd w:val="clear" w:color="auto" w:fill="FFFFFF"/>
        </w:rPr>
        <w:t>.</w:t>
      </w:r>
    </w:p>
    <w:p w14:paraId="47E90204" w14:textId="77777777" w:rsidR="00693C09" w:rsidRPr="00863BE9" w:rsidRDefault="00693C09" w:rsidP="00BE6785">
      <w:pPr>
        <w:spacing w:line="240" w:lineRule="auto"/>
        <w:jc w:val="both"/>
        <w:rPr>
          <w:rFonts w:ascii="Arial" w:hAnsi="Arial" w:cs="Arial"/>
          <w:noProof/>
          <w:color w:val="000000"/>
          <w:lang w:eastAsia="zh-CN"/>
        </w:rPr>
      </w:pPr>
    </w:p>
    <w:p w14:paraId="50FF3AC7" w14:textId="77777777" w:rsidR="00693C09" w:rsidRPr="00863BE9" w:rsidRDefault="00693C09" w:rsidP="00BE6785">
      <w:pPr>
        <w:spacing w:line="240" w:lineRule="auto"/>
        <w:jc w:val="both"/>
        <w:rPr>
          <w:rFonts w:ascii="Arial" w:hAnsi="Arial" w:cs="Arial"/>
        </w:rPr>
      </w:pPr>
      <w:r w:rsidRPr="00863BE9">
        <w:rPr>
          <w:rFonts w:ascii="Arial" w:hAnsi="Arial" w:cs="Arial"/>
        </w:rPr>
        <w:t>IPCC, 2014. Climate Change 2014, Synthesis Report. Contribution of Working Groups I, II and III to the Fifth Assessment Report of the Intergovernmental Panel on Climate Change [Core Writing Team, R.K. Pachauri and L.A. Meyer (eds.)]. IPCC, Geneva, Switzerland, 151 pp.</w:t>
      </w:r>
    </w:p>
    <w:p w14:paraId="6A7ED0A3" w14:textId="77777777" w:rsidR="00863BE9" w:rsidRPr="00923560" w:rsidRDefault="00693C09" w:rsidP="00BE6785">
      <w:pPr>
        <w:spacing w:line="240" w:lineRule="auto"/>
        <w:jc w:val="both"/>
        <w:rPr>
          <w:rFonts w:ascii="Arial" w:hAnsi="Arial" w:cs="Arial"/>
          <w:lang w:val="nl-NL"/>
        </w:rPr>
      </w:pPr>
      <w:r w:rsidRPr="00863BE9">
        <w:rPr>
          <w:rFonts w:ascii="Arial" w:hAnsi="Arial" w:cs="Arial"/>
          <w:noProof/>
          <w:lang w:val="en" w:eastAsia="zh-CN"/>
        </w:rPr>
        <w:t xml:space="preserve">Jannink JL et al  2010. Genomic selection in plant breeding from theory to practice. </w:t>
      </w:r>
      <w:r w:rsidRPr="00923560">
        <w:rPr>
          <w:rFonts w:ascii="Arial" w:hAnsi="Arial" w:cs="Arial"/>
          <w:noProof/>
          <w:lang w:val="nl-NL" w:eastAsia="zh-CN"/>
        </w:rPr>
        <w:t>Briefings in Functional Genomics, 9, 166-177.</w:t>
      </w:r>
    </w:p>
    <w:p w14:paraId="1E16F015" w14:textId="77777777" w:rsidR="00863BE9" w:rsidRPr="00863BE9" w:rsidRDefault="00863BE9" w:rsidP="00BE6785">
      <w:pPr>
        <w:pStyle w:val="Heading2"/>
        <w:spacing w:line="240" w:lineRule="auto"/>
        <w:jc w:val="both"/>
        <w:rPr>
          <w:rFonts w:ascii="Arial" w:hAnsi="Arial" w:cs="Arial"/>
        </w:rPr>
      </w:pPr>
      <w:r w:rsidRPr="00923560">
        <w:rPr>
          <w:rFonts w:ascii="Arial" w:hAnsi="Arial" w:cs="Arial"/>
          <w:color w:val="auto"/>
          <w:sz w:val="22"/>
          <w:szCs w:val="22"/>
          <w:lang w:val="nl-NL"/>
        </w:rPr>
        <w:t xml:space="preserve">Klaas M, Haiminen N, Grant J  et al., 2019. </w:t>
      </w:r>
      <w:r w:rsidRPr="00863BE9">
        <w:rPr>
          <w:rFonts w:ascii="Arial" w:hAnsi="Arial" w:cs="Arial"/>
          <w:color w:val="auto"/>
          <w:sz w:val="22"/>
          <w:szCs w:val="22"/>
        </w:rPr>
        <w:t xml:space="preserve">Gene expression under water stress in grasses, </w:t>
      </w:r>
      <w:r w:rsidRPr="00863BE9">
        <w:rPr>
          <w:rFonts w:ascii="Arial" w:hAnsi="Arial" w:cs="Arial"/>
          <w:i/>
          <w:color w:val="auto"/>
          <w:sz w:val="22"/>
          <w:szCs w:val="22"/>
          <w:bdr w:val="none" w:sz="0" w:space="0" w:color="auto" w:frame="1"/>
          <w:shd w:val="clear" w:color="auto" w:fill="FFFFFF"/>
        </w:rPr>
        <w:t xml:space="preserve">Annals of Botany </w:t>
      </w:r>
      <w:r w:rsidRPr="00863BE9">
        <w:rPr>
          <w:rFonts w:ascii="Arial" w:hAnsi="Arial" w:cs="Arial"/>
          <w:color w:val="auto"/>
          <w:sz w:val="22"/>
          <w:szCs w:val="22"/>
          <w:bdr w:val="none" w:sz="0" w:space="0" w:color="auto" w:frame="1"/>
          <w:shd w:val="clear" w:color="auto" w:fill="FFFFFF"/>
        </w:rPr>
        <w:t>124: xxx–xxx, doi:</w:t>
      </w:r>
      <w:r w:rsidRPr="00863BE9">
        <w:rPr>
          <w:rFonts w:ascii="Arial" w:hAnsi="Arial" w:cs="Arial"/>
          <w:noProof/>
          <w:color w:val="auto"/>
          <w:sz w:val="22"/>
          <w:szCs w:val="22"/>
          <w:lang w:eastAsia="en-GB"/>
        </w:rPr>
        <w:t xml:space="preserve"> </w:t>
      </w:r>
      <w:r w:rsidRPr="00863BE9">
        <w:rPr>
          <w:rFonts w:ascii="Arial" w:hAnsi="Arial" w:cs="Arial"/>
          <w:color w:val="auto"/>
          <w:sz w:val="22"/>
          <w:szCs w:val="22"/>
          <w:bdr w:val="none" w:sz="0" w:space="0" w:color="auto" w:frame="1"/>
          <w:shd w:val="clear" w:color="auto" w:fill="FFFFFF"/>
        </w:rPr>
        <w:t>10.1093/aob/mcz</w:t>
      </w:r>
      <w:r w:rsidR="00BE6785">
        <w:rPr>
          <w:rFonts w:ascii="Arial" w:hAnsi="Arial" w:cs="Arial"/>
          <w:color w:val="auto"/>
          <w:sz w:val="22"/>
          <w:szCs w:val="22"/>
          <w:bdr w:val="none" w:sz="0" w:space="0" w:color="auto" w:frame="1"/>
          <w:shd w:val="clear" w:color="auto" w:fill="FFFFFF"/>
        </w:rPr>
        <w:t>.</w:t>
      </w:r>
    </w:p>
    <w:p w14:paraId="71051A8F" w14:textId="77777777" w:rsidR="00BE6785" w:rsidRDefault="00BE6785" w:rsidP="00BE6785">
      <w:pPr>
        <w:spacing w:line="240" w:lineRule="auto"/>
        <w:jc w:val="both"/>
        <w:rPr>
          <w:rFonts w:ascii="Arial" w:hAnsi="Arial" w:cs="Arial"/>
          <w:noProof/>
          <w:lang w:eastAsia="zh-CN"/>
        </w:rPr>
      </w:pPr>
      <w:bookmarkStart w:id="1" w:name="bau0005"/>
    </w:p>
    <w:p w14:paraId="6BD8E458" w14:textId="77777777" w:rsidR="00693C09" w:rsidRPr="00863BE9" w:rsidRDefault="00693C09" w:rsidP="00BE6785">
      <w:pPr>
        <w:spacing w:line="240" w:lineRule="auto"/>
        <w:jc w:val="both"/>
        <w:rPr>
          <w:rFonts w:ascii="Arial" w:hAnsi="Arial" w:cs="Arial"/>
          <w:noProof/>
          <w:lang w:eastAsia="zh-CN"/>
        </w:rPr>
      </w:pPr>
      <w:r w:rsidRPr="00863BE9">
        <w:rPr>
          <w:rFonts w:ascii="Arial" w:hAnsi="Arial" w:cs="Arial"/>
          <w:noProof/>
          <w:lang w:eastAsia="zh-CN"/>
        </w:rPr>
        <w:t>Lander ES, 2016. The Heroes of CRISPR. Cell 164, January 14, 2016.</w:t>
      </w:r>
    </w:p>
    <w:p w14:paraId="7ABD02AB" w14:textId="77777777" w:rsidR="0071365B" w:rsidRPr="00863BE9" w:rsidRDefault="00693C09" w:rsidP="00BE6785">
      <w:pPr>
        <w:pStyle w:val="Heading2"/>
        <w:spacing w:line="240" w:lineRule="auto"/>
        <w:jc w:val="both"/>
        <w:rPr>
          <w:rFonts w:ascii="Arial" w:hAnsi="Arial" w:cs="Arial"/>
          <w:color w:val="auto"/>
          <w:sz w:val="22"/>
          <w:szCs w:val="22"/>
        </w:rPr>
      </w:pPr>
      <w:r w:rsidRPr="00863BE9">
        <w:rPr>
          <w:rFonts w:ascii="Arial" w:hAnsi="Arial" w:cs="Arial"/>
          <w:noProof/>
          <w:color w:val="auto"/>
          <w:sz w:val="22"/>
          <w:szCs w:val="22"/>
          <w:lang w:eastAsia="zh-CN"/>
        </w:rPr>
        <w:t xml:space="preserve">Larue </w:t>
      </w:r>
      <w:r w:rsidR="0071365B" w:rsidRPr="00863BE9">
        <w:rPr>
          <w:rFonts w:ascii="Arial" w:hAnsi="Arial" w:cs="Arial"/>
          <w:color w:val="auto"/>
          <w:sz w:val="22"/>
          <w:szCs w:val="22"/>
          <w:lang w:val="fr-FR"/>
        </w:rPr>
        <w:t>F, Fumey D,  Rouan L</w:t>
      </w:r>
      <w:r w:rsidR="0071365B" w:rsidRPr="00863BE9">
        <w:rPr>
          <w:rFonts w:ascii="Arial" w:hAnsi="Arial" w:cs="Arial"/>
          <w:noProof/>
          <w:color w:val="auto"/>
          <w:sz w:val="22"/>
          <w:szCs w:val="22"/>
          <w:lang w:eastAsia="zh-CN"/>
        </w:rPr>
        <w:t xml:space="preserve"> </w:t>
      </w:r>
      <w:r w:rsidRPr="00863BE9">
        <w:rPr>
          <w:rFonts w:ascii="Arial" w:hAnsi="Arial" w:cs="Arial"/>
          <w:noProof/>
          <w:color w:val="auto"/>
          <w:sz w:val="22"/>
          <w:szCs w:val="22"/>
          <w:lang w:eastAsia="zh-CN"/>
        </w:rPr>
        <w:t>et al</w:t>
      </w:r>
      <w:r w:rsidR="0071365B" w:rsidRPr="00863BE9">
        <w:rPr>
          <w:rFonts w:ascii="Arial" w:hAnsi="Arial" w:cs="Arial"/>
          <w:noProof/>
          <w:color w:val="auto"/>
          <w:sz w:val="22"/>
          <w:szCs w:val="22"/>
          <w:lang w:eastAsia="zh-CN"/>
        </w:rPr>
        <w:t xml:space="preserve">., 2019. </w:t>
      </w:r>
      <w:r w:rsidR="0071365B" w:rsidRPr="00863BE9">
        <w:rPr>
          <w:rFonts w:ascii="Arial" w:hAnsi="Arial" w:cs="Arial"/>
          <w:color w:val="auto"/>
          <w:sz w:val="22"/>
          <w:szCs w:val="22"/>
        </w:rPr>
        <w:t xml:space="preserve">Modelling biomass sorghum ideotypes </w:t>
      </w:r>
    </w:p>
    <w:p w14:paraId="401C6051" w14:textId="77777777" w:rsidR="00693C09" w:rsidRDefault="0071365B" w:rsidP="00BE6785">
      <w:pPr>
        <w:spacing w:line="240" w:lineRule="auto"/>
        <w:jc w:val="both"/>
        <w:rPr>
          <w:rFonts w:ascii="Arial" w:hAnsi="Arial" w:cs="Arial"/>
          <w:bdr w:val="none" w:sz="0" w:space="0" w:color="auto" w:frame="1"/>
          <w:shd w:val="clear" w:color="auto" w:fill="FFFFFF"/>
        </w:rPr>
      </w:pPr>
      <w:r w:rsidRPr="00863BE9">
        <w:rPr>
          <w:rFonts w:ascii="Arial" w:hAnsi="Arial" w:cs="Arial"/>
          <w:bdr w:val="none" w:sz="0" w:space="0" w:color="auto" w:frame="1"/>
          <w:shd w:val="clear" w:color="auto" w:fill="FFFFFF"/>
        </w:rPr>
        <w:t>Annals of Botany 124: xxx–xxx, doi:</w:t>
      </w:r>
      <w:r w:rsidRPr="00863BE9">
        <w:rPr>
          <w:rFonts w:ascii="Arial" w:hAnsi="Arial" w:cs="Arial"/>
          <w:noProof/>
          <w:lang w:eastAsia="en-GB"/>
        </w:rPr>
        <w:t xml:space="preserve"> </w:t>
      </w:r>
      <w:r w:rsidRPr="00863BE9">
        <w:rPr>
          <w:rFonts w:ascii="Arial" w:hAnsi="Arial" w:cs="Arial"/>
          <w:bdr w:val="none" w:sz="0" w:space="0" w:color="auto" w:frame="1"/>
          <w:shd w:val="clear" w:color="auto" w:fill="FFFFFF"/>
        </w:rPr>
        <w:t>10.1093/aob/mcz038</w:t>
      </w:r>
      <w:r w:rsidR="00BE6785">
        <w:rPr>
          <w:rFonts w:ascii="Arial" w:hAnsi="Arial" w:cs="Arial"/>
          <w:bdr w:val="none" w:sz="0" w:space="0" w:color="auto" w:frame="1"/>
          <w:shd w:val="clear" w:color="auto" w:fill="FFFFFF"/>
        </w:rPr>
        <w:t>.</w:t>
      </w:r>
    </w:p>
    <w:p w14:paraId="1BA7E98E" w14:textId="77777777" w:rsidR="002008AC" w:rsidRPr="00863BE9" w:rsidRDefault="002008AC" w:rsidP="00BE6785">
      <w:pPr>
        <w:spacing w:line="240" w:lineRule="auto"/>
        <w:jc w:val="both"/>
        <w:rPr>
          <w:rFonts w:ascii="Arial" w:hAnsi="Arial" w:cs="Arial"/>
        </w:rPr>
      </w:pPr>
      <w:r w:rsidRPr="00923560">
        <w:rPr>
          <w:rFonts w:ascii="Arial" w:hAnsi="Arial" w:cs="Arial"/>
          <w:bdr w:val="none" w:sz="0" w:space="0" w:color="auto" w:frame="1"/>
          <w:shd w:val="clear" w:color="auto" w:fill="FFFFFF"/>
          <w:lang w:val="de-DE"/>
        </w:rPr>
        <w:t xml:space="preserve">Laurens LML, Chen-Glasser M, McMilla JD 2017. </w:t>
      </w:r>
      <w:r>
        <w:rPr>
          <w:rFonts w:ascii="Arial" w:hAnsi="Arial" w:cs="Arial"/>
          <w:bdr w:val="none" w:sz="0" w:space="0" w:color="auto" w:frame="1"/>
          <w:shd w:val="clear" w:color="auto" w:fill="FFFFFF"/>
        </w:rPr>
        <w:t xml:space="preserve">Letter to the Editor. </w:t>
      </w:r>
      <w:r w:rsidR="00531D3C">
        <w:rPr>
          <w:rFonts w:ascii="Arial" w:hAnsi="Arial" w:cs="Arial"/>
          <w:bdr w:val="none" w:sz="0" w:space="0" w:color="auto" w:frame="1"/>
          <w:shd w:val="clear" w:color="auto" w:fill="FFFFFF"/>
        </w:rPr>
        <w:t>Algal Research, 24, 261-264.</w:t>
      </w:r>
    </w:p>
    <w:p w14:paraId="13B7B62B" w14:textId="77777777" w:rsidR="00693C09" w:rsidRPr="00863BE9" w:rsidRDefault="00693C09" w:rsidP="00BE6785">
      <w:pPr>
        <w:spacing w:line="240" w:lineRule="auto"/>
        <w:jc w:val="both"/>
        <w:rPr>
          <w:rFonts w:ascii="Arial" w:hAnsi="Arial" w:cs="Arial"/>
        </w:rPr>
      </w:pPr>
      <w:r w:rsidRPr="00863BE9">
        <w:rPr>
          <w:rFonts w:ascii="Arial" w:hAnsi="Arial" w:cs="Arial"/>
        </w:rPr>
        <w:t xml:space="preserve">Laurant A, </w:t>
      </w:r>
      <w:bookmarkStart w:id="2" w:name="bau0015"/>
      <w:bookmarkEnd w:id="1"/>
      <w:r w:rsidRPr="00863BE9">
        <w:rPr>
          <w:rFonts w:ascii="Arial" w:hAnsi="Arial" w:cs="Arial"/>
        </w:rPr>
        <w:t>Pelzer E, Loyce C, Makawski D</w:t>
      </w:r>
      <w:bookmarkEnd w:id="2"/>
      <w:r w:rsidRPr="00863BE9">
        <w:rPr>
          <w:rFonts w:ascii="Arial" w:hAnsi="Arial" w:cs="Arial"/>
        </w:rPr>
        <w:t xml:space="preserve"> 2015. Ranking yields of energy crops: A meta-analysis using direct and indirect comparisons. 2015. Renewable and Sustainable Energy Reviews, 46, 41-50.</w:t>
      </w:r>
    </w:p>
    <w:p w14:paraId="09D45156" w14:textId="77777777" w:rsidR="00693C09" w:rsidRDefault="00693C09" w:rsidP="00BE6785">
      <w:pPr>
        <w:spacing w:after="0" w:line="240" w:lineRule="auto"/>
        <w:jc w:val="both"/>
        <w:rPr>
          <w:rFonts w:ascii="Arial" w:eastAsia="Calibri" w:hAnsi="Arial" w:cs="Arial"/>
        </w:rPr>
      </w:pPr>
      <w:r w:rsidRPr="00863BE9">
        <w:rPr>
          <w:rFonts w:ascii="Arial" w:eastAsia="Calibri" w:hAnsi="Arial" w:cs="Arial"/>
          <w:caps/>
        </w:rPr>
        <w:t>L</w:t>
      </w:r>
      <w:r w:rsidRPr="00863BE9">
        <w:rPr>
          <w:rFonts w:ascii="Arial" w:eastAsia="Calibri" w:hAnsi="Arial" w:cs="Arial"/>
        </w:rPr>
        <w:t>iu</w:t>
      </w:r>
      <w:r w:rsidRPr="00863BE9">
        <w:rPr>
          <w:rFonts w:ascii="Arial" w:eastAsia="Calibri" w:hAnsi="Arial" w:cs="Arial"/>
          <w:caps/>
        </w:rPr>
        <w:t xml:space="preserve"> Z and D</w:t>
      </w:r>
      <w:r w:rsidRPr="00863BE9">
        <w:rPr>
          <w:rFonts w:ascii="Arial" w:eastAsia="Calibri" w:hAnsi="Arial" w:cs="Arial"/>
        </w:rPr>
        <w:t>ickman</w:t>
      </w:r>
      <w:r w:rsidRPr="00863BE9">
        <w:rPr>
          <w:rFonts w:ascii="Arial" w:eastAsia="Calibri" w:hAnsi="Arial" w:cs="Arial"/>
          <w:caps/>
        </w:rPr>
        <w:t xml:space="preserve"> DI </w:t>
      </w:r>
      <w:r w:rsidRPr="00863BE9">
        <w:rPr>
          <w:rFonts w:ascii="Arial" w:eastAsia="Calibri" w:hAnsi="Arial" w:cs="Arial"/>
        </w:rPr>
        <w:t xml:space="preserve">1992. Abscisic acid accumulation in leaves of two contrasting hybrid poplar clones affected by nitrogen fertilization plus cyclic flooding and soil drying. Tree Physiology 11, 109–122. </w:t>
      </w:r>
    </w:p>
    <w:p w14:paraId="31410F2F" w14:textId="77777777" w:rsidR="00B448F1" w:rsidRDefault="00B448F1" w:rsidP="00BE6785">
      <w:pPr>
        <w:spacing w:after="0" w:line="240" w:lineRule="auto"/>
        <w:jc w:val="both"/>
        <w:rPr>
          <w:rFonts w:ascii="Arial" w:eastAsia="Calibri" w:hAnsi="Arial" w:cs="Arial"/>
        </w:rPr>
      </w:pPr>
    </w:p>
    <w:p w14:paraId="27F047BB" w14:textId="77777777" w:rsidR="00B448F1" w:rsidRDefault="00B448F1" w:rsidP="00BE6785">
      <w:pPr>
        <w:spacing w:after="0" w:line="240" w:lineRule="auto"/>
        <w:jc w:val="both"/>
        <w:rPr>
          <w:rFonts w:ascii="Arial" w:eastAsia="Calibri" w:hAnsi="Arial" w:cs="Arial"/>
        </w:rPr>
      </w:pPr>
      <w:r>
        <w:rPr>
          <w:rFonts w:ascii="Arial" w:eastAsia="Calibri" w:hAnsi="Arial" w:cs="Arial"/>
        </w:rPr>
        <w:t xml:space="preserve">Lopez-Alvarez D, Zubair H, Beckmann M, Draper J, Catalan P 2017. Diversity and association of phenotypic and metabolic traits in the close model grasses </w:t>
      </w:r>
      <w:r w:rsidRPr="009401FF">
        <w:rPr>
          <w:rFonts w:ascii="Arial" w:eastAsia="Calibri" w:hAnsi="Arial" w:cs="Arial"/>
          <w:i/>
        </w:rPr>
        <w:t>Brachypodium distachyon</w:t>
      </w:r>
      <w:r>
        <w:rPr>
          <w:rFonts w:ascii="Arial" w:eastAsia="Calibri" w:hAnsi="Arial" w:cs="Arial"/>
        </w:rPr>
        <w:t xml:space="preserve">, </w:t>
      </w:r>
      <w:r>
        <w:rPr>
          <w:rFonts w:ascii="Arial" w:eastAsia="Calibri" w:hAnsi="Arial" w:cs="Arial"/>
          <w:i/>
        </w:rPr>
        <w:t xml:space="preserve">B. stacei, </w:t>
      </w:r>
      <w:r>
        <w:rPr>
          <w:rFonts w:ascii="Arial" w:eastAsia="Calibri" w:hAnsi="Arial" w:cs="Arial"/>
        </w:rPr>
        <w:t xml:space="preserve"> and </w:t>
      </w:r>
      <w:r>
        <w:rPr>
          <w:rFonts w:ascii="Arial" w:eastAsia="Calibri" w:hAnsi="Arial" w:cs="Arial"/>
          <w:i/>
        </w:rPr>
        <w:t>B. hybridum</w:t>
      </w:r>
      <w:r>
        <w:rPr>
          <w:rFonts w:ascii="Arial" w:eastAsia="Calibri" w:hAnsi="Arial" w:cs="Arial"/>
        </w:rPr>
        <w:t>. Annals of Botany, 119, 545-561.</w:t>
      </w:r>
    </w:p>
    <w:p w14:paraId="47FC999D" w14:textId="77777777" w:rsidR="001E2780" w:rsidRDefault="001E2780" w:rsidP="00BE6785">
      <w:pPr>
        <w:spacing w:after="0" w:line="240" w:lineRule="auto"/>
        <w:jc w:val="both"/>
        <w:rPr>
          <w:rFonts w:ascii="Arial" w:eastAsia="Calibri" w:hAnsi="Arial" w:cs="Arial"/>
        </w:rPr>
      </w:pPr>
    </w:p>
    <w:p w14:paraId="409DFD38" w14:textId="77777777" w:rsidR="001E2780" w:rsidRPr="00B448F1" w:rsidRDefault="001E2780" w:rsidP="00BE6785">
      <w:pPr>
        <w:spacing w:after="0" w:line="240" w:lineRule="auto"/>
        <w:jc w:val="both"/>
        <w:rPr>
          <w:rFonts w:ascii="Arial" w:eastAsia="Calibri" w:hAnsi="Arial" w:cs="Arial"/>
        </w:rPr>
      </w:pPr>
      <w:r>
        <w:rPr>
          <w:rFonts w:ascii="Arial" w:eastAsia="Calibri" w:hAnsi="Arial" w:cs="Arial"/>
        </w:rPr>
        <w:t>Manning P, Taylor G, Hanley ME 2015. Bioenergy food production and biodiversity – an unlikely alliance? Global change Biology Bioenergy, 7, 570-576.</w:t>
      </w:r>
    </w:p>
    <w:p w14:paraId="08081760" w14:textId="77777777" w:rsidR="00693C09" w:rsidRPr="00863BE9" w:rsidRDefault="00693C09" w:rsidP="00BE6785">
      <w:pPr>
        <w:spacing w:after="0" w:line="240" w:lineRule="auto"/>
        <w:jc w:val="both"/>
        <w:rPr>
          <w:rFonts w:ascii="Arial" w:eastAsia="Calibri" w:hAnsi="Arial" w:cs="Arial"/>
        </w:rPr>
      </w:pPr>
    </w:p>
    <w:p w14:paraId="39758309" w14:textId="77777777" w:rsidR="00693C09" w:rsidRPr="00863BE9" w:rsidRDefault="00693C09" w:rsidP="00BE6785">
      <w:pPr>
        <w:spacing w:after="0" w:line="240" w:lineRule="auto"/>
        <w:jc w:val="both"/>
        <w:rPr>
          <w:rFonts w:ascii="Arial" w:eastAsia="Calibri" w:hAnsi="Arial" w:cs="Arial"/>
        </w:rPr>
      </w:pPr>
      <w:r w:rsidRPr="00863BE9">
        <w:rPr>
          <w:rFonts w:ascii="Arial" w:eastAsia="Calibri" w:hAnsi="Arial" w:cs="Arial"/>
        </w:rPr>
        <w:t>Marron N, Delay D, Petit JM, Dreyer E, Kahlem G, Delmotte FM, Brignolas F 2002. Physiological traits of two Populus x euramericana clones, Luisa Avanzo and Dorskamp, during a water stress and re-watering cycle. Tree Physiology 22, 849-858.</w:t>
      </w:r>
    </w:p>
    <w:p w14:paraId="6C30BCD8" w14:textId="77777777" w:rsidR="00693C09" w:rsidRPr="00863BE9" w:rsidRDefault="00693C09" w:rsidP="00BE6785">
      <w:pPr>
        <w:spacing w:after="0" w:line="240" w:lineRule="auto"/>
        <w:jc w:val="both"/>
        <w:rPr>
          <w:rFonts w:ascii="Arial" w:eastAsia="Calibri" w:hAnsi="Arial" w:cs="Arial"/>
        </w:rPr>
      </w:pPr>
    </w:p>
    <w:p w14:paraId="24C99CBD" w14:textId="77777777" w:rsidR="00693C09" w:rsidRDefault="00693C09" w:rsidP="00BE6785">
      <w:pPr>
        <w:spacing w:after="0" w:line="240" w:lineRule="auto"/>
        <w:jc w:val="both"/>
        <w:rPr>
          <w:rFonts w:ascii="Arial" w:eastAsia="Calibri" w:hAnsi="Arial" w:cs="Arial"/>
        </w:rPr>
      </w:pPr>
      <w:r w:rsidRPr="00863BE9">
        <w:rPr>
          <w:rFonts w:ascii="Arial" w:eastAsia="Calibri" w:hAnsi="Arial" w:cs="Arial"/>
        </w:rPr>
        <w:t xml:space="preserve">Marron N, Delay D, Petit JM, et al. 2002. Physiological traits of two Populus x euramericana clones, Luisa Avanzo and Dorskamp, during a water stress and re-watering cycle. Tree Physiology 22, 849–858. </w:t>
      </w:r>
    </w:p>
    <w:p w14:paraId="658EB249" w14:textId="77777777" w:rsidR="00276E1C" w:rsidRDefault="00276E1C" w:rsidP="00BE6785">
      <w:pPr>
        <w:spacing w:after="0" w:line="240" w:lineRule="auto"/>
        <w:jc w:val="both"/>
        <w:rPr>
          <w:rFonts w:ascii="Arial" w:eastAsia="Calibri" w:hAnsi="Arial" w:cs="Arial"/>
        </w:rPr>
      </w:pPr>
    </w:p>
    <w:p w14:paraId="2E5A7A21" w14:textId="77777777" w:rsidR="00276E1C" w:rsidRPr="00863BE9" w:rsidRDefault="00276E1C" w:rsidP="00BE6785">
      <w:pPr>
        <w:spacing w:after="0" w:line="240" w:lineRule="auto"/>
        <w:jc w:val="both"/>
        <w:rPr>
          <w:rFonts w:ascii="Arial" w:eastAsia="Calibri" w:hAnsi="Arial" w:cs="Arial"/>
        </w:rPr>
      </w:pPr>
      <w:r>
        <w:rPr>
          <w:rFonts w:ascii="Arial" w:eastAsia="Calibri" w:hAnsi="Arial" w:cs="Arial"/>
        </w:rPr>
        <w:t>Meents M, Watanbe Y, Samuels AL 2018. The cell biology of secondary cell wall biosynthesis. Annals of Botany, 121, 1107-1125.</w:t>
      </w:r>
    </w:p>
    <w:p w14:paraId="600C1522" w14:textId="77777777" w:rsidR="00693C09" w:rsidRDefault="00693C09" w:rsidP="00BE6785">
      <w:pPr>
        <w:spacing w:after="0" w:line="240" w:lineRule="auto"/>
        <w:jc w:val="both"/>
        <w:rPr>
          <w:rFonts w:ascii="Arial" w:eastAsia="Calibri" w:hAnsi="Arial" w:cs="Arial"/>
        </w:rPr>
      </w:pPr>
    </w:p>
    <w:p w14:paraId="4A93AEB0" w14:textId="77777777" w:rsidR="001E2780" w:rsidRPr="00B80D32" w:rsidRDefault="001E2780" w:rsidP="00BE6785">
      <w:pPr>
        <w:shd w:val="clear" w:color="auto" w:fill="FFFFFF"/>
        <w:spacing w:after="0" w:line="240" w:lineRule="auto"/>
        <w:jc w:val="both"/>
        <w:rPr>
          <w:rFonts w:ascii="Arial" w:eastAsia="Times New Roman" w:hAnsi="Arial" w:cs="Arial"/>
        </w:rPr>
      </w:pPr>
      <w:r w:rsidRPr="00B80D32">
        <w:rPr>
          <w:rFonts w:ascii="Arial" w:eastAsia="Times New Roman" w:hAnsi="Arial" w:cs="Arial"/>
        </w:rPr>
        <w:t xml:space="preserve">Milner S, Holland RA, Lovett A, Sunnenberg G, Hastings A, Smith P. Wang S, Taylor G 2016. </w:t>
      </w:r>
    </w:p>
    <w:p w14:paraId="1EA18103" w14:textId="77777777" w:rsidR="001E2780" w:rsidRPr="00B80D32" w:rsidRDefault="00CC1179" w:rsidP="00BE6785">
      <w:pPr>
        <w:spacing w:after="0" w:line="240" w:lineRule="auto"/>
        <w:jc w:val="both"/>
        <w:rPr>
          <w:rFonts w:ascii="Arial" w:eastAsia="Times New Roman" w:hAnsi="Arial" w:cs="Arial"/>
        </w:rPr>
      </w:pPr>
      <w:hyperlink r:id="rId14" w:history="1">
        <w:r w:rsidR="001E2780" w:rsidRPr="00B80D32">
          <w:rPr>
            <w:rFonts w:ascii="Arial" w:eastAsia="Times New Roman" w:hAnsi="Arial" w:cs="Arial"/>
            <w:shd w:val="clear" w:color="auto" w:fill="FFFFFF"/>
          </w:rPr>
          <w:t>Potential impacts on ecosystem services of land use transitions to second</w:t>
        </w:r>
        <w:r w:rsidR="001E2780" w:rsidRPr="00B80D32">
          <w:rPr>
            <w:rFonts w:ascii="Cambria Math" w:eastAsia="Times New Roman" w:hAnsi="Cambria Math" w:cs="Cambria Math"/>
            <w:shd w:val="clear" w:color="auto" w:fill="FFFFFF"/>
          </w:rPr>
          <w:t>‐</w:t>
        </w:r>
        <w:r w:rsidR="001E2780" w:rsidRPr="00B80D32">
          <w:rPr>
            <w:rFonts w:ascii="Arial" w:eastAsia="Times New Roman" w:hAnsi="Arial" w:cs="Arial"/>
            <w:shd w:val="clear" w:color="auto" w:fill="FFFFFF"/>
          </w:rPr>
          <w:t>generation bioenergy crops in GB</w:t>
        </w:r>
      </w:hyperlink>
      <w:r w:rsidR="001E2780" w:rsidRPr="00B80D32">
        <w:rPr>
          <w:rFonts w:ascii="Arial" w:eastAsia="Times New Roman" w:hAnsi="Arial" w:cs="Arial"/>
        </w:rPr>
        <w:t>. Global Change Biology Bioenergy 8, 317-333</w:t>
      </w:r>
      <w:r w:rsidR="00BE6785">
        <w:rPr>
          <w:rFonts w:ascii="Arial" w:eastAsia="Times New Roman" w:hAnsi="Arial" w:cs="Arial"/>
        </w:rPr>
        <w:t>.</w:t>
      </w:r>
    </w:p>
    <w:p w14:paraId="34DF1939" w14:textId="77777777" w:rsidR="001E2780" w:rsidRDefault="001E2780" w:rsidP="00BE6785">
      <w:pPr>
        <w:spacing w:after="0" w:line="240" w:lineRule="auto"/>
        <w:jc w:val="both"/>
        <w:rPr>
          <w:rFonts w:ascii="Arial" w:eastAsia="Calibri" w:hAnsi="Arial" w:cs="Arial"/>
        </w:rPr>
      </w:pPr>
    </w:p>
    <w:p w14:paraId="6DD75DF8" w14:textId="77777777" w:rsidR="00F1606B" w:rsidRDefault="00F1606B" w:rsidP="00BE6785">
      <w:pPr>
        <w:spacing w:after="0" w:line="240" w:lineRule="auto"/>
        <w:jc w:val="both"/>
        <w:rPr>
          <w:rFonts w:ascii="Arial" w:eastAsia="Calibri" w:hAnsi="Arial" w:cs="Arial"/>
        </w:rPr>
      </w:pPr>
      <w:r>
        <w:rPr>
          <w:rFonts w:ascii="Arial" w:eastAsia="Calibri" w:hAnsi="Arial" w:cs="Arial"/>
        </w:rPr>
        <w:t>Muchero</w:t>
      </w:r>
      <w:r w:rsidR="009D13BB">
        <w:rPr>
          <w:rFonts w:ascii="Arial" w:eastAsia="Calibri" w:hAnsi="Arial" w:cs="Arial"/>
        </w:rPr>
        <w:t xml:space="preserve"> W, Sondreli KL, Chen J-G, Breeanna R, et al., 2019. Association mapping , transcriptomics, and transiet expression identify candidate genes mediating plant-pathogen interactions in a tree. PNAS, 115, 11573-11578.</w:t>
      </w:r>
    </w:p>
    <w:p w14:paraId="7A3CF11F" w14:textId="77777777" w:rsidR="009D13BB" w:rsidRPr="00863BE9" w:rsidRDefault="009D13BB" w:rsidP="00BE6785">
      <w:pPr>
        <w:spacing w:after="0" w:line="240" w:lineRule="auto"/>
        <w:jc w:val="both"/>
        <w:rPr>
          <w:rFonts w:ascii="Arial" w:eastAsia="Calibri" w:hAnsi="Arial" w:cs="Arial"/>
        </w:rPr>
      </w:pPr>
    </w:p>
    <w:p w14:paraId="0EFB202F" w14:textId="77777777" w:rsidR="00693C09" w:rsidRPr="00863BE9" w:rsidRDefault="00693C09" w:rsidP="00BE6785">
      <w:pPr>
        <w:pStyle w:val="p2"/>
        <w:jc w:val="both"/>
        <w:rPr>
          <w:rFonts w:ascii="Arial" w:hAnsi="Arial" w:cs="Arial"/>
          <w:sz w:val="22"/>
          <w:szCs w:val="22"/>
        </w:rPr>
      </w:pPr>
      <w:r w:rsidRPr="00863BE9">
        <w:rPr>
          <w:rFonts w:ascii="Arial" w:hAnsi="Arial" w:cs="Arial"/>
          <w:sz w:val="22"/>
          <w:szCs w:val="22"/>
        </w:rPr>
        <w:t>Oliver, RJ, Finch, JW, and Taylor G. 2009. Second generation bioenergy crops and climate change: a review of the effects of elevated atmospheric CO</w:t>
      </w:r>
      <w:r w:rsidRPr="00863BE9">
        <w:rPr>
          <w:rFonts w:ascii="Arial" w:hAnsi="Arial" w:cs="Arial"/>
          <w:sz w:val="22"/>
          <w:szCs w:val="22"/>
          <w:vertAlign w:val="subscript"/>
        </w:rPr>
        <w:t xml:space="preserve">2 </w:t>
      </w:r>
      <w:r w:rsidRPr="00863BE9">
        <w:rPr>
          <w:rFonts w:ascii="Arial" w:hAnsi="Arial" w:cs="Arial"/>
          <w:sz w:val="22"/>
          <w:szCs w:val="22"/>
        </w:rPr>
        <w:t>and drought on water use and the implications for yield. GCB Bioenergy 1, 97–114.</w:t>
      </w:r>
    </w:p>
    <w:p w14:paraId="530E7088" w14:textId="77777777" w:rsidR="00693C09" w:rsidRPr="00863BE9" w:rsidRDefault="00693C09" w:rsidP="00BE6785">
      <w:pPr>
        <w:tabs>
          <w:tab w:val="left" w:pos="2014"/>
        </w:tabs>
        <w:spacing w:line="240" w:lineRule="auto"/>
        <w:jc w:val="both"/>
        <w:rPr>
          <w:rFonts w:ascii="Arial" w:eastAsia="Calibri" w:hAnsi="Arial" w:cs="Arial"/>
        </w:rPr>
      </w:pPr>
      <w:r w:rsidRPr="00863BE9">
        <w:rPr>
          <w:rFonts w:ascii="Arial" w:hAnsi="Arial" w:cs="Arial"/>
        </w:rPr>
        <w:tab/>
      </w:r>
    </w:p>
    <w:p w14:paraId="6BFFF9DB" w14:textId="77777777" w:rsidR="00693C09" w:rsidRPr="00863BE9" w:rsidRDefault="00693C09" w:rsidP="00BE6785">
      <w:pPr>
        <w:pStyle w:val="p2"/>
        <w:jc w:val="both"/>
        <w:rPr>
          <w:rFonts w:ascii="Arial" w:hAnsi="Arial" w:cs="Arial"/>
          <w:sz w:val="22"/>
          <w:szCs w:val="22"/>
        </w:rPr>
      </w:pPr>
      <w:r w:rsidRPr="00863BE9">
        <w:rPr>
          <w:rFonts w:ascii="Arial" w:hAnsi="Arial" w:cs="Arial"/>
          <w:sz w:val="22"/>
          <w:szCs w:val="22"/>
        </w:rPr>
        <w:t xml:space="preserve">Passioura J  2012. Phenotyping for drought tolerance in grain crops: when is it useful to breeders? Functional Plant Biology, 39, 851-859. </w:t>
      </w:r>
    </w:p>
    <w:p w14:paraId="56212857" w14:textId="77777777" w:rsidR="00693C09" w:rsidRPr="00863BE9" w:rsidRDefault="00693C09" w:rsidP="00BE6785">
      <w:pPr>
        <w:spacing w:line="240" w:lineRule="auto"/>
        <w:jc w:val="both"/>
        <w:rPr>
          <w:rFonts w:ascii="Arial" w:hAnsi="Arial" w:cs="Arial"/>
        </w:rPr>
      </w:pPr>
    </w:p>
    <w:p w14:paraId="51156D18" w14:textId="77777777" w:rsidR="00E41189" w:rsidRPr="00863BE9" w:rsidRDefault="00693C09" w:rsidP="00BE6785">
      <w:pPr>
        <w:pStyle w:val="Heading2"/>
        <w:spacing w:line="240" w:lineRule="auto"/>
        <w:jc w:val="both"/>
        <w:rPr>
          <w:rFonts w:ascii="Arial" w:hAnsi="Arial" w:cs="Arial"/>
          <w:color w:val="auto"/>
          <w:sz w:val="22"/>
          <w:szCs w:val="22"/>
        </w:rPr>
      </w:pPr>
      <w:r w:rsidRPr="00863BE9">
        <w:rPr>
          <w:rFonts w:ascii="Arial" w:hAnsi="Arial" w:cs="Arial"/>
          <w:color w:val="auto"/>
          <w:sz w:val="22"/>
          <w:szCs w:val="22"/>
        </w:rPr>
        <w:t>Papcek</w:t>
      </w:r>
      <w:r w:rsidR="00E41189" w:rsidRPr="00863BE9">
        <w:rPr>
          <w:rFonts w:ascii="Arial" w:hAnsi="Arial" w:cs="Arial"/>
          <w:color w:val="auto"/>
          <w:sz w:val="22"/>
          <w:szCs w:val="22"/>
        </w:rPr>
        <w:t xml:space="preserve"> M, Christmann, A and Grill</w:t>
      </w:r>
      <w:r w:rsidRPr="00863BE9">
        <w:rPr>
          <w:rFonts w:ascii="Arial" w:hAnsi="Arial" w:cs="Arial"/>
          <w:color w:val="auto"/>
          <w:sz w:val="22"/>
          <w:szCs w:val="22"/>
        </w:rPr>
        <w:t xml:space="preserve"> </w:t>
      </w:r>
      <w:r w:rsidR="00E41189" w:rsidRPr="00863BE9">
        <w:rPr>
          <w:rFonts w:ascii="Arial" w:hAnsi="Arial" w:cs="Arial"/>
          <w:color w:val="auto"/>
          <w:sz w:val="22"/>
          <w:szCs w:val="22"/>
        </w:rPr>
        <w:t xml:space="preserve"> E, 2019. Poplar ABA receptors in Arabidopsis</w:t>
      </w:r>
    </w:p>
    <w:p w14:paraId="3E07033E" w14:textId="77777777" w:rsidR="00E41189" w:rsidRDefault="00E41189" w:rsidP="00BE6785">
      <w:pPr>
        <w:spacing w:line="240" w:lineRule="auto"/>
        <w:jc w:val="both"/>
        <w:rPr>
          <w:rFonts w:ascii="Arial" w:hAnsi="Arial" w:cs="Arial"/>
          <w:bdr w:val="none" w:sz="0" w:space="0" w:color="auto" w:frame="1"/>
          <w:shd w:val="clear" w:color="auto" w:fill="FFFFFF"/>
        </w:rPr>
      </w:pPr>
      <w:r w:rsidRPr="00863BE9">
        <w:rPr>
          <w:rFonts w:ascii="Arial" w:hAnsi="Arial" w:cs="Arial"/>
          <w:bdr w:val="none" w:sz="0" w:space="0" w:color="auto" w:frame="1"/>
          <w:shd w:val="clear" w:color="auto" w:fill="FFFFFF"/>
        </w:rPr>
        <w:t>Annals of Botany 124: xxx–xxx, 2019, doi:</w:t>
      </w:r>
      <w:r w:rsidRPr="00863BE9">
        <w:rPr>
          <w:rFonts w:ascii="Arial" w:hAnsi="Arial" w:cs="Arial"/>
          <w:noProof/>
          <w:lang w:eastAsia="en-GB"/>
        </w:rPr>
        <w:t xml:space="preserve"> </w:t>
      </w:r>
      <w:r w:rsidRPr="00863BE9">
        <w:rPr>
          <w:rFonts w:ascii="Arial" w:hAnsi="Arial" w:cs="Arial"/>
          <w:bdr w:val="none" w:sz="0" w:space="0" w:color="auto" w:frame="1"/>
          <w:shd w:val="clear" w:color="auto" w:fill="FFFFFF"/>
        </w:rPr>
        <w:t>10.1093/aob/mcy225</w:t>
      </w:r>
      <w:r w:rsidR="00BE6785">
        <w:rPr>
          <w:rFonts w:ascii="Arial" w:hAnsi="Arial" w:cs="Arial"/>
          <w:bdr w:val="none" w:sz="0" w:space="0" w:color="auto" w:frame="1"/>
          <w:shd w:val="clear" w:color="auto" w:fill="FFFFFF"/>
        </w:rPr>
        <w:t>.</w:t>
      </w:r>
    </w:p>
    <w:p w14:paraId="2E142CFA" w14:textId="77777777" w:rsidR="00F059BE" w:rsidRPr="00B80D32" w:rsidRDefault="00F059BE" w:rsidP="00BE6785">
      <w:pPr>
        <w:pStyle w:val="Heading1"/>
        <w:shd w:val="clear" w:color="auto" w:fill="FFFFFF"/>
        <w:spacing w:before="120" w:after="120" w:line="300" w:lineRule="atLeast"/>
        <w:jc w:val="both"/>
        <w:rPr>
          <w:rFonts w:ascii="Arial" w:eastAsia="Times New Roman" w:hAnsi="Arial" w:cs="Arial"/>
          <w:bCs/>
          <w:color w:val="auto"/>
          <w:kern w:val="36"/>
          <w:sz w:val="22"/>
          <w:szCs w:val="22"/>
        </w:rPr>
      </w:pPr>
      <w:r w:rsidRPr="00B80D32">
        <w:rPr>
          <w:rFonts w:ascii="Arial" w:hAnsi="Arial" w:cs="Arial"/>
          <w:color w:val="auto"/>
          <w:sz w:val="22"/>
          <w:szCs w:val="22"/>
          <w:bdr w:val="none" w:sz="0" w:space="0" w:color="auto" w:frame="1"/>
          <w:shd w:val="clear" w:color="auto" w:fill="FFFFFF"/>
        </w:rPr>
        <w:t>Parra-Londono S, Kavka M, Samans B, Sowdon R, Wieckhorst S, Uptmoor R 2018.</w:t>
      </w:r>
      <w:r w:rsidRPr="00B80D32">
        <w:rPr>
          <w:rFonts w:ascii="Arial" w:eastAsia="Times New Roman" w:hAnsi="Arial" w:cs="Arial"/>
          <w:bCs/>
          <w:color w:val="auto"/>
          <w:kern w:val="36"/>
          <w:sz w:val="22"/>
          <w:szCs w:val="22"/>
        </w:rPr>
        <w:t xml:space="preserve"> Sorghum root-system classification in contrasting P environments reveals three main rooting types and root-architecture-related marker-trait associations. Annals of Botany, 121, 267-280.</w:t>
      </w:r>
    </w:p>
    <w:p w14:paraId="570E4949" w14:textId="77777777" w:rsidR="00693C09" w:rsidRDefault="00693C09" w:rsidP="00BE6785">
      <w:pPr>
        <w:spacing w:line="240" w:lineRule="auto"/>
        <w:jc w:val="both"/>
        <w:rPr>
          <w:rFonts w:ascii="Arial" w:hAnsi="Arial" w:cs="Arial"/>
        </w:rPr>
      </w:pPr>
      <w:r w:rsidRPr="00863BE9">
        <w:rPr>
          <w:rFonts w:ascii="Arial" w:hAnsi="Arial" w:cs="Arial"/>
        </w:rPr>
        <w:t>Porth I, Klapste J, Skyba O, Lai BS, Geraldes A, Muchero W, Tuskan GA, Douglas CJ, El-Kassaby TA, Mansfield SD. 2013. Populus trichocarpa cell wall chemistry and ultrastructure trait variation, genetic control and genetic correlations. New Phytologist, 197, 777-790.</w:t>
      </w:r>
    </w:p>
    <w:p w14:paraId="5A1E66E3" w14:textId="77777777" w:rsidR="00186C4F" w:rsidRDefault="00186C4F" w:rsidP="00BE6785">
      <w:pPr>
        <w:pStyle w:val="p2"/>
        <w:jc w:val="both"/>
        <w:rPr>
          <w:rFonts w:ascii="Arial" w:hAnsi="Arial" w:cs="Arial"/>
          <w:sz w:val="22"/>
          <w:szCs w:val="22"/>
        </w:rPr>
      </w:pPr>
    </w:p>
    <w:p w14:paraId="5B5DE57C" w14:textId="77777777" w:rsidR="00186C4F" w:rsidRPr="00863BE9" w:rsidRDefault="00186C4F" w:rsidP="00BE6785">
      <w:pPr>
        <w:pStyle w:val="p2"/>
        <w:jc w:val="both"/>
        <w:rPr>
          <w:rFonts w:ascii="Arial" w:hAnsi="Arial" w:cs="Arial"/>
          <w:sz w:val="22"/>
          <w:szCs w:val="22"/>
        </w:rPr>
      </w:pPr>
      <w:r>
        <w:rPr>
          <w:rFonts w:ascii="Arial" w:hAnsi="Arial" w:cs="Arial"/>
          <w:sz w:val="22"/>
          <w:szCs w:val="22"/>
        </w:rPr>
        <w:t>Pretty J, B</w:t>
      </w:r>
      <w:r w:rsidR="00276E1C">
        <w:rPr>
          <w:rFonts w:ascii="Arial" w:hAnsi="Arial" w:cs="Arial"/>
          <w:sz w:val="22"/>
          <w:szCs w:val="22"/>
        </w:rPr>
        <w:t>harucha ZP</w:t>
      </w:r>
      <w:r>
        <w:rPr>
          <w:rFonts w:ascii="Arial" w:hAnsi="Arial" w:cs="Arial"/>
          <w:sz w:val="22"/>
          <w:szCs w:val="22"/>
        </w:rPr>
        <w:t xml:space="preserve"> 2014. Sustainable intensification in agricultural systems. Annals of Botany 114, 1571-96.</w:t>
      </w:r>
    </w:p>
    <w:p w14:paraId="3C39A9C7" w14:textId="77777777" w:rsidR="00693C09" w:rsidRPr="00863BE9" w:rsidRDefault="00693C09" w:rsidP="00BE6785">
      <w:pPr>
        <w:pStyle w:val="p2"/>
        <w:jc w:val="both"/>
        <w:rPr>
          <w:rFonts w:ascii="Arial" w:hAnsi="Arial" w:cs="Arial"/>
          <w:sz w:val="22"/>
          <w:szCs w:val="22"/>
        </w:rPr>
      </w:pPr>
    </w:p>
    <w:p w14:paraId="0B330812" w14:textId="77777777" w:rsidR="00693C09" w:rsidRDefault="00693C09" w:rsidP="00BE6785">
      <w:pPr>
        <w:pStyle w:val="p2"/>
        <w:jc w:val="both"/>
        <w:rPr>
          <w:rFonts w:ascii="Arial" w:hAnsi="Arial" w:cs="Arial"/>
          <w:sz w:val="22"/>
          <w:szCs w:val="22"/>
        </w:rPr>
      </w:pPr>
      <w:r w:rsidRPr="00863BE9">
        <w:rPr>
          <w:rFonts w:ascii="Arial" w:hAnsi="Arial" w:cs="Arial"/>
          <w:sz w:val="22"/>
          <w:szCs w:val="22"/>
        </w:rPr>
        <w:t>Rae AM, Robinson KM, Street NR, Taylor G. 2004. Morphological and physiological traits influencing biomass productivity in short-rotation coppice poplar. Canadian Journal of Forest Research 34, 1488-1498.</w:t>
      </w:r>
    </w:p>
    <w:p w14:paraId="3FC946AC" w14:textId="77777777" w:rsidR="00276E1C" w:rsidRDefault="00276E1C" w:rsidP="00BE6785">
      <w:pPr>
        <w:pStyle w:val="p2"/>
        <w:jc w:val="both"/>
        <w:rPr>
          <w:rFonts w:ascii="Arial" w:hAnsi="Arial" w:cs="Arial"/>
          <w:sz w:val="22"/>
          <w:szCs w:val="22"/>
        </w:rPr>
      </w:pPr>
    </w:p>
    <w:p w14:paraId="27A90DCD" w14:textId="77777777" w:rsidR="00276E1C" w:rsidRPr="00863BE9" w:rsidRDefault="00276E1C" w:rsidP="00BE6785">
      <w:pPr>
        <w:pStyle w:val="p2"/>
        <w:jc w:val="both"/>
        <w:rPr>
          <w:rFonts w:ascii="Arial" w:hAnsi="Arial" w:cs="Arial"/>
          <w:sz w:val="22"/>
          <w:szCs w:val="22"/>
        </w:rPr>
      </w:pPr>
      <w:r>
        <w:rPr>
          <w:rFonts w:ascii="Arial" w:hAnsi="Arial" w:cs="Arial"/>
          <w:sz w:val="22"/>
          <w:szCs w:val="22"/>
        </w:rPr>
        <w:t xml:space="preserve">Rasheed A, Mujeeb-Kazi A, Ogbonnaya FC, He Z, Rajara S 2018. Wheat genetic resources in the post-genomics era: promise and challenges. Annals of Botany, 121, 603-616. </w:t>
      </w:r>
    </w:p>
    <w:p w14:paraId="1B8338BB" w14:textId="77777777" w:rsidR="00693C09" w:rsidRPr="00863BE9" w:rsidRDefault="00693C09" w:rsidP="00BE6785">
      <w:pPr>
        <w:spacing w:line="240" w:lineRule="auto"/>
        <w:jc w:val="both"/>
        <w:rPr>
          <w:rFonts w:ascii="Arial" w:hAnsi="Arial" w:cs="Arial"/>
          <w:noProof/>
          <w:lang w:val="en" w:eastAsia="zh-CN"/>
        </w:rPr>
      </w:pPr>
    </w:p>
    <w:p w14:paraId="14242DCF" w14:textId="77777777" w:rsidR="00693C09" w:rsidRPr="00863BE9" w:rsidRDefault="00693C09" w:rsidP="00BE6785">
      <w:pPr>
        <w:spacing w:line="240" w:lineRule="auto"/>
        <w:jc w:val="both"/>
        <w:rPr>
          <w:rFonts w:ascii="Arial" w:hAnsi="Arial" w:cs="Arial"/>
          <w:noProof/>
          <w:lang w:val="en" w:eastAsia="zh-CN"/>
        </w:rPr>
      </w:pPr>
      <w:r w:rsidRPr="00863BE9">
        <w:rPr>
          <w:rFonts w:ascii="Arial" w:hAnsi="Arial" w:cs="Arial"/>
          <w:noProof/>
          <w:lang w:val="en" w:eastAsia="zh-CN"/>
        </w:rPr>
        <w:t>Resende MFR</w:t>
      </w:r>
      <w:r w:rsidRPr="00863BE9">
        <w:rPr>
          <w:rFonts w:ascii="Arial" w:hAnsi="Arial" w:cs="Arial"/>
          <w:b/>
          <w:noProof/>
          <w:lang w:val="en" w:eastAsia="zh-CN"/>
        </w:rPr>
        <w:t xml:space="preserve"> </w:t>
      </w:r>
      <w:r w:rsidRPr="00863BE9">
        <w:rPr>
          <w:rFonts w:ascii="Arial" w:hAnsi="Arial" w:cs="Arial"/>
          <w:noProof/>
          <w:lang w:val="en" w:eastAsia="zh-CN"/>
        </w:rPr>
        <w:t xml:space="preserve"> 2012. Accelerating the domestication of trees using genomics selection: accuracy of prediction models across ages and environments. New Phytologist,</w:t>
      </w:r>
      <w:r w:rsidRPr="00863BE9">
        <w:rPr>
          <w:rFonts w:ascii="Arial" w:hAnsi="Arial" w:cs="Arial"/>
          <w:b/>
          <w:noProof/>
          <w:lang w:val="en" w:eastAsia="zh-CN"/>
        </w:rPr>
        <w:t xml:space="preserve"> </w:t>
      </w:r>
      <w:r w:rsidRPr="00863BE9">
        <w:rPr>
          <w:rFonts w:ascii="Arial" w:hAnsi="Arial" w:cs="Arial"/>
          <w:noProof/>
          <w:lang w:val="en" w:eastAsia="zh-CN"/>
        </w:rPr>
        <w:t>193, 617-624.</w:t>
      </w:r>
    </w:p>
    <w:p w14:paraId="4AFE29CD" w14:textId="77777777" w:rsidR="00DC7D48" w:rsidRPr="00863BE9" w:rsidRDefault="00DC7D48"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863BE9">
        <w:rPr>
          <w:rFonts w:ascii="Arial" w:hAnsi="Arial" w:cs="Arial"/>
          <w:color w:val="auto"/>
          <w:sz w:val="22"/>
          <w:szCs w:val="22"/>
        </w:rPr>
        <w:t xml:space="preserve">Richard B, Richter GM,  Cerasuolo M 2019. Optimizing water footprint of SRC willow cultivars (Research in Context), </w:t>
      </w:r>
      <w:r w:rsidRPr="00863BE9">
        <w:rPr>
          <w:rFonts w:ascii="Arial" w:hAnsi="Arial" w:cs="Arial"/>
          <w:color w:val="auto"/>
          <w:sz w:val="22"/>
          <w:szCs w:val="22"/>
          <w:bdr w:val="none" w:sz="0" w:space="0" w:color="auto" w:frame="1"/>
          <w:shd w:val="clear" w:color="auto" w:fill="FFFFFF"/>
        </w:rPr>
        <w:t>Annals of Botany 124: xxx–xxx, doi:</w:t>
      </w:r>
      <w:r w:rsidRPr="00863BE9">
        <w:rPr>
          <w:rFonts w:ascii="Arial" w:hAnsi="Arial" w:cs="Arial"/>
          <w:noProof/>
          <w:color w:val="auto"/>
          <w:sz w:val="22"/>
          <w:szCs w:val="22"/>
          <w:lang w:eastAsia="en-GB"/>
        </w:rPr>
        <w:t xml:space="preserve"> </w:t>
      </w:r>
      <w:r w:rsidRPr="00863BE9">
        <w:rPr>
          <w:rFonts w:ascii="Arial" w:hAnsi="Arial" w:cs="Arial"/>
          <w:color w:val="auto"/>
          <w:sz w:val="22"/>
          <w:szCs w:val="22"/>
          <w:bdr w:val="none" w:sz="0" w:space="0" w:color="auto" w:frame="1"/>
          <w:shd w:val="clear" w:color="auto" w:fill="FFFFFF"/>
        </w:rPr>
        <w:t>10.1093/aob/mcz006</w:t>
      </w:r>
      <w:r w:rsidR="00BE6785">
        <w:rPr>
          <w:rFonts w:ascii="Arial" w:hAnsi="Arial" w:cs="Arial"/>
          <w:color w:val="auto"/>
          <w:sz w:val="22"/>
          <w:szCs w:val="22"/>
          <w:bdr w:val="none" w:sz="0" w:space="0" w:color="auto" w:frame="1"/>
          <w:shd w:val="clear" w:color="auto" w:fill="FFFFFF"/>
        </w:rPr>
        <w:t>.</w:t>
      </w:r>
    </w:p>
    <w:p w14:paraId="139681E1" w14:textId="77777777" w:rsidR="00DC7D48" w:rsidRPr="00863BE9" w:rsidRDefault="00DC7D48" w:rsidP="00BE6785">
      <w:pPr>
        <w:spacing w:line="240" w:lineRule="auto"/>
        <w:jc w:val="both"/>
        <w:rPr>
          <w:rFonts w:ascii="Arial" w:hAnsi="Arial" w:cs="Arial"/>
          <w:noProof/>
          <w:lang w:eastAsia="zh-CN"/>
        </w:rPr>
      </w:pPr>
    </w:p>
    <w:p w14:paraId="10015781" w14:textId="77777777" w:rsidR="00693C09" w:rsidRPr="00863BE9" w:rsidRDefault="00693C09" w:rsidP="00BE6785">
      <w:pPr>
        <w:spacing w:line="240" w:lineRule="auto"/>
        <w:jc w:val="both"/>
        <w:rPr>
          <w:rFonts w:ascii="Arial" w:hAnsi="Arial" w:cs="Arial"/>
        </w:rPr>
      </w:pPr>
      <w:r w:rsidRPr="00863BE9">
        <w:rPr>
          <w:rFonts w:ascii="Arial" w:hAnsi="Arial" w:cs="Arial"/>
          <w:noProof/>
          <w:lang w:eastAsia="zh-CN"/>
        </w:rPr>
        <w:t>Schaeffer SM and Nakata PA 2016. The expanding footprint of CRISPR/Cas9 in the plant sciences. Plant Cell Rep, 35,1451-1468.</w:t>
      </w:r>
    </w:p>
    <w:p w14:paraId="1E869D46" w14:textId="77777777" w:rsidR="00693C09" w:rsidRPr="00863BE9" w:rsidRDefault="00693C09" w:rsidP="00BE6785">
      <w:pPr>
        <w:spacing w:line="240" w:lineRule="auto"/>
        <w:jc w:val="both"/>
        <w:rPr>
          <w:rFonts w:ascii="Arial" w:hAnsi="Arial" w:cs="Arial"/>
        </w:rPr>
      </w:pPr>
      <w:r w:rsidRPr="00863BE9">
        <w:rPr>
          <w:rFonts w:ascii="Arial" w:hAnsi="Arial" w:cs="Arial"/>
        </w:rPr>
        <w:t>Slade R, Bauen A, Gross R, 2014. Global bioenergy resources, Nature Climate Change 4, 99-105</w:t>
      </w:r>
      <w:r w:rsidR="00BE6785">
        <w:rPr>
          <w:rFonts w:ascii="Arial" w:hAnsi="Arial" w:cs="Arial"/>
        </w:rPr>
        <w:t>.</w:t>
      </w:r>
    </w:p>
    <w:p w14:paraId="2D4C3CC1" w14:textId="77777777" w:rsidR="0071365B" w:rsidRPr="00863BE9" w:rsidRDefault="00693C09" w:rsidP="00BE6785">
      <w:pPr>
        <w:pStyle w:val="Heading2"/>
        <w:spacing w:line="240" w:lineRule="auto"/>
        <w:jc w:val="both"/>
        <w:rPr>
          <w:rFonts w:ascii="Arial" w:hAnsi="Arial" w:cs="Arial"/>
          <w:color w:val="auto"/>
          <w:sz w:val="22"/>
          <w:szCs w:val="22"/>
        </w:rPr>
      </w:pPr>
      <w:r w:rsidRPr="00863BE9">
        <w:rPr>
          <w:rFonts w:ascii="Arial" w:eastAsia="Calibri" w:hAnsi="Arial" w:cs="Arial"/>
          <w:color w:val="auto"/>
          <w:sz w:val="22"/>
          <w:szCs w:val="22"/>
        </w:rPr>
        <w:t>Sack L, Holbrookman NM, 2006. Leaf Hydraulics. Annual Review of Plant Biology, 57, 361-381.</w:t>
      </w:r>
      <w:r w:rsidR="0071365B" w:rsidRPr="00863BE9">
        <w:rPr>
          <w:rFonts w:ascii="Arial" w:hAnsi="Arial" w:cs="Arial"/>
          <w:color w:val="auto"/>
          <w:sz w:val="22"/>
          <w:szCs w:val="22"/>
        </w:rPr>
        <w:t xml:space="preserve"> </w:t>
      </w:r>
    </w:p>
    <w:p w14:paraId="60C38609" w14:textId="77777777" w:rsidR="0071365B" w:rsidRPr="00863BE9" w:rsidRDefault="0071365B" w:rsidP="00BE6785">
      <w:pPr>
        <w:pStyle w:val="Heading2"/>
        <w:spacing w:line="240" w:lineRule="auto"/>
        <w:jc w:val="both"/>
        <w:rPr>
          <w:rFonts w:ascii="Arial" w:hAnsi="Arial" w:cs="Arial"/>
          <w:color w:val="auto"/>
          <w:sz w:val="22"/>
          <w:szCs w:val="22"/>
        </w:rPr>
      </w:pPr>
    </w:p>
    <w:p w14:paraId="47FA03E0" w14:textId="77777777" w:rsidR="0071365B" w:rsidRPr="009D13BB" w:rsidRDefault="00863BE9"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9D13BB">
        <w:rPr>
          <w:rFonts w:ascii="Arial" w:hAnsi="Arial" w:cs="Arial"/>
          <w:color w:val="auto"/>
          <w:sz w:val="22"/>
          <w:szCs w:val="22"/>
        </w:rPr>
        <w:t xml:space="preserve">Scaglione D, Pinosio S, Marroni F, et al., 2019, </w:t>
      </w:r>
      <w:r w:rsidR="0071365B" w:rsidRPr="009D13BB">
        <w:rPr>
          <w:rFonts w:ascii="Arial" w:hAnsi="Arial" w:cs="Arial"/>
          <w:color w:val="auto"/>
          <w:sz w:val="22"/>
          <w:szCs w:val="22"/>
        </w:rPr>
        <w:t>Focused genotyping by sequencing (GBS) made easy (Technical article)</w:t>
      </w:r>
      <w:r w:rsidRPr="009D13BB">
        <w:rPr>
          <w:rFonts w:ascii="Arial" w:hAnsi="Arial" w:cs="Arial"/>
          <w:color w:val="auto"/>
          <w:sz w:val="22"/>
          <w:szCs w:val="22"/>
        </w:rPr>
        <w:t>, A</w:t>
      </w:r>
      <w:r w:rsidR="0071365B" w:rsidRPr="009D13BB">
        <w:rPr>
          <w:rFonts w:ascii="Arial" w:hAnsi="Arial" w:cs="Arial"/>
          <w:color w:val="auto"/>
          <w:sz w:val="22"/>
          <w:szCs w:val="22"/>
          <w:bdr w:val="none" w:sz="0" w:space="0" w:color="auto" w:frame="1"/>
          <w:shd w:val="clear" w:color="auto" w:fill="FFFFFF"/>
        </w:rPr>
        <w:t>nnals of Botany</w:t>
      </w:r>
      <w:r w:rsidR="0071365B" w:rsidRPr="009D13BB">
        <w:rPr>
          <w:rFonts w:ascii="Arial" w:hAnsi="Arial" w:cs="Arial"/>
          <w:i/>
          <w:color w:val="auto"/>
          <w:sz w:val="22"/>
          <w:szCs w:val="22"/>
          <w:bdr w:val="none" w:sz="0" w:space="0" w:color="auto" w:frame="1"/>
          <w:shd w:val="clear" w:color="auto" w:fill="FFFFFF"/>
        </w:rPr>
        <w:t xml:space="preserve"> </w:t>
      </w:r>
      <w:r w:rsidR="0071365B" w:rsidRPr="009D13BB">
        <w:rPr>
          <w:rFonts w:ascii="Arial" w:hAnsi="Arial" w:cs="Arial"/>
          <w:color w:val="auto"/>
          <w:sz w:val="22"/>
          <w:szCs w:val="22"/>
          <w:bdr w:val="none" w:sz="0" w:space="0" w:color="auto" w:frame="1"/>
          <w:shd w:val="clear" w:color="auto" w:fill="FFFFFF"/>
        </w:rPr>
        <w:t>124: xxx–xxx, doi:</w:t>
      </w:r>
      <w:r w:rsidR="0071365B" w:rsidRPr="009D13BB">
        <w:rPr>
          <w:rFonts w:ascii="Arial" w:hAnsi="Arial" w:cs="Arial"/>
          <w:noProof/>
          <w:color w:val="auto"/>
          <w:sz w:val="22"/>
          <w:szCs w:val="22"/>
          <w:lang w:eastAsia="en-GB"/>
        </w:rPr>
        <w:t xml:space="preserve"> </w:t>
      </w:r>
      <w:r w:rsidR="0071365B" w:rsidRPr="009D13BB">
        <w:rPr>
          <w:rFonts w:ascii="Arial" w:hAnsi="Arial" w:cs="Arial"/>
          <w:color w:val="auto"/>
          <w:sz w:val="22"/>
          <w:szCs w:val="22"/>
          <w:bdr w:val="none" w:sz="0" w:space="0" w:color="auto" w:frame="1"/>
          <w:shd w:val="clear" w:color="auto" w:fill="FFFFFF"/>
        </w:rPr>
        <w:t>10.1093/aob/mcz054</w:t>
      </w:r>
      <w:r w:rsidR="00BE6785" w:rsidRPr="009D13BB">
        <w:rPr>
          <w:rFonts w:ascii="Arial" w:hAnsi="Arial" w:cs="Arial"/>
          <w:color w:val="auto"/>
          <w:sz w:val="22"/>
          <w:szCs w:val="22"/>
          <w:bdr w:val="none" w:sz="0" w:space="0" w:color="auto" w:frame="1"/>
          <w:shd w:val="clear" w:color="auto" w:fill="FFFFFF"/>
        </w:rPr>
        <w:t>.</w:t>
      </w:r>
    </w:p>
    <w:p w14:paraId="5D7384D6" w14:textId="77777777" w:rsidR="00B448F1" w:rsidRPr="00F87D85" w:rsidRDefault="00B448F1" w:rsidP="00BE6785">
      <w:pPr>
        <w:jc w:val="both"/>
        <w:rPr>
          <w:rFonts w:ascii="Arial" w:hAnsi="Arial" w:cs="Arial"/>
        </w:rPr>
      </w:pPr>
    </w:p>
    <w:p w14:paraId="33BBE521" w14:textId="77777777" w:rsidR="00276E1C" w:rsidRPr="00F87D85" w:rsidRDefault="00276E1C" w:rsidP="00BE6785">
      <w:pPr>
        <w:jc w:val="both"/>
        <w:rPr>
          <w:rFonts w:ascii="Arial" w:hAnsi="Arial" w:cs="Arial"/>
        </w:rPr>
      </w:pPr>
      <w:r w:rsidRPr="00F87D85">
        <w:rPr>
          <w:rFonts w:ascii="Arial" w:hAnsi="Arial" w:cs="Arial"/>
        </w:rPr>
        <w:t>Schnepf A, Leitner D, Landl M, Lobet G, Mai TH, Morandage S, Sheng C, Zorner M, Vanderborght J, Vereecken H 2018. CRootBox: a structural-functional modelling framework for root systems. Annals of Botany, 121, 1033-1053</w:t>
      </w:r>
      <w:r w:rsidR="00BE6785" w:rsidRPr="00F87D85">
        <w:rPr>
          <w:rFonts w:ascii="Arial" w:hAnsi="Arial" w:cs="Arial"/>
        </w:rPr>
        <w:t>.</w:t>
      </w:r>
      <w:r w:rsidRPr="00F87D85">
        <w:rPr>
          <w:rFonts w:ascii="Arial" w:hAnsi="Arial" w:cs="Arial"/>
        </w:rPr>
        <w:t xml:space="preserve"> </w:t>
      </w:r>
    </w:p>
    <w:p w14:paraId="4A51DF3B" w14:textId="77777777" w:rsidR="00693C09" w:rsidRPr="009D13BB" w:rsidRDefault="00693C09" w:rsidP="00BE6785">
      <w:pPr>
        <w:spacing w:after="0" w:line="240" w:lineRule="auto"/>
        <w:jc w:val="both"/>
        <w:rPr>
          <w:rFonts w:ascii="Arial" w:eastAsia="Calibri" w:hAnsi="Arial" w:cs="Arial"/>
        </w:rPr>
      </w:pPr>
    </w:p>
    <w:p w14:paraId="41EDB5C5" w14:textId="77777777" w:rsidR="00042463" w:rsidRPr="00F87D85" w:rsidRDefault="00693C09"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F87D85">
        <w:rPr>
          <w:rFonts w:ascii="Arial" w:hAnsi="Arial" w:cs="Arial"/>
          <w:color w:val="auto"/>
          <w:sz w:val="22"/>
          <w:szCs w:val="22"/>
        </w:rPr>
        <w:t xml:space="preserve">Slavov </w:t>
      </w:r>
      <w:r w:rsidR="00042463" w:rsidRPr="00F87D85">
        <w:rPr>
          <w:rFonts w:ascii="Arial" w:hAnsi="Arial" w:cs="Arial"/>
          <w:color w:val="auto"/>
          <w:sz w:val="22"/>
          <w:szCs w:val="22"/>
        </w:rPr>
        <w:t xml:space="preserve">GT, </w:t>
      </w:r>
      <w:r w:rsidR="00042463" w:rsidRPr="00F87D85">
        <w:rPr>
          <w:rFonts w:ascii="Arial" w:hAnsi="Arial" w:cs="Arial"/>
          <w:bCs/>
          <w:color w:val="auto"/>
          <w:sz w:val="22"/>
          <w:szCs w:val="22"/>
        </w:rPr>
        <w:t xml:space="preserve"> Davey</w:t>
      </w:r>
      <w:r w:rsidR="00042463" w:rsidRPr="00F87D85">
        <w:rPr>
          <w:rFonts w:ascii="Arial" w:hAnsi="Arial" w:cs="Arial"/>
          <w:color w:val="auto"/>
          <w:sz w:val="22"/>
          <w:szCs w:val="22"/>
        </w:rPr>
        <w:t xml:space="preserve"> CL, Bosch M </w:t>
      </w:r>
      <w:r w:rsidRPr="00F87D85">
        <w:rPr>
          <w:rFonts w:ascii="Arial" w:hAnsi="Arial" w:cs="Arial"/>
          <w:color w:val="auto"/>
          <w:sz w:val="22"/>
          <w:szCs w:val="22"/>
        </w:rPr>
        <w:t>et al</w:t>
      </w:r>
      <w:r w:rsidR="00042463" w:rsidRPr="00F87D85">
        <w:rPr>
          <w:rFonts w:ascii="Arial" w:hAnsi="Arial" w:cs="Arial"/>
          <w:color w:val="auto"/>
          <w:sz w:val="22"/>
          <w:szCs w:val="22"/>
        </w:rPr>
        <w:t>.,</w:t>
      </w:r>
      <w:r w:rsidRPr="00F87D85">
        <w:rPr>
          <w:rFonts w:ascii="Arial" w:hAnsi="Arial" w:cs="Arial"/>
          <w:color w:val="auto"/>
          <w:sz w:val="22"/>
          <w:szCs w:val="22"/>
        </w:rPr>
        <w:t xml:space="preserve"> 2019.</w:t>
      </w:r>
      <w:r w:rsidR="00042463" w:rsidRPr="00F87D85">
        <w:rPr>
          <w:rFonts w:ascii="Arial" w:hAnsi="Arial" w:cs="Arial"/>
          <w:color w:val="auto"/>
          <w:sz w:val="22"/>
          <w:szCs w:val="22"/>
        </w:rPr>
        <w:t xml:space="preserve"> Genomic index selection provides multi-objective breeding targets in </w:t>
      </w:r>
      <w:r w:rsidR="00042463" w:rsidRPr="00F87D85">
        <w:rPr>
          <w:rFonts w:ascii="Arial" w:hAnsi="Arial" w:cs="Arial"/>
          <w:i/>
          <w:color w:val="auto"/>
          <w:sz w:val="22"/>
          <w:szCs w:val="22"/>
        </w:rPr>
        <w:t xml:space="preserve">Miscanthus </w:t>
      </w:r>
      <w:r w:rsidR="00042463" w:rsidRPr="00F87D85">
        <w:rPr>
          <w:rFonts w:ascii="Arial" w:hAnsi="Arial" w:cs="Arial"/>
          <w:color w:val="auto"/>
          <w:sz w:val="22"/>
          <w:szCs w:val="22"/>
        </w:rPr>
        <w:t xml:space="preserve">(Viewpoint), </w:t>
      </w:r>
      <w:r w:rsidR="00042463" w:rsidRPr="00F87D85">
        <w:rPr>
          <w:rFonts w:ascii="Arial" w:hAnsi="Arial" w:cs="Arial"/>
          <w:i/>
          <w:color w:val="auto"/>
          <w:sz w:val="22"/>
          <w:szCs w:val="22"/>
          <w:bdr w:val="none" w:sz="0" w:space="0" w:color="auto" w:frame="1"/>
          <w:shd w:val="clear" w:color="auto" w:fill="FFFFFF"/>
        </w:rPr>
        <w:t xml:space="preserve">Annals of Botany </w:t>
      </w:r>
      <w:r w:rsidR="00042463" w:rsidRPr="00F87D85">
        <w:rPr>
          <w:rFonts w:ascii="Arial" w:hAnsi="Arial" w:cs="Arial"/>
          <w:color w:val="auto"/>
          <w:sz w:val="22"/>
          <w:szCs w:val="22"/>
          <w:bdr w:val="none" w:sz="0" w:space="0" w:color="auto" w:frame="1"/>
          <w:shd w:val="clear" w:color="auto" w:fill="FFFFFF"/>
        </w:rPr>
        <w:t>124: xxx–xxx, doi:</w:t>
      </w:r>
      <w:r w:rsidR="00042463" w:rsidRPr="00F87D85">
        <w:rPr>
          <w:rFonts w:ascii="Arial" w:hAnsi="Arial" w:cs="Arial"/>
          <w:noProof/>
          <w:color w:val="auto"/>
          <w:sz w:val="22"/>
          <w:szCs w:val="22"/>
          <w:lang w:eastAsia="en-GB"/>
        </w:rPr>
        <w:t xml:space="preserve"> </w:t>
      </w:r>
      <w:r w:rsidR="00042463" w:rsidRPr="00F87D85">
        <w:rPr>
          <w:rFonts w:ascii="Arial" w:hAnsi="Arial" w:cs="Arial"/>
          <w:color w:val="auto"/>
          <w:sz w:val="22"/>
          <w:szCs w:val="22"/>
          <w:bdr w:val="none" w:sz="0" w:space="0" w:color="auto" w:frame="1"/>
          <w:shd w:val="clear" w:color="auto" w:fill="FFFFFF"/>
        </w:rPr>
        <w:t>10.1093/aob/mcy187</w:t>
      </w:r>
      <w:r w:rsidR="00BE6785" w:rsidRPr="00F87D85">
        <w:rPr>
          <w:rFonts w:ascii="Arial" w:hAnsi="Arial" w:cs="Arial"/>
          <w:color w:val="auto"/>
          <w:sz w:val="22"/>
          <w:szCs w:val="22"/>
          <w:bdr w:val="none" w:sz="0" w:space="0" w:color="auto" w:frame="1"/>
          <w:shd w:val="clear" w:color="auto" w:fill="FFFFFF"/>
        </w:rPr>
        <w:t>.</w:t>
      </w:r>
    </w:p>
    <w:p w14:paraId="57633084" w14:textId="77777777" w:rsidR="00693C09" w:rsidRPr="00F87D85" w:rsidRDefault="00693C09" w:rsidP="00BE6785">
      <w:pPr>
        <w:spacing w:line="240" w:lineRule="auto"/>
        <w:jc w:val="both"/>
        <w:rPr>
          <w:rFonts w:ascii="Arial" w:hAnsi="Arial" w:cs="Arial"/>
        </w:rPr>
      </w:pPr>
    </w:p>
    <w:p w14:paraId="13490BA7" w14:textId="77777777" w:rsidR="00693C09" w:rsidRPr="00F87D85" w:rsidRDefault="00693C09" w:rsidP="00BE6785">
      <w:pPr>
        <w:spacing w:line="240" w:lineRule="auto"/>
        <w:jc w:val="both"/>
        <w:rPr>
          <w:rFonts w:ascii="Arial" w:hAnsi="Arial" w:cs="Arial"/>
          <w:noProof/>
          <w:color w:val="000000"/>
          <w:lang w:eastAsia="zh-CN"/>
        </w:rPr>
      </w:pPr>
      <w:r w:rsidRPr="00F87D85">
        <w:rPr>
          <w:rFonts w:ascii="Arial" w:hAnsi="Arial" w:cs="Arial"/>
          <w:noProof/>
          <w:color w:val="000000"/>
          <w:lang w:eastAsia="zh-CN"/>
        </w:rPr>
        <w:t>Somerville C, et al., 2010. Feedstocks for Lignocellulosic Biofuels. Science 329, 790.</w:t>
      </w:r>
    </w:p>
    <w:p w14:paraId="7450B505" w14:textId="77777777" w:rsidR="00DC7D48" w:rsidRPr="00F87D85" w:rsidRDefault="00693C09" w:rsidP="00BE6785">
      <w:pPr>
        <w:spacing w:line="240" w:lineRule="auto"/>
        <w:jc w:val="both"/>
        <w:rPr>
          <w:rFonts w:ascii="Arial" w:hAnsi="Arial" w:cs="Arial"/>
          <w:bdr w:val="none" w:sz="0" w:space="0" w:color="auto" w:frame="1"/>
          <w:shd w:val="clear" w:color="auto" w:fill="FFFFFF"/>
        </w:rPr>
      </w:pPr>
      <w:r w:rsidRPr="00F87D85">
        <w:rPr>
          <w:rFonts w:ascii="Arial" w:hAnsi="Arial" w:cs="Arial"/>
        </w:rPr>
        <w:t xml:space="preserve">Stavridou </w:t>
      </w:r>
      <w:r w:rsidR="00DC7D48" w:rsidRPr="00F87D85">
        <w:rPr>
          <w:rFonts w:ascii="Arial" w:hAnsi="Arial" w:cs="Arial"/>
        </w:rPr>
        <w:t xml:space="preserve">E.  Webster </w:t>
      </w:r>
      <w:r w:rsidR="0071365B" w:rsidRPr="00F87D85">
        <w:rPr>
          <w:rFonts w:ascii="Arial" w:hAnsi="Arial" w:cs="Arial"/>
        </w:rPr>
        <w:t xml:space="preserve"> RJ, and </w:t>
      </w:r>
      <w:r w:rsidR="00DC7D48" w:rsidRPr="00F87D85">
        <w:rPr>
          <w:rFonts w:ascii="Arial" w:hAnsi="Arial" w:cs="Arial"/>
        </w:rPr>
        <w:t xml:space="preserve"> Robson</w:t>
      </w:r>
      <w:r w:rsidR="0071365B" w:rsidRPr="00F87D85">
        <w:rPr>
          <w:rFonts w:ascii="Arial" w:hAnsi="Arial" w:cs="Arial"/>
        </w:rPr>
        <w:t xml:space="preserve"> PRH e</w:t>
      </w:r>
      <w:r w:rsidRPr="00F87D85">
        <w:rPr>
          <w:rFonts w:ascii="Arial" w:hAnsi="Arial" w:cs="Arial"/>
        </w:rPr>
        <w:t>t al, 2019</w:t>
      </w:r>
      <w:r w:rsidR="00DC7D48" w:rsidRPr="00F87D85">
        <w:rPr>
          <w:rFonts w:ascii="Arial" w:hAnsi="Arial" w:cs="Arial"/>
        </w:rPr>
        <w:t xml:space="preserve">. </w:t>
      </w:r>
      <w:r w:rsidR="00DC7D48" w:rsidRPr="00F87D85">
        <w:rPr>
          <w:rFonts w:ascii="Arial" w:hAnsi="Arial" w:cs="Arial"/>
          <w:i/>
        </w:rPr>
        <w:t>Miscanthus</w:t>
      </w:r>
      <w:r w:rsidR="00DC7D48" w:rsidRPr="00F87D85">
        <w:rPr>
          <w:rFonts w:ascii="Arial" w:hAnsi="Arial" w:cs="Arial"/>
        </w:rPr>
        <w:t xml:space="preserve"> response to combinations of salinity and drought</w:t>
      </w:r>
      <w:r w:rsidR="0071365B" w:rsidRPr="00F87D85">
        <w:rPr>
          <w:rFonts w:ascii="Arial" w:hAnsi="Arial" w:cs="Arial"/>
        </w:rPr>
        <w:t xml:space="preserve">, </w:t>
      </w:r>
      <w:r w:rsidR="00DC7D48" w:rsidRPr="00F87D85">
        <w:rPr>
          <w:rFonts w:ascii="Arial" w:hAnsi="Arial" w:cs="Arial"/>
          <w:bdr w:val="none" w:sz="0" w:space="0" w:color="auto" w:frame="1"/>
          <w:shd w:val="clear" w:color="auto" w:fill="FFFFFF"/>
        </w:rPr>
        <w:t>Annals of Botany</w:t>
      </w:r>
      <w:r w:rsidR="00DC7D48" w:rsidRPr="00F87D85">
        <w:rPr>
          <w:rFonts w:ascii="Arial" w:hAnsi="Arial" w:cs="Arial"/>
          <w:i/>
          <w:bdr w:val="none" w:sz="0" w:space="0" w:color="auto" w:frame="1"/>
          <w:shd w:val="clear" w:color="auto" w:fill="FFFFFF"/>
        </w:rPr>
        <w:t xml:space="preserve"> </w:t>
      </w:r>
      <w:r w:rsidR="00DC7D48" w:rsidRPr="00F87D85">
        <w:rPr>
          <w:rFonts w:ascii="Arial" w:hAnsi="Arial" w:cs="Arial"/>
          <w:bdr w:val="none" w:sz="0" w:space="0" w:color="auto" w:frame="1"/>
          <w:shd w:val="clear" w:color="auto" w:fill="FFFFFF"/>
        </w:rPr>
        <w:t>124: xxx–xxx,</w:t>
      </w:r>
      <w:r w:rsidR="00DC7D48" w:rsidRPr="00F87D85">
        <w:rPr>
          <w:rFonts w:ascii="Arial" w:hAnsi="Arial" w:cs="Arial"/>
          <w:noProof/>
          <w:lang w:eastAsia="en-GB"/>
        </w:rPr>
        <w:t xml:space="preserve"> </w:t>
      </w:r>
      <w:r w:rsidR="00DC7D48" w:rsidRPr="00F87D85">
        <w:rPr>
          <w:rFonts w:ascii="Arial" w:hAnsi="Arial" w:cs="Arial"/>
          <w:bdr w:val="none" w:sz="0" w:space="0" w:color="auto" w:frame="1"/>
          <w:shd w:val="clear" w:color="auto" w:fill="FFFFFF"/>
        </w:rPr>
        <w:t>10.1093/aob/mcz009</w:t>
      </w:r>
    </w:p>
    <w:p w14:paraId="573D793A" w14:textId="77777777" w:rsidR="00693C09" w:rsidRPr="00F87D85" w:rsidRDefault="00693C09" w:rsidP="00BE6785">
      <w:pPr>
        <w:spacing w:after="0" w:line="240" w:lineRule="auto"/>
        <w:jc w:val="both"/>
        <w:rPr>
          <w:rFonts w:ascii="Arial" w:eastAsia="Calibri" w:hAnsi="Arial" w:cs="Arial"/>
        </w:rPr>
      </w:pPr>
      <w:r w:rsidRPr="00F87D85">
        <w:rPr>
          <w:rFonts w:ascii="Arial" w:hAnsi="Arial" w:cs="Arial"/>
          <w:caps/>
        </w:rPr>
        <w:t>T</w:t>
      </w:r>
      <w:r w:rsidRPr="00F87D85">
        <w:rPr>
          <w:rFonts w:ascii="Arial" w:hAnsi="Arial" w:cs="Arial"/>
        </w:rPr>
        <w:t>ardieu</w:t>
      </w:r>
      <w:r w:rsidRPr="00F87D85">
        <w:rPr>
          <w:rFonts w:ascii="Arial" w:hAnsi="Arial" w:cs="Arial"/>
          <w:caps/>
        </w:rPr>
        <w:t>,</w:t>
      </w:r>
      <w:r w:rsidRPr="00F87D85">
        <w:rPr>
          <w:rFonts w:ascii="Arial" w:hAnsi="Arial" w:cs="Arial"/>
        </w:rPr>
        <w:t xml:space="preserve"> F. 2012. Any trait or trait-related allele can confer drought tolerance: just design the right drought scenario. J. Exp. Bot. 63, 25–31.</w:t>
      </w:r>
      <w:r w:rsidRPr="00F87D85">
        <w:rPr>
          <w:rFonts w:ascii="Arial" w:eastAsia="Calibri" w:hAnsi="Arial" w:cs="Arial"/>
        </w:rPr>
        <w:t xml:space="preserve"> </w:t>
      </w:r>
    </w:p>
    <w:p w14:paraId="6C607C03" w14:textId="77777777" w:rsidR="00693C09" w:rsidRPr="00F87D85" w:rsidRDefault="00693C09" w:rsidP="00BE6785">
      <w:pPr>
        <w:spacing w:after="0" w:line="240" w:lineRule="auto"/>
        <w:jc w:val="both"/>
        <w:rPr>
          <w:rFonts w:ascii="Arial" w:eastAsia="Calibri" w:hAnsi="Arial" w:cs="Arial"/>
        </w:rPr>
      </w:pPr>
    </w:p>
    <w:p w14:paraId="4C82660A" w14:textId="77777777" w:rsidR="00693C09" w:rsidRPr="00F87D85" w:rsidRDefault="00693C09" w:rsidP="00BE6785">
      <w:pPr>
        <w:spacing w:after="0" w:line="240" w:lineRule="auto"/>
        <w:jc w:val="both"/>
        <w:rPr>
          <w:rFonts w:ascii="Arial" w:eastAsia="Calibri" w:hAnsi="Arial" w:cs="Arial"/>
        </w:rPr>
      </w:pPr>
      <w:r w:rsidRPr="00F87D85">
        <w:rPr>
          <w:rFonts w:ascii="Arial" w:eastAsia="Calibri" w:hAnsi="Arial" w:cs="Arial"/>
        </w:rPr>
        <w:t xml:space="preserve">Tardieu F., Tuberosa R. 2010. Dissection and modelling of abiotic stress tolerance in plants. Current opinion in plant biology 13, 206-212. </w:t>
      </w:r>
    </w:p>
    <w:p w14:paraId="41917DA7" w14:textId="77777777" w:rsidR="00693C09" w:rsidRPr="00F87D85" w:rsidRDefault="00693C09" w:rsidP="00BE6785">
      <w:pPr>
        <w:spacing w:after="0" w:line="240" w:lineRule="auto"/>
        <w:jc w:val="both"/>
        <w:rPr>
          <w:rFonts w:ascii="Arial" w:eastAsia="Calibri" w:hAnsi="Arial" w:cs="Arial"/>
        </w:rPr>
      </w:pPr>
    </w:p>
    <w:p w14:paraId="058E385A" w14:textId="77777777" w:rsidR="00693C09" w:rsidRPr="00863BE9" w:rsidRDefault="00693C09" w:rsidP="00BE6785">
      <w:pPr>
        <w:spacing w:after="0" w:line="240" w:lineRule="auto"/>
        <w:jc w:val="both"/>
        <w:rPr>
          <w:rFonts w:ascii="Arial" w:eastAsia="Calibri" w:hAnsi="Arial" w:cs="Arial"/>
        </w:rPr>
      </w:pPr>
      <w:r w:rsidRPr="00863BE9">
        <w:rPr>
          <w:rFonts w:ascii="Arial" w:hAnsi="Arial" w:cs="Arial"/>
        </w:rPr>
        <w:t>Tardieu F, Cabrera-Bosquet L, Pridmore T, Bennett M. 2017. Plant phenomics, From Sensors to Knowledge. Current Biology, 27, R770-783.</w:t>
      </w:r>
    </w:p>
    <w:p w14:paraId="3C148F84" w14:textId="77777777" w:rsidR="00693C09" w:rsidRPr="00863BE9" w:rsidRDefault="00693C09" w:rsidP="00BE6785">
      <w:pPr>
        <w:spacing w:after="0" w:line="240" w:lineRule="auto"/>
        <w:jc w:val="both"/>
        <w:rPr>
          <w:rFonts w:ascii="Arial" w:eastAsia="Calibri" w:hAnsi="Arial" w:cs="Arial"/>
        </w:rPr>
      </w:pPr>
    </w:p>
    <w:p w14:paraId="7BD284FB" w14:textId="77777777" w:rsidR="00693C09" w:rsidRPr="00863BE9" w:rsidRDefault="00693C09" w:rsidP="00BE6785">
      <w:pPr>
        <w:spacing w:line="240" w:lineRule="auto"/>
        <w:jc w:val="both"/>
        <w:rPr>
          <w:rFonts w:ascii="Arial" w:hAnsi="Arial" w:cs="Arial"/>
        </w:rPr>
      </w:pPr>
      <w:r w:rsidRPr="00863BE9">
        <w:rPr>
          <w:rFonts w:ascii="Arial" w:hAnsi="Arial" w:cs="Arial"/>
        </w:rPr>
        <w:t>Taylor G, 2008. Bioenergy and the biorefinery concept. Energy Policy, 36, 4406-4409.</w:t>
      </w:r>
    </w:p>
    <w:p w14:paraId="56447CB4" w14:textId="77777777" w:rsidR="00693C09" w:rsidRPr="00863BE9" w:rsidRDefault="00693C09" w:rsidP="00BE6785">
      <w:pPr>
        <w:spacing w:line="240" w:lineRule="auto"/>
        <w:jc w:val="both"/>
        <w:rPr>
          <w:rFonts w:ascii="Arial" w:hAnsi="Arial" w:cs="Arial"/>
          <w:color w:val="000000"/>
          <w:lang w:val="en"/>
        </w:rPr>
      </w:pPr>
      <w:r w:rsidRPr="00863BE9">
        <w:rPr>
          <w:rFonts w:ascii="Arial" w:hAnsi="Arial" w:cs="Arial"/>
        </w:rPr>
        <w:t xml:space="preserve">Tsai CJ, Xue LJ 2015. CRISPRing into the woods. GM Crops &amp; Food, 6, 206-215. </w:t>
      </w:r>
      <w:r w:rsidRPr="00863BE9">
        <w:rPr>
          <w:rFonts w:ascii="Arial" w:hAnsi="Arial" w:cs="Arial"/>
          <w:color w:val="000000"/>
          <w:lang w:val="en"/>
        </w:rPr>
        <w:t xml:space="preserve"> </w:t>
      </w:r>
    </w:p>
    <w:p w14:paraId="1C70F868" w14:textId="77777777" w:rsidR="00693C09" w:rsidRPr="00863BE9" w:rsidRDefault="00693C09" w:rsidP="00BE6785">
      <w:pPr>
        <w:spacing w:after="0" w:line="240" w:lineRule="auto"/>
        <w:jc w:val="both"/>
        <w:rPr>
          <w:rFonts w:ascii="Arial" w:eastAsia="Calibri" w:hAnsi="Arial" w:cs="Arial"/>
        </w:rPr>
      </w:pPr>
      <w:r w:rsidRPr="00923560">
        <w:rPr>
          <w:rFonts w:ascii="Arial" w:eastAsia="Calibri" w:hAnsi="Arial" w:cs="Arial"/>
          <w:lang w:val="nl-NL"/>
        </w:rPr>
        <w:t xml:space="preserve">Tschaplinski TJ, Tuskan GA, Sewell MM, Gebre GM, Donald ETI, Pendley C. 2006. </w:t>
      </w:r>
      <w:r w:rsidRPr="00863BE9">
        <w:rPr>
          <w:rFonts w:ascii="Arial" w:eastAsia="Calibri" w:hAnsi="Arial" w:cs="Arial"/>
        </w:rPr>
        <w:t>Phenotypic variation and quantitative trait locus identification for osmotic potential in an interspecific hybrid inbred F-2 poplar pedigree grown in contrasting environments. Tree Physiology 26, 595-604.</w:t>
      </w:r>
    </w:p>
    <w:p w14:paraId="34F680A7" w14:textId="77777777" w:rsidR="00693C09" w:rsidRPr="00863BE9" w:rsidRDefault="00693C09" w:rsidP="00BE6785">
      <w:pPr>
        <w:spacing w:after="0" w:line="240" w:lineRule="auto"/>
        <w:jc w:val="both"/>
        <w:rPr>
          <w:rFonts w:ascii="Arial" w:eastAsia="Calibri" w:hAnsi="Arial" w:cs="Arial"/>
        </w:rPr>
      </w:pPr>
    </w:p>
    <w:p w14:paraId="6FB25C75" w14:textId="77777777" w:rsidR="00E41189" w:rsidRPr="00863BE9" w:rsidRDefault="00693C09"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863BE9">
        <w:rPr>
          <w:rFonts w:ascii="Arial" w:eastAsia="Calibri" w:hAnsi="Arial" w:cs="Arial"/>
          <w:color w:val="auto"/>
          <w:sz w:val="22"/>
          <w:szCs w:val="22"/>
        </w:rPr>
        <w:t>Tschaplinski TJ</w:t>
      </w:r>
      <w:r w:rsidR="00E41189" w:rsidRPr="00863BE9">
        <w:rPr>
          <w:rFonts w:ascii="Arial" w:eastAsia="Calibri" w:hAnsi="Arial" w:cs="Arial"/>
          <w:color w:val="auto"/>
          <w:sz w:val="22"/>
          <w:szCs w:val="22"/>
        </w:rPr>
        <w:t xml:space="preserve">, </w:t>
      </w:r>
      <w:r w:rsidR="00E41189" w:rsidRPr="00863BE9">
        <w:rPr>
          <w:rFonts w:ascii="Arial" w:hAnsi="Arial" w:cs="Arial"/>
          <w:color w:val="auto"/>
          <w:sz w:val="22"/>
          <w:szCs w:val="22"/>
        </w:rPr>
        <w:t>Paul Abraham, Sara Jawdy</w:t>
      </w:r>
      <w:r w:rsidR="00E41189" w:rsidRPr="00863BE9">
        <w:rPr>
          <w:rFonts w:ascii="Arial" w:eastAsia="Calibri" w:hAnsi="Arial" w:cs="Arial"/>
          <w:color w:val="auto"/>
          <w:sz w:val="22"/>
          <w:szCs w:val="22"/>
        </w:rPr>
        <w:t xml:space="preserve"> 2019. </w:t>
      </w:r>
      <w:r w:rsidR="00E41189" w:rsidRPr="00863BE9">
        <w:rPr>
          <w:rFonts w:ascii="Arial" w:hAnsi="Arial" w:cs="Arial"/>
          <w:color w:val="auto"/>
          <w:sz w:val="22"/>
          <w:szCs w:val="22"/>
        </w:rPr>
        <w:t xml:space="preserve">Acute drought induces populosoides in </w:t>
      </w:r>
      <w:r w:rsidR="00E41189" w:rsidRPr="00863BE9">
        <w:rPr>
          <w:rFonts w:ascii="Arial" w:hAnsi="Arial" w:cs="Arial"/>
          <w:i/>
          <w:color w:val="auto"/>
          <w:sz w:val="22"/>
          <w:szCs w:val="22"/>
        </w:rPr>
        <w:t>Populus deltoid</w:t>
      </w:r>
      <w:r w:rsidR="00734865">
        <w:rPr>
          <w:rFonts w:ascii="Arial" w:hAnsi="Arial" w:cs="Arial"/>
          <w:i/>
          <w:color w:val="auto"/>
          <w:sz w:val="22"/>
          <w:szCs w:val="22"/>
        </w:rPr>
        <w:t>e</w:t>
      </w:r>
      <w:r w:rsidR="00E41189" w:rsidRPr="00863BE9">
        <w:rPr>
          <w:rFonts w:ascii="Arial" w:hAnsi="Arial" w:cs="Arial"/>
          <w:i/>
          <w:color w:val="auto"/>
          <w:sz w:val="22"/>
          <w:szCs w:val="22"/>
        </w:rPr>
        <w:t>s</w:t>
      </w:r>
      <w:r w:rsidR="00734865">
        <w:rPr>
          <w:rFonts w:ascii="Arial" w:hAnsi="Arial" w:cs="Arial"/>
          <w:i/>
          <w:color w:val="auto"/>
          <w:sz w:val="22"/>
          <w:szCs w:val="22"/>
        </w:rPr>
        <w:t>.</w:t>
      </w:r>
      <w:r w:rsidR="00E41189" w:rsidRPr="00863BE9">
        <w:rPr>
          <w:rFonts w:ascii="Arial" w:hAnsi="Arial" w:cs="Arial"/>
          <w:i/>
          <w:color w:val="auto"/>
          <w:sz w:val="22"/>
          <w:szCs w:val="22"/>
        </w:rPr>
        <w:t xml:space="preserve"> </w:t>
      </w:r>
      <w:r w:rsidR="00E41189" w:rsidRPr="00863BE9">
        <w:rPr>
          <w:rFonts w:ascii="Arial" w:hAnsi="Arial" w:cs="Arial"/>
          <w:color w:val="auto"/>
          <w:sz w:val="22"/>
          <w:szCs w:val="22"/>
          <w:bdr w:val="none" w:sz="0" w:space="0" w:color="auto" w:frame="1"/>
          <w:shd w:val="clear" w:color="auto" w:fill="FFFFFF"/>
        </w:rPr>
        <w:t>Annals of Botany</w:t>
      </w:r>
      <w:r w:rsidR="00DC7D48" w:rsidRPr="00863BE9">
        <w:rPr>
          <w:rFonts w:ascii="Arial" w:hAnsi="Arial" w:cs="Arial"/>
          <w:color w:val="auto"/>
          <w:sz w:val="22"/>
          <w:szCs w:val="22"/>
          <w:bdr w:val="none" w:sz="0" w:space="0" w:color="auto" w:frame="1"/>
          <w:shd w:val="clear" w:color="auto" w:fill="FFFFFF"/>
        </w:rPr>
        <w:t>,</w:t>
      </w:r>
      <w:r w:rsidR="00E41189" w:rsidRPr="00863BE9">
        <w:rPr>
          <w:rFonts w:ascii="Arial" w:hAnsi="Arial" w:cs="Arial"/>
          <w:i/>
          <w:color w:val="auto"/>
          <w:sz w:val="22"/>
          <w:szCs w:val="22"/>
          <w:bdr w:val="none" w:sz="0" w:space="0" w:color="auto" w:frame="1"/>
          <w:shd w:val="clear" w:color="auto" w:fill="FFFFFF"/>
        </w:rPr>
        <w:t xml:space="preserve"> </w:t>
      </w:r>
      <w:r w:rsidR="00E41189" w:rsidRPr="00863BE9">
        <w:rPr>
          <w:rFonts w:ascii="Arial" w:hAnsi="Arial" w:cs="Arial"/>
          <w:color w:val="auto"/>
          <w:sz w:val="22"/>
          <w:szCs w:val="22"/>
          <w:bdr w:val="none" w:sz="0" w:space="0" w:color="auto" w:frame="1"/>
          <w:shd w:val="clear" w:color="auto" w:fill="FFFFFF"/>
        </w:rPr>
        <w:t>124: xxx–xxx doi:</w:t>
      </w:r>
      <w:r w:rsidR="00E41189" w:rsidRPr="00863BE9">
        <w:rPr>
          <w:rFonts w:ascii="Arial" w:hAnsi="Arial" w:cs="Arial"/>
          <w:noProof/>
          <w:color w:val="auto"/>
          <w:sz w:val="22"/>
          <w:szCs w:val="22"/>
          <w:lang w:eastAsia="en-GB"/>
        </w:rPr>
        <w:t xml:space="preserve"> </w:t>
      </w:r>
      <w:r w:rsidR="00E41189" w:rsidRPr="00863BE9">
        <w:rPr>
          <w:rFonts w:ascii="Arial" w:hAnsi="Arial" w:cs="Arial"/>
          <w:color w:val="auto"/>
          <w:sz w:val="22"/>
          <w:szCs w:val="22"/>
          <w:bdr w:val="none" w:sz="0" w:space="0" w:color="auto" w:frame="1"/>
          <w:shd w:val="clear" w:color="auto" w:fill="FFFFFF"/>
        </w:rPr>
        <w:t>10.1093/aob/mcz002</w:t>
      </w:r>
      <w:r w:rsidR="00BE6785">
        <w:rPr>
          <w:rFonts w:ascii="Arial" w:hAnsi="Arial" w:cs="Arial"/>
          <w:color w:val="auto"/>
          <w:sz w:val="22"/>
          <w:szCs w:val="22"/>
          <w:bdr w:val="none" w:sz="0" w:space="0" w:color="auto" w:frame="1"/>
          <w:shd w:val="clear" w:color="auto" w:fill="FFFFFF"/>
        </w:rPr>
        <w:t>.</w:t>
      </w:r>
    </w:p>
    <w:p w14:paraId="2891F3E2" w14:textId="77777777" w:rsidR="00693C09" w:rsidRPr="00863BE9" w:rsidRDefault="00693C09" w:rsidP="00BE6785">
      <w:pPr>
        <w:spacing w:after="0" w:line="240" w:lineRule="auto"/>
        <w:jc w:val="both"/>
        <w:rPr>
          <w:rFonts w:ascii="Arial" w:eastAsia="Calibri" w:hAnsi="Arial" w:cs="Arial"/>
        </w:rPr>
      </w:pPr>
    </w:p>
    <w:p w14:paraId="0245F6DA" w14:textId="77777777" w:rsidR="00693C09" w:rsidRDefault="00693C09" w:rsidP="00BE6785">
      <w:pPr>
        <w:spacing w:line="240" w:lineRule="auto"/>
        <w:jc w:val="both"/>
        <w:rPr>
          <w:rFonts w:ascii="Arial" w:hAnsi="Arial" w:cs="Arial"/>
          <w:noProof/>
          <w:color w:val="000000"/>
          <w:lang w:eastAsia="zh-CN"/>
        </w:rPr>
      </w:pPr>
      <w:r w:rsidRPr="00863BE9">
        <w:rPr>
          <w:rFonts w:ascii="Arial" w:hAnsi="Arial" w:cs="Arial"/>
          <w:noProof/>
          <w:color w:val="000000"/>
          <w:lang w:eastAsia="zh-CN"/>
        </w:rPr>
        <w:t>United Nations, 2015. Transforming Our World: the 2030 Agenda for Sustainable Development. Resolution adopted by the General Assembly on 25 September 2015. A/RES/70/1.</w:t>
      </w:r>
    </w:p>
    <w:p w14:paraId="511BC330" w14:textId="77777777" w:rsidR="002008AC" w:rsidRPr="00863BE9" w:rsidRDefault="002008AC" w:rsidP="00BE6785">
      <w:pPr>
        <w:spacing w:line="240" w:lineRule="auto"/>
        <w:jc w:val="both"/>
        <w:rPr>
          <w:rFonts w:ascii="Arial" w:hAnsi="Arial" w:cs="Arial"/>
          <w:noProof/>
          <w:color w:val="000000"/>
          <w:lang w:eastAsia="zh-CN"/>
        </w:rPr>
      </w:pPr>
      <w:r>
        <w:rPr>
          <w:rFonts w:ascii="Arial" w:hAnsi="Arial" w:cs="Arial"/>
          <w:noProof/>
          <w:color w:val="000000"/>
          <w:lang w:eastAsia="zh-CN"/>
        </w:rPr>
        <w:t>Valentine J, Clifton-Brown J, hastings A, Robson P, Allison G, Smith P 2011. Food versus fuel: the use of land for lignocellulosic ‘next generation’ energy crops that minimize competition with primary food production. Global change Biology Bioenergy, 4, 1-19.</w:t>
      </w:r>
    </w:p>
    <w:p w14:paraId="311BF8E9" w14:textId="77777777" w:rsidR="00DC7D48" w:rsidRPr="00863BE9" w:rsidRDefault="00DC7D48" w:rsidP="00BE6785">
      <w:pPr>
        <w:pStyle w:val="Heading2"/>
        <w:spacing w:line="240" w:lineRule="auto"/>
        <w:jc w:val="both"/>
        <w:rPr>
          <w:rFonts w:ascii="Arial" w:hAnsi="Arial" w:cs="Arial"/>
          <w:noProof/>
          <w:color w:val="000000"/>
          <w:sz w:val="22"/>
          <w:szCs w:val="22"/>
          <w:lang w:eastAsia="zh-CN"/>
        </w:rPr>
      </w:pPr>
    </w:p>
    <w:p w14:paraId="1928BF6A" w14:textId="77777777" w:rsidR="00693C09" w:rsidRPr="00863BE9" w:rsidRDefault="00693C09"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863BE9">
        <w:rPr>
          <w:rFonts w:ascii="Arial" w:hAnsi="Arial" w:cs="Arial"/>
          <w:noProof/>
          <w:color w:val="000000"/>
          <w:sz w:val="22"/>
          <w:szCs w:val="22"/>
          <w:lang w:eastAsia="zh-CN"/>
        </w:rPr>
        <w:t>Vandepitte et al</w:t>
      </w:r>
      <w:r w:rsidR="00DC7D48" w:rsidRPr="00863BE9">
        <w:rPr>
          <w:rFonts w:ascii="Arial" w:hAnsi="Arial" w:cs="Arial"/>
          <w:noProof/>
          <w:color w:val="000000"/>
          <w:sz w:val="22"/>
          <w:szCs w:val="22"/>
          <w:lang w:eastAsia="zh-CN"/>
        </w:rPr>
        <w:t xml:space="preserve"> 2019. </w:t>
      </w:r>
      <w:r w:rsidR="00DC7D48" w:rsidRPr="00863BE9">
        <w:rPr>
          <w:rFonts w:ascii="Arial" w:hAnsi="Arial" w:cs="Arial"/>
          <w:color w:val="auto"/>
          <w:sz w:val="22"/>
          <w:szCs w:val="22"/>
        </w:rPr>
        <w:t xml:space="preserve">High genetic diversity in the non-toxic indigenous Jatropha curcas gene pool, </w:t>
      </w:r>
      <w:r w:rsidR="00DC7D48" w:rsidRPr="00863BE9">
        <w:rPr>
          <w:rFonts w:ascii="Arial" w:hAnsi="Arial" w:cs="Arial"/>
          <w:color w:val="auto"/>
          <w:sz w:val="22"/>
          <w:szCs w:val="22"/>
          <w:bdr w:val="none" w:sz="0" w:space="0" w:color="auto" w:frame="1"/>
          <w:shd w:val="clear" w:color="auto" w:fill="FFFFFF"/>
        </w:rPr>
        <w:t>Annals of Botany 124: xxx–xxx, doi:</w:t>
      </w:r>
      <w:r w:rsidR="00DC7D48" w:rsidRPr="00863BE9">
        <w:rPr>
          <w:rFonts w:ascii="Arial" w:hAnsi="Arial" w:cs="Arial"/>
          <w:noProof/>
          <w:color w:val="auto"/>
          <w:sz w:val="22"/>
          <w:szCs w:val="22"/>
          <w:lang w:eastAsia="en-GB"/>
        </w:rPr>
        <w:t xml:space="preserve"> </w:t>
      </w:r>
      <w:r w:rsidR="00DC7D48" w:rsidRPr="00863BE9">
        <w:rPr>
          <w:rFonts w:ascii="Arial" w:hAnsi="Arial" w:cs="Arial"/>
          <w:color w:val="auto"/>
          <w:sz w:val="22"/>
          <w:szCs w:val="22"/>
          <w:bdr w:val="none" w:sz="0" w:space="0" w:color="auto" w:frame="1"/>
          <w:shd w:val="clear" w:color="auto" w:fill="FFFFFF"/>
        </w:rPr>
        <w:t>10.1093/aob/mcz008</w:t>
      </w:r>
      <w:r w:rsidR="00BE6785">
        <w:rPr>
          <w:rFonts w:ascii="Arial" w:hAnsi="Arial" w:cs="Arial"/>
          <w:color w:val="auto"/>
          <w:sz w:val="22"/>
          <w:szCs w:val="22"/>
          <w:bdr w:val="none" w:sz="0" w:space="0" w:color="auto" w:frame="1"/>
          <w:shd w:val="clear" w:color="auto" w:fill="FFFFFF"/>
        </w:rPr>
        <w:t>.</w:t>
      </w:r>
    </w:p>
    <w:p w14:paraId="4B4404E6" w14:textId="77777777" w:rsidR="00DC7D48" w:rsidRPr="00863BE9" w:rsidRDefault="00DC7D48" w:rsidP="00BE6785">
      <w:pPr>
        <w:spacing w:line="240" w:lineRule="auto"/>
        <w:jc w:val="both"/>
        <w:rPr>
          <w:rFonts w:ascii="Arial" w:hAnsi="Arial" w:cs="Arial"/>
          <w:i/>
        </w:rPr>
      </w:pPr>
    </w:p>
    <w:p w14:paraId="0B7CB8A9" w14:textId="2E758DEC" w:rsidR="00693C09" w:rsidRDefault="00693C09" w:rsidP="00BE6785">
      <w:pPr>
        <w:pStyle w:val="p2"/>
        <w:jc w:val="both"/>
        <w:rPr>
          <w:rFonts w:ascii="Arial" w:hAnsi="Arial" w:cs="Arial"/>
          <w:sz w:val="22"/>
          <w:szCs w:val="22"/>
          <w:lang w:val="en-GB"/>
        </w:rPr>
      </w:pPr>
      <w:r w:rsidRPr="00863BE9">
        <w:rPr>
          <w:rFonts w:ascii="Arial" w:hAnsi="Arial" w:cs="Arial"/>
          <w:sz w:val="22"/>
          <w:szCs w:val="22"/>
          <w:lang w:val="en-GB"/>
        </w:rPr>
        <w:t>Viger M, Smith HK, Cohen D, DeWoody J, Trewin H, Steenackers M, Bastien C, Taylor G 2016. Adaptive mechanisms and genomic plasticity for drought tolerance identified in European black poplar (</w:t>
      </w:r>
      <w:r w:rsidRPr="00863BE9">
        <w:rPr>
          <w:rFonts w:ascii="Arial" w:hAnsi="Arial" w:cs="Arial"/>
          <w:i/>
          <w:sz w:val="22"/>
          <w:szCs w:val="22"/>
          <w:lang w:val="en-GB"/>
        </w:rPr>
        <w:t>Populus nigra</w:t>
      </w:r>
      <w:r w:rsidRPr="00863BE9">
        <w:rPr>
          <w:rFonts w:ascii="Arial" w:hAnsi="Arial" w:cs="Arial"/>
          <w:sz w:val="22"/>
          <w:szCs w:val="22"/>
          <w:lang w:val="en-GB"/>
        </w:rPr>
        <w:t>). Tree Physiology, 36, 909-928.</w:t>
      </w:r>
    </w:p>
    <w:p w14:paraId="6ED26542" w14:textId="19592042" w:rsidR="005C4B30" w:rsidRDefault="005C4B30" w:rsidP="00BE6785">
      <w:pPr>
        <w:pStyle w:val="p2"/>
        <w:jc w:val="both"/>
        <w:rPr>
          <w:rFonts w:ascii="Arial" w:hAnsi="Arial" w:cs="Arial"/>
          <w:sz w:val="22"/>
          <w:szCs w:val="22"/>
          <w:lang w:val="en-GB"/>
        </w:rPr>
      </w:pPr>
    </w:p>
    <w:p w14:paraId="63BB8377" w14:textId="77777777" w:rsidR="005C4B30" w:rsidRDefault="005C4B30" w:rsidP="005C4B30">
      <w:pPr>
        <w:pStyle w:val="p2"/>
        <w:jc w:val="both"/>
        <w:rPr>
          <w:rFonts w:ascii="Arial" w:hAnsi="Arial" w:cs="Arial"/>
          <w:sz w:val="22"/>
          <w:szCs w:val="22"/>
        </w:rPr>
      </w:pPr>
      <w:r w:rsidRPr="009C2647">
        <w:rPr>
          <w:rFonts w:ascii="Arial" w:hAnsi="Arial" w:cs="Arial"/>
          <w:sz w:val="22"/>
          <w:szCs w:val="22"/>
        </w:rPr>
        <w:t>Wildhagen H, Paul S, Allwright M, Smith HK, Malinowska M, Schnabel S, Paulo J, Cattonaro F, Vendramin V, Scalabrin S, Janz D, Douthe C, Cohen D, Le Thiec D, Brendel O, van Eeuwijk F, Keurentjes JB, Flexas J, Morgante M, Robson P, Bogeat-Triboulot MB, Taylor G, Polle A</w:t>
      </w:r>
      <w:r>
        <w:rPr>
          <w:rFonts w:ascii="Arial" w:hAnsi="Arial" w:cs="Arial"/>
          <w:sz w:val="22"/>
          <w:szCs w:val="22"/>
        </w:rPr>
        <w:t>,</w:t>
      </w:r>
      <w:r w:rsidRPr="005175FC">
        <w:rPr>
          <w:rFonts w:ascii="Arial" w:hAnsi="Arial" w:cs="Arial"/>
          <w:sz w:val="22"/>
          <w:szCs w:val="22"/>
        </w:rPr>
        <w:t xml:space="preserve"> 2018.</w:t>
      </w:r>
      <w:r w:rsidRPr="009C2647">
        <w:rPr>
          <w:rFonts w:ascii="Arial" w:hAnsi="Arial" w:cs="Arial"/>
          <w:sz w:val="22"/>
          <w:szCs w:val="22"/>
        </w:rPr>
        <w:t xml:space="preserve"> Genes and gene clusters related to genotype and drought-induced variation in saccharification potential, lignin content, and wood anatomical traits in </w:t>
      </w:r>
      <w:r w:rsidRPr="009C2647">
        <w:rPr>
          <w:rFonts w:ascii="Arial" w:hAnsi="Arial" w:cs="Arial"/>
          <w:i/>
          <w:sz w:val="22"/>
          <w:szCs w:val="22"/>
        </w:rPr>
        <w:t>Populus nigra</w:t>
      </w:r>
      <w:r w:rsidRPr="005175FC">
        <w:rPr>
          <w:rFonts w:ascii="Arial" w:hAnsi="Arial" w:cs="Arial"/>
          <w:sz w:val="22"/>
          <w:szCs w:val="22"/>
        </w:rPr>
        <w:t>. Tree Physiology, 38,</w:t>
      </w:r>
      <w:r w:rsidRPr="009C2647">
        <w:rPr>
          <w:rFonts w:ascii="Arial" w:hAnsi="Arial" w:cs="Arial"/>
          <w:sz w:val="22"/>
          <w:szCs w:val="22"/>
        </w:rPr>
        <w:t xml:space="preserve"> 340-361</w:t>
      </w:r>
      <w:r>
        <w:rPr>
          <w:rFonts w:ascii="Arial" w:hAnsi="Arial" w:cs="Arial"/>
          <w:sz w:val="22"/>
          <w:szCs w:val="22"/>
        </w:rPr>
        <w:t>.</w:t>
      </w:r>
    </w:p>
    <w:p w14:paraId="422EE8FD" w14:textId="15D8D87C" w:rsidR="00BE6B5C" w:rsidRDefault="00BE6B5C" w:rsidP="00BE6785">
      <w:pPr>
        <w:pStyle w:val="p2"/>
        <w:jc w:val="both"/>
        <w:rPr>
          <w:rFonts w:ascii="Arial" w:hAnsi="Arial" w:cs="Arial"/>
          <w:sz w:val="22"/>
          <w:szCs w:val="22"/>
          <w:lang w:val="en-GB"/>
        </w:rPr>
      </w:pPr>
    </w:p>
    <w:p w14:paraId="3AF5C698" w14:textId="3109D24F" w:rsidR="00BE6B5C" w:rsidRDefault="00BE6B5C" w:rsidP="00BE6785">
      <w:pPr>
        <w:pStyle w:val="p2"/>
        <w:jc w:val="both"/>
        <w:rPr>
          <w:rFonts w:ascii="Arial" w:hAnsi="Arial" w:cs="Arial"/>
          <w:sz w:val="22"/>
          <w:szCs w:val="22"/>
          <w:lang w:val="en-GB"/>
        </w:rPr>
      </w:pPr>
      <w:r>
        <w:rPr>
          <w:rFonts w:ascii="Arial" w:hAnsi="Arial" w:cs="Arial"/>
          <w:sz w:val="22"/>
          <w:szCs w:val="22"/>
          <w:lang w:val="en-GB"/>
        </w:rPr>
        <w:t>Willett W, Rockstrom J, Loken B, et al., 2019. Food in the Anthropocene: the EAT – lancet Commission on healthy diets. The LancetCommissions, 393, 447-492.</w:t>
      </w:r>
    </w:p>
    <w:p w14:paraId="4AC4DB59" w14:textId="77777777" w:rsidR="00F059BE" w:rsidRDefault="00F059BE" w:rsidP="00BE6785">
      <w:pPr>
        <w:pStyle w:val="p2"/>
        <w:jc w:val="both"/>
        <w:rPr>
          <w:rFonts w:ascii="Arial" w:hAnsi="Arial" w:cs="Arial"/>
          <w:sz w:val="22"/>
          <w:szCs w:val="22"/>
          <w:lang w:val="en-GB"/>
        </w:rPr>
      </w:pPr>
    </w:p>
    <w:p w14:paraId="7D1FC8C2" w14:textId="1B71C040" w:rsidR="00F059BE" w:rsidRDefault="00F059BE" w:rsidP="00BE6785">
      <w:pPr>
        <w:pStyle w:val="p2"/>
        <w:jc w:val="both"/>
        <w:rPr>
          <w:rFonts w:ascii="Arial" w:hAnsi="Arial" w:cs="Arial"/>
          <w:sz w:val="22"/>
          <w:szCs w:val="22"/>
          <w:lang w:val="en-GB"/>
        </w:rPr>
      </w:pPr>
      <w:r>
        <w:rPr>
          <w:rFonts w:ascii="Arial" w:hAnsi="Arial" w:cs="Arial"/>
          <w:sz w:val="22"/>
          <w:szCs w:val="22"/>
          <w:lang w:val="en-GB"/>
        </w:rPr>
        <w:t>Xie Q, Fernando KMC, mayes S, Sparkes DL, 2017. Identifying seedling root architecture traits associated with yield and yield components in wheat</w:t>
      </w:r>
      <w:r w:rsidR="00734865">
        <w:rPr>
          <w:rFonts w:ascii="Arial" w:hAnsi="Arial" w:cs="Arial"/>
          <w:sz w:val="22"/>
          <w:szCs w:val="22"/>
          <w:lang w:val="en-GB"/>
        </w:rPr>
        <w:t>. Annals of Botnay, 119, 1115-1129.</w:t>
      </w:r>
    </w:p>
    <w:p w14:paraId="79F4BB39" w14:textId="77777777" w:rsidR="005C4B30" w:rsidRPr="005175FC" w:rsidRDefault="005C4B30" w:rsidP="005C4B30">
      <w:pPr>
        <w:spacing w:line="240" w:lineRule="auto"/>
        <w:jc w:val="both"/>
        <w:rPr>
          <w:rFonts w:ascii="Arial" w:hAnsi="Arial" w:cs="Arial"/>
          <w:noProof/>
          <w:color w:val="000000"/>
          <w:lang w:eastAsia="zh-CN"/>
        </w:rPr>
      </w:pPr>
      <w:r w:rsidRPr="009C2647">
        <w:rPr>
          <w:rFonts w:ascii="Arial" w:hAnsi="Arial" w:cs="Arial"/>
        </w:rPr>
        <w:t xml:space="preserve">Yu D, Wildhagen H, Tylewicz S, Miscolczi PC, </w:t>
      </w:r>
      <w:r w:rsidRPr="005175FC">
        <w:rPr>
          <w:rFonts w:ascii="Arial" w:hAnsi="Arial" w:cs="Arial"/>
          <w:color w:val="000000"/>
        </w:rPr>
        <w:t>Bhalerao RP, Polle A, 2019.</w:t>
      </w:r>
      <w:r w:rsidRPr="009C2647">
        <w:rPr>
          <w:rFonts w:ascii="Arial" w:hAnsi="Arial" w:cs="Arial"/>
          <w:color w:val="000000"/>
        </w:rPr>
        <w:t xml:space="preserve"> ABA signaling mediates biomass trade-off and allocation in poplar. New Phytologist</w:t>
      </w:r>
      <w:r>
        <w:rPr>
          <w:rFonts w:ascii="Arial" w:hAnsi="Arial" w:cs="Arial"/>
          <w:color w:val="000000"/>
        </w:rPr>
        <w:t>,</w:t>
      </w:r>
      <w:r w:rsidRPr="009C2647">
        <w:rPr>
          <w:rFonts w:ascii="Arial" w:hAnsi="Arial" w:cs="Arial"/>
          <w:color w:val="000000"/>
        </w:rPr>
        <w:t xml:space="preserve"> </w:t>
      </w:r>
      <w:r w:rsidRPr="005175FC">
        <w:rPr>
          <w:rStyle w:val="databold"/>
          <w:rFonts w:ascii="Arial" w:hAnsi="Arial" w:cs="Arial"/>
          <w:color w:val="000000"/>
        </w:rPr>
        <w:t>223,</w:t>
      </w:r>
      <w:r w:rsidRPr="009C2647">
        <w:rPr>
          <w:rStyle w:val="databold"/>
          <w:rFonts w:ascii="Arial" w:hAnsi="Arial" w:cs="Arial"/>
          <w:color w:val="000000"/>
        </w:rPr>
        <w:t xml:space="preserve"> 1192-1203.</w:t>
      </w:r>
    </w:p>
    <w:p w14:paraId="24EE1494" w14:textId="77777777" w:rsidR="00E41189" w:rsidRPr="00863BE9" w:rsidRDefault="00693C09" w:rsidP="00BE6785">
      <w:pPr>
        <w:pStyle w:val="Heading2"/>
        <w:spacing w:line="240" w:lineRule="auto"/>
        <w:jc w:val="both"/>
        <w:rPr>
          <w:rFonts w:ascii="Arial" w:hAnsi="Arial" w:cs="Arial"/>
          <w:color w:val="auto"/>
          <w:sz w:val="22"/>
          <w:szCs w:val="22"/>
          <w:bdr w:val="none" w:sz="0" w:space="0" w:color="auto" w:frame="1"/>
          <w:shd w:val="clear" w:color="auto" w:fill="FFFFFF"/>
        </w:rPr>
      </w:pPr>
      <w:r w:rsidRPr="00863BE9">
        <w:rPr>
          <w:rFonts w:ascii="Arial" w:hAnsi="Arial" w:cs="Arial"/>
          <w:noProof/>
          <w:color w:val="auto"/>
          <w:sz w:val="22"/>
          <w:szCs w:val="22"/>
          <w:lang w:eastAsia="zh-CN"/>
        </w:rPr>
        <w:t>Zageda-Lizarazu</w:t>
      </w:r>
      <w:r w:rsidR="00E41189" w:rsidRPr="00863BE9">
        <w:rPr>
          <w:rFonts w:ascii="Arial" w:hAnsi="Arial" w:cs="Arial"/>
          <w:noProof/>
          <w:color w:val="auto"/>
          <w:sz w:val="22"/>
          <w:szCs w:val="22"/>
          <w:lang w:eastAsia="zh-CN"/>
        </w:rPr>
        <w:t xml:space="preserve"> W</w:t>
      </w:r>
      <w:r w:rsidRPr="00863BE9">
        <w:rPr>
          <w:rFonts w:ascii="Arial" w:hAnsi="Arial" w:cs="Arial"/>
          <w:noProof/>
          <w:color w:val="auto"/>
          <w:sz w:val="22"/>
          <w:szCs w:val="22"/>
          <w:lang w:eastAsia="zh-CN"/>
        </w:rPr>
        <w:t xml:space="preserve"> and Monti</w:t>
      </w:r>
      <w:r w:rsidR="00E41189" w:rsidRPr="00863BE9">
        <w:rPr>
          <w:rFonts w:ascii="Arial" w:hAnsi="Arial" w:cs="Arial"/>
          <w:noProof/>
          <w:color w:val="auto"/>
          <w:sz w:val="22"/>
          <w:szCs w:val="22"/>
          <w:lang w:eastAsia="zh-CN"/>
        </w:rPr>
        <w:t xml:space="preserve"> A. 2019. </w:t>
      </w:r>
      <w:r w:rsidR="00E41189" w:rsidRPr="00863BE9">
        <w:rPr>
          <w:rFonts w:ascii="Arial" w:hAnsi="Arial" w:cs="Arial"/>
          <w:color w:val="auto"/>
          <w:sz w:val="22"/>
          <w:szCs w:val="22"/>
        </w:rPr>
        <w:t xml:space="preserve">Deep Rooting Characteristics and Water Uptake of Giant Reed, </w:t>
      </w:r>
      <w:r w:rsidR="00E41189" w:rsidRPr="00863BE9">
        <w:rPr>
          <w:rFonts w:ascii="Arial" w:hAnsi="Arial" w:cs="Arial"/>
          <w:color w:val="auto"/>
          <w:sz w:val="22"/>
          <w:szCs w:val="22"/>
          <w:bdr w:val="none" w:sz="0" w:space="0" w:color="auto" w:frame="1"/>
          <w:shd w:val="clear" w:color="auto" w:fill="FFFFFF"/>
        </w:rPr>
        <w:t>Annals of Botany 124: xxx–xxx, doi:</w:t>
      </w:r>
      <w:r w:rsidR="00E41189" w:rsidRPr="00863BE9">
        <w:rPr>
          <w:rFonts w:ascii="Arial" w:hAnsi="Arial" w:cs="Arial"/>
          <w:noProof/>
          <w:color w:val="auto"/>
          <w:sz w:val="22"/>
          <w:szCs w:val="22"/>
          <w:lang w:eastAsia="en-GB"/>
        </w:rPr>
        <w:t xml:space="preserve"> </w:t>
      </w:r>
      <w:r w:rsidR="00E41189" w:rsidRPr="00863BE9">
        <w:rPr>
          <w:rFonts w:ascii="Arial" w:hAnsi="Arial" w:cs="Arial"/>
          <w:color w:val="auto"/>
          <w:sz w:val="22"/>
          <w:szCs w:val="22"/>
          <w:bdr w:val="none" w:sz="0" w:space="0" w:color="auto" w:frame="1"/>
          <w:shd w:val="clear" w:color="auto" w:fill="FFFFFF"/>
        </w:rPr>
        <w:t>10.1093/aob/mcz001</w:t>
      </w:r>
      <w:r w:rsidR="00BE6785">
        <w:rPr>
          <w:rFonts w:ascii="Arial" w:hAnsi="Arial" w:cs="Arial"/>
          <w:color w:val="auto"/>
          <w:sz w:val="22"/>
          <w:szCs w:val="22"/>
          <w:bdr w:val="none" w:sz="0" w:space="0" w:color="auto" w:frame="1"/>
          <w:shd w:val="clear" w:color="auto" w:fill="FFFFFF"/>
        </w:rPr>
        <w:t>.</w:t>
      </w:r>
    </w:p>
    <w:p w14:paraId="5C983127" w14:textId="77777777" w:rsidR="00E41189" w:rsidRPr="00863BE9" w:rsidRDefault="00E41189" w:rsidP="00863BE9">
      <w:pPr>
        <w:spacing w:line="240" w:lineRule="auto"/>
        <w:rPr>
          <w:rFonts w:ascii="Arial" w:hAnsi="Arial" w:cs="Arial"/>
          <w:bdr w:val="none" w:sz="0" w:space="0" w:color="auto" w:frame="1"/>
          <w:shd w:val="clear" w:color="auto" w:fill="FFFFFF"/>
        </w:rPr>
      </w:pPr>
    </w:p>
    <w:p w14:paraId="55A298A2" w14:textId="77777777" w:rsidR="00693C09" w:rsidRPr="00863BE9" w:rsidRDefault="00693C09" w:rsidP="00863BE9">
      <w:pPr>
        <w:spacing w:line="240" w:lineRule="auto"/>
        <w:rPr>
          <w:rFonts w:ascii="Arial" w:hAnsi="Arial" w:cs="Arial"/>
          <w:noProof/>
          <w:color w:val="000000"/>
          <w:lang w:eastAsia="zh-CN"/>
        </w:rPr>
      </w:pPr>
    </w:p>
    <w:p w14:paraId="59C6552B" w14:textId="77777777" w:rsidR="00D247C0" w:rsidRDefault="00D247C0">
      <w:pPr>
        <w:rPr>
          <w:rFonts w:ascii="Arial" w:hAnsi="Arial" w:cs="Arial"/>
          <w:b/>
        </w:rPr>
      </w:pPr>
      <w:r>
        <w:rPr>
          <w:rFonts w:ascii="Arial" w:hAnsi="Arial" w:cs="Arial"/>
          <w:b/>
        </w:rPr>
        <w:br w:type="page"/>
      </w:r>
    </w:p>
    <w:p w14:paraId="28BE360D" w14:textId="77777777" w:rsidR="00693C09" w:rsidRPr="00863BE9" w:rsidRDefault="00B80D32" w:rsidP="00863BE9">
      <w:pPr>
        <w:spacing w:line="240" w:lineRule="auto"/>
        <w:rPr>
          <w:rFonts w:ascii="Arial" w:hAnsi="Arial" w:cs="Arial"/>
          <w:b/>
        </w:rPr>
      </w:pPr>
      <w:r>
        <w:rPr>
          <w:bCs/>
          <w:noProof/>
          <w:lang w:val="en-GB" w:eastAsia="en-GB"/>
        </w:rPr>
        <mc:AlternateContent>
          <mc:Choice Requires="wps">
            <w:drawing>
              <wp:anchor distT="0" distB="0" distL="114300" distR="114300" simplePos="0" relativeHeight="251668480" behindDoc="0" locked="0" layoutInCell="1" allowOverlap="1" wp14:anchorId="242C6BFD" wp14:editId="57378587">
                <wp:simplePos x="0" y="0"/>
                <wp:positionH relativeFrom="column">
                  <wp:posOffset>-69891</wp:posOffset>
                </wp:positionH>
                <wp:positionV relativeFrom="paragraph">
                  <wp:posOffset>1683195</wp:posOffset>
                </wp:positionV>
                <wp:extent cx="914400" cy="273423"/>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914400" cy="273423"/>
                        </a:xfrm>
                        <a:prstGeom prst="rect">
                          <a:avLst/>
                        </a:prstGeom>
                        <a:solidFill>
                          <a:sysClr val="window" lastClr="FFFFFF"/>
                        </a:solidFill>
                        <a:ln w="6350">
                          <a:noFill/>
                        </a:ln>
                      </wps:spPr>
                      <wps:txbx>
                        <w:txbxContent>
                          <w:p w14:paraId="0C7608A6" w14:textId="77777777" w:rsidR="009854F0" w:rsidRPr="00372DFA" w:rsidRDefault="009854F0" w:rsidP="00B80D32">
                            <w:pPr>
                              <w:rPr>
                                <w:sz w:val="20"/>
                                <w:szCs w:val="20"/>
                              </w:rPr>
                            </w:pPr>
                            <w:r w:rsidRPr="00372DFA">
                              <w:rPr>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2C6BFD" id="_x0000_t202" coordsize="21600,21600" o:spt="202" path="m,l,21600r21600,l21600,xe">
                <v:stroke joinstyle="miter"/>
                <v:path gradientshapeok="t" o:connecttype="rect"/>
              </v:shapetype>
              <v:shape id="Text Box 7" o:spid="_x0000_s1026" type="#_x0000_t202" style="position:absolute;margin-left:-5.5pt;margin-top:132.55pt;width:1in;height:21.5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" fillcolor="window" stroked="f" strokeweight=".5pt">
                <v:textbox>
                  <w:txbxContent>
                    <w:p w14:paraId="0C7608A6" w14:textId="77777777" w:rsidR="009854F0" w:rsidRPr="00372DFA" w:rsidRDefault="009854F0" w:rsidP="00B80D32">
                      <w:pPr>
                        <w:rPr>
                          <w:sz w:val="20"/>
                          <w:szCs w:val="20"/>
                        </w:rPr>
                      </w:pPr>
                      <w:r w:rsidRPr="00372DFA">
                        <w:rPr>
                          <w:sz w:val="20"/>
                          <w:szCs w:val="20"/>
                        </w:rPr>
                        <w:t>A</w:t>
                      </w:r>
                    </w:p>
                  </w:txbxContent>
                </v:textbox>
              </v:shape>
            </w:pict>
          </mc:Fallback>
        </mc:AlternateContent>
      </w:r>
      <w:r w:rsidR="00D247C0" w:rsidRPr="003E4001">
        <w:rPr>
          <w:noProof/>
          <w:lang w:val="en-GB" w:eastAsia="en-GB"/>
        </w:rPr>
        <mc:AlternateContent>
          <mc:Choice Requires="wps">
            <w:drawing>
              <wp:anchor distT="45720" distB="45720" distL="114300" distR="114300" simplePos="0" relativeHeight="251666432" behindDoc="1" locked="0" layoutInCell="1" allowOverlap="1" wp14:anchorId="080A63DD" wp14:editId="11A5C445">
                <wp:simplePos x="0" y="0"/>
                <wp:positionH relativeFrom="margin">
                  <wp:posOffset>-232968</wp:posOffset>
                </wp:positionH>
                <wp:positionV relativeFrom="paragraph">
                  <wp:posOffset>2398864</wp:posOffset>
                </wp:positionV>
                <wp:extent cx="5768340" cy="835660"/>
                <wp:effectExtent l="0" t="0" r="3810" b="0"/>
                <wp:wrapTight wrapText="bothSides">
                  <wp:wrapPolygon edited="0">
                    <wp:start x="0" y="0"/>
                    <wp:lineTo x="0" y="20769"/>
                    <wp:lineTo x="21543" y="20769"/>
                    <wp:lineTo x="21543" y="0"/>
                    <wp:lineTo x="0" y="0"/>
                  </wp:wrapPolygon>
                </wp:wrapTight>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83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7BFCB" w14:textId="77777777" w:rsidR="009854F0" w:rsidRDefault="009854F0" w:rsidP="00D247C0">
                            <w:r>
                              <w:rPr>
                                <w:rFonts w:ascii="Calibri" w:hAnsi="Calibri"/>
                                <w:b/>
                                <w:sz w:val="16"/>
                                <w:szCs w:val="16"/>
                              </w:rPr>
                              <w:t>Figure 1</w:t>
                            </w:r>
                            <w:r w:rsidRPr="004F4187">
                              <w:rPr>
                                <w:rFonts w:ascii="Calibri" w:hAnsi="Calibri"/>
                                <w:b/>
                                <w:sz w:val="16"/>
                                <w:szCs w:val="16"/>
                              </w:rPr>
                              <w:t>:</w:t>
                            </w:r>
                            <w:r w:rsidRPr="004F4187">
                              <w:rPr>
                                <w:rFonts w:ascii="Calibri" w:hAnsi="Calibri"/>
                                <w:sz w:val="16"/>
                                <w:szCs w:val="16"/>
                              </w:rPr>
                              <w:t xml:space="preserve"> A) land area required for global bioenergy crop</w:t>
                            </w:r>
                            <w:r>
                              <w:rPr>
                                <w:rFonts w:ascii="Calibri" w:hAnsi="Calibri"/>
                                <w:sz w:val="16"/>
                                <w:szCs w:val="16"/>
                              </w:rPr>
                              <w:t>s</w:t>
                            </w:r>
                            <w:r w:rsidRPr="004F4187">
                              <w:rPr>
                                <w:rFonts w:ascii="Calibri" w:hAnsi="Calibri"/>
                                <w:sz w:val="16"/>
                                <w:szCs w:val="16"/>
                              </w:rPr>
                              <w:t xml:space="preserve"> </w:t>
                            </w:r>
                            <w:r>
                              <w:rPr>
                                <w:rFonts w:ascii="Calibri" w:hAnsi="Calibri"/>
                                <w:sz w:val="16"/>
                                <w:szCs w:val="16"/>
                              </w:rPr>
                              <w:t xml:space="preserve">[modified </w:t>
                            </w:r>
                            <w:r w:rsidRPr="000E1DFA">
                              <w:rPr>
                                <w:rFonts w:ascii="Calibri" w:hAnsi="Calibri"/>
                                <w:sz w:val="16"/>
                                <w:szCs w:val="16"/>
                              </w:rPr>
                              <w:t>from Slade et al., 2014] and B)</w:t>
                            </w:r>
                            <w:r>
                              <w:rPr>
                                <w:rFonts w:ascii="Calibri" w:hAnsi="Calibri"/>
                                <w:sz w:val="16"/>
                                <w:szCs w:val="16"/>
                              </w:rPr>
                              <w:t xml:space="preserve"> A synthesis of potential and actual yield data (inset) from a survey of yield experiments for three focal 2G lignocellulosic non-food crops, illustrating the existence of a significant yield </w:t>
                            </w:r>
                            <w:r w:rsidRPr="000E1DFA">
                              <w:rPr>
                                <w:rFonts w:ascii="Calibri" w:hAnsi="Calibri"/>
                                <w:sz w:val="16"/>
                                <w:szCs w:val="16"/>
                              </w:rPr>
                              <w:t xml:space="preserve">gap </w:t>
                            </w:r>
                            <w:r>
                              <w:rPr>
                                <w:rFonts w:ascii="Calibri" w:hAnsi="Calibri"/>
                                <w:sz w:val="16"/>
                                <w:szCs w:val="16"/>
                              </w:rPr>
                              <w:t>[</w:t>
                            </w:r>
                            <w:r w:rsidRPr="000E1DFA">
                              <w:rPr>
                                <w:rFonts w:ascii="Calibri" w:hAnsi="Calibri"/>
                                <w:sz w:val="16"/>
                                <w:szCs w:val="16"/>
                              </w:rPr>
                              <w:t>modified from Allwright and Taylor, 2015</w:t>
                            </w:r>
                            <w:r>
                              <w:rPr>
                                <w:rFonts w:ascii="Calibri" w:hAnsi="Calibri"/>
                                <w:sz w:val="16"/>
                                <w:szCs w:val="16"/>
                              </w:rPr>
                              <w:t>]</w:t>
                            </w:r>
                            <w:r w:rsidRPr="000E1DFA">
                              <w:rPr>
                                <w:rFonts w:ascii="Calibri" w:hAnsi="Calibri"/>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0A63DD" id="Text Box 10" o:spid="_x0000_s1027" type="#_x0000_t202" style="position:absolute;margin-left:-18.35pt;margin-top:188.9pt;width:454.2pt;height:65.8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" stroked="f">
                <v:textbox style="mso-fit-shape-to-text:t">
                  <w:txbxContent>
                    <w:p w14:paraId="6FA7BFCB" w14:textId="77777777" w:rsidR="009854F0" w:rsidRDefault="009854F0" w:rsidP="00D247C0">
                      <w:r>
                        <w:rPr>
                          <w:rFonts w:ascii="Calibri" w:hAnsi="Calibri"/>
                          <w:b/>
                          <w:sz w:val="16"/>
                          <w:szCs w:val="16"/>
                        </w:rPr>
                        <w:t>Figure 1</w:t>
                      </w:r>
                      <w:r w:rsidRPr="004F4187">
                        <w:rPr>
                          <w:rFonts w:ascii="Calibri" w:hAnsi="Calibri"/>
                          <w:b/>
                          <w:sz w:val="16"/>
                          <w:szCs w:val="16"/>
                        </w:rPr>
                        <w:t>:</w:t>
                      </w:r>
                      <w:r w:rsidRPr="004F4187">
                        <w:rPr>
                          <w:rFonts w:ascii="Calibri" w:hAnsi="Calibri"/>
                          <w:sz w:val="16"/>
                          <w:szCs w:val="16"/>
                        </w:rPr>
                        <w:t xml:space="preserve"> A) land area required for global bioenergy crop</w:t>
                      </w:r>
                      <w:r>
                        <w:rPr>
                          <w:rFonts w:ascii="Calibri" w:hAnsi="Calibri"/>
                          <w:sz w:val="16"/>
                          <w:szCs w:val="16"/>
                        </w:rPr>
                        <w:t>s</w:t>
                      </w:r>
                      <w:r w:rsidRPr="004F4187">
                        <w:rPr>
                          <w:rFonts w:ascii="Calibri" w:hAnsi="Calibri"/>
                          <w:sz w:val="16"/>
                          <w:szCs w:val="16"/>
                        </w:rPr>
                        <w:t xml:space="preserve"> </w:t>
                      </w:r>
                      <w:r>
                        <w:rPr>
                          <w:rFonts w:ascii="Calibri" w:hAnsi="Calibri"/>
                          <w:sz w:val="16"/>
                          <w:szCs w:val="16"/>
                        </w:rPr>
                        <w:t xml:space="preserve">[modified </w:t>
                      </w:r>
                      <w:r w:rsidRPr="000E1DFA">
                        <w:rPr>
                          <w:rFonts w:ascii="Calibri" w:hAnsi="Calibri"/>
                          <w:sz w:val="16"/>
                          <w:szCs w:val="16"/>
                        </w:rPr>
                        <w:t>from Slade et al., 2014] and B)</w:t>
                      </w:r>
                      <w:r>
                        <w:rPr>
                          <w:rFonts w:ascii="Calibri" w:hAnsi="Calibri"/>
                          <w:sz w:val="16"/>
                          <w:szCs w:val="16"/>
                        </w:rPr>
                        <w:t xml:space="preserve"> A synthesis of potential and actual yield data (inset) from a survey of yield experiments for three focal 2G lignocellulosic non-food crops, illustrating the existence of a significant yield </w:t>
                      </w:r>
                      <w:r w:rsidRPr="000E1DFA">
                        <w:rPr>
                          <w:rFonts w:ascii="Calibri" w:hAnsi="Calibri"/>
                          <w:sz w:val="16"/>
                          <w:szCs w:val="16"/>
                        </w:rPr>
                        <w:t xml:space="preserve">gap </w:t>
                      </w:r>
                      <w:r>
                        <w:rPr>
                          <w:rFonts w:ascii="Calibri" w:hAnsi="Calibri"/>
                          <w:sz w:val="16"/>
                          <w:szCs w:val="16"/>
                        </w:rPr>
                        <w:t>[</w:t>
                      </w:r>
                      <w:r w:rsidRPr="000E1DFA">
                        <w:rPr>
                          <w:rFonts w:ascii="Calibri" w:hAnsi="Calibri"/>
                          <w:sz w:val="16"/>
                          <w:szCs w:val="16"/>
                        </w:rPr>
                        <w:t>modified from Allwright and Taylor, 2015</w:t>
                      </w:r>
                      <w:r>
                        <w:rPr>
                          <w:rFonts w:ascii="Calibri" w:hAnsi="Calibri"/>
                          <w:sz w:val="16"/>
                          <w:szCs w:val="16"/>
                        </w:rPr>
                        <w:t>]</w:t>
                      </w:r>
                      <w:r w:rsidRPr="000E1DFA">
                        <w:rPr>
                          <w:rFonts w:ascii="Calibri" w:hAnsi="Calibri"/>
                          <w:sz w:val="16"/>
                          <w:szCs w:val="16"/>
                        </w:rPr>
                        <w:t>.</w:t>
                      </w:r>
                    </w:p>
                  </w:txbxContent>
                </v:textbox>
                <w10:wrap type="tight" anchorx="margin"/>
              </v:shape>
            </w:pict>
          </mc:Fallback>
        </mc:AlternateContent>
      </w:r>
      <w:r w:rsidR="00D247C0">
        <w:rPr>
          <w:rFonts w:ascii="Arial" w:hAnsi="Arial" w:cs="Arial"/>
          <w:b/>
          <w:noProof/>
          <w:lang w:val="en-GB" w:eastAsia="en-GB"/>
        </w:rPr>
        <w:drawing>
          <wp:inline distT="0" distB="0" distL="0" distR="0" wp14:anchorId="1F673A46" wp14:editId="5633538A">
            <wp:extent cx="2759751" cy="2068146"/>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5360" cy="2072349"/>
                    </a:xfrm>
                    <a:prstGeom prst="rect">
                      <a:avLst/>
                    </a:prstGeom>
                    <a:noFill/>
                  </pic:spPr>
                </pic:pic>
              </a:graphicData>
            </a:graphic>
          </wp:inline>
        </w:drawing>
      </w:r>
      <w:r>
        <w:rPr>
          <w:rFonts w:ascii="Arial" w:hAnsi="Arial" w:cs="Arial"/>
          <w:b/>
          <w:noProof/>
          <w:lang w:val="en-GB" w:eastAsia="en-GB"/>
        </w:rPr>
        <w:drawing>
          <wp:inline distT="0" distB="0" distL="0" distR="0" wp14:anchorId="0A18B33F" wp14:editId="70A130C1">
            <wp:extent cx="266700" cy="276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pic:spPr>
                </pic:pic>
              </a:graphicData>
            </a:graphic>
          </wp:inline>
        </w:drawing>
      </w:r>
      <w:r w:rsidR="00D247C0">
        <w:rPr>
          <w:rFonts w:ascii="Arial" w:hAnsi="Arial" w:cs="Arial"/>
          <w:b/>
          <w:noProof/>
          <w:lang w:val="en-GB" w:eastAsia="en-GB"/>
        </w:rPr>
        <w:drawing>
          <wp:inline distT="0" distB="0" distL="0" distR="0" wp14:anchorId="72D85725" wp14:editId="70940A2B">
            <wp:extent cx="2840990" cy="1969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0990" cy="1969135"/>
                    </a:xfrm>
                    <a:prstGeom prst="rect">
                      <a:avLst/>
                    </a:prstGeom>
                    <a:noFill/>
                  </pic:spPr>
                </pic:pic>
              </a:graphicData>
            </a:graphic>
          </wp:inline>
        </w:drawing>
      </w:r>
    </w:p>
    <w:sectPr w:rsidR="00693C09" w:rsidRPr="00863BE9" w:rsidSect="00513245">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766EA" w16cid:durableId="20F3C251"/>
  <w16cid:commentId w16cid:paraId="6644219B" w16cid:durableId="20F3C4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79"/>
    <w:rsid w:val="00016631"/>
    <w:rsid w:val="00022040"/>
    <w:rsid w:val="0003230D"/>
    <w:rsid w:val="00042463"/>
    <w:rsid w:val="0006748E"/>
    <w:rsid w:val="00082879"/>
    <w:rsid w:val="0009683F"/>
    <w:rsid w:val="000B6492"/>
    <w:rsid w:val="000C76C5"/>
    <w:rsid w:val="000D7AE8"/>
    <w:rsid w:val="000E1DFA"/>
    <w:rsid w:val="000E6D6F"/>
    <w:rsid w:val="00122EDC"/>
    <w:rsid w:val="00163364"/>
    <w:rsid w:val="001706E0"/>
    <w:rsid w:val="00186C4F"/>
    <w:rsid w:val="0019745F"/>
    <w:rsid w:val="001E2780"/>
    <w:rsid w:val="001F5A02"/>
    <w:rsid w:val="001F7AEF"/>
    <w:rsid w:val="002008AC"/>
    <w:rsid w:val="00276E1C"/>
    <w:rsid w:val="002A22D9"/>
    <w:rsid w:val="002C7AD5"/>
    <w:rsid w:val="002D7D8D"/>
    <w:rsid w:val="002F34FC"/>
    <w:rsid w:val="002F56B2"/>
    <w:rsid w:val="00326641"/>
    <w:rsid w:val="003302B4"/>
    <w:rsid w:val="003329AD"/>
    <w:rsid w:val="00342C94"/>
    <w:rsid w:val="0035219E"/>
    <w:rsid w:val="003533A5"/>
    <w:rsid w:val="003558C1"/>
    <w:rsid w:val="00355C02"/>
    <w:rsid w:val="00361566"/>
    <w:rsid w:val="00372DFA"/>
    <w:rsid w:val="003C0ECF"/>
    <w:rsid w:val="003E3405"/>
    <w:rsid w:val="003E4001"/>
    <w:rsid w:val="00404251"/>
    <w:rsid w:val="004408AC"/>
    <w:rsid w:val="004456E0"/>
    <w:rsid w:val="00455CA9"/>
    <w:rsid w:val="004615B8"/>
    <w:rsid w:val="00464DBB"/>
    <w:rsid w:val="00470C06"/>
    <w:rsid w:val="0047201C"/>
    <w:rsid w:val="00472CFA"/>
    <w:rsid w:val="00476F8C"/>
    <w:rsid w:val="004921D5"/>
    <w:rsid w:val="004B3CA8"/>
    <w:rsid w:val="004D00D0"/>
    <w:rsid w:val="004F3393"/>
    <w:rsid w:val="005117AE"/>
    <w:rsid w:val="00513245"/>
    <w:rsid w:val="005135C4"/>
    <w:rsid w:val="00513CB4"/>
    <w:rsid w:val="00531D3C"/>
    <w:rsid w:val="005376D0"/>
    <w:rsid w:val="00571662"/>
    <w:rsid w:val="005834E2"/>
    <w:rsid w:val="005A0750"/>
    <w:rsid w:val="005B6ED5"/>
    <w:rsid w:val="005C3F59"/>
    <w:rsid w:val="005C4B30"/>
    <w:rsid w:val="00602569"/>
    <w:rsid w:val="00614991"/>
    <w:rsid w:val="00617A63"/>
    <w:rsid w:val="00620EA1"/>
    <w:rsid w:val="0065382C"/>
    <w:rsid w:val="006648D5"/>
    <w:rsid w:val="006655E1"/>
    <w:rsid w:val="00693C09"/>
    <w:rsid w:val="006A26D4"/>
    <w:rsid w:val="006C5351"/>
    <w:rsid w:val="006D1999"/>
    <w:rsid w:val="006E4053"/>
    <w:rsid w:val="006F3745"/>
    <w:rsid w:val="006F5B65"/>
    <w:rsid w:val="0071365B"/>
    <w:rsid w:val="007143E8"/>
    <w:rsid w:val="00734865"/>
    <w:rsid w:val="00737DC7"/>
    <w:rsid w:val="00746A7C"/>
    <w:rsid w:val="0077368A"/>
    <w:rsid w:val="0079385A"/>
    <w:rsid w:val="007A3595"/>
    <w:rsid w:val="007E6C34"/>
    <w:rsid w:val="007F0DAB"/>
    <w:rsid w:val="008510A7"/>
    <w:rsid w:val="0085279F"/>
    <w:rsid w:val="00863BE9"/>
    <w:rsid w:val="0086709E"/>
    <w:rsid w:val="0088276E"/>
    <w:rsid w:val="008A706A"/>
    <w:rsid w:val="008A7CDB"/>
    <w:rsid w:val="008C7210"/>
    <w:rsid w:val="0092059C"/>
    <w:rsid w:val="00921841"/>
    <w:rsid w:val="00922F22"/>
    <w:rsid w:val="00923560"/>
    <w:rsid w:val="00936D25"/>
    <w:rsid w:val="009401FF"/>
    <w:rsid w:val="00945938"/>
    <w:rsid w:val="009854F0"/>
    <w:rsid w:val="009B61C6"/>
    <w:rsid w:val="009C7BE2"/>
    <w:rsid w:val="009D13BB"/>
    <w:rsid w:val="009F31D7"/>
    <w:rsid w:val="00A0202A"/>
    <w:rsid w:val="00A1099B"/>
    <w:rsid w:val="00A3530F"/>
    <w:rsid w:val="00A47781"/>
    <w:rsid w:val="00A47DC3"/>
    <w:rsid w:val="00A52A67"/>
    <w:rsid w:val="00A734C8"/>
    <w:rsid w:val="00A81A1E"/>
    <w:rsid w:val="00A86975"/>
    <w:rsid w:val="00AE2174"/>
    <w:rsid w:val="00AE6245"/>
    <w:rsid w:val="00AF50FA"/>
    <w:rsid w:val="00B07DD4"/>
    <w:rsid w:val="00B217D1"/>
    <w:rsid w:val="00B448F1"/>
    <w:rsid w:val="00B80D32"/>
    <w:rsid w:val="00B82CB5"/>
    <w:rsid w:val="00B956F7"/>
    <w:rsid w:val="00BA0AAB"/>
    <w:rsid w:val="00BE1BC9"/>
    <w:rsid w:val="00BE6785"/>
    <w:rsid w:val="00BE6B5C"/>
    <w:rsid w:val="00BF002C"/>
    <w:rsid w:val="00C07661"/>
    <w:rsid w:val="00C241DE"/>
    <w:rsid w:val="00C44328"/>
    <w:rsid w:val="00C55510"/>
    <w:rsid w:val="00C76425"/>
    <w:rsid w:val="00C93B87"/>
    <w:rsid w:val="00CA30BC"/>
    <w:rsid w:val="00CB1071"/>
    <w:rsid w:val="00CB10B5"/>
    <w:rsid w:val="00CC1179"/>
    <w:rsid w:val="00CC51D6"/>
    <w:rsid w:val="00CF6958"/>
    <w:rsid w:val="00CF6A56"/>
    <w:rsid w:val="00D247C0"/>
    <w:rsid w:val="00D64078"/>
    <w:rsid w:val="00D741D9"/>
    <w:rsid w:val="00D76448"/>
    <w:rsid w:val="00D76591"/>
    <w:rsid w:val="00D84CC2"/>
    <w:rsid w:val="00DA35EB"/>
    <w:rsid w:val="00DB0DDF"/>
    <w:rsid w:val="00DC7D48"/>
    <w:rsid w:val="00E0702F"/>
    <w:rsid w:val="00E26AA5"/>
    <w:rsid w:val="00E40669"/>
    <w:rsid w:val="00E41189"/>
    <w:rsid w:val="00E53E96"/>
    <w:rsid w:val="00E81241"/>
    <w:rsid w:val="00EA7DC6"/>
    <w:rsid w:val="00EB2370"/>
    <w:rsid w:val="00EC4769"/>
    <w:rsid w:val="00EE7F9D"/>
    <w:rsid w:val="00F059BE"/>
    <w:rsid w:val="00F13827"/>
    <w:rsid w:val="00F1606B"/>
    <w:rsid w:val="00F2419E"/>
    <w:rsid w:val="00F258F8"/>
    <w:rsid w:val="00F302F0"/>
    <w:rsid w:val="00F42DC4"/>
    <w:rsid w:val="00F521D8"/>
    <w:rsid w:val="00F56C6F"/>
    <w:rsid w:val="00F87D85"/>
    <w:rsid w:val="00FA634D"/>
    <w:rsid w:val="00FD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C5E1"/>
  <w15:docId w15:val="{F5235F9A-028B-46B1-A577-4B30A8C6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59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24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uiPriority w:val="99"/>
    <w:semiHidden/>
    <w:unhideWhenUsed/>
    <w:rsid w:val="003E400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LineNumber">
    <w:name w:val="line number"/>
    <w:basedOn w:val="DefaultParagraphFont"/>
    <w:uiPriority w:val="99"/>
    <w:semiHidden/>
    <w:unhideWhenUsed/>
    <w:rsid w:val="00513245"/>
  </w:style>
  <w:style w:type="table" w:customStyle="1" w:styleId="TableGrid">
    <w:name w:val="TableGrid"/>
    <w:rsid w:val="00A1099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A7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DC6"/>
    <w:rPr>
      <w:rFonts w:ascii="Segoe UI" w:hAnsi="Segoe UI" w:cs="Segoe UI"/>
      <w:sz w:val="18"/>
      <w:szCs w:val="18"/>
    </w:rPr>
  </w:style>
  <w:style w:type="paragraph" w:customStyle="1" w:styleId="p2">
    <w:name w:val="p2"/>
    <w:basedOn w:val="Normal"/>
    <w:rsid w:val="00693C09"/>
    <w:pPr>
      <w:spacing w:after="0" w:line="240" w:lineRule="auto"/>
    </w:pPr>
    <w:rPr>
      <w:rFonts w:ascii="Times New Roman" w:hAnsi="Times New Roman" w:cs="Times New Roman"/>
      <w:sz w:val="17"/>
      <w:szCs w:val="17"/>
    </w:rPr>
  </w:style>
  <w:style w:type="character" w:styleId="Hyperlink">
    <w:name w:val="Hyperlink"/>
    <w:basedOn w:val="DefaultParagraphFont"/>
    <w:uiPriority w:val="99"/>
    <w:semiHidden/>
    <w:unhideWhenUsed/>
    <w:rsid w:val="00693C09"/>
    <w:rPr>
      <w:color w:val="0000FF"/>
      <w:u w:val="single"/>
    </w:rPr>
  </w:style>
  <w:style w:type="character" w:customStyle="1" w:styleId="Heading2Char">
    <w:name w:val="Heading 2 Char"/>
    <w:basedOn w:val="DefaultParagraphFont"/>
    <w:link w:val="Heading2"/>
    <w:uiPriority w:val="9"/>
    <w:rsid w:val="0004246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059BE"/>
    <w:rPr>
      <w:rFonts w:asciiTheme="majorHAnsi" w:eastAsiaTheme="majorEastAsia" w:hAnsiTheme="majorHAnsi" w:cstheme="majorBidi"/>
      <w:color w:val="2E74B5" w:themeColor="accent1" w:themeShade="BF"/>
      <w:sz w:val="32"/>
      <w:szCs w:val="32"/>
    </w:rPr>
  </w:style>
  <w:style w:type="character" w:customStyle="1" w:styleId="nlm-institution">
    <w:name w:val="nlm-institution"/>
    <w:basedOn w:val="DefaultParagraphFont"/>
    <w:rsid w:val="00E40669"/>
  </w:style>
  <w:style w:type="character" w:customStyle="1" w:styleId="nlm-country">
    <w:name w:val="nlm-country"/>
    <w:basedOn w:val="DefaultParagraphFont"/>
    <w:rsid w:val="00E40669"/>
  </w:style>
  <w:style w:type="character" w:styleId="Strong">
    <w:name w:val="Strong"/>
    <w:basedOn w:val="DefaultParagraphFont"/>
    <w:uiPriority w:val="22"/>
    <w:qFormat/>
    <w:rsid w:val="00617A63"/>
    <w:rPr>
      <w:b/>
      <w:bCs/>
    </w:rPr>
  </w:style>
  <w:style w:type="character" w:styleId="CommentReference">
    <w:name w:val="annotation reference"/>
    <w:basedOn w:val="DefaultParagraphFont"/>
    <w:uiPriority w:val="99"/>
    <w:semiHidden/>
    <w:unhideWhenUsed/>
    <w:rsid w:val="00F2419E"/>
    <w:rPr>
      <w:sz w:val="16"/>
      <w:szCs w:val="16"/>
    </w:rPr>
  </w:style>
  <w:style w:type="paragraph" w:styleId="CommentText">
    <w:name w:val="annotation text"/>
    <w:basedOn w:val="Normal"/>
    <w:link w:val="CommentTextChar"/>
    <w:uiPriority w:val="99"/>
    <w:semiHidden/>
    <w:unhideWhenUsed/>
    <w:rsid w:val="00F2419E"/>
    <w:pPr>
      <w:spacing w:line="240" w:lineRule="auto"/>
    </w:pPr>
    <w:rPr>
      <w:sz w:val="20"/>
      <w:szCs w:val="20"/>
    </w:rPr>
  </w:style>
  <w:style w:type="character" w:customStyle="1" w:styleId="CommentTextChar">
    <w:name w:val="Comment Text Char"/>
    <w:basedOn w:val="DefaultParagraphFont"/>
    <w:link w:val="CommentText"/>
    <w:uiPriority w:val="99"/>
    <w:semiHidden/>
    <w:rsid w:val="00F2419E"/>
    <w:rPr>
      <w:sz w:val="20"/>
      <w:szCs w:val="20"/>
    </w:rPr>
  </w:style>
  <w:style w:type="paragraph" w:styleId="CommentSubject">
    <w:name w:val="annotation subject"/>
    <w:basedOn w:val="CommentText"/>
    <w:next w:val="CommentText"/>
    <w:link w:val="CommentSubjectChar"/>
    <w:uiPriority w:val="99"/>
    <w:semiHidden/>
    <w:unhideWhenUsed/>
    <w:rsid w:val="00F2419E"/>
    <w:rPr>
      <w:b/>
      <w:bCs/>
    </w:rPr>
  </w:style>
  <w:style w:type="character" w:customStyle="1" w:styleId="CommentSubjectChar">
    <w:name w:val="Comment Subject Char"/>
    <w:basedOn w:val="CommentTextChar"/>
    <w:link w:val="CommentSubject"/>
    <w:uiPriority w:val="99"/>
    <w:semiHidden/>
    <w:rsid w:val="00F2419E"/>
    <w:rPr>
      <w:b/>
      <w:bCs/>
      <w:sz w:val="20"/>
      <w:szCs w:val="20"/>
    </w:rPr>
  </w:style>
  <w:style w:type="character" w:customStyle="1" w:styleId="databold">
    <w:name w:val="data_bold"/>
    <w:basedOn w:val="DefaultParagraphFont"/>
    <w:rsid w:val="005C4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1045">
      <w:bodyDiv w:val="1"/>
      <w:marLeft w:val="0"/>
      <w:marRight w:val="0"/>
      <w:marTop w:val="0"/>
      <w:marBottom w:val="0"/>
      <w:divBdr>
        <w:top w:val="none" w:sz="0" w:space="0" w:color="auto"/>
        <w:left w:val="none" w:sz="0" w:space="0" w:color="auto"/>
        <w:bottom w:val="none" w:sz="0" w:space="0" w:color="auto"/>
        <w:right w:val="none" w:sz="0" w:space="0" w:color="auto"/>
      </w:divBdr>
    </w:div>
    <w:div w:id="540554258">
      <w:bodyDiv w:val="1"/>
      <w:marLeft w:val="0"/>
      <w:marRight w:val="0"/>
      <w:marTop w:val="0"/>
      <w:marBottom w:val="0"/>
      <w:divBdr>
        <w:top w:val="none" w:sz="0" w:space="0" w:color="auto"/>
        <w:left w:val="none" w:sz="0" w:space="0" w:color="auto"/>
        <w:bottom w:val="none" w:sz="0" w:space="0" w:color="auto"/>
        <w:right w:val="none" w:sz="0" w:space="0" w:color="auto"/>
      </w:divBdr>
      <w:divsChild>
        <w:div w:id="809978258">
          <w:marLeft w:val="0"/>
          <w:marRight w:val="0"/>
          <w:marTop w:val="0"/>
          <w:marBottom w:val="0"/>
          <w:divBdr>
            <w:top w:val="none" w:sz="0" w:space="0" w:color="auto"/>
            <w:left w:val="none" w:sz="0" w:space="0" w:color="auto"/>
            <w:bottom w:val="none" w:sz="0" w:space="0" w:color="auto"/>
            <w:right w:val="none" w:sz="0" w:space="0" w:color="auto"/>
          </w:divBdr>
        </w:div>
        <w:div w:id="1963413438">
          <w:marLeft w:val="0"/>
          <w:marRight w:val="0"/>
          <w:marTop w:val="0"/>
          <w:marBottom w:val="0"/>
          <w:divBdr>
            <w:top w:val="none" w:sz="0" w:space="0" w:color="auto"/>
            <w:left w:val="none" w:sz="0" w:space="0" w:color="auto"/>
            <w:bottom w:val="none" w:sz="0" w:space="0" w:color="auto"/>
            <w:right w:val="none" w:sz="0" w:space="0" w:color="auto"/>
          </w:divBdr>
        </w:div>
        <w:div w:id="1176379185">
          <w:marLeft w:val="0"/>
          <w:marRight w:val="0"/>
          <w:marTop w:val="0"/>
          <w:marBottom w:val="0"/>
          <w:divBdr>
            <w:top w:val="none" w:sz="0" w:space="0" w:color="auto"/>
            <w:left w:val="none" w:sz="0" w:space="0" w:color="auto"/>
            <w:bottom w:val="none" w:sz="0" w:space="0" w:color="auto"/>
            <w:right w:val="none" w:sz="0" w:space="0" w:color="auto"/>
          </w:divBdr>
        </w:div>
      </w:divsChild>
    </w:div>
    <w:div w:id="587619667">
      <w:bodyDiv w:val="1"/>
      <w:marLeft w:val="0"/>
      <w:marRight w:val="0"/>
      <w:marTop w:val="0"/>
      <w:marBottom w:val="0"/>
      <w:divBdr>
        <w:top w:val="none" w:sz="0" w:space="0" w:color="auto"/>
        <w:left w:val="none" w:sz="0" w:space="0" w:color="auto"/>
        <w:bottom w:val="none" w:sz="0" w:space="0" w:color="auto"/>
        <w:right w:val="none" w:sz="0" w:space="0" w:color="auto"/>
      </w:divBdr>
    </w:div>
    <w:div w:id="178749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Fan%20D%5BAuthor%5D&amp;cauthor=true&amp;cauthor_uid=26193631" TargetMode="External"/><Relationship Id="rId13" Type="http://schemas.openxmlformats.org/officeDocument/2006/relationships/hyperlink" Target="https://www.ncbi.nlm.nih.gov/pubmed/?term=Luo%20K%5BAuthor%5D&amp;cauthor=true&amp;cauthor_uid=261936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bi.nlm.nih.gov/pubmed/?term=Hou%20Y%5BAuthor%5D&amp;cauthor=true&amp;cauthor_uid=26193631"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term=Li%20S%5BAuthor%5D&amp;cauthor=true&amp;cauthor_uid=26193631" TargetMode="External"/><Relationship Id="rId5" Type="http://schemas.openxmlformats.org/officeDocument/2006/relationships/styles" Target="styles.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hyperlink" Target="https://www.ncbi.nlm.nih.gov/pubmed/?term=Jiao%20B%5BAuthor%5D&amp;cauthor=true&amp;cauthor_uid=261936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ncbi.nlm.nih.gov/pubmed/?term=Liu%20T%5BAuthor%5D&amp;cauthor=true&amp;cauthor_uid=26193631"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8A30B76747E43913811210ABEC83B" ma:contentTypeVersion="8" ma:contentTypeDescription="Een nieuw document maken." ma:contentTypeScope="" ma:versionID="80731f18e3c95c4194ca4dc16ff40b38">
  <xsd:schema xmlns:xsd="http://www.w3.org/2001/XMLSchema" xmlns:xs="http://www.w3.org/2001/XMLSchema" xmlns:p="http://schemas.microsoft.com/office/2006/metadata/properties" xmlns:ns3="87a3c928-c051-495d-98c5-99c9633ee7b2" targetNamespace="http://schemas.microsoft.com/office/2006/metadata/properties" ma:root="true" ma:fieldsID="ae089196edc0211081e8ecb7a31c1084" ns3:_="">
    <xsd:import namespace="87a3c928-c051-495d-98c5-99c9633ee7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3c928-c051-495d-98c5-99c9633ee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F6F89-6F40-477A-89A5-3CB3BA00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3c928-c051-495d-98c5-99c9633ee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71823-8D29-4E8C-8A8A-629E3DAC5AB4}">
  <ds:schemaRefs>
    <ds:schemaRef ds:uri="http://schemas.microsoft.com/sharepoint/v3/contenttype/forms"/>
  </ds:schemaRefs>
</ds:datastoreItem>
</file>

<file path=customXml/itemProps3.xml><?xml version="1.0" encoding="utf-8"?>
<ds:datastoreItem xmlns:ds="http://schemas.openxmlformats.org/officeDocument/2006/customXml" ds:itemID="{006EA60A-1B93-4F63-9E92-1B81061C7988}">
  <ds:schemaRefs>
    <ds:schemaRef ds:uri="87a3c928-c051-495d-98c5-99c9633ee7b2"/>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3671A2A-7422-4975-9BA8-0383AD90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7215</Words>
  <Characters>41129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Taylor</dc:creator>
  <cp:lastModifiedBy>Lapage K.P.</cp:lastModifiedBy>
  <cp:revision>2</cp:revision>
  <cp:lastPrinted>2019-07-07T23:46:00Z</cp:lastPrinted>
  <dcterms:created xsi:type="dcterms:W3CDTF">2019-11-27T14:11:00Z</dcterms:created>
  <dcterms:modified xsi:type="dcterms:W3CDTF">2019-11-27T14:11:00Z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0x0101008C18A30B76747E43913811210ABEC83B</vt:lpwstr>
  </property>
</Properties>
</file>