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112" w:rsidRDefault="00F95112" w:rsidP="00F95112">
      <w:pPr>
        <w:spacing w:line="480" w:lineRule="auto"/>
        <w:rPr>
          <w:u w:val="single"/>
        </w:rPr>
      </w:pPr>
      <w:bookmarkStart w:id="0" w:name="_Hlk19623596"/>
      <w:r w:rsidRPr="00684072">
        <w:rPr>
          <w:i/>
          <w:u w:val="single"/>
        </w:rPr>
        <w:t>TTC7A</w:t>
      </w:r>
      <w:r w:rsidRPr="00684072">
        <w:rPr>
          <w:u w:val="single"/>
        </w:rPr>
        <w:t xml:space="preserve"> variants previously described </w:t>
      </w:r>
      <w:r>
        <w:rPr>
          <w:u w:val="single"/>
        </w:rPr>
        <w:t>to cause</w:t>
      </w:r>
      <w:r w:rsidRPr="00684072">
        <w:rPr>
          <w:u w:val="single"/>
        </w:rPr>
        <w:t xml:space="preserve"> enteropathy</w:t>
      </w:r>
      <w:r>
        <w:rPr>
          <w:u w:val="single"/>
        </w:rPr>
        <w:t xml:space="preserve"> </w:t>
      </w:r>
      <w:r w:rsidRPr="00684072">
        <w:rPr>
          <w:u w:val="single"/>
        </w:rPr>
        <w:t xml:space="preserve">are observed </w:t>
      </w:r>
      <w:r>
        <w:rPr>
          <w:u w:val="single"/>
        </w:rPr>
        <w:t>on a single haplotype and appear non-pathogenic in</w:t>
      </w:r>
      <w:r w:rsidRPr="00684072">
        <w:rPr>
          <w:u w:val="single"/>
        </w:rPr>
        <w:t xml:space="preserve"> paediatric inflammatory bowel disease </w:t>
      </w:r>
      <w:r>
        <w:rPr>
          <w:u w:val="single"/>
        </w:rPr>
        <w:t>patients</w:t>
      </w:r>
    </w:p>
    <w:bookmarkEnd w:id="0"/>
    <w:p w:rsidR="00F95112" w:rsidRDefault="00F95112" w:rsidP="00F95112">
      <w:pPr>
        <w:spacing w:line="480" w:lineRule="auto"/>
        <w:rPr>
          <w:i/>
        </w:rPr>
      </w:pPr>
      <w:r w:rsidRPr="00533133">
        <w:rPr>
          <w:i/>
        </w:rPr>
        <w:t xml:space="preserve">Reply to </w:t>
      </w:r>
      <w:bookmarkStart w:id="1" w:name="_Hlk13728562"/>
      <w:r w:rsidRPr="00533133">
        <w:rPr>
          <w:i/>
        </w:rPr>
        <w:t>Lawless et al</w:t>
      </w:r>
      <w:r>
        <w:rPr>
          <w:i/>
        </w:rPr>
        <w:t>,</w:t>
      </w:r>
      <w:r w:rsidRPr="00533133">
        <w:rPr>
          <w:i/>
        </w:rPr>
        <w:t xml:space="preserve"> </w:t>
      </w:r>
      <w:proofErr w:type="spellStart"/>
      <w:r w:rsidRPr="00533133">
        <w:rPr>
          <w:i/>
        </w:rPr>
        <w:t>Bialellic</w:t>
      </w:r>
      <w:proofErr w:type="spellEnd"/>
      <w:r w:rsidRPr="00533133">
        <w:rPr>
          <w:i/>
        </w:rPr>
        <w:t xml:space="preserve"> Mutations in Tetratricopeptide Repeat Domain 7A (TTC7A) Cause Common Variable Immunodeficiency-Like Phenotype with Enteropathy </w:t>
      </w:r>
      <w:bookmarkEnd w:id="1"/>
    </w:p>
    <w:p w:rsidR="00F95112" w:rsidRDefault="00F95112" w:rsidP="00F95112">
      <w:pPr>
        <w:spacing w:line="480" w:lineRule="auto"/>
      </w:pPr>
      <w:r w:rsidRPr="00D5146E">
        <w:t>James J Ashton</w:t>
      </w:r>
      <w:r w:rsidRPr="00D5146E">
        <w:rPr>
          <w:vertAlign w:val="superscript"/>
        </w:rPr>
        <w:t>1,2</w:t>
      </w:r>
      <w:r w:rsidRPr="00D5146E">
        <w:t>, Enrico Mossotto</w:t>
      </w:r>
      <w:r>
        <w:rPr>
          <w:vertAlign w:val="superscript"/>
        </w:rPr>
        <w:t>1</w:t>
      </w:r>
      <w:r w:rsidRPr="00D5146E">
        <w:rPr>
          <w:vertAlign w:val="superscript"/>
        </w:rPr>
        <w:t>,3</w:t>
      </w:r>
      <w:r w:rsidRPr="00D5146E">
        <w:t>, R Mark Beattie</w:t>
      </w:r>
      <w:r>
        <w:rPr>
          <w:vertAlign w:val="superscript"/>
        </w:rPr>
        <w:t>2</w:t>
      </w:r>
      <w:r w:rsidRPr="00FF511B">
        <w:t xml:space="preserve"> </w:t>
      </w:r>
      <w:r w:rsidRPr="00D5146E">
        <w:t>and Sarah Ennis</w:t>
      </w:r>
      <w:r>
        <w:rPr>
          <w:vertAlign w:val="superscript"/>
        </w:rPr>
        <w:t>1</w:t>
      </w:r>
      <w:r w:rsidRPr="00D5146E">
        <w:t xml:space="preserve"> </w:t>
      </w:r>
    </w:p>
    <w:p w:rsidR="00F95112" w:rsidRPr="00D5146E" w:rsidRDefault="00F95112" w:rsidP="00F95112">
      <w:pPr>
        <w:pStyle w:val="ListParagraph"/>
        <w:numPr>
          <w:ilvl w:val="0"/>
          <w:numId w:val="1"/>
        </w:numPr>
        <w:spacing w:line="480" w:lineRule="auto"/>
      </w:pPr>
      <w:r w:rsidRPr="00D5146E">
        <w:t>Department of Human Genetics and Genomic Medicine, University of Southampton, Southampton, UK</w:t>
      </w:r>
    </w:p>
    <w:p w:rsidR="00F95112" w:rsidRPr="00D5146E" w:rsidRDefault="00F95112" w:rsidP="00F95112">
      <w:pPr>
        <w:pStyle w:val="ListParagraph"/>
        <w:numPr>
          <w:ilvl w:val="0"/>
          <w:numId w:val="1"/>
        </w:numPr>
        <w:spacing w:line="480" w:lineRule="auto"/>
      </w:pPr>
      <w:r w:rsidRPr="00D5146E">
        <w:t xml:space="preserve">Department of Paediatric Gastroenterology, Southampton Children’s Hospital, Southampton, UK </w:t>
      </w:r>
    </w:p>
    <w:p w:rsidR="00F95112" w:rsidRDefault="00F95112" w:rsidP="00F95112">
      <w:pPr>
        <w:pStyle w:val="ListParagraph"/>
        <w:numPr>
          <w:ilvl w:val="0"/>
          <w:numId w:val="1"/>
        </w:numPr>
        <w:spacing w:line="480" w:lineRule="auto"/>
      </w:pPr>
      <w:r w:rsidRPr="00D5146E">
        <w:t>NIHR Southampton Biomedical Research Centre, University Hospital Southampton, Southampton, UK</w:t>
      </w:r>
    </w:p>
    <w:p w:rsidR="00F95112" w:rsidRDefault="00F95112" w:rsidP="00F95112">
      <w:pPr>
        <w:spacing w:line="480" w:lineRule="auto"/>
      </w:pPr>
      <w:r>
        <w:t>Correspondence to-</w:t>
      </w:r>
    </w:p>
    <w:p w:rsidR="00F95112" w:rsidRDefault="00F95112" w:rsidP="00F95112">
      <w:pPr>
        <w:spacing w:line="240" w:lineRule="auto"/>
      </w:pPr>
      <w:r>
        <w:t>Professor Sarah Ennis</w:t>
      </w:r>
    </w:p>
    <w:p w:rsidR="00F95112" w:rsidRDefault="00F95112" w:rsidP="00F95112">
      <w:pPr>
        <w:spacing w:line="240" w:lineRule="auto"/>
      </w:pPr>
      <w:r>
        <w:t>Human Genetics &amp; Genomic Medicine</w:t>
      </w:r>
    </w:p>
    <w:p w:rsidR="00F95112" w:rsidRDefault="00F95112" w:rsidP="00F95112">
      <w:pPr>
        <w:spacing w:line="240" w:lineRule="auto"/>
      </w:pPr>
      <w:r>
        <w:t>University of Southampton</w:t>
      </w:r>
    </w:p>
    <w:p w:rsidR="00F95112" w:rsidRDefault="00F95112" w:rsidP="00F95112">
      <w:pPr>
        <w:spacing w:line="240" w:lineRule="auto"/>
      </w:pPr>
      <w:r>
        <w:t>Duthie Building (</w:t>
      </w:r>
      <w:proofErr w:type="spellStart"/>
      <w:r>
        <w:t>Mailpoint</w:t>
      </w:r>
      <w:proofErr w:type="spellEnd"/>
      <w:r>
        <w:t xml:space="preserve"> 808)</w:t>
      </w:r>
    </w:p>
    <w:p w:rsidR="00F95112" w:rsidRDefault="00F95112" w:rsidP="00F95112">
      <w:pPr>
        <w:spacing w:line="240" w:lineRule="auto"/>
      </w:pPr>
      <w:r>
        <w:t>Southampton General Hospital</w:t>
      </w:r>
    </w:p>
    <w:p w:rsidR="00F95112" w:rsidRDefault="00F95112" w:rsidP="00F95112">
      <w:pPr>
        <w:spacing w:line="240" w:lineRule="auto"/>
      </w:pPr>
      <w:r>
        <w:t>Southampton</w:t>
      </w:r>
    </w:p>
    <w:p w:rsidR="00F95112" w:rsidRDefault="00F95112" w:rsidP="00F95112">
      <w:pPr>
        <w:spacing w:line="240" w:lineRule="auto"/>
      </w:pPr>
      <w:r>
        <w:t>SO16 6YD</w:t>
      </w:r>
    </w:p>
    <w:p w:rsidR="00F95112" w:rsidRDefault="00F95112" w:rsidP="00F95112">
      <w:pPr>
        <w:spacing w:line="240" w:lineRule="auto"/>
      </w:pPr>
      <w:r>
        <w:t>Tel: +44 (0)23 8079 8614</w:t>
      </w:r>
    </w:p>
    <w:p w:rsidR="00F95112" w:rsidRDefault="00F95112" w:rsidP="00F95112">
      <w:pPr>
        <w:spacing w:line="240" w:lineRule="auto"/>
      </w:pPr>
      <w:r>
        <w:t>Fax: +44 (0)23 8079 4264</w:t>
      </w:r>
    </w:p>
    <w:p w:rsidR="00F95112" w:rsidRDefault="00F95112" w:rsidP="00F95112">
      <w:pPr>
        <w:spacing w:line="240" w:lineRule="auto"/>
      </w:pPr>
      <w:hyperlink r:id="rId5" w:history="1">
        <w:r w:rsidRPr="00D0035C">
          <w:rPr>
            <w:rStyle w:val="Hyperlink"/>
          </w:rPr>
          <w:t>s.ennis@southampton.ac.uk</w:t>
        </w:r>
      </w:hyperlink>
    </w:p>
    <w:p w:rsidR="00F95112" w:rsidRDefault="00F95112" w:rsidP="00F95112">
      <w:pPr>
        <w:spacing w:line="480" w:lineRule="auto"/>
      </w:pPr>
    </w:p>
    <w:p w:rsidR="00F95112" w:rsidRDefault="00F95112" w:rsidP="00F95112">
      <w:pPr>
        <w:spacing w:line="480" w:lineRule="auto"/>
      </w:pPr>
      <w:r>
        <w:t>Word count- 12</w:t>
      </w:r>
      <w:r>
        <w:t>95</w:t>
      </w:r>
      <w:bookmarkStart w:id="2" w:name="_GoBack"/>
      <w:bookmarkEnd w:id="2"/>
    </w:p>
    <w:p w:rsidR="00F95112" w:rsidRDefault="00F95112" w:rsidP="00F95112">
      <w:pPr>
        <w:spacing w:line="480" w:lineRule="auto"/>
      </w:pPr>
    </w:p>
    <w:p w:rsidR="00F95112" w:rsidRDefault="00F95112" w:rsidP="00F95112">
      <w:pPr>
        <w:spacing w:line="480" w:lineRule="auto"/>
      </w:pPr>
    </w:p>
    <w:p w:rsidR="00F95112" w:rsidRDefault="00F95112" w:rsidP="00F95112">
      <w:pPr>
        <w:spacing w:line="480" w:lineRule="auto"/>
        <w:rPr>
          <w:b/>
          <w:u w:val="single"/>
        </w:rPr>
      </w:pPr>
      <w:r>
        <w:rPr>
          <w:b/>
          <w:u w:val="single"/>
        </w:rPr>
        <w:lastRenderedPageBreak/>
        <w:t xml:space="preserve">Funding </w:t>
      </w:r>
    </w:p>
    <w:p w:rsidR="00F95112" w:rsidRDefault="00F95112" w:rsidP="00F95112">
      <w:pPr>
        <w:spacing w:line="480" w:lineRule="auto"/>
      </w:pPr>
      <w:r>
        <w:t xml:space="preserve">JJA is funded by an Action Medical Research, research training fellowship and by an ESPEN fellowship. There is no specific funding for this manuscript. </w:t>
      </w:r>
    </w:p>
    <w:p w:rsidR="00F95112" w:rsidRPr="00D6765D" w:rsidRDefault="00F95112" w:rsidP="00F95112">
      <w:pPr>
        <w:spacing w:line="480" w:lineRule="auto"/>
      </w:pPr>
      <w:r w:rsidRPr="00D6765D">
        <w:t>This study is supported by the National Institute for Health Research (NIHR) Southampton Biomedical Centre. The views expressed are those of the authors</w:t>
      </w:r>
      <w:r>
        <w:t xml:space="preserve"> </w:t>
      </w:r>
      <w:r w:rsidRPr="00D6765D">
        <w:t>and not necessarily those of the NIHR or the Department of Health and Social Care.</w:t>
      </w:r>
    </w:p>
    <w:p w:rsidR="00F95112" w:rsidRPr="00895AFA" w:rsidRDefault="00F95112" w:rsidP="00F95112">
      <w:pPr>
        <w:spacing w:line="480" w:lineRule="auto"/>
        <w:rPr>
          <w:b/>
          <w:u w:val="single"/>
        </w:rPr>
      </w:pPr>
      <w:r>
        <w:rPr>
          <w:b/>
          <w:u w:val="single"/>
        </w:rPr>
        <w:t>Conflicts of</w:t>
      </w:r>
      <w:r w:rsidRPr="00895AFA">
        <w:rPr>
          <w:b/>
          <w:u w:val="single"/>
        </w:rPr>
        <w:t xml:space="preserve"> interest</w:t>
      </w:r>
      <w:r>
        <w:rPr>
          <w:b/>
          <w:u w:val="single"/>
        </w:rPr>
        <w:t>s</w:t>
      </w:r>
    </w:p>
    <w:p w:rsidR="00F95112" w:rsidRDefault="00F95112" w:rsidP="00F95112">
      <w:pPr>
        <w:spacing w:line="480" w:lineRule="auto"/>
      </w:pPr>
      <w:r>
        <w:t>The authors declare no conflicts of interest</w:t>
      </w:r>
    </w:p>
    <w:p w:rsidR="00F95112" w:rsidRDefault="00F95112" w:rsidP="00F95112">
      <w:pPr>
        <w:spacing w:line="480" w:lineRule="auto"/>
      </w:pPr>
    </w:p>
    <w:p w:rsidR="00F95112" w:rsidRDefault="00F95112" w:rsidP="00F95112">
      <w:pPr>
        <w:spacing w:line="480" w:lineRule="auto"/>
      </w:pPr>
    </w:p>
    <w:p w:rsidR="00F95112" w:rsidRDefault="00F95112" w:rsidP="00F95112">
      <w:pPr>
        <w:spacing w:line="480" w:lineRule="auto"/>
      </w:pPr>
    </w:p>
    <w:p w:rsidR="00F95112" w:rsidRDefault="00F95112" w:rsidP="00F95112">
      <w:pPr>
        <w:spacing w:line="480" w:lineRule="auto"/>
      </w:pPr>
    </w:p>
    <w:p w:rsidR="00F95112" w:rsidRDefault="00F95112" w:rsidP="00F95112">
      <w:pPr>
        <w:spacing w:line="480" w:lineRule="auto"/>
      </w:pPr>
    </w:p>
    <w:p w:rsidR="00F95112" w:rsidRDefault="00F95112" w:rsidP="00F95112">
      <w:pPr>
        <w:spacing w:line="480" w:lineRule="auto"/>
      </w:pPr>
    </w:p>
    <w:p w:rsidR="00F95112" w:rsidRDefault="00F95112" w:rsidP="00F95112">
      <w:pPr>
        <w:spacing w:line="480" w:lineRule="auto"/>
      </w:pPr>
    </w:p>
    <w:p w:rsidR="00F95112" w:rsidRDefault="00F95112" w:rsidP="00F95112">
      <w:pPr>
        <w:spacing w:line="480" w:lineRule="auto"/>
      </w:pPr>
    </w:p>
    <w:p w:rsidR="00F95112" w:rsidRDefault="00F95112" w:rsidP="00F95112">
      <w:pPr>
        <w:spacing w:line="480" w:lineRule="auto"/>
      </w:pPr>
    </w:p>
    <w:p w:rsidR="00F95112" w:rsidRDefault="00F95112" w:rsidP="00F95112">
      <w:pPr>
        <w:spacing w:line="480" w:lineRule="auto"/>
      </w:pPr>
    </w:p>
    <w:p w:rsidR="00F95112" w:rsidRDefault="00F95112" w:rsidP="00F95112">
      <w:pPr>
        <w:spacing w:line="480" w:lineRule="auto"/>
      </w:pPr>
    </w:p>
    <w:p w:rsidR="00F95112" w:rsidRDefault="00F95112" w:rsidP="00F95112">
      <w:pPr>
        <w:spacing w:line="480" w:lineRule="auto"/>
      </w:pPr>
    </w:p>
    <w:p w:rsidR="00F95112" w:rsidRDefault="00F95112" w:rsidP="00F95112">
      <w:pPr>
        <w:spacing w:line="480" w:lineRule="auto"/>
      </w:pPr>
    </w:p>
    <w:p w:rsidR="00F95112" w:rsidRPr="00533133" w:rsidRDefault="00F95112" w:rsidP="00F95112">
      <w:pPr>
        <w:spacing w:line="480" w:lineRule="auto"/>
      </w:pPr>
      <w:r w:rsidRPr="00533133">
        <w:lastRenderedPageBreak/>
        <w:t xml:space="preserve">To the Editor, </w:t>
      </w:r>
    </w:p>
    <w:p w:rsidR="00F95112" w:rsidRDefault="00F95112" w:rsidP="00F95112">
      <w:pPr>
        <w:spacing w:line="480" w:lineRule="auto"/>
      </w:pPr>
      <w:r w:rsidRPr="00533133">
        <w:t xml:space="preserve">Identification of monogenic causes of </w:t>
      </w:r>
      <w:r>
        <w:t xml:space="preserve">inflammatory bowel disease (IBD) has increased dramatically over the last five years, largely due to the improved interpretation and value offered through use of whole exome and whole genome sequencing (WES + WGS) techniques </w:t>
      </w:r>
      <w:r>
        <w:fldChar w:fldCharType="begin" w:fldLock="1"/>
      </w:r>
      <w:r>
        <w:instrText>ADDIN CSL_CITATION {"citationItems":[{"id":"ITEM-1","itemData":{"DOI":"10.1016/j.tig.2017.06.008","ISSN":"01689525","PMID":"28755896","abstract":"Genomic technologies inform the complex genetic basis of polygenic inflammatory bowel disease (IBD) as well as Mendelian disease-associated IBD. Aiming to diagnose patients that present with extreme phenotypes due to monogenic forms of IBD, genomics has progressed from 'orphan disease' research towards an integrated standard of clinical care. Advances in diagnostic clinical genomics are increasingly complemented by pathway-specific therapies that aim to correct the consequences of genetic defects. This highlights the exceptional potential for personalized precision medicine. IBD is nevertheless a challenging example for genomic medicine because the overall fraction of patients with Mendelian defects is low, the number of potential candidate genes is high, and interventional evidence is still emerging. We discuss requirements and prospects of explanatory and predictive clinical genomics in IBD.","author":[{"dropping-particle":"","family":"Uhlig","given":"Holm H.","non-dropping-particle":"","parse-names":false,"suffix":""},{"dropping-particle":"","family":"Muise","given":"Aleixo M.","non-dropping-particle":"","parse-names":false,"suffix":""}],"container-title":"Trends in Genetics","id":"ITEM-1","issue":"9","issued":{"date-parts":[["2017","9"]]},"page":"629-641","title":"Clinical Genomics in Inflammatory Bowel Disease","type":"article-journal","volume":"33"},"uris":["http://www.mendeley.com/documents/?uuid=627350cd-b50c-37c7-b4f0-a661f9da7a31"]}],"mendeley":{"formattedCitation":"(1)","plainTextFormattedCitation":"(1)","previouslyFormattedCitation":"(1)"},"properties":{"noteIndex":0},"schema":"https://github.com/citation-style-language/schema/raw/master/csl-citation.json"}</w:instrText>
      </w:r>
      <w:r>
        <w:fldChar w:fldCharType="separate"/>
      </w:r>
      <w:r w:rsidRPr="00684072">
        <w:rPr>
          <w:noProof/>
        </w:rPr>
        <w:t>(1)</w:t>
      </w:r>
      <w:r>
        <w:fldChar w:fldCharType="end"/>
      </w:r>
      <w:r>
        <w:t xml:space="preserve">. There are now over 80 genes associated with Mendelian causes of IBD, with novel associations being described each year </w:t>
      </w:r>
      <w:r>
        <w:fldChar w:fldCharType="begin" w:fldLock="1"/>
      </w:r>
      <w:r>
        <w:instrText>ADDIN CSL_CITATION {"citationItems":[{"id":"ITEM-1","itemData":{"DOI":"10.1016/j.tig.2017.06.008","ISSN":"01689525","PMID":"28755896","abstract":"Genomic technologies inform the complex genetic basis of polygenic inflammatory bowel disease (IBD) as well as Mendelian disease-associated IBD. Aiming to diagnose patients that present with extreme phenotypes due to monogenic forms of IBD, genomics has progressed from 'orphan disease' research towards an integrated standard of clinical care. Advances in diagnostic clinical genomics are increasingly complemented by pathway-specific therapies that aim to correct the consequences of genetic defects. This highlights the exceptional potential for personalized precision medicine. IBD is nevertheless a challenging example for genomic medicine because the overall fraction of patients with Mendelian defects is low, the number of potential candidate genes is high, and interventional evidence is still emerging. We discuss requirements and prospects of explanatory and predictive clinical genomics in IBD.","author":[{"dropping-particle":"","family":"Uhlig","given":"Holm H.","non-dropping-particle":"","parse-names":false,"suffix":""},{"dropping-particle":"","family":"Muise","given":"Aleixo M.","non-dropping-particle":"","parse-names":false,"suffix":""}],"container-title":"Trends in Genetics","id":"ITEM-1","issue":"9","issued":{"date-parts":[["2017","9"]]},"page":"629-641","title":"Clinical Genomics in Inflammatory Bowel Disease","type":"article-journal","volume":"33"},"uris":["http://www.mendeley.com/documents/?uuid=627350cd-b50c-37c7-b4f0-a661f9da7a31"]}],"mendeley":{"formattedCitation":"(1)","plainTextFormattedCitation":"(1)","previouslyFormattedCitation":"(1)"},"properties":{"noteIndex":0},"schema":"https://github.com/citation-style-language/schema/raw/master/csl-citation.json"}</w:instrText>
      </w:r>
      <w:r>
        <w:fldChar w:fldCharType="separate"/>
      </w:r>
      <w:r w:rsidRPr="00CD3C19">
        <w:rPr>
          <w:noProof/>
        </w:rPr>
        <w:t>(1)</w:t>
      </w:r>
      <w:r>
        <w:fldChar w:fldCharType="end"/>
      </w:r>
      <w:r>
        <w:t>. Despite this there are significant challenges with interpretation of variants that appear to be deleterious</w:t>
      </w:r>
      <w:r w:rsidRPr="00C65EB2">
        <w:rPr>
          <w:i/>
        </w:rPr>
        <w:t xml:space="preserve"> in silico</w:t>
      </w:r>
      <w:r>
        <w:t xml:space="preserve">, but lack functional validation </w:t>
      </w:r>
      <w:r>
        <w:fldChar w:fldCharType="begin" w:fldLock="1"/>
      </w:r>
      <w:r>
        <w:instrText>ADDIN CSL_CITATION {"citationItems":[{"id":"ITEM-1","itemData":{"DOI":"10.1016/j.tig.2017.06.008","ISSN":"01689525","PMID":"28755896","abstract":"Genomic technologies inform the complex genetic basis of polygenic inflammatory bowel disease (IBD) as well as Mendelian disease-associated IBD. Aiming to diagnose patients that present with extreme phenotypes due to monogenic forms of IBD, genomics has progressed from 'orphan disease' research towards an integrated standard of clinical care. Advances in diagnostic clinical genomics are increasingly complemented by pathway-specific therapies that aim to correct the consequences of genetic defects. This highlights the exceptional potential for personalized precision medicine. IBD is nevertheless a challenging example for genomic medicine because the overall fraction of patients with Mendelian defects is low, the number of potential candidate genes is high, and interventional evidence is still emerging. We discuss requirements and prospects of explanatory and predictive clinical genomics in IBD.","author":[{"dropping-particle":"","family":"Uhlig","given":"Holm H.","non-dropping-particle":"","parse-names":false,"suffix":""},{"dropping-particle":"","family":"Muise","given":"Aleixo M.","non-dropping-particle":"","parse-names":false,"suffix":""}],"container-title":"Trends in Genetics","id":"ITEM-1","issue":"9","issued":{"date-parts":[["2017","9"]]},"page":"629-641","title":"Clinical Genomics in Inflammatory Bowel Disease","type":"article-journal","volume":"33"},"uris":["http://www.mendeley.com/documents/?uuid=627350cd-b50c-37c7-b4f0-a661f9da7a31"]}],"mendeley":{"formattedCitation":"(1)","plainTextFormattedCitation":"(1)","previouslyFormattedCitation":"(1)"},"properties":{"noteIndex":0},"schema":"https://github.com/citation-style-language/schema/raw/master/csl-citation.json"}</w:instrText>
      </w:r>
      <w:r>
        <w:fldChar w:fldCharType="separate"/>
      </w:r>
      <w:r w:rsidRPr="00C65EB2">
        <w:rPr>
          <w:noProof/>
        </w:rPr>
        <w:t>(1)</w:t>
      </w:r>
      <w:r>
        <w:fldChar w:fldCharType="end"/>
      </w:r>
      <w:r>
        <w:t xml:space="preserve">. An additional challenge lies with identification of compound heterozygosity within patients. </w:t>
      </w:r>
    </w:p>
    <w:p w:rsidR="00F95112" w:rsidRDefault="00F95112" w:rsidP="00F95112">
      <w:pPr>
        <w:spacing w:line="480" w:lineRule="auto"/>
      </w:pPr>
      <w:r>
        <w:t xml:space="preserve">We read with interest the report from Lawless </w:t>
      </w:r>
      <w:r w:rsidRPr="00C65EB2">
        <w:rPr>
          <w:i/>
        </w:rPr>
        <w:t>et al</w:t>
      </w:r>
      <w:r>
        <w:t xml:space="preserve"> of compound heterozygote variants in </w:t>
      </w:r>
      <w:r w:rsidRPr="00533133">
        <w:t>the Tetratricopeptide Repeat Domain 7A (</w:t>
      </w:r>
      <w:r w:rsidRPr="00E0228B">
        <w:rPr>
          <w:i/>
        </w:rPr>
        <w:t>TTC7A</w:t>
      </w:r>
      <w:r w:rsidRPr="00533133">
        <w:t xml:space="preserve">) gene </w:t>
      </w:r>
      <w:r>
        <w:t xml:space="preserve">presenting with enteropathy and a common variable immunodeficiency (CVID) phenotype </w:t>
      </w:r>
      <w:r w:rsidRPr="00533133">
        <w:fldChar w:fldCharType="begin" w:fldLock="1"/>
      </w:r>
      <w:r>
        <w:instrText>ADDIN CSL_CITATION {"citationItems":[{"id":"ITEM-1","itemData":{"DOI":"10.1007/s10875-017-0427-1","ISSN":"0271-9142","PMID":"28808844","author":[{"dropping-particle":"","family":"Lawless","given":"Dylan","non-dropping-particle":"","parse-names":false,"suffix":""},{"dropping-particle":"","family":"Mistry","given":"Anoop","non-dropping-particle":"","parse-names":false,"suffix":""},{"dropping-particle":"","family":"Wood","given":"Philip M.","non-dropping-particle":"","parse-names":false,"suffix":""},{"dropping-particle":"","family":"Stahlschmidt","given":"Jens","non-dropping-particle":"","parse-names":false,"suffix":""},{"dropping-particle":"","family":"Arumugakani","given":"Gururaj","non-dropping-particle":"","parse-names":false,"suffix":""},{"dropping-particle":"","family":"Hull","given":"Mark","non-dropping-particle":"","parse-names":false,"suffix":""},{"dropping-particle":"","family":"Parry","given":"David","non-dropping-particle":"","parse-names":false,"suffix":""},{"dropping-particle":"","family":"Anwar","given":"Rashida","non-dropping-particle":"","parse-names":false,"suffix":""},{"dropping-particle":"","family":"Carter","given":"Clive","non-dropping-particle":"","parse-names":false,"suffix":""},{"dropping-particle":"","family":"Savic","given":"Sinisa","non-dropping-particle":"","parse-names":false,"suffix":""}],"container-title":"Journal of Clinical Immunology","id":"ITEM-1","issue":"7","issued":{"date-parts":[["2017","10","14"]]},"page":"617-622","title":"Bialellic Mutations in Tetratricopeptide Repeat Domain 7A (TTC7A) Cause Common Variable Immunodeficiency-Like Phenotype with Enteropathy","type":"article-journal","volume":"37"},"uris":["http://www.mendeley.com/documents/?uuid=ab4f709c-feae-3f4c-8712-238ba12c3b51"]}],"mendeley":{"formattedCitation":"(2)","plainTextFormattedCitation":"(2)","previouslyFormattedCitation":"(2)"},"properties":{"noteIndex":0},"schema":"https://github.com/citation-style-language/schema/raw/master/csl-citation.json"}</w:instrText>
      </w:r>
      <w:r w:rsidRPr="00533133">
        <w:fldChar w:fldCharType="separate"/>
      </w:r>
      <w:r w:rsidRPr="00CD3C19">
        <w:rPr>
          <w:noProof/>
        </w:rPr>
        <w:t>(2)</w:t>
      </w:r>
      <w:r w:rsidRPr="00533133">
        <w:fldChar w:fldCharType="end"/>
      </w:r>
      <w:r>
        <w:t xml:space="preserve">. </w:t>
      </w:r>
      <w:r w:rsidRPr="00E0228B">
        <w:rPr>
          <w:i/>
        </w:rPr>
        <w:t>TTC7A</w:t>
      </w:r>
      <w:r>
        <w:t xml:space="preserve"> deficiency has been described as a cause of monogenic IBD in over 50 patients, in an autosomal recessive inheritance pattern </w:t>
      </w:r>
      <w:r>
        <w:fldChar w:fldCharType="begin" w:fldLock="1"/>
      </w:r>
      <w:r>
        <w:instrText>ADDIN CSL_CITATION {"citationItems":[{"id":"ITEM-1","itemData":{"DOI":"10.1016/j.jcmgh.2018.12.001","author":[{"dropping-particle":"","family":"Jardine","given":"Sasha","non-dropping-particle":"","parse-names":false,"suffix":""},{"dropping-particle":"","family":"Dhingani","given":"Neel","non-dropping-particle":"","parse-names":false,"suffix":""},{"dropping-particle":"","family":"Muise","given":"Aleixo M","non-dropping-particle":"","parse-names":false,"suffix":""}],"container-title":"Cellular and Molecular Gastroenterology and Hepatology","id":"ITEM-1","issued":{"date-parts":[["2018"]]},"title":"TTC7A: Steward of Intestinal Health","type":"article-journal"},"uris":["http://www.mendeley.com/documents/?uuid=60e64e5e-b81c-38b7-bcd4-5bfbd3b92fa4"]}],"mendeley":{"formattedCitation":"(3)","plainTextFormattedCitation":"(3)","previouslyFormattedCitation":"(3)"},"properties":{"noteIndex":0},"schema":"https://github.com/citation-style-language/schema/raw/master/csl-citation.json"}</w:instrText>
      </w:r>
      <w:r>
        <w:fldChar w:fldCharType="separate"/>
      </w:r>
      <w:r w:rsidRPr="00F34E84">
        <w:rPr>
          <w:noProof/>
        </w:rPr>
        <w:t>(3)</w:t>
      </w:r>
      <w:r>
        <w:fldChar w:fldCharType="end"/>
      </w:r>
      <w:r>
        <w:t>. Multiple variants have been demonstrated as causal, presenting with a varied</w:t>
      </w:r>
      <w:r w:rsidRPr="00E0228B">
        <w:t xml:space="preserve"> </w:t>
      </w:r>
      <w:r>
        <w:t>phenotype involving inflammatory, gastro</w:t>
      </w:r>
      <w:r w:rsidRPr="00E0228B">
        <w:t>intestinal and immunologic</w:t>
      </w:r>
      <w:r>
        <w:t>al</w:t>
      </w:r>
      <w:r w:rsidRPr="00E0228B">
        <w:t xml:space="preserve"> </w:t>
      </w:r>
      <w:r>
        <w:t xml:space="preserve">manifestations </w:t>
      </w:r>
      <w:r>
        <w:fldChar w:fldCharType="begin" w:fldLock="1"/>
      </w:r>
      <w:r>
        <w:instrText>ADDIN CSL_CITATION {"citationItems":[{"id":"ITEM-1","itemData":{"DOI":"10.1016/j.jcmgh.2018.12.001","author":[{"dropping-particle":"","family":"Jardine","given":"Sasha","non-dropping-particle":"","parse-names":false,"suffix":""},{"dropping-particle":"","family":"Dhingani","given":"Neel","non-dropping-particle":"","parse-names":false,"suffix":""},{"dropping-particle":"","family":"Muise","given":"Aleixo M","non-dropping-particle":"","parse-names":false,"suffix":""}],"container-title":"Cellular and Molecular Gastroenterology and Hepatology","id":"ITEM-1","issued":{"date-parts":[["2018"]]},"title":"TTC7A: Steward of Intestinal Health","type":"article-journal"},"uris":["http://www.mendeley.com/documents/?uuid=60e64e5e-b81c-38b7-bcd4-5bfbd3b92fa4"]}],"mendeley":{"formattedCitation":"(3)","plainTextFormattedCitation":"(3)","previouslyFormattedCitation":"(3)"},"properties":{"noteIndex":0},"schema":"https://github.com/citation-style-language/schema/raw/master/csl-citation.json"}</w:instrText>
      </w:r>
      <w:r>
        <w:fldChar w:fldCharType="separate"/>
      </w:r>
      <w:r w:rsidRPr="00CD3C19">
        <w:rPr>
          <w:noProof/>
        </w:rPr>
        <w:t>(3)</w:t>
      </w:r>
      <w:r>
        <w:fldChar w:fldCharType="end"/>
      </w:r>
      <w:r>
        <w:t xml:space="preserve">. Typically nonsense variants are fatal within a year of birth, whereas missense mutations may lead to milder disease and patients surviving into adulthood </w:t>
      </w:r>
      <w:r>
        <w:fldChar w:fldCharType="begin" w:fldLock="1"/>
      </w:r>
      <w:r>
        <w:instrText>ADDIN CSL_CITATION {"citationItems":[{"id":"ITEM-1","itemData":{"DOI":"10.1016/j.jcmgh.2018.12.001","author":[{"dropping-particle":"","family":"Jardine","given":"Sasha","non-dropping-particle":"","parse-names":false,"suffix":""},{"dropping-particle":"","family":"Dhingani","given":"Neel","non-dropping-particle":"","parse-names":false,"suffix":""},{"dropping-particle":"","family":"Muise","given":"Aleixo M","non-dropping-particle":"","parse-names":false,"suffix":""}],"container-title":"Cellular and Molecular Gastroenterology and Hepatology","id":"ITEM-1","issued":{"date-parts":[["2018"]]},"title":"TTC7A: Steward of Intestinal Health","type":"article-journal"},"uris":["http://www.mendeley.com/documents/?uuid=60e64e5e-b81c-38b7-bcd4-5bfbd3b92fa4"]},{"id":"ITEM-2","itemData":{"DOI":"10.1007/s10875-017-0427-1","ISSN":"0271-9142","PMID":"28808844","author":[{"dropping-particle":"","family":"Lawless","given":"Dylan","non-dropping-particle":"","parse-names":false,"suffix":""},{"dropping-particle":"","family":"Mistry","given":"Anoop","non-dropping-particle":"","parse-names":false,"suffix":""},{"dropping-particle":"","family":"Wood","given":"Philip M.","non-dropping-particle":"","parse-names":false,"suffix":""},{"dropping-particle":"","family":"Stahlschmidt","given":"Jens","non-dropping-particle":"","parse-names":false,"suffix":""},{"dropping-particle":"","family":"Arumugakani","given":"Gururaj","non-dropping-particle":"","parse-names":false,"suffix":""},{"dropping-particle":"","family":"Hull","given":"Mark","non-dropping-particle":"","parse-names":false,"suffix":""},{"dropping-particle":"","family":"Parry","given":"David","non-dropping-particle":"","parse-names":false,"suffix":""},{"dropping-particle":"","family":"Anwar","given":"Rashida","non-dropping-particle":"","parse-names":false,"suffix":""},{"dropping-particle":"","family":"Carter","given":"Clive","non-dropping-particle":"","parse-names":false,"suffix":""},{"dropping-particle":"","family":"Savic","given":"Sinisa","non-dropping-particle":"","parse-names":false,"suffix":""}],"container-title":"Journal of Clinical Immunology","id":"ITEM-2","issue":"7","issued":{"date-parts":[["2017","10","14"]]},"page":"617-622","title":"Bialellic Mutations in Tetratricopeptide Repeat Domain 7A (TTC7A) Cause Common Variable Immunodeficiency-Like Phenotype with Enteropathy","type":"article-journal","volume":"37"},"uris":["http://www.mendeley.com/documents/?uuid=ab4f709c-feae-3f4c-8712-238ba12c3b51"]}],"mendeley":{"formattedCitation":"(2,3)","plainTextFormattedCitation":"(2,3)","previouslyFormattedCitation":"(2,3)"},"properties":{"noteIndex":0},"schema":"https://github.com/citation-style-language/schema/raw/master/csl-citation.json"}</w:instrText>
      </w:r>
      <w:r>
        <w:fldChar w:fldCharType="separate"/>
      </w:r>
      <w:r w:rsidRPr="00CD3C19">
        <w:rPr>
          <w:noProof/>
        </w:rPr>
        <w:t>(2,3)</w:t>
      </w:r>
      <w:r>
        <w:fldChar w:fldCharType="end"/>
      </w:r>
      <w:r>
        <w:t xml:space="preserve">. The role of variation within </w:t>
      </w:r>
      <w:r w:rsidRPr="00E0228B">
        <w:rPr>
          <w:i/>
        </w:rPr>
        <w:t>TTC7A</w:t>
      </w:r>
      <w:r>
        <w:t xml:space="preserve"> in non-monogenic forms of IBD is less clear. </w:t>
      </w:r>
      <w:r w:rsidRPr="00380A48">
        <w:rPr>
          <w:i/>
        </w:rPr>
        <w:t>TTC7A</w:t>
      </w:r>
      <w:r>
        <w:t xml:space="preserve"> is functionally key as a scaffolding and chaperone protein in processes crucial for normal intestinal epithelial cell development </w:t>
      </w:r>
      <w:r>
        <w:fldChar w:fldCharType="begin" w:fldLock="1"/>
      </w:r>
      <w:r>
        <w:instrText>ADDIN CSL_CITATION {"citationItems":[{"id":"ITEM-1","itemData":{"DOI":"10.1016/j.jcmgh.2018.12.001","author":[{"dropping-particle":"","family":"Jardine","given":"Sasha","non-dropping-particle":"","parse-names":false,"suffix":""},{"dropping-particle":"","family":"Dhingani","given":"Neel","non-dropping-particle":"","parse-names":false,"suffix":""},{"dropping-particle":"","family":"Muise","given":"Aleixo M","non-dropping-particle":"","parse-names":false,"suffix":""}],"container-title":"Cellular and Molecular Gastroenterology and Hepatology","id":"ITEM-1","issued":{"date-parts":[["2018"]]},"title":"TTC7A: Steward of Intestinal Health","type":"article-journal"},"uris":["http://www.mendeley.com/documents/?uuid=60e64e5e-b81c-38b7-bcd4-5bfbd3b92fa4"]}],"mendeley":{"formattedCitation":"(3)","plainTextFormattedCitation":"(3)","previouslyFormattedCitation":"(3)"},"properties":{"noteIndex":0},"schema":"https://github.com/citation-style-language/schema/raw/master/csl-citation.json"}</w:instrText>
      </w:r>
      <w:r>
        <w:fldChar w:fldCharType="separate"/>
      </w:r>
      <w:r w:rsidRPr="00CD3C19">
        <w:rPr>
          <w:noProof/>
        </w:rPr>
        <w:t>(3)</w:t>
      </w:r>
      <w:r>
        <w:fldChar w:fldCharType="end"/>
      </w:r>
      <w:r>
        <w:t xml:space="preserve">. It may prove that milder missense mutations are risk variants for polygenic forms of IBD, although this has not been substantiated. </w:t>
      </w:r>
    </w:p>
    <w:p w:rsidR="00F95112" w:rsidRDefault="00F95112" w:rsidP="00F95112">
      <w:pPr>
        <w:spacing w:line="480" w:lineRule="auto"/>
      </w:pPr>
      <w:r>
        <w:t xml:space="preserve">We have previously reported monogenic forms of inflammatory bowel disease for our cohort </w:t>
      </w:r>
      <w:r>
        <w:fldChar w:fldCharType="begin" w:fldLock="1"/>
      </w:r>
      <w:r>
        <w:instrText>ADDIN CSL_CITATION {"citationItems":[{"id":"ITEM-1","itemData":{"DOI":"10.1097/MIB.0000000000000890","ISSN":"1078-0998","PMID":"27537055","abstract":"BACKGROUND Most cases of inflammatory bowel disease (IBD) are caused by complex host-environment interaction. There are a number of conditions associated with a single-gene mutation, most cases are very early onset (aged &lt; 6 yr), present with a unique form of disease and often have atypical features. METHODS Whole-exome data for 147 pediatric patients with IBD were interrogated for a panel of 51 genes associated with monogenic IBD. Observed variation was categorized according to the American College of Medical Genetics (ACMG) guidelines to identify rare, novel, and known variants that might contribute to IBD. RESULTS Five hundred seventy-four variants were identified across 51 genes. These were categorized in line with ACMG guidance to remove benign variants and to identify \"pathogenic\" and \"likely pathogenic\" variants. In 6 patients, we observed 6 pathogenic variants of which CYBA(c.287+2T&gt;C), COL7A1(c.6501+1G&gt;C), LIG4(p.R814X), and XIAP(p.T470S) were known causative mutations, and FERMT1(p.R271Q) and SKIV2L(c.354+5G&gt;A) were novel. In the 3 patients with XIAP, SKIV2L, and FERMT1 variants, individuals' disease features resembled the monogenic phenotype. This was despite apparent heterozygous carriage of pathogenic variation for the latter 2 genes. The XIAP variant was observed in a hemizygous male. CONCLUSIONS Whole-exome sequencing allows for identification of known and de novo potentially causative mutations in genes associated with monogenic IBD. Although these are rare conditions, it is vital to identify causative mutations early to improve prognosis. We postulate that in a subset of IBD, heterozygous mutations (in genes believed to manifest IBD through autosomal recessive inheritance) may contribute to clinical presentation.","author":[{"dropping-particle":"","family":"Ashton","given":"James J.","non-dropping-particle":"","parse-names":false,"suffix":""},{"dropping-particle":"","family":"Andreoletti","given":"Gaia","non-dropping-particle":"","parse-names":false,"suffix":""},{"dropping-particle":"","family":"Coelho","given":"Tracy","non-dropping-particle":"","parse-names":false,"suffix":""},{"dropping-particle":"","family":"Haggarty","given":"Rachel","non-dropping-particle":"","parse-names":false,"suffix":""},{"dropping-particle":"","family":"Batra","given":"Akshay","non-dropping-particle":"","parse-names":false,"suffix":""},{"dropping-particle":"","family":"Afzal","given":"Nadeem A.","non-dropping-particle":"","parse-names":false,"suffix":""},{"dropping-particle":"","family":"Beattie","given":"R. Mark","non-dropping-particle":"","parse-names":false,"suffix":""},{"dropping-particle":"","family":"Ennis","given":"Sarah","non-dropping-particle":"","parse-names":false,"suffix":""}],"container-title":"Inflammatory Bowel Diseases","id":"ITEM-1","issue":"10","issued":{"date-parts":[["2016","10"]]},"page":"2317-2327","title":"Identification of Variants in Genes Associated with Single-gene Inflammatory Bowel Disease by Whole-exome Sequencing","type":"article-journal","volume":"22"},"uris":["http://www.mendeley.com/documents/?uuid=2d961b06-dc5a-366f-8cff-dd22efd27971"]}],"mendeley":{"formattedCitation":"(4)","plainTextFormattedCitation":"(4)","previouslyFormattedCitation":"(4)"},"properties":{"noteIndex":0},"schema":"https://github.com/citation-style-language/schema/raw/master/csl-citation.json"}</w:instrText>
      </w:r>
      <w:r>
        <w:fldChar w:fldCharType="separate"/>
      </w:r>
      <w:r w:rsidRPr="00CC3E12">
        <w:rPr>
          <w:noProof/>
        </w:rPr>
        <w:t>(4)</w:t>
      </w:r>
      <w:r>
        <w:fldChar w:fldCharType="end"/>
      </w:r>
      <w:r>
        <w:t xml:space="preserve">. In this study we describe the two variants observed in </w:t>
      </w:r>
      <w:r w:rsidRPr="00380A48">
        <w:rPr>
          <w:i/>
        </w:rPr>
        <w:t>trans</w:t>
      </w:r>
      <w:r>
        <w:t xml:space="preserve"> by Lawless </w:t>
      </w:r>
      <w:r w:rsidRPr="00380A48">
        <w:rPr>
          <w:i/>
        </w:rPr>
        <w:t>et al</w:t>
      </w:r>
      <w:r>
        <w:rPr>
          <w:i/>
        </w:rPr>
        <w:t xml:space="preserve"> </w:t>
      </w:r>
      <w:r>
        <w:t xml:space="preserve">in five of our patients, always observed in </w:t>
      </w:r>
      <w:r w:rsidRPr="00380A48">
        <w:rPr>
          <w:i/>
        </w:rPr>
        <w:t>cis</w:t>
      </w:r>
      <w:r>
        <w:t xml:space="preserve">. Additionally, through application of a contemporary </w:t>
      </w:r>
      <w:r w:rsidRPr="00CD0829">
        <w:rPr>
          <w:i/>
        </w:rPr>
        <w:t>per gene, per individual</w:t>
      </w:r>
      <w:r>
        <w:t xml:space="preserve">, deleteriousness score, GenePy, we assess the evidence for variation in </w:t>
      </w:r>
      <w:r w:rsidRPr="00CD3C19">
        <w:rPr>
          <w:i/>
        </w:rPr>
        <w:t>TTC7A</w:t>
      </w:r>
      <w:r>
        <w:t xml:space="preserve"> contributing to polygenic IBD </w:t>
      </w:r>
      <w:r>
        <w:fldChar w:fldCharType="begin" w:fldLock="1"/>
      </w:r>
      <w:r>
        <w:instrText>ADDIN CSL_CITATION {"citationItems":[{"id":"ITEM-1","itemData":{"DOI":"10.1186/s12859-019-2877-3","ISSN":"1471-2105","abstract":"Next-generation sequencing is revolutionising diagnosis and treatment of rare diseases, however its application to understanding common disease aetiology is limited. Rare disease applications binarily attribute genetic change(s) at a single locus to a specific phenotype. In common diseases, where multiple genetic variants within and across genes contribute to disease, binary modelling cannot capture the burden of pathogenicity harboured by an individual across a given gene/pathway. We present GenePy, a novel gene-level scoring system for integration and analysis of next-generation sequencing data on a per-individual basis that transforms NGS data interpretation from variant-level to gene-level. This simple and flexible scoring system is intuitive and amenable to integration for machine learning, network and topological approaches, facilitating the investigation of complex phenotypes. Whole-exome sequencing data from 508 individuals were used to generate GenePy scores. For each variant a score is calculated incorporating: i) population allele frequency estimates; ii) individual zygosity, determined through standard variant calling pipelines and; iii) any user defined deleteriousness metric to inform on functional impact. GenePy then combines scores generated for all variants observed into a single gene score for each individual. We generated a matrix of ~ 14,000 GenePy scores for all individuals for each of sixteen popular deleteriousness metrics. All per-gene scores are corrected for gene length. The majority of genes generate GenePy scores &lt; 0.01 although individuals harbouring multiple rare highly deleterious mutations can accumulate extremely high GenePy scores. In the absence of a comparator metric, we examine GenePy performance in discriminating genes known to be associated with three common, complex diseases. A Mann-Whitney U test conducted on GenePy scores for this positive control gene in cases versus controls demonstrates markedly more significant results (p = 1.37 × 10− 4) compared to the most commonly applied association tool that combines common and rare variation (p = 0.003). Per-gene per-individual GenePy scores are intuitive when assessing genetic variation in individual patients or comparing scores between groups. GenePy outperforms the currently accepted best practice tools for combining common and rare variation. GenePy scores are suitable for downstream data integration with transcriptomic and proteomic data that also report at the ge…","author":[{"dropping-particle":"","family":"Mossotto","given":"E.","non-dropping-particle":"","parse-names":false,"suffix":""},{"dropping-particle":"","family":"Ashton","given":"J. J.","non-dropping-particle":"","parse-names":false,"suffix":""},{"dropping-particle":"","family":"O’Gorman","given":"L.","non-dropping-particle":"","parse-names":false,"suffix":""},{"dropping-particle":"","family":"Pengelly","given":"R. J.","non-dropping-particle":"","parse-names":false,"suffix":""},{"dropping-particle":"","family":"Beattie","given":"R. M.","non-dropping-particle":"","parse-names":false,"suffix":""},{"dropping-particle":"","family":"MacArthur","given":"B. D.","non-dropping-particle":"","parse-names":false,"suffix":""},{"dropping-particle":"","family":"Ennis","given":"S.","non-dropping-particle":"","parse-names":false,"suffix":""}],"container-title":"BMC Bioinformatics","id":"ITEM-1","issue":"1","issued":{"date-parts":[["2019","12","16"]]},"page":"254","publisher":"BioMed Central","title":"GenePy - a score for estimating gene pathogenicity in individuals using next-generation sequencing data","type":"article-journal","volume":"20"},"uris":["http://www.mendeley.com/documents/?uuid=2a849836-74c4-33e5-af8b-8676c91a2e65"]}],"mendeley":{"formattedCitation":"(5)","plainTextFormattedCitation":"(5)","previouslyFormattedCitation":"(5)"},"properties":{"noteIndex":0},"schema":"https://github.com/citation-style-language/schema/raw/master/csl-citation.json"}</w:instrText>
      </w:r>
      <w:r>
        <w:fldChar w:fldCharType="separate"/>
      </w:r>
      <w:r w:rsidRPr="00CC3E12">
        <w:rPr>
          <w:noProof/>
        </w:rPr>
        <w:t>(5)</w:t>
      </w:r>
      <w:r>
        <w:fldChar w:fldCharType="end"/>
      </w:r>
      <w:r>
        <w:t xml:space="preserve">. </w:t>
      </w:r>
    </w:p>
    <w:p w:rsidR="00F95112" w:rsidRDefault="00F95112" w:rsidP="00F95112">
      <w:pPr>
        <w:spacing w:line="480" w:lineRule="auto"/>
      </w:pPr>
      <w:r>
        <w:lastRenderedPageBreak/>
        <w:t xml:space="preserve">Patients recruited to the genetics of paediatric IBD study (n=401) at Southampton Children’s Hospital underwent WES. All patients were </w:t>
      </w:r>
      <w:proofErr w:type="gramStart"/>
      <w:r>
        <w:t>consented</w:t>
      </w:r>
      <w:proofErr w:type="gramEnd"/>
      <w:r>
        <w:t xml:space="preserve"> and the study had ethics approval from Southampton and South West Hampshire Research Ethics Committee (09/H0504/125). Data were processed through an in-house pipeline. Parental DNA underwent Sanger sequencing to confirm segregation in potential compound heterozygous patients </w:t>
      </w:r>
      <w:r>
        <w:fldChar w:fldCharType="begin" w:fldLock="1"/>
      </w:r>
      <w:r>
        <w:instrText>ADDIN CSL_CITATION {"citationItems":[{"id":"ITEM-1","itemData":{"DOI":"10.1186/s12859-019-2877-3","ISSN":"1471-2105","abstract":"Next-generation sequencing is revolutionising diagnosis and treatment of rare diseases, however its application to understanding common disease aetiology is limited. Rare disease applications binarily attribute genetic change(s) at a single locus to a specific phenotype. In common diseases, where multiple genetic variants within and across genes contribute to disease, binary modelling cannot capture the burden of pathogenicity harboured by an individual across a given gene/pathway. We present GenePy, a novel gene-level scoring system for integration and analysis of next-generation sequencing data on a per-individual basis that transforms NGS data interpretation from variant-level to gene-level. This simple and flexible scoring system is intuitive and amenable to integration for machine learning, network and topological approaches, facilitating the investigation of complex phenotypes. Whole-exome sequencing data from 508 individuals were used to generate GenePy scores. For each variant a score is calculated incorporating: i) population allele frequency estimates; ii) individual zygosity, determined through standard variant calling pipelines and; iii) any user defined deleteriousness metric to inform on functional impact. GenePy then combines scores generated for all variants observed into a single gene score for each individual. We generated a matrix of ~ 14,000 GenePy scores for all individuals for each of sixteen popular deleteriousness metrics. All per-gene scores are corrected for gene length. The majority of genes generate GenePy scores &lt; 0.01 although individuals harbouring multiple rare highly deleterious mutations can accumulate extremely high GenePy scores. In the absence of a comparator metric, we examine GenePy performance in discriminating genes known to be associated with three common, complex diseases. A Mann-Whitney U test conducted on GenePy scores for this positive control gene in cases versus controls demonstrates markedly more significant results (p = 1.37 × 10− 4) compared to the most commonly applied association tool that combines common and rare variation (p = 0.003). Per-gene per-individual GenePy scores are intuitive when assessing genetic variation in individual patients or comparing scores between groups. GenePy outperforms the currently accepted best practice tools for combining common and rare variation. GenePy scores are suitable for downstream data integration with transcriptomic and proteomic data that also report at the ge…","author":[{"dropping-particle":"","family":"Mossotto","given":"E.","non-dropping-particle":"","parse-names":false,"suffix":""},{"dropping-particle":"","family":"Ashton","given":"J. J.","non-dropping-particle":"","parse-names":false,"suffix":""},{"dropping-particle":"","family":"O’Gorman","given":"L.","non-dropping-particle":"","parse-names":false,"suffix":""},{"dropping-particle":"","family":"Pengelly","given":"R. J.","non-dropping-particle":"","parse-names":false,"suffix":""},{"dropping-particle":"","family":"Beattie","given":"R. M.","non-dropping-particle":"","parse-names":false,"suffix":""},{"dropping-particle":"","family":"MacArthur","given":"B. D.","non-dropping-particle":"","parse-names":false,"suffix":""},{"dropping-particle":"","family":"Ennis","given":"S.","non-dropping-particle":"","parse-names":false,"suffix":""}],"container-title":"BMC Bioinformatics","id":"ITEM-1","issue":"1","issued":{"date-parts":[["2019","12","16"]]},"page":"254","publisher":"BioMed Central","title":"GenePy - a score for estimating gene pathogenicity in individuals using next-generation sequencing data","type":"article-journal","volume":"20"},"uris":["http://www.mendeley.com/documents/?uuid=2a849836-74c4-33e5-af8b-8676c91a2e65"]}],"mendeley":{"formattedCitation":"(5)","plainTextFormattedCitation":"(5)","previouslyFormattedCitation":"(5)"},"properties":{"noteIndex":0},"schema":"https://github.com/citation-style-language/schema/raw/master/csl-citation.json"}</w:instrText>
      </w:r>
      <w:r>
        <w:fldChar w:fldCharType="separate"/>
      </w:r>
      <w:r w:rsidRPr="00CC3E12">
        <w:rPr>
          <w:noProof/>
        </w:rPr>
        <w:t>(5)</w:t>
      </w:r>
      <w:r>
        <w:fldChar w:fldCharType="end"/>
      </w:r>
      <w:r>
        <w:t xml:space="preserve">. Variants were annotated using </w:t>
      </w:r>
      <w:r w:rsidRPr="00B128C2">
        <w:rPr>
          <w:i/>
        </w:rPr>
        <w:t>in silico</w:t>
      </w:r>
      <w:r>
        <w:t xml:space="preserve"> deleteriousness metrics including </w:t>
      </w:r>
      <w:proofErr w:type="spellStart"/>
      <w:r>
        <w:t>ClinVar</w:t>
      </w:r>
      <w:proofErr w:type="spellEnd"/>
      <w:r>
        <w:t xml:space="preserve"> (2018 update) and human mutation genetic database (HGMD Pro 2018). Variant call files (VCFs) for </w:t>
      </w:r>
      <w:r w:rsidRPr="00B128C2">
        <w:rPr>
          <w:i/>
        </w:rPr>
        <w:t>TTC7A</w:t>
      </w:r>
      <w:r>
        <w:t xml:space="preserve"> in 401 patients with IBD were assessed for pathogenic mutations. </w:t>
      </w:r>
    </w:p>
    <w:p w:rsidR="00F95112" w:rsidRDefault="00F95112" w:rsidP="00F95112">
      <w:pPr>
        <w:spacing w:line="480" w:lineRule="auto"/>
      </w:pPr>
      <w:r>
        <w:t xml:space="preserve">Five patients were identified harbouring the p.K606R and p.S672P variants (Table 1). Sanger sequencing confirmed all patients had these variants on the same chromosome (inherited maternally or paternally). Neither variant was observed in isolation (without the other) in the remaining 396 patients. In all cases, the parent who transmitted these variants did not have IBD. The brother of patient 1, who also had IBD (Crohn’s disease, presenting in childhood), was found to have both the p.K606R and p.S672P variants. The phenotype of these </w:t>
      </w:r>
      <w:r w:rsidRPr="00DA4069">
        <w:rPr>
          <w:i/>
        </w:rPr>
        <w:t>TTC7A</w:t>
      </w:r>
      <w:r>
        <w:t xml:space="preserve"> patients was varied, 4/5 probands had Crohn’s disease. One had required surgery during follow-up (mean follow-up time 4.0 years) due to stricturing disease but none of the remaining patients had developed complications and disease was controlled with 5-ASA, thiopurine or anti-TNF therapy. </w:t>
      </w:r>
    </w:p>
    <w:p w:rsidR="00F95112" w:rsidRDefault="00F95112" w:rsidP="00F95112">
      <w:pPr>
        <w:spacing w:line="480" w:lineRule="auto"/>
      </w:pPr>
      <w:r>
        <w:t xml:space="preserve">The p.K606R and p.S672P variants are rare, both having a </w:t>
      </w:r>
      <w:proofErr w:type="spellStart"/>
      <w:r>
        <w:t>gNomad</w:t>
      </w:r>
      <w:proofErr w:type="spellEnd"/>
      <w:r>
        <w:t xml:space="preserve"> (all genomes) frequency of 0.0022 and an EXAC (non-Finnish European) frequency of 0.0035. Identical frequency suggests inheritance on a common haplotype. Both are predicted to be highly deleterious, possessing CADD scores of 25.6 and 27.5 respectively. The percentage of our patients, as a proportion of IBD patients sequenced, possessing these alleles is 1.2% (5 patients), contrasting to the 1 patient (0.22-0.35%) expected from curated frequency databases. To determine whether an additional variant could be impacting on the function of the wild-type allele patient VCFs were reviewed. Three patients (patient 1, 3 and 4) harboured the common s</w:t>
      </w:r>
      <w:r w:rsidRPr="006B0AAD">
        <w:t>ynonymous</w:t>
      </w:r>
      <w:r>
        <w:t xml:space="preserve"> </w:t>
      </w:r>
      <w:r w:rsidRPr="006B0AAD">
        <w:t>p.E232E</w:t>
      </w:r>
      <w:r>
        <w:t xml:space="preserve"> variant (CADD 9.5) and one (patient 5) </w:t>
      </w:r>
      <w:r>
        <w:lastRenderedPageBreak/>
        <w:t xml:space="preserve">harboured the synonymous </w:t>
      </w:r>
      <w:r w:rsidRPr="006B0AAD">
        <w:t>p.S66S</w:t>
      </w:r>
      <w:r>
        <w:t xml:space="preserve"> variant (CADD </w:t>
      </w:r>
      <w:r w:rsidRPr="006B0AAD">
        <w:t>17.63</w:t>
      </w:r>
      <w:r>
        <w:t xml:space="preserve">). </w:t>
      </w:r>
      <w:proofErr w:type="gramStart"/>
      <w:r>
        <w:t>Both of these</w:t>
      </w:r>
      <w:proofErr w:type="gramEnd"/>
      <w:r>
        <w:t xml:space="preserve"> are common, minor allele frequency 0.178 and 0.08 respectively, and have modest deleteriousness scores. Segregation analysis was not performed for these variants. </w:t>
      </w:r>
      <w:bookmarkStart w:id="3" w:name="_Hlk19625412"/>
      <w:r w:rsidRPr="00A911C1">
        <w:t>Sanger sequencing to confirm segregation unambiguously confirmed heterozygote status and excluded a deletion in the five patients at the site of the p.K606R and p.S672P variants. To further assess the evidence for large deletions and copy number variants (CNV), WES data from patients harbouring TTC7A variants were examined in the integrative genome viewer (IGV) and compared to patients not harbouring any TTC7A variants, sequencing using the same capture kits. Read depth was calculated across the entire gene and compared to patients without the variants</w:t>
      </w:r>
      <w:r>
        <w:t xml:space="preserve"> (supplementary figure 1)</w:t>
      </w:r>
      <w:r w:rsidRPr="00A911C1">
        <w:t>. No deletions or CNVs were identified through either method. We acknowledge the limitations of WES in detection of deletions.</w:t>
      </w:r>
      <w:bookmarkEnd w:id="3"/>
    </w:p>
    <w:p w:rsidR="00F95112" w:rsidRDefault="00F95112" w:rsidP="00F95112">
      <w:pPr>
        <w:spacing w:line="480" w:lineRule="auto"/>
      </w:pPr>
      <w:r>
        <w:t xml:space="preserve">Based on the key role </w:t>
      </w:r>
      <w:r w:rsidRPr="00576D5F">
        <w:rPr>
          <w:i/>
        </w:rPr>
        <w:t>TTC7A</w:t>
      </w:r>
      <w:r>
        <w:t xml:space="preserve"> has in regulation of normal intestinal epithelial cell development we hypothesised that high mutation burden in this gene may contribute to IBD through mutations not classified as casual of a monogenic disorder. We utilised a novel </w:t>
      </w:r>
      <w:r w:rsidRPr="006B39D1">
        <w:rPr>
          <w:i/>
        </w:rPr>
        <w:t>per gene, per individual</w:t>
      </w:r>
      <w:r>
        <w:t xml:space="preserve"> deleteriousness score, GenePy, to assess whether variation in </w:t>
      </w:r>
      <w:r w:rsidRPr="00576D5F">
        <w:rPr>
          <w:i/>
        </w:rPr>
        <w:t>TTC7A</w:t>
      </w:r>
      <w:r>
        <w:t xml:space="preserve"> was contributing to the risk of developing inflammatory bowel disease but not in a monogenic inheritance pattern </w:t>
      </w:r>
      <w:r>
        <w:fldChar w:fldCharType="begin" w:fldLock="1"/>
      </w:r>
      <w:r>
        <w:instrText>ADDIN CSL_CITATION {"citationItems":[{"id":"ITEM-1","itemData":{"DOI":"10.1186/s12859-019-2877-3","ISSN":"1471-2105","abstract":"Next-generation sequencing is revolutionising diagnosis and treatment of rare diseases, however its application to understanding common disease aetiology is limited. Rare disease applications binarily attribute genetic change(s) at a single locus to a specific phenotype. In common diseases, where multiple genetic variants within and across genes contribute to disease, binary modelling cannot capture the burden of pathogenicity harboured by an individual across a given gene/pathway. We present GenePy, a novel gene-level scoring system for integration and analysis of next-generation sequencing data on a per-individual basis that transforms NGS data interpretation from variant-level to gene-level. This simple and flexible scoring system is intuitive and amenable to integration for machine learning, network and topological approaches, facilitating the investigation of complex phenotypes. Whole-exome sequencing data from 508 individuals were used to generate GenePy scores. For each variant a score is calculated incorporating: i) population allele frequency estimates; ii) individual zygosity, determined through standard variant calling pipelines and; iii) any user defined deleteriousness metric to inform on functional impact. GenePy then combines scores generated for all variants observed into a single gene score for each individual. We generated a matrix of ~ 14,000 GenePy scores for all individuals for each of sixteen popular deleteriousness metrics. All per-gene scores are corrected for gene length. The majority of genes generate GenePy scores &lt; 0.01 although individuals harbouring multiple rare highly deleterious mutations can accumulate extremely high GenePy scores. In the absence of a comparator metric, we examine GenePy performance in discriminating genes known to be associated with three common, complex diseases. A Mann-Whitney U test conducted on GenePy scores for this positive control gene in cases versus controls demonstrates markedly more significant results (p = 1.37 × 10− 4) compared to the most commonly applied association tool that combines common and rare variation (p = 0.003). Per-gene per-individual GenePy scores are intuitive when assessing genetic variation in individual patients or comparing scores between groups. GenePy outperforms the currently accepted best practice tools for combining common and rare variation. GenePy scores are suitable for downstream data integration with transcriptomic and proteomic data that also report at the ge…","author":[{"dropping-particle":"","family":"Mossotto","given":"E.","non-dropping-particle":"","parse-names":false,"suffix":""},{"dropping-particle":"","family":"Ashton","given":"J. J.","non-dropping-particle":"","parse-names":false,"suffix":""},{"dropping-particle":"","family":"O’Gorman","given":"L.","non-dropping-particle":"","parse-names":false,"suffix":""},{"dropping-particle":"","family":"Pengelly","given":"R. J.","non-dropping-particle":"","parse-names":false,"suffix":""},{"dropping-particle":"","family":"Beattie","given":"R. M.","non-dropping-particle":"","parse-names":false,"suffix":""},{"dropping-particle":"","family":"MacArthur","given":"B. D.","non-dropping-particle":"","parse-names":false,"suffix":""},{"dropping-particle":"","family":"Ennis","given":"S.","non-dropping-particle":"","parse-names":false,"suffix":""}],"container-title":"BMC Bioinformatics","id":"ITEM-1","issue":"1","issued":{"date-parts":[["2019","12","16"]]},"page":"254","publisher":"BioMed Central","title":"GenePy - a score for estimating gene pathogenicity in individuals using next-generation sequencing data","type":"article-journal","volume":"20"},"uris":["http://www.mendeley.com/documents/?uuid=2a849836-74c4-33e5-af8b-8676c91a2e65"]}],"mendeley":{"formattedCitation":"(5)","plainTextFormattedCitation":"(5)","previouslyFormattedCitation":"(5)"},"properties":{"noteIndex":0},"schema":"https://github.com/citation-style-language/schema/raw/master/csl-citation.json"}</w:instrText>
      </w:r>
      <w:r>
        <w:fldChar w:fldCharType="separate"/>
      </w:r>
      <w:r w:rsidRPr="00CC3E12">
        <w:rPr>
          <w:noProof/>
        </w:rPr>
        <w:t>(5)</w:t>
      </w:r>
      <w:r>
        <w:fldChar w:fldCharType="end"/>
      </w:r>
      <w:r>
        <w:t xml:space="preserve">. GenePy provides a single score to a gene, for </w:t>
      </w:r>
      <w:proofErr w:type="gramStart"/>
      <w:r>
        <w:t>each individual</w:t>
      </w:r>
      <w:proofErr w:type="gramEnd"/>
      <w:r>
        <w:t xml:space="preserve">, based on all variants harboured within that gene. Even in genes known to play a role in the development of polygenic disease high scores are uncommon in individual risk genes </w:t>
      </w:r>
      <w:r>
        <w:fldChar w:fldCharType="begin" w:fldLock="1"/>
      </w:r>
      <w:r>
        <w:instrText>ADDIN CSL_CITATION {"citationItems":[{"id":"ITEM-1","itemData":{"DOI":"10.1186/s12859-019-2877-3","ISSN":"1471-2105","abstract":"Next-generation sequencing is revolutionising diagnosis and treatment of rare diseases, however its application to understanding common disease aetiology is limited. Rare disease applications binarily attribute genetic change(s) at a single locus to a specific phenotype. In common diseases, where multiple genetic variants within and across genes contribute to disease, binary modelling cannot capture the burden of pathogenicity harboured by an individual across a given gene/pathway. We present GenePy, a novel gene-level scoring system for integration and analysis of next-generation sequencing data on a per-individual basis that transforms NGS data interpretation from variant-level to gene-level. This simple and flexible scoring system is intuitive and amenable to integration for machine learning, network and topological approaches, facilitating the investigation of complex phenotypes. Whole-exome sequencing data from 508 individuals were used to generate GenePy scores. For each variant a score is calculated incorporating: i) population allele frequency estimates; ii) individual zygosity, determined through standard variant calling pipelines and; iii) any user defined deleteriousness metric to inform on functional impact. GenePy then combines scores generated for all variants observed into a single gene score for each individual. We generated a matrix of ~ 14,000 GenePy scores for all individuals for each of sixteen popular deleteriousness metrics. All per-gene scores are corrected for gene length. The majority of genes generate GenePy scores &lt; 0.01 although individuals harbouring multiple rare highly deleterious mutations can accumulate extremely high GenePy scores. In the absence of a comparator metric, we examine GenePy performance in discriminating genes known to be associated with three common, complex diseases. A Mann-Whitney U test conducted on GenePy scores for this positive control gene in cases versus controls demonstrates markedly more significant results (p = 1.37 × 10− 4) compared to the most commonly applied association tool that combines common and rare variation (p = 0.003). Per-gene per-individual GenePy scores are intuitive when assessing genetic variation in individual patients or comparing scores between groups. GenePy outperforms the currently accepted best practice tools for combining common and rare variation. GenePy scores are suitable for downstream data integration with transcriptomic and proteomic data that also report at the ge…","author":[{"dropping-particle":"","family":"Mossotto","given":"E.","non-dropping-particle":"","parse-names":false,"suffix":""},{"dropping-particle":"","family":"Ashton","given":"J. J.","non-dropping-particle":"","parse-names":false,"suffix":""},{"dropping-particle":"","family":"O’Gorman","given":"L.","non-dropping-particle":"","parse-names":false,"suffix":""},{"dropping-particle":"","family":"Pengelly","given":"R. J.","non-dropping-particle":"","parse-names":false,"suffix":""},{"dropping-particle":"","family":"Beattie","given":"R. M.","non-dropping-particle":"","parse-names":false,"suffix":""},{"dropping-particle":"","family":"MacArthur","given":"B. D.","non-dropping-particle":"","parse-names":false,"suffix":""},{"dropping-particle":"","family":"Ennis","given":"S.","non-dropping-particle":"","parse-names":false,"suffix":""}],"container-title":"BMC Bioinformatics","id":"ITEM-1","issue":"1","issued":{"date-parts":[["2019","12","16"]]},"page":"254","publisher":"BioMed Central","title":"GenePy - a score for estimating gene pathogenicity in individuals using next-generation sequencing data","type":"article-journal","volume":"20"},"uris":["http://www.mendeley.com/documents/?uuid=2a849836-74c4-33e5-af8b-8676c91a2e65"]}],"mendeley":{"formattedCitation":"(5)","plainTextFormattedCitation":"(5)","previouslyFormattedCitation":"(5)"},"properties":{"noteIndex":0},"schema":"https://github.com/citation-style-language/schema/raw/master/csl-citation.json"}</w:instrText>
      </w:r>
      <w:r>
        <w:fldChar w:fldCharType="separate"/>
      </w:r>
      <w:r w:rsidRPr="00CC3E12">
        <w:rPr>
          <w:noProof/>
        </w:rPr>
        <w:t>(5)</w:t>
      </w:r>
      <w:r>
        <w:fldChar w:fldCharType="end"/>
      </w:r>
      <w:r>
        <w:t>. Therefore, comparison of extreme scores (top 10%, M</w:t>
      </w:r>
      <w:r w:rsidRPr="005F08C3">
        <w:t xml:space="preserve">ann </w:t>
      </w:r>
      <w:r>
        <w:t>W</w:t>
      </w:r>
      <w:r w:rsidRPr="005F08C3">
        <w:t xml:space="preserve">hitney </w:t>
      </w:r>
      <w:r>
        <w:t>U-</w:t>
      </w:r>
      <w:r w:rsidRPr="005F08C3">
        <w:t>test</w:t>
      </w:r>
      <w:r>
        <w:t>)</w:t>
      </w:r>
      <w:r w:rsidRPr="005F08C3">
        <w:t xml:space="preserve"> </w:t>
      </w:r>
      <w:r>
        <w:t xml:space="preserve">in </w:t>
      </w:r>
      <w:r w:rsidRPr="005F08C3">
        <w:rPr>
          <w:i/>
        </w:rPr>
        <w:t>TTC7A</w:t>
      </w:r>
      <w:r w:rsidRPr="005F08C3">
        <w:t xml:space="preserve"> </w:t>
      </w:r>
      <w:r>
        <w:t xml:space="preserve">between all cases and a set of non-IBD controls allows determination of whether variation in </w:t>
      </w:r>
      <w:r w:rsidRPr="005F08C3">
        <w:rPr>
          <w:i/>
        </w:rPr>
        <w:t>TTC7A</w:t>
      </w:r>
      <w:r>
        <w:t xml:space="preserve"> was more deleterious in the IBD cohort. Following application of GenePy,</w:t>
      </w:r>
      <w:r w:rsidRPr="004B1225">
        <w:t xml:space="preserve"> mutation burden </w:t>
      </w:r>
      <w:r>
        <w:t xml:space="preserve">was identical </w:t>
      </w:r>
      <w:r w:rsidRPr="004B1225">
        <w:t xml:space="preserve">in cases </w:t>
      </w:r>
      <w:r>
        <w:t xml:space="preserve">and </w:t>
      </w:r>
      <w:r w:rsidRPr="004B1225">
        <w:t xml:space="preserve">controls, with the median of the top 10% of scores being 0.72 </w:t>
      </w:r>
      <w:r>
        <w:t xml:space="preserve">in </w:t>
      </w:r>
      <w:r w:rsidRPr="004B1225">
        <w:t xml:space="preserve">both, p=&gt;0.05. This provides evidence that </w:t>
      </w:r>
      <w:r w:rsidRPr="004B1225">
        <w:rPr>
          <w:i/>
        </w:rPr>
        <w:t>TTC7A</w:t>
      </w:r>
      <w:r w:rsidRPr="004B1225">
        <w:t xml:space="preserve"> variation </w:t>
      </w:r>
      <w:r>
        <w:t>observed in our cohort w</w:t>
      </w:r>
      <w:r w:rsidRPr="004B1225">
        <w:t xml:space="preserve">as not contributing to </w:t>
      </w:r>
      <w:r>
        <w:t>disease</w:t>
      </w:r>
      <w:r w:rsidRPr="004B1225">
        <w:t xml:space="preserve"> development</w:t>
      </w:r>
      <w:r>
        <w:t>.</w:t>
      </w:r>
    </w:p>
    <w:p w:rsidR="00F95112" w:rsidRDefault="00F95112" w:rsidP="00F95112">
      <w:pPr>
        <w:spacing w:line="480" w:lineRule="auto"/>
      </w:pPr>
      <w:r>
        <w:t xml:space="preserve">The p.K606R and p.S672P variants appear to be most commonly inherited on the same haplotype. The number of patients harbouring these heterozygote variants exceeds that expected from both </w:t>
      </w:r>
      <w:proofErr w:type="spellStart"/>
      <w:r>
        <w:lastRenderedPageBreak/>
        <w:t>gNomad</w:t>
      </w:r>
      <w:proofErr w:type="spellEnd"/>
      <w:r>
        <w:t xml:space="preserve"> and EXAC allele frequency databases. </w:t>
      </w:r>
      <w:bookmarkStart w:id="4" w:name="_Hlk19624297"/>
      <w:r>
        <w:t xml:space="preserve">However, there is no evidence a single affected allele would translate into impact on protein expression or function, based on all previous reports of disease associated with </w:t>
      </w:r>
      <w:r w:rsidRPr="00425DE1">
        <w:rPr>
          <w:i/>
        </w:rPr>
        <w:t>TTC7A</w:t>
      </w:r>
      <w:r>
        <w:t xml:space="preserve"> variants it appears to be a Mendelian disorder with autosomal recessive inheritance, although previous data has indicated a role for heterozygote variants in genes associated with autosomal recessive monogenic IBD for other genes </w:t>
      </w:r>
      <w:r>
        <w:fldChar w:fldCharType="begin" w:fldLock="1"/>
      </w:r>
      <w:r>
        <w:instrText>ADDIN CSL_CITATION {"citationItems":[{"id":"ITEM-1","itemData":{"DOI":"10.1097/MIB.0000000000000890","ISSN":"1078-0998","PMID":"27537055","abstract":"BACKGROUND Most cases of inflammatory bowel disease (IBD) are caused by complex host-environment interaction. There are a number of conditions associated with a single-gene mutation, most cases are very early onset (aged &lt; 6 yr), present with a unique form of disease and often have atypical features. METHODS Whole-exome data for 147 pediatric patients with IBD were interrogated for a panel of 51 genes associated with monogenic IBD. Observed variation was categorized according to the American College of Medical Genetics (ACMG) guidelines to identify rare, novel, and known variants that might contribute to IBD. RESULTS Five hundred seventy-four variants were identified across 51 genes. These were categorized in line with ACMG guidance to remove benign variants and to identify \"pathogenic\" and \"likely pathogenic\" variants. In 6 patients, we observed 6 pathogenic variants of which CYBA(c.287+2T&gt;C), COL7A1(c.6501+1G&gt;C), LIG4(p.R814X), and XIAP(p.T470S) were known causative mutations, and FERMT1(p.R271Q) and SKIV2L(c.354+5G&gt;A) were novel. In the 3 patients with XIAP, SKIV2L, and FERMT1 variants, individuals' disease features resembled the monogenic phenotype. This was despite apparent heterozygous carriage of pathogenic variation for the latter 2 genes. The XIAP variant was observed in a hemizygous male. CONCLUSIONS Whole-exome sequencing allows for identification of known and de novo potentially causative mutations in genes associated with monogenic IBD. Although these are rare conditions, it is vital to identify causative mutations early to improve prognosis. We postulate that in a subset of IBD, heterozygous mutations (in genes believed to manifest IBD through autosomal recessive inheritance) may contribute to clinical presentation.","author":[{"dropping-particle":"","family":"Ashton","given":"James J.","non-dropping-particle":"","parse-names":false,"suffix":""},{"dropping-particle":"","family":"Andreoletti","given":"Gaia","non-dropping-particle":"","parse-names":false,"suffix":""},{"dropping-particle":"","family":"Coelho","given":"Tracy","non-dropping-particle":"","parse-names":false,"suffix":""},{"dropping-particle":"","family":"Haggarty","given":"Rachel","non-dropping-particle":"","parse-names":false,"suffix":""},{"dropping-particle":"","family":"Batra","given":"Akshay","non-dropping-particle":"","parse-names":false,"suffix":""},{"dropping-particle":"","family":"Afzal","given":"Nadeem A.","non-dropping-particle":"","parse-names":false,"suffix":""},{"dropping-particle":"","family":"Beattie","given":"R. Mark","non-dropping-particle":"","parse-names":false,"suffix":""},{"dropping-particle":"","family":"Ennis","given":"Sarah","non-dropping-particle":"","parse-names":false,"suffix":""}],"container-title":"Inflammatory Bowel Diseases","id":"ITEM-1","issue":"10","issued":{"date-parts":[["2016","10"]]},"page":"2317-2327","title":"Identification of Variants in Genes Associated with Single-gene Inflammatory Bowel Disease by Whole-exome Sequencing","type":"article-journal","volume":"22"},"uris":["http://www.mendeley.com/documents/?uuid=2d961b06-dc5a-366f-8cff-dd22efd27971"]},{"id":"ITEM-2","itemData":{"DOI":"10.1007/s10875-019-00669-6","ISSN":"1573-2592","PMID":"31342292","author":[{"dropping-particle":"","family":"Saunders","given":"Jessica R","non-dropping-particle":"","parse-names":false,"suffix":""},{"dropping-particle":"","family":"Lehman","given":"Anna","non-dropping-particle":"","parse-names":false,"suffix":""},{"dropping-particle":"","family":"Turvey","given":"Stuart E","non-dropping-particle":"","parse-names":false,"suffix":""},{"dropping-particle":"","family":"Pan","given":"Jie","non-dropping-particle":"","parse-names":false,"suffix":""},{"dropping-particle":"","family":"Rajcan-Separovic","given":"Evica","non-dropping-particle":"","parse-names":false,"suffix":""},{"dropping-particle":"","family":"Muise","given":"Aleixo M","non-dropping-particle":"","parse-names":false,"suffix":""},{"dropping-particle":"","family":"Bush","given":"Jonathan W","non-dropping-particle":"","parse-names":false,"suffix":""}],"container-title":"Journal of clinical immunology","id":"ITEM-2","issue":"6","issued":{"date-parts":[["2019","8"]]},"page":"616-619","title":"Novel Exonic Deletions in TTC7A in a Newborn with Multiple Intestinal Atresia and Combined Immunodeficiency.","type":"article-journal","volume":"39"},"uris":["http://www.mendeley.com/documents/?uuid=eef5db38-5193-365f-9f04-1d328c29aec0"]},{"id":"ITEM-3","itemData":{"DOI":"10.1016/j.jcmgh.2018.12.001","author":[{"dropping-particle":"","family":"Jardine","given":"Sasha","non-dropping-particle":"","parse-names":false,"suffix":""},{"dropping-particle":"","family":"Dhingani","given":"Neel","non-dropping-particle":"","parse-names":false,"suffix":""},{"dropping-particle":"","family":"Muise","given":"Aleixo M","non-dropping-particle":"","parse-names":false,"suffix":""}],"container-title":"Cellular and Molecular Gastroenterology and Hepatology","id":"ITEM-3","issued":{"date-parts":[["2018"]]},"title":"TTC7A: Steward of Intestinal Health","type":"article-journal"},"uris":["http://www.mendeley.com/documents/?uuid=60e64e5e-b81c-38b7-bcd4-5bfbd3b92fa4"]}],"mendeley":{"formattedCitation":"(3,4,6)","plainTextFormattedCitation":"(3,4,6)","previouslyFormattedCitation":"(4)"},"properties":{"noteIndex":0},"schema":"https://github.com/citation-style-language/schema/raw/master/csl-citation.json"}</w:instrText>
      </w:r>
      <w:r>
        <w:fldChar w:fldCharType="separate"/>
      </w:r>
      <w:r w:rsidRPr="005514FB">
        <w:rPr>
          <w:noProof/>
        </w:rPr>
        <w:t>(3,4,6)</w:t>
      </w:r>
      <w:r>
        <w:fldChar w:fldCharType="end"/>
      </w:r>
      <w:r>
        <w:t xml:space="preserve">. </w:t>
      </w:r>
      <w:bookmarkEnd w:id="4"/>
      <w:r>
        <w:t xml:space="preserve">Where these variants have been inherited in </w:t>
      </w:r>
      <w:r w:rsidRPr="00DC4982">
        <w:rPr>
          <w:i/>
        </w:rPr>
        <w:t>trans</w:t>
      </w:r>
      <w:r>
        <w:rPr>
          <w:i/>
        </w:rPr>
        <w:t xml:space="preserve">, </w:t>
      </w:r>
      <w:r>
        <w:t>previous reports have detailed a p</w:t>
      </w:r>
      <w:r w:rsidRPr="00DC4982">
        <w:t xml:space="preserve">artial loss-of-function associated with </w:t>
      </w:r>
      <w:r>
        <w:t>mild</w:t>
      </w:r>
      <w:r w:rsidRPr="00DC4982">
        <w:t xml:space="preserve"> </w:t>
      </w:r>
      <w:r>
        <w:t>CVID and</w:t>
      </w:r>
      <w:r w:rsidRPr="00DC4982">
        <w:t xml:space="preserve"> enteropathy</w:t>
      </w:r>
      <w:r>
        <w:t xml:space="preserve"> </w:t>
      </w:r>
      <w:r w:rsidRPr="00DC4982">
        <w:t>phenotype</w:t>
      </w:r>
      <w:r>
        <w:t xml:space="preserve"> </w:t>
      </w:r>
      <w:r>
        <w:fldChar w:fldCharType="begin" w:fldLock="1"/>
      </w:r>
      <w:r>
        <w:instrText>ADDIN CSL_CITATION {"citationItems":[{"id":"ITEM-1","itemData":{"DOI":"10.1007/s10875-017-0427-1","ISSN":"0271-9142","PMID":"28808844","author":[{"dropping-particle":"","family":"Lawless","given":"Dylan","non-dropping-particle":"","parse-names":false,"suffix":""},{"dropping-particle":"","family":"Mistry","given":"Anoop","non-dropping-particle":"","parse-names":false,"suffix":""},{"dropping-particle":"","family":"Wood","given":"Philip M.","non-dropping-particle":"","parse-names":false,"suffix":""},{"dropping-particle":"","family":"Stahlschmidt","given":"Jens","non-dropping-particle":"","parse-names":false,"suffix":""},{"dropping-particle":"","family":"Arumugakani","given":"Gururaj","non-dropping-particle":"","parse-names":false,"suffix":""},{"dropping-particle":"","family":"Hull","given":"Mark","non-dropping-particle":"","parse-names":false,"suffix":""},{"dropping-particle":"","family":"Parry","given":"David","non-dropping-particle":"","parse-names":false,"suffix":""},{"dropping-particle":"","family":"Anwar","given":"Rashida","non-dropping-particle":"","parse-names":false,"suffix":""},{"dropping-particle":"","family":"Carter","given":"Clive","non-dropping-particle":"","parse-names":false,"suffix":""},{"dropping-particle":"","family":"Savic","given":"Sinisa","non-dropping-particle":"","parse-names":false,"suffix":""}],"container-title":"Journal of Clinical Immunology","id":"ITEM-1","issue":"7","issued":{"date-parts":[["2017","10","14"]]},"page":"617-622","title":"Bialellic Mutations in Tetratricopeptide Repeat Domain 7A (TTC7A) Cause Common Variable Immunodeficiency-Like Phenotype with Enteropathy","type":"article-journal","volume":"37"},"uris":["http://www.mendeley.com/documents/?uuid=ab4f709c-feae-3f4c-8712-238ba12c3b51"]}],"mendeley":{"formattedCitation":"(2)","plainTextFormattedCitation":"(2)","previouslyFormattedCitation":"(2)"},"properties":{"noteIndex":0},"schema":"https://github.com/citation-style-language/schema/raw/master/csl-citation.json"}</w:instrText>
      </w:r>
      <w:r>
        <w:fldChar w:fldCharType="separate"/>
      </w:r>
      <w:r w:rsidRPr="00CD3C19">
        <w:rPr>
          <w:noProof/>
        </w:rPr>
        <w:t>(2)</w:t>
      </w:r>
      <w:r>
        <w:fldChar w:fldCharType="end"/>
      </w:r>
      <w:r w:rsidRPr="00DC4982">
        <w:t>.</w:t>
      </w:r>
      <w:r>
        <w:t xml:space="preserve"> Interestingly, neither of parents of the patient described by Lawless </w:t>
      </w:r>
      <w:r w:rsidRPr="00180B7B">
        <w:rPr>
          <w:i/>
        </w:rPr>
        <w:t>et al</w:t>
      </w:r>
      <w:r>
        <w:t xml:space="preserve"> possessed the p.K606R and p.S672P haplotype, with the mother having the wild-type allele at amino acid position 606 and the father being wild-type at position 672. </w:t>
      </w:r>
    </w:p>
    <w:p w:rsidR="00F95112" w:rsidRDefault="00F95112" w:rsidP="00F95112">
      <w:pPr>
        <w:spacing w:line="480" w:lineRule="auto"/>
      </w:pPr>
      <w:r>
        <w:t xml:space="preserve">In this study we identify five paediatric IBD patients harbouring variants on the same chromosome, previously described as disease-causing when inherited in compound heterozygosity. These variants, p.K606R and p.S672P, appear to exist on a relatively rare ancestral haplotype and are seen in 1.2% of our cohort. </w:t>
      </w:r>
      <w:r w:rsidRPr="00C33A48">
        <w:rPr>
          <w:i/>
        </w:rPr>
        <w:t>In silico</w:t>
      </w:r>
      <w:r>
        <w:t xml:space="preserve"> analysis indicates that exonic variation in </w:t>
      </w:r>
      <w:r w:rsidRPr="00C33A48">
        <w:rPr>
          <w:i/>
        </w:rPr>
        <w:t>TTC7A</w:t>
      </w:r>
      <w:r>
        <w:t xml:space="preserve"> was not contributing to disease in this cohort. We find no evidence of increased </w:t>
      </w:r>
      <w:r w:rsidRPr="00415489">
        <w:rPr>
          <w:i/>
        </w:rPr>
        <w:t>TTC7A</w:t>
      </w:r>
      <w:r>
        <w:t xml:space="preserve"> mutation burden in the coding regions for IBD patients compared to controls. These data imply that </w:t>
      </w:r>
      <w:r w:rsidRPr="00576D5F">
        <w:rPr>
          <w:i/>
        </w:rPr>
        <w:t>TTC7A</w:t>
      </w:r>
      <w:r>
        <w:t xml:space="preserve"> is only associated with an autosomal recessive Mendelian disorder, with disease occurring in patients who harbour rare, deleterious variants. We were unable to assess the impact of variation in intronic/promotor regions, and alteration of </w:t>
      </w:r>
      <w:r w:rsidRPr="0075614B">
        <w:rPr>
          <w:i/>
        </w:rPr>
        <w:t>TTC7A</w:t>
      </w:r>
      <w:r>
        <w:t xml:space="preserve"> expression or alternative splicing could still contribute to disease pathogenesis. Functional analysis is required to assess the role of rare heterozygote variants, not fulfilling the criteria for causing monogenic disease, in the regulation of intestinal development and inflammation.</w:t>
      </w:r>
    </w:p>
    <w:p w:rsidR="00F95112" w:rsidRDefault="00F95112" w:rsidP="00F95112">
      <w:pPr>
        <w:spacing w:line="480" w:lineRule="auto"/>
      </w:pPr>
    </w:p>
    <w:p w:rsidR="00F95112" w:rsidRPr="00DC4982" w:rsidRDefault="00F95112" w:rsidP="00F95112">
      <w:pPr>
        <w:spacing w:line="480" w:lineRule="auto"/>
      </w:pPr>
    </w:p>
    <w:p w:rsidR="00F95112" w:rsidRDefault="00F95112" w:rsidP="00F95112">
      <w:pPr>
        <w:spacing w:line="480" w:lineRule="auto"/>
      </w:pPr>
    </w:p>
    <w:p w:rsidR="00F95112" w:rsidRDefault="00F95112" w:rsidP="00F95112">
      <w:pPr>
        <w:spacing w:line="480" w:lineRule="auto"/>
        <w:rPr>
          <w:u w:val="single"/>
        </w:rPr>
      </w:pPr>
      <w:r>
        <w:rPr>
          <w:u w:val="single"/>
        </w:rPr>
        <w:lastRenderedPageBreak/>
        <w:t>Ethics Statement</w:t>
      </w:r>
    </w:p>
    <w:p w:rsidR="00F95112" w:rsidRPr="00884ABD" w:rsidRDefault="00F95112" w:rsidP="00F95112">
      <w:pPr>
        <w:spacing w:line="480" w:lineRule="auto"/>
      </w:pPr>
      <w:r w:rsidRPr="00884ABD">
        <w:t xml:space="preserve">All procedures performed in studies involving human participants were in accordance with the ethical standards of </w:t>
      </w:r>
      <w:r>
        <w:t>Southampton and South West Hampshire Research Ethics Committee (09/H0504/125)</w:t>
      </w:r>
      <w:r w:rsidRPr="00884ABD">
        <w:t xml:space="preserve"> and with the 1964 Helsinki declaration and its later amendments or comparable ethical standards</w:t>
      </w:r>
    </w:p>
    <w:p w:rsidR="00F95112" w:rsidRPr="00E0228B" w:rsidRDefault="00F95112" w:rsidP="00F95112">
      <w:pPr>
        <w:spacing w:line="480" w:lineRule="auto"/>
        <w:rPr>
          <w:u w:val="single"/>
        </w:rPr>
      </w:pPr>
      <w:r w:rsidRPr="00E0228B">
        <w:rPr>
          <w:u w:val="single"/>
        </w:rPr>
        <w:t>References</w:t>
      </w:r>
    </w:p>
    <w:p w:rsidR="00F95112" w:rsidRPr="005514FB" w:rsidRDefault="00F95112" w:rsidP="00F95112">
      <w:pPr>
        <w:widowControl w:val="0"/>
        <w:autoSpaceDE w:val="0"/>
        <w:autoSpaceDN w:val="0"/>
        <w:adjustRightInd w:val="0"/>
        <w:spacing w:line="480" w:lineRule="auto"/>
        <w:ind w:left="640" w:hanging="640"/>
        <w:rPr>
          <w:rFonts w:ascii="Calibri" w:hAnsi="Calibri" w:cs="Calibri"/>
          <w:noProof/>
          <w:szCs w:val="24"/>
        </w:rPr>
      </w:pPr>
      <w:r w:rsidRPr="00533133">
        <w:fldChar w:fldCharType="begin" w:fldLock="1"/>
      </w:r>
      <w:r w:rsidRPr="00533133">
        <w:instrText xml:space="preserve">ADDIN Mendeley Bibliography CSL_BIBLIOGRAPHY </w:instrText>
      </w:r>
      <w:r w:rsidRPr="00533133">
        <w:fldChar w:fldCharType="separate"/>
      </w:r>
      <w:r w:rsidRPr="005514FB">
        <w:rPr>
          <w:rFonts w:ascii="Calibri" w:hAnsi="Calibri" w:cs="Calibri"/>
          <w:noProof/>
          <w:szCs w:val="24"/>
        </w:rPr>
        <w:t xml:space="preserve">1. </w:t>
      </w:r>
      <w:r w:rsidRPr="005514FB">
        <w:rPr>
          <w:rFonts w:ascii="Calibri" w:hAnsi="Calibri" w:cs="Calibri"/>
          <w:noProof/>
          <w:szCs w:val="24"/>
        </w:rPr>
        <w:tab/>
        <w:t>Uhlig HH, Muise AM. Clinical Genomics in Inflammatory Bowel Disease. Trends Genet [Internet]. 2017 Sep [cited 2019 Jan 21];33(9):629–41. Available from: http://www.ncbi.nlm.nih.gov/pubmed/28755896</w:t>
      </w:r>
    </w:p>
    <w:p w:rsidR="00F95112" w:rsidRPr="005514FB" w:rsidRDefault="00F95112" w:rsidP="00F95112">
      <w:pPr>
        <w:widowControl w:val="0"/>
        <w:autoSpaceDE w:val="0"/>
        <w:autoSpaceDN w:val="0"/>
        <w:adjustRightInd w:val="0"/>
        <w:spacing w:line="480" w:lineRule="auto"/>
        <w:ind w:left="640" w:hanging="640"/>
        <w:rPr>
          <w:rFonts w:ascii="Calibri" w:hAnsi="Calibri" w:cs="Calibri"/>
          <w:noProof/>
          <w:szCs w:val="24"/>
        </w:rPr>
      </w:pPr>
      <w:r w:rsidRPr="005514FB">
        <w:rPr>
          <w:rFonts w:ascii="Calibri" w:hAnsi="Calibri" w:cs="Calibri"/>
          <w:noProof/>
          <w:szCs w:val="24"/>
        </w:rPr>
        <w:t xml:space="preserve">2. </w:t>
      </w:r>
      <w:r w:rsidRPr="005514FB">
        <w:rPr>
          <w:rFonts w:ascii="Calibri" w:hAnsi="Calibri" w:cs="Calibri"/>
          <w:noProof/>
          <w:szCs w:val="24"/>
        </w:rPr>
        <w:tab/>
        <w:t>Lawless D, Mistry A, Wood PM, Stahlschmidt J, Arumugakani G, Hull M, et al. Bialellic Mutations in Tetratricopeptide Repeat Domain 7A (TTC7A) Cause Common Variable Immunodeficiency-Like Phenotype with Enteropathy. J Clin Immunol [Internet]. 2017 Oct 14 [cited 2018 Dec 19];37(7):617–22. Available from: http://www.ncbi.nlm.nih.gov/pubmed/28808844</w:t>
      </w:r>
    </w:p>
    <w:p w:rsidR="00F95112" w:rsidRPr="005514FB" w:rsidRDefault="00F95112" w:rsidP="00F95112">
      <w:pPr>
        <w:widowControl w:val="0"/>
        <w:autoSpaceDE w:val="0"/>
        <w:autoSpaceDN w:val="0"/>
        <w:adjustRightInd w:val="0"/>
        <w:spacing w:line="480" w:lineRule="auto"/>
        <w:ind w:left="640" w:hanging="640"/>
        <w:rPr>
          <w:rFonts w:ascii="Calibri" w:hAnsi="Calibri" w:cs="Calibri"/>
          <w:noProof/>
          <w:szCs w:val="24"/>
        </w:rPr>
      </w:pPr>
      <w:r w:rsidRPr="005514FB">
        <w:rPr>
          <w:rFonts w:ascii="Calibri" w:hAnsi="Calibri" w:cs="Calibri"/>
          <w:noProof/>
          <w:szCs w:val="24"/>
        </w:rPr>
        <w:t xml:space="preserve">3. </w:t>
      </w:r>
      <w:r w:rsidRPr="005514FB">
        <w:rPr>
          <w:rFonts w:ascii="Calibri" w:hAnsi="Calibri" w:cs="Calibri"/>
          <w:noProof/>
          <w:szCs w:val="24"/>
        </w:rPr>
        <w:tab/>
        <w:t>Jardine S, Dhingani N, Muise AM. TTC7A: Steward of Intestinal Health. Cell Mol Gastroenterol Hepatol [Internet]. 2018 [cited 2018 Dec 19]; Available from: https://doi.org/10.1016/j.jcmgh.2018.12.001</w:t>
      </w:r>
    </w:p>
    <w:p w:rsidR="00F95112" w:rsidRPr="005514FB" w:rsidRDefault="00F95112" w:rsidP="00F95112">
      <w:pPr>
        <w:widowControl w:val="0"/>
        <w:autoSpaceDE w:val="0"/>
        <w:autoSpaceDN w:val="0"/>
        <w:adjustRightInd w:val="0"/>
        <w:spacing w:line="480" w:lineRule="auto"/>
        <w:ind w:left="640" w:hanging="640"/>
        <w:rPr>
          <w:rFonts w:ascii="Calibri" w:hAnsi="Calibri" w:cs="Calibri"/>
          <w:noProof/>
          <w:szCs w:val="24"/>
        </w:rPr>
      </w:pPr>
      <w:r w:rsidRPr="005514FB">
        <w:rPr>
          <w:rFonts w:ascii="Calibri" w:hAnsi="Calibri" w:cs="Calibri"/>
          <w:noProof/>
          <w:szCs w:val="24"/>
        </w:rPr>
        <w:t xml:space="preserve">4. </w:t>
      </w:r>
      <w:r w:rsidRPr="005514FB">
        <w:rPr>
          <w:rFonts w:ascii="Calibri" w:hAnsi="Calibri" w:cs="Calibri"/>
          <w:noProof/>
          <w:szCs w:val="24"/>
        </w:rPr>
        <w:tab/>
        <w:t>Ashton JJ, Andreoletti G, Coelho T, Haggarty R, Batra A, Afzal NA, et al. Identification of Variants in Genes Associated with Single-gene Inflammatory Bowel Disease by Whole-exome Sequencing. Inflamm Bowel Dis [Internet]. 2016 Oct [cited 2018 Mar 8];22(10):2317–27. Available from: http://www.ncbi.nlm.nih.gov/pubmed/27537055</w:t>
      </w:r>
    </w:p>
    <w:p w:rsidR="00F95112" w:rsidRPr="005514FB" w:rsidRDefault="00F95112" w:rsidP="00F95112">
      <w:pPr>
        <w:widowControl w:val="0"/>
        <w:autoSpaceDE w:val="0"/>
        <w:autoSpaceDN w:val="0"/>
        <w:adjustRightInd w:val="0"/>
        <w:spacing w:line="480" w:lineRule="auto"/>
        <w:ind w:left="640" w:hanging="640"/>
        <w:rPr>
          <w:rFonts w:ascii="Calibri" w:hAnsi="Calibri" w:cs="Calibri"/>
          <w:noProof/>
          <w:szCs w:val="24"/>
        </w:rPr>
      </w:pPr>
      <w:r w:rsidRPr="005514FB">
        <w:rPr>
          <w:rFonts w:ascii="Calibri" w:hAnsi="Calibri" w:cs="Calibri"/>
          <w:noProof/>
          <w:szCs w:val="24"/>
        </w:rPr>
        <w:t xml:space="preserve">5. </w:t>
      </w:r>
      <w:r w:rsidRPr="005514FB">
        <w:rPr>
          <w:rFonts w:ascii="Calibri" w:hAnsi="Calibri" w:cs="Calibri"/>
          <w:noProof/>
          <w:szCs w:val="24"/>
        </w:rPr>
        <w:tab/>
        <w:t xml:space="preserve">Mossotto E, Ashton JJ, O’Gorman L, Pengelly RJ, Beattie RM, MacArthur BD, et al. GenePy - a score for estimating gene pathogenicity in individuals using next-generation sequencing data. BMC Bioinformatics [Internet]. 2019 Dec 16 [cited 2019 May 24];20(1):254. Available from: </w:t>
      </w:r>
      <w:r w:rsidRPr="005514FB">
        <w:rPr>
          <w:rFonts w:ascii="Calibri" w:hAnsi="Calibri" w:cs="Calibri"/>
          <w:noProof/>
          <w:szCs w:val="24"/>
        </w:rPr>
        <w:lastRenderedPageBreak/>
        <w:t>https://bmcbioinformatics.biomedcentral.com/articles/10.1186/s12859-019-2877-3</w:t>
      </w:r>
    </w:p>
    <w:p w:rsidR="00F95112" w:rsidRPr="005514FB" w:rsidRDefault="00F95112" w:rsidP="00F95112">
      <w:pPr>
        <w:widowControl w:val="0"/>
        <w:autoSpaceDE w:val="0"/>
        <w:autoSpaceDN w:val="0"/>
        <w:adjustRightInd w:val="0"/>
        <w:spacing w:line="480" w:lineRule="auto"/>
        <w:ind w:left="640" w:hanging="640"/>
        <w:rPr>
          <w:rFonts w:ascii="Calibri" w:hAnsi="Calibri" w:cs="Calibri"/>
          <w:noProof/>
        </w:rPr>
      </w:pPr>
      <w:r w:rsidRPr="005514FB">
        <w:rPr>
          <w:rFonts w:ascii="Calibri" w:hAnsi="Calibri" w:cs="Calibri"/>
          <w:noProof/>
          <w:szCs w:val="24"/>
        </w:rPr>
        <w:t xml:space="preserve">6. </w:t>
      </w:r>
      <w:r w:rsidRPr="005514FB">
        <w:rPr>
          <w:rFonts w:ascii="Calibri" w:hAnsi="Calibri" w:cs="Calibri"/>
          <w:noProof/>
          <w:szCs w:val="24"/>
        </w:rPr>
        <w:tab/>
        <w:t>Saunders JR, Lehman A, Turvey SE, Pan J, Rajcan-Separovic E, Muise AM, et al. Novel Exonic Deletions in TTC7A in a Newborn with Multiple Intestinal Atresia and Combined Immunodeficiency. J Clin Immunol [Internet]. 2019 Aug [cited 2019 Sep 17];39(6):616–9. Available from: http://www.ncbi.nlm.nih.gov/pubmed/31342292</w:t>
      </w:r>
    </w:p>
    <w:p w:rsidR="00F95112" w:rsidRDefault="00F95112" w:rsidP="00F95112">
      <w:pPr>
        <w:spacing w:line="480" w:lineRule="auto"/>
      </w:pPr>
      <w:r w:rsidRPr="00533133">
        <w:fldChar w:fldCharType="end"/>
      </w:r>
    </w:p>
    <w:p w:rsidR="00F95112" w:rsidRDefault="00F95112" w:rsidP="00F95112">
      <w:pPr>
        <w:spacing w:line="480" w:lineRule="auto"/>
        <w:rPr>
          <w:b/>
        </w:rPr>
      </w:pPr>
    </w:p>
    <w:p w:rsidR="00F95112" w:rsidRDefault="00F95112" w:rsidP="00F95112">
      <w:pPr>
        <w:spacing w:line="480" w:lineRule="auto"/>
        <w:rPr>
          <w:b/>
        </w:rPr>
      </w:pPr>
    </w:p>
    <w:p w:rsidR="00F95112" w:rsidRDefault="00F95112" w:rsidP="00F95112">
      <w:pPr>
        <w:spacing w:line="480" w:lineRule="auto"/>
        <w:rPr>
          <w:b/>
        </w:rPr>
      </w:pPr>
    </w:p>
    <w:p w:rsidR="00F95112" w:rsidRDefault="00F95112" w:rsidP="00F95112">
      <w:pPr>
        <w:spacing w:line="480" w:lineRule="auto"/>
        <w:sectPr w:rsidR="00F95112">
          <w:pgSz w:w="11906" w:h="16838"/>
          <w:pgMar w:top="1440" w:right="1440" w:bottom="1440" w:left="1440" w:header="708" w:footer="708" w:gutter="0"/>
          <w:cols w:space="708"/>
          <w:docGrid w:linePitch="360"/>
        </w:sectPr>
      </w:pPr>
    </w:p>
    <w:p w:rsidR="00F95112" w:rsidRPr="004F7E3E" w:rsidRDefault="00F95112" w:rsidP="00F95112">
      <w:pPr>
        <w:spacing w:line="480" w:lineRule="auto"/>
      </w:pPr>
      <w:r w:rsidRPr="00E51968">
        <w:rPr>
          <w:b/>
        </w:rPr>
        <w:lastRenderedPageBreak/>
        <w:t>Table 1</w:t>
      </w:r>
      <w:r w:rsidRPr="004F7E3E">
        <w:t>-</w:t>
      </w:r>
      <w:r>
        <w:t xml:space="preserve"> Genotype and phenotype characteristics of five patients identified harbouring the p.</w:t>
      </w:r>
      <w:r w:rsidRPr="004F7E3E">
        <w:t xml:space="preserve">K606R </w:t>
      </w:r>
      <w:r>
        <w:t xml:space="preserve">and p.S672P </w:t>
      </w:r>
      <w:r w:rsidRPr="004F7E3E">
        <w:rPr>
          <w:i/>
        </w:rPr>
        <w:t>TTC7A</w:t>
      </w:r>
      <w:r>
        <w:t xml:space="preserve"> variants</w:t>
      </w:r>
    </w:p>
    <w:tbl>
      <w:tblPr>
        <w:tblStyle w:val="TableGrid"/>
        <w:tblpPr w:leftFromText="180" w:rightFromText="180" w:vertAnchor="text" w:horzAnchor="page" w:tblpX="890" w:tblpY="304"/>
        <w:tblW w:w="15421" w:type="dxa"/>
        <w:tblLook w:val="04A0" w:firstRow="1" w:lastRow="0" w:firstColumn="1" w:lastColumn="0" w:noHBand="0" w:noVBand="1"/>
      </w:tblPr>
      <w:tblGrid>
        <w:gridCol w:w="718"/>
        <w:gridCol w:w="936"/>
        <w:gridCol w:w="911"/>
        <w:gridCol w:w="719"/>
        <w:gridCol w:w="873"/>
        <w:gridCol w:w="1298"/>
        <w:gridCol w:w="730"/>
        <w:gridCol w:w="933"/>
        <w:gridCol w:w="723"/>
        <w:gridCol w:w="879"/>
        <w:gridCol w:w="832"/>
        <w:gridCol w:w="924"/>
        <w:gridCol w:w="1155"/>
        <w:gridCol w:w="1542"/>
        <w:gridCol w:w="1101"/>
        <w:gridCol w:w="1147"/>
      </w:tblGrid>
      <w:tr w:rsidR="00F95112" w:rsidRPr="004B60A0" w:rsidTr="00425DE1">
        <w:trPr>
          <w:trHeight w:val="568"/>
        </w:trPr>
        <w:tc>
          <w:tcPr>
            <w:tcW w:w="718" w:type="dxa"/>
            <w:vAlign w:val="center"/>
          </w:tcPr>
          <w:p w:rsidR="00F95112" w:rsidRPr="004B60A0" w:rsidRDefault="00F95112" w:rsidP="00425DE1">
            <w:pPr>
              <w:jc w:val="center"/>
              <w:rPr>
                <w:b/>
                <w:sz w:val="16"/>
              </w:rPr>
            </w:pPr>
            <w:r w:rsidRPr="004B60A0">
              <w:rPr>
                <w:b/>
                <w:sz w:val="16"/>
              </w:rPr>
              <w:t>Patient</w:t>
            </w:r>
          </w:p>
        </w:tc>
        <w:tc>
          <w:tcPr>
            <w:tcW w:w="936" w:type="dxa"/>
            <w:vAlign w:val="center"/>
          </w:tcPr>
          <w:p w:rsidR="00F95112" w:rsidRPr="004B60A0" w:rsidRDefault="00F95112" w:rsidP="00425DE1">
            <w:pPr>
              <w:jc w:val="center"/>
              <w:rPr>
                <w:b/>
                <w:sz w:val="16"/>
              </w:rPr>
            </w:pPr>
            <w:r w:rsidRPr="004B60A0">
              <w:rPr>
                <w:b/>
                <w:i/>
                <w:sz w:val="16"/>
              </w:rPr>
              <w:t>TTC7A</w:t>
            </w:r>
            <w:r w:rsidRPr="004B60A0">
              <w:rPr>
                <w:b/>
                <w:sz w:val="16"/>
              </w:rPr>
              <w:t xml:space="preserve"> variants</w:t>
            </w:r>
          </w:p>
        </w:tc>
        <w:tc>
          <w:tcPr>
            <w:tcW w:w="911" w:type="dxa"/>
            <w:vAlign w:val="center"/>
          </w:tcPr>
          <w:p w:rsidR="00F95112" w:rsidRPr="004B60A0" w:rsidRDefault="00F95112" w:rsidP="00425DE1">
            <w:pPr>
              <w:jc w:val="center"/>
              <w:rPr>
                <w:b/>
                <w:sz w:val="16"/>
              </w:rPr>
            </w:pPr>
            <w:proofErr w:type="spellStart"/>
            <w:r>
              <w:rPr>
                <w:b/>
                <w:sz w:val="16"/>
              </w:rPr>
              <w:t>gNomad</w:t>
            </w:r>
            <w:proofErr w:type="spellEnd"/>
            <w:r>
              <w:rPr>
                <w:b/>
                <w:sz w:val="16"/>
              </w:rPr>
              <w:t xml:space="preserve"> frequency</w:t>
            </w:r>
          </w:p>
        </w:tc>
        <w:tc>
          <w:tcPr>
            <w:tcW w:w="719" w:type="dxa"/>
            <w:vAlign w:val="center"/>
          </w:tcPr>
          <w:p w:rsidR="00F95112" w:rsidRPr="004B60A0" w:rsidRDefault="00F95112" w:rsidP="00425DE1">
            <w:pPr>
              <w:jc w:val="center"/>
              <w:rPr>
                <w:b/>
                <w:sz w:val="16"/>
              </w:rPr>
            </w:pPr>
            <w:r w:rsidRPr="004B60A0">
              <w:rPr>
                <w:b/>
                <w:sz w:val="16"/>
              </w:rPr>
              <w:t>CADD score</w:t>
            </w:r>
          </w:p>
        </w:tc>
        <w:tc>
          <w:tcPr>
            <w:tcW w:w="873" w:type="dxa"/>
            <w:vAlign w:val="center"/>
          </w:tcPr>
          <w:p w:rsidR="00F95112" w:rsidRPr="004B60A0" w:rsidRDefault="00F95112" w:rsidP="00425DE1">
            <w:pPr>
              <w:jc w:val="center"/>
              <w:rPr>
                <w:b/>
                <w:sz w:val="16"/>
              </w:rPr>
            </w:pPr>
            <w:r w:rsidRPr="004B60A0">
              <w:rPr>
                <w:b/>
                <w:sz w:val="16"/>
              </w:rPr>
              <w:t>Inherited from</w:t>
            </w:r>
          </w:p>
        </w:tc>
        <w:tc>
          <w:tcPr>
            <w:tcW w:w="1298" w:type="dxa"/>
            <w:vAlign w:val="center"/>
          </w:tcPr>
          <w:p w:rsidR="00F95112" w:rsidRPr="004B60A0" w:rsidRDefault="00F95112" w:rsidP="00425DE1">
            <w:pPr>
              <w:jc w:val="center"/>
              <w:rPr>
                <w:b/>
                <w:sz w:val="16"/>
              </w:rPr>
            </w:pPr>
            <w:r w:rsidRPr="004B60A0">
              <w:rPr>
                <w:b/>
                <w:sz w:val="16"/>
              </w:rPr>
              <w:t>Second TTC7A variant?</w:t>
            </w:r>
          </w:p>
        </w:tc>
        <w:tc>
          <w:tcPr>
            <w:tcW w:w="730" w:type="dxa"/>
            <w:vAlign w:val="center"/>
          </w:tcPr>
          <w:p w:rsidR="00F95112" w:rsidRPr="004B60A0" w:rsidRDefault="00F95112" w:rsidP="00425DE1">
            <w:pPr>
              <w:jc w:val="center"/>
              <w:rPr>
                <w:b/>
                <w:sz w:val="16"/>
              </w:rPr>
            </w:pPr>
            <w:r w:rsidRPr="004B60A0">
              <w:rPr>
                <w:b/>
                <w:sz w:val="16"/>
              </w:rPr>
              <w:t>Second TTC7A variant CADD score</w:t>
            </w:r>
          </w:p>
        </w:tc>
        <w:tc>
          <w:tcPr>
            <w:tcW w:w="933" w:type="dxa"/>
            <w:vAlign w:val="center"/>
          </w:tcPr>
          <w:p w:rsidR="00F95112" w:rsidRPr="004B60A0" w:rsidRDefault="00F95112" w:rsidP="00425DE1">
            <w:pPr>
              <w:jc w:val="center"/>
              <w:rPr>
                <w:b/>
                <w:sz w:val="16"/>
              </w:rPr>
            </w:pPr>
            <w:r w:rsidRPr="004B60A0">
              <w:rPr>
                <w:b/>
                <w:sz w:val="16"/>
              </w:rPr>
              <w:t>Second TTC7A variant frequency</w:t>
            </w:r>
          </w:p>
        </w:tc>
        <w:tc>
          <w:tcPr>
            <w:tcW w:w="723" w:type="dxa"/>
            <w:vAlign w:val="center"/>
          </w:tcPr>
          <w:p w:rsidR="00F95112" w:rsidRPr="004B60A0" w:rsidRDefault="00F95112" w:rsidP="00425DE1">
            <w:pPr>
              <w:jc w:val="center"/>
              <w:rPr>
                <w:b/>
                <w:sz w:val="16"/>
              </w:rPr>
            </w:pPr>
            <w:r w:rsidRPr="004B60A0">
              <w:rPr>
                <w:b/>
                <w:sz w:val="16"/>
              </w:rPr>
              <w:t>Sex</w:t>
            </w:r>
          </w:p>
        </w:tc>
        <w:tc>
          <w:tcPr>
            <w:tcW w:w="879" w:type="dxa"/>
            <w:vAlign w:val="center"/>
          </w:tcPr>
          <w:p w:rsidR="00F95112" w:rsidRPr="004B60A0" w:rsidRDefault="00F95112" w:rsidP="00425DE1">
            <w:pPr>
              <w:jc w:val="center"/>
              <w:rPr>
                <w:b/>
                <w:sz w:val="16"/>
              </w:rPr>
            </w:pPr>
            <w:r w:rsidRPr="004B60A0">
              <w:rPr>
                <w:b/>
                <w:sz w:val="16"/>
              </w:rPr>
              <w:t>Age at diagnosis</w:t>
            </w:r>
          </w:p>
        </w:tc>
        <w:tc>
          <w:tcPr>
            <w:tcW w:w="832" w:type="dxa"/>
            <w:vAlign w:val="center"/>
          </w:tcPr>
          <w:p w:rsidR="00F95112" w:rsidRPr="004B60A0" w:rsidRDefault="00F95112" w:rsidP="00425DE1">
            <w:pPr>
              <w:jc w:val="center"/>
              <w:rPr>
                <w:b/>
                <w:sz w:val="16"/>
              </w:rPr>
            </w:pPr>
            <w:r w:rsidRPr="004B60A0">
              <w:rPr>
                <w:b/>
                <w:sz w:val="16"/>
              </w:rPr>
              <w:t>Follow-up duration</w:t>
            </w:r>
          </w:p>
        </w:tc>
        <w:tc>
          <w:tcPr>
            <w:tcW w:w="924" w:type="dxa"/>
            <w:vAlign w:val="center"/>
          </w:tcPr>
          <w:p w:rsidR="00F95112" w:rsidRPr="004B60A0" w:rsidRDefault="00F95112" w:rsidP="00425DE1">
            <w:pPr>
              <w:jc w:val="center"/>
              <w:rPr>
                <w:b/>
                <w:sz w:val="16"/>
              </w:rPr>
            </w:pPr>
            <w:r w:rsidRPr="004B60A0">
              <w:rPr>
                <w:b/>
                <w:sz w:val="16"/>
              </w:rPr>
              <w:t>Disease</w:t>
            </w:r>
          </w:p>
        </w:tc>
        <w:tc>
          <w:tcPr>
            <w:tcW w:w="1155" w:type="dxa"/>
            <w:vAlign w:val="center"/>
          </w:tcPr>
          <w:p w:rsidR="00F95112" w:rsidRPr="004B60A0" w:rsidRDefault="00F95112" w:rsidP="00425DE1">
            <w:pPr>
              <w:jc w:val="center"/>
              <w:rPr>
                <w:b/>
                <w:sz w:val="16"/>
              </w:rPr>
            </w:pPr>
            <w:r w:rsidRPr="004B60A0">
              <w:rPr>
                <w:b/>
                <w:sz w:val="16"/>
              </w:rPr>
              <w:t>Paris Classification</w:t>
            </w:r>
          </w:p>
        </w:tc>
        <w:tc>
          <w:tcPr>
            <w:tcW w:w="1542" w:type="dxa"/>
            <w:vAlign w:val="center"/>
          </w:tcPr>
          <w:p w:rsidR="00F95112" w:rsidRPr="004B60A0" w:rsidRDefault="00F95112" w:rsidP="00425DE1">
            <w:pPr>
              <w:jc w:val="center"/>
              <w:rPr>
                <w:b/>
                <w:sz w:val="16"/>
              </w:rPr>
            </w:pPr>
            <w:r w:rsidRPr="004B60A0">
              <w:rPr>
                <w:b/>
                <w:sz w:val="16"/>
              </w:rPr>
              <w:t xml:space="preserve">Complications including </w:t>
            </w:r>
            <w:r>
              <w:rPr>
                <w:b/>
                <w:sz w:val="16"/>
              </w:rPr>
              <w:t xml:space="preserve">evidence of </w:t>
            </w:r>
            <w:r w:rsidRPr="004B60A0">
              <w:rPr>
                <w:b/>
                <w:sz w:val="16"/>
              </w:rPr>
              <w:t>immunodeficiency</w:t>
            </w:r>
          </w:p>
        </w:tc>
        <w:tc>
          <w:tcPr>
            <w:tcW w:w="1101" w:type="dxa"/>
            <w:vAlign w:val="center"/>
          </w:tcPr>
          <w:p w:rsidR="00F95112" w:rsidRPr="004B60A0" w:rsidRDefault="00F95112" w:rsidP="00425DE1">
            <w:pPr>
              <w:jc w:val="center"/>
              <w:rPr>
                <w:b/>
                <w:sz w:val="16"/>
              </w:rPr>
            </w:pPr>
            <w:r w:rsidRPr="004B60A0">
              <w:rPr>
                <w:b/>
                <w:sz w:val="16"/>
              </w:rPr>
              <w:t>Medications used</w:t>
            </w:r>
          </w:p>
        </w:tc>
        <w:tc>
          <w:tcPr>
            <w:tcW w:w="1147" w:type="dxa"/>
            <w:vAlign w:val="center"/>
          </w:tcPr>
          <w:p w:rsidR="00F95112" w:rsidRPr="004B60A0" w:rsidRDefault="00F95112" w:rsidP="00425DE1">
            <w:pPr>
              <w:jc w:val="center"/>
              <w:rPr>
                <w:b/>
                <w:sz w:val="16"/>
              </w:rPr>
            </w:pPr>
            <w:r w:rsidRPr="004B60A0">
              <w:rPr>
                <w:b/>
                <w:sz w:val="16"/>
              </w:rPr>
              <w:t>Additional information</w:t>
            </w:r>
          </w:p>
        </w:tc>
      </w:tr>
      <w:tr w:rsidR="00F95112" w:rsidRPr="004B60A0" w:rsidTr="00425DE1">
        <w:trPr>
          <w:trHeight w:val="398"/>
        </w:trPr>
        <w:tc>
          <w:tcPr>
            <w:tcW w:w="718" w:type="dxa"/>
            <w:vMerge w:val="restart"/>
            <w:vAlign w:val="center"/>
          </w:tcPr>
          <w:p w:rsidR="00F95112" w:rsidRPr="004B60A0" w:rsidRDefault="00F95112" w:rsidP="00425DE1">
            <w:pPr>
              <w:rPr>
                <w:sz w:val="16"/>
              </w:rPr>
            </w:pPr>
            <w:r w:rsidRPr="004B60A0">
              <w:rPr>
                <w:sz w:val="16"/>
              </w:rPr>
              <w:t>1</w:t>
            </w:r>
          </w:p>
        </w:tc>
        <w:tc>
          <w:tcPr>
            <w:tcW w:w="936" w:type="dxa"/>
            <w:vAlign w:val="center"/>
          </w:tcPr>
          <w:p w:rsidR="00F95112" w:rsidRPr="004B60A0" w:rsidRDefault="00F95112" w:rsidP="00425DE1">
            <w:pPr>
              <w:rPr>
                <w:sz w:val="16"/>
              </w:rPr>
            </w:pPr>
            <w:r w:rsidRPr="004B60A0">
              <w:rPr>
                <w:sz w:val="16"/>
              </w:rPr>
              <w:t>K</w:t>
            </w:r>
            <w:r>
              <w:rPr>
                <w:sz w:val="16"/>
              </w:rPr>
              <w:t>606R</w:t>
            </w:r>
          </w:p>
        </w:tc>
        <w:tc>
          <w:tcPr>
            <w:tcW w:w="911" w:type="dxa"/>
            <w:vAlign w:val="center"/>
          </w:tcPr>
          <w:p w:rsidR="00F95112" w:rsidRPr="004B60A0" w:rsidRDefault="00F95112" w:rsidP="00425DE1">
            <w:pPr>
              <w:rPr>
                <w:sz w:val="16"/>
              </w:rPr>
            </w:pPr>
            <w:r w:rsidRPr="004B60A0">
              <w:rPr>
                <w:sz w:val="16"/>
              </w:rPr>
              <w:t>0.0022</w:t>
            </w:r>
          </w:p>
        </w:tc>
        <w:tc>
          <w:tcPr>
            <w:tcW w:w="719" w:type="dxa"/>
            <w:vAlign w:val="center"/>
          </w:tcPr>
          <w:p w:rsidR="00F95112" w:rsidRPr="004B60A0" w:rsidRDefault="00F95112" w:rsidP="00425DE1">
            <w:pPr>
              <w:rPr>
                <w:sz w:val="16"/>
              </w:rPr>
            </w:pPr>
            <w:r>
              <w:rPr>
                <w:sz w:val="16"/>
              </w:rPr>
              <w:t>25.6</w:t>
            </w:r>
          </w:p>
        </w:tc>
        <w:tc>
          <w:tcPr>
            <w:tcW w:w="873" w:type="dxa"/>
            <w:vMerge w:val="restart"/>
            <w:vAlign w:val="center"/>
          </w:tcPr>
          <w:p w:rsidR="00F95112" w:rsidRPr="004B60A0" w:rsidRDefault="00F95112" w:rsidP="00425DE1">
            <w:pPr>
              <w:rPr>
                <w:sz w:val="16"/>
              </w:rPr>
            </w:pPr>
            <w:r w:rsidRPr="004B60A0">
              <w:rPr>
                <w:sz w:val="16"/>
              </w:rPr>
              <w:t>Mother</w:t>
            </w:r>
          </w:p>
        </w:tc>
        <w:tc>
          <w:tcPr>
            <w:tcW w:w="1298" w:type="dxa"/>
            <w:vMerge w:val="restart"/>
            <w:vAlign w:val="center"/>
          </w:tcPr>
          <w:p w:rsidR="00F95112" w:rsidRPr="004B60A0" w:rsidRDefault="00F95112" w:rsidP="00425DE1">
            <w:pPr>
              <w:rPr>
                <w:sz w:val="16"/>
              </w:rPr>
            </w:pPr>
            <w:r w:rsidRPr="004B60A0">
              <w:rPr>
                <w:sz w:val="16"/>
              </w:rPr>
              <w:t>Synonymous G696</w:t>
            </w:r>
            <w:proofErr w:type="gramStart"/>
            <w:r w:rsidRPr="004B60A0">
              <w:rPr>
                <w:sz w:val="16"/>
              </w:rPr>
              <w:t>A:p</w:t>
            </w:r>
            <w:proofErr w:type="gramEnd"/>
            <w:r w:rsidRPr="004B60A0">
              <w:rPr>
                <w:sz w:val="16"/>
              </w:rPr>
              <w:t>.E232E</w:t>
            </w:r>
          </w:p>
        </w:tc>
        <w:tc>
          <w:tcPr>
            <w:tcW w:w="730" w:type="dxa"/>
            <w:vMerge w:val="restart"/>
            <w:vAlign w:val="center"/>
          </w:tcPr>
          <w:p w:rsidR="00F95112" w:rsidRPr="004B60A0" w:rsidRDefault="00F95112" w:rsidP="00425DE1">
            <w:pPr>
              <w:rPr>
                <w:rFonts w:ascii="Calibri" w:hAnsi="Calibri" w:cs="Calibri"/>
                <w:color w:val="000000"/>
                <w:sz w:val="16"/>
              </w:rPr>
            </w:pPr>
            <w:r w:rsidRPr="004B60A0">
              <w:rPr>
                <w:rFonts w:ascii="Calibri" w:hAnsi="Calibri" w:cs="Calibri"/>
                <w:color w:val="000000"/>
                <w:sz w:val="16"/>
              </w:rPr>
              <w:t>9.522</w:t>
            </w:r>
          </w:p>
        </w:tc>
        <w:tc>
          <w:tcPr>
            <w:tcW w:w="933" w:type="dxa"/>
            <w:vMerge w:val="restart"/>
            <w:vAlign w:val="center"/>
          </w:tcPr>
          <w:p w:rsidR="00F95112" w:rsidRPr="004B60A0" w:rsidRDefault="00F95112" w:rsidP="00425DE1">
            <w:pPr>
              <w:rPr>
                <w:sz w:val="16"/>
              </w:rPr>
            </w:pPr>
            <w:r w:rsidRPr="004B60A0">
              <w:rPr>
                <w:sz w:val="16"/>
              </w:rPr>
              <w:t>0.1778</w:t>
            </w:r>
          </w:p>
        </w:tc>
        <w:tc>
          <w:tcPr>
            <w:tcW w:w="723" w:type="dxa"/>
            <w:vMerge w:val="restart"/>
            <w:vAlign w:val="center"/>
          </w:tcPr>
          <w:p w:rsidR="00F95112" w:rsidRPr="004B60A0" w:rsidRDefault="00F95112" w:rsidP="00425DE1">
            <w:pPr>
              <w:rPr>
                <w:sz w:val="16"/>
              </w:rPr>
            </w:pPr>
            <w:r w:rsidRPr="004B60A0">
              <w:rPr>
                <w:sz w:val="16"/>
              </w:rPr>
              <w:t>Male</w:t>
            </w:r>
          </w:p>
        </w:tc>
        <w:tc>
          <w:tcPr>
            <w:tcW w:w="879" w:type="dxa"/>
            <w:vMerge w:val="restart"/>
            <w:vAlign w:val="center"/>
          </w:tcPr>
          <w:p w:rsidR="00F95112" w:rsidRPr="004B60A0" w:rsidRDefault="00F95112" w:rsidP="00425DE1">
            <w:pPr>
              <w:rPr>
                <w:sz w:val="16"/>
              </w:rPr>
            </w:pPr>
            <w:r w:rsidRPr="004B60A0">
              <w:rPr>
                <w:sz w:val="16"/>
              </w:rPr>
              <w:t>12.9 years</w:t>
            </w:r>
          </w:p>
        </w:tc>
        <w:tc>
          <w:tcPr>
            <w:tcW w:w="832" w:type="dxa"/>
            <w:vMerge w:val="restart"/>
            <w:vAlign w:val="center"/>
          </w:tcPr>
          <w:p w:rsidR="00F95112" w:rsidRPr="004B60A0" w:rsidRDefault="00F95112" w:rsidP="00425DE1">
            <w:pPr>
              <w:rPr>
                <w:sz w:val="16"/>
              </w:rPr>
            </w:pPr>
            <w:r w:rsidRPr="004B60A0">
              <w:rPr>
                <w:sz w:val="16"/>
              </w:rPr>
              <w:t>4.4 years</w:t>
            </w:r>
          </w:p>
        </w:tc>
        <w:tc>
          <w:tcPr>
            <w:tcW w:w="924" w:type="dxa"/>
            <w:vMerge w:val="restart"/>
            <w:vAlign w:val="center"/>
          </w:tcPr>
          <w:p w:rsidR="00F95112" w:rsidRPr="004B60A0" w:rsidRDefault="00F95112" w:rsidP="00425DE1">
            <w:pPr>
              <w:rPr>
                <w:sz w:val="16"/>
              </w:rPr>
            </w:pPr>
            <w:r w:rsidRPr="004B60A0">
              <w:rPr>
                <w:sz w:val="16"/>
              </w:rPr>
              <w:t>Ulcerative colitis</w:t>
            </w:r>
          </w:p>
        </w:tc>
        <w:tc>
          <w:tcPr>
            <w:tcW w:w="1155" w:type="dxa"/>
            <w:vMerge w:val="restart"/>
            <w:vAlign w:val="center"/>
          </w:tcPr>
          <w:p w:rsidR="00F95112" w:rsidRPr="004B60A0" w:rsidRDefault="00F95112" w:rsidP="00425DE1">
            <w:pPr>
              <w:rPr>
                <w:sz w:val="16"/>
              </w:rPr>
            </w:pPr>
            <w:r w:rsidRPr="004B60A0">
              <w:rPr>
                <w:sz w:val="16"/>
              </w:rPr>
              <w:t>E4</w:t>
            </w:r>
          </w:p>
        </w:tc>
        <w:tc>
          <w:tcPr>
            <w:tcW w:w="1542" w:type="dxa"/>
            <w:vMerge w:val="restart"/>
            <w:vAlign w:val="center"/>
          </w:tcPr>
          <w:p w:rsidR="00F95112" w:rsidRPr="004B60A0" w:rsidRDefault="00F95112" w:rsidP="00425DE1">
            <w:pPr>
              <w:rPr>
                <w:sz w:val="16"/>
              </w:rPr>
            </w:pPr>
            <w:r w:rsidRPr="004B60A0">
              <w:rPr>
                <w:sz w:val="16"/>
              </w:rPr>
              <w:t>None evident</w:t>
            </w:r>
          </w:p>
        </w:tc>
        <w:tc>
          <w:tcPr>
            <w:tcW w:w="1101" w:type="dxa"/>
            <w:vMerge w:val="restart"/>
            <w:vAlign w:val="center"/>
          </w:tcPr>
          <w:p w:rsidR="00F95112" w:rsidRPr="004B60A0" w:rsidRDefault="00F95112" w:rsidP="00425DE1">
            <w:pPr>
              <w:rPr>
                <w:sz w:val="16"/>
              </w:rPr>
            </w:pPr>
            <w:r w:rsidRPr="004B60A0">
              <w:rPr>
                <w:sz w:val="16"/>
              </w:rPr>
              <w:t>5-ASA</w:t>
            </w:r>
          </w:p>
          <w:p w:rsidR="00F95112" w:rsidRPr="004B60A0" w:rsidRDefault="00F95112" w:rsidP="00425DE1">
            <w:pPr>
              <w:rPr>
                <w:sz w:val="16"/>
              </w:rPr>
            </w:pPr>
            <w:r w:rsidRPr="004B60A0">
              <w:rPr>
                <w:sz w:val="16"/>
              </w:rPr>
              <w:t>Thiopurine</w:t>
            </w:r>
          </w:p>
        </w:tc>
        <w:tc>
          <w:tcPr>
            <w:tcW w:w="1147" w:type="dxa"/>
            <w:vMerge w:val="restart"/>
            <w:vAlign w:val="center"/>
          </w:tcPr>
          <w:p w:rsidR="00F95112" w:rsidRPr="004B60A0" w:rsidRDefault="00F95112" w:rsidP="00425DE1">
            <w:pPr>
              <w:rPr>
                <w:sz w:val="16"/>
              </w:rPr>
            </w:pPr>
            <w:r w:rsidRPr="004B60A0">
              <w:rPr>
                <w:sz w:val="16"/>
              </w:rPr>
              <w:t>No FH</w:t>
            </w:r>
          </w:p>
        </w:tc>
      </w:tr>
      <w:tr w:rsidR="00F95112" w:rsidRPr="004B60A0" w:rsidTr="00425DE1">
        <w:trPr>
          <w:trHeight w:val="398"/>
        </w:trPr>
        <w:tc>
          <w:tcPr>
            <w:tcW w:w="718" w:type="dxa"/>
            <w:vMerge/>
            <w:vAlign w:val="center"/>
          </w:tcPr>
          <w:p w:rsidR="00F95112" w:rsidRPr="004B60A0" w:rsidRDefault="00F95112" w:rsidP="00425DE1">
            <w:pPr>
              <w:rPr>
                <w:sz w:val="16"/>
              </w:rPr>
            </w:pPr>
          </w:p>
        </w:tc>
        <w:tc>
          <w:tcPr>
            <w:tcW w:w="936" w:type="dxa"/>
            <w:vAlign w:val="center"/>
          </w:tcPr>
          <w:p w:rsidR="00F95112" w:rsidRPr="004B60A0" w:rsidRDefault="00F95112" w:rsidP="00425DE1">
            <w:pPr>
              <w:rPr>
                <w:sz w:val="16"/>
              </w:rPr>
            </w:pPr>
            <w:r w:rsidRPr="004B60A0">
              <w:rPr>
                <w:sz w:val="16"/>
              </w:rPr>
              <w:t>S672P</w:t>
            </w:r>
          </w:p>
        </w:tc>
        <w:tc>
          <w:tcPr>
            <w:tcW w:w="911" w:type="dxa"/>
            <w:vAlign w:val="center"/>
          </w:tcPr>
          <w:p w:rsidR="00F95112" w:rsidRPr="004B60A0" w:rsidRDefault="00F95112" w:rsidP="00425DE1">
            <w:pPr>
              <w:rPr>
                <w:sz w:val="16"/>
              </w:rPr>
            </w:pPr>
            <w:r w:rsidRPr="004B60A0">
              <w:rPr>
                <w:sz w:val="16"/>
              </w:rPr>
              <w:t>0.0022</w:t>
            </w:r>
          </w:p>
        </w:tc>
        <w:tc>
          <w:tcPr>
            <w:tcW w:w="719" w:type="dxa"/>
            <w:vAlign w:val="center"/>
          </w:tcPr>
          <w:p w:rsidR="00F95112" w:rsidRPr="004B60A0" w:rsidRDefault="00F95112" w:rsidP="00425DE1">
            <w:pPr>
              <w:rPr>
                <w:sz w:val="16"/>
              </w:rPr>
            </w:pPr>
            <w:r>
              <w:rPr>
                <w:sz w:val="16"/>
              </w:rPr>
              <w:t>27.5</w:t>
            </w:r>
          </w:p>
        </w:tc>
        <w:tc>
          <w:tcPr>
            <w:tcW w:w="873" w:type="dxa"/>
            <w:vMerge/>
            <w:vAlign w:val="center"/>
          </w:tcPr>
          <w:p w:rsidR="00F95112" w:rsidRPr="004B60A0" w:rsidRDefault="00F95112" w:rsidP="00425DE1">
            <w:pPr>
              <w:rPr>
                <w:sz w:val="16"/>
              </w:rPr>
            </w:pPr>
          </w:p>
        </w:tc>
        <w:tc>
          <w:tcPr>
            <w:tcW w:w="1298" w:type="dxa"/>
            <w:vMerge/>
            <w:vAlign w:val="center"/>
          </w:tcPr>
          <w:p w:rsidR="00F95112" w:rsidRPr="004B60A0" w:rsidRDefault="00F95112" w:rsidP="00425DE1">
            <w:pPr>
              <w:rPr>
                <w:sz w:val="16"/>
              </w:rPr>
            </w:pPr>
          </w:p>
        </w:tc>
        <w:tc>
          <w:tcPr>
            <w:tcW w:w="730" w:type="dxa"/>
            <w:vMerge/>
            <w:vAlign w:val="center"/>
          </w:tcPr>
          <w:p w:rsidR="00F95112" w:rsidRPr="004B60A0" w:rsidRDefault="00F95112" w:rsidP="00425DE1">
            <w:pPr>
              <w:rPr>
                <w:rFonts w:ascii="Calibri" w:hAnsi="Calibri" w:cs="Calibri"/>
                <w:color w:val="000000"/>
                <w:sz w:val="16"/>
              </w:rPr>
            </w:pPr>
          </w:p>
        </w:tc>
        <w:tc>
          <w:tcPr>
            <w:tcW w:w="933" w:type="dxa"/>
            <w:vMerge/>
            <w:vAlign w:val="center"/>
          </w:tcPr>
          <w:p w:rsidR="00F95112" w:rsidRPr="004B60A0" w:rsidRDefault="00F95112" w:rsidP="00425DE1">
            <w:pPr>
              <w:rPr>
                <w:sz w:val="16"/>
              </w:rPr>
            </w:pPr>
          </w:p>
        </w:tc>
        <w:tc>
          <w:tcPr>
            <w:tcW w:w="723" w:type="dxa"/>
            <w:vMerge/>
            <w:vAlign w:val="center"/>
          </w:tcPr>
          <w:p w:rsidR="00F95112" w:rsidRPr="004B60A0" w:rsidRDefault="00F95112" w:rsidP="00425DE1">
            <w:pPr>
              <w:rPr>
                <w:sz w:val="16"/>
              </w:rPr>
            </w:pPr>
          </w:p>
        </w:tc>
        <w:tc>
          <w:tcPr>
            <w:tcW w:w="879" w:type="dxa"/>
            <w:vMerge/>
            <w:vAlign w:val="center"/>
          </w:tcPr>
          <w:p w:rsidR="00F95112" w:rsidRPr="004B60A0" w:rsidRDefault="00F95112" w:rsidP="00425DE1">
            <w:pPr>
              <w:rPr>
                <w:sz w:val="16"/>
              </w:rPr>
            </w:pPr>
          </w:p>
        </w:tc>
        <w:tc>
          <w:tcPr>
            <w:tcW w:w="832" w:type="dxa"/>
            <w:vMerge/>
            <w:vAlign w:val="center"/>
          </w:tcPr>
          <w:p w:rsidR="00F95112" w:rsidRPr="004B60A0" w:rsidRDefault="00F95112" w:rsidP="00425DE1">
            <w:pPr>
              <w:rPr>
                <w:sz w:val="16"/>
              </w:rPr>
            </w:pPr>
          </w:p>
        </w:tc>
        <w:tc>
          <w:tcPr>
            <w:tcW w:w="924" w:type="dxa"/>
            <w:vMerge/>
            <w:vAlign w:val="center"/>
          </w:tcPr>
          <w:p w:rsidR="00F95112" w:rsidRPr="004B60A0" w:rsidRDefault="00F95112" w:rsidP="00425DE1">
            <w:pPr>
              <w:rPr>
                <w:sz w:val="16"/>
              </w:rPr>
            </w:pPr>
          </w:p>
        </w:tc>
        <w:tc>
          <w:tcPr>
            <w:tcW w:w="1155" w:type="dxa"/>
            <w:vMerge/>
            <w:vAlign w:val="center"/>
          </w:tcPr>
          <w:p w:rsidR="00F95112" w:rsidRPr="004B60A0" w:rsidRDefault="00F95112" w:rsidP="00425DE1">
            <w:pPr>
              <w:rPr>
                <w:sz w:val="16"/>
              </w:rPr>
            </w:pPr>
          </w:p>
        </w:tc>
        <w:tc>
          <w:tcPr>
            <w:tcW w:w="1542" w:type="dxa"/>
            <w:vMerge/>
            <w:vAlign w:val="center"/>
          </w:tcPr>
          <w:p w:rsidR="00F95112" w:rsidRPr="004B60A0" w:rsidRDefault="00F95112" w:rsidP="00425DE1">
            <w:pPr>
              <w:rPr>
                <w:sz w:val="16"/>
              </w:rPr>
            </w:pPr>
          </w:p>
        </w:tc>
        <w:tc>
          <w:tcPr>
            <w:tcW w:w="1101" w:type="dxa"/>
            <w:vMerge/>
            <w:vAlign w:val="center"/>
          </w:tcPr>
          <w:p w:rsidR="00F95112" w:rsidRPr="004B60A0" w:rsidRDefault="00F95112" w:rsidP="00425DE1">
            <w:pPr>
              <w:rPr>
                <w:sz w:val="16"/>
              </w:rPr>
            </w:pPr>
          </w:p>
        </w:tc>
        <w:tc>
          <w:tcPr>
            <w:tcW w:w="1147" w:type="dxa"/>
            <w:vMerge/>
            <w:vAlign w:val="center"/>
          </w:tcPr>
          <w:p w:rsidR="00F95112" w:rsidRPr="004B60A0" w:rsidRDefault="00F95112" w:rsidP="00425DE1">
            <w:pPr>
              <w:rPr>
                <w:sz w:val="16"/>
              </w:rPr>
            </w:pPr>
          </w:p>
        </w:tc>
      </w:tr>
      <w:tr w:rsidR="00F95112" w:rsidRPr="004B60A0" w:rsidTr="00425DE1">
        <w:trPr>
          <w:trHeight w:val="551"/>
        </w:trPr>
        <w:tc>
          <w:tcPr>
            <w:tcW w:w="718" w:type="dxa"/>
            <w:vMerge w:val="restart"/>
            <w:vAlign w:val="center"/>
          </w:tcPr>
          <w:p w:rsidR="00F95112" w:rsidRPr="004B60A0" w:rsidRDefault="00F95112" w:rsidP="00425DE1">
            <w:pPr>
              <w:rPr>
                <w:sz w:val="16"/>
              </w:rPr>
            </w:pPr>
            <w:r w:rsidRPr="004B60A0">
              <w:rPr>
                <w:sz w:val="16"/>
              </w:rPr>
              <w:t>2</w:t>
            </w:r>
          </w:p>
        </w:tc>
        <w:tc>
          <w:tcPr>
            <w:tcW w:w="936" w:type="dxa"/>
            <w:vAlign w:val="center"/>
          </w:tcPr>
          <w:p w:rsidR="00F95112" w:rsidRPr="004B60A0" w:rsidRDefault="00F95112" w:rsidP="00425DE1">
            <w:pPr>
              <w:rPr>
                <w:sz w:val="16"/>
              </w:rPr>
            </w:pPr>
            <w:r>
              <w:rPr>
                <w:sz w:val="16"/>
              </w:rPr>
              <w:t>K606R</w:t>
            </w:r>
          </w:p>
        </w:tc>
        <w:tc>
          <w:tcPr>
            <w:tcW w:w="911" w:type="dxa"/>
            <w:vAlign w:val="center"/>
          </w:tcPr>
          <w:p w:rsidR="00F95112" w:rsidRPr="004B60A0" w:rsidRDefault="00F95112" w:rsidP="00425DE1">
            <w:pPr>
              <w:rPr>
                <w:sz w:val="16"/>
              </w:rPr>
            </w:pPr>
            <w:r w:rsidRPr="004B60A0">
              <w:rPr>
                <w:sz w:val="16"/>
              </w:rPr>
              <w:t>0.0022</w:t>
            </w:r>
          </w:p>
        </w:tc>
        <w:tc>
          <w:tcPr>
            <w:tcW w:w="719" w:type="dxa"/>
            <w:vAlign w:val="center"/>
          </w:tcPr>
          <w:p w:rsidR="00F95112" w:rsidRPr="004B60A0" w:rsidRDefault="00F95112" w:rsidP="00425DE1">
            <w:pPr>
              <w:rPr>
                <w:sz w:val="16"/>
              </w:rPr>
            </w:pPr>
            <w:r>
              <w:rPr>
                <w:sz w:val="16"/>
              </w:rPr>
              <w:t>25.6</w:t>
            </w:r>
          </w:p>
        </w:tc>
        <w:tc>
          <w:tcPr>
            <w:tcW w:w="873" w:type="dxa"/>
            <w:vMerge w:val="restart"/>
            <w:vAlign w:val="center"/>
          </w:tcPr>
          <w:p w:rsidR="00F95112" w:rsidRPr="004B60A0" w:rsidRDefault="00F95112" w:rsidP="00425DE1">
            <w:pPr>
              <w:rPr>
                <w:sz w:val="16"/>
              </w:rPr>
            </w:pPr>
            <w:r w:rsidRPr="004B60A0">
              <w:rPr>
                <w:sz w:val="16"/>
              </w:rPr>
              <w:t>Father</w:t>
            </w:r>
          </w:p>
        </w:tc>
        <w:tc>
          <w:tcPr>
            <w:tcW w:w="1298" w:type="dxa"/>
            <w:vMerge w:val="restart"/>
            <w:vAlign w:val="center"/>
          </w:tcPr>
          <w:p w:rsidR="00F95112" w:rsidRPr="004B60A0" w:rsidRDefault="00F95112" w:rsidP="00425DE1">
            <w:pPr>
              <w:rPr>
                <w:sz w:val="16"/>
              </w:rPr>
            </w:pPr>
            <w:r w:rsidRPr="004B60A0">
              <w:rPr>
                <w:sz w:val="16"/>
              </w:rPr>
              <w:t>None</w:t>
            </w:r>
          </w:p>
        </w:tc>
        <w:tc>
          <w:tcPr>
            <w:tcW w:w="730" w:type="dxa"/>
            <w:vMerge w:val="restart"/>
            <w:vAlign w:val="center"/>
          </w:tcPr>
          <w:p w:rsidR="00F95112" w:rsidRPr="004B60A0" w:rsidRDefault="00F95112" w:rsidP="00425DE1">
            <w:pPr>
              <w:rPr>
                <w:sz w:val="16"/>
              </w:rPr>
            </w:pPr>
            <w:r w:rsidRPr="004B60A0">
              <w:rPr>
                <w:sz w:val="16"/>
              </w:rPr>
              <w:t>-</w:t>
            </w:r>
          </w:p>
        </w:tc>
        <w:tc>
          <w:tcPr>
            <w:tcW w:w="933" w:type="dxa"/>
            <w:vMerge w:val="restart"/>
            <w:vAlign w:val="center"/>
          </w:tcPr>
          <w:p w:rsidR="00F95112" w:rsidRPr="004B60A0" w:rsidRDefault="00F95112" w:rsidP="00425DE1">
            <w:pPr>
              <w:rPr>
                <w:sz w:val="16"/>
              </w:rPr>
            </w:pPr>
            <w:r w:rsidRPr="004B60A0">
              <w:rPr>
                <w:sz w:val="16"/>
              </w:rPr>
              <w:t>-</w:t>
            </w:r>
          </w:p>
        </w:tc>
        <w:tc>
          <w:tcPr>
            <w:tcW w:w="723" w:type="dxa"/>
            <w:vMerge w:val="restart"/>
            <w:vAlign w:val="center"/>
          </w:tcPr>
          <w:p w:rsidR="00F95112" w:rsidRPr="004B60A0" w:rsidRDefault="00F95112" w:rsidP="00425DE1">
            <w:pPr>
              <w:rPr>
                <w:sz w:val="16"/>
              </w:rPr>
            </w:pPr>
            <w:r w:rsidRPr="004B60A0">
              <w:rPr>
                <w:sz w:val="16"/>
              </w:rPr>
              <w:t>Female</w:t>
            </w:r>
          </w:p>
        </w:tc>
        <w:tc>
          <w:tcPr>
            <w:tcW w:w="879" w:type="dxa"/>
            <w:vMerge w:val="restart"/>
            <w:vAlign w:val="center"/>
          </w:tcPr>
          <w:p w:rsidR="00F95112" w:rsidRPr="004B60A0" w:rsidRDefault="00F95112" w:rsidP="00425DE1">
            <w:pPr>
              <w:rPr>
                <w:sz w:val="16"/>
              </w:rPr>
            </w:pPr>
            <w:r w:rsidRPr="004B60A0">
              <w:rPr>
                <w:sz w:val="16"/>
              </w:rPr>
              <w:t>12.6 years</w:t>
            </w:r>
          </w:p>
        </w:tc>
        <w:tc>
          <w:tcPr>
            <w:tcW w:w="832" w:type="dxa"/>
            <w:vMerge w:val="restart"/>
            <w:vAlign w:val="center"/>
          </w:tcPr>
          <w:p w:rsidR="00F95112" w:rsidRPr="004B60A0" w:rsidRDefault="00F95112" w:rsidP="00425DE1">
            <w:pPr>
              <w:rPr>
                <w:sz w:val="16"/>
              </w:rPr>
            </w:pPr>
            <w:r w:rsidRPr="004B60A0">
              <w:rPr>
                <w:sz w:val="16"/>
              </w:rPr>
              <w:t>8.9 years</w:t>
            </w:r>
          </w:p>
        </w:tc>
        <w:tc>
          <w:tcPr>
            <w:tcW w:w="924" w:type="dxa"/>
            <w:vMerge w:val="restart"/>
            <w:vAlign w:val="center"/>
          </w:tcPr>
          <w:p w:rsidR="00F95112" w:rsidRPr="004B60A0" w:rsidRDefault="00F95112" w:rsidP="00425DE1">
            <w:pPr>
              <w:rPr>
                <w:sz w:val="16"/>
              </w:rPr>
            </w:pPr>
            <w:r w:rsidRPr="004B60A0">
              <w:rPr>
                <w:sz w:val="16"/>
              </w:rPr>
              <w:t>Crohn’s disease</w:t>
            </w:r>
          </w:p>
        </w:tc>
        <w:tc>
          <w:tcPr>
            <w:tcW w:w="1155" w:type="dxa"/>
            <w:vMerge w:val="restart"/>
            <w:vAlign w:val="center"/>
          </w:tcPr>
          <w:p w:rsidR="00F95112" w:rsidRPr="004B60A0" w:rsidRDefault="00F95112" w:rsidP="00425DE1">
            <w:pPr>
              <w:rPr>
                <w:sz w:val="16"/>
              </w:rPr>
            </w:pPr>
            <w:r w:rsidRPr="004B60A0">
              <w:rPr>
                <w:sz w:val="16"/>
              </w:rPr>
              <w:t>L3+L4a</w:t>
            </w:r>
          </w:p>
        </w:tc>
        <w:tc>
          <w:tcPr>
            <w:tcW w:w="1542" w:type="dxa"/>
            <w:vMerge w:val="restart"/>
            <w:vAlign w:val="center"/>
          </w:tcPr>
          <w:p w:rsidR="00F95112" w:rsidRPr="004B60A0" w:rsidRDefault="00F95112" w:rsidP="00425DE1">
            <w:pPr>
              <w:rPr>
                <w:sz w:val="16"/>
              </w:rPr>
            </w:pPr>
            <w:r w:rsidRPr="004B60A0">
              <w:rPr>
                <w:sz w:val="16"/>
              </w:rPr>
              <w:t>None evident</w:t>
            </w:r>
          </w:p>
        </w:tc>
        <w:tc>
          <w:tcPr>
            <w:tcW w:w="1101" w:type="dxa"/>
            <w:vMerge w:val="restart"/>
            <w:vAlign w:val="center"/>
          </w:tcPr>
          <w:p w:rsidR="00F95112" w:rsidRPr="004B60A0" w:rsidRDefault="00F95112" w:rsidP="00425DE1">
            <w:pPr>
              <w:rPr>
                <w:sz w:val="16"/>
              </w:rPr>
            </w:pPr>
            <w:r w:rsidRPr="004B60A0">
              <w:rPr>
                <w:sz w:val="16"/>
              </w:rPr>
              <w:t>5-ASA</w:t>
            </w:r>
          </w:p>
          <w:p w:rsidR="00F95112" w:rsidRPr="004B60A0" w:rsidRDefault="00F95112" w:rsidP="00425DE1">
            <w:pPr>
              <w:rPr>
                <w:sz w:val="16"/>
              </w:rPr>
            </w:pPr>
            <w:r w:rsidRPr="004B60A0">
              <w:rPr>
                <w:sz w:val="16"/>
              </w:rPr>
              <w:t>Thiopurine</w:t>
            </w:r>
          </w:p>
        </w:tc>
        <w:tc>
          <w:tcPr>
            <w:tcW w:w="1147" w:type="dxa"/>
            <w:vMerge w:val="restart"/>
            <w:vAlign w:val="center"/>
          </w:tcPr>
          <w:p w:rsidR="00F95112" w:rsidRPr="004B60A0" w:rsidRDefault="00F95112" w:rsidP="00425DE1">
            <w:pPr>
              <w:rPr>
                <w:sz w:val="16"/>
              </w:rPr>
            </w:pPr>
            <w:r w:rsidRPr="004B60A0">
              <w:rPr>
                <w:sz w:val="16"/>
              </w:rPr>
              <w:t xml:space="preserve">Brother with </w:t>
            </w:r>
            <w:r>
              <w:rPr>
                <w:sz w:val="16"/>
              </w:rPr>
              <w:t>IBD</w:t>
            </w:r>
            <w:r w:rsidRPr="004B60A0">
              <w:rPr>
                <w:sz w:val="16"/>
              </w:rPr>
              <w:t xml:space="preserve"> also heterozygote for variants</w:t>
            </w:r>
          </w:p>
        </w:tc>
      </w:tr>
      <w:tr w:rsidR="00F95112" w:rsidRPr="004B60A0" w:rsidTr="00425DE1">
        <w:trPr>
          <w:trHeight w:val="422"/>
        </w:trPr>
        <w:tc>
          <w:tcPr>
            <w:tcW w:w="718" w:type="dxa"/>
            <w:vMerge/>
            <w:vAlign w:val="center"/>
          </w:tcPr>
          <w:p w:rsidR="00F95112" w:rsidRPr="004B60A0" w:rsidRDefault="00F95112" w:rsidP="00425DE1">
            <w:pPr>
              <w:rPr>
                <w:sz w:val="16"/>
              </w:rPr>
            </w:pPr>
          </w:p>
        </w:tc>
        <w:tc>
          <w:tcPr>
            <w:tcW w:w="936" w:type="dxa"/>
            <w:vAlign w:val="center"/>
          </w:tcPr>
          <w:p w:rsidR="00F95112" w:rsidRPr="004B60A0" w:rsidRDefault="00F95112" w:rsidP="00425DE1">
            <w:pPr>
              <w:rPr>
                <w:sz w:val="16"/>
              </w:rPr>
            </w:pPr>
            <w:r w:rsidRPr="004B60A0">
              <w:rPr>
                <w:sz w:val="16"/>
              </w:rPr>
              <w:t>S672P</w:t>
            </w:r>
          </w:p>
        </w:tc>
        <w:tc>
          <w:tcPr>
            <w:tcW w:w="911" w:type="dxa"/>
            <w:vAlign w:val="center"/>
          </w:tcPr>
          <w:p w:rsidR="00F95112" w:rsidRPr="004B60A0" w:rsidRDefault="00F95112" w:rsidP="00425DE1">
            <w:pPr>
              <w:rPr>
                <w:sz w:val="16"/>
              </w:rPr>
            </w:pPr>
            <w:r w:rsidRPr="004B60A0">
              <w:rPr>
                <w:sz w:val="16"/>
              </w:rPr>
              <w:t>0.0022</w:t>
            </w:r>
          </w:p>
        </w:tc>
        <w:tc>
          <w:tcPr>
            <w:tcW w:w="719" w:type="dxa"/>
            <w:vAlign w:val="center"/>
          </w:tcPr>
          <w:p w:rsidR="00F95112" w:rsidRPr="004B60A0" w:rsidRDefault="00F95112" w:rsidP="00425DE1">
            <w:pPr>
              <w:rPr>
                <w:sz w:val="16"/>
              </w:rPr>
            </w:pPr>
            <w:r>
              <w:rPr>
                <w:sz w:val="16"/>
              </w:rPr>
              <w:t>27.5</w:t>
            </w:r>
          </w:p>
        </w:tc>
        <w:tc>
          <w:tcPr>
            <w:tcW w:w="873" w:type="dxa"/>
            <w:vMerge/>
            <w:vAlign w:val="center"/>
          </w:tcPr>
          <w:p w:rsidR="00F95112" w:rsidRPr="004B60A0" w:rsidRDefault="00F95112" w:rsidP="00425DE1">
            <w:pPr>
              <w:rPr>
                <w:sz w:val="16"/>
              </w:rPr>
            </w:pPr>
          </w:p>
        </w:tc>
        <w:tc>
          <w:tcPr>
            <w:tcW w:w="1298" w:type="dxa"/>
            <w:vMerge/>
            <w:vAlign w:val="center"/>
          </w:tcPr>
          <w:p w:rsidR="00F95112" w:rsidRPr="004B60A0" w:rsidRDefault="00F95112" w:rsidP="00425DE1">
            <w:pPr>
              <w:rPr>
                <w:sz w:val="16"/>
              </w:rPr>
            </w:pPr>
          </w:p>
        </w:tc>
        <w:tc>
          <w:tcPr>
            <w:tcW w:w="730" w:type="dxa"/>
            <w:vMerge/>
            <w:vAlign w:val="center"/>
          </w:tcPr>
          <w:p w:rsidR="00F95112" w:rsidRPr="004B60A0" w:rsidRDefault="00F95112" w:rsidP="00425DE1">
            <w:pPr>
              <w:rPr>
                <w:sz w:val="16"/>
              </w:rPr>
            </w:pPr>
          </w:p>
        </w:tc>
        <w:tc>
          <w:tcPr>
            <w:tcW w:w="933" w:type="dxa"/>
            <w:vMerge/>
            <w:vAlign w:val="center"/>
          </w:tcPr>
          <w:p w:rsidR="00F95112" w:rsidRPr="004B60A0" w:rsidRDefault="00F95112" w:rsidP="00425DE1">
            <w:pPr>
              <w:rPr>
                <w:sz w:val="16"/>
              </w:rPr>
            </w:pPr>
          </w:p>
        </w:tc>
        <w:tc>
          <w:tcPr>
            <w:tcW w:w="723" w:type="dxa"/>
            <w:vMerge/>
            <w:vAlign w:val="center"/>
          </w:tcPr>
          <w:p w:rsidR="00F95112" w:rsidRPr="004B60A0" w:rsidRDefault="00F95112" w:rsidP="00425DE1">
            <w:pPr>
              <w:rPr>
                <w:sz w:val="16"/>
              </w:rPr>
            </w:pPr>
          </w:p>
        </w:tc>
        <w:tc>
          <w:tcPr>
            <w:tcW w:w="879" w:type="dxa"/>
            <w:vMerge/>
            <w:vAlign w:val="center"/>
          </w:tcPr>
          <w:p w:rsidR="00F95112" w:rsidRPr="004B60A0" w:rsidRDefault="00F95112" w:rsidP="00425DE1">
            <w:pPr>
              <w:rPr>
                <w:sz w:val="16"/>
              </w:rPr>
            </w:pPr>
          </w:p>
        </w:tc>
        <w:tc>
          <w:tcPr>
            <w:tcW w:w="832" w:type="dxa"/>
            <w:vMerge/>
            <w:vAlign w:val="center"/>
          </w:tcPr>
          <w:p w:rsidR="00F95112" w:rsidRPr="004B60A0" w:rsidRDefault="00F95112" w:rsidP="00425DE1">
            <w:pPr>
              <w:rPr>
                <w:sz w:val="16"/>
              </w:rPr>
            </w:pPr>
          </w:p>
        </w:tc>
        <w:tc>
          <w:tcPr>
            <w:tcW w:w="924" w:type="dxa"/>
            <w:vMerge/>
            <w:vAlign w:val="center"/>
          </w:tcPr>
          <w:p w:rsidR="00F95112" w:rsidRPr="004B60A0" w:rsidRDefault="00F95112" w:rsidP="00425DE1">
            <w:pPr>
              <w:rPr>
                <w:sz w:val="16"/>
              </w:rPr>
            </w:pPr>
          </w:p>
        </w:tc>
        <w:tc>
          <w:tcPr>
            <w:tcW w:w="1155" w:type="dxa"/>
            <w:vMerge/>
            <w:vAlign w:val="center"/>
          </w:tcPr>
          <w:p w:rsidR="00F95112" w:rsidRPr="004B60A0" w:rsidRDefault="00F95112" w:rsidP="00425DE1">
            <w:pPr>
              <w:rPr>
                <w:sz w:val="16"/>
              </w:rPr>
            </w:pPr>
          </w:p>
        </w:tc>
        <w:tc>
          <w:tcPr>
            <w:tcW w:w="1542" w:type="dxa"/>
            <w:vMerge/>
            <w:vAlign w:val="center"/>
          </w:tcPr>
          <w:p w:rsidR="00F95112" w:rsidRPr="004B60A0" w:rsidRDefault="00F95112" w:rsidP="00425DE1">
            <w:pPr>
              <w:rPr>
                <w:sz w:val="16"/>
              </w:rPr>
            </w:pPr>
          </w:p>
        </w:tc>
        <w:tc>
          <w:tcPr>
            <w:tcW w:w="1101" w:type="dxa"/>
            <w:vMerge/>
            <w:vAlign w:val="center"/>
          </w:tcPr>
          <w:p w:rsidR="00F95112" w:rsidRPr="004B60A0" w:rsidRDefault="00F95112" w:rsidP="00425DE1">
            <w:pPr>
              <w:rPr>
                <w:sz w:val="16"/>
              </w:rPr>
            </w:pPr>
          </w:p>
        </w:tc>
        <w:tc>
          <w:tcPr>
            <w:tcW w:w="1147" w:type="dxa"/>
            <w:vMerge/>
            <w:vAlign w:val="center"/>
          </w:tcPr>
          <w:p w:rsidR="00F95112" w:rsidRPr="004B60A0" w:rsidRDefault="00F95112" w:rsidP="00425DE1">
            <w:pPr>
              <w:rPr>
                <w:sz w:val="16"/>
              </w:rPr>
            </w:pPr>
          </w:p>
        </w:tc>
      </w:tr>
      <w:tr w:rsidR="00F95112" w:rsidRPr="004B60A0" w:rsidTr="00425DE1">
        <w:trPr>
          <w:trHeight w:val="398"/>
        </w:trPr>
        <w:tc>
          <w:tcPr>
            <w:tcW w:w="718" w:type="dxa"/>
            <w:vMerge w:val="restart"/>
            <w:vAlign w:val="center"/>
          </w:tcPr>
          <w:p w:rsidR="00F95112" w:rsidRPr="004B60A0" w:rsidRDefault="00F95112" w:rsidP="00425DE1">
            <w:pPr>
              <w:rPr>
                <w:sz w:val="16"/>
              </w:rPr>
            </w:pPr>
            <w:r w:rsidRPr="004B60A0">
              <w:rPr>
                <w:sz w:val="16"/>
              </w:rPr>
              <w:t>3</w:t>
            </w:r>
          </w:p>
        </w:tc>
        <w:tc>
          <w:tcPr>
            <w:tcW w:w="936" w:type="dxa"/>
            <w:vAlign w:val="center"/>
          </w:tcPr>
          <w:p w:rsidR="00F95112" w:rsidRPr="004B60A0" w:rsidRDefault="00F95112" w:rsidP="00425DE1">
            <w:pPr>
              <w:rPr>
                <w:sz w:val="16"/>
              </w:rPr>
            </w:pPr>
            <w:r>
              <w:rPr>
                <w:sz w:val="16"/>
              </w:rPr>
              <w:t>K606R</w:t>
            </w:r>
          </w:p>
        </w:tc>
        <w:tc>
          <w:tcPr>
            <w:tcW w:w="911" w:type="dxa"/>
            <w:vAlign w:val="center"/>
          </w:tcPr>
          <w:p w:rsidR="00F95112" w:rsidRPr="004B60A0" w:rsidRDefault="00F95112" w:rsidP="00425DE1">
            <w:pPr>
              <w:rPr>
                <w:sz w:val="16"/>
              </w:rPr>
            </w:pPr>
            <w:r w:rsidRPr="004B60A0">
              <w:rPr>
                <w:sz w:val="16"/>
              </w:rPr>
              <w:t>0.0022</w:t>
            </w:r>
          </w:p>
        </w:tc>
        <w:tc>
          <w:tcPr>
            <w:tcW w:w="719" w:type="dxa"/>
            <w:vAlign w:val="center"/>
          </w:tcPr>
          <w:p w:rsidR="00F95112" w:rsidRPr="004B60A0" w:rsidRDefault="00F95112" w:rsidP="00425DE1">
            <w:pPr>
              <w:rPr>
                <w:sz w:val="16"/>
              </w:rPr>
            </w:pPr>
            <w:r>
              <w:rPr>
                <w:sz w:val="16"/>
              </w:rPr>
              <w:t>25.6</w:t>
            </w:r>
          </w:p>
        </w:tc>
        <w:tc>
          <w:tcPr>
            <w:tcW w:w="873" w:type="dxa"/>
            <w:vMerge w:val="restart"/>
            <w:vAlign w:val="center"/>
          </w:tcPr>
          <w:p w:rsidR="00F95112" w:rsidRPr="004B60A0" w:rsidRDefault="00F95112" w:rsidP="00425DE1">
            <w:pPr>
              <w:rPr>
                <w:sz w:val="16"/>
              </w:rPr>
            </w:pPr>
            <w:r w:rsidRPr="004B60A0">
              <w:rPr>
                <w:sz w:val="16"/>
              </w:rPr>
              <w:t>Mother</w:t>
            </w:r>
          </w:p>
        </w:tc>
        <w:tc>
          <w:tcPr>
            <w:tcW w:w="1298" w:type="dxa"/>
            <w:vMerge w:val="restart"/>
            <w:vAlign w:val="center"/>
          </w:tcPr>
          <w:p w:rsidR="00F95112" w:rsidRPr="004B60A0" w:rsidRDefault="00F95112" w:rsidP="00425DE1">
            <w:pPr>
              <w:rPr>
                <w:sz w:val="16"/>
              </w:rPr>
            </w:pPr>
            <w:r w:rsidRPr="004B60A0">
              <w:rPr>
                <w:sz w:val="16"/>
              </w:rPr>
              <w:t>Synonymous G696</w:t>
            </w:r>
            <w:proofErr w:type="gramStart"/>
            <w:r w:rsidRPr="004B60A0">
              <w:rPr>
                <w:sz w:val="16"/>
              </w:rPr>
              <w:t>A:p</w:t>
            </w:r>
            <w:proofErr w:type="gramEnd"/>
            <w:r w:rsidRPr="004B60A0">
              <w:rPr>
                <w:sz w:val="16"/>
              </w:rPr>
              <w:t>.E232E</w:t>
            </w:r>
          </w:p>
        </w:tc>
        <w:tc>
          <w:tcPr>
            <w:tcW w:w="730" w:type="dxa"/>
            <w:vMerge w:val="restart"/>
            <w:vAlign w:val="center"/>
          </w:tcPr>
          <w:p w:rsidR="00F95112" w:rsidRPr="004B60A0" w:rsidRDefault="00F95112" w:rsidP="00425DE1">
            <w:pPr>
              <w:rPr>
                <w:rFonts w:ascii="Calibri" w:hAnsi="Calibri" w:cs="Calibri"/>
                <w:color w:val="000000"/>
                <w:sz w:val="16"/>
              </w:rPr>
            </w:pPr>
            <w:r w:rsidRPr="004B60A0">
              <w:rPr>
                <w:rFonts w:ascii="Calibri" w:hAnsi="Calibri" w:cs="Calibri"/>
                <w:color w:val="000000"/>
                <w:sz w:val="16"/>
              </w:rPr>
              <w:t>9.522</w:t>
            </w:r>
          </w:p>
        </w:tc>
        <w:tc>
          <w:tcPr>
            <w:tcW w:w="933" w:type="dxa"/>
            <w:vMerge w:val="restart"/>
            <w:vAlign w:val="center"/>
          </w:tcPr>
          <w:p w:rsidR="00F95112" w:rsidRPr="004B60A0" w:rsidRDefault="00F95112" w:rsidP="00425DE1">
            <w:pPr>
              <w:rPr>
                <w:sz w:val="16"/>
              </w:rPr>
            </w:pPr>
            <w:r w:rsidRPr="004B60A0">
              <w:rPr>
                <w:sz w:val="16"/>
              </w:rPr>
              <w:t>0.1778</w:t>
            </w:r>
          </w:p>
        </w:tc>
        <w:tc>
          <w:tcPr>
            <w:tcW w:w="723" w:type="dxa"/>
            <w:vMerge w:val="restart"/>
            <w:vAlign w:val="center"/>
          </w:tcPr>
          <w:p w:rsidR="00F95112" w:rsidRPr="004B60A0" w:rsidRDefault="00F95112" w:rsidP="00425DE1">
            <w:pPr>
              <w:rPr>
                <w:sz w:val="16"/>
              </w:rPr>
            </w:pPr>
            <w:r w:rsidRPr="004B60A0">
              <w:rPr>
                <w:sz w:val="16"/>
              </w:rPr>
              <w:t>Male</w:t>
            </w:r>
          </w:p>
        </w:tc>
        <w:tc>
          <w:tcPr>
            <w:tcW w:w="879" w:type="dxa"/>
            <w:vMerge w:val="restart"/>
            <w:vAlign w:val="center"/>
          </w:tcPr>
          <w:p w:rsidR="00F95112" w:rsidRPr="004B60A0" w:rsidRDefault="00F95112" w:rsidP="00425DE1">
            <w:pPr>
              <w:rPr>
                <w:sz w:val="16"/>
              </w:rPr>
            </w:pPr>
            <w:r w:rsidRPr="004B60A0">
              <w:rPr>
                <w:sz w:val="16"/>
              </w:rPr>
              <w:t>15.2 years</w:t>
            </w:r>
          </w:p>
        </w:tc>
        <w:tc>
          <w:tcPr>
            <w:tcW w:w="832" w:type="dxa"/>
            <w:vMerge w:val="restart"/>
            <w:vAlign w:val="center"/>
          </w:tcPr>
          <w:p w:rsidR="00F95112" w:rsidRPr="004B60A0" w:rsidRDefault="00F95112" w:rsidP="00425DE1">
            <w:pPr>
              <w:rPr>
                <w:sz w:val="16"/>
              </w:rPr>
            </w:pPr>
            <w:r w:rsidRPr="004B60A0">
              <w:rPr>
                <w:sz w:val="16"/>
              </w:rPr>
              <w:t>2.7 years</w:t>
            </w:r>
          </w:p>
        </w:tc>
        <w:tc>
          <w:tcPr>
            <w:tcW w:w="924" w:type="dxa"/>
            <w:vMerge w:val="restart"/>
            <w:vAlign w:val="center"/>
          </w:tcPr>
          <w:p w:rsidR="00F95112" w:rsidRPr="004B60A0" w:rsidRDefault="00F95112" w:rsidP="00425DE1">
            <w:pPr>
              <w:rPr>
                <w:sz w:val="16"/>
              </w:rPr>
            </w:pPr>
            <w:r w:rsidRPr="004B60A0">
              <w:rPr>
                <w:sz w:val="16"/>
              </w:rPr>
              <w:t>Crohn’s disease</w:t>
            </w:r>
          </w:p>
        </w:tc>
        <w:tc>
          <w:tcPr>
            <w:tcW w:w="1155" w:type="dxa"/>
            <w:vMerge w:val="restart"/>
            <w:vAlign w:val="center"/>
          </w:tcPr>
          <w:p w:rsidR="00F95112" w:rsidRPr="004B60A0" w:rsidRDefault="00F95112" w:rsidP="00425DE1">
            <w:pPr>
              <w:rPr>
                <w:sz w:val="16"/>
              </w:rPr>
            </w:pPr>
            <w:r w:rsidRPr="004B60A0">
              <w:rPr>
                <w:sz w:val="16"/>
              </w:rPr>
              <w:t>L1</w:t>
            </w:r>
          </w:p>
        </w:tc>
        <w:tc>
          <w:tcPr>
            <w:tcW w:w="1542" w:type="dxa"/>
            <w:vMerge w:val="restart"/>
            <w:vAlign w:val="center"/>
          </w:tcPr>
          <w:p w:rsidR="00F95112" w:rsidRPr="004B60A0" w:rsidRDefault="00F95112" w:rsidP="00425DE1">
            <w:pPr>
              <w:rPr>
                <w:sz w:val="16"/>
              </w:rPr>
            </w:pPr>
            <w:r w:rsidRPr="004B60A0">
              <w:rPr>
                <w:sz w:val="16"/>
              </w:rPr>
              <w:t>None evident</w:t>
            </w:r>
          </w:p>
        </w:tc>
        <w:tc>
          <w:tcPr>
            <w:tcW w:w="1101" w:type="dxa"/>
            <w:vMerge w:val="restart"/>
            <w:vAlign w:val="center"/>
          </w:tcPr>
          <w:p w:rsidR="00F95112" w:rsidRPr="004B60A0" w:rsidRDefault="00F95112" w:rsidP="00425DE1">
            <w:pPr>
              <w:rPr>
                <w:sz w:val="16"/>
              </w:rPr>
            </w:pPr>
            <w:r w:rsidRPr="004B60A0">
              <w:rPr>
                <w:sz w:val="16"/>
              </w:rPr>
              <w:t>Anti-TNF</w:t>
            </w:r>
          </w:p>
        </w:tc>
        <w:tc>
          <w:tcPr>
            <w:tcW w:w="1147" w:type="dxa"/>
            <w:vMerge w:val="restart"/>
            <w:vAlign w:val="center"/>
          </w:tcPr>
          <w:p w:rsidR="00F95112" w:rsidRPr="004B60A0" w:rsidRDefault="00F95112" w:rsidP="00425DE1">
            <w:pPr>
              <w:rPr>
                <w:sz w:val="16"/>
              </w:rPr>
            </w:pPr>
            <w:r w:rsidRPr="004B60A0">
              <w:rPr>
                <w:sz w:val="16"/>
              </w:rPr>
              <w:t>No FH</w:t>
            </w:r>
          </w:p>
        </w:tc>
      </w:tr>
      <w:tr w:rsidR="00F95112" w:rsidRPr="004B60A0" w:rsidTr="00425DE1">
        <w:trPr>
          <w:trHeight w:val="398"/>
        </w:trPr>
        <w:tc>
          <w:tcPr>
            <w:tcW w:w="718" w:type="dxa"/>
            <w:vMerge/>
            <w:vAlign w:val="center"/>
          </w:tcPr>
          <w:p w:rsidR="00F95112" w:rsidRPr="004B60A0" w:rsidRDefault="00F95112" w:rsidP="00425DE1">
            <w:pPr>
              <w:rPr>
                <w:sz w:val="16"/>
              </w:rPr>
            </w:pPr>
          </w:p>
        </w:tc>
        <w:tc>
          <w:tcPr>
            <w:tcW w:w="936" w:type="dxa"/>
            <w:vAlign w:val="center"/>
          </w:tcPr>
          <w:p w:rsidR="00F95112" w:rsidRPr="004B60A0" w:rsidRDefault="00F95112" w:rsidP="00425DE1">
            <w:pPr>
              <w:rPr>
                <w:sz w:val="16"/>
              </w:rPr>
            </w:pPr>
            <w:r w:rsidRPr="004B60A0">
              <w:rPr>
                <w:sz w:val="16"/>
              </w:rPr>
              <w:t>S672P</w:t>
            </w:r>
          </w:p>
        </w:tc>
        <w:tc>
          <w:tcPr>
            <w:tcW w:w="911" w:type="dxa"/>
            <w:vAlign w:val="center"/>
          </w:tcPr>
          <w:p w:rsidR="00F95112" w:rsidRPr="004B60A0" w:rsidRDefault="00F95112" w:rsidP="00425DE1">
            <w:pPr>
              <w:rPr>
                <w:sz w:val="16"/>
              </w:rPr>
            </w:pPr>
            <w:r w:rsidRPr="004B60A0">
              <w:rPr>
                <w:sz w:val="16"/>
              </w:rPr>
              <w:t>0.0022</w:t>
            </w:r>
          </w:p>
        </w:tc>
        <w:tc>
          <w:tcPr>
            <w:tcW w:w="719" w:type="dxa"/>
            <w:vAlign w:val="center"/>
          </w:tcPr>
          <w:p w:rsidR="00F95112" w:rsidRPr="004B60A0" w:rsidRDefault="00F95112" w:rsidP="00425DE1">
            <w:pPr>
              <w:rPr>
                <w:sz w:val="16"/>
              </w:rPr>
            </w:pPr>
            <w:r>
              <w:rPr>
                <w:sz w:val="16"/>
              </w:rPr>
              <w:t>27.5</w:t>
            </w:r>
          </w:p>
        </w:tc>
        <w:tc>
          <w:tcPr>
            <w:tcW w:w="873" w:type="dxa"/>
            <w:vMerge/>
            <w:vAlign w:val="center"/>
          </w:tcPr>
          <w:p w:rsidR="00F95112" w:rsidRPr="004B60A0" w:rsidRDefault="00F95112" w:rsidP="00425DE1">
            <w:pPr>
              <w:rPr>
                <w:sz w:val="16"/>
              </w:rPr>
            </w:pPr>
          </w:p>
        </w:tc>
        <w:tc>
          <w:tcPr>
            <w:tcW w:w="1298" w:type="dxa"/>
            <w:vMerge/>
            <w:vAlign w:val="center"/>
          </w:tcPr>
          <w:p w:rsidR="00F95112" w:rsidRPr="004B60A0" w:rsidRDefault="00F95112" w:rsidP="00425DE1">
            <w:pPr>
              <w:rPr>
                <w:sz w:val="16"/>
              </w:rPr>
            </w:pPr>
          </w:p>
        </w:tc>
        <w:tc>
          <w:tcPr>
            <w:tcW w:w="730" w:type="dxa"/>
            <w:vMerge/>
            <w:vAlign w:val="center"/>
          </w:tcPr>
          <w:p w:rsidR="00F95112" w:rsidRPr="004B60A0" w:rsidRDefault="00F95112" w:rsidP="00425DE1">
            <w:pPr>
              <w:rPr>
                <w:rFonts w:ascii="Calibri" w:hAnsi="Calibri" w:cs="Calibri"/>
                <w:color w:val="000000"/>
                <w:sz w:val="16"/>
              </w:rPr>
            </w:pPr>
          </w:p>
        </w:tc>
        <w:tc>
          <w:tcPr>
            <w:tcW w:w="933" w:type="dxa"/>
            <w:vMerge/>
            <w:vAlign w:val="center"/>
          </w:tcPr>
          <w:p w:rsidR="00F95112" w:rsidRPr="004B60A0" w:rsidRDefault="00F95112" w:rsidP="00425DE1">
            <w:pPr>
              <w:rPr>
                <w:sz w:val="16"/>
              </w:rPr>
            </w:pPr>
          </w:p>
        </w:tc>
        <w:tc>
          <w:tcPr>
            <w:tcW w:w="723" w:type="dxa"/>
            <w:vMerge/>
            <w:vAlign w:val="center"/>
          </w:tcPr>
          <w:p w:rsidR="00F95112" w:rsidRPr="004B60A0" w:rsidRDefault="00F95112" w:rsidP="00425DE1">
            <w:pPr>
              <w:rPr>
                <w:sz w:val="16"/>
              </w:rPr>
            </w:pPr>
          </w:p>
        </w:tc>
        <w:tc>
          <w:tcPr>
            <w:tcW w:w="879" w:type="dxa"/>
            <w:vMerge/>
            <w:vAlign w:val="center"/>
          </w:tcPr>
          <w:p w:rsidR="00F95112" w:rsidRPr="004B60A0" w:rsidRDefault="00F95112" w:rsidP="00425DE1">
            <w:pPr>
              <w:rPr>
                <w:sz w:val="16"/>
              </w:rPr>
            </w:pPr>
          </w:p>
        </w:tc>
        <w:tc>
          <w:tcPr>
            <w:tcW w:w="832" w:type="dxa"/>
            <w:vMerge/>
            <w:vAlign w:val="center"/>
          </w:tcPr>
          <w:p w:rsidR="00F95112" w:rsidRPr="004B60A0" w:rsidRDefault="00F95112" w:rsidP="00425DE1">
            <w:pPr>
              <w:rPr>
                <w:sz w:val="16"/>
              </w:rPr>
            </w:pPr>
          </w:p>
        </w:tc>
        <w:tc>
          <w:tcPr>
            <w:tcW w:w="924" w:type="dxa"/>
            <w:vMerge/>
            <w:vAlign w:val="center"/>
          </w:tcPr>
          <w:p w:rsidR="00F95112" w:rsidRPr="004B60A0" w:rsidRDefault="00F95112" w:rsidP="00425DE1">
            <w:pPr>
              <w:rPr>
                <w:sz w:val="16"/>
              </w:rPr>
            </w:pPr>
          </w:p>
        </w:tc>
        <w:tc>
          <w:tcPr>
            <w:tcW w:w="1155" w:type="dxa"/>
            <w:vMerge/>
            <w:vAlign w:val="center"/>
          </w:tcPr>
          <w:p w:rsidR="00F95112" w:rsidRPr="004B60A0" w:rsidRDefault="00F95112" w:rsidP="00425DE1">
            <w:pPr>
              <w:rPr>
                <w:sz w:val="16"/>
              </w:rPr>
            </w:pPr>
          </w:p>
        </w:tc>
        <w:tc>
          <w:tcPr>
            <w:tcW w:w="1542" w:type="dxa"/>
            <w:vMerge/>
            <w:vAlign w:val="center"/>
          </w:tcPr>
          <w:p w:rsidR="00F95112" w:rsidRPr="004B60A0" w:rsidRDefault="00F95112" w:rsidP="00425DE1">
            <w:pPr>
              <w:rPr>
                <w:sz w:val="16"/>
              </w:rPr>
            </w:pPr>
          </w:p>
        </w:tc>
        <w:tc>
          <w:tcPr>
            <w:tcW w:w="1101" w:type="dxa"/>
            <w:vMerge/>
            <w:vAlign w:val="center"/>
          </w:tcPr>
          <w:p w:rsidR="00F95112" w:rsidRPr="004B60A0" w:rsidRDefault="00F95112" w:rsidP="00425DE1">
            <w:pPr>
              <w:rPr>
                <w:sz w:val="16"/>
              </w:rPr>
            </w:pPr>
          </w:p>
        </w:tc>
        <w:tc>
          <w:tcPr>
            <w:tcW w:w="1147" w:type="dxa"/>
            <w:vMerge/>
            <w:vAlign w:val="center"/>
          </w:tcPr>
          <w:p w:rsidR="00F95112" w:rsidRPr="004B60A0" w:rsidRDefault="00F95112" w:rsidP="00425DE1">
            <w:pPr>
              <w:rPr>
                <w:sz w:val="16"/>
              </w:rPr>
            </w:pPr>
          </w:p>
        </w:tc>
      </w:tr>
      <w:tr w:rsidR="00F95112" w:rsidRPr="004B60A0" w:rsidTr="00425DE1">
        <w:trPr>
          <w:trHeight w:val="409"/>
        </w:trPr>
        <w:tc>
          <w:tcPr>
            <w:tcW w:w="718" w:type="dxa"/>
            <w:vMerge w:val="restart"/>
            <w:vAlign w:val="center"/>
          </w:tcPr>
          <w:p w:rsidR="00F95112" w:rsidRPr="004B60A0" w:rsidRDefault="00F95112" w:rsidP="00425DE1">
            <w:pPr>
              <w:rPr>
                <w:sz w:val="16"/>
              </w:rPr>
            </w:pPr>
            <w:r w:rsidRPr="004B60A0">
              <w:rPr>
                <w:sz w:val="16"/>
              </w:rPr>
              <w:t>4</w:t>
            </w:r>
          </w:p>
        </w:tc>
        <w:tc>
          <w:tcPr>
            <w:tcW w:w="936" w:type="dxa"/>
            <w:vAlign w:val="center"/>
          </w:tcPr>
          <w:p w:rsidR="00F95112" w:rsidRPr="004B60A0" w:rsidRDefault="00F95112" w:rsidP="00425DE1">
            <w:pPr>
              <w:rPr>
                <w:sz w:val="16"/>
              </w:rPr>
            </w:pPr>
            <w:r>
              <w:rPr>
                <w:sz w:val="16"/>
              </w:rPr>
              <w:t>K606R</w:t>
            </w:r>
          </w:p>
        </w:tc>
        <w:tc>
          <w:tcPr>
            <w:tcW w:w="911" w:type="dxa"/>
            <w:vAlign w:val="center"/>
          </w:tcPr>
          <w:p w:rsidR="00F95112" w:rsidRPr="004B60A0" w:rsidRDefault="00F95112" w:rsidP="00425DE1">
            <w:pPr>
              <w:rPr>
                <w:sz w:val="16"/>
              </w:rPr>
            </w:pPr>
            <w:r w:rsidRPr="004B60A0">
              <w:rPr>
                <w:sz w:val="16"/>
              </w:rPr>
              <w:t>0.0022</w:t>
            </w:r>
          </w:p>
        </w:tc>
        <w:tc>
          <w:tcPr>
            <w:tcW w:w="719" w:type="dxa"/>
            <w:vAlign w:val="center"/>
          </w:tcPr>
          <w:p w:rsidR="00F95112" w:rsidRPr="004B60A0" w:rsidRDefault="00F95112" w:rsidP="00425DE1">
            <w:pPr>
              <w:rPr>
                <w:sz w:val="16"/>
              </w:rPr>
            </w:pPr>
            <w:r>
              <w:rPr>
                <w:sz w:val="16"/>
              </w:rPr>
              <w:t>25.6</w:t>
            </w:r>
          </w:p>
        </w:tc>
        <w:tc>
          <w:tcPr>
            <w:tcW w:w="873" w:type="dxa"/>
            <w:vMerge w:val="restart"/>
            <w:vAlign w:val="center"/>
          </w:tcPr>
          <w:p w:rsidR="00F95112" w:rsidRPr="004B60A0" w:rsidRDefault="00F95112" w:rsidP="00425DE1">
            <w:pPr>
              <w:rPr>
                <w:sz w:val="16"/>
              </w:rPr>
            </w:pPr>
            <w:r w:rsidRPr="004B60A0">
              <w:rPr>
                <w:sz w:val="16"/>
              </w:rPr>
              <w:t>Father</w:t>
            </w:r>
          </w:p>
        </w:tc>
        <w:tc>
          <w:tcPr>
            <w:tcW w:w="1298" w:type="dxa"/>
            <w:vMerge w:val="restart"/>
            <w:vAlign w:val="center"/>
          </w:tcPr>
          <w:p w:rsidR="00F95112" w:rsidRPr="004B60A0" w:rsidRDefault="00F95112" w:rsidP="00425DE1">
            <w:pPr>
              <w:rPr>
                <w:sz w:val="16"/>
              </w:rPr>
            </w:pPr>
            <w:r w:rsidRPr="004B60A0">
              <w:rPr>
                <w:sz w:val="16"/>
              </w:rPr>
              <w:t>Synonymous G696</w:t>
            </w:r>
            <w:proofErr w:type="gramStart"/>
            <w:r w:rsidRPr="004B60A0">
              <w:rPr>
                <w:sz w:val="16"/>
              </w:rPr>
              <w:t>A:p</w:t>
            </w:r>
            <w:proofErr w:type="gramEnd"/>
            <w:r w:rsidRPr="004B60A0">
              <w:rPr>
                <w:sz w:val="16"/>
              </w:rPr>
              <w:t>.E232E</w:t>
            </w:r>
          </w:p>
        </w:tc>
        <w:tc>
          <w:tcPr>
            <w:tcW w:w="730" w:type="dxa"/>
            <w:vMerge w:val="restart"/>
            <w:vAlign w:val="center"/>
          </w:tcPr>
          <w:p w:rsidR="00F95112" w:rsidRPr="004B60A0" w:rsidRDefault="00F95112" w:rsidP="00425DE1">
            <w:pPr>
              <w:rPr>
                <w:rFonts w:ascii="Calibri" w:hAnsi="Calibri" w:cs="Calibri"/>
                <w:color w:val="000000"/>
                <w:sz w:val="16"/>
              </w:rPr>
            </w:pPr>
            <w:r w:rsidRPr="004B60A0">
              <w:rPr>
                <w:rFonts w:ascii="Calibri" w:hAnsi="Calibri" w:cs="Calibri"/>
                <w:color w:val="000000"/>
                <w:sz w:val="16"/>
              </w:rPr>
              <w:t>9.522</w:t>
            </w:r>
          </w:p>
        </w:tc>
        <w:tc>
          <w:tcPr>
            <w:tcW w:w="933" w:type="dxa"/>
            <w:vMerge w:val="restart"/>
            <w:vAlign w:val="center"/>
          </w:tcPr>
          <w:p w:rsidR="00F95112" w:rsidRPr="004B60A0" w:rsidRDefault="00F95112" w:rsidP="00425DE1">
            <w:pPr>
              <w:rPr>
                <w:sz w:val="16"/>
              </w:rPr>
            </w:pPr>
            <w:r w:rsidRPr="004B60A0">
              <w:rPr>
                <w:sz w:val="16"/>
              </w:rPr>
              <w:t>0.1778</w:t>
            </w:r>
          </w:p>
        </w:tc>
        <w:tc>
          <w:tcPr>
            <w:tcW w:w="723" w:type="dxa"/>
            <w:vMerge w:val="restart"/>
            <w:vAlign w:val="center"/>
          </w:tcPr>
          <w:p w:rsidR="00F95112" w:rsidRPr="004B60A0" w:rsidRDefault="00F95112" w:rsidP="00425DE1">
            <w:pPr>
              <w:rPr>
                <w:sz w:val="16"/>
              </w:rPr>
            </w:pPr>
            <w:r w:rsidRPr="004B60A0">
              <w:rPr>
                <w:sz w:val="16"/>
              </w:rPr>
              <w:t>Male</w:t>
            </w:r>
          </w:p>
        </w:tc>
        <w:tc>
          <w:tcPr>
            <w:tcW w:w="879" w:type="dxa"/>
            <w:vMerge w:val="restart"/>
            <w:vAlign w:val="center"/>
          </w:tcPr>
          <w:p w:rsidR="00F95112" w:rsidRPr="004B60A0" w:rsidRDefault="00F95112" w:rsidP="00425DE1">
            <w:pPr>
              <w:rPr>
                <w:sz w:val="16"/>
              </w:rPr>
            </w:pPr>
            <w:r w:rsidRPr="004B60A0">
              <w:rPr>
                <w:sz w:val="16"/>
              </w:rPr>
              <w:t>13.4 years</w:t>
            </w:r>
          </w:p>
        </w:tc>
        <w:tc>
          <w:tcPr>
            <w:tcW w:w="832" w:type="dxa"/>
            <w:vMerge w:val="restart"/>
            <w:vAlign w:val="center"/>
          </w:tcPr>
          <w:p w:rsidR="00F95112" w:rsidRPr="004B60A0" w:rsidRDefault="00F95112" w:rsidP="00425DE1">
            <w:pPr>
              <w:rPr>
                <w:sz w:val="16"/>
              </w:rPr>
            </w:pPr>
            <w:r w:rsidRPr="004B60A0">
              <w:rPr>
                <w:sz w:val="16"/>
              </w:rPr>
              <w:t>2.8 years</w:t>
            </w:r>
          </w:p>
        </w:tc>
        <w:tc>
          <w:tcPr>
            <w:tcW w:w="924" w:type="dxa"/>
            <w:vMerge w:val="restart"/>
            <w:vAlign w:val="center"/>
          </w:tcPr>
          <w:p w:rsidR="00F95112" w:rsidRPr="004B60A0" w:rsidRDefault="00F95112" w:rsidP="00425DE1">
            <w:pPr>
              <w:rPr>
                <w:sz w:val="16"/>
              </w:rPr>
            </w:pPr>
            <w:r w:rsidRPr="004B60A0">
              <w:rPr>
                <w:sz w:val="16"/>
              </w:rPr>
              <w:t>Crohn’s disease</w:t>
            </w:r>
          </w:p>
        </w:tc>
        <w:tc>
          <w:tcPr>
            <w:tcW w:w="1155" w:type="dxa"/>
            <w:vMerge w:val="restart"/>
            <w:vAlign w:val="center"/>
          </w:tcPr>
          <w:p w:rsidR="00F95112" w:rsidRPr="004B60A0" w:rsidRDefault="00F95112" w:rsidP="00425DE1">
            <w:pPr>
              <w:rPr>
                <w:sz w:val="16"/>
              </w:rPr>
            </w:pPr>
            <w:r w:rsidRPr="004B60A0">
              <w:rPr>
                <w:sz w:val="16"/>
              </w:rPr>
              <w:t>L2</w:t>
            </w:r>
          </w:p>
        </w:tc>
        <w:tc>
          <w:tcPr>
            <w:tcW w:w="1542" w:type="dxa"/>
            <w:vMerge w:val="restart"/>
            <w:vAlign w:val="center"/>
          </w:tcPr>
          <w:p w:rsidR="00F95112" w:rsidRPr="004B60A0" w:rsidRDefault="00F95112" w:rsidP="00425DE1">
            <w:pPr>
              <w:rPr>
                <w:sz w:val="16"/>
              </w:rPr>
            </w:pPr>
            <w:r w:rsidRPr="004B60A0">
              <w:rPr>
                <w:sz w:val="16"/>
              </w:rPr>
              <w:t>None evident</w:t>
            </w:r>
          </w:p>
        </w:tc>
        <w:tc>
          <w:tcPr>
            <w:tcW w:w="1101" w:type="dxa"/>
            <w:vMerge w:val="restart"/>
            <w:vAlign w:val="center"/>
          </w:tcPr>
          <w:p w:rsidR="00F95112" w:rsidRPr="004B60A0" w:rsidRDefault="00F95112" w:rsidP="00425DE1">
            <w:pPr>
              <w:rPr>
                <w:sz w:val="16"/>
              </w:rPr>
            </w:pPr>
            <w:r w:rsidRPr="004B60A0">
              <w:rPr>
                <w:sz w:val="16"/>
              </w:rPr>
              <w:t>5-ASA</w:t>
            </w:r>
          </w:p>
          <w:p w:rsidR="00F95112" w:rsidRPr="004B60A0" w:rsidRDefault="00F95112" w:rsidP="00425DE1">
            <w:pPr>
              <w:rPr>
                <w:sz w:val="16"/>
              </w:rPr>
            </w:pPr>
            <w:r w:rsidRPr="004B60A0">
              <w:rPr>
                <w:sz w:val="16"/>
              </w:rPr>
              <w:t>Thiopurine</w:t>
            </w:r>
          </w:p>
        </w:tc>
        <w:tc>
          <w:tcPr>
            <w:tcW w:w="1147" w:type="dxa"/>
            <w:vMerge w:val="restart"/>
            <w:vAlign w:val="center"/>
          </w:tcPr>
          <w:p w:rsidR="00F95112" w:rsidRPr="004B60A0" w:rsidRDefault="00F95112" w:rsidP="00425DE1">
            <w:pPr>
              <w:rPr>
                <w:sz w:val="16"/>
              </w:rPr>
            </w:pPr>
            <w:r w:rsidRPr="004B60A0">
              <w:rPr>
                <w:sz w:val="16"/>
              </w:rPr>
              <w:t>No FH</w:t>
            </w:r>
          </w:p>
        </w:tc>
      </w:tr>
      <w:tr w:rsidR="00F95112" w:rsidRPr="004B60A0" w:rsidTr="00425DE1">
        <w:trPr>
          <w:trHeight w:val="409"/>
        </w:trPr>
        <w:tc>
          <w:tcPr>
            <w:tcW w:w="718" w:type="dxa"/>
            <w:vMerge/>
            <w:vAlign w:val="center"/>
          </w:tcPr>
          <w:p w:rsidR="00F95112" w:rsidRPr="004B60A0" w:rsidRDefault="00F95112" w:rsidP="00425DE1">
            <w:pPr>
              <w:rPr>
                <w:sz w:val="16"/>
              </w:rPr>
            </w:pPr>
          </w:p>
        </w:tc>
        <w:tc>
          <w:tcPr>
            <w:tcW w:w="936" w:type="dxa"/>
            <w:vAlign w:val="center"/>
          </w:tcPr>
          <w:p w:rsidR="00F95112" w:rsidRPr="004B60A0" w:rsidRDefault="00F95112" w:rsidP="00425DE1">
            <w:pPr>
              <w:rPr>
                <w:sz w:val="16"/>
              </w:rPr>
            </w:pPr>
            <w:r w:rsidRPr="004B60A0">
              <w:rPr>
                <w:sz w:val="16"/>
              </w:rPr>
              <w:t>S672P</w:t>
            </w:r>
          </w:p>
        </w:tc>
        <w:tc>
          <w:tcPr>
            <w:tcW w:w="911" w:type="dxa"/>
            <w:vAlign w:val="center"/>
          </w:tcPr>
          <w:p w:rsidR="00F95112" w:rsidRPr="004B60A0" w:rsidRDefault="00F95112" w:rsidP="00425DE1">
            <w:pPr>
              <w:rPr>
                <w:sz w:val="16"/>
              </w:rPr>
            </w:pPr>
            <w:r w:rsidRPr="004B60A0">
              <w:rPr>
                <w:sz w:val="16"/>
              </w:rPr>
              <w:t>0.0022</w:t>
            </w:r>
          </w:p>
        </w:tc>
        <w:tc>
          <w:tcPr>
            <w:tcW w:w="719" w:type="dxa"/>
            <w:vAlign w:val="center"/>
          </w:tcPr>
          <w:p w:rsidR="00F95112" w:rsidRPr="004B60A0" w:rsidRDefault="00F95112" w:rsidP="00425DE1">
            <w:pPr>
              <w:rPr>
                <w:sz w:val="16"/>
              </w:rPr>
            </w:pPr>
            <w:r>
              <w:rPr>
                <w:sz w:val="16"/>
              </w:rPr>
              <w:t>27.5</w:t>
            </w:r>
          </w:p>
        </w:tc>
        <w:tc>
          <w:tcPr>
            <w:tcW w:w="873" w:type="dxa"/>
            <w:vMerge/>
            <w:vAlign w:val="center"/>
          </w:tcPr>
          <w:p w:rsidR="00F95112" w:rsidRPr="004B60A0" w:rsidRDefault="00F95112" w:rsidP="00425DE1">
            <w:pPr>
              <w:rPr>
                <w:sz w:val="16"/>
              </w:rPr>
            </w:pPr>
          </w:p>
        </w:tc>
        <w:tc>
          <w:tcPr>
            <w:tcW w:w="1298" w:type="dxa"/>
            <w:vMerge/>
            <w:vAlign w:val="center"/>
          </w:tcPr>
          <w:p w:rsidR="00F95112" w:rsidRPr="004B60A0" w:rsidRDefault="00F95112" w:rsidP="00425DE1">
            <w:pPr>
              <w:rPr>
                <w:sz w:val="16"/>
              </w:rPr>
            </w:pPr>
          </w:p>
        </w:tc>
        <w:tc>
          <w:tcPr>
            <w:tcW w:w="730" w:type="dxa"/>
            <w:vMerge/>
            <w:vAlign w:val="center"/>
          </w:tcPr>
          <w:p w:rsidR="00F95112" w:rsidRPr="004B60A0" w:rsidRDefault="00F95112" w:rsidP="00425DE1">
            <w:pPr>
              <w:rPr>
                <w:rFonts w:ascii="Calibri" w:hAnsi="Calibri" w:cs="Calibri"/>
                <w:color w:val="000000"/>
                <w:sz w:val="16"/>
              </w:rPr>
            </w:pPr>
          </w:p>
        </w:tc>
        <w:tc>
          <w:tcPr>
            <w:tcW w:w="933" w:type="dxa"/>
            <w:vMerge/>
            <w:vAlign w:val="center"/>
          </w:tcPr>
          <w:p w:rsidR="00F95112" w:rsidRPr="004B60A0" w:rsidRDefault="00F95112" w:rsidP="00425DE1">
            <w:pPr>
              <w:rPr>
                <w:sz w:val="16"/>
              </w:rPr>
            </w:pPr>
          </w:p>
        </w:tc>
        <w:tc>
          <w:tcPr>
            <w:tcW w:w="723" w:type="dxa"/>
            <w:vMerge/>
            <w:vAlign w:val="center"/>
          </w:tcPr>
          <w:p w:rsidR="00F95112" w:rsidRPr="004B60A0" w:rsidRDefault="00F95112" w:rsidP="00425DE1">
            <w:pPr>
              <w:rPr>
                <w:sz w:val="16"/>
              </w:rPr>
            </w:pPr>
          </w:p>
        </w:tc>
        <w:tc>
          <w:tcPr>
            <w:tcW w:w="879" w:type="dxa"/>
            <w:vMerge/>
            <w:vAlign w:val="center"/>
          </w:tcPr>
          <w:p w:rsidR="00F95112" w:rsidRPr="004B60A0" w:rsidRDefault="00F95112" w:rsidP="00425DE1">
            <w:pPr>
              <w:rPr>
                <w:sz w:val="16"/>
              </w:rPr>
            </w:pPr>
          </w:p>
        </w:tc>
        <w:tc>
          <w:tcPr>
            <w:tcW w:w="832" w:type="dxa"/>
            <w:vMerge/>
            <w:vAlign w:val="center"/>
          </w:tcPr>
          <w:p w:rsidR="00F95112" w:rsidRPr="004B60A0" w:rsidRDefault="00F95112" w:rsidP="00425DE1">
            <w:pPr>
              <w:rPr>
                <w:sz w:val="16"/>
              </w:rPr>
            </w:pPr>
          </w:p>
        </w:tc>
        <w:tc>
          <w:tcPr>
            <w:tcW w:w="924" w:type="dxa"/>
            <w:vMerge/>
            <w:vAlign w:val="center"/>
          </w:tcPr>
          <w:p w:rsidR="00F95112" w:rsidRPr="004B60A0" w:rsidRDefault="00F95112" w:rsidP="00425DE1">
            <w:pPr>
              <w:rPr>
                <w:sz w:val="16"/>
              </w:rPr>
            </w:pPr>
          </w:p>
        </w:tc>
        <w:tc>
          <w:tcPr>
            <w:tcW w:w="1155" w:type="dxa"/>
            <w:vMerge/>
            <w:vAlign w:val="center"/>
          </w:tcPr>
          <w:p w:rsidR="00F95112" w:rsidRPr="004B60A0" w:rsidRDefault="00F95112" w:rsidP="00425DE1">
            <w:pPr>
              <w:rPr>
                <w:sz w:val="16"/>
              </w:rPr>
            </w:pPr>
          </w:p>
        </w:tc>
        <w:tc>
          <w:tcPr>
            <w:tcW w:w="1542" w:type="dxa"/>
            <w:vMerge/>
            <w:vAlign w:val="center"/>
          </w:tcPr>
          <w:p w:rsidR="00F95112" w:rsidRPr="004B60A0" w:rsidRDefault="00F95112" w:rsidP="00425DE1">
            <w:pPr>
              <w:rPr>
                <w:sz w:val="16"/>
              </w:rPr>
            </w:pPr>
          </w:p>
        </w:tc>
        <w:tc>
          <w:tcPr>
            <w:tcW w:w="1101" w:type="dxa"/>
            <w:vMerge/>
            <w:vAlign w:val="center"/>
          </w:tcPr>
          <w:p w:rsidR="00F95112" w:rsidRPr="004B60A0" w:rsidRDefault="00F95112" w:rsidP="00425DE1">
            <w:pPr>
              <w:rPr>
                <w:sz w:val="16"/>
              </w:rPr>
            </w:pPr>
          </w:p>
        </w:tc>
        <w:tc>
          <w:tcPr>
            <w:tcW w:w="1147" w:type="dxa"/>
            <w:vMerge/>
            <w:vAlign w:val="center"/>
          </w:tcPr>
          <w:p w:rsidR="00F95112" w:rsidRPr="004B60A0" w:rsidRDefault="00F95112" w:rsidP="00425DE1">
            <w:pPr>
              <w:rPr>
                <w:sz w:val="16"/>
              </w:rPr>
            </w:pPr>
          </w:p>
        </w:tc>
      </w:tr>
      <w:tr w:rsidR="00F95112" w:rsidRPr="004B60A0" w:rsidTr="00425DE1">
        <w:trPr>
          <w:trHeight w:val="409"/>
        </w:trPr>
        <w:tc>
          <w:tcPr>
            <w:tcW w:w="718" w:type="dxa"/>
            <w:vMerge w:val="restart"/>
            <w:vAlign w:val="center"/>
          </w:tcPr>
          <w:p w:rsidR="00F95112" w:rsidRPr="004B60A0" w:rsidRDefault="00F95112" w:rsidP="00425DE1">
            <w:pPr>
              <w:rPr>
                <w:sz w:val="16"/>
              </w:rPr>
            </w:pPr>
            <w:r w:rsidRPr="004B60A0">
              <w:rPr>
                <w:sz w:val="16"/>
              </w:rPr>
              <w:t>5</w:t>
            </w:r>
          </w:p>
        </w:tc>
        <w:tc>
          <w:tcPr>
            <w:tcW w:w="936" w:type="dxa"/>
            <w:vAlign w:val="center"/>
          </w:tcPr>
          <w:p w:rsidR="00F95112" w:rsidRPr="004B60A0" w:rsidRDefault="00F95112" w:rsidP="00425DE1">
            <w:pPr>
              <w:rPr>
                <w:sz w:val="16"/>
              </w:rPr>
            </w:pPr>
            <w:r>
              <w:rPr>
                <w:sz w:val="16"/>
              </w:rPr>
              <w:t>K606R</w:t>
            </w:r>
          </w:p>
        </w:tc>
        <w:tc>
          <w:tcPr>
            <w:tcW w:w="911" w:type="dxa"/>
            <w:vAlign w:val="center"/>
          </w:tcPr>
          <w:p w:rsidR="00F95112" w:rsidRPr="004B60A0" w:rsidRDefault="00F95112" w:rsidP="00425DE1">
            <w:pPr>
              <w:rPr>
                <w:sz w:val="16"/>
              </w:rPr>
            </w:pPr>
            <w:r w:rsidRPr="004B60A0">
              <w:rPr>
                <w:sz w:val="16"/>
              </w:rPr>
              <w:t>0.0022</w:t>
            </w:r>
          </w:p>
        </w:tc>
        <w:tc>
          <w:tcPr>
            <w:tcW w:w="719" w:type="dxa"/>
            <w:vAlign w:val="center"/>
          </w:tcPr>
          <w:p w:rsidR="00F95112" w:rsidRPr="004B60A0" w:rsidRDefault="00F95112" w:rsidP="00425DE1">
            <w:pPr>
              <w:rPr>
                <w:sz w:val="16"/>
              </w:rPr>
            </w:pPr>
            <w:r>
              <w:rPr>
                <w:sz w:val="16"/>
              </w:rPr>
              <w:t>25.6</w:t>
            </w:r>
          </w:p>
        </w:tc>
        <w:tc>
          <w:tcPr>
            <w:tcW w:w="873" w:type="dxa"/>
            <w:vMerge w:val="restart"/>
            <w:vAlign w:val="center"/>
          </w:tcPr>
          <w:p w:rsidR="00F95112" w:rsidRPr="004B60A0" w:rsidRDefault="00F95112" w:rsidP="00425DE1">
            <w:pPr>
              <w:rPr>
                <w:sz w:val="16"/>
              </w:rPr>
            </w:pPr>
            <w:r w:rsidRPr="004B60A0">
              <w:rPr>
                <w:sz w:val="16"/>
              </w:rPr>
              <w:t>Mother</w:t>
            </w:r>
          </w:p>
        </w:tc>
        <w:tc>
          <w:tcPr>
            <w:tcW w:w="1298" w:type="dxa"/>
            <w:vMerge w:val="restart"/>
            <w:vAlign w:val="center"/>
          </w:tcPr>
          <w:p w:rsidR="00F95112" w:rsidRPr="004B60A0" w:rsidRDefault="00F95112" w:rsidP="00425DE1">
            <w:pPr>
              <w:rPr>
                <w:sz w:val="16"/>
              </w:rPr>
            </w:pPr>
            <w:r w:rsidRPr="004B60A0">
              <w:rPr>
                <w:sz w:val="16"/>
              </w:rPr>
              <w:t>Synonymous C198</w:t>
            </w:r>
            <w:proofErr w:type="gramStart"/>
            <w:r w:rsidRPr="004B60A0">
              <w:rPr>
                <w:sz w:val="16"/>
              </w:rPr>
              <w:t>T:p</w:t>
            </w:r>
            <w:proofErr w:type="gramEnd"/>
            <w:r w:rsidRPr="004B60A0">
              <w:rPr>
                <w:sz w:val="16"/>
              </w:rPr>
              <w:t>.S66S</w:t>
            </w:r>
          </w:p>
        </w:tc>
        <w:tc>
          <w:tcPr>
            <w:tcW w:w="730" w:type="dxa"/>
            <w:vMerge w:val="restart"/>
            <w:vAlign w:val="center"/>
          </w:tcPr>
          <w:p w:rsidR="00F95112" w:rsidRPr="004B60A0" w:rsidRDefault="00F95112" w:rsidP="00425DE1">
            <w:pPr>
              <w:rPr>
                <w:sz w:val="16"/>
              </w:rPr>
            </w:pPr>
            <w:r w:rsidRPr="004B60A0">
              <w:rPr>
                <w:sz w:val="16"/>
              </w:rPr>
              <w:t>17.63</w:t>
            </w:r>
          </w:p>
        </w:tc>
        <w:tc>
          <w:tcPr>
            <w:tcW w:w="933" w:type="dxa"/>
            <w:vMerge w:val="restart"/>
            <w:vAlign w:val="center"/>
          </w:tcPr>
          <w:p w:rsidR="00F95112" w:rsidRPr="004B60A0" w:rsidRDefault="00F95112" w:rsidP="00425DE1">
            <w:pPr>
              <w:rPr>
                <w:sz w:val="16"/>
              </w:rPr>
            </w:pPr>
            <w:r w:rsidRPr="004B60A0">
              <w:rPr>
                <w:sz w:val="16"/>
              </w:rPr>
              <w:t>0.08</w:t>
            </w:r>
          </w:p>
        </w:tc>
        <w:tc>
          <w:tcPr>
            <w:tcW w:w="723" w:type="dxa"/>
            <w:vMerge w:val="restart"/>
            <w:vAlign w:val="center"/>
          </w:tcPr>
          <w:p w:rsidR="00F95112" w:rsidRPr="004B60A0" w:rsidRDefault="00F95112" w:rsidP="00425DE1">
            <w:pPr>
              <w:rPr>
                <w:sz w:val="16"/>
              </w:rPr>
            </w:pPr>
            <w:r w:rsidRPr="004B60A0">
              <w:rPr>
                <w:sz w:val="16"/>
              </w:rPr>
              <w:t>Male</w:t>
            </w:r>
          </w:p>
        </w:tc>
        <w:tc>
          <w:tcPr>
            <w:tcW w:w="879" w:type="dxa"/>
            <w:vMerge w:val="restart"/>
            <w:vAlign w:val="center"/>
          </w:tcPr>
          <w:p w:rsidR="00F95112" w:rsidRPr="004B60A0" w:rsidRDefault="00F95112" w:rsidP="00425DE1">
            <w:pPr>
              <w:rPr>
                <w:sz w:val="16"/>
              </w:rPr>
            </w:pPr>
            <w:r w:rsidRPr="004B60A0">
              <w:rPr>
                <w:sz w:val="16"/>
              </w:rPr>
              <w:t>15.7 years</w:t>
            </w:r>
          </w:p>
        </w:tc>
        <w:tc>
          <w:tcPr>
            <w:tcW w:w="832" w:type="dxa"/>
            <w:vMerge w:val="restart"/>
            <w:vAlign w:val="center"/>
          </w:tcPr>
          <w:p w:rsidR="00F95112" w:rsidRPr="004B60A0" w:rsidRDefault="00F95112" w:rsidP="00425DE1">
            <w:pPr>
              <w:rPr>
                <w:sz w:val="16"/>
              </w:rPr>
            </w:pPr>
            <w:r w:rsidRPr="004B60A0">
              <w:rPr>
                <w:sz w:val="16"/>
              </w:rPr>
              <w:t>1.4 years</w:t>
            </w:r>
          </w:p>
        </w:tc>
        <w:tc>
          <w:tcPr>
            <w:tcW w:w="924" w:type="dxa"/>
            <w:vMerge w:val="restart"/>
            <w:vAlign w:val="center"/>
          </w:tcPr>
          <w:p w:rsidR="00F95112" w:rsidRPr="004B60A0" w:rsidRDefault="00F95112" w:rsidP="00425DE1">
            <w:pPr>
              <w:rPr>
                <w:sz w:val="16"/>
              </w:rPr>
            </w:pPr>
            <w:r w:rsidRPr="004B60A0">
              <w:rPr>
                <w:sz w:val="16"/>
              </w:rPr>
              <w:t>Crohn’s disease</w:t>
            </w:r>
          </w:p>
        </w:tc>
        <w:tc>
          <w:tcPr>
            <w:tcW w:w="1155" w:type="dxa"/>
            <w:vMerge w:val="restart"/>
            <w:vAlign w:val="center"/>
          </w:tcPr>
          <w:p w:rsidR="00F95112" w:rsidRPr="004B60A0" w:rsidRDefault="00F95112" w:rsidP="00425DE1">
            <w:pPr>
              <w:rPr>
                <w:sz w:val="16"/>
              </w:rPr>
            </w:pPr>
            <w:r w:rsidRPr="004B60A0">
              <w:rPr>
                <w:sz w:val="16"/>
              </w:rPr>
              <w:t>L3+L4a</w:t>
            </w:r>
          </w:p>
        </w:tc>
        <w:tc>
          <w:tcPr>
            <w:tcW w:w="1542" w:type="dxa"/>
            <w:vMerge w:val="restart"/>
            <w:vAlign w:val="center"/>
          </w:tcPr>
          <w:p w:rsidR="00F95112" w:rsidRPr="004B60A0" w:rsidRDefault="00F95112" w:rsidP="00425DE1">
            <w:pPr>
              <w:rPr>
                <w:sz w:val="16"/>
              </w:rPr>
            </w:pPr>
            <w:r w:rsidRPr="004B60A0">
              <w:rPr>
                <w:sz w:val="16"/>
              </w:rPr>
              <w:t>Stricturing disease</w:t>
            </w:r>
          </w:p>
        </w:tc>
        <w:tc>
          <w:tcPr>
            <w:tcW w:w="1101" w:type="dxa"/>
            <w:vMerge w:val="restart"/>
            <w:vAlign w:val="center"/>
          </w:tcPr>
          <w:p w:rsidR="00F95112" w:rsidRPr="004B60A0" w:rsidRDefault="00F95112" w:rsidP="00425DE1">
            <w:pPr>
              <w:rPr>
                <w:sz w:val="16"/>
              </w:rPr>
            </w:pPr>
            <w:r w:rsidRPr="004B60A0">
              <w:rPr>
                <w:sz w:val="16"/>
              </w:rPr>
              <w:t>Anti-TNF</w:t>
            </w:r>
          </w:p>
        </w:tc>
        <w:tc>
          <w:tcPr>
            <w:tcW w:w="1147" w:type="dxa"/>
            <w:vMerge w:val="restart"/>
            <w:vAlign w:val="center"/>
          </w:tcPr>
          <w:p w:rsidR="00F95112" w:rsidRPr="004B60A0" w:rsidRDefault="00F95112" w:rsidP="00425DE1">
            <w:pPr>
              <w:rPr>
                <w:sz w:val="16"/>
              </w:rPr>
            </w:pPr>
            <w:r w:rsidRPr="004B60A0">
              <w:rPr>
                <w:sz w:val="16"/>
              </w:rPr>
              <w:t>No FH</w:t>
            </w:r>
          </w:p>
          <w:p w:rsidR="00F95112" w:rsidRPr="004B60A0" w:rsidRDefault="00F95112" w:rsidP="00425DE1">
            <w:pPr>
              <w:rPr>
                <w:sz w:val="16"/>
              </w:rPr>
            </w:pPr>
            <w:r w:rsidRPr="004B60A0">
              <w:rPr>
                <w:sz w:val="16"/>
              </w:rPr>
              <w:t xml:space="preserve">Has </w:t>
            </w:r>
            <w:r w:rsidRPr="004B60A0">
              <w:rPr>
                <w:i/>
                <w:sz w:val="16"/>
              </w:rPr>
              <w:t>NOD2</w:t>
            </w:r>
            <w:r w:rsidRPr="004B60A0">
              <w:rPr>
                <w:sz w:val="16"/>
              </w:rPr>
              <w:t xml:space="preserve"> variant</w:t>
            </w:r>
          </w:p>
        </w:tc>
      </w:tr>
      <w:tr w:rsidR="00F95112" w:rsidRPr="004B60A0" w:rsidTr="00425DE1">
        <w:trPr>
          <w:trHeight w:val="409"/>
        </w:trPr>
        <w:tc>
          <w:tcPr>
            <w:tcW w:w="718" w:type="dxa"/>
            <w:vMerge/>
            <w:vAlign w:val="center"/>
          </w:tcPr>
          <w:p w:rsidR="00F95112" w:rsidRPr="004B60A0" w:rsidRDefault="00F95112" w:rsidP="00425DE1">
            <w:pPr>
              <w:rPr>
                <w:sz w:val="16"/>
              </w:rPr>
            </w:pPr>
          </w:p>
        </w:tc>
        <w:tc>
          <w:tcPr>
            <w:tcW w:w="936" w:type="dxa"/>
            <w:vAlign w:val="center"/>
          </w:tcPr>
          <w:p w:rsidR="00F95112" w:rsidRPr="004B60A0" w:rsidRDefault="00F95112" w:rsidP="00425DE1">
            <w:pPr>
              <w:rPr>
                <w:sz w:val="16"/>
              </w:rPr>
            </w:pPr>
            <w:r w:rsidRPr="004B60A0">
              <w:rPr>
                <w:sz w:val="16"/>
              </w:rPr>
              <w:t>S672P</w:t>
            </w:r>
          </w:p>
        </w:tc>
        <w:tc>
          <w:tcPr>
            <w:tcW w:w="911" w:type="dxa"/>
          </w:tcPr>
          <w:p w:rsidR="00F95112" w:rsidRPr="004B60A0" w:rsidRDefault="00F95112" w:rsidP="00425DE1">
            <w:pPr>
              <w:rPr>
                <w:sz w:val="16"/>
              </w:rPr>
            </w:pPr>
            <w:r w:rsidRPr="004B60A0">
              <w:rPr>
                <w:sz w:val="16"/>
              </w:rPr>
              <w:t>0.0022</w:t>
            </w:r>
          </w:p>
        </w:tc>
        <w:tc>
          <w:tcPr>
            <w:tcW w:w="719" w:type="dxa"/>
          </w:tcPr>
          <w:p w:rsidR="00F95112" w:rsidRPr="004B60A0" w:rsidRDefault="00F95112" w:rsidP="00425DE1">
            <w:pPr>
              <w:rPr>
                <w:sz w:val="16"/>
              </w:rPr>
            </w:pPr>
            <w:r>
              <w:rPr>
                <w:sz w:val="16"/>
              </w:rPr>
              <w:t>27.5</w:t>
            </w:r>
          </w:p>
        </w:tc>
        <w:tc>
          <w:tcPr>
            <w:tcW w:w="873" w:type="dxa"/>
            <w:vMerge/>
            <w:vAlign w:val="center"/>
          </w:tcPr>
          <w:p w:rsidR="00F95112" w:rsidRPr="004B60A0" w:rsidRDefault="00F95112" w:rsidP="00425DE1">
            <w:pPr>
              <w:rPr>
                <w:sz w:val="16"/>
              </w:rPr>
            </w:pPr>
          </w:p>
        </w:tc>
        <w:tc>
          <w:tcPr>
            <w:tcW w:w="1298" w:type="dxa"/>
            <w:vMerge/>
            <w:vAlign w:val="center"/>
          </w:tcPr>
          <w:p w:rsidR="00F95112" w:rsidRPr="004B60A0" w:rsidRDefault="00F95112" w:rsidP="00425DE1">
            <w:pPr>
              <w:rPr>
                <w:sz w:val="16"/>
              </w:rPr>
            </w:pPr>
          </w:p>
        </w:tc>
        <w:tc>
          <w:tcPr>
            <w:tcW w:w="730" w:type="dxa"/>
            <w:vMerge/>
            <w:vAlign w:val="center"/>
          </w:tcPr>
          <w:p w:rsidR="00F95112" w:rsidRPr="004B60A0" w:rsidRDefault="00F95112" w:rsidP="00425DE1">
            <w:pPr>
              <w:rPr>
                <w:sz w:val="16"/>
              </w:rPr>
            </w:pPr>
          </w:p>
        </w:tc>
        <w:tc>
          <w:tcPr>
            <w:tcW w:w="933" w:type="dxa"/>
            <w:vMerge/>
            <w:vAlign w:val="center"/>
          </w:tcPr>
          <w:p w:rsidR="00F95112" w:rsidRPr="004B60A0" w:rsidRDefault="00F95112" w:rsidP="00425DE1">
            <w:pPr>
              <w:rPr>
                <w:sz w:val="16"/>
              </w:rPr>
            </w:pPr>
          </w:p>
        </w:tc>
        <w:tc>
          <w:tcPr>
            <w:tcW w:w="723" w:type="dxa"/>
            <w:vMerge/>
            <w:vAlign w:val="center"/>
          </w:tcPr>
          <w:p w:rsidR="00F95112" w:rsidRPr="004B60A0" w:rsidRDefault="00F95112" w:rsidP="00425DE1">
            <w:pPr>
              <w:rPr>
                <w:sz w:val="16"/>
              </w:rPr>
            </w:pPr>
          </w:p>
        </w:tc>
        <w:tc>
          <w:tcPr>
            <w:tcW w:w="879" w:type="dxa"/>
            <w:vMerge/>
            <w:vAlign w:val="center"/>
          </w:tcPr>
          <w:p w:rsidR="00F95112" w:rsidRPr="004B60A0" w:rsidRDefault="00F95112" w:rsidP="00425DE1">
            <w:pPr>
              <w:rPr>
                <w:sz w:val="16"/>
              </w:rPr>
            </w:pPr>
          </w:p>
        </w:tc>
        <w:tc>
          <w:tcPr>
            <w:tcW w:w="832" w:type="dxa"/>
            <w:vMerge/>
            <w:vAlign w:val="center"/>
          </w:tcPr>
          <w:p w:rsidR="00F95112" w:rsidRPr="004B60A0" w:rsidRDefault="00F95112" w:rsidP="00425DE1">
            <w:pPr>
              <w:jc w:val="center"/>
              <w:rPr>
                <w:sz w:val="16"/>
              </w:rPr>
            </w:pPr>
          </w:p>
        </w:tc>
        <w:tc>
          <w:tcPr>
            <w:tcW w:w="924" w:type="dxa"/>
            <w:vMerge/>
            <w:vAlign w:val="center"/>
          </w:tcPr>
          <w:p w:rsidR="00F95112" w:rsidRPr="004B60A0" w:rsidRDefault="00F95112" w:rsidP="00425DE1">
            <w:pPr>
              <w:rPr>
                <w:sz w:val="16"/>
              </w:rPr>
            </w:pPr>
          </w:p>
        </w:tc>
        <w:tc>
          <w:tcPr>
            <w:tcW w:w="1155" w:type="dxa"/>
            <w:vMerge/>
            <w:vAlign w:val="center"/>
          </w:tcPr>
          <w:p w:rsidR="00F95112" w:rsidRPr="004B60A0" w:rsidRDefault="00F95112" w:rsidP="00425DE1">
            <w:pPr>
              <w:rPr>
                <w:sz w:val="16"/>
              </w:rPr>
            </w:pPr>
          </w:p>
        </w:tc>
        <w:tc>
          <w:tcPr>
            <w:tcW w:w="1542" w:type="dxa"/>
            <w:vMerge/>
            <w:vAlign w:val="center"/>
          </w:tcPr>
          <w:p w:rsidR="00F95112" w:rsidRPr="004B60A0" w:rsidRDefault="00F95112" w:rsidP="00425DE1">
            <w:pPr>
              <w:rPr>
                <w:sz w:val="16"/>
              </w:rPr>
            </w:pPr>
          </w:p>
        </w:tc>
        <w:tc>
          <w:tcPr>
            <w:tcW w:w="1101" w:type="dxa"/>
            <w:vMerge/>
            <w:vAlign w:val="center"/>
          </w:tcPr>
          <w:p w:rsidR="00F95112" w:rsidRPr="004B60A0" w:rsidRDefault="00F95112" w:rsidP="00425DE1">
            <w:pPr>
              <w:rPr>
                <w:sz w:val="16"/>
              </w:rPr>
            </w:pPr>
          </w:p>
        </w:tc>
        <w:tc>
          <w:tcPr>
            <w:tcW w:w="1147" w:type="dxa"/>
            <w:vMerge/>
            <w:vAlign w:val="center"/>
          </w:tcPr>
          <w:p w:rsidR="00F95112" w:rsidRPr="004B60A0" w:rsidRDefault="00F95112" w:rsidP="00425DE1">
            <w:pPr>
              <w:rPr>
                <w:sz w:val="16"/>
              </w:rPr>
            </w:pPr>
          </w:p>
        </w:tc>
      </w:tr>
    </w:tbl>
    <w:p w:rsidR="00F95112" w:rsidRDefault="00F95112" w:rsidP="00F95112">
      <w:pPr>
        <w:spacing w:line="480" w:lineRule="auto"/>
      </w:pPr>
    </w:p>
    <w:p w:rsidR="00F95112" w:rsidRDefault="00F95112" w:rsidP="00F95112">
      <w:pPr>
        <w:spacing w:line="480" w:lineRule="auto"/>
      </w:pPr>
    </w:p>
    <w:p w:rsidR="00F95112" w:rsidRDefault="00F95112" w:rsidP="00F95112">
      <w:pPr>
        <w:spacing w:line="480" w:lineRule="auto"/>
        <w:rPr>
          <w:color w:val="1F497D"/>
        </w:rPr>
      </w:pPr>
    </w:p>
    <w:p w:rsidR="00F95112" w:rsidRDefault="00F95112" w:rsidP="00F95112">
      <w:pPr>
        <w:spacing w:line="480" w:lineRule="auto"/>
        <w:rPr>
          <w:color w:val="1F497D"/>
        </w:rPr>
      </w:pPr>
    </w:p>
    <w:p w:rsidR="00F95112" w:rsidRDefault="00F95112" w:rsidP="00F95112">
      <w:pPr>
        <w:spacing w:line="480" w:lineRule="auto"/>
        <w:rPr>
          <w:color w:val="1F497D"/>
        </w:rPr>
        <w:sectPr w:rsidR="00F95112" w:rsidSect="00F95112">
          <w:pgSz w:w="16838" w:h="11906" w:orient="landscape"/>
          <w:pgMar w:top="1440" w:right="1440" w:bottom="1440" w:left="1440" w:header="709" w:footer="709" w:gutter="0"/>
          <w:cols w:space="708"/>
          <w:docGrid w:linePitch="360"/>
        </w:sectPr>
      </w:pPr>
    </w:p>
    <w:p w:rsidR="00F95112" w:rsidRPr="00F95112" w:rsidRDefault="00F95112" w:rsidP="00F95112">
      <w:pPr>
        <w:spacing w:line="480" w:lineRule="auto"/>
        <w:rPr>
          <w:color w:val="000000" w:themeColor="text1"/>
        </w:rPr>
      </w:pPr>
      <w:r w:rsidRPr="00F95112">
        <w:rPr>
          <w:b/>
          <w:color w:val="000000" w:themeColor="text1"/>
        </w:rPr>
        <w:lastRenderedPageBreak/>
        <w:t>Supplementary figure 1</w:t>
      </w:r>
      <w:r w:rsidRPr="00F95112">
        <w:rPr>
          <w:color w:val="000000" w:themeColor="text1"/>
        </w:rPr>
        <w:t xml:space="preserve">- Coverage plot for </w:t>
      </w:r>
      <w:r w:rsidRPr="00F95112">
        <w:rPr>
          <w:i/>
          <w:color w:val="000000" w:themeColor="text1"/>
        </w:rPr>
        <w:t>TTC7A</w:t>
      </w:r>
      <w:r w:rsidRPr="00F95112">
        <w:rPr>
          <w:color w:val="000000" w:themeColor="text1"/>
        </w:rPr>
        <w:t xml:space="preserve">. Per-base read coverage for 5 patients harbouring </w:t>
      </w:r>
      <w:r w:rsidRPr="00F95112">
        <w:rPr>
          <w:i/>
          <w:color w:val="000000" w:themeColor="text1"/>
        </w:rPr>
        <w:t>TTC7A</w:t>
      </w:r>
      <w:r w:rsidRPr="00F95112">
        <w:rPr>
          <w:color w:val="000000" w:themeColor="text1"/>
        </w:rPr>
        <w:t xml:space="preserve"> variants. Coverage is shown for each exon with a 500 base pair padding to each side. The bold line represents the mean coverage observed in 15 individuals not harbouring </w:t>
      </w:r>
      <w:r w:rsidRPr="00F95112">
        <w:rPr>
          <w:i/>
          <w:color w:val="000000" w:themeColor="text1"/>
        </w:rPr>
        <w:t>TTC7A</w:t>
      </w:r>
      <w:r w:rsidRPr="00F95112">
        <w:rPr>
          <w:color w:val="000000" w:themeColor="text1"/>
        </w:rPr>
        <w:t xml:space="preserve"> variants. The dashed line indicates 1 standard deviation below the control mean coverage. Exons from patients PR0096, SOPR0231 and SOPR0409 were captured using Agilent </w:t>
      </w:r>
      <w:proofErr w:type="spellStart"/>
      <w:r w:rsidRPr="00F95112">
        <w:rPr>
          <w:color w:val="000000" w:themeColor="text1"/>
        </w:rPr>
        <w:t>SureSelect</w:t>
      </w:r>
      <w:proofErr w:type="spellEnd"/>
      <w:r w:rsidRPr="00F95112">
        <w:rPr>
          <w:color w:val="000000" w:themeColor="text1"/>
        </w:rPr>
        <w:t xml:space="preserve"> V6. Exons from patients PR0101 and PR0156 were captured using Agilent </w:t>
      </w:r>
      <w:proofErr w:type="spellStart"/>
      <w:r w:rsidRPr="00F95112">
        <w:rPr>
          <w:color w:val="000000" w:themeColor="text1"/>
        </w:rPr>
        <w:t>SureSelect</w:t>
      </w:r>
      <w:proofErr w:type="spellEnd"/>
      <w:r w:rsidRPr="00F95112">
        <w:rPr>
          <w:color w:val="000000" w:themeColor="text1"/>
        </w:rPr>
        <w:t xml:space="preserve"> V4 and V5 respectively reflecting a chemistry with worse coverage of this gene. All patients lie within 2 standard deviations of the mean.</w:t>
      </w:r>
    </w:p>
    <w:p w:rsidR="00F95112" w:rsidRDefault="00F95112" w:rsidP="00F95112">
      <w:pPr>
        <w:spacing w:line="480" w:lineRule="auto"/>
      </w:pPr>
    </w:p>
    <w:p w:rsidR="000B6E90" w:rsidRDefault="000B6E90"/>
    <w:sectPr w:rsidR="000B6E90" w:rsidSect="00F9511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45E6E"/>
    <w:multiLevelType w:val="hybridMultilevel"/>
    <w:tmpl w:val="CE3A2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12"/>
    <w:rsid w:val="000B6E90"/>
    <w:rsid w:val="00F95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67C2"/>
  <w15:chartTrackingRefBased/>
  <w15:docId w15:val="{59E2C11E-7A4D-4177-AB03-0D8C4BFE8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112"/>
    <w:pPr>
      <w:ind w:left="720"/>
      <w:contextualSpacing/>
    </w:pPr>
  </w:style>
  <w:style w:type="character" w:styleId="Hyperlink">
    <w:name w:val="Hyperlink"/>
    <w:basedOn w:val="DefaultParagraphFont"/>
    <w:uiPriority w:val="99"/>
    <w:unhideWhenUsed/>
    <w:rsid w:val="00F95112"/>
    <w:rPr>
      <w:color w:val="0563C1" w:themeColor="hyperlink"/>
      <w:u w:val="single"/>
    </w:rPr>
  </w:style>
  <w:style w:type="table" w:styleId="TableGrid">
    <w:name w:val="Table Grid"/>
    <w:basedOn w:val="TableNormal"/>
    <w:uiPriority w:val="39"/>
    <w:rsid w:val="00F95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nnis@southampton.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8209</Words>
  <Characters>46796</Characters>
  <Application>Microsoft Office Word</Application>
  <DocSecurity>0</DocSecurity>
  <Lines>389</Lines>
  <Paragraphs>109</Paragraphs>
  <ScaleCrop>false</ScaleCrop>
  <Company/>
  <LinksUpToDate>false</LinksUpToDate>
  <CharactersWithSpaces>54896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J.</dc:creator>
  <cp:keywords/>
  <dc:description/>
  <cp:lastModifiedBy>Ashton J.</cp:lastModifiedBy>
  <cp:revision>1</cp:revision>
  <dcterms:created xsi:type="dcterms:W3CDTF">2019-10-08T11:03:00Z</dcterms:created>
  <dcterms:modified xsi:type="dcterms:W3CDTF">2019-10-08T11:05:00Z</dcterms:modified>
</cp:coreProperties>
</file>