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2055" w14:textId="77777777" w:rsidR="00D92746" w:rsidRDefault="00D92746" w:rsidP="00D92746">
      <w:pPr>
        <w:spacing w:after="0" w:line="360" w:lineRule="auto"/>
        <w:jc w:val="center"/>
        <w:rPr>
          <w:rFonts w:ascii="Times New Roman" w:hAnsi="Times New Roman" w:cs="Times New Roman"/>
          <w:b/>
        </w:rPr>
      </w:pPr>
      <w:r>
        <w:rPr>
          <w:rFonts w:ascii="Times New Roman" w:hAnsi="Times New Roman" w:cs="Times New Roman"/>
          <w:b/>
        </w:rPr>
        <w:t>Executive Compensation, Sustainable Compensation Policy, Carbon Performance and Market Value</w:t>
      </w:r>
    </w:p>
    <w:p w14:paraId="589523AF" w14:textId="77777777" w:rsidR="00D92746" w:rsidRDefault="00D92746" w:rsidP="00D92746">
      <w:pPr>
        <w:spacing w:after="0" w:line="360" w:lineRule="auto"/>
        <w:jc w:val="center"/>
        <w:rPr>
          <w:rFonts w:ascii="Times New Roman" w:hAnsi="Times New Roman" w:cs="Times New Roman"/>
          <w:b/>
        </w:rPr>
      </w:pPr>
    </w:p>
    <w:p w14:paraId="6C86E35D" w14:textId="77777777" w:rsidR="00D92746" w:rsidRDefault="00D92746" w:rsidP="00D92746">
      <w:pPr>
        <w:spacing w:after="0" w:line="360" w:lineRule="auto"/>
        <w:jc w:val="center"/>
        <w:rPr>
          <w:rFonts w:ascii="Times New Roman" w:hAnsi="Times New Roman" w:cs="Times New Roman"/>
          <w:b/>
        </w:rPr>
      </w:pPr>
    </w:p>
    <w:p w14:paraId="0DCD4B1E" w14:textId="77777777" w:rsidR="00D92746" w:rsidRDefault="00D92746" w:rsidP="00D92746">
      <w:pPr>
        <w:spacing w:after="0" w:line="360" w:lineRule="auto"/>
        <w:jc w:val="center"/>
        <w:rPr>
          <w:rFonts w:ascii="Times New Roman" w:hAnsi="Times New Roman" w:cs="Times New Roman"/>
          <w:b/>
        </w:rPr>
      </w:pPr>
    </w:p>
    <w:p w14:paraId="17C779C5" w14:textId="77777777" w:rsidR="00D92746" w:rsidRDefault="00D92746" w:rsidP="00D92746">
      <w:pPr>
        <w:spacing w:after="0" w:line="360" w:lineRule="auto"/>
        <w:jc w:val="center"/>
        <w:rPr>
          <w:rFonts w:ascii="Times New Roman" w:hAnsi="Times New Roman" w:cs="Times New Roman"/>
          <w:b/>
        </w:rPr>
      </w:pPr>
    </w:p>
    <w:p w14:paraId="5A973310" w14:textId="77777777" w:rsidR="00D92746" w:rsidRDefault="00D92746" w:rsidP="00D92746">
      <w:pPr>
        <w:spacing w:after="0" w:line="360" w:lineRule="auto"/>
        <w:jc w:val="center"/>
        <w:rPr>
          <w:rFonts w:ascii="Times New Roman" w:hAnsi="Times New Roman" w:cs="Times New Roman"/>
          <w:b/>
        </w:rPr>
      </w:pPr>
    </w:p>
    <w:p w14:paraId="758EC500" w14:textId="77777777" w:rsidR="00D92746" w:rsidRDefault="00D92746" w:rsidP="00D92746">
      <w:pPr>
        <w:spacing w:after="0" w:line="240" w:lineRule="auto"/>
        <w:jc w:val="center"/>
        <w:rPr>
          <w:rFonts w:ascii="Times New Roman" w:hAnsi="Times New Roman" w:cs="Times New Roman"/>
        </w:rPr>
      </w:pPr>
    </w:p>
    <w:p w14:paraId="01288930" w14:textId="77777777" w:rsidR="00D92746" w:rsidRPr="001118C2" w:rsidRDefault="00D92746" w:rsidP="00D92746">
      <w:pPr>
        <w:spacing w:after="0" w:line="240" w:lineRule="auto"/>
        <w:jc w:val="center"/>
        <w:rPr>
          <w:rFonts w:ascii="Times New Roman" w:hAnsi="Times New Roman" w:cs="Times New Roman"/>
        </w:rPr>
      </w:pPr>
      <w:r w:rsidRPr="001118C2">
        <w:rPr>
          <w:rFonts w:ascii="Times New Roman" w:hAnsi="Times New Roman" w:cs="Times New Roman"/>
        </w:rPr>
        <w:t>Faizul Haque</w:t>
      </w:r>
      <w:r w:rsidRPr="001118C2">
        <w:rPr>
          <w:rStyle w:val="FootnoteReference"/>
          <w:rFonts w:ascii="Times New Roman" w:hAnsi="Times New Roman" w:cs="Times New Roman"/>
        </w:rPr>
        <w:footnoteReference w:id="1"/>
      </w:r>
    </w:p>
    <w:p w14:paraId="0B23B767" w14:textId="77777777" w:rsidR="00D92746" w:rsidRPr="001118C2" w:rsidRDefault="00D92746" w:rsidP="00D92746">
      <w:pPr>
        <w:spacing w:after="0" w:line="240" w:lineRule="auto"/>
        <w:jc w:val="center"/>
        <w:rPr>
          <w:rFonts w:ascii="Times New Roman" w:hAnsi="Times New Roman" w:cs="Times New Roman"/>
        </w:rPr>
      </w:pPr>
      <w:r w:rsidRPr="001118C2">
        <w:rPr>
          <w:rFonts w:ascii="Times New Roman" w:hAnsi="Times New Roman" w:cs="Times New Roman"/>
        </w:rPr>
        <w:t>Department of Accountancy, Economics and Finance</w:t>
      </w:r>
    </w:p>
    <w:p w14:paraId="743FB066" w14:textId="77777777" w:rsidR="00D92746" w:rsidRPr="001118C2" w:rsidRDefault="00D92746" w:rsidP="00D92746">
      <w:pPr>
        <w:spacing w:after="0" w:line="240" w:lineRule="auto"/>
        <w:jc w:val="center"/>
        <w:rPr>
          <w:rFonts w:ascii="Times New Roman" w:hAnsi="Times New Roman" w:cs="Times New Roman"/>
        </w:rPr>
      </w:pPr>
      <w:r w:rsidRPr="001118C2">
        <w:rPr>
          <w:rFonts w:ascii="Times New Roman" w:hAnsi="Times New Roman" w:cs="Times New Roman"/>
        </w:rPr>
        <w:t xml:space="preserve">Heriot-Watt University </w:t>
      </w:r>
    </w:p>
    <w:p w14:paraId="4A5F376C" w14:textId="77777777" w:rsidR="00D92746" w:rsidRPr="001118C2" w:rsidRDefault="00D92746" w:rsidP="00D92746">
      <w:pPr>
        <w:spacing w:after="0" w:line="240" w:lineRule="auto"/>
        <w:jc w:val="center"/>
        <w:rPr>
          <w:rFonts w:ascii="Times New Roman" w:hAnsi="Times New Roman" w:cs="Times New Roman"/>
        </w:rPr>
      </w:pPr>
      <w:r w:rsidRPr="001118C2">
        <w:rPr>
          <w:rFonts w:ascii="Times New Roman" w:hAnsi="Times New Roman" w:cs="Times New Roman"/>
        </w:rPr>
        <w:t>Dubai International Academic City</w:t>
      </w:r>
    </w:p>
    <w:p w14:paraId="41DDFDEE" w14:textId="77777777" w:rsidR="00D92746" w:rsidRPr="001118C2" w:rsidRDefault="00D92746" w:rsidP="00D92746">
      <w:pPr>
        <w:spacing w:after="0" w:line="240" w:lineRule="auto"/>
        <w:jc w:val="center"/>
        <w:rPr>
          <w:rFonts w:ascii="Times New Roman" w:hAnsi="Times New Roman" w:cs="Times New Roman"/>
          <w:lang w:val="it-IT"/>
        </w:rPr>
      </w:pPr>
      <w:r w:rsidRPr="001118C2">
        <w:rPr>
          <w:rFonts w:ascii="Times New Roman" w:hAnsi="Times New Roman" w:cs="Times New Roman"/>
          <w:lang w:val="it-IT"/>
        </w:rPr>
        <w:t>PO Box: 294345, Dubai, UAE.</w:t>
      </w:r>
    </w:p>
    <w:p w14:paraId="7C63692D" w14:textId="77777777" w:rsidR="00D92746" w:rsidRPr="001118C2" w:rsidRDefault="00D92746" w:rsidP="00D92746">
      <w:pPr>
        <w:spacing w:after="0" w:line="240" w:lineRule="auto"/>
        <w:jc w:val="center"/>
        <w:rPr>
          <w:rFonts w:ascii="Times New Roman" w:hAnsi="Times New Roman" w:cs="Times New Roman"/>
          <w:lang w:val="it-IT"/>
        </w:rPr>
      </w:pPr>
      <w:r w:rsidRPr="001118C2">
        <w:rPr>
          <w:rFonts w:ascii="Times New Roman" w:hAnsi="Times New Roman" w:cs="Times New Roman"/>
          <w:lang w:val="it-IT"/>
        </w:rPr>
        <w:t>Tel: +971 4 4358732</w:t>
      </w:r>
    </w:p>
    <w:p w14:paraId="0CC6DBC3" w14:textId="77777777" w:rsidR="00D92746" w:rsidRPr="001118C2" w:rsidRDefault="00D92746" w:rsidP="00D92746">
      <w:pPr>
        <w:spacing w:after="0" w:line="240" w:lineRule="auto"/>
        <w:jc w:val="center"/>
        <w:rPr>
          <w:rFonts w:ascii="Times New Roman" w:hAnsi="Times New Roman" w:cs="Times New Roman"/>
          <w:i/>
          <w:lang w:val="fr-FR"/>
        </w:rPr>
      </w:pPr>
      <w:proofErr w:type="gramStart"/>
      <w:r w:rsidRPr="001118C2">
        <w:rPr>
          <w:rFonts w:ascii="Times New Roman" w:hAnsi="Times New Roman" w:cs="Times New Roman"/>
          <w:lang w:val="fr-FR"/>
        </w:rPr>
        <w:t>Email:</w:t>
      </w:r>
      <w:proofErr w:type="gramEnd"/>
      <w:r w:rsidRPr="001118C2">
        <w:rPr>
          <w:rFonts w:ascii="Times New Roman" w:hAnsi="Times New Roman" w:cs="Times New Roman"/>
          <w:lang w:val="fr-FR"/>
        </w:rPr>
        <w:t xml:space="preserve"> </w:t>
      </w:r>
      <w:hyperlink r:id="rId8" w:history="1">
        <w:r w:rsidRPr="001118C2">
          <w:rPr>
            <w:rStyle w:val="Hyperlink"/>
            <w:rFonts w:ascii="Times New Roman" w:hAnsi="Times New Roman" w:cs="Times New Roman"/>
            <w:lang w:val="fr-FR"/>
          </w:rPr>
          <w:t>F.Haque@hw.ac.uk</w:t>
        </w:r>
      </w:hyperlink>
    </w:p>
    <w:p w14:paraId="43E9776B" w14:textId="77777777" w:rsidR="00D92746" w:rsidRPr="001118C2" w:rsidRDefault="00D92746" w:rsidP="00D92746">
      <w:pPr>
        <w:spacing w:line="480" w:lineRule="auto"/>
        <w:jc w:val="center"/>
        <w:rPr>
          <w:rFonts w:ascii="Times New Roman" w:hAnsi="Times New Roman" w:cs="Times New Roman"/>
          <w:lang w:val="fr-FR"/>
        </w:rPr>
      </w:pPr>
    </w:p>
    <w:p w14:paraId="6E972AD2" w14:textId="77777777" w:rsidR="00D92746" w:rsidRPr="001118C2" w:rsidRDefault="00D92746" w:rsidP="00D92746">
      <w:pPr>
        <w:spacing w:line="480" w:lineRule="auto"/>
        <w:jc w:val="center"/>
        <w:rPr>
          <w:rFonts w:ascii="Times New Roman" w:hAnsi="Times New Roman" w:cs="Times New Roman"/>
          <w:lang w:val="fr-FR"/>
        </w:rPr>
      </w:pPr>
    </w:p>
    <w:p w14:paraId="3852AA28" w14:textId="77777777" w:rsidR="00D92746" w:rsidRPr="001118C2" w:rsidRDefault="00D92746" w:rsidP="00D92746">
      <w:pPr>
        <w:pStyle w:val="PlainText"/>
        <w:jc w:val="center"/>
        <w:rPr>
          <w:rFonts w:ascii="Times New Roman" w:hAnsi="Times New Roman" w:cs="Times New Roman"/>
          <w:szCs w:val="22"/>
        </w:rPr>
      </w:pPr>
      <w:r w:rsidRPr="001118C2">
        <w:rPr>
          <w:rFonts w:ascii="Times New Roman" w:hAnsi="Times New Roman" w:cs="Times New Roman"/>
          <w:szCs w:val="22"/>
        </w:rPr>
        <w:t>Collins G. Ntim</w:t>
      </w:r>
    </w:p>
    <w:p w14:paraId="5656A1B6" w14:textId="77777777" w:rsidR="00D92746" w:rsidRPr="001118C2" w:rsidRDefault="00D92746" w:rsidP="00D92746">
      <w:pPr>
        <w:pStyle w:val="PlainText"/>
        <w:jc w:val="center"/>
        <w:rPr>
          <w:rFonts w:ascii="Times New Roman" w:hAnsi="Times New Roman" w:cs="Times New Roman"/>
          <w:szCs w:val="22"/>
        </w:rPr>
      </w:pPr>
      <w:r w:rsidRPr="001118C2">
        <w:rPr>
          <w:rFonts w:ascii="Times New Roman" w:hAnsi="Times New Roman" w:cs="Times New Roman"/>
          <w:szCs w:val="22"/>
        </w:rPr>
        <w:t>Centre of Research in Accounting, Accountability and Governance</w:t>
      </w:r>
    </w:p>
    <w:p w14:paraId="5486B382" w14:textId="77777777" w:rsidR="00D92746" w:rsidRPr="001118C2" w:rsidRDefault="00D92746" w:rsidP="00D92746">
      <w:pPr>
        <w:pStyle w:val="PlainText"/>
        <w:jc w:val="center"/>
        <w:rPr>
          <w:rFonts w:ascii="Times New Roman" w:hAnsi="Times New Roman" w:cs="Times New Roman"/>
          <w:szCs w:val="22"/>
        </w:rPr>
      </w:pPr>
      <w:r w:rsidRPr="001118C2">
        <w:rPr>
          <w:rFonts w:ascii="Times New Roman" w:hAnsi="Times New Roman" w:cs="Times New Roman"/>
          <w:szCs w:val="22"/>
        </w:rPr>
        <w:t>Department of Accounting</w:t>
      </w:r>
    </w:p>
    <w:p w14:paraId="4EA16DC0" w14:textId="77777777" w:rsidR="00D92746" w:rsidRPr="001118C2" w:rsidRDefault="00D92746" w:rsidP="00D92746">
      <w:pPr>
        <w:pStyle w:val="PlainText"/>
        <w:jc w:val="center"/>
        <w:rPr>
          <w:rFonts w:ascii="Times New Roman" w:hAnsi="Times New Roman" w:cs="Times New Roman"/>
          <w:szCs w:val="22"/>
        </w:rPr>
      </w:pPr>
      <w:r w:rsidRPr="001118C2">
        <w:rPr>
          <w:rFonts w:ascii="Times New Roman" w:hAnsi="Times New Roman" w:cs="Times New Roman"/>
          <w:szCs w:val="22"/>
        </w:rPr>
        <w:t>Southampton Business School</w:t>
      </w:r>
    </w:p>
    <w:p w14:paraId="21FC2B54" w14:textId="77777777" w:rsidR="00D92746" w:rsidRPr="001118C2" w:rsidRDefault="00D92746" w:rsidP="00D92746">
      <w:pPr>
        <w:pStyle w:val="PlainText"/>
        <w:jc w:val="center"/>
        <w:rPr>
          <w:rFonts w:ascii="Times New Roman" w:hAnsi="Times New Roman" w:cs="Times New Roman"/>
          <w:szCs w:val="22"/>
        </w:rPr>
      </w:pPr>
      <w:r w:rsidRPr="001118C2">
        <w:rPr>
          <w:rFonts w:ascii="Times New Roman" w:hAnsi="Times New Roman" w:cs="Times New Roman"/>
          <w:szCs w:val="22"/>
        </w:rPr>
        <w:t>University of Southampton</w:t>
      </w:r>
    </w:p>
    <w:p w14:paraId="6217016B" w14:textId="77777777" w:rsidR="00D92746" w:rsidRPr="001118C2" w:rsidRDefault="00D92746" w:rsidP="00D92746">
      <w:pPr>
        <w:pStyle w:val="PlainText"/>
        <w:jc w:val="center"/>
        <w:rPr>
          <w:rFonts w:ascii="Times New Roman" w:hAnsi="Times New Roman" w:cs="Times New Roman"/>
          <w:szCs w:val="22"/>
        </w:rPr>
      </w:pPr>
      <w:r w:rsidRPr="001118C2">
        <w:rPr>
          <w:rFonts w:ascii="Times New Roman" w:hAnsi="Times New Roman" w:cs="Times New Roman"/>
          <w:szCs w:val="22"/>
        </w:rPr>
        <w:t>Highfield Campus, Southampton, SO17 1BJ</w:t>
      </w:r>
    </w:p>
    <w:p w14:paraId="279E3FC9" w14:textId="77777777" w:rsidR="00D92746" w:rsidRPr="001118C2" w:rsidRDefault="00D92746" w:rsidP="00D92746">
      <w:pPr>
        <w:pStyle w:val="PlainText"/>
        <w:jc w:val="center"/>
        <w:rPr>
          <w:rFonts w:ascii="Times New Roman" w:hAnsi="Times New Roman" w:cs="Times New Roman"/>
          <w:szCs w:val="22"/>
        </w:rPr>
      </w:pPr>
      <w:r w:rsidRPr="001118C2">
        <w:rPr>
          <w:rFonts w:ascii="Times New Roman" w:hAnsi="Times New Roman" w:cs="Times New Roman"/>
          <w:szCs w:val="22"/>
        </w:rPr>
        <w:t>Tel:   +44 (0) 238 059 4285; Fax: +44 (0) 238 059 3844</w:t>
      </w:r>
    </w:p>
    <w:p w14:paraId="7D01DAA8" w14:textId="77777777" w:rsidR="00D92746" w:rsidRPr="001118C2" w:rsidRDefault="00D92746" w:rsidP="00D92746">
      <w:pPr>
        <w:pStyle w:val="PlainText"/>
        <w:jc w:val="center"/>
        <w:rPr>
          <w:rFonts w:ascii="Times New Roman" w:hAnsi="Times New Roman" w:cs="Times New Roman"/>
          <w:szCs w:val="22"/>
        </w:rPr>
      </w:pPr>
      <w:r w:rsidRPr="001118C2">
        <w:rPr>
          <w:rFonts w:ascii="Times New Roman" w:hAnsi="Times New Roman" w:cs="Times New Roman"/>
          <w:szCs w:val="22"/>
        </w:rPr>
        <w:t xml:space="preserve">E-mail: </w:t>
      </w:r>
      <w:hyperlink r:id="rId9" w:history="1">
        <w:r w:rsidRPr="001118C2">
          <w:rPr>
            <w:rStyle w:val="Hyperlink"/>
            <w:rFonts w:ascii="Times New Roman" w:hAnsi="Times New Roman" w:cs="Times New Roman"/>
            <w:szCs w:val="22"/>
          </w:rPr>
          <w:t>c.g.ntim@soton.ac.uk</w:t>
        </w:r>
      </w:hyperlink>
    </w:p>
    <w:p w14:paraId="3DDAD994" w14:textId="77777777" w:rsidR="00D92746" w:rsidRDefault="00D92746" w:rsidP="006C785C">
      <w:pPr>
        <w:spacing w:after="0" w:line="360" w:lineRule="auto"/>
        <w:jc w:val="center"/>
        <w:rPr>
          <w:rFonts w:ascii="Times New Roman" w:hAnsi="Times New Roman" w:cs="Times New Roman"/>
          <w:b/>
        </w:rPr>
      </w:pPr>
    </w:p>
    <w:p w14:paraId="14D7A194" w14:textId="77777777" w:rsidR="00D92746" w:rsidRDefault="00D92746" w:rsidP="006C785C">
      <w:pPr>
        <w:spacing w:after="0" w:line="360" w:lineRule="auto"/>
        <w:jc w:val="center"/>
        <w:rPr>
          <w:rFonts w:ascii="Times New Roman" w:hAnsi="Times New Roman" w:cs="Times New Roman"/>
          <w:b/>
        </w:rPr>
      </w:pPr>
    </w:p>
    <w:p w14:paraId="54F5C3CE" w14:textId="77777777" w:rsidR="00D92746" w:rsidRDefault="00D92746" w:rsidP="006C785C">
      <w:pPr>
        <w:spacing w:after="0" w:line="360" w:lineRule="auto"/>
        <w:jc w:val="center"/>
        <w:rPr>
          <w:rFonts w:ascii="Times New Roman" w:hAnsi="Times New Roman" w:cs="Times New Roman"/>
          <w:b/>
        </w:rPr>
      </w:pPr>
    </w:p>
    <w:p w14:paraId="18CD2277" w14:textId="77777777" w:rsidR="00D92746" w:rsidRDefault="00D92746" w:rsidP="006C785C">
      <w:pPr>
        <w:spacing w:after="0" w:line="360" w:lineRule="auto"/>
        <w:jc w:val="center"/>
        <w:rPr>
          <w:rFonts w:ascii="Times New Roman" w:hAnsi="Times New Roman" w:cs="Times New Roman"/>
          <w:b/>
        </w:rPr>
      </w:pPr>
    </w:p>
    <w:p w14:paraId="46F5074A" w14:textId="77777777" w:rsidR="00D92746" w:rsidRDefault="00D92746" w:rsidP="006C785C">
      <w:pPr>
        <w:spacing w:after="0" w:line="360" w:lineRule="auto"/>
        <w:jc w:val="center"/>
        <w:rPr>
          <w:rFonts w:ascii="Times New Roman" w:hAnsi="Times New Roman" w:cs="Times New Roman"/>
          <w:b/>
        </w:rPr>
      </w:pPr>
    </w:p>
    <w:p w14:paraId="5373179F" w14:textId="77777777" w:rsidR="00D92746" w:rsidRDefault="00D92746" w:rsidP="006C785C">
      <w:pPr>
        <w:spacing w:after="0" w:line="360" w:lineRule="auto"/>
        <w:jc w:val="center"/>
        <w:rPr>
          <w:rFonts w:ascii="Times New Roman" w:hAnsi="Times New Roman" w:cs="Times New Roman"/>
          <w:b/>
        </w:rPr>
      </w:pPr>
    </w:p>
    <w:p w14:paraId="2302C5D1" w14:textId="79619DE9" w:rsidR="00D92746" w:rsidRDefault="00D92746" w:rsidP="006C785C">
      <w:pPr>
        <w:spacing w:after="0" w:line="360" w:lineRule="auto"/>
        <w:jc w:val="center"/>
        <w:rPr>
          <w:bCs/>
        </w:rPr>
      </w:pPr>
      <w:r>
        <w:rPr>
          <w:bCs/>
        </w:rPr>
        <w:t>Please cite paper as follows:</w:t>
      </w:r>
    </w:p>
    <w:p w14:paraId="137C1F95" w14:textId="34E61E96" w:rsidR="00D92746" w:rsidRDefault="00D92746" w:rsidP="00D92746">
      <w:pPr>
        <w:spacing w:after="0" w:line="240" w:lineRule="auto"/>
        <w:jc w:val="center"/>
        <w:rPr>
          <w:rFonts w:ascii="Times New Roman" w:hAnsi="Times New Roman" w:cs="Times New Roman"/>
          <w:b/>
        </w:rPr>
      </w:pPr>
      <w:r w:rsidRPr="00221114">
        <w:rPr>
          <w:bCs/>
        </w:rPr>
        <w:t xml:space="preserve">Haque, F. and </w:t>
      </w:r>
      <w:r w:rsidRPr="00221114">
        <w:t>Ntim, C.G</w:t>
      </w:r>
      <w:r w:rsidRPr="00221114">
        <w:rPr>
          <w:bCs/>
        </w:rPr>
        <w:t xml:space="preserve">. (2020). ‘Executive Compensation, Sustainable Compensation Policy, Carbon Performance and Market Value’, </w:t>
      </w:r>
      <w:r w:rsidRPr="00221114">
        <w:rPr>
          <w:b/>
          <w:bCs/>
          <w:i/>
          <w:iCs/>
        </w:rPr>
        <w:t>British Journal of Management</w:t>
      </w:r>
      <w:r w:rsidRPr="00221114">
        <w:t xml:space="preserve">, </w:t>
      </w:r>
      <w:r>
        <w:t>Forthcoming</w:t>
      </w:r>
      <w:r w:rsidRPr="00221114">
        <w:t>.</w:t>
      </w:r>
    </w:p>
    <w:p w14:paraId="38C94A4C" w14:textId="77777777" w:rsidR="00D92746" w:rsidRDefault="00D92746" w:rsidP="006C785C">
      <w:pPr>
        <w:spacing w:after="0" w:line="360" w:lineRule="auto"/>
        <w:jc w:val="center"/>
        <w:rPr>
          <w:rFonts w:ascii="Times New Roman" w:hAnsi="Times New Roman" w:cs="Times New Roman"/>
          <w:b/>
        </w:rPr>
      </w:pPr>
    </w:p>
    <w:p w14:paraId="6FD48C85" w14:textId="77777777" w:rsidR="00D92746" w:rsidRDefault="00D92746" w:rsidP="006C785C">
      <w:pPr>
        <w:spacing w:after="0" w:line="360" w:lineRule="auto"/>
        <w:jc w:val="center"/>
        <w:rPr>
          <w:rFonts w:ascii="Times New Roman" w:hAnsi="Times New Roman" w:cs="Times New Roman"/>
          <w:b/>
        </w:rPr>
      </w:pPr>
    </w:p>
    <w:p w14:paraId="5D351166" w14:textId="1D3405F0" w:rsidR="00076739" w:rsidRPr="00BE019A" w:rsidRDefault="00076739" w:rsidP="006C785C">
      <w:pPr>
        <w:spacing w:after="0" w:line="360" w:lineRule="auto"/>
        <w:jc w:val="center"/>
        <w:rPr>
          <w:rFonts w:ascii="Times New Roman" w:hAnsi="Times New Roman" w:cs="Times New Roman"/>
          <w:b/>
        </w:rPr>
      </w:pPr>
      <w:r w:rsidRPr="00BE019A">
        <w:rPr>
          <w:rFonts w:ascii="Times New Roman" w:hAnsi="Times New Roman" w:cs="Times New Roman"/>
          <w:b/>
        </w:rPr>
        <w:lastRenderedPageBreak/>
        <w:t>Execu</w:t>
      </w:r>
      <w:r w:rsidR="00D71693" w:rsidRPr="00BE019A">
        <w:rPr>
          <w:rFonts w:ascii="Times New Roman" w:hAnsi="Times New Roman" w:cs="Times New Roman"/>
          <w:b/>
        </w:rPr>
        <w:t xml:space="preserve">tive Compensation, </w:t>
      </w:r>
      <w:r w:rsidR="002913AA" w:rsidRPr="00BE019A">
        <w:rPr>
          <w:rFonts w:ascii="Times New Roman" w:hAnsi="Times New Roman" w:cs="Times New Roman"/>
          <w:b/>
        </w:rPr>
        <w:t xml:space="preserve">Sustainable </w:t>
      </w:r>
      <w:r w:rsidR="00D71693" w:rsidRPr="00BE019A">
        <w:rPr>
          <w:rFonts w:ascii="Times New Roman" w:hAnsi="Times New Roman" w:cs="Times New Roman"/>
          <w:b/>
        </w:rPr>
        <w:t>Compensation</w:t>
      </w:r>
      <w:r w:rsidRPr="00BE019A">
        <w:rPr>
          <w:rFonts w:ascii="Times New Roman" w:hAnsi="Times New Roman" w:cs="Times New Roman"/>
          <w:b/>
        </w:rPr>
        <w:t xml:space="preserve"> Policy, </w:t>
      </w:r>
      <w:r w:rsidR="007D536D" w:rsidRPr="00BE019A">
        <w:rPr>
          <w:rFonts w:ascii="Times New Roman" w:hAnsi="Times New Roman" w:cs="Times New Roman"/>
          <w:b/>
        </w:rPr>
        <w:t>Carbon</w:t>
      </w:r>
      <w:r w:rsidRPr="00BE019A">
        <w:rPr>
          <w:rFonts w:ascii="Times New Roman" w:hAnsi="Times New Roman" w:cs="Times New Roman"/>
          <w:b/>
        </w:rPr>
        <w:t xml:space="preserve"> </w:t>
      </w:r>
      <w:r w:rsidR="007D536D" w:rsidRPr="00BE019A">
        <w:rPr>
          <w:rFonts w:ascii="Times New Roman" w:hAnsi="Times New Roman" w:cs="Times New Roman"/>
          <w:b/>
        </w:rPr>
        <w:t>Performance and Market Value</w:t>
      </w:r>
    </w:p>
    <w:p w14:paraId="62F6A157" w14:textId="3DB5C6EF" w:rsidR="009A3DAB" w:rsidRPr="00F2461F" w:rsidRDefault="00B802F9" w:rsidP="00031A0A">
      <w:pPr>
        <w:spacing w:after="0" w:line="240" w:lineRule="auto"/>
        <w:rPr>
          <w:rFonts w:ascii="Times New Roman" w:hAnsi="Times New Roman" w:cs="Times New Roman"/>
        </w:rPr>
      </w:pPr>
      <w:r w:rsidRPr="00F2461F">
        <w:rPr>
          <w:rFonts w:ascii="Times New Roman" w:hAnsi="Times New Roman" w:cs="Times New Roman"/>
        </w:rPr>
        <w:t xml:space="preserve"> </w:t>
      </w:r>
      <w:r w:rsidR="00076739">
        <w:rPr>
          <w:rFonts w:ascii="Times New Roman" w:hAnsi="Times New Roman" w:cs="Times New Roman"/>
        </w:rPr>
        <w:t xml:space="preserve">  </w:t>
      </w:r>
    </w:p>
    <w:p w14:paraId="646D3A64" w14:textId="7F1D85A6" w:rsidR="002A2654" w:rsidRPr="00F2461F" w:rsidRDefault="00FB21E2" w:rsidP="0095688E">
      <w:pPr>
        <w:spacing w:after="0"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We </w:t>
      </w:r>
      <w:r w:rsidR="002A2654" w:rsidRPr="00F2461F">
        <w:rPr>
          <w:rFonts w:ascii="Times New Roman" w:hAnsi="Times New Roman" w:cs="Times New Roman"/>
          <w:color w:val="000000" w:themeColor="text1"/>
        </w:rPr>
        <w:t xml:space="preserve">examine the interrelationships among executive compensation, </w:t>
      </w:r>
      <w:r w:rsidR="002A2654">
        <w:rPr>
          <w:rFonts w:ascii="Times New Roman" w:hAnsi="Times New Roman" w:cs="Times New Roman"/>
          <w:color w:val="000000" w:themeColor="text1"/>
        </w:rPr>
        <w:t xml:space="preserve">environmental-social-governance-based (ESG) sustainable compensation policy, </w:t>
      </w:r>
      <w:r w:rsidR="002A2654" w:rsidRPr="00F2461F">
        <w:rPr>
          <w:rFonts w:ascii="Times New Roman" w:hAnsi="Times New Roman" w:cs="Times New Roman"/>
          <w:color w:val="000000" w:themeColor="text1"/>
        </w:rPr>
        <w:t xml:space="preserve">carbon performance and </w:t>
      </w:r>
      <w:r w:rsidR="002A2654">
        <w:rPr>
          <w:rFonts w:ascii="Times New Roman" w:hAnsi="Times New Roman" w:cs="Times New Roman"/>
          <w:color w:val="000000" w:themeColor="text1"/>
        </w:rPr>
        <w:t>market</w:t>
      </w:r>
      <w:r w:rsidR="002A2654" w:rsidRPr="00F2461F">
        <w:rPr>
          <w:rFonts w:ascii="Times New Roman" w:hAnsi="Times New Roman" w:cs="Times New Roman"/>
          <w:color w:val="000000" w:themeColor="text1"/>
        </w:rPr>
        <w:t xml:space="preserve"> valu</w:t>
      </w:r>
      <w:r w:rsidR="002A2654">
        <w:rPr>
          <w:rFonts w:ascii="Times New Roman" w:hAnsi="Times New Roman" w:cs="Times New Roman"/>
          <w:color w:val="000000" w:themeColor="text1"/>
        </w:rPr>
        <w:t>e</w:t>
      </w:r>
      <w:r w:rsidR="002A2654" w:rsidRPr="00F2461F">
        <w:rPr>
          <w:rFonts w:ascii="Times New Roman" w:hAnsi="Times New Roman" w:cs="Times New Roman"/>
          <w:color w:val="000000" w:themeColor="text1"/>
        </w:rPr>
        <w:t xml:space="preserve">. </w:t>
      </w:r>
      <w:r w:rsidR="002A2654">
        <w:rPr>
          <w:rFonts w:ascii="Times New Roman" w:hAnsi="Times New Roman" w:cs="Times New Roman"/>
          <w:color w:val="000000" w:themeColor="text1"/>
        </w:rPr>
        <w:t>Using one of the largest</w:t>
      </w:r>
      <w:r w:rsidR="002A2654" w:rsidRPr="00F2461F">
        <w:rPr>
          <w:rFonts w:ascii="Times New Roman" w:hAnsi="Times New Roman" w:cs="Times New Roman"/>
          <w:color w:val="000000" w:themeColor="text1"/>
        </w:rPr>
        <w:t xml:space="preserve"> data</w:t>
      </w:r>
      <w:r w:rsidR="002A2654">
        <w:rPr>
          <w:rFonts w:ascii="Times New Roman" w:hAnsi="Times New Roman" w:cs="Times New Roman"/>
          <w:color w:val="000000" w:themeColor="text1"/>
        </w:rPr>
        <w:t>sets to-date,</w:t>
      </w:r>
      <w:r w:rsidR="002A2654" w:rsidRPr="00F2461F">
        <w:rPr>
          <w:rFonts w:ascii="Times New Roman" w:hAnsi="Times New Roman" w:cs="Times New Roman"/>
          <w:color w:val="000000" w:themeColor="text1"/>
        </w:rPr>
        <w:t xml:space="preserve"> </w:t>
      </w:r>
      <w:r w:rsidR="002A2654">
        <w:rPr>
          <w:rFonts w:ascii="Times New Roman" w:hAnsi="Times New Roman" w:cs="Times New Roman"/>
          <w:color w:val="000000" w:themeColor="text1"/>
        </w:rPr>
        <w:t>consisting of</w:t>
      </w:r>
      <w:r w:rsidR="002A2654" w:rsidRPr="00F2461F">
        <w:rPr>
          <w:rFonts w:ascii="Times New Roman" w:hAnsi="Times New Roman" w:cs="Times New Roman"/>
          <w:color w:val="000000" w:themeColor="text1"/>
        </w:rPr>
        <w:t xml:space="preserve"> 4,379 firm-year observations covering a period of 15 years (2002-2016)</w:t>
      </w:r>
      <w:r w:rsidR="002A2654">
        <w:rPr>
          <w:rFonts w:ascii="Times New Roman" w:hAnsi="Times New Roman" w:cs="Times New Roman"/>
          <w:color w:val="000000" w:themeColor="text1"/>
        </w:rPr>
        <w:t xml:space="preserve"> from 13 </w:t>
      </w:r>
      <w:r w:rsidR="00392804">
        <w:rPr>
          <w:rFonts w:ascii="Times New Roman" w:hAnsi="Times New Roman" w:cs="Times New Roman"/>
          <w:color w:val="000000" w:themeColor="text1"/>
        </w:rPr>
        <w:t>industrial</w:t>
      </w:r>
      <w:r w:rsidR="00A161A3">
        <w:rPr>
          <w:rFonts w:ascii="Times New Roman" w:hAnsi="Times New Roman" w:cs="Times New Roman"/>
          <w:color w:val="000000" w:themeColor="text1"/>
        </w:rPr>
        <w:t>ised</w:t>
      </w:r>
      <w:r w:rsidR="00392804">
        <w:rPr>
          <w:rFonts w:ascii="Times New Roman" w:hAnsi="Times New Roman" w:cs="Times New Roman"/>
          <w:color w:val="000000" w:themeColor="text1"/>
        </w:rPr>
        <w:t xml:space="preserve"> </w:t>
      </w:r>
      <w:r w:rsidR="002A2654">
        <w:rPr>
          <w:rFonts w:ascii="Times New Roman" w:hAnsi="Times New Roman" w:cs="Times New Roman"/>
          <w:color w:val="000000" w:themeColor="text1"/>
        </w:rPr>
        <w:t>Eu</w:t>
      </w:r>
      <w:r w:rsidR="00FA2CCE">
        <w:rPr>
          <w:rFonts w:ascii="Times New Roman" w:hAnsi="Times New Roman" w:cs="Times New Roman"/>
          <w:color w:val="000000" w:themeColor="text1"/>
        </w:rPr>
        <w:t>ropean c</w:t>
      </w:r>
      <w:r w:rsidR="002A2654">
        <w:rPr>
          <w:rFonts w:ascii="Times New Roman" w:hAnsi="Times New Roman" w:cs="Times New Roman"/>
          <w:color w:val="000000" w:themeColor="text1"/>
        </w:rPr>
        <w:t>ountries</w:t>
      </w:r>
      <w:r w:rsidR="007A0F13">
        <w:rPr>
          <w:rFonts w:ascii="Times New Roman" w:hAnsi="Times New Roman" w:cs="Times New Roman"/>
          <w:color w:val="000000" w:themeColor="text1"/>
        </w:rPr>
        <w:t xml:space="preserve"> and insights from neo-institutional theory</w:t>
      </w:r>
      <w:r w:rsidR="007C3CA9">
        <w:rPr>
          <w:rFonts w:ascii="Times New Roman" w:hAnsi="Times New Roman" w:cs="Times New Roman"/>
          <w:color w:val="000000" w:themeColor="text1"/>
        </w:rPr>
        <w:t xml:space="preserve"> (NIT)</w:t>
      </w:r>
      <w:r w:rsidR="002A2654">
        <w:rPr>
          <w:rFonts w:ascii="Times New Roman" w:hAnsi="Times New Roman" w:cs="Times New Roman"/>
          <w:color w:val="000000" w:themeColor="text1"/>
        </w:rPr>
        <w:t>, our findings</w:t>
      </w:r>
      <w:r w:rsidR="00F252A3">
        <w:rPr>
          <w:rFonts w:ascii="Times New Roman" w:hAnsi="Times New Roman" w:cs="Times New Roman"/>
          <w:color w:val="000000" w:themeColor="text1"/>
        </w:rPr>
        <w:t xml:space="preserve"> are</w:t>
      </w:r>
      <w:r w:rsidR="002A2654">
        <w:rPr>
          <w:rFonts w:ascii="Times New Roman" w:hAnsi="Times New Roman" w:cs="Times New Roman"/>
          <w:color w:val="000000" w:themeColor="text1"/>
        </w:rPr>
        <w:t xml:space="preserve"> </w:t>
      </w:r>
      <w:r w:rsidR="000034B9">
        <w:rPr>
          <w:rFonts w:ascii="Times New Roman" w:hAnsi="Times New Roman" w:cs="Times New Roman"/>
          <w:color w:val="000000" w:themeColor="text1"/>
        </w:rPr>
        <w:t>four-fold</w:t>
      </w:r>
      <w:r w:rsidR="00D451B2" w:rsidRPr="00F2461F">
        <w:rPr>
          <w:rFonts w:ascii="Times New Roman" w:hAnsi="Times New Roman" w:cs="Times New Roman"/>
          <w:color w:val="000000" w:themeColor="text1"/>
        </w:rPr>
        <w:t xml:space="preserve">. First, our results suggest that process-oriented carbon performance is positively associated with </w:t>
      </w:r>
      <w:r w:rsidR="00D451B2">
        <w:rPr>
          <w:rFonts w:ascii="Times New Roman" w:hAnsi="Times New Roman" w:cs="Times New Roman"/>
          <w:color w:val="000000" w:themeColor="text1"/>
        </w:rPr>
        <w:t>market value</w:t>
      </w:r>
      <w:r w:rsidR="002528D9">
        <w:rPr>
          <w:rFonts w:ascii="Times New Roman" w:hAnsi="Times New Roman" w:cs="Times New Roman"/>
          <w:color w:val="000000" w:themeColor="text1"/>
        </w:rPr>
        <w:t>, whereas</w:t>
      </w:r>
      <w:r w:rsidR="00D451B2">
        <w:rPr>
          <w:rFonts w:ascii="Times New Roman" w:hAnsi="Times New Roman" w:cs="Times New Roman"/>
          <w:color w:val="000000" w:themeColor="text1"/>
        </w:rPr>
        <w:t xml:space="preserve"> actual</w:t>
      </w:r>
      <w:r w:rsidR="0095688E">
        <w:rPr>
          <w:rFonts w:ascii="Times New Roman" w:hAnsi="Times New Roman" w:cs="Times New Roman"/>
          <w:color w:val="000000" w:themeColor="text1"/>
        </w:rPr>
        <w:t>-</w:t>
      </w:r>
      <w:r w:rsidR="00D451B2">
        <w:rPr>
          <w:rFonts w:ascii="Times New Roman" w:hAnsi="Times New Roman" w:cs="Times New Roman"/>
          <w:color w:val="000000" w:themeColor="text1"/>
        </w:rPr>
        <w:t>carbon performance has no effect on market value. Second, we show that the market value–process</w:t>
      </w:r>
      <w:r w:rsidR="0095688E">
        <w:rPr>
          <w:rFonts w:ascii="Times New Roman" w:hAnsi="Times New Roman" w:cs="Times New Roman"/>
          <w:color w:val="000000" w:themeColor="text1"/>
        </w:rPr>
        <w:t>-</w:t>
      </w:r>
      <w:r w:rsidR="00D451B2">
        <w:rPr>
          <w:rFonts w:ascii="Times New Roman" w:hAnsi="Times New Roman" w:cs="Times New Roman"/>
          <w:color w:val="000000" w:themeColor="text1"/>
        </w:rPr>
        <w:t>oriented carbon performance nexus is moderated by executive compensation</w:t>
      </w:r>
      <w:r w:rsidR="00D451B2" w:rsidRPr="00F2461F">
        <w:rPr>
          <w:rFonts w:ascii="Times New Roman" w:hAnsi="Times New Roman" w:cs="Times New Roman"/>
          <w:color w:val="000000" w:themeColor="text1"/>
        </w:rPr>
        <w:t>.</w:t>
      </w:r>
      <w:r w:rsidR="00D451B2">
        <w:rPr>
          <w:rFonts w:ascii="Times New Roman" w:hAnsi="Times New Roman" w:cs="Times New Roman"/>
          <w:color w:val="000000" w:themeColor="text1"/>
        </w:rPr>
        <w:t xml:space="preserve"> Third</w:t>
      </w:r>
      <w:r w:rsidR="00D451B2" w:rsidRPr="00F2461F">
        <w:rPr>
          <w:rFonts w:ascii="Times New Roman" w:hAnsi="Times New Roman" w:cs="Times New Roman"/>
          <w:color w:val="000000" w:themeColor="text1"/>
        </w:rPr>
        <w:t xml:space="preserve">, </w:t>
      </w:r>
      <w:r w:rsidR="00D451B2">
        <w:rPr>
          <w:rFonts w:ascii="Times New Roman" w:hAnsi="Times New Roman" w:cs="Times New Roman"/>
          <w:color w:val="000000" w:themeColor="text1"/>
        </w:rPr>
        <w:t>our results indicate</w:t>
      </w:r>
      <w:r w:rsidR="00D451B2" w:rsidRPr="00F2461F">
        <w:rPr>
          <w:rFonts w:ascii="Times New Roman" w:hAnsi="Times New Roman" w:cs="Times New Roman"/>
          <w:color w:val="000000" w:themeColor="text1"/>
        </w:rPr>
        <w:t xml:space="preserve"> that executive compensation has</w:t>
      </w:r>
      <w:r w:rsidR="00D451B2">
        <w:rPr>
          <w:rFonts w:ascii="Times New Roman" w:hAnsi="Times New Roman" w:cs="Times New Roman"/>
          <w:color w:val="000000" w:themeColor="text1"/>
        </w:rPr>
        <w:t xml:space="preserve"> a positive effect on </w:t>
      </w:r>
      <w:r w:rsidR="00D451B2" w:rsidRPr="00F2461F">
        <w:rPr>
          <w:rFonts w:ascii="Times New Roman" w:hAnsi="Times New Roman" w:cs="Times New Roman"/>
          <w:color w:val="000000" w:themeColor="text1"/>
        </w:rPr>
        <w:t>process-orien</w:t>
      </w:r>
      <w:r w:rsidR="00D451B2">
        <w:rPr>
          <w:rFonts w:ascii="Times New Roman" w:hAnsi="Times New Roman" w:cs="Times New Roman"/>
          <w:color w:val="000000" w:themeColor="text1"/>
        </w:rPr>
        <w:t>ted carbon performance,</w:t>
      </w:r>
      <w:r w:rsidR="002528D9">
        <w:rPr>
          <w:rFonts w:ascii="Times New Roman" w:hAnsi="Times New Roman" w:cs="Times New Roman"/>
          <w:color w:val="000000" w:themeColor="text1"/>
        </w:rPr>
        <w:t xml:space="preserve"> </w:t>
      </w:r>
      <w:r w:rsidR="00D451B2">
        <w:rPr>
          <w:rFonts w:ascii="Times New Roman" w:hAnsi="Times New Roman" w:cs="Times New Roman"/>
          <w:color w:val="000000" w:themeColor="text1"/>
        </w:rPr>
        <w:t>but has no similar effect on actual</w:t>
      </w:r>
      <w:r w:rsidR="0095688E">
        <w:rPr>
          <w:rFonts w:ascii="Times New Roman" w:hAnsi="Times New Roman" w:cs="Times New Roman"/>
          <w:color w:val="000000" w:themeColor="text1"/>
        </w:rPr>
        <w:t>-</w:t>
      </w:r>
      <w:r w:rsidR="00D451B2">
        <w:rPr>
          <w:rFonts w:ascii="Times New Roman" w:hAnsi="Times New Roman" w:cs="Times New Roman"/>
          <w:color w:val="000000" w:themeColor="text1"/>
        </w:rPr>
        <w:t>carbon performance. Fourth, we show that the</w:t>
      </w:r>
      <w:r w:rsidR="00D451B2" w:rsidRPr="00F2461F">
        <w:rPr>
          <w:rFonts w:ascii="Times New Roman" w:hAnsi="Times New Roman" w:cs="Times New Roman"/>
          <w:color w:val="000000" w:themeColor="text1"/>
        </w:rPr>
        <w:t xml:space="preserve"> </w:t>
      </w:r>
      <w:r w:rsidR="00D451B2">
        <w:rPr>
          <w:rFonts w:ascii="Times New Roman" w:hAnsi="Times New Roman" w:cs="Times New Roman"/>
          <w:color w:val="000000" w:themeColor="text1"/>
        </w:rPr>
        <w:t>process-oriented carbon performance–executive compensation nexus</w:t>
      </w:r>
      <w:r w:rsidR="00D451B2" w:rsidRPr="00F2461F">
        <w:rPr>
          <w:rFonts w:ascii="Times New Roman" w:hAnsi="Times New Roman" w:cs="Times New Roman"/>
          <w:color w:val="000000" w:themeColor="text1"/>
        </w:rPr>
        <w:t xml:space="preserve"> is reinforced for companies that adopt ESG-based </w:t>
      </w:r>
      <w:r w:rsidR="00D451B2">
        <w:rPr>
          <w:rFonts w:ascii="Times New Roman" w:hAnsi="Times New Roman" w:cs="Times New Roman"/>
          <w:color w:val="000000" w:themeColor="text1"/>
        </w:rPr>
        <w:t xml:space="preserve">sustainable </w:t>
      </w:r>
      <w:r w:rsidR="00D451B2" w:rsidRPr="00F2461F">
        <w:rPr>
          <w:rFonts w:ascii="Times New Roman" w:hAnsi="Times New Roman" w:cs="Times New Roman"/>
          <w:color w:val="000000" w:themeColor="text1"/>
        </w:rPr>
        <w:t xml:space="preserve">compensation policy. </w:t>
      </w:r>
      <w:r w:rsidR="00D451B2">
        <w:rPr>
          <w:rFonts w:ascii="Times New Roman" w:hAnsi="Times New Roman" w:cs="Times New Roman"/>
          <w:color w:val="000000" w:themeColor="text1"/>
        </w:rPr>
        <w:t>Our results are generally robust to controlling for governance mechanisms, alternative measures</w:t>
      </w:r>
      <w:r w:rsidR="00150AA2">
        <w:rPr>
          <w:rFonts w:ascii="Times New Roman" w:hAnsi="Times New Roman" w:cs="Times New Roman"/>
          <w:color w:val="000000" w:themeColor="text1"/>
        </w:rPr>
        <w:t>/</w:t>
      </w:r>
      <w:r w:rsidR="00D451B2">
        <w:rPr>
          <w:rFonts w:ascii="Times New Roman" w:hAnsi="Times New Roman" w:cs="Times New Roman"/>
          <w:color w:val="000000" w:themeColor="text1"/>
        </w:rPr>
        <w:t xml:space="preserve">estimations and endogeneities. </w:t>
      </w:r>
      <w:r w:rsidR="00D451B2" w:rsidRPr="00F2461F">
        <w:rPr>
          <w:rFonts w:ascii="Times New Roman" w:hAnsi="Times New Roman" w:cs="Times New Roman"/>
          <w:color w:val="000000" w:themeColor="text1"/>
        </w:rPr>
        <w:t xml:space="preserve">Overall, our evidence </w:t>
      </w:r>
      <w:r w:rsidR="007C3CA9">
        <w:rPr>
          <w:rFonts w:ascii="Times New Roman" w:hAnsi="Times New Roman" w:cs="Times New Roman"/>
          <w:color w:val="000000" w:themeColor="text1"/>
        </w:rPr>
        <w:t xml:space="preserve">supports legitimisation aspect of NIT and </w:t>
      </w:r>
      <w:r w:rsidR="00D451B2" w:rsidRPr="00F2461F">
        <w:rPr>
          <w:rFonts w:ascii="Times New Roman" w:hAnsi="Times New Roman" w:cs="Times New Roman"/>
          <w:color w:val="000000" w:themeColor="text1"/>
        </w:rPr>
        <w:t xml:space="preserve">suggests </w:t>
      </w:r>
      <w:r w:rsidR="00D451B2" w:rsidRPr="00F2461F">
        <w:rPr>
          <w:rFonts w:ascii="Times New Roman" w:hAnsi="Times New Roman" w:cs="Times New Roman"/>
        </w:rPr>
        <w:t xml:space="preserve">that </w:t>
      </w:r>
      <w:r w:rsidR="00D451B2">
        <w:rPr>
          <w:rFonts w:ascii="Times New Roman" w:hAnsi="Times New Roman" w:cs="Times New Roman"/>
        </w:rPr>
        <w:t>the market</w:t>
      </w:r>
      <w:r w:rsidR="00D451B2" w:rsidRPr="00F2461F">
        <w:rPr>
          <w:rFonts w:ascii="Times New Roman" w:hAnsi="Times New Roman" w:cs="Times New Roman"/>
        </w:rPr>
        <w:t xml:space="preserve"> tend</w:t>
      </w:r>
      <w:r w:rsidR="00D451B2">
        <w:rPr>
          <w:rFonts w:ascii="Times New Roman" w:hAnsi="Times New Roman" w:cs="Times New Roman"/>
        </w:rPr>
        <w:t>s</w:t>
      </w:r>
      <w:r w:rsidR="00D451B2" w:rsidRPr="00F2461F">
        <w:rPr>
          <w:rFonts w:ascii="Times New Roman" w:hAnsi="Times New Roman" w:cs="Times New Roman"/>
        </w:rPr>
        <w:t xml:space="preserve"> to reward firms with superior process-oriented </w:t>
      </w:r>
      <w:r w:rsidR="00D451B2">
        <w:rPr>
          <w:rFonts w:ascii="Times New Roman" w:hAnsi="Times New Roman" w:cs="Times New Roman"/>
          <w:color w:val="000000" w:themeColor="text1"/>
        </w:rPr>
        <w:t>carbon performance</w:t>
      </w:r>
      <w:r w:rsidR="00D451B2" w:rsidRPr="00F2461F">
        <w:rPr>
          <w:rFonts w:ascii="Times New Roman" w:hAnsi="Times New Roman" w:cs="Times New Roman"/>
          <w:color w:val="000000" w:themeColor="text1"/>
        </w:rPr>
        <w:t xml:space="preserve"> </w:t>
      </w:r>
      <w:r w:rsidR="00111C93">
        <w:rPr>
          <w:rFonts w:ascii="Times New Roman" w:hAnsi="Times New Roman" w:cs="Times New Roman"/>
          <w:color w:val="000000" w:themeColor="text1"/>
        </w:rPr>
        <w:t>instead of</w:t>
      </w:r>
      <w:r w:rsidR="00D451B2" w:rsidRPr="00F2461F">
        <w:rPr>
          <w:rFonts w:ascii="Times New Roman" w:hAnsi="Times New Roman" w:cs="Times New Roman"/>
          <w:color w:val="000000" w:themeColor="text1"/>
        </w:rPr>
        <w:t xml:space="preserve"> </w:t>
      </w:r>
      <w:r w:rsidR="008C62D2">
        <w:rPr>
          <w:rFonts w:ascii="Times New Roman" w:hAnsi="Times New Roman" w:cs="Times New Roman"/>
          <w:color w:val="000000" w:themeColor="text1"/>
        </w:rPr>
        <w:t>undervaluing</w:t>
      </w:r>
      <w:r w:rsidR="00D451B2" w:rsidRPr="00F2461F">
        <w:rPr>
          <w:rFonts w:ascii="Times New Roman" w:hAnsi="Times New Roman" w:cs="Times New Roman"/>
          <w:color w:val="000000" w:themeColor="text1"/>
        </w:rPr>
        <w:t xml:space="preserve"> firms with excessive </w:t>
      </w:r>
      <w:r w:rsidR="00D451B2">
        <w:rPr>
          <w:rFonts w:ascii="Times New Roman" w:hAnsi="Times New Roman" w:cs="Times New Roman"/>
          <w:color w:val="000000" w:themeColor="text1"/>
        </w:rPr>
        <w:t>actual</w:t>
      </w:r>
      <w:r w:rsidR="0095688E">
        <w:rPr>
          <w:rFonts w:ascii="Times New Roman" w:hAnsi="Times New Roman" w:cs="Times New Roman"/>
          <w:color w:val="000000" w:themeColor="text1"/>
        </w:rPr>
        <w:t>-</w:t>
      </w:r>
      <w:r w:rsidR="00D451B2">
        <w:rPr>
          <w:rFonts w:ascii="Times New Roman" w:hAnsi="Times New Roman" w:cs="Times New Roman"/>
          <w:color w:val="000000" w:themeColor="text1"/>
        </w:rPr>
        <w:t>carbon</w:t>
      </w:r>
      <w:r w:rsidR="00D451B2" w:rsidRPr="00F2461F">
        <w:rPr>
          <w:rFonts w:ascii="Times New Roman" w:hAnsi="Times New Roman" w:cs="Times New Roman"/>
          <w:color w:val="000000" w:themeColor="text1"/>
        </w:rPr>
        <w:t xml:space="preserve"> emissions.</w:t>
      </w:r>
      <w:r w:rsidR="00D451B2" w:rsidRPr="00F2461F">
        <w:rPr>
          <w:rFonts w:ascii="Times New Roman" w:hAnsi="Times New Roman" w:cs="Times New Roman"/>
          <w:color w:val="000000"/>
        </w:rPr>
        <w:t xml:space="preserve"> </w:t>
      </w:r>
      <w:r w:rsidR="00111C93">
        <w:rPr>
          <w:rFonts w:ascii="Times New Roman" w:hAnsi="Times New Roman" w:cs="Times New Roman"/>
          <w:color w:val="000000" w:themeColor="text1"/>
        </w:rPr>
        <w:t>This implies that</w:t>
      </w:r>
      <w:r w:rsidR="00D451B2" w:rsidRPr="00F2461F">
        <w:rPr>
          <w:rFonts w:ascii="Times New Roman" w:hAnsi="Times New Roman" w:cs="Times New Roman"/>
          <w:color w:val="000000" w:themeColor="text1"/>
        </w:rPr>
        <w:t xml:space="preserve"> firms </w:t>
      </w:r>
      <w:r w:rsidR="00111C93">
        <w:rPr>
          <w:rFonts w:ascii="Times New Roman" w:hAnsi="Times New Roman" w:cs="Times New Roman"/>
          <w:color w:val="000000" w:themeColor="text1"/>
        </w:rPr>
        <w:t xml:space="preserve">appear to </w:t>
      </w:r>
      <w:r w:rsidR="00D451B2" w:rsidRPr="00F2461F">
        <w:rPr>
          <w:rFonts w:ascii="Times New Roman" w:hAnsi="Times New Roman" w:cs="Times New Roman"/>
          <w:color w:val="000000" w:themeColor="text1"/>
        </w:rPr>
        <w:t>use incentive</w:t>
      </w:r>
      <w:r w:rsidR="00A1026A">
        <w:rPr>
          <w:rFonts w:ascii="Times New Roman" w:hAnsi="Times New Roman" w:cs="Times New Roman"/>
          <w:color w:val="000000" w:themeColor="text1"/>
        </w:rPr>
        <w:t>-</w:t>
      </w:r>
      <w:r w:rsidR="00D451B2" w:rsidRPr="00F2461F">
        <w:rPr>
          <w:rFonts w:ascii="Times New Roman" w:hAnsi="Times New Roman" w:cs="Times New Roman"/>
          <w:color w:val="000000" w:themeColor="text1"/>
        </w:rPr>
        <w:t xml:space="preserve">based mechanisms to </w:t>
      </w:r>
      <w:r w:rsidR="00111C93">
        <w:rPr>
          <w:rFonts w:ascii="Times New Roman" w:hAnsi="Times New Roman" w:cs="Times New Roman"/>
          <w:color w:val="000000" w:themeColor="text1"/>
        </w:rPr>
        <w:t xml:space="preserve">symbolically </w:t>
      </w:r>
      <w:r w:rsidR="00D451B2" w:rsidRPr="00F2461F">
        <w:rPr>
          <w:rFonts w:ascii="Times New Roman" w:hAnsi="Times New Roman" w:cs="Times New Roman"/>
          <w:color w:val="000000" w:themeColor="text1"/>
        </w:rPr>
        <w:t xml:space="preserve">improve </w:t>
      </w:r>
      <w:r w:rsidR="00111C93">
        <w:rPr>
          <w:rFonts w:ascii="Times New Roman" w:hAnsi="Times New Roman" w:cs="Times New Roman"/>
          <w:color w:val="000000" w:themeColor="text1"/>
        </w:rPr>
        <w:t xml:space="preserve">their </w:t>
      </w:r>
      <w:r w:rsidR="00D451B2" w:rsidRPr="00F2461F">
        <w:rPr>
          <w:rFonts w:ascii="Times New Roman" w:hAnsi="Times New Roman" w:cs="Times New Roman"/>
        </w:rPr>
        <w:t>process</w:t>
      </w:r>
      <w:r w:rsidR="00D451B2">
        <w:rPr>
          <w:rFonts w:ascii="Times New Roman" w:hAnsi="Times New Roman" w:cs="Times New Roman"/>
        </w:rPr>
        <w:t>-oriented carbon performance</w:t>
      </w:r>
      <w:r w:rsidR="00111C93">
        <w:rPr>
          <w:rFonts w:ascii="Times New Roman" w:hAnsi="Times New Roman" w:cs="Times New Roman"/>
        </w:rPr>
        <w:t xml:space="preserve"> without </w:t>
      </w:r>
      <w:r w:rsidR="00347CC0">
        <w:rPr>
          <w:rFonts w:ascii="Times New Roman" w:hAnsi="Times New Roman" w:cs="Times New Roman"/>
        </w:rPr>
        <w:t xml:space="preserve">substantively </w:t>
      </w:r>
      <w:r w:rsidR="002D74DA">
        <w:rPr>
          <w:rFonts w:ascii="Times New Roman" w:hAnsi="Times New Roman" w:cs="Times New Roman"/>
        </w:rPr>
        <w:t xml:space="preserve">improving </w:t>
      </w:r>
      <w:r w:rsidR="00111C93">
        <w:rPr>
          <w:rFonts w:ascii="Times New Roman" w:hAnsi="Times New Roman" w:cs="Times New Roman"/>
        </w:rPr>
        <w:t>their</w:t>
      </w:r>
      <w:r w:rsidR="00D451B2">
        <w:rPr>
          <w:rFonts w:ascii="Times New Roman" w:hAnsi="Times New Roman" w:cs="Times New Roman"/>
        </w:rPr>
        <w:t xml:space="preserve"> </w:t>
      </w:r>
      <w:r w:rsidR="00D451B2" w:rsidRPr="00F2461F">
        <w:rPr>
          <w:rFonts w:ascii="Times New Roman" w:hAnsi="Times New Roman" w:cs="Times New Roman"/>
        </w:rPr>
        <w:t>actual</w:t>
      </w:r>
      <w:r w:rsidR="00150AA2">
        <w:rPr>
          <w:rFonts w:ascii="Times New Roman" w:hAnsi="Times New Roman" w:cs="Times New Roman"/>
        </w:rPr>
        <w:t>-</w:t>
      </w:r>
      <w:r w:rsidR="00D451B2">
        <w:rPr>
          <w:rFonts w:ascii="Times New Roman" w:hAnsi="Times New Roman" w:cs="Times New Roman"/>
          <w:color w:val="000000" w:themeColor="text1"/>
        </w:rPr>
        <w:t>carbon performance</w:t>
      </w:r>
      <w:r w:rsidR="00D451B2" w:rsidRPr="00F2461F">
        <w:rPr>
          <w:rFonts w:ascii="Times New Roman" w:hAnsi="Times New Roman" w:cs="Times New Roman"/>
          <w:color w:val="000000" w:themeColor="text1"/>
        </w:rPr>
        <w:t>.</w:t>
      </w:r>
    </w:p>
    <w:p w14:paraId="5378BD6A" w14:textId="77777777" w:rsidR="004E6FD0" w:rsidRDefault="004E6FD0" w:rsidP="0064103E">
      <w:pPr>
        <w:spacing w:after="0" w:line="480" w:lineRule="auto"/>
        <w:jc w:val="both"/>
        <w:rPr>
          <w:rFonts w:ascii="Times New Roman" w:hAnsi="Times New Roman" w:cs="Times New Roman"/>
          <w:b/>
          <w:i/>
        </w:rPr>
      </w:pPr>
    </w:p>
    <w:p w14:paraId="42557503" w14:textId="5C5054B0" w:rsidR="009A3DAB" w:rsidRPr="00F2461F" w:rsidRDefault="009A3DAB" w:rsidP="0064103E">
      <w:pPr>
        <w:spacing w:after="0" w:line="480" w:lineRule="auto"/>
        <w:jc w:val="both"/>
        <w:rPr>
          <w:rFonts w:ascii="Times New Roman" w:hAnsi="Times New Roman" w:cs="Times New Roman"/>
        </w:rPr>
      </w:pPr>
      <w:r w:rsidRPr="00F2461F">
        <w:rPr>
          <w:rFonts w:ascii="Times New Roman" w:hAnsi="Times New Roman" w:cs="Times New Roman"/>
          <w:b/>
          <w:i/>
        </w:rPr>
        <w:t>Key words:</w:t>
      </w:r>
      <w:r w:rsidRPr="00F2461F">
        <w:rPr>
          <w:rFonts w:ascii="Times New Roman" w:hAnsi="Times New Roman" w:cs="Times New Roman"/>
        </w:rPr>
        <w:t xml:space="preserve"> Executive compensation, </w:t>
      </w:r>
      <w:r w:rsidR="008E205D" w:rsidRPr="00F2461F">
        <w:rPr>
          <w:rFonts w:ascii="Times New Roman" w:hAnsi="Times New Roman" w:cs="Times New Roman"/>
        </w:rPr>
        <w:t xml:space="preserve">ESG-based </w:t>
      </w:r>
      <w:r w:rsidR="004C59B0">
        <w:rPr>
          <w:rFonts w:ascii="Times New Roman" w:hAnsi="Times New Roman" w:cs="Times New Roman"/>
        </w:rPr>
        <w:t xml:space="preserve">sustainable </w:t>
      </w:r>
      <w:r w:rsidR="008E205D" w:rsidRPr="00F2461F">
        <w:rPr>
          <w:rFonts w:ascii="Times New Roman" w:hAnsi="Times New Roman" w:cs="Times New Roman"/>
        </w:rPr>
        <w:t xml:space="preserve">compensation policy, </w:t>
      </w:r>
      <w:r w:rsidRPr="00F2461F">
        <w:rPr>
          <w:rFonts w:ascii="Times New Roman" w:hAnsi="Times New Roman" w:cs="Times New Roman"/>
        </w:rPr>
        <w:t>carbon performance</w:t>
      </w:r>
      <w:r w:rsidR="004B4DE8">
        <w:rPr>
          <w:rFonts w:ascii="Times New Roman" w:hAnsi="Times New Roman" w:cs="Times New Roman"/>
        </w:rPr>
        <w:t xml:space="preserve"> and </w:t>
      </w:r>
      <w:r w:rsidR="00162A4E">
        <w:rPr>
          <w:rFonts w:ascii="Times New Roman" w:hAnsi="Times New Roman" w:cs="Times New Roman"/>
        </w:rPr>
        <w:t xml:space="preserve">climate change, </w:t>
      </w:r>
      <w:r w:rsidR="0058778E">
        <w:rPr>
          <w:rFonts w:ascii="Times New Roman" w:hAnsi="Times New Roman" w:cs="Times New Roman"/>
        </w:rPr>
        <w:t>corporate governance</w:t>
      </w:r>
      <w:r w:rsidRPr="00F2461F">
        <w:rPr>
          <w:rFonts w:ascii="Times New Roman" w:hAnsi="Times New Roman" w:cs="Times New Roman"/>
        </w:rPr>
        <w:t xml:space="preserve"> and </w:t>
      </w:r>
      <w:r w:rsidR="004C59B0">
        <w:rPr>
          <w:rFonts w:ascii="Times New Roman" w:hAnsi="Times New Roman" w:cs="Times New Roman"/>
        </w:rPr>
        <w:t>market value</w:t>
      </w:r>
    </w:p>
    <w:p w14:paraId="6376C2EA" w14:textId="77777777" w:rsidR="00A413DD" w:rsidRPr="00F2461F" w:rsidRDefault="00A413DD" w:rsidP="0064103E">
      <w:pPr>
        <w:spacing w:after="0" w:line="480" w:lineRule="auto"/>
        <w:rPr>
          <w:rFonts w:ascii="Times New Roman" w:hAnsi="Times New Roman" w:cs="Times New Roman"/>
        </w:rPr>
      </w:pPr>
      <w:r w:rsidRPr="00F2461F">
        <w:rPr>
          <w:rFonts w:ascii="Times New Roman" w:hAnsi="Times New Roman" w:cs="Times New Roman"/>
        </w:rPr>
        <w:br w:type="page"/>
      </w:r>
    </w:p>
    <w:p w14:paraId="16B92372" w14:textId="77777777" w:rsidR="00A413DD" w:rsidRPr="00FB3918" w:rsidRDefault="00A413DD" w:rsidP="00887D75">
      <w:pPr>
        <w:pStyle w:val="ListParagraph"/>
        <w:spacing w:before="100" w:beforeAutospacing="1" w:after="0" w:line="240" w:lineRule="auto"/>
        <w:ind w:left="0"/>
        <w:contextualSpacing w:val="0"/>
        <w:jc w:val="both"/>
        <w:rPr>
          <w:rFonts w:asciiTheme="majorBidi" w:hAnsiTheme="majorBidi" w:cstheme="majorBidi"/>
          <w:b/>
        </w:rPr>
      </w:pPr>
      <w:r w:rsidRPr="00FB3918">
        <w:rPr>
          <w:rFonts w:asciiTheme="majorBidi" w:hAnsiTheme="majorBidi" w:cstheme="majorBidi"/>
          <w:b/>
        </w:rPr>
        <w:lastRenderedPageBreak/>
        <w:t>Introduction</w:t>
      </w:r>
      <w:bookmarkStart w:id="0" w:name="_GoBack"/>
      <w:bookmarkEnd w:id="0"/>
    </w:p>
    <w:p w14:paraId="6AA4C60D" w14:textId="6869C119" w:rsidR="00BB34DB" w:rsidRPr="005103A1" w:rsidRDefault="00BB34DB" w:rsidP="00887D75">
      <w:pPr>
        <w:pStyle w:val="NormalWeb"/>
        <w:spacing w:after="0" w:afterAutospacing="0"/>
        <w:jc w:val="both"/>
        <w:rPr>
          <w:rFonts w:asciiTheme="majorBidi" w:hAnsiTheme="majorBidi" w:cstheme="majorBidi"/>
          <w:sz w:val="22"/>
          <w:szCs w:val="22"/>
          <w:lang w:val="en"/>
        </w:rPr>
      </w:pPr>
      <w:r w:rsidRPr="005103A1">
        <w:rPr>
          <w:rFonts w:asciiTheme="majorBidi" w:hAnsiTheme="majorBidi" w:cstheme="majorBidi"/>
          <w:sz w:val="22"/>
          <w:szCs w:val="22"/>
          <w:lang w:val="en"/>
        </w:rPr>
        <w:tab/>
      </w:r>
      <w:r w:rsidRPr="00FB3918">
        <w:rPr>
          <w:rFonts w:asciiTheme="majorBidi" w:hAnsiTheme="majorBidi" w:cstheme="majorBidi"/>
          <w:sz w:val="22"/>
          <w:szCs w:val="22"/>
          <w:lang w:val="en"/>
        </w:rPr>
        <w:t>“…</w:t>
      </w:r>
      <w:r w:rsidRPr="008A3C22">
        <w:rPr>
          <w:rFonts w:asciiTheme="majorBidi" w:hAnsiTheme="majorBidi" w:cstheme="majorBidi"/>
          <w:i/>
          <w:iCs/>
          <w:sz w:val="22"/>
          <w:szCs w:val="22"/>
          <w:lang w:val="en"/>
        </w:rPr>
        <w:t>According to a 2013 Glass Lewis study, 44% of companies from the S&amp;P 100 and other leading global indices linked at least some executive compensation to at least one sustai</w:t>
      </w:r>
      <w:r w:rsidRPr="005103A1">
        <w:rPr>
          <w:rFonts w:asciiTheme="majorBidi" w:hAnsiTheme="majorBidi" w:cstheme="majorBidi"/>
          <w:i/>
          <w:iCs/>
          <w:sz w:val="22"/>
          <w:szCs w:val="22"/>
          <w:lang w:val="en"/>
        </w:rPr>
        <w:t xml:space="preserve">nability criteria, up from 42% in 2012. Unfortunately, according to </w:t>
      </w:r>
      <w:proofErr w:type="spellStart"/>
      <w:r w:rsidRPr="005103A1">
        <w:rPr>
          <w:rFonts w:asciiTheme="majorBidi" w:hAnsiTheme="majorBidi" w:cstheme="majorBidi"/>
          <w:i/>
          <w:iCs/>
          <w:sz w:val="22"/>
          <w:szCs w:val="22"/>
          <w:lang w:val="en"/>
        </w:rPr>
        <w:t>Farient</w:t>
      </w:r>
      <w:proofErr w:type="spellEnd"/>
      <w:r w:rsidRPr="005103A1">
        <w:rPr>
          <w:rFonts w:asciiTheme="majorBidi" w:hAnsiTheme="majorBidi" w:cstheme="majorBidi"/>
          <w:i/>
          <w:iCs/>
          <w:sz w:val="22"/>
          <w:szCs w:val="22"/>
          <w:lang w:val="en"/>
        </w:rPr>
        <w:t xml:space="preserve"> Advisors, only 10% of the S&amp;P 100 tie executive compensation to sustainability targets</w:t>
      </w:r>
      <w:r w:rsidRPr="005103A1">
        <w:rPr>
          <w:rFonts w:asciiTheme="majorBidi" w:hAnsiTheme="majorBidi" w:cstheme="majorBidi"/>
          <w:sz w:val="22"/>
          <w:szCs w:val="22"/>
          <w:lang w:val="en"/>
        </w:rPr>
        <w:t>.” (Welsh, 2014, p.1)</w:t>
      </w:r>
      <w:r w:rsidR="00887D75" w:rsidRPr="005103A1">
        <w:rPr>
          <w:rFonts w:asciiTheme="majorBidi" w:hAnsiTheme="majorBidi" w:cstheme="majorBidi"/>
          <w:sz w:val="22"/>
          <w:szCs w:val="22"/>
          <w:lang w:val="en"/>
        </w:rPr>
        <w:t>.</w:t>
      </w:r>
    </w:p>
    <w:p w14:paraId="775F2120" w14:textId="77777777" w:rsidR="00BB34DB" w:rsidRPr="005103A1" w:rsidRDefault="00BB34DB" w:rsidP="001A4705">
      <w:pPr>
        <w:spacing w:after="0" w:line="480" w:lineRule="auto"/>
        <w:jc w:val="both"/>
        <w:rPr>
          <w:rFonts w:asciiTheme="majorBidi" w:hAnsiTheme="majorBidi" w:cstheme="majorBidi"/>
          <w:color w:val="000000" w:themeColor="text1"/>
          <w:lang w:val="en"/>
        </w:rPr>
      </w:pPr>
    </w:p>
    <w:p w14:paraId="049EF719" w14:textId="37501F52" w:rsidR="00D216B9" w:rsidRPr="005103A1" w:rsidRDefault="00BB34DB" w:rsidP="00F5235A">
      <w:pPr>
        <w:spacing w:after="0" w:line="480" w:lineRule="auto"/>
        <w:jc w:val="both"/>
        <w:rPr>
          <w:rFonts w:asciiTheme="majorBidi" w:hAnsiTheme="majorBidi" w:cstheme="majorBidi"/>
          <w:color w:val="000000" w:themeColor="text1"/>
        </w:rPr>
      </w:pPr>
      <w:r w:rsidRPr="005103A1">
        <w:rPr>
          <w:rFonts w:asciiTheme="majorBidi" w:hAnsiTheme="majorBidi" w:cstheme="majorBidi"/>
          <w:color w:val="000000" w:themeColor="text1"/>
        </w:rPr>
        <w:tab/>
      </w:r>
      <w:r w:rsidR="00084FB0" w:rsidRPr="005103A1">
        <w:rPr>
          <w:rFonts w:asciiTheme="majorBidi" w:hAnsiTheme="majorBidi" w:cstheme="majorBidi"/>
          <w:color w:val="000000" w:themeColor="text1"/>
        </w:rPr>
        <w:t xml:space="preserve">Global efforts to reduce global warming and improve climate change through </w:t>
      </w:r>
      <w:r w:rsidR="009D460B" w:rsidRPr="005103A1">
        <w:rPr>
          <w:rFonts w:asciiTheme="majorBidi" w:hAnsiTheme="majorBidi" w:cstheme="majorBidi"/>
          <w:color w:val="000000" w:themeColor="text1"/>
        </w:rPr>
        <w:t xml:space="preserve">the design and implementation of sustainable </w:t>
      </w:r>
      <w:r w:rsidR="00995C6A" w:rsidRPr="005103A1">
        <w:rPr>
          <w:rFonts w:asciiTheme="majorBidi" w:hAnsiTheme="majorBidi" w:cstheme="majorBidi"/>
          <w:color w:val="000000" w:themeColor="text1"/>
        </w:rPr>
        <w:t xml:space="preserve">global, national and corporate environmental </w:t>
      </w:r>
      <w:r w:rsidR="009D460B" w:rsidRPr="005103A1">
        <w:rPr>
          <w:rFonts w:asciiTheme="majorBidi" w:hAnsiTheme="majorBidi" w:cstheme="majorBidi"/>
          <w:color w:val="000000" w:themeColor="text1"/>
        </w:rPr>
        <w:t xml:space="preserve">management, </w:t>
      </w:r>
      <w:r w:rsidR="00995C6A" w:rsidRPr="005103A1">
        <w:rPr>
          <w:rFonts w:asciiTheme="majorBidi" w:hAnsiTheme="majorBidi" w:cstheme="majorBidi"/>
          <w:color w:val="000000" w:themeColor="text1"/>
        </w:rPr>
        <w:t>policies and regulations</w:t>
      </w:r>
      <w:r w:rsidR="009D460B" w:rsidRPr="005103A1">
        <w:rPr>
          <w:rFonts w:asciiTheme="majorBidi" w:hAnsiTheme="majorBidi" w:cstheme="majorBidi"/>
          <w:color w:val="000000" w:themeColor="text1"/>
        </w:rPr>
        <w:t>, especially those relating to carbon</w:t>
      </w:r>
      <w:r w:rsidR="0058539C" w:rsidRPr="005103A1">
        <w:rPr>
          <w:rFonts w:asciiTheme="majorBidi" w:hAnsiTheme="majorBidi" w:cstheme="majorBidi"/>
          <w:color w:val="000000" w:themeColor="text1"/>
        </w:rPr>
        <w:t xml:space="preserve"> (greenhouse gas emissions – GHG)</w:t>
      </w:r>
      <w:r w:rsidR="009D460B" w:rsidRPr="005103A1">
        <w:rPr>
          <w:rFonts w:asciiTheme="majorBidi" w:hAnsiTheme="majorBidi" w:cstheme="majorBidi"/>
          <w:color w:val="000000" w:themeColor="text1"/>
        </w:rPr>
        <w:t xml:space="preserve"> reduction initiatives have intensified over the past 30 years</w:t>
      </w:r>
      <w:r w:rsidR="003A07A9" w:rsidRPr="005103A1">
        <w:rPr>
          <w:rFonts w:asciiTheme="majorBidi" w:hAnsiTheme="majorBidi" w:cstheme="majorBidi"/>
          <w:color w:val="000000" w:themeColor="text1"/>
        </w:rPr>
        <w:t xml:space="preserve"> (</w:t>
      </w:r>
      <w:r w:rsidR="0077146B" w:rsidRPr="00FB3918">
        <w:rPr>
          <w:rFonts w:asciiTheme="majorBidi" w:hAnsiTheme="majorBidi" w:cstheme="majorBidi"/>
        </w:rPr>
        <w:t xml:space="preserve">Brooks and </w:t>
      </w:r>
      <w:proofErr w:type="spellStart"/>
      <w:r w:rsidR="0077146B" w:rsidRPr="00FB3918">
        <w:rPr>
          <w:rFonts w:asciiTheme="majorBidi" w:hAnsiTheme="majorBidi" w:cstheme="majorBidi"/>
        </w:rPr>
        <w:t>Schopohl</w:t>
      </w:r>
      <w:proofErr w:type="spellEnd"/>
      <w:r w:rsidR="0077146B" w:rsidRPr="008A3C22">
        <w:rPr>
          <w:rFonts w:asciiTheme="majorBidi" w:hAnsiTheme="majorBidi" w:cstheme="majorBidi"/>
        </w:rPr>
        <w:t>, 2019</w:t>
      </w:r>
      <w:r w:rsidR="003A07A9" w:rsidRPr="005103A1">
        <w:rPr>
          <w:rFonts w:asciiTheme="majorBidi" w:hAnsiTheme="majorBidi" w:cstheme="majorBidi"/>
          <w:color w:val="000000" w:themeColor="text1"/>
        </w:rPr>
        <w:t>)</w:t>
      </w:r>
      <w:r w:rsidR="009D460B" w:rsidRPr="005103A1">
        <w:rPr>
          <w:rFonts w:asciiTheme="majorBidi" w:hAnsiTheme="majorBidi" w:cstheme="majorBidi"/>
          <w:color w:val="000000" w:themeColor="text1"/>
        </w:rPr>
        <w:t>.</w:t>
      </w:r>
      <w:r w:rsidR="00995C6A" w:rsidRPr="005103A1">
        <w:rPr>
          <w:rFonts w:asciiTheme="majorBidi" w:hAnsiTheme="majorBidi" w:cstheme="majorBidi"/>
          <w:color w:val="000000" w:themeColor="text1"/>
        </w:rPr>
        <w:t xml:space="preserve"> </w:t>
      </w:r>
      <w:r w:rsidR="00F14685" w:rsidRPr="005103A1">
        <w:rPr>
          <w:rFonts w:asciiTheme="majorBidi" w:hAnsiTheme="majorBidi" w:cstheme="majorBidi"/>
          <w:color w:val="000000" w:themeColor="text1"/>
        </w:rPr>
        <w:t xml:space="preserve">This </w:t>
      </w:r>
      <w:r w:rsidR="00A1026A" w:rsidRPr="005103A1">
        <w:rPr>
          <w:rFonts w:asciiTheme="majorBidi" w:hAnsiTheme="majorBidi" w:cstheme="majorBidi"/>
          <w:color w:val="000000" w:themeColor="text1"/>
        </w:rPr>
        <w:t>study</w:t>
      </w:r>
      <w:r w:rsidR="009D460B" w:rsidRPr="005103A1">
        <w:rPr>
          <w:rFonts w:asciiTheme="majorBidi" w:hAnsiTheme="majorBidi" w:cstheme="majorBidi"/>
          <w:color w:val="000000" w:themeColor="text1"/>
        </w:rPr>
        <w:t>, therefore,</w:t>
      </w:r>
      <w:r w:rsidR="00A1026A" w:rsidRPr="005103A1">
        <w:rPr>
          <w:rFonts w:asciiTheme="majorBidi" w:hAnsiTheme="majorBidi" w:cstheme="majorBidi"/>
          <w:color w:val="000000" w:themeColor="text1"/>
        </w:rPr>
        <w:t xml:space="preserve"> </w:t>
      </w:r>
      <w:r w:rsidR="00F14685" w:rsidRPr="005103A1">
        <w:rPr>
          <w:rFonts w:asciiTheme="majorBidi" w:hAnsiTheme="majorBidi" w:cstheme="majorBidi"/>
          <w:color w:val="000000" w:themeColor="text1"/>
        </w:rPr>
        <w:t>s</w:t>
      </w:r>
      <w:r w:rsidR="00A1026A" w:rsidRPr="005103A1">
        <w:rPr>
          <w:rFonts w:asciiTheme="majorBidi" w:hAnsiTheme="majorBidi" w:cstheme="majorBidi"/>
          <w:color w:val="000000" w:themeColor="text1"/>
        </w:rPr>
        <w:t>eeks to make a number of</w:t>
      </w:r>
      <w:r w:rsidR="000034B9" w:rsidRPr="005103A1">
        <w:rPr>
          <w:rFonts w:asciiTheme="majorBidi" w:hAnsiTheme="majorBidi" w:cstheme="majorBidi"/>
          <w:color w:val="000000" w:themeColor="text1"/>
        </w:rPr>
        <w:t xml:space="preserve"> new contributions to the existing literature by</w:t>
      </w:r>
      <w:r w:rsidR="00D31FA6" w:rsidRPr="005103A1">
        <w:rPr>
          <w:rFonts w:asciiTheme="majorBidi" w:hAnsiTheme="majorBidi" w:cstheme="majorBidi"/>
          <w:color w:val="000000" w:themeColor="text1"/>
        </w:rPr>
        <w:t xml:space="preserve"> </w:t>
      </w:r>
      <w:r w:rsidR="00F43DCA" w:rsidRPr="005103A1">
        <w:rPr>
          <w:rFonts w:asciiTheme="majorBidi" w:hAnsiTheme="majorBidi" w:cstheme="majorBidi"/>
          <w:color w:val="000000" w:themeColor="text1"/>
        </w:rPr>
        <w:t>investigating</w:t>
      </w:r>
      <w:r w:rsidR="00F14685" w:rsidRPr="005103A1">
        <w:rPr>
          <w:rFonts w:asciiTheme="majorBidi" w:hAnsiTheme="majorBidi" w:cstheme="majorBidi"/>
          <w:color w:val="000000" w:themeColor="text1"/>
        </w:rPr>
        <w:t xml:space="preserve"> the interrelationships among executive compensation</w:t>
      </w:r>
      <w:r w:rsidR="00795A0E" w:rsidRPr="005103A1">
        <w:rPr>
          <w:rFonts w:asciiTheme="majorBidi" w:hAnsiTheme="majorBidi" w:cstheme="majorBidi"/>
          <w:color w:val="000000" w:themeColor="text1"/>
        </w:rPr>
        <w:t xml:space="preserve"> (EC)</w:t>
      </w:r>
      <w:r w:rsidR="00F14685" w:rsidRPr="005103A1">
        <w:rPr>
          <w:rFonts w:asciiTheme="majorBidi" w:hAnsiTheme="majorBidi" w:cstheme="majorBidi"/>
          <w:color w:val="000000" w:themeColor="text1"/>
        </w:rPr>
        <w:t xml:space="preserve">, </w:t>
      </w:r>
      <w:r w:rsidR="008E3954" w:rsidRPr="005103A1">
        <w:rPr>
          <w:rFonts w:asciiTheme="majorBidi" w:hAnsiTheme="majorBidi" w:cstheme="majorBidi"/>
          <w:color w:val="000000" w:themeColor="text1"/>
        </w:rPr>
        <w:t xml:space="preserve">environmental-social-governance-based (ESG) sustainable compensation policy, </w:t>
      </w:r>
      <w:r w:rsidR="00F14685" w:rsidRPr="005103A1">
        <w:rPr>
          <w:rFonts w:asciiTheme="majorBidi" w:hAnsiTheme="majorBidi" w:cstheme="majorBidi"/>
          <w:color w:val="000000" w:themeColor="text1"/>
        </w:rPr>
        <w:t>carbon performance</w:t>
      </w:r>
      <w:r w:rsidR="00795A0E" w:rsidRPr="005103A1">
        <w:rPr>
          <w:rFonts w:asciiTheme="majorBidi" w:hAnsiTheme="majorBidi" w:cstheme="majorBidi"/>
          <w:color w:val="000000" w:themeColor="text1"/>
        </w:rPr>
        <w:t xml:space="preserve"> (CP)</w:t>
      </w:r>
      <w:r w:rsidR="00F14685" w:rsidRPr="005103A1">
        <w:rPr>
          <w:rFonts w:asciiTheme="majorBidi" w:hAnsiTheme="majorBidi" w:cstheme="majorBidi"/>
          <w:color w:val="000000" w:themeColor="text1"/>
        </w:rPr>
        <w:t xml:space="preserve"> and </w:t>
      </w:r>
      <w:r w:rsidR="008E3954" w:rsidRPr="005103A1">
        <w:rPr>
          <w:rFonts w:asciiTheme="majorBidi" w:hAnsiTheme="majorBidi" w:cstheme="majorBidi"/>
          <w:color w:val="000000" w:themeColor="text1"/>
        </w:rPr>
        <w:t>market value</w:t>
      </w:r>
      <w:r w:rsidR="00795A0E" w:rsidRPr="005103A1">
        <w:rPr>
          <w:rFonts w:asciiTheme="majorBidi" w:hAnsiTheme="majorBidi" w:cstheme="majorBidi"/>
          <w:color w:val="000000" w:themeColor="text1"/>
        </w:rPr>
        <w:t xml:space="preserve"> (MV)</w:t>
      </w:r>
      <w:r w:rsidR="00597BF4" w:rsidRPr="005103A1">
        <w:rPr>
          <w:rFonts w:asciiTheme="majorBidi" w:hAnsiTheme="majorBidi" w:cstheme="majorBidi"/>
          <w:color w:val="000000" w:themeColor="text1"/>
        </w:rPr>
        <w:t>.</w:t>
      </w:r>
      <w:r w:rsidR="00F14685" w:rsidRPr="005103A1">
        <w:rPr>
          <w:rFonts w:asciiTheme="majorBidi" w:hAnsiTheme="majorBidi" w:cstheme="majorBidi"/>
          <w:color w:val="000000" w:themeColor="text1"/>
        </w:rPr>
        <w:t xml:space="preserve"> </w:t>
      </w:r>
      <w:r w:rsidR="00D216B9" w:rsidRPr="005103A1">
        <w:rPr>
          <w:rFonts w:asciiTheme="majorBidi" w:hAnsiTheme="majorBidi" w:cstheme="majorBidi"/>
          <w:color w:val="000000" w:themeColor="text1"/>
        </w:rPr>
        <w:t xml:space="preserve">Our </w:t>
      </w:r>
      <w:r w:rsidR="00E71EED" w:rsidRPr="005103A1">
        <w:rPr>
          <w:rFonts w:asciiTheme="majorBidi" w:hAnsiTheme="majorBidi" w:cstheme="majorBidi"/>
          <w:color w:val="000000" w:themeColor="text1"/>
        </w:rPr>
        <w:t xml:space="preserve">extensive </w:t>
      </w:r>
      <w:r w:rsidR="00D216B9" w:rsidRPr="005103A1">
        <w:rPr>
          <w:rFonts w:asciiTheme="majorBidi" w:hAnsiTheme="majorBidi" w:cstheme="majorBidi"/>
          <w:color w:val="000000" w:themeColor="text1"/>
        </w:rPr>
        <w:t>analys</w:t>
      </w:r>
      <w:r w:rsidR="00E71EED" w:rsidRPr="005103A1">
        <w:rPr>
          <w:rFonts w:asciiTheme="majorBidi" w:hAnsiTheme="majorBidi" w:cstheme="majorBidi"/>
          <w:color w:val="000000" w:themeColor="text1"/>
        </w:rPr>
        <w:t>e</w:t>
      </w:r>
      <w:r w:rsidR="00D216B9" w:rsidRPr="005103A1">
        <w:rPr>
          <w:rFonts w:asciiTheme="majorBidi" w:hAnsiTheme="majorBidi" w:cstheme="majorBidi"/>
          <w:color w:val="000000" w:themeColor="text1"/>
        </w:rPr>
        <w:t xml:space="preserve">s </w:t>
      </w:r>
      <w:r w:rsidR="00E71EED" w:rsidRPr="005103A1">
        <w:rPr>
          <w:rFonts w:asciiTheme="majorBidi" w:hAnsiTheme="majorBidi" w:cstheme="majorBidi"/>
          <w:color w:val="000000" w:themeColor="text1"/>
        </w:rPr>
        <w:t>are</w:t>
      </w:r>
      <w:r w:rsidR="00D216B9" w:rsidRPr="005103A1">
        <w:rPr>
          <w:rFonts w:asciiTheme="majorBidi" w:hAnsiTheme="majorBidi" w:cstheme="majorBidi"/>
          <w:color w:val="000000" w:themeColor="text1"/>
        </w:rPr>
        <w:t xml:space="preserve"> informed by </w:t>
      </w:r>
      <w:r w:rsidR="00F43DCA" w:rsidRPr="005103A1">
        <w:rPr>
          <w:rFonts w:asciiTheme="majorBidi" w:hAnsiTheme="majorBidi" w:cstheme="majorBidi"/>
          <w:color w:val="000000" w:themeColor="text1"/>
        </w:rPr>
        <w:t xml:space="preserve">theoretical </w:t>
      </w:r>
      <w:r w:rsidR="004A73D8" w:rsidRPr="005103A1">
        <w:rPr>
          <w:rFonts w:asciiTheme="majorBidi" w:hAnsiTheme="majorBidi" w:cstheme="majorBidi"/>
          <w:color w:val="000000" w:themeColor="text1"/>
        </w:rPr>
        <w:t>insights drawn from</w:t>
      </w:r>
      <w:r w:rsidR="00777A30" w:rsidRPr="005103A1">
        <w:rPr>
          <w:rFonts w:asciiTheme="majorBidi" w:hAnsiTheme="majorBidi" w:cstheme="majorBidi"/>
          <w:color w:val="000000" w:themeColor="text1"/>
        </w:rPr>
        <w:t xml:space="preserve"> a multi-dimensional</w:t>
      </w:r>
      <w:r w:rsidR="00D216B9" w:rsidRPr="005103A1">
        <w:rPr>
          <w:rFonts w:asciiTheme="majorBidi" w:hAnsiTheme="majorBidi" w:cstheme="majorBidi"/>
          <w:color w:val="000000" w:themeColor="text1"/>
        </w:rPr>
        <w:t xml:space="preserve"> neo-institutional theory</w:t>
      </w:r>
      <w:r w:rsidR="00F77F65" w:rsidRPr="005103A1">
        <w:rPr>
          <w:rFonts w:asciiTheme="majorBidi" w:hAnsiTheme="majorBidi" w:cstheme="majorBidi"/>
          <w:color w:val="000000" w:themeColor="text1"/>
        </w:rPr>
        <w:t xml:space="preserve"> (NIT)</w:t>
      </w:r>
      <w:r w:rsidR="004A73D8" w:rsidRPr="005103A1">
        <w:rPr>
          <w:rFonts w:asciiTheme="majorBidi" w:hAnsiTheme="majorBidi" w:cstheme="majorBidi"/>
          <w:color w:val="000000" w:themeColor="text1"/>
        </w:rPr>
        <w:t xml:space="preserve"> that incorporates legitimation </w:t>
      </w:r>
      <w:r w:rsidR="00457F5F" w:rsidRPr="005103A1">
        <w:rPr>
          <w:rFonts w:asciiTheme="majorBidi" w:hAnsiTheme="majorBidi" w:cstheme="majorBidi"/>
          <w:color w:val="000000" w:themeColor="text1"/>
        </w:rPr>
        <w:t>(‘symbolic’</w:t>
      </w:r>
      <w:r w:rsidR="00CD1871" w:rsidRPr="005103A1">
        <w:rPr>
          <w:rFonts w:asciiTheme="majorBidi" w:hAnsiTheme="majorBidi" w:cstheme="majorBidi"/>
          <w:color w:val="000000" w:themeColor="text1"/>
        </w:rPr>
        <w:t>/‘social’</w:t>
      </w:r>
      <w:r w:rsidR="00457F5F" w:rsidRPr="005103A1">
        <w:rPr>
          <w:rFonts w:asciiTheme="majorBidi" w:hAnsiTheme="majorBidi" w:cstheme="majorBidi"/>
          <w:color w:val="000000" w:themeColor="text1"/>
        </w:rPr>
        <w:t xml:space="preserve">) </w:t>
      </w:r>
      <w:r w:rsidR="003D18D6" w:rsidRPr="005103A1">
        <w:rPr>
          <w:rFonts w:asciiTheme="majorBidi" w:hAnsiTheme="majorBidi" w:cstheme="majorBidi"/>
          <w:color w:val="000000" w:themeColor="text1"/>
        </w:rPr>
        <w:t>and efficiency (‘substantive’</w:t>
      </w:r>
      <w:r w:rsidR="00CD1871" w:rsidRPr="005103A1">
        <w:rPr>
          <w:rFonts w:asciiTheme="majorBidi" w:hAnsiTheme="majorBidi" w:cstheme="majorBidi"/>
          <w:color w:val="000000" w:themeColor="text1"/>
        </w:rPr>
        <w:t>/</w:t>
      </w:r>
      <w:r w:rsidR="00C356DC" w:rsidRPr="005103A1">
        <w:rPr>
          <w:rFonts w:asciiTheme="majorBidi" w:hAnsiTheme="majorBidi" w:cstheme="majorBidi"/>
          <w:color w:val="000000" w:themeColor="text1"/>
        </w:rPr>
        <w:t>‘</w:t>
      </w:r>
      <w:r w:rsidR="00CD1871" w:rsidRPr="005103A1">
        <w:rPr>
          <w:rFonts w:asciiTheme="majorBidi" w:hAnsiTheme="majorBidi" w:cstheme="majorBidi"/>
          <w:color w:val="000000" w:themeColor="text1"/>
        </w:rPr>
        <w:t>economic’</w:t>
      </w:r>
      <w:r w:rsidR="003D18D6" w:rsidRPr="005103A1">
        <w:rPr>
          <w:rFonts w:asciiTheme="majorBidi" w:hAnsiTheme="majorBidi" w:cstheme="majorBidi"/>
          <w:color w:val="000000" w:themeColor="text1"/>
        </w:rPr>
        <w:t xml:space="preserve">) </w:t>
      </w:r>
      <w:r w:rsidR="004A73D8" w:rsidRPr="005103A1">
        <w:rPr>
          <w:rFonts w:asciiTheme="majorBidi" w:hAnsiTheme="majorBidi" w:cstheme="majorBidi"/>
          <w:color w:val="000000" w:themeColor="text1"/>
        </w:rPr>
        <w:t>motives</w:t>
      </w:r>
      <w:r w:rsidR="00D216B9" w:rsidRPr="005103A1">
        <w:rPr>
          <w:rFonts w:asciiTheme="majorBidi" w:hAnsiTheme="majorBidi" w:cstheme="majorBidi"/>
          <w:color w:val="000000" w:themeColor="text1"/>
        </w:rPr>
        <w:t>.</w:t>
      </w:r>
      <w:r w:rsidR="004877CD" w:rsidRPr="005103A1">
        <w:rPr>
          <w:rFonts w:asciiTheme="majorBidi" w:hAnsiTheme="majorBidi" w:cstheme="majorBidi"/>
          <w:color w:val="000000" w:themeColor="text1"/>
        </w:rPr>
        <w:t xml:space="preserve"> </w:t>
      </w:r>
    </w:p>
    <w:p w14:paraId="5DB59891" w14:textId="7D0014CF" w:rsidR="00E34A37" w:rsidRPr="005103A1" w:rsidRDefault="00BB655D" w:rsidP="00795A0E">
      <w:pPr>
        <w:spacing w:after="0" w:line="480" w:lineRule="auto"/>
        <w:ind w:firstLine="720"/>
        <w:jc w:val="both"/>
        <w:rPr>
          <w:rFonts w:asciiTheme="majorBidi" w:hAnsiTheme="majorBidi" w:cstheme="majorBidi"/>
        </w:rPr>
      </w:pPr>
      <w:r w:rsidRPr="005103A1">
        <w:rPr>
          <w:rFonts w:asciiTheme="majorBidi" w:hAnsiTheme="majorBidi" w:cstheme="majorBidi"/>
          <w:color w:val="000000" w:themeColor="text1"/>
        </w:rPr>
        <w:t xml:space="preserve">From </w:t>
      </w:r>
      <w:r w:rsidR="003E1E73" w:rsidRPr="005103A1">
        <w:rPr>
          <w:rFonts w:asciiTheme="majorBidi" w:hAnsiTheme="majorBidi" w:cstheme="majorBidi"/>
          <w:color w:val="000000" w:themeColor="text1"/>
        </w:rPr>
        <w:t xml:space="preserve">a </w:t>
      </w:r>
      <w:r w:rsidRPr="005103A1">
        <w:rPr>
          <w:rFonts w:asciiTheme="majorBidi" w:hAnsiTheme="majorBidi" w:cstheme="majorBidi"/>
          <w:color w:val="000000" w:themeColor="text1"/>
        </w:rPr>
        <w:t>theoretical</w:t>
      </w:r>
      <w:r w:rsidR="004C4D20" w:rsidRPr="005103A1">
        <w:rPr>
          <w:rFonts w:asciiTheme="majorBidi" w:hAnsiTheme="majorBidi" w:cstheme="majorBidi"/>
          <w:color w:val="000000" w:themeColor="text1"/>
        </w:rPr>
        <w:t xml:space="preserve"> perspective,</w:t>
      </w:r>
      <w:r w:rsidRPr="005103A1">
        <w:rPr>
          <w:rFonts w:asciiTheme="majorBidi" w:hAnsiTheme="majorBidi" w:cstheme="majorBidi"/>
          <w:color w:val="000000" w:themeColor="text1"/>
        </w:rPr>
        <w:t xml:space="preserve"> </w:t>
      </w:r>
      <w:r w:rsidR="00F77F65" w:rsidRPr="005103A1">
        <w:rPr>
          <w:rFonts w:asciiTheme="majorBidi" w:hAnsiTheme="majorBidi" w:cstheme="majorBidi"/>
          <w:color w:val="000000" w:themeColor="text1"/>
        </w:rPr>
        <w:t>NIT</w:t>
      </w:r>
      <w:r w:rsidR="00177775" w:rsidRPr="005103A1">
        <w:rPr>
          <w:rFonts w:asciiTheme="majorBidi" w:hAnsiTheme="majorBidi" w:cstheme="majorBidi"/>
          <w:color w:val="000000" w:themeColor="text1"/>
        </w:rPr>
        <w:t xml:space="preserve"> suggests that a firm’s response to institutional pressure</w:t>
      </w:r>
      <w:r w:rsidR="00F43C79" w:rsidRPr="005103A1">
        <w:rPr>
          <w:rFonts w:asciiTheme="majorBidi" w:hAnsiTheme="majorBidi" w:cstheme="majorBidi"/>
          <w:color w:val="000000" w:themeColor="text1"/>
        </w:rPr>
        <w:t>s</w:t>
      </w:r>
      <w:r w:rsidR="00177775" w:rsidRPr="005103A1">
        <w:rPr>
          <w:rFonts w:asciiTheme="majorBidi" w:hAnsiTheme="majorBidi" w:cstheme="majorBidi"/>
          <w:color w:val="000000" w:themeColor="text1"/>
        </w:rPr>
        <w:t xml:space="preserve"> is often driven by two motives: legitimisation </w:t>
      </w:r>
      <w:r w:rsidR="004D6B97" w:rsidRPr="005103A1">
        <w:rPr>
          <w:rFonts w:asciiTheme="majorBidi" w:hAnsiTheme="majorBidi" w:cstheme="majorBidi"/>
          <w:color w:val="000000" w:themeColor="text1"/>
        </w:rPr>
        <w:t>(</w:t>
      </w:r>
      <w:r w:rsidR="003D18D6" w:rsidRPr="005103A1">
        <w:rPr>
          <w:rFonts w:asciiTheme="majorBidi" w:hAnsiTheme="majorBidi" w:cstheme="majorBidi"/>
          <w:color w:val="000000" w:themeColor="text1"/>
        </w:rPr>
        <w:t>‘</w:t>
      </w:r>
      <w:r w:rsidR="004D6B97" w:rsidRPr="005103A1">
        <w:rPr>
          <w:rFonts w:asciiTheme="majorBidi" w:hAnsiTheme="majorBidi" w:cstheme="majorBidi"/>
          <w:color w:val="000000" w:themeColor="text1"/>
        </w:rPr>
        <w:t>symbolic</w:t>
      </w:r>
      <w:r w:rsidR="00024FB5" w:rsidRPr="005103A1">
        <w:rPr>
          <w:rFonts w:asciiTheme="majorBidi" w:hAnsiTheme="majorBidi" w:cstheme="majorBidi"/>
          <w:color w:val="000000" w:themeColor="text1"/>
        </w:rPr>
        <w:t xml:space="preserve"> – moral</w:t>
      </w:r>
      <w:r w:rsidR="00CD1871" w:rsidRPr="005103A1">
        <w:rPr>
          <w:rFonts w:asciiTheme="majorBidi" w:hAnsiTheme="majorBidi" w:cstheme="majorBidi"/>
          <w:color w:val="000000" w:themeColor="text1"/>
        </w:rPr>
        <w:t>/social</w:t>
      </w:r>
      <w:r w:rsidR="00024FB5" w:rsidRPr="005103A1">
        <w:rPr>
          <w:rFonts w:asciiTheme="majorBidi" w:hAnsiTheme="majorBidi" w:cstheme="majorBidi"/>
          <w:color w:val="000000" w:themeColor="text1"/>
        </w:rPr>
        <w:t xml:space="preserve"> view</w:t>
      </w:r>
      <w:r w:rsidR="003D18D6" w:rsidRPr="005103A1">
        <w:rPr>
          <w:rFonts w:asciiTheme="majorBidi" w:hAnsiTheme="majorBidi" w:cstheme="majorBidi"/>
          <w:color w:val="000000" w:themeColor="text1"/>
        </w:rPr>
        <w:t>’</w:t>
      </w:r>
      <w:r w:rsidR="004D6B97" w:rsidRPr="005103A1">
        <w:rPr>
          <w:rFonts w:asciiTheme="majorBidi" w:hAnsiTheme="majorBidi" w:cstheme="majorBidi"/>
          <w:color w:val="000000" w:themeColor="text1"/>
        </w:rPr>
        <w:t>)</w:t>
      </w:r>
      <w:r w:rsidR="00FB37D5">
        <w:rPr>
          <w:rFonts w:asciiTheme="majorBidi" w:hAnsiTheme="majorBidi" w:cstheme="majorBidi"/>
          <w:color w:val="000000" w:themeColor="text1"/>
        </w:rPr>
        <w:t>;</w:t>
      </w:r>
      <w:r w:rsidR="004D6B97" w:rsidRPr="005103A1">
        <w:rPr>
          <w:rFonts w:asciiTheme="majorBidi" w:hAnsiTheme="majorBidi" w:cstheme="majorBidi"/>
          <w:color w:val="000000" w:themeColor="text1"/>
        </w:rPr>
        <w:t xml:space="preserve"> </w:t>
      </w:r>
      <w:r w:rsidR="00177775" w:rsidRPr="005103A1">
        <w:rPr>
          <w:rFonts w:asciiTheme="majorBidi" w:hAnsiTheme="majorBidi" w:cstheme="majorBidi"/>
          <w:color w:val="000000" w:themeColor="text1"/>
        </w:rPr>
        <w:t>and efficiency</w:t>
      </w:r>
      <w:r w:rsidR="004C31E9" w:rsidRPr="005103A1">
        <w:rPr>
          <w:rFonts w:asciiTheme="majorBidi" w:hAnsiTheme="majorBidi" w:cstheme="majorBidi"/>
          <w:color w:val="000000" w:themeColor="text1"/>
        </w:rPr>
        <w:t xml:space="preserve"> </w:t>
      </w:r>
      <w:r w:rsidR="004D6B97" w:rsidRPr="005103A1">
        <w:rPr>
          <w:rFonts w:asciiTheme="majorBidi" w:hAnsiTheme="majorBidi" w:cstheme="majorBidi"/>
          <w:color w:val="000000" w:themeColor="text1"/>
        </w:rPr>
        <w:t>(</w:t>
      </w:r>
      <w:r w:rsidR="003D18D6" w:rsidRPr="005103A1">
        <w:rPr>
          <w:rFonts w:asciiTheme="majorBidi" w:hAnsiTheme="majorBidi" w:cstheme="majorBidi"/>
          <w:color w:val="000000" w:themeColor="text1"/>
        </w:rPr>
        <w:t>‘</w:t>
      </w:r>
      <w:r w:rsidR="004D6B97" w:rsidRPr="005103A1">
        <w:rPr>
          <w:rFonts w:asciiTheme="majorBidi" w:hAnsiTheme="majorBidi" w:cstheme="majorBidi"/>
          <w:color w:val="000000" w:themeColor="text1"/>
        </w:rPr>
        <w:t>substantive</w:t>
      </w:r>
      <w:r w:rsidR="00024FB5" w:rsidRPr="005103A1">
        <w:rPr>
          <w:rFonts w:asciiTheme="majorBidi" w:hAnsiTheme="majorBidi" w:cstheme="majorBidi"/>
          <w:color w:val="000000" w:themeColor="text1"/>
        </w:rPr>
        <w:t xml:space="preserve"> – instrumental</w:t>
      </w:r>
      <w:r w:rsidR="00CD1871" w:rsidRPr="005103A1">
        <w:rPr>
          <w:rFonts w:asciiTheme="majorBidi" w:hAnsiTheme="majorBidi" w:cstheme="majorBidi"/>
          <w:color w:val="000000" w:themeColor="text1"/>
        </w:rPr>
        <w:t>/economic</w:t>
      </w:r>
      <w:r w:rsidR="00024FB5" w:rsidRPr="005103A1">
        <w:rPr>
          <w:rFonts w:asciiTheme="majorBidi" w:hAnsiTheme="majorBidi" w:cstheme="majorBidi"/>
          <w:color w:val="000000" w:themeColor="text1"/>
        </w:rPr>
        <w:t xml:space="preserve"> view</w:t>
      </w:r>
      <w:r w:rsidR="003D18D6" w:rsidRPr="005103A1">
        <w:rPr>
          <w:rFonts w:asciiTheme="majorBidi" w:hAnsiTheme="majorBidi" w:cstheme="majorBidi"/>
          <w:color w:val="000000" w:themeColor="text1"/>
        </w:rPr>
        <w:t>’</w:t>
      </w:r>
      <w:r w:rsidR="004D6B97" w:rsidRPr="005103A1">
        <w:rPr>
          <w:rFonts w:asciiTheme="majorBidi" w:hAnsiTheme="majorBidi" w:cstheme="majorBidi"/>
          <w:color w:val="000000" w:themeColor="text1"/>
        </w:rPr>
        <w:t xml:space="preserve">) </w:t>
      </w:r>
      <w:r w:rsidR="00177775" w:rsidRPr="005103A1">
        <w:rPr>
          <w:rFonts w:asciiTheme="majorBidi" w:hAnsiTheme="majorBidi" w:cstheme="majorBidi"/>
          <w:color w:val="000000" w:themeColor="text1"/>
        </w:rPr>
        <w:t>(</w:t>
      </w:r>
      <w:r w:rsidR="00616169" w:rsidRPr="00FB3918">
        <w:rPr>
          <w:rFonts w:asciiTheme="majorBidi" w:hAnsiTheme="majorBidi" w:cstheme="majorBidi"/>
        </w:rPr>
        <w:t>Meyer and Rowan, 1977</w:t>
      </w:r>
      <w:r w:rsidR="00177775" w:rsidRPr="005103A1">
        <w:rPr>
          <w:rFonts w:asciiTheme="majorBidi" w:hAnsiTheme="majorBidi" w:cstheme="majorBidi"/>
          <w:color w:val="000000" w:themeColor="text1"/>
        </w:rPr>
        <w:t xml:space="preserve">). </w:t>
      </w:r>
      <w:r w:rsidR="003073AD" w:rsidRPr="005103A1">
        <w:rPr>
          <w:rFonts w:asciiTheme="majorBidi" w:hAnsiTheme="majorBidi" w:cstheme="majorBidi"/>
          <w:color w:val="000000" w:themeColor="text1"/>
        </w:rPr>
        <w:t>These pressures can be coercive/regulative (governments regulations), cognitive/</w:t>
      </w:r>
      <w:r w:rsidR="001C0C3B" w:rsidRPr="005103A1">
        <w:rPr>
          <w:rFonts w:asciiTheme="majorBidi" w:hAnsiTheme="majorBidi" w:cstheme="majorBidi"/>
          <w:color w:val="000000" w:themeColor="text1"/>
        </w:rPr>
        <w:t>educative/mimetic</w:t>
      </w:r>
      <w:r w:rsidR="003073AD" w:rsidRPr="005103A1">
        <w:rPr>
          <w:rFonts w:asciiTheme="majorBidi" w:hAnsiTheme="majorBidi" w:cstheme="majorBidi"/>
          <w:color w:val="000000" w:themeColor="text1"/>
        </w:rPr>
        <w:t xml:space="preserve"> (learning from/copying others) and normative (</w:t>
      </w:r>
      <w:r w:rsidR="00087C6C" w:rsidRPr="005103A1">
        <w:rPr>
          <w:rFonts w:asciiTheme="majorBidi" w:hAnsiTheme="majorBidi" w:cstheme="majorBidi"/>
          <w:color w:val="000000" w:themeColor="text1"/>
        </w:rPr>
        <w:t>global standards</w:t>
      </w:r>
      <w:r w:rsidR="003073AD" w:rsidRPr="005103A1">
        <w:rPr>
          <w:rFonts w:asciiTheme="majorBidi" w:hAnsiTheme="majorBidi" w:cstheme="majorBidi"/>
          <w:color w:val="000000" w:themeColor="text1"/>
        </w:rPr>
        <w:t>) (</w:t>
      </w:r>
      <w:r w:rsidR="00087C6C" w:rsidRPr="005103A1">
        <w:rPr>
          <w:rFonts w:asciiTheme="majorBidi" w:hAnsiTheme="majorBidi" w:cstheme="majorBidi"/>
          <w:color w:val="000000" w:themeColor="text1"/>
        </w:rPr>
        <w:t>Scott, 2001</w:t>
      </w:r>
      <w:r w:rsidR="003073AD" w:rsidRPr="005103A1">
        <w:rPr>
          <w:rFonts w:asciiTheme="majorBidi" w:hAnsiTheme="majorBidi" w:cstheme="majorBidi"/>
          <w:color w:val="000000" w:themeColor="text1"/>
        </w:rPr>
        <w:t>)</w:t>
      </w:r>
      <w:r w:rsidR="00745C8E" w:rsidRPr="005103A1">
        <w:rPr>
          <w:rFonts w:asciiTheme="majorBidi" w:hAnsiTheme="majorBidi" w:cstheme="majorBidi"/>
          <w:color w:val="000000" w:themeColor="text1"/>
        </w:rPr>
        <w:t xml:space="preserve"> that often lead to</w:t>
      </w:r>
      <w:r w:rsidR="00553AF6" w:rsidRPr="005103A1">
        <w:rPr>
          <w:rFonts w:asciiTheme="majorBidi" w:hAnsiTheme="majorBidi" w:cstheme="majorBidi"/>
          <w:color w:val="000000" w:themeColor="text1"/>
        </w:rPr>
        <w:t xml:space="preserve"> isomorphic/similar</w:t>
      </w:r>
      <w:r w:rsidR="00745C8E" w:rsidRPr="005103A1">
        <w:rPr>
          <w:rFonts w:asciiTheme="majorBidi" w:hAnsiTheme="majorBidi" w:cstheme="majorBidi"/>
          <w:color w:val="000000" w:themeColor="text1"/>
        </w:rPr>
        <w:t xml:space="preserve"> behaviour/structures (</w:t>
      </w:r>
      <w:r w:rsidR="00745C8E" w:rsidRPr="005103A1">
        <w:rPr>
          <w:rFonts w:asciiTheme="majorBidi" w:hAnsiTheme="majorBidi" w:cstheme="majorBidi"/>
        </w:rPr>
        <w:t>Powell and DiMaggio, 1991)</w:t>
      </w:r>
      <w:r w:rsidR="003073AD" w:rsidRPr="005103A1">
        <w:rPr>
          <w:rFonts w:asciiTheme="majorBidi" w:hAnsiTheme="majorBidi" w:cstheme="majorBidi"/>
          <w:color w:val="000000" w:themeColor="text1"/>
        </w:rPr>
        <w:t xml:space="preserve">. </w:t>
      </w:r>
      <w:r w:rsidR="008B4ECA" w:rsidRPr="005103A1">
        <w:rPr>
          <w:rFonts w:asciiTheme="majorBidi" w:hAnsiTheme="majorBidi" w:cstheme="majorBidi"/>
          <w:color w:val="000000" w:themeColor="text1"/>
        </w:rPr>
        <w:t>Thus, o</w:t>
      </w:r>
      <w:r w:rsidR="00042205" w:rsidRPr="005103A1">
        <w:rPr>
          <w:rFonts w:asciiTheme="majorBidi" w:hAnsiTheme="majorBidi" w:cstheme="majorBidi"/>
          <w:color w:val="000000" w:themeColor="text1"/>
        </w:rPr>
        <w:t>n the one hand and from the legitimation/moral</w:t>
      </w:r>
      <w:r w:rsidR="00CD1871" w:rsidRPr="005103A1">
        <w:rPr>
          <w:rFonts w:asciiTheme="majorBidi" w:hAnsiTheme="majorBidi" w:cstheme="majorBidi"/>
          <w:color w:val="000000" w:themeColor="text1"/>
        </w:rPr>
        <w:t>/social</w:t>
      </w:r>
      <w:r w:rsidR="00042205" w:rsidRPr="005103A1">
        <w:rPr>
          <w:rFonts w:asciiTheme="majorBidi" w:hAnsiTheme="majorBidi" w:cstheme="majorBidi"/>
          <w:color w:val="000000" w:themeColor="text1"/>
        </w:rPr>
        <w:t xml:space="preserve"> perspective</w:t>
      </w:r>
      <w:r w:rsidR="00177775" w:rsidRPr="005103A1">
        <w:rPr>
          <w:rFonts w:asciiTheme="majorBidi" w:hAnsiTheme="majorBidi" w:cstheme="majorBidi"/>
          <w:color w:val="000000" w:themeColor="text1"/>
        </w:rPr>
        <w:t>, firms may symbolically</w:t>
      </w:r>
      <w:r w:rsidR="00816D57" w:rsidRPr="005103A1">
        <w:rPr>
          <w:rFonts w:asciiTheme="majorBidi" w:hAnsiTheme="majorBidi" w:cstheme="majorBidi"/>
          <w:color w:val="000000" w:themeColor="text1"/>
        </w:rPr>
        <w:t xml:space="preserve"> (</w:t>
      </w:r>
      <w:proofErr w:type="spellStart"/>
      <w:r w:rsidR="003073AD" w:rsidRPr="00FB3918">
        <w:rPr>
          <w:rFonts w:asciiTheme="majorBidi" w:hAnsiTheme="majorBidi" w:cstheme="majorBidi"/>
        </w:rPr>
        <w:t>Ashforth</w:t>
      </w:r>
      <w:proofErr w:type="spellEnd"/>
      <w:r w:rsidR="003073AD" w:rsidRPr="00FB3918">
        <w:rPr>
          <w:rFonts w:asciiTheme="majorBidi" w:hAnsiTheme="majorBidi" w:cstheme="majorBidi"/>
        </w:rPr>
        <w:t xml:space="preserve"> and Gibbs, 1990</w:t>
      </w:r>
      <w:r w:rsidR="003073AD" w:rsidRPr="008A3C22">
        <w:rPr>
          <w:rFonts w:asciiTheme="majorBidi" w:hAnsiTheme="majorBidi" w:cstheme="majorBidi"/>
        </w:rPr>
        <w:t>)</w:t>
      </w:r>
      <w:r w:rsidR="00177775" w:rsidRPr="005103A1">
        <w:rPr>
          <w:rFonts w:asciiTheme="majorBidi" w:hAnsiTheme="majorBidi" w:cstheme="majorBidi"/>
          <w:color w:val="000000" w:themeColor="text1"/>
        </w:rPr>
        <w:t xml:space="preserve"> comply with </w:t>
      </w:r>
      <w:r w:rsidR="003073AD" w:rsidRPr="005103A1">
        <w:rPr>
          <w:rFonts w:asciiTheme="majorBidi" w:hAnsiTheme="majorBidi" w:cstheme="majorBidi"/>
          <w:color w:val="000000" w:themeColor="text1"/>
        </w:rPr>
        <w:t xml:space="preserve">such </w:t>
      </w:r>
      <w:r w:rsidR="00177775" w:rsidRPr="005103A1">
        <w:rPr>
          <w:rFonts w:asciiTheme="majorBidi" w:hAnsiTheme="majorBidi" w:cstheme="majorBidi"/>
          <w:color w:val="000000" w:themeColor="text1"/>
        </w:rPr>
        <w:t xml:space="preserve">institutional pressures </w:t>
      </w:r>
      <w:r w:rsidR="00A426A0" w:rsidRPr="005103A1">
        <w:rPr>
          <w:rFonts w:asciiTheme="majorBidi" w:hAnsiTheme="majorBidi" w:cstheme="majorBidi"/>
          <w:color w:val="000000" w:themeColor="text1"/>
        </w:rPr>
        <w:t xml:space="preserve">in order </w:t>
      </w:r>
      <w:r w:rsidR="00177775" w:rsidRPr="005103A1">
        <w:rPr>
          <w:rFonts w:asciiTheme="majorBidi" w:hAnsiTheme="majorBidi" w:cstheme="majorBidi"/>
          <w:color w:val="000000" w:themeColor="text1"/>
        </w:rPr>
        <w:t>to gain (extend), maintain, and repair (defend) o</w:t>
      </w:r>
      <w:r w:rsidR="00AF77D5" w:rsidRPr="005103A1">
        <w:rPr>
          <w:rFonts w:asciiTheme="majorBidi" w:hAnsiTheme="majorBidi" w:cstheme="majorBidi"/>
          <w:color w:val="000000" w:themeColor="text1"/>
        </w:rPr>
        <w:t>rganisational legitimacy (</w:t>
      </w:r>
      <w:proofErr w:type="spellStart"/>
      <w:r w:rsidR="00616169" w:rsidRPr="005103A1">
        <w:rPr>
          <w:rFonts w:asciiTheme="majorBidi" w:hAnsiTheme="majorBidi" w:cstheme="majorBidi"/>
          <w:color w:val="000000" w:themeColor="text1"/>
        </w:rPr>
        <w:t>Suchman</w:t>
      </w:r>
      <w:proofErr w:type="spellEnd"/>
      <w:r w:rsidR="00616169" w:rsidRPr="005103A1">
        <w:rPr>
          <w:rFonts w:asciiTheme="majorBidi" w:hAnsiTheme="majorBidi" w:cstheme="majorBidi"/>
          <w:color w:val="000000" w:themeColor="text1"/>
        </w:rPr>
        <w:t>, 1995</w:t>
      </w:r>
      <w:r w:rsidR="00177775" w:rsidRPr="005103A1">
        <w:rPr>
          <w:rFonts w:asciiTheme="majorBidi" w:hAnsiTheme="majorBidi" w:cstheme="majorBidi"/>
          <w:color w:val="000000" w:themeColor="text1"/>
        </w:rPr>
        <w:t xml:space="preserve">). </w:t>
      </w:r>
      <w:r w:rsidR="00042205" w:rsidRPr="005103A1">
        <w:rPr>
          <w:rFonts w:asciiTheme="majorBidi" w:hAnsiTheme="majorBidi" w:cstheme="majorBidi"/>
          <w:color w:val="000000" w:themeColor="text1"/>
        </w:rPr>
        <w:t>In this case</w:t>
      </w:r>
      <w:r w:rsidR="00177775" w:rsidRPr="005103A1">
        <w:rPr>
          <w:rFonts w:asciiTheme="majorBidi" w:hAnsiTheme="majorBidi" w:cstheme="majorBidi"/>
          <w:color w:val="000000" w:themeColor="text1"/>
        </w:rPr>
        <w:t xml:space="preserve">, firms may engage in </w:t>
      </w:r>
      <w:r w:rsidR="00042205" w:rsidRPr="005103A1">
        <w:rPr>
          <w:rFonts w:asciiTheme="majorBidi" w:hAnsiTheme="majorBidi" w:cstheme="majorBidi"/>
          <w:color w:val="000000" w:themeColor="text1"/>
        </w:rPr>
        <w:t>process-oriented</w:t>
      </w:r>
      <w:r w:rsidR="00F5235A" w:rsidRPr="005103A1">
        <w:rPr>
          <w:rStyle w:val="FootnoteReference"/>
          <w:rFonts w:asciiTheme="majorBidi" w:hAnsiTheme="majorBidi" w:cstheme="majorBidi"/>
          <w:color w:val="000000" w:themeColor="text1"/>
        </w:rPr>
        <w:footnoteReference w:id="2"/>
      </w:r>
      <w:r w:rsidR="00042205" w:rsidRPr="005103A1">
        <w:rPr>
          <w:rFonts w:asciiTheme="majorBidi" w:hAnsiTheme="majorBidi" w:cstheme="majorBidi"/>
          <w:color w:val="000000" w:themeColor="text1"/>
        </w:rPr>
        <w:t xml:space="preserve"> </w:t>
      </w:r>
      <w:r w:rsidR="00177775" w:rsidRPr="005103A1">
        <w:rPr>
          <w:rFonts w:asciiTheme="majorBidi" w:hAnsiTheme="majorBidi" w:cstheme="majorBidi"/>
          <w:color w:val="000000" w:themeColor="text1"/>
        </w:rPr>
        <w:t xml:space="preserve">social and environmental practices </w:t>
      </w:r>
      <w:r w:rsidR="00A57642" w:rsidRPr="005103A1">
        <w:rPr>
          <w:rFonts w:asciiTheme="majorBidi" w:hAnsiTheme="majorBidi" w:cstheme="majorBidi"/>
          <w:color w:val="000000" w:themeColor="text1"/>
        </w:rPr>
        <w:t xml:space="preserve">in order </w:t>
      </w:r>
      <w:r w:rsidR="00177775" w:rsidRPr="005103A1">
        <w:rPr>
          <w:rFonts w:asciiTheme="majorBidi" w:hAnsiTheme="majorBidi" w:cstheme="majorBidi"/>
          <w:color w:val="000000" w:themeColor="text1"/>
        </w:rPr>
        <w:t xml:space="preserve">to </w:t>
      </w:r>
      <w:r w:rsidR="00042205" w:rsidRPr="005103A1">
        <w:rPr>
          <w:rFonts w:asciiTheme="majorBidi" w:hAnsiTheme="majorBidi" w:cstheme="majorBidi"/>
          <w:color w:val="000000" w:themeColor="text1"/>
        </w:rPr>
        <w:t xml:space="preserve">primarily </w:t>
      </w:r>
      <w:r w:rsidR="00177775" w:rsidRPr="005103A1">
        <w:rPr>
          <w:rFonts w:asciiTheme="majorBidi" w:hAnsiTheme="majorBidi" w:cstheme="majorBidi"/>
          <w:color w:val="000000" w:themeColor="text1"/>
        </w:rPr>
        <w:t>enhance</w:t>
      </w:r>
      <w:r w:rsidR="003E1E73" w:rsidRPr="005103A1">
        <w:rPr>
          <w:rFonts w:asciiTheme="majorBidi" w:hAnsiTheme="majorBidi" w:cstheme="majorBidi"/>
          <w:color w:val="000000" w:themeColor="text1"/>
        </w:rPr>
        <w:t xml:space="preserve"> their</w:t>
      </w:r>
      <w:r w:rsidR="00177775" w:rsidRPr="005103A1">
        <w:rPr>
          <w:rFonts w:asciiTheme="majorBidi" w:hAnsiTheme="majorBidi" w:cstheme="majorBidi"/>
          <w:color w:val="000000" w:themeColor="text1"/>
        </w:rPr>
        <w:t xml:space="preserve"> financial </w:t>
      </w:r>
      <w:r w:rsidR="00177775" w:rsidRPr="005103A1">
        <w:rPr>
          <w:rFonts w:asciiTheme="majorBidi" w:hAnsiTheme="majorBidi" w:cstheme="majorBidi"/>
          <w:color w:val="000000" w:themeColor="text1"/>
        </w:rPr>
        <w:lastRenderedPageBreak/>
        <w:t>performance</w:t>
      </w:r>
      <w:r w:rsidR="004C31E9" w:rsidRPr="005103A1">
        <w:rPr>
          <w:rFonts w:asciiTheme="majorBidi" w:hAnsiTheme="majorBidi" w:cstheme="majorBidi"/>
          <w:color w:val="000000" w:themeColor="text1"/>
        </w:rPr>
        <w:t xml:space="preserve"> and protect shareholders’ interests</w:t>
      </w:r>
      <w:r w:rsidR="00042205" w:rsidRPr="005103A1">
        <w:rPr>
          <w:rFonts w:asciiTheme="majorBidi" w:hAnsiTheme="majorBidi" w:cstheme="majorBidi"/>
          <w:color w:val="000000" w:themeColor="text1"/>
        </w:rPr>
        <w:t xml:space="preserve">, but such process-oriented climate change activities </w:t>
      </w:r>
      <w:r w:rsidR="003E1E73" w:rsidRPr="005103A1">
        <w:rPr>
          <w:rFonts w:asciiTheme="majorBidi" w:hAnsiTheme="majorBidi" w:cstheme="majorBidi"/>
          <w:color w:val="000000" w:themeColor="text1"/>
        </w:rPr>
        <w:t>may</w:t>
      </w:r>
      <w:r w:rsidR="00042205" w:rsidRPr="005103A1">
        <w:rPr>
          <w:rFonts w:asciiTheme="majorBidi" w:hAnsiTheme="majorBidi" w:cstheme="majorBidi"/>
          <w:color w:val="000000" w:themeColor="text1"/>
        </w:rPr>
        <w:t xml:space="preserve"> not lead to improvement</w:t>
      </w:r>
      <w:r w:rsidR="006936D9" w:rsidRPr="005103A1">
        <w:rPr>
          <w:rFonts w:asciiTheme="majorBidi" w:hAnsiTheme="majorBidi" w:cstheme="majorBidi"/>
          <w:color w:val="000000" w:themeColor="text1"/>
        </w:rPr>
        <w:t>s</w:t>
      </w:r>
      <w:r w:rsidR="00042205" w:rsidRPr="005103A1">
        <w:rPr>
          <w:rFonts w:asciiTheme="majorBidi" w:hAnsiTheme="majorBidi" w:cstheme="majorBidi"/>
          <w:color w:val="000000" w:themeColor="text1"/>
        </w:rPr>
        <w:t xml:space="preserve"> in actual</w:t>
      </w:r>
      <w:r w:rsidR="00002550">
        <w:rPr>
          <w:rFonts w:asciiTheme="majorBidi" w:hAnsiTheme="majorBidi" w:cstheme="majorBidi"/>
          <w:color w:val="000000" w:themeColor="text1"/>
        </w:rPr>
        <w:t>-</w:t>
      </w:r>
      <w:r w:rsidR="00795A0E" w:rsidRPr="005103A1">
        <w:rPr>
          <w:rFonts w:asciiTheme="majorBidi" w:hAnsiTheme="majorBidi" w:cstheme="majorBidi"/>
          <w:color w:val="000000" w:themeColor="text1"/>
        </w:rPr>
        <w:t>CP</w:t>
      </w:r>
      <w:r w:rsidR="00042205" w:rsidRPr="005103A1">
        <w:rPr>
          <w:rFonts w:asciiTheme="majorBidi" w:hAnsiTheme="majorBidi" w:cstheme="majorBidi"/>
          <w:color w:val="000000" w:themeColor="text1"/>
        </w:rPr>
        <w:t xml:space="preserve"> (</w:t>
      </w:r>
      <w:r w:rsidR="00087C6C" w:rsidRPr="005103A1">
        <w:rPr>
          <w:rFonts w:asciiTheme="majorBidi" w:hAnsiTheme="majorBidi" w:cstheme="majorBidi"/>
          <w:color w:val="000000" w:themeColor="text1"/>
        </w:rPr>
        <w:t xml:space="preserve">reductions in </w:t>
      </w:r>
      <w:r w:rsidR="00042205" w:rsidRPr="005103A1">
        <w:rPr>
          <w:rFonts w:asciiTheme="majorBidi" w:hAnsiTheme="majorBidi" w:cstheme="majorBidi"/>
          <w:color w:val="000000" w:themeColor="text1"/>
        </w:rPr>
        <w:t>GHG emissions)</w:t>
      </w:r>
      <w:r w:rsidR="00177775" w:rsidRPr="005103A1">
        <w:rPr>
          <w:rFonts w:asciiTheme="majorBidi" w:hAnsiTheme="majorBidi" w:cstheme="majorBidi"/>
          <w:color w:val="000000" w:themeColor="text1"/>
        </w:rPr>
        <w:t xml:space="preserve"> (Aguilera </w:t>
      </w:r>
      <w:r w:rsidR="00177775" w:rsidRPr="005103A1">
        <w:rPr>
          <w:rFonts w:asciiTheme="majorBidi" w:hAnsiTheme="majorBidi" w:cstheme="majorBidi"/>
          <w:i/>
          <w:color w:val="000000" w:themeColor="text1"/>
        </w:rPr>
        <w:t>et al.</w:t>
      </w:r>
      <w:r w:rsidR="00177775" w:rsidRPr="005103A1">
        <w:rPr>
          <w:rFonts w:asciiTheme="majorBidi" w:hAnsiTheme="majorBidi" w:cstheme="majorBidi"/>
          <w:color w:val="000000" w:themeColor="text1"/>
        </w:rPr>
        <w:t xml:space="preserve">, 2007). </w:t>
      </w:r>
      <w:r w:rsidR="00042205" w:rsidRPr="005103A1">
        <w:rPr>
          <w:rFonts w:asciiTheme="majorBidi" w:hAnsiTheme="majorBidi" w:cstheme="majorBidi"/>
          <w:color w:val="000000" w:themeColor="text1"/>
        </w:rPr>
        <w:t xml:space="preserve">On the other </w:t>
      </w:r>
      <w:proofErr w:type="gramStart"/>
      <w:r w:rsidR="00042205" w:rsidRPr="005103A1">
        <w:rPr>
          <w:rFonts w:asciiTheme="majorBidi" w:hAnsiTheme="majorBidi" w:cstheme="majorBidi"/>
          <w:color w:val="000000" w:themeColor="text1"/>
        </w:rPr>
        <w:t>hand</w:t>
      </w:r>
      <w:proofErr w:type="gramEnd"/>
      <w:r w:rsidR="00042205" w:rsidRPr="005103A1">
        <w:rPr>
          <w:rFonts w:asciiTheme="majorBidi" w:hAnsiTheme="majorBidi" w:cstheme="majorBidi"/>
          <w:color w:val="000000" w:themeColor="text1"/>
        </w:rPr>
        <w:t xml:space="preserve"> and f</w:t>
      </w:r>
      <w:r w:rsidR="00C35822" w:rsidRPr="005103A1">
        <w:rPr>
          <w:rFonts w:asciiTheme="majorBidi" w:hAnsiTheme="majorBidi" w:cstheme="majorBidi"/>
          <w:color w:val="000000" w:themeColor="text1"/>
        </w:rPr>
        <w:t xml:space="preserve">rom </w:t>
      </w:r>
      <w:r w:rsidR="004C31E9" w:rsidRPr="005103A1">
        <w:rPr>
          <w:rFonts w:asciiTheme="majorBidi" w:hAnsiTheme="majorBidi" w:cstheme="majorBidi"/>
          <w:color w:val="000000" w:themeColor="text1"/>
        </w:rPr>
        <w:t>efficiency/instrumental</w:t>
      </w:r>
      <w:r w:rsidR="00CD1871" w:rsidRPr="005103A1">
        <w:rPr>
          <w:rFonts w:asciiTheme="majorBidi" w:hAnsiTheme="majorBidi" w:cstheme="majorBidi"/>
          <w:color w:val="000000" w:themeColor="text1"/>
        </w:rPr>
        <w:t>/economic</w:t>
      </w:r>
      <w:r w:rsidR="00C35822" w:rsidRPr="005103A1">
        <w:rPr>
          <w:rFonts w:asciiTheme="majorBidi" w:hAnsiTheme="majorBidi" w:cstheme="majorBidi"/>
          <w:color w:val="000000" w:themeColor="text1"/>
        </w:rPr>
        <w:t xml:space="preserve"> perspective</w:t>
      </w:r>
      <w:r w:rsidR="00980F5F" w:rsidRPr="005103A1">
        <w:rPr>
          <w:rFonts w:asciiTheme="majorBidi" w:hAnsiTheme="majorBidi" w:cstheme="majorBidi"/>
          <w:color w:val="000000" w:themeColor="text1"/>
        </w:rPr>
        <w:t xml:space="preserve"> (</w:t>
      </w:r>
      <w:r w:rsidR="00395605" w:rsidRPr="00FB3918">
        <w:rPr>
          <w:rFonts w:asciiTheme="majorBidi" w:hAnsiTheme="majorBidi" w:cstheme="majorBidi"/>
        </w:rPr>
        <w:t>North, 1991</w:t>
      </w:r>
      <w:r w:rsidR="00980F5F" w:rsidRPr="008A3C22">
        <w:rPr>
          <w:rFonts w:asciiTheme="majorBidi" w:hAnsiTheme="majorBidi" w:cstheme="majorBidi"/>
        </w:rPr>
        <w:t>)</w:t>
      </w:r>
      <w:r w:rsidR="002C0627" w:rsidRPr="005103A1">
        <w:rPr>
          <w:rFonts w:asciiTheme="majorBidi" w:hAnsiTheme="majorBidi" w:cstheme="majorBidi"/>
          <w:color w:val="000000" w:themeColor="text1"/>
        </w:rPr>
        <w:t xml:space="preserve">, </w:t>
      </w:r>
      <w:r w:rsidR="004C31E9" w:rsidRPr="005103A1">
        <w:rPr>
          <w:rFonts w:asciiTheme="majorBidi" w:hAnsiTheme="majorBidi" w:cstheme="majorBidi"/>
          <w:color w:val="000000" w:themeColor="text1"/>
        </w:rPr>
        <w:t xml:space="preserve">firms </w:t>
      </w:r>
      <w:r w:rsidR="00A57642" w:rsidRPr="005103A1">
        <w:rPr>
          <w:rFonts w:asciiTheme="majorBidi" w:hAnsiTheme="majorBidi" w:cstheme="majorBidi"/>
          <w:color w:val="000000" w:themeColor="text1"/>
        </w:rPr>
        <w:t xml:space="preserve">are more likely </w:t>
      </w:r>
      <w:r w:rsidR="00024B49" w:rsidRPr="005103A1">
        <w:rPr>
          <w:rFonts w:asciiTheme="majorBidi" w:hAnsiTheme="majorBidi" w:cstheme="majorBidi"/>
          <w:color w:val="000000" w:themeColor="text1"/>
        </w:rPr>
        <w:t xml:space="preserve">to </w:t>
      </w:r>
      <w:r w:rsidR="004C31E9" w:rsidRPr="005103A1">
        <w:rPr>
          <w:rFonts w:asciiTheme="majorBidi" w:hAnsiTheme="majorBidi" w:cstheme="majorBidi"/>
          <w:color w:val="000000" w:themeColor="text1"/>
        </w:rPr>
        <w:t xml:space="preserve">engage in </w:t>
      </w:r>
      <w:r w:rsidR="00024FB5" w:rsidRPr="005103A1">
        <w:rPr>
          <w:rFonts w:asciiTheme="majorBidi" w:hAnsiTheme="majorBidi" w:cstheme="majorBidi"/>
          <w:color w:val="000000" w:themeColor="text1"/>
        </w:rPr>
        <w:t>substantive</w:t>
      </w:r>
      <w:r w:rsidR="00657555" w:rsidRPr="005103A1">
        <w:rPr>
          <w:rFonts w:asciiTheme="majorBidi" w:hAnsiTheme="majorBidi" w:cstheme="majorBidi"/>
          <w:color w:val="000000" w:themeColor="text1"/>
        </w:rPr>
        <w:t xml:space="preserve"> economically efficient</w:t>
      </w:r>
      <w:r w:rsidR="008C438E" w:rsidRPr="005103A1">
        <w:rPr>
          <w:rFonts w:asciiTheme="majorBidi" w:hAnsiTheme="majorBidi" w:cstheme="majorBidi"/>
          <w:color w:val="000000" w:themeColor="text1"/>
        </w:rPr>
        <w:t>/cost reducing</w:t>
      </w:r>
      <w:r w:rsidR="00A57642" w:rsidRPr="005103A1">
        <w:rPr>
          <w:rFonts w:asciiTheme="majorBidi" w:hAnsiTheme="majorBidi" w:cstheme="majorBidi"/>
          <w:color w:val="000000" w:themeColor="text1"/>
        </w:rPr>
        <w:t xml:space="preserve"> </w:t>
      </w:r>
      <w:r w:rsidR="004C31E9" w:rsidRPr="005103A1">
        <w:rPr>
          <w:rFonts w:asciiTheme="majorBidi" w:hAnsiTheme="majorBidi" w:cstheme="majorBidi"/>
          <w:color w:val="000000" w:themeColor="text1"/>
        </w:rPr>
        <w:t xml:space="preserve">climate related initiatives </w:t>
      </w:r>
      <w:r w:rsidR="00024FB5" w:rsidRPr="005103A1">
        <w:rPr>
          <w:rFonts w:asciiTheme="majorBidi" w:hAnsiTheme="majorBidi" w:cstheme="majorBidi"/>
          <w:color w:val="000000" w:themeColor="text1"/>
        </w:rPr>
        <w:t xml:space="preserve">that can subsequently enhance </w:t>
      </w:r>
      <w:r w:rsidR="008C438E" w:rsidRPr="005103A1">
        <w:rPr>
          <w:rFonts w:asciiTheme="majorBidi" w:hAnsiTheme="majorBidi" w:cstheme="majorBidi"/>
          <w:color w:val="000000" w:themeColor="text1"/>
        </w:rPr>
        <w:t xml:space="preserve">both </w:t>
      </w:r>
      <w:r w:rsidR="00027BE9" w:rsidRPr="005103A1">
        <w:rPr>
          <w:rFonts w:asciiTheme="majorBidi" w:hAnsiTheme="majorBidi" w:cstheme="majorBidi"/>
          <w:color w:val="000000" w:themeColor="text1"/>
        </w:rPr>
        <w:t xml:space="preserve">their </w:t>
      </w:r>
      <w:r w:rsidR="00024FB5" w:rsidRPr="005103A1">
        <w:rPr>
          <w:rFonts w:asciiTheme="majorBidi" w:hAnsiTheme="majorBidi" w:cstheme="majorBidi"/>
          <w:color w:val="000000" w:themeColor="text1"/>
        </w:rPr>
        <w:t>actual</w:t>
      </w:r>
      <w:r w:rsidR="00977286">
        <w:rPr>
          <w:rFonts w:asciiTheme="majorBidi" w:hAnsiTheme="majorBidi" w:cstheme="majorBidi"/>
          <w:color w:val="000000" w:themeColor="text1"/>
        </w:rPr>
        <w:t>-</w:t>
      </w:r>
      <w:r w:rsidR="00795A0E" w:rsidRPr="005103A1">
        <w:rPr>
          <w:rFonts w:asciiTheme="majorBidi" w:hAnsiTheme="majorBidi" w:cstheme="majorBidi"/>
          <w:color w:val="000000" w:themeColor="text1"/>
        </w:rPr>
        <w:t>CP</w:t>
      </w:r>
      <w:r w:rsidR="00024FB5" w:rsidRPr="005103A1">
        <w:rPr>
          <w:rFonts w:asciiTheme="majorBidi" w:hAnsiTheme="majorBidi" w:cstheme="majorBidi"/>
          <w:color w:val="000000" w:themeColor="text1"/>
        </w:rPr>
        <w:t xml:space="preserve"> (GHG emissions</w:t>
      </w:r>
      <w:r w:rsidR="00931277" w:rsidRPr="005103A1">
        <w:rPr>
          <w:rFonts w:asciiTheme="majorBidi" w:hAnsiTheme="majorBidi" w:cstheme="majorBidi"/>
          <w:color w:val="000000" w:themeColor="text1"/>
        </w:rPr>
        <w:t xml:space="preserve"> reduction</w:t>
      </w:r>
      <w:r w:rsidR="00024FB5" w:rsidRPr="005103A1">
        <w:rPr>
          <w:rFonts w:asciiTheme="majorBidi" w:hAnsiTheme="majorBidi" w:cstheme="majorBidi"/>
          <w:color w:val="000000" w:themeColor="text1"/>
        </w:rPr>
        <w:t xml:space="preserve">) </w:t>
      </w:r>
      <w:r w:rsidR="0007760F" w:rsidRPr="005103A1">
        <w:rPr>
          <w:rFonts w:asciiTheme="majorBidi" w:hAnsiTheme="majorBidi" w:cstheme="majorBidi"/>
          <w:color w:val="000000" w:themeColor="text1"/>
        </w:rPr>
        <w:t>and</w:t>
      </w:r>
      <w:r w:rsidR="00F82FA7" w:rsidRPr="005103A1">
        <w:rPr>
          <w:rFonts w:asciiTheme="majorBidi" w:hAnsiTheme="majorBidi" w:cstheme="majorBidi"/>
          <w:color w:val="000000" w:themeColor="text1"/>
        </w:rPr>
        <w:t xml:space="preserve"> </w:t>
      </w:r>
      <w:r w:rsidR="00795A0E" w:rsidRPr="005103A1">
        <w:rPr>
          <w:rFonts w:asciiTheme="majorBidi" w:hAnsiTheme="majorBidi" w:cstheme="majorBidi"/>
          <w:color w:val="000000" w:themeColor="text1"/>
        </w:rPr>
        <w:t>MV</w:t>
      </w:r>
      <w:r w:rsidR="002D4D7F" w:rsidRPr="005103A1">
        <w:rPr>
          <w:rFonts w:asciiTheme="majorBidi" w:hAnsiTheme="majorBidi" w:cstheme="majorBidi"/>
          <w:color w:val="000000" w:themeColor="text1"/>
        </w:rPr>
        <w:t xml:space="preserve">. </w:t>
      </w:r>
      <w:r w:rsidR="002D4D7F" w:rsidRPr="005103A1">
        <w:rPr>
          <w:rFonts w:asciiTheme="majorBidi" w:hAnsiTheme="majorBidi" w:cstheme="majorBidi"/>
        </w:rPr>
        <w:t>The resulting substantive improvement</w:t>
      </w:r>
      <w:r w:rsidR="006936D9" w:rsidRPr="005103A1">
        <w:rPr>
          <w:rFonts w:asciiTheme="majorBidi" w:hAnsiTheme="majorBidi" w:cstheme="majorBidi"/>
        </w:rPr>
        <w:t>s</w:t>
      </w:r>
      <w:r w:rsidR="002D4D7F" w:rsidRPr="005103A1">
        <w:rPr>
          <w:rFonts w:asciiTheme="majorBidi" w:hAnsiTheme="majorBidi" w:cstheme="majorBidi"/>
        </w:rPr>
        <w:t xml:space="preserve"> in </w:t>
      </w:r>
      <w:r w:rsidR="00977286">
        <w:rPr>
          <w:rFonts w:asciiTheme="majorBidi" w:hAnsiTheme="majorBidi" w:cstheme="majorBidi"/>
        </w:rPr>
        <w:t>actual-</w:t>
      </w:r>
      <w:r w:rsidR="00795A0E" w:rsidRPr="005103A1">
        <w:rPr>
          <w:rFonts w:asciiTheme="majorBidi" w:hAnsiTheme="majorBidi" w:cstheme="majorBidi"/>
        </w:rPr>
        <w:t>CP</w:t>
      </w:r>
      <w:r w:rsidR="0032572F" w:rsidRPr="005103A1">
        <w:rPr>
          <w:rFonts w:asciiTheme="majorBidi" w:hAnsiTheme="majorBidi" w:cstheme="majorBidi"/>
        </w:rPr>
        <w:t xml:space="preserve"> (</w:t>
      </w:r>
      <w:r w:rsidR="00393496" w:rsidRPr="0074464D">
        <w:rPr>
          <w:rFonts w:asciiTheme="majorBidi" w:hAnsiTheme="majorBidi" w:cstheme="majorBidi"/>
        </w:rPr>
        <w:t xml:space="preserve">Arena </w:t>
      </w:r>
      <w:r w:rsidR="00393496" w:rsidRPr="0074464D">
        <w:rPr>
          <w:rFonts w:asciiTheme="majorBidi" w:hAnsiTheme="majorBidi" w:cstheme="majorBidi"/>
          <w:i/>
          <w:iCs/>
        </w:rPr>
        <w:t>et al</w:t>
      </w:r>
      <w:r w:rsidR="00393496" w:rsidRPr="0074464D">
        <w:rPr>
          <w:rFonts w:asciiTheme="majorBidi" w:hAnsiTheme="majorBidi" w:cstheme="majorBidi"/>
        </w:rPr>
        <w:t>.., 2018</w:t>
      </w:r>
      <w:r w:rsidR="0042374F" w:rsidRPr="009F03A0">
        <w:rPr>
          <w:rFonts w:asciiTheme="majorBidi" w:hAnsiTheme="majorBidi" w:cstheme="majorBidi"/>
        </w:rPr>
        <w:t xml:space="preserve">; Clarkson </w:t>
      </w:r>
      <w:r w:rsidR="0042374F" w:rsidRPr="006C1347">
        <w:rPr>
          <w:rFonts w:asciiTheme="majorBidi" w:hAnsiTheme="majorBidi" w:cstheme="majorBidi"/>
          <w:i/>
          <w:iCs/>
        </w:rPr>
        <w:t>et al</w:t>
      </w:r>
      <w:r w:rsidR="0042374F" w:rsidRPr="00BB5557">
        <w:rPr>
          <w:rFonts w:asciiTheme="majorBidi" w:hAnsiTheme="majorBidi" w:cstheme="majorBidi"/>
        </w:rPr>
        <w:t>., 2015</w:t>
      </w:r>
      <w:r w:rsidR="0032572F" w:rsidRPr="005103A1">
        <w:rPr>
          <w:rFonts w:asciiTheme="majorBidi" w:hAnsiTheme="majorBidi" w:cstheme="majorBidi"/>
        </w:rPr>
        <w:t>)</w:t>
      </w:r>
      <w:r w:rsidR="002D4D7F" w:rsidRPr="005103A1">
        <w:rPr>
          <w:rFonts w:asciiTheme="majorBidi" w:hAnsiTheme="majorBidi" w:cstheme="majorBidi"/>
        </w:rPr>
        <w:t xml:space="preserve"> will not only</w:t>
      </w:r>
      <w:r w:rsidR="002C0627" w:rsidRPr="005103A1">
        <w:rPr>
          <w:rFonts w:asciiTheme="majorBidi" w:hAnsiTheme="majorBidi" w:cstheme="majorBidi"/>
        </w:rPr>
        <w:t xml:space="preserve"> serve the interests of </w:t>
      </w:r>
      <w:r w:rsidR="002D4D7F" w:rsidRPr="005103A1">
        <w:rPr>
          <w:rFonts w:asciiTheme="majorBidi" w:hAnsiTheme="majorBidi" w:cstheme="majorBidi"/>
        </w:rPr>
        <w:t xml:space="preserve">corporate </w:t>
      </w:r>
      <w:r w:rsidR="002C0627" w:rsidRPr="005103A1">
        <w:rPr>
          <w:rFonts w:asciiTheme="majorBidi" w:hAnsiTheme="majorBidi" w:cstheme="majorBidi"/>
        </w:rPr>
        <w:t>sharehold</w:t>
      </w:r>
      <w:r w:rsidR="00CB4DB3" w:rsidRPr="005103A1">
        <w:rPr>
          <w:rFonts w:asciiTheme="majorBidi" w:hAnsiTheme="majorBidi" w:cstheme="majorBidi"/>
        </w:rPr>
        <w:t>ers and executives</w:t>
      </w:r>
      <w:r w:rsidR="002D4D7F" w:rsidRPr="005103A1">
        <w:rPr>
          <w:rFonts w:asciiTheme="majorBidi" w:hAnsiTheme="majorBidi" w:cstheme="majorBidi"/>
        </w:rPr>
        <w:t>, but also the larger</w:t>
      </w:r>
      <w:r w:rsidR="006D4A28" w:rsidRPr="005103A1">
        <w:rPr>
          <w:rFonts w:asciiTheme="majorBidi" w:hAnsiTheme="majorBidi" w:cstheme="majorBidi"/>
        </w:rPr>
        <w:t xml:space="preserve"> environment</w:t>
      </w:r>
      <w:r w:rsidR="005106B3" w:rsidRPr="005103A1">
        <w:rPr>
          <w:rFonts w:asciiTheme="majorBidi" w:hAnsiTheme="majorBidi" w:cstheme="majorBidi"/>
        </w:rPr>
        <w:t>/</w:t>
      </w:r>
      <w:r w:rsidR="002D4D7F" w:rsidRPr="005103A1">
        <w:rPr>
          <w:rFonts w:asciiTheme="majorBidi" w:hAnsiTheme="majorBidi" w:cstheme="majorBidi"/>
        </w:rPr>
        <w:t>humanity</w:t>
      </w:r>
      <w:r w:rsidR="0032572F" w:rsidRPr="005103A1">
        <w:rPr>
          <w:rFonts w:asciiTheme="majorBidi" w:hAnsiTheme="majorBidi" w:cstheme="majorBidi"/>
        </w:rPr>
        <w:t xml:space="preserve"> (</w:t>
      </w:r>
      <w:proofErr w:type="spellStart"/>
      <w:r w:rsidR="00393496" w:rsidRPr="0074464D">
        <w:rPr>
          <w:rFonts w:asciiTheme="majorBidi" w:hAnsiTheme="majorBidi" w:cstheme="majorBidi"/>
        </w:rPr>
        <w:t>Mazouz</w:t>
      </w:r>
      <w:proofErr w:type="spellEnd"/>
      <w:r w:rsidR="00393496" w:rsidRPr="0074464D">
        <w:rPr>
          <w:rFonts w:asciiTheme="majorBidi" w:hAnsiTheme="majorBidi" w:cstheme="majorBidi"/>
        </w:rPr>
        <w:t xml:space="preserve"> and Zhao, 2019</w:t>
      </w:r>
      <w:r w:rsidR="0032572F" w:rsidRPr="005103A1">
        <w:rPr>
          <w:rFonts w:asciiTheme="majorBidi" w:hAnsiTheme="majorBidi" w:cstheme="majorBidi"/>
        </w:rPr>
        <w:t>)</w:t>
      </w:r>
      <w:r w:rsidR="00CB4DB3" w:rsidRPr="005103A1">
        <w:rPr>
          <w:rFonts w:asciiTheme="majorBidi" w:hAnsiTheme="majorBidi" w:cstheme="majorBidi"/>
        </w:rPr>
        <w:t xml:space="preserve">. </w:t>
      </w:r>
    </w:p>
    <w:p w14:paraId="3C686C75" w14:textId="072B3985" w:rsidR="0032572F" w:rsidRPr="005103A1" w:rsidRDefault="000A444E" w:rsidP="00393496">
      <w:pPr>
        <w:spacing w:after="0" w:line="480" w:lineRule="auto"/>
        <w:ind w:firstLine="720"/>
        <w:jc w:val="both"/>
        <w:rPr>
          <w:rFonts w:asciiTheme="majorBidi" w:hAnsiTheme="majorBidi" w:cstheme="majorBidi"/>
          <w:color w:val="000000" w:themeColor="text1"/>
        </w:rPr>
      </w:pPr>
      <w:r w:rsidRPr="005103A1">
        <w:rPr>
          <w:rFonts w:asciiTheme="majorBidi" w:hAnsiTheme="majorBidi" w:cstheme="majorBidi"/>
          <w:color w:val="000000" w:themeColor="text1"/>
        </w:rPr>
        <w:t>Meanwhile, climate</w:t>
      </w:r>
      <w:r w:rsidR="0032572F" w:rsidRPr="005103A1">
        <w:rPr>
          <w:rFonts w:asciiTheme="majorBidi" w:hAnsiTheme="majorBidi" w:cstheme="majorBidi"/>
          <w:color w:val="000000" w:themeColor="text1"/>
        </w:rPr>
        <w:t xml:space="preserve"> scientists report a rapid increase</w:t>
      </w:r>
      <w:r w:rsidR="00027BE9" w:rsidRPr="005103A1">
        <w:rPr>
          <w:rFonts w:asciiTheme="majorBidi" w:hAnsiTheme="majorBidi" w:cstheme="majorBidi"/>
          <w:color w:val="000000" w:themeColor="text1"/>
        </w:rPr>
        <w:t xml:space="preserve"> </w:t>
      </w:r>
      <w:r w:rsidR="005F7551">
        <w:rPr>
          <w:rFonts w:asciiTheme="majorBidi" w:hAnsiTheme="majorBidi" w:cstheme="majorBidi"/>
          <w:color w:val="000000" w:themeColor="text1"/>
        </w:rPr>
        <w:t xml:space="preserve">in </w:t>
      </w:r>
      <w:r w:rsidR="0032572F" w:rsidRPr="005103A1">
        <w:rPr>
          <w:rFonts w:asciiTheme="majorBidi" w:hAnsiTheme="majorBidi" w:cstheme="majorBidi"/>
          <w:color w:val="000000" w:themeColor="text1"/>
        </w:rPr>
        <w:t xml:space="preserve">GHG emissions, </w:t>
      </w:r>
      <w:r w:rsidR="005F7551">
        <w:rPr>
          <w:rFonts w:asciiTheme="majorBidi" w:hAnsiTheme="majorBidi" w:cstheme="majorBidi"/>
          <w:color w:val="000000" w:themeColor="text1"/>
        </w:rPr>
        <w:t>leading to</w:t>
      </w:r>
      <w:r w:rsidR="0032572F" w:rsidRPr="005103A1">
        <w:rPr>
          <w:rFonts w:asciiTheme="majorBidi" w:hAnsiTheme="majorBidi" w:cstheme="majorBidi"/>
          <w:color w:val="000000" w:themeColor="text1"/>
        </w:rPr>
        <w:t xml:space="preserve"> observable global warming and climate change (</w:t>
      </w:r>
      <w:r w:rsidR="0042374F" w:rsidRPr="00FB3918">
        <w:rPr>
          <w:rFonts w:asciiTheme="majorBidi" w:hAnsiTheme="majorBidi" w:cstheme="majorBidi"/>
        </w:rPr>
        <w:t xml:space="preserve">Gallego-Alvarez </w:t>
      </w:r>
      <w:r w:rsidR="0042374F" w:rsidRPr="008A3C22">
        <w:rPr>
          <w:rFonts w:asciiTheme="majorBidi" w:hAnsiTheme="majorBidi" w:cstheme="majorBidi"/>
          <w:i/>
          <w:iCs/>
        </w:rPr>
        <w:t>et al</w:t>
      </w:r>
      <w:r w:rsidR="0042374F" w:rsidRPr="008A3C22">
        <w:rPr>
          <w:rFonts w:asciiTheme="majorBidi" w:hAnsiTheme="majorBidi" w:cstheme="majorBidi"/>
        </w:rPr>
        <w:t>., 2015;</w:t>
      </w:r>
      <w:r w:rsidR="0042374F" w:rsidRPr="00017F11">
        <w:rPr>
          <w:rFonts w:asciiTheme="majorBidi" w:hAnsiTheme="majorBidi" w:cstheme="majorBidi"/>
        </w:rPr>
        <w:t xml:space="preserve"> </w:t>
      </w:r>
      <w:r w:rsidR="00393496" w:rsidRPr="004F3236">
        <w:rPr>
          <w:rFonts w:asciiTheme="majorBidi" w:hAnsiTheme="majorBidi" w:cstheme="majorBidi"/>
        </w:rPr>
        <w:t>Ortiz-de-</w:t>
      </w:r>
      <w:proofErr w:type="spellStart"/>
      <w:r w:rsidR="00393496" w:rsidRPr="004F3236">
        <w:rPr>
          <w:rFonts w:asciiTheme="majorBidi" w:hAnsiTheme="majorBidi" w:cstheme="majorBidi"/>
        </w:rPr>
        <w:t>Mandojana</w:t>
      </w:r>
      <w:proofErr w:type="spellEnd"/>
      <w:r w:rsidR="00393496" w:rsidRPr="004F3236">
        <w:rPr>
          <w:rFonts w:asciiTheme="majorBidi" w:hAnsiTheme="majorBidi" w:cstheme="majorBidi"/>
        </w:rPr>
        <w:t xml:space="preserve"> e</w:t>
      </w:r>
      <w:r w:rsidR="00393496" w:rsidRPr="004F3236">
        <w:rPr>
          <w:rFonts w:asciiTheme="majorBidi" w:hAnsiTheme="majorBidi" w:cstheme="majorBidi"/>
          <w:i/>
          <w:iCs/>
        </w:rPr>
        <w:t>t al</w:t>
      </w:r>
      <w:r w:rsidR="00393496" w:rsidRPr="0074464D">
        <w:rPr>
          <w:rFonts w:asciiTheme="majorBidi" w:hAnsiTheme="majorBidi" w:cstheme="majorBidi"/>
        </w:rPr>
        <w:t>., 2019</w:t>
      </w:r>
      <w:r w:rsidR="0032572F" w:rsidRPr="005103A1">
        <w:rPr>
          <w:rFonts w:asciiTheme="majorBidi" w:hAnsiTheme="majorBidi" w:cstheme="majorBidi"/>
          <w:color w:val="000000" w:themeColor="text1"/>
        </w:rPr>
        <w:t xml:space="preserve">). </w:t>
      </w:r>
      <w:r w:rsidR="00482A6A" w:rsidRPr="005103A1">
        <w:rPr>
          <w:rFonts w:asciiTheme="majorBidi" w:hAnsiTheme="majorBidi" w:cstheme="majorBidi"/>
          <w:color w:val="000000" w:themeColor="text1"/>
        </w:rPr>
        <w:t>At the same time</w:t>
      </w:r>
      <w:r w:rsidR="0032572F" w:rsidRPr="005103A1">
        <w:rPr>
          <w:rFonts w:asciiTheme="majorBidi" w:hAnsiTheme="majorBidi" w:cstheme="majorBidi"/>
          <w:color w:val="000000" w:themeColor="text1"/>
        </w:rPr>
        <w:t xml:space="preserve">, national governments, </w:t>
      </w:r>
      <w:r w:rsidR="00E65788" w:rsidRPr="005103A1">
        <w:rPr>
          <w:rFonts w:asciiTheme="majorBidi" w:hAnsiTheme="majorBidi" w:cstheme="majorBidi"/>
          <w:color w:val="000000" w:themeColor="text1"/>
        </w:rPr>
        <w:t>s</w:t>
      </w:r>
      <w:r w:rsidR="0032572F" w:rsidRPr="005103A1">
        <w:rPr>
          <w:rFonts w:asciiTheme="majorBidi" w:hAnsiTheme="majorBidi" w:cstheme="majorBidi"/>
          <w:color w:val="000000" w:themeColor="text1"/>
        </w:rPr>
        <w:t>upra-</w:t>
      </w:r>
      <w:r w:rsidR="00E65788" w:rsidRPr="005103A1">
        <w:rPr>
          <w:rFonts w:asciiTheme="majorBidi" w:hAnsiTheme="majorBidi" w:cstheme="majorBidi"/>
          <w:color w:val="000000" w:themeColor="text1"/>
        </w:rPr>
        <w:t>n</w:t>
      </w:r>
      <w:r w:rsidR="0032572F" w:rsidRPr="005103A1">
        <w:rPr>
          <w:rFonts w:asciiTheme="majorBidi" w:hAnsiTheme="majorBidi" w:cstheme="majorBidi"/>
          <w:color w:val="000000" w:themeColor="text1"/>
        </w:rPr>
        <w:t>ational bodies and business leaders are showing increasing interests in responding to these risks by developing various carbon related policies, strategies and actions (</w:t>
      </w:r>
      <w:proofErr w:type="spellStart"/>
      <w:r w:rsidR="008041E4" w:rsidRPr="00FB3918">
        <w:rPr>
          <w:rFonts w:asciiTheme="majorBidi" w:hAnsiTheme="majorBidi" w:cstheme="majorBidi"/>
        </w:rPr>
        <w:t>Baboukardos</w:t>
      </w:r>
      <w:proofErr w:type="spellEnd"/>
      <w:r w:rsidR="008041E4" w:rsidRPr="00FB3918">
        <w:rPr>
          <w:rFonts w:asciiTheme="majorBidi" w:hAnsiTheme="majorBidi" w:cstheme="majorBidi"/>
        </w:rPr>
        <w:t>, 2018</w:t>
      </w:r>
      <w:r w:rsidR="0032572F" w:rsidRPr="008A3C22">
        <w:rPr>
          <w:rFonts w:asciiTheme="majorBidi" w:hAnsiTheme="majorBidi" w:cstheme="majorBidi"/>
        </w:rPr>
        <w:t>)</w:t>
      </w:r>
      <w:r w:rsidR="0032572F" w:rsidRPr="005103A1">
        <w:rPr>
          <w:rFonts w:asciiTheme="majorBidi" w:hAnsiTheme="majorBidi" w:cstheme="majorBidi"/>
          <w:color w:val="000000" w:themeColor="text1"/>
        </w:rPr>
        <w:t>. These initiatives range from climate change regulations</w:t>
      </w:r>
      <w:r w:rsidR="00683B05" w:rsidRPr="005103A1">
        <w:rPr>
          <w:rFonts w:asciiTheme="majorBidi" w:hAnsiTheme="majorBidi" w:cstheme="majorBidi"/>
          <w:color w:val="000000" w:themeColor="text1"/>
        </w:rPr>
        <w:t xml:space="preserve"> to</w:t>
      </w:r>
      <w:r w:rsidR="00683B05" w:rsidRPr="00FB3918">
        <w:rPr>
          <w:rFonts w:asciiTheme="majorBidi" w:hAnsiTheme="majorBidi" w:cstheme="majorBidi"/>
          <w:color w:val="000000" w:themeColor="text1"/>
        </w:rPr>
        <w:t xml:space="preserve"> </w:t>
      </w:r>
      <w:r w:rsidR="0032572F" w:rsidRPr="008A3C22">
        <w:rPr>
          <w:rFonts w:asciiTheme="majorBidi" w:hAnsiTheme="majorBidi" w:cstheme="majorBidi"/>
          <w:color w:val="000000" w:themeColor="text1"/>
        </w:rPr>
        <w:t>extensive disclosure requirements</w:t>
      </w:r>
      <w:r w:rsidR="00E34A37" w:rsidRPr="005103A1">
        <w:rPr>
          <w:rFonts w:asciiTheme="majorBidi" w:hAnsiTheme="majorBidi" w:cstheme="majorBidi"/>
          <w:color w:val="000000" w:themeColor="text1"/>
        </w:rPr>
        <w:t xml:space="preserve"> aimed at </w:t>
      </w:r>
      <w:r w:rsidR="00475B7A" w:rsidRPr="005103A1">
        <w:rPr>
          <w:rFonts w:asciiTheme="majorBidi" w:hAnsiTheme="majorBidi" w:cstheme="majorBidi"/>
        </w:rPr>
        <w:t>limiting</w:t>
      </w:r>
      <w:r w:rsidR="00E34A37" w:rsidRPr="005103A1">
        <w:rPr>
          <w:rFonts w:asciiTheme="majorBidi" w:hAnsiTheme="majorBidi" w:cstheme="majorBidi"/>
        </w:rPr>
        <w:t xml:space="preserve"> the </w:t>
      </w:r>
      <w:r w:rsidR="001706D0" w:rsidRPr="005103A1">
        <w:rPr>
          <w:rFonts w:asciiTheme="majorBidi" w:hAnsiTheme="majorBidi" w:cstheme="majorBidi"/>
        </w:rPr>
        <w:t>rise</w:t>
      </w:r>
      <w:r w:rsidR="00475B7A" w:rsidRPr="005103A1">
        <w:rPr>
          <w:rFonts w:asciiTheme="majorBidi" w:hAnsiTheme="majorBidi" w:cstheme="majorBidi"/>
        </w:rPr>
        <w:t xml:space="preserve"> </w:t>
      </w:r>
      <w:r w:rsidR="00E34A37" w:rsidRPr="005103A1">
        <w:rPr>
          <w:rFonts w:asciiTheme="majorBidi" w:hAnsiTheme="majorBidi" w:cstheme="majorBidi"/>
        </w:rPr>
        <w:t xml:space="preserve">in </w:t>
      </w:r>
      <w:r w:rsidR="00C474AC" w:rsidRPr="005103A1">
        <w:rPr>
          <w:rFonts w:asciiTheme="majorBidi" w:hAnsiTheme="majorBidi" w:cstheme="majorBidi"/>
        </w:rPr>
        <w:t xml:space="preserve">average </w:t>
      </w:r>
      <w:r w:rsidR="00E34A37" w:rsidRPr="005103A1">
        <w:rPr>
          <w:rFonts w:asciiTheme="majorBidi" w:hAnsiTheme="majorBidi" w:cstheme="majorBidi"/>
        </w:rPr>
        <w:t>glo</w:t>
      </w:r>
      <w:r w:rsidR="00C474AC" w:rsidRPr="005103A1">
        <w:rPr>
          <w:rFonts w:asciiTheme="majorBidi" w:hAnsiTheme="majorBidi" w:cstheme="majorBidi"/>
        </w:rPr>
        <w:t xml:space="preserve">bal </w:t>
      </w:r>
      <w:r w:rsidR="00E34A37" w:rsidRPr="005103A1">
        <w:rPr>
          <w:rFonts w:asciiTheme="majorBidi" w:hAnsiTheme="majorBidi" w:cstheme="majorBidi"/>
        </w:rPr>
        <w:t xml:space="preserve">temperature below 2°C </w:t>
      </w:r>
      <w:r w:rsidR="0032572F" w:rsidRPr="005103A1">
        <w:rPr>
          <w:rFonts w:asciiTheme="majorBidi" w:hAnsiTheme="majorBidi" w:cstheme="majorBidi"/>
          <w:color w:val="000000" w:themeColor="text1"/>
        </w:rPr>
        <w:t>(Haque, 2017</w:t>
      </w:r>
      <w:r w:rsidR="0032572F" w:rsidRPr="00FB3918">
        <w:rPr>
          <w:rFonts w:asciiTheme="majorBidi" w:hAnsiTheme="majorBidi" w:cstheme="majorBidi"/>
        </w:rPr>
        <w:t>)</w:t>
      </w:r>
      <w:r w:rsidR="0032572F" w:rsidRPr="005103A1">
        <w:rPr>
          <w:rFonts w:asciiTheme="majorBidi" w:hAnsiTheme="majorBidi" w:cstheme="majorBidi"/>
          <w:color w:val="000000" w:themeColor="text1"/>
        </w:rPr>
        <w:t xml:space="preserve">. </w:t>
      </w:r>
      <w:r w:rsidR="0032572F" w:rsidRPr="005103A1">
        <w:rPr>
          <w:rFonts w:asciiTheme="majorBidi" w:hAnsiTheme="majorBidi" w:cstheme="majorBidi"/>
        </w:rPr>
        <w:t>In this case, t</w:t>
      </w:r>
      <w:r w:rsidR="00F6385C" w:rsidRPr="005103A1">
        <w:rPr>
          <w:rFonts w:asciiTheme="majorBidi" w:hAnsiTheme="majorBidi" w:cstheme="majorBidi"/>
        </w:rPr>
        <w:t>he 1997 Kyoto p</w:t>
      </w:r>
      <w:r w:rsidR="0032572F" w:rsidRPr="005103A1">
        <w:rPr>
          <w:rFonts w:asciiTheme="majorBidi" w:hAnsiTheme="majorBidi" w:cstheme="majorBidi"/>
        </w:rPr>
        <w:t>rotocol</w:t>
      </w:r>
      <w:r w:rsidR="00670CD8" w:rsidRPr="005103A1">
        <w:rPr>
          <w:rFonts w:asciiTheme="majorBidi" w:hAnsiTheme="majorBidi" w:cstheme="majorBidi"/>
        </w:rPr>
        <w:t xml:space="preserve"> and 2015 Paris </w:t>
      </w:r>
      <w:r w:rsidR="00F6385C" w:rsidRPr="005103A1">
        <w:rPr>
          <w:rFonts w:asciiTheme="majorBidi" w:hAnsiTheme="majorBidi" w:cstheme="majorBidi"/>
        </w:rPr>
        <w:t>a</w:t>
      </w:r>
      <w:r w:rsidR="0032572F" w:rsidRPr="005103A1">
        <w:rPr>
          <w:rFonts w:asciiTheme="majorBidi" w:hAnsiTheme="majorBidi" w:cstheme="majorBidi"/>
        </w:rPr>
        <w:t xml:space="preserve">greement are among the earliest and latest </w:t>
      </w:r>
      <w:r w:rsidR="000C01B2" w:rsidRPr="005103A1">
        <w:rPr>
          <w:rFonts w:asciiTheme="majorBidi" w:hAnsiTheme="majorBidi" w:cstheme="majorBidi"/>
        </w:rPr>
        <w:t xml:space="preserve">legally binding </w:t>
      </w:r>
      <w:r w:rsidR="0032572F" w:rsidRPr="005103A1">
        <w:rPr>
          <w:rFonts w:asciiTheme="majorBidi" w:hAnsiTheme="majorBidi" w:cstheme="majorBidi"/>
        </w:rPr>
        <w:t>global accords to, respectively, reinforce these initiatives by obliging the ratifying cou</w:t>
      </w:r>
      <w:r w:rsidR="00D3270D" w:rsidRPr="005103A1">
        <w:rPr>
          <w:rFonts w:asciiTheme="majorBidi" w:hAnsiTheme="majorBidi" w:cstheme="majorBidi"/>
        </w:rPr>
        <w:t>ntries to limit GHG</w:t>
      </w:r>
      <w:r w:rsidR="0032572F" w:rsidRPr="005103A1">
        <w:rPr>
          <w:rFonts w:asciiTheme="majorBidi" w:hAnsiTheme="majorBidi" w:cstheme="majorBidi"/>
        </w:rPr>
        <w:t xml:space="preserve"> emissions</w:t>
      </w:r>
      <w:r w:rsidR="00E44B22" w:rsidRPr="005103A1">
        <w:rPr>
          <w:rFonts w:asciiTheme="majorBidi" w:hAnsiTheme="majorBidi" w:cstheme="majorBidi"/>
        </w:rPr>
        <w:t xml:space="preserve"> and global warming</w:t>
      </w:r>
      <w:r w:rsidR="0032572F" w:rsidRPr="005103A1">
        <w:rPr>
          <w:rFonts w:asciiTheme="majorBidi" w:hAnsiTheme="majorBidi" w:cstheme="majorBidi"/>
        </w:rPr>
        <w:t xml:space="preserve"> by enhancing energy efficiency (</w:t>
      </w:r>
      <w:r w:rsidR="0032572F" w:rsidRPr="0074464D">
        <w:rPr>
          <w:rFonts w:asciiTheme="majorBidi" w:hAnsiTheme="majorBidi" w:cstheme="majorBidi"/>
        </w:rPr>
        <w:t>Haque and Ntim, 2018)</w:t>
      </w:r>
      <w:r w:rsidR="0032572F" w:rsidRPr="005103A1">
        <w:rPr>
          <w:rFonts w:asciiTheme="majorBidi" w:hAnsiTheme="majorBidi" w:cstheme="majorBidi"/>
        </w:rPr>
        <w:t xml:space="preserve">. </w:t>
      </w:r>
    </w:p>
    <w:p w14:paraId="4A748E3E" w14:textId="5D381726" w:rsidR="00E87DE1" w:rsidRPr="005103A1" w:rsidRDefault="00E87DE1" w:rsidP="00262EC1">
      <w:pPr>
        <w:spacing w:after="0" w:line="480" w:lineRule="auto"/>
        <w:jc w:val="both"/>
        <w:rPr>
          <w:rFonts w:asciiTheme="majorBidi" w:hAnsiTheme="majorBidi" w:cstheme="majorBidi"/>
        </w:rPr>
      </w:pPr>
      <w:r w:rsidRPr="005103A1">
        <w:rPr>
          <w:rFonts w:asciiTheme="majorBidi" w:hAnsiTheme="majorBidi" w:cstheme="majorBidi"/>
          <w:color w:val="000000" w:themeColor="text1"/>
        </w:rPr>
        <w:tab/>
      </w:r>
      <w:r w:rsidR="000C01B2" w:rsidRPr="005103A1">
        <w:rPr>
          <w:rFonts w:asciiTheme="majorBidi" w:hAnsiTheme="majorBidi" w:cstheme="majorBidi"/>
          <w:color w:val="000000" w:themeColor="text1"/>
        </w:rPr>
        <w:t xml:space="preserve">Discernibly, one way by which such global GHG targets can be achieved is to encourage </w:t>
      </w:r>
      <w:r w:rsidR="00236A50" w:rsidRPr="005103A1">
        <w:rPr>
          <w:rFonts w:asciiTheme="majorBidi" w:hAnsiTheme="majorBidi" w:cstheme="majorBidi"/>
          <w:color w:val="000000" w:themeColor="text1"/>
        </w:rPr>
        <w:t xml:space="preserve">top </w:t>
      </w:r>
      <w:r w:rsidR="000C01B2" w:rsidRPr="005103A1">
        <w:rPr>
          <w:rFonts w:asciiTheme="majorBidi" w:hAnsiTheme="majorBidi" w:cstheme="majorBidi"/>
          <w:color w:val="000000" w:themeColor="text1"/>
        </w:rPr>
        <w:t xml:space="preserve">corporate executives </w:t>
      </w:r>
      <w:r w:rsidR="006E4733" w:rsidRPr="005103A1">
        <w:rPr>
          <w:rFonts w:asciiTheme="majorBidi" w:hAnsiTheme="majorBidi" w:cstheme="majorBidi"/>
          <w:color w:val="000000" w:themeColor="text1"/>
        </w:rPr>
        <w:t xml:space="preserve">of large public corporations </w:t>
      </w:r>
      <w:r w:rsidR="000C01B2" w:rsidRPr="005103A1">
        <w:rPr>
          <w:rFonts w:asciiTheme="majorBidi" w:hAnsiTheme="majorBidi" w:cstheme="majorBidi"/>
          <w:color w:val="000000" w:themeColor="text1"/>
        </w:rPr>
        <w:t xml:space="preserve">to adopt and implement GHG </w:t>
      </w:r>
      <w:r w:rsidR="0028005C" w:rsidRPr="005103A1">
        <w:rPr>
          <w:rFonts w:asciiTheme="majorBidi" w:hAnsiTheme="majorBidi" w:cstheme="majorBidi"/>
          <w:color w:val="000000" w:themeColor="text1"/>
        </w:rPr>
        <w:t>reduction initiatives</w:t>
      </w:r>
      <w:r w:rsidR="000C01B2" w:rsidRPr="005103A1">
        <w:rPr>
          <w:rFonts w:asciiTheme="majorBidi" w:hAnsiTheme="majorBidi" w:cstheme="majorBidi"/>
          <w:color w:val="000000" w:themeColor="text1"/>
        </w:rPr>
        <w:t xml:space="preserve"> (</w:t>
      </w:r>
      <w:r w:rsidR="000C01B2" w:rsidRPr="00FB3918">
        <w:rPr>
          <w:rFonts w:asciiTheme="majorBidi" w:hAnsiTheme="majorBidi" w:cstheme="majorBidi"/>
        </w:rPr>
        <w:t>Welsh, 20</w:t>
      </w:r>
      <w:r w:rsidR="000C01B2" w:rsidRPr="008A3C22">
        <w:rPr>
          <w:rFonts w:asciiTheme="majorBidi" w:hAnsiTheme="majorBidi" w:cstheme="majorBidi"/>
        </w:rPr>
        <w:t>14</w:t>
      </w:r>
      <w:r w:rsidR="000C01B2" w:rsidRPr="005103A1">
        <w:rPr>
          <w:rFonts w:asciiTheme="majorBidi" w:hAnsiTheme="majorBidi" w:cstheme="majorBidi"/>
          <w:color w:val="000000" w:themeColor="text1"/>
        </w:rPr>
        <w:t xml:space="preserve">). </w:t>
      </w:r>
      <w:r w:rsidR="00034E66" w:rsidRPr="005103A1">
        <w:rPr>
          <w:rFonts w:asciiTheme="majorBidi" w:hAnsiTheme="majorBidi" w:cstheme="majorBidi"/>
          <w:color w:val="000000" w:themeColor="text1"/>
        </w:rPr>
        <w:t>Unsurprisingly, t</w:t>
      </w:r>
      <w:r w:rsidR="00236A50" w:rsidRPr="005103A1">
        <w:rPr>
          <w:rFonts w:asciiTheme="majorBidi" w:hAnsiTheme="majorBidi" w:cstheme="majorBidi"/>
          <w:color w:val="000000" w:themeColor="text1"/>
        </w:rPr>
        <w:t>his has resulted</w:t>
      </w:r>
      <w:r w:rsidR="000A444E" w:rsidRPr="005103A1">
        <w:rPr>
          <w:rFonts w:asciiTheme="majorBidi" w:hAnsiTheme="majorBidi" w:cstheme="majorBidi"/>
          <w:color w:val="000000" w:themeColor="text1"/>
        </w:rPr>
        <w:t xml:space="preserve"> in </w:t>
      </w:r>
      <w:r w:rsidR="00236A50" w:rsidRPr="005103A1">
        <w:rPr>
          <w:rFonts w:asciiTheme="majorBidi" w:hAnsiTheme="majorBidi" w:cstheme="majorBidi"/>
          <w:color w:val="000000" w:themeColor="text1"/>
        </w:rPr>
        <w:t xml:space="preserve">the </w:t>
      </w:r>
      <w:r w:rsidR="000A444E" w:rsidRPr="005103A1">
        <w:rPr>
          <w:rFonts w:asciiTheme="majorBidi" w:hAnsiTheme="majorBidi" w:cstheme="majorBidi"/>
          <w:color w:val="000000" w:themeColor="text1"/>
        </w:rPr>
        <w:t xml:space="preserve">explosion of </w:t>
      </w:r>
      <w:r w:rsidR="00236A50" w:rsidRPr="005103A1">
        <w:rPr>
          <w:rFonts w:asciiTheme="majorBidi" w:hAnsiTheme="majorBidi" w:cstheme="majorBidi"/>
          <w:color w:val="000000" w:themeColor="text1"/>
        </w:rPr>
        <w:t xml:space="preserve">markets for </w:t>
      </w:r>
      <w:r w:rsidR="00AB025D" w:rsidRPr="005103A1">
        <w:rPr>
          <w:rFonts w:asciiTheme="majorBidi" w:hAnsiTheme="majorBidi" w:cstheme="majorBidi"/>
          <w:color w:val="000000" w:themeColor="text1"/>
        </w:rPr>
        <w:t>‘</w:t>
      </w:r>
      <w:r w:rsidR="000A444E" w:rsidRPr="005103A1">
        <w:rPr>
          <w:rFonts w:asciiTheme="majorBidi" w:hAnsiTheme="majorBidi" w:cstheme="majorBidi"/>
          <w:color w:val="000000" w:themeColor="text1"/>
        </w:rPr>
        <w:t>green</w:t>
      </w:r>
      <w:r w:rsidR="00AB025D" w:rsidRPr="005103A1">
        <w:rPr>
          <w:rFonts w:asciiTheme="majorBidi" w:hAnsiTheme="majorBidi" w:cstheme="majorBidi"/>
          <w:color w:val="000000" w:themeColor="text1"/>
        </w:rPr>
        <w:t>’</w:t>
      </w:r>
      <w:r w:rsidR="000A444E" w:rsidRPr="005103A1">
        <w:rPr>
          <w:rFonts w:asciiTheme="majorBidi" w:hAnsiTheme="majorBidi" w:cstheme="majorBidi"/>
          <w:color w:val="000000" w:themeColor="text1"/>
        </w:rPr>
        <w:t xml:space="preserve"> products</w:t>
      </w:r>
      <w:r w:rsidR="00236A50" w:rsidRPr="005103A1">
        <w:rPr>
          <w:rFonts w:asciiTheme="majorBidi" w:hAnsiTheme="majorBidi" w:cstheme="majorBidi"/>
          <w:color w:val="000000" w:themeColor="text1"/>
        </w:rPr>
        <w:t xml:space="preserve"> and services for corporations over the past decade (</w:t>
      </w:r>
      <w:r w:rsidR="00236A50" w:rsidRPr="00FB3918">
        <w:rPr>
          <w:rFonts w:asciiTheme="majorBidi" w:hAnsiTheme="majorBidi" w:cstheme="majorBidi"/>
        </w:rPr>
        <w:t xml:space="preserve">Brooks and </w:t>
      </w:r>
      <w:proofErr w:type="spellStart"/>
      <w:r w:rsidR="00236A50" w:rsidRPr="00FB3918">
        <w:rPr>
          <w:rFonts w:asciiTheme="majorBidi" w:hAnsiTheme="majorBidi" w:cstheme="majorBidi"/>
        </w:rPr>
        <w:t>Schopohl</w:t>
      </w:r>
      <w:proofErr w:type="spellEnd"/>
      <w:r w:rsidR="00236A50" w:rsidRPr="008A3C22">
        <w:rPr>
          <w:rFonts w:asciiTheme="majorBidi" w:hAnsiTheme="majorBidi" w:cstheme="majorBidi"/>
        </w:rPr>
        <w:t>, 2019</w:t>
      </w:r>
      <w:r w:rsidR="00236A50" w:rsidRPr="004F3236">
        <w:rPr>
          <w:rFonts w:asciiTheme="majorBidi" w:hAnsiTheme="majorBidi" w:cstheme="majorBidi"/>
        </w:rPr>
        <w:t>)</w:t>
      </w:r>
      <w:r w:rsidR="000A444E" w:rsidRPr="005103A1">
        <w:rPr>
          <w:rFonts w:asciiTheme="majorBidi" w:hAnsiTheme="majorBidi" w:cstheme="majorBidi"/>
          <w:color w:val="000000" w:themeColor="text1"/>
        </w:rPr>
        <w:t xml:space="preserve">. </w:t>
      </w:r>
      <w:r w:rsidR="00236A50" w:rsidRPr="005103A1">
        <w:rPr>
          <w:rFonts w:asciiTheme="majorBidi" w:hAnsiTheme="majorBidi" w:cstheme="majorBidi"/>
          <w:color w:val="000000" w:themeColor="text1"/>
        </w:rPr>
        <w:t xml:space="preserve">For example, the market for </w:t>
      </w:r>
      <w:r w:rsidR="00AB225E" w:rsidRPr="005103A1">
        <w:rPr>
          <w:rFonts w:asciiTheme="majorBidi" w:hAnsiTheme="majorBidi" w:cstheme="majorBidi"/>
          <w:color w:val="000000" w:themeColor="text1"/>
        </w:rPr>
        <w:t>‘</w:t>
      </w:r>
      <w:r w:rsidR="00236A50" w:rsidRPr="005103A1">
        <w:rPr>
          <w:rFonts w:asciiTheme="majorBidi" w:hAnsiTheme="majorBidi" w:cstheme="majorBidi"/>
          <w:color w:val="000000" w:themeColor="text1"/>
        </w:rPr>
        <w:t>green bonds</w:t>
      </w:r>
      <w:r w:rsidR="00AB225E" w:rsidRPr="005103A1">
        <w:rPr>
          <w:rFonts w:asciiTheme="majorBidi" w:hAnsiTheme="majorBidi" w:cstheme="majorBidi"/>
          <w:color w:val="000000" w:themeColor="text1"/>
        </w:rPr>
        <w:t>’</w:t>
      </w:r>
      <w:r w:rsidR="00236A50" w:rsidRPr="005103A1">
        <w:rPr>
          <w:rFonts w:asciiTheme="majorBidi" w:hAnsiTheme="majorBidi" w:cstheme="majorBidi"/>
          <w:color w:val="000000" w:themeColor="text1"/>
        </w:rPr>
        <w:t xml:space="preserve"> has not only grown from nothing to USD$1.45 trillion within the last decade, but </w:t>
      </w:r>
      <w:r w:rsidR="00AB225E" w:rsidRPr="005103A1">
        <w:rPr>
          <w:rFonts w:asciiTheme="majorBidi" w:hAnsiTheme="majorBidi" w:cstheme="majorBidi"/>
          <w:color w:val="000000" w:themeColor="text1"/>
        </w:rPr>
        <w:t xml:space="preserve">also </w:t>
      </w:r>
      <w:r w:rsidR="00236A50" w:rsidRPr="005103A1">
        <w:rPr>
          <w:rFonts w:asciiTheme="majorBidi" w:hAnsiTheme="majorBidi" w:cstheme="majorBidi"/>
          <w:color w:val="000000" w:themeColor="text1"/>
        </w:rPr>
        <w:t xml:space="preserve">set to reach USD$100 </w:t>
      </w:r>
      <w:r w:rsidR="00AB225E" w:rsidRPr="005103A1">
        <w:rPr>
          <w:rFonts w:asciiTheme="majorBidi" w:hAnsiTheme="majorBidi" w:cstheme="majorBidi"/>
          <w:color w:val="000000" w:themeColor="text1"/>
        </w:rPr>
        <w:t xml:space="preserve">trillion </w:t>
      </w:r>
      <w:r w:rsidR="00236A50" w:rsidRPr="005103A1">
        <w:rPr>
          <w:rFonts w:asciiTheme="majorBidi" w:hAnsiTheme="majorBidi" w:cstheme="majorBidi"/>
          <w:color w:val="000000" w:themeColor="text1"/>
        </w:rPr>
        <w:t>within the next decade (</w:t>
      </w:r>
      <w:r w:rsidR="00236A50" w:rsidRPr="00FB3918">
        <w:rPr>
          <w:rFonts w:asciiTheme="majorBidi" w:hAnsiTheme="majorBidi" w:cstheme="majorBidi"/>
        </w:rPr>
        <w:t>CBI, 2019; GBD, 2019</w:t>
      </w:r>
      <w:r w:rsidR="00236A50" w:rsidRPr="005103A1">
        <w:rPr>
          <w:rFonts w:asciiTheme="majorBidi" w:hAnsiTheme="majorBidi" w:cstheme="majorBidi"/>
          <w:color w:val="000000" w:themeColor="text1"/>
        </w:rPr>
        <w:t>).</w:t>
      </w:r>
      <w:r w:rsidR="00AB025D" w:rsidRPr="005103A1">
        <w:rPr>
          <w:rFonts w:asciiTheme="majorBidi" w:hAnsiTheme="majorBidi" w:cstheme="majorBidi"/>
          <w:color w:val="000000" w:themeColor="text1"/>
        </w:rPr>
        <w:t xml:space="preserve"> </w:t>
      </w:r>
      <w:r w:rsidRPr="0074464D">
        <w:rPr>
          <w:rFonts w:asciiTheme="majorBidi" w:hAnsiTheme="majorBidi" w:cstheme="majorBidi"/>
        </w:rPr>
        <w:t xml:space="preserve">Similarly, using Newsweek’s annual green rankings </w:t>
      </w:r>
      <w:r w:rsidRPr="006C1347">
        <w:rPr>
          <w:rFonts w:asciiTheme="majorBidi" w:hAnsiTheme="majorBidi" w:cstheme="majorBidi"/>
        </w:rPr>
        <w:t xml:space="preserve">that track companies that link </w:t>
      </w:r>
      <w:r w:rsidR="00795A0E" w:rsidRPr="005103A1">
        <w:rPr>
          <w:rFonts w:asciiTheme="majorBidi" w:hAnsiTheme="majorBidi" w:cstheme="majorBidi"/>
        </w:rPr>
        <w:t>EC</w:t>
      </w:r>
      <w:r w:rsidRPr="005103A1">
        <w:rPr>
          <w:rFonts w:asciiTheme="majorBidi" w:hAnsiTheme="majorBidi" w:cstheme="majorBidi"/>
        </w:rPr>
        <w:t xml:space="preserve"> to green </w:t>
      </w:r>
      <w:r w:rsidR="00CD2CDE" w:rsidRPr="005103A1">
        <w:rPr>
          <w:rFonts w:asciiTheme="majorBidi" w:hAnsiTheme="majorBidi" w:cstheme="majorBidi"/>
        </w:rPr>
        <w:t xml:space="preserve">performance </w:t>
      </w:r>
      <w:r w:rsidRPr="005103A1">
        <w:rPr>
          <w:rFonts w:asciiTheme="majorBidi" w:hAnsiTheme="majorBidi" w:cstheme="majorBidi"/>
        </w:rPr>
        <w:t xml:space="preserve">targets, Heaps (2015) </w:t>
      </w:r>
      <w:r w:rsidR="00AB025D" w:rsidRPr="005103A1">
        <w:rPr>
          <w:rFonts w:asciiTheme="majorBidi" w:hAnsiTheme="majorBidi" w:cstheme="majorBidi"/>
        </w:rPr>
        <w:t xml:space="preserve">has </w:t>
      </w:r>
      <w:r w:rsidR="00E50BB5">
        <w:rPr>
          <w:rFonts w:asciiTheme="majorBidi" w:hAnsiTheme="majorBidi" w:cstheme="majorBidi"/>
        </w:rPr>
        <w:t>shown</w:t>
      </w:r>
      <w:r w:rsidRPr="005103A1">
        <w:rPr>
          <w:rFonts w:asciiTheme="majorBidi" w:hAnsiTheme="majorBidi" w:cstheme="majorBidi"/>
        </w:rPr>
        <w:t xml:space="preserve"> for the first time that the majority of the globe’s largest 500 listed </w:t>
      </w:r>
      <w:r w:rsidR="00D16935" w:rsidRPr="005103A1">
        <w:rPr>
          <w:rFonts w:asciiTheme="majorBidi" w:hAnsiTheme="majorBidi" w:cstheme="majorBidi"/>
        </w:rPr>
        <w:t>corporation</w:t>
      </w:r>
      <w:r w:rsidR="00BC50A7" w:rsidRPr="005103A1">
        <w:rPr>
          <w:rFonts w:asciiTheme="majorBidi" w:hAnsiTheme="majorBidi" w:cstheme="majorBidi"/>
        </w:rPr>
        <w:t>s</w:t>
      </w:r>
      <w:r w:rsidRPr="005103A1">
        <w:rPr>
          <w:rFonts w:asciiTheme="majorBidi" w:hAnsiTheme="majorBidi" w:cstheme="majorBidi"/>
        </w:rPr>
        <w:t xml:space="preserve"> tied an aspect of the</w:t>
      </w:r>
      <w:r w:rsidR="00BC50A7" w:rsidRPr="005103A1">
        <w:rPr>
          <w:rFonts w:asciiTheme="majorBidi" w:hAnsiTheme="majorBidi" w:cstheme="majorBidi"/>
        </w:rPr>
        <w:t>ir</w:t>
      </w:r>
      <w:r w:rsidRPr="005103A1">
        <w:rPr>
          <w:rFonts w:asciiTheme="majorBidi" w:hAnsiTheme="majorBidi" w:cstheme="majorBidi"/>
        </w:rPr>
        <w:t xml:space="preserve"> </w:t>
      </w:r>
      <w:r w:rsidR="00BC50A7" w:rsidRPr="005103A1">
        <w:rPr>
          <w:rFonts w:asciiTheme="majorBidi" w:hAnsiTheme="majorBidi" w:cstheme="majorBidi"/>
        </w:rPr>
        <w:t>executives’ compensation</w:t>
      </w:r>
      <w:r w:rsidRPr="005103A1">
        <w:rPr>
          <w:rFonts w:asciiTheme="majorBidi" w:hAnsiTheme="majorBidi" w:cstheme="majorBidi"/>
        </w:rPr>
        <w:t xml:space="preserve"> to some green targets (GHG emissions)</w:t>
      </w:r>
      <w:r w:rsidR="00CD2CDE" w:rsidRPr="005103A1">
        <w:rPr>
          <w:rFonts w:asciiTheme="majorBidi" w:hAnsiTheme="majorBidi" w:cstheme="majorBidi"/>
        </w:rPr>
        <w:t xml:space="preserve">. </w:t>
      </w:r>
    </w:p>
    <w:p w14:paraId="7E8548BE" w14:textId="7E02340B" w:rsidR="00D57D15" w:rsidRPr="005103A1" w:rsidRDefault="00BB34DB" w:rsidP="0074464D">
      <w:pPr>
        <w:spacing w:after="0" w:line="480" w:lineRule="auto"/>
        <w:ind w:firstLine="720"/>
        <w:jc w:val="both"/>
        <w:rPr>
          <w:rFonts w:asciiTheme="majorBidi" w:hAnsiTheme="majorBidi" w:cstheme="majorBidi"/>
          <w:color w:val="FF0000"/>
        </w:rPr>
      </w:pPr>
      <w:r w:rsidRPr="005103A1">
        <w:rPr>
          <w:rFonts w:asciiTheme="majorBidi" w:hAnsiTheme="majorBidi" w:cstheme="majorBidi"/>
          <w:color w:val="000000" w:themeColor="text1"/>
        </w:rPr>
        <w:lastRenderedPageBreak/>
        <w:t xml:space="preserve"> </w:t>
      </w:r>
      <w:r w:rsidR="00AB225E" w:rsidRPr="005103A1">
        <w:rPr>
          <w:rFonts w:asciiTheme="majorBidi" w:hAnsiTheme="majorBidi" w:cstheme="majorBidi"/>
          <w:color w:val="000000" w:themeColor="text1"/>
        </w:rPr>
        <w:t>A crucial policy question is whether such ‘green’ initiatives</w:t>
      </w:r>
      <w:r w:rsidR="00F43C79" w:rsidRPr="005103A1">
        <w:rPr>
          <w:rFonts w:asciiTheme="majorBidi" w:hAnsiTheme="majorBidi" w:cstheme="majorBidi"/>
          <w:color w:val="000000" w:themeColor="text1"/>
        </w:rPr>
        <w:t xml:space="preserve"> that are increasingly being</w:t>
      </w:r>
      <w:r w:rsidR="00AB225E" w:rsidRPr="005103A1">
        <w:rPr>
          <w:rFonts w:asciiTheme="majorBidi" w:hAnsiTheme="majorBidi" w:cstheme="majorBidi"/>
          <w:color w:val="000000" w:themeColor="text1"/>
        </w:rPr>
        <w:t xml:space="preserve"> pursued by</w:t>
      </w:r>
      <w:r w:rsidR="006E4733" w:rsidRPr="005103A1">
        <w:rPr>
          <w:rFonts w:asciiTheme="majorBidi" w:hAnsiTheme="majorBidi" w:cstheme="majorBidi"/>
          <w:color w:val="000000" w:themeColor="text1"/>
        </w:rPr>
        <w:t xml:space="preserve"> senior executives</w:t>
      </w:r>
      <w:r w:rsidR="00AB225E" w:rsidRPr="005103A1">
        <w:rPr>
          <w:rFonts w:asciiTheme="majorBidi" w:hAnsiTheme="majorBidi" w:cstheme="majorBidi"/>
          <w:color w:val="000000" w:themeColor="text1"/>
        </w:rPr>
        <w:t xml:space="preserve"> </w:t>
      </w:r>
      <w:r w:rsidR="006E4733" w:rsidRPr="005103A1">
        <w:rPr>
          <w:rFonts w:asciiTheme="majorBidi" w:hAnsiTheme="majorBidi" w:cstheme="majorBidi"/>
          <w:color w:val="000000" w:themeColor="text1"/>
        </w:rPr>
        <w:t xml:space="preserve">of such </w:t>
      </w:r>
      <w:r w:rsidR="00AB225E" w:rsidRPr="005103A1">
        <w:rPr>
          <w:rFonts w:asciiTheme="majorBidi" w:hAnsiTheme="majorBidi" w:cstheme="majorBidi"/>
          <w:color w:val="000000" w:themeColor="text1"/>
        </w:rPr>
        <w:t xml:space="preserve">large public corporations actually lead to observable reductions in GHG emissions or not. </w:t>
      </w:r>
      <w:r w:rsidRPr="005103A1">
        <w:rPr>
          <w:rFonts w:asciiTheme="majorBidi" w:hAnsiTheme="majorBidi" w:cstheme="majorBidi"/>
        </w:rPr>
        <w:t xml:space="preserve">In this instance, we seek to </w:t>
      </w:r>
      <w:r w:rsidR="0022111B" w:rsidRPr="005103A1">
        <w:rPr>
          <w:rFonts w:asciiTheme="majorBidi" w:hAnsiTheme="majorBidi" w:cstheme="majorBidi"/>
        </w:rPr>
        <w:t xml:space="preserve">specifically </w:t>
      </w:r>
      <w:r w:rsidRPr="005103A1">
        <w:rPr>
          <w:rFonts w:asciiTheme="majorBidi" w:hAnsiTheme="majorBidi" w:cstheme="majorBidi"/>
        </w:rPr>
        <w:t>ascertain</w:t>
      </w:r>
      <w:r w:rsidR="00D57D15" w:rsidRPr="005103A1">
        <w:rPr>
          <w:rFonts w:asciiTheme="majorBidi" w:hAnsiTheme="majorBidi" w:cstheme="majorBidi"/>
        </w:rPr>
        <w:t xml:space="preserve"> whether </w:t>
      </w:r>
      <w:r w:rsidR="00795A0E" w:rsidRPr="005103A1">
        <w:rPr>
          <w:rFonts w:asciiTheme="majorBidi" w:hAnsiTheme="majorBidi" w:cstheme="majorBidi"/>
        </w:rPr>
        <w:t>EC</w:t>
      </w:r>
      <w:r w:rsidR="00A53BB1">
        <w:rPr>
          <w:rFonts w:asciiTheme="majorBidi" w:hAnsiTheme="majorBidi" w:cstheme="majorBidi"/>
        </w:rPr>
        <w:t xml:space="preserve"> packages (</w:t>
      </w:r>
      <w:r w:rsidR="00D57D15" w:rsidRPr="005103A1">
        <w:rPr>
          <w:rFonts w:asciiTheme="majorBidi" w:hAnsiTheme="majorBidi" w:cstheme="majorBidi"/>
        </w:rPr>
        <w:t xml:space="preserve">ESG-based sustainable compensation policy) can be used to incentivise a substantive engagement of corporate executives with the often ‘largely aspirational’ global climate change and carbon reduction initiatives. </w:t>
      </w:r>
    </w:p>
    <w:p w14:paraId="727D25DE" w14:textId="2618704F" w:rsidR="002B6BFF" w:rsidRPr="005103A1" w:rsidRDefault="007D5A8B" w:rsidP="00EB3883">
      <w:pPr>
        <w:spacing w:after="0" w:line="480" w:lineRule="auto"/>
        <w:jc w:val="both"/>
        <w:rPr>
          <w:rFonts w:asciiTheme="majorBidi" w:hAnsiTheme="majorBidi" w:cstheme="majorBidi"/>
        </w:rPr>
      </w:pPr>
      <w:r w:rsidRPr="005103A1">
        <w:rPr>
          <w:rFonts w:asciiTheme="majorBidi" w:hAnsiTheme="majorBidi" w:cstheme="majorBidi"/>
          <w:color w:val="000000" w:themeColor="text1"/>
        </w:rPr>
        <w:tab/>
      </w:r>
      <w:r w:rsidR="00C25AE7" w:rsidRPr="005103A1">
        <w:rPr>
          <w:rFonts w:asciiTheme="majorBidi" w:hAnsiTheme="majorBidi" w:cstheme="majorBidi"/>
          <w:color w:val="000000" w:themeColor="text1"/>
        </w:rPr>
        <w:t>Admittedly and</w:t>
      </w:r>
      <w:r w:rsidR="00D27FA6" w:rsidRPr="005103A1">
        <w:rPr>
          <w:rFonts w:asciiTheme="majorBidi" w:hAnsiTheme="majorBidi" w:cstheme="majorBidi"/>
          <w:color w:val="000000" w:themeColor="text1"/>
        </w:rPr>
        <w:t xml:space="preserve"> whilst </w:t>
      </w:r>
      <w:r w:rsidR="00C25AE7" w:rsidRPr="005103A1">
        <w:rPr>
          <w:rFonts w:asciiTheme="majorBidi" w:hAnsiTheme="majorBidi" w:cstheme="majorBidi"/>
          <w:color w:val="000000" w:themeColor="text1"/>
        </w:rPr>
        <w:t>several strands</w:t>
      </w:r>
      <w:r w:rsidRPr="005103A1">
        <w:rPr>
          <w:rFonts w:asciiTheme="majorBidi" w:hAnsiTheme="majorBidi" w:cstheme="majorBidi"/>
          <w:color w:val="000000" w:themeColor="text1"/>
        </w:rPr>
        <w:t xml:space="preserve"> of</w:t>
      </w:r>
      <w:r w:rsidR="0022111B" w:rsidRPr="005103A1">
        <w:rPr>
          <w:rFonts w:asciiTheme="majorBidi" w:hAnsiTheme="majorBidi" w:cstheme="majorBidi"/>
          <w:color w:val="000000" w:themeColor="text1"/>
        </w:rPr>
        <w:t xml:space="preserve"> studies examining the links among</w:t>
      </w:r>
      <w:r w:rsidR="00795A0E" w:rsidRPr="005103A1">
        <w:rPr>
          <w:rFonts w:asciiTheme="majorBidi" w:hAnsiTheme="majorBidi" w:cstheme="majorBidi"/>
          <w:color w:val="000000" w:themeColor="text1"/>
        </w:rPr>
        <w:t xml:space="preserve"> CG</w:t>
      </w:r>
      <w:r w:rsidR="0022111B" w:rsidRPr="005103A1">
        <w:rPr>
          <w:rFonts w:asciiTheme="majorBidi" w:hAnsiTheme="majorBidi" w:cstheme="majorBidi"/>
          <w:color w:val="000000" w:themeColor="text1"/>
        </w:rPr>
        <w:t xml:space="preserve">, </w:t>
      </w:r>
      <w:r w:rsidR="00795A0E" w:rsidRPr="005103A1">
        <w:rPr>
          <w:rFonts w:asciiTheme="majorBidi" w:hAnsiTheme="majorBidi" w:cstheme="majorBidi"/>
          <w:color w:val="000000" w:themeColor="text1"/>
        </w:rPr>
        <w:t>EC</w:t>
      </w:r>
      <w:r w:rsidR="0022111B" w:rsidRPr="005103A1">
        <w:rPr>
          <w:rFonts w:asciiTheme="majorBidi" w:hAnsiTheme="majorBidi" w:cstheme="majorBidi"/>
          <w:color w:val="000000" w:themeColor="text1"/>
        </w:rPr>
        <w:t xml:space="preserve">, </w:t>
      </w:r>
      <w:r w:rsidR="00EB3883" w:rsidRPr="005103A1">
        <w:rPr>
          <w:rFonts w:asciiTheme="majorBidi" w:hAnsiTheme="majorBidi" w:cstheme="majorBidi"/>
          <w:color w:val="000000" w:themeColor="text1"/>
        </w:rPr>
        <w:t>CP</w:t>
      </w:r>
      <w:r w:rsidR="0022111B" w:rsidRPr="005103A1">
        <w:rPr>
          <w:rFonts w:asciiTheme="majorBidi" w:hAnsiTheme="majorBidi" w:cstheme="majorBidi"/>
          <w:color w:val="000000" w:themeColor="text1"/>
        </w:rPr>
        <w:t xml:space="preserve"> and </w:t>
      </w:r>
      <w:r w:rsidR="00EB3883" w:rsidRPr="005103A1">
        <w:rPr>
          <w:rFonts w:asciiTheme="majorBidi" w:hAnsiTheme="majorBidi" w:cstheme="majorBidi"/>
          <w:color w:val="000000" w:themeColor="text1"/>
        </w:rPr>
        <w:t>MV</w:t>
      </w:r>
      <w:r w:rsidR="00C25AE7" w:rsidRPr="005103A1">
        <w:rPr>
          <w:rFonts w:asciiTheme="majorBidi" w:hAnsiTheme="majorBidi" w:cstheme="majorBidi"/>
          <w:color w:val="000000" w:themeColor="text1"/>
        </w:rPr>
        <w:t xml:space="preserve"> exist</w:t>
      </w:r>
      <w:r w:rsidR="001750E3" w:rsidRPr="005103A1">
        <w:rPr>
          <w:rFonts w:asciiTheme="majorBidi" w:hAnsiTheme="majorBidi" w:cstheme="majorBidi"/>
          <w:color w:val="000000" w:themeColor="text1"/>
        </w:rPr>
        <w:t xml:space="preserve"> (</w:t>
      </w:r>
      <w:proofErr w:type="spellStart"/>
      <w:r w:rsidR="00512429" w:rsidRPr="00FB3918">
        <w:rPr>
          <w:rFonts w:asciiTheme="majorBidi" w:hAnsiTheme="majorBidi" w:cstheme="majorBidi"/>
        </w:rPr>
        <w:t>Aktar</w:t>
      </w:r>
      <w:proofErr w:type="spellEnd"/>
      <w:r w:rsidR="00512429" w:rsidRPr="00FB3918">
        <w:rPr>
          <w:rFonts w:asciiTheme="majorBidi" w:hAnsiTheme="majorBidi" w:cstheme="majorBidi"/>
        </w:rPr>
        <w:t xml:space="preserve"> </w:t>
      </w:r>
      <w:r w:rsidR="00512429" w:rsidRPr="008A3C22">
        <w:rPr>
          <w:rFonts w:asciiTheme="majorBidi" w:hAnsiTheme="majorBidi" w:cstheme="majorBidi"/>
          <w:i/>
          <w:iCs/>
        </w:rPr>
        <w:t>et al.,</w:t>
      </w:r>
      <w:r w:rsidR="00512429" w:rsidRPr="008A3C22">
        <w:rPr>
          <w:rFonts w:asciiTheme="majorBidi" w:hAnsiTheme="majorBidi" w:cstheme="majorBidi"/>
        </w:rPr>
        <w:t xml:space="preserve"> 2018;</w:t>
      </w:r>
      <w:r w:rsidR="00512429" w:rsidRPr="004F3236">
        <w:rPr>
          <w:rFonts w:asciiTheme="majorBidi" w:hAnsiTheme="majorBidi" w:cstheme="majorBidi"/>
        </w:rPr>
        <w:t xml:space="preserve"> </w:t>
      </w:r>
      <w:proofErr w:type="spellStart"/>
      <w:r w:rsidR="001750E3" w:rsidRPr="004F3236">
        <w:rPr>
          <w:rFonts w:asciiTheme="majorBidi" w:hAnsiTheme="majorBidi" w:cstheme="majorBidi"/>
        </w:rPr>
        <w:t>Goergen</w:t>
      </w:r>
      <w:proofErr w:type="spellEnd"/>
      <w:r w:rsidR="001750E3" w:rsidRPr="004F3236">
        <w:rPr>
          <w:rFonts w:asciiTheme="majorBidi" w:hAnsiTheme="majorBidi" w:cstheme="majorBidi"/>
        </w:rPr>
        <w:t xml:space="preserve"> and</w:t>
      </w:r>
      <w:r w:rsidR="001750E3" w:rsidRPr="00D86C37">
        <w:rPr>
          <w:rFonts w:asciiTheme="majorBidi" w:hAnsiTheme="majorBidi" w:cstheme="majorBidi"/>
        </w:rPr>
        <w:t xml:space="preserve"> </w:t>
      </w:r>
      <w:proofErr w:type="spellStart"/>
      <w:r w:rsidR="001750E3" w:rsidRPr="00D86C37">
        <w:rPr>
          <w:rFonts w:asciiTheme="majorBidi" w:hAnsiTheme="majorBidi" w:cstheme="majorBidi"/>
        </w:rPr>
        <w:t>Renneboog</w:t>
      </w:r>
      <w:proofErr w:type="spellEnd"/>
      <w:r w:rsidR="001750E3" w:rsidRPr="00D86C37">
        <w:rPr>
          <w:rFonts w:asciiTheme="majorBidi" w:hAnsiTheme="majorBidi" w:cstheme="majorBidi"/>
        </w:rPr>
        <w:t>, 2011;</w:t>
      </w:r>
      <w:r w:rsidRPr="00D86C37">
        <w:rPr>
          <w:rFonts w:asciiTheme="majorBidi" w:hAnsiTheme="majorBidi" w:cstheme="majorBidi"/>
        </w:rPr>
        <w:t xml:space="preserve"> Berrone and Gomez-Mejia, 2009</w:t>
      </w:r>
      <w:r w:rsidR="001750E3" w:rsidRPr="005103A1">
        <w:rPr>
          <w:rFonts w:asciiTheme="majorBidi" w:hAnsiTheme="majorBidi" w:cstheme="majorBidi"/>
        </w:rPr>
        <w:t>)</w:t>
      </w:r>
      <w:r w:rsidR="00C950FF" w:rsidRPr="005103A1">
        <w:rPr>
          <w:rFonts w:asciiTheme="majorBidi" w:hAnsiTheme="majorBidi" w:cstheme="majorBidi"/>
          <w:color w:val="000000" w:themeColor="text1"/>
        </w:rPr>
        <w:t>, none has</w:t>
      </w:r>
      <w:r w:rsidR="00C25AE7" w:rsidRPr="005103A1">
        <w:rPr>
          <w:rFonts w:asciiTheme="majorBidi" w:hAnsiTheme="majorBidi" w:cstheme="majorBidi"/>
          <w:color w:val="000000" w:themeColor="text1"/>
        </w:rPr>
        <w:t xml:space="preserve"> addressed them in </w:t>
      </w:r>
      <w:r w:rsidR="00A069FA" w:rsidRPr="005103A1">
        <w:rPr>
          <w:rFonts w:asciiTheme="majorBidi" w:hAnsiTheme="majorBidi" w:cstheme="majorBidi"/>
          <w:color w:val="000000" w:themeColor="text1"/>
        </w:rPr>
        <w:t xml:space="preserve">an </w:t>
      </w:r>
      <w:r w:rsidR="00E63C92" w:rsidRPr="005103A1">
        <w:rPr>
          <w:rFonts w:asciiTheme="majorBidi" w:hAnsiTheme="majorBidi" w:cstheme="majorBidi"/>
          <w:color w:val="000000" w:themeColor="text1"/>
        </w:rPr>
        <w:t>integrated and multi-dimensional</w:t>
      </w:r>
      <w:r w:rsidR="002B6BFF" w:rsidRPr="005103A1">
        <w:rPr>
          <w:rFonts w:asciiTheme="majorBidi" w:hAnsiTheme="majorBidi" w:cstheme="majorBidi"/>
          <w:color w:val="000000" w:themeColor="text1"/>
        </w:rPr>
        <w:t xml:space="preserve"> </w:t>
      </w:r>
      <w:r w:rsidR="00C25AE7" w:rsidRPr="005103A1">
        <w:rPr>
          <w:rFonts w:asciiTheme="majorBidi" w:hAnsiTheme="majorBidi" w:cstheme="majorBidi"/>
          <w:color w:val="000000" w:themeColor="text1"/>
        </w:rPr>
        <w:t xml:space="preserve">manner that we do in our current study. For example, one strand of the extant literature </w:t>
      </w:r>
      <w:r w:rsidR="00645A46" w:rsidRPr="005103A1">
        <w:rPr>
          <w:rFonts w:asciiTheme="majorBidi" w:hAnsiTheme="majorBidi" w:cstheme="majorBidi"/>
          <w:color w:val="000000" w:themeColor="text1"/>
        </w:rPr>
        <w:t xml:space="preserve">has </w:t>
      </w:r>
      <w:r w:rsidR="00C25AE7" w:rsidRPr="005103A1">
        <w:rPr>
          <w:rFonts w:asciiTheme="majorBidi" w:hAnsiTheme="majorBidi" w:cstheme="majorBidi"/>
          <w:color w:val="000000" w:themeColor="text1"/>
        </w:rPr>
        <w:t xml:space="preserve">examined the link between </w:t>
      </w:r>
      <w:r w:rsidR="00795A0E" w:rsidRPr="005103A1">
        <w:rPr>
          <w:rFonts w:asciiTheme="majorBidi" w:hAnsiTheme="majorBidi" w:cstheme="majorBidi"/>
          <w:color w:val="000000" w:themeColor="text1"/>
        </w:rPr>
        <w:t>EC</w:t>
      </w:r>
      <w:r w:rsidR="00C25AE7" w:rsidRPr="005103A1">
        <w:rPr>
          <w:rFonts w:asciiTheme="majorBidi" w:hAnsiTheme="majorBidi" w:cstheme="majorBidi"/>
          <w:color w:val="000000" w:themeColor="text1"/>
        </w:rPr>
        <w:t xml:space="preserve"> and </w:t>
      </w:r>
      <w:r w:rsidR="00EB3883" w:rsidRPr="005103A1">
        <w:rPr>
          <w:rFonts w:asciiTheme="majorBidi" w:hAnsiTheme="majorBidi" w:cstheme="majorBidi"/>
          <w:color w:val="000000" w:themeColor="text1"/>
        </w:rPr>
        <w:t>MV</w:t>
      </w:r>
      <w:r w:rsidR="00C25AE7" w:rsidRPr="005103A1">
        <w:rPr>
          <w:rFonts w:asciiTheme="majorBidi" w:hAnsiTheme="majorBidi" w:cstheme="majorBidi"/>
          <w:color w:val="000000" w:themeColor="text1"/>
        </w:rPr>
        <w:t xml:space="preserve"> </w:t>
      </w:r>
      <w:r w:rsidR="001750E3" w:rsidRPr="00FB3918">
        <w:rPr>
          <w:rFonts w:asciiTheme="majorBidi" w:hAnsiTheme="majorBidi" w:cstheme="majorBidi"/>
        </w:rPr>
        <w:t>(</w:t>
      </w:r>
      <w:r w:rsidR="001750E3" w:rsidRPr="008A3C22">
        <w:rPr>
          <w:rFonts w:asciiTheme="majorBidi" w:hAnsiTheme="majorBidi" w:cstheme="majorBidi"/>
          <w:color w:val="222222"/>
        </w:rPr>
        <w:t xml:space="preserve">Chahine and </w:t>
      </w:r>
      <w:proofErr w:type="spellStart"/>
      <w:r w:rsidR="001750E3" w:rsidRPr="008A3C22">
        <w:rPr>
          <w:rFonts w:asciiTheme="majorBidi" w:hAnsiTheme="majorBidi" w:cstheme="majorBidi"/>
          <w:color w:val="222222"/>
        </w:rPr>
        <w:t>Goergen</w:t>
      </w:r>
      <w:proofErr w:type="spellEnd"/>
      <w:r w:rsidR="001750E3" w:rsidRPr="008A3C22">
        <w:rPr>
          <w:rFonts w:asciiTheme="majorBidi" w:hAnsiTheme="majorBidi" w:cstheme="majorBidi"/>
          <w:color w:val="222222"/>
        </w:rPr>
        <w:t xml:space="preserve">, 2014; Core </w:t>
      </w:r>
      <w:r w:rsidR="001750E3" w:rsidRPr="008A3C22">
        <w:rPr>
          <w:rFonts w:asciiTheme="majorBidi" w:hAnsiTheme="majorBidi" w:cstheme="majorBidi"/>
          <w:i/>
          <w:iCs/>
          <w:color w:val="222222"/>
        </w:rPr>
        <w:t>et al.</w:t>
      </w:r>
      <w:r w:rsidR="00466710" w:rsidRPr="004F3236">
        <w:rPr>
          <w:rFonts w:asciiTheme="majorBidi" w:hAnsiTheme="majorBidi" w:cstheme="majorBidi"/>
          <w:color w:val="222222"/>
        </w:rPr>
        <w:t>, 1999</w:t>
      </w:r>
      <w:r w:rsidR="00E20D46" w:rsidRPr="004F3236">
        <w:rPr>
          <w:rFonts w:asciiTheme="majorBidi" w:hAnsiTheme="majorBidi" w:cstheme="majorBidi"/>
          <w:color w:val="222222"/>
        </w:rPr>
        <w:t xml:space="preserve">; Elmagrhi </w:t>
      </w:r>
      <w:r w:rsidR="00E20D46" w:rsidRPr="005103A1">
        <w:rPr>
          <w:rFonts w:asciiTheme="majorBidi" w:hAnsiTheme="majorBidi" w:cstheme="majorBidi"/>
          <w:i/>
          <w:iCs/>
          <w:color w:val="222222"/>
        </w:rPr>
        <w:t>et al</w:t>
      </w:r>
      <w:r w:rsidR="00E20D46" w:rsidRPr="005103A1">
        <w:rPr>
          <w:rFonts w:asciiTheme="majorBidi" w:hAnsiTheme="majorBidi" w:cstheme="majorBidi"/>
          <w:color w:val="222222"/>
        </w:rPr>
        <w:t>., 2019</w:t>
      </w:r>
      <w:r w:rsidR="001750E3" w:rsidRPr="005103A1">
        <w:rPr>
          <w:rFonts w:asciiTheme="majorBidi" w:hAnsiTheme="majorBidi" w:cstheme="majorBidi"/>
        </w:rPr>
        <w:t>)</w:t>
      </w:r>
      <w:r w:rsidRPr="005103A1">
        <w:rPr>
          <w:rFonts w:asciiTheme="majorBidi" w:hAnsiTheme="majorBidi" w:cstheme="majorBidi"/>
        </w:rPr>
        <w:t xml:space="preserve">. They generally report that the pay-for-performance </w:t>
      </w:r>
      <w:r w:rsidR="00A17ADE" w:rsidRPr="005103A1">
        <w:rPr>
          <w:rFonts w:asciiTheme="majorBidi" w:hAnsiTheme="majorBidi" w:cstheme="majorBidi"/>
        </w:rPr>
        <w:t xml:space="preserve">sensitivity </w:t>
      </w:r>
      <w:r w:rsidRPr="005103A1">
        <w:rPr>
          <w:rFonts w:asciiTheme="majorBidi" w:hAnsiTheme="majorBidi" w:cstheme="majorBidi"/>
        </w:rPr>
        <w:t xml:space="preserve">link is positive, but </w:t>
      </w:r>
      <w:r w:rsidR="0022111B" w:rsidRPr="005103A1">
        <w:rPr>
          <w:rFonts w:asciiTheme="majorBidi" w:hAnsiTheme="majorBidi" w:cstheme="majorBidi"/>
        </w:rPr>
        <w:t xml:space="preserve">relatively </w:t>
      </w:r>
      <w:r w:rsidRPr="005103A1">
        <w:rPr>
          <w:rFonts w:asciiTheme="majorBidi" w:hAnsiTheme="majorBidi" w:cstheme="majorBidi"/>
        </w:rPr>
        <w:t>small.</w:t>
      </w:r>
      <w:r w:rsidR="00645A46" w:rsidRPr="005103A1">
        <w:rPr>
          <w:rFonts w:asciiTheme="majorBidi" w:hAnsiTheme="majorBidi" w:cstheme="majorBidi"/>
        </w:rPr>
        <w:t xml:space="preserve"> </w:t>
      </w:r>
      <w:r w:rsidRPr="005103A1">
        <w:rPr>
          <w:rFonts w:asciiTheme="majorBidi" w:hAnsiTheme="majorBidi" w:cstheme="majorBidi"/>
        </w:rPr>
        <w:t>Another strand</w:t>
      </w:r>
      <w:r w:rsidR="00645A46" w:rsidRPr="005103A1">
        <w:rPr>
          <w:rFonts w:asciiTheme="majorBidi" w:hAnsiTheme="majorBidi" w:cstheme="majorBidi"/>
        </w:rPr>
        <w:t xml:space="preserve"> of </w:t>
      </w:r>
      <w:r w:rsidR="00A17ADE" w:rsidRPr="005103A1">
        <w:rPr>
          <w:rFonts w:asciiTheme="majorBidi" w:hAnsiTheme="majorBidi" w:cstheme="majorBidi"/>
        </w:rPr>
        <w:t xml:space="preserve">the </w:t>
      </w:r>
      <w:r w:rsidR="00645A46" w:rsidRPr="005103A1">
        <w:rPr>
          <w:rFonts w:asciiTheme="majorBidi" w:hAnsiTheme="majorBidi" w:cstheme="majorBidi"/>
        </w:rPr>
        <w:t>existing stu</w:t>
      </w:r>
      <w:r w:rsidR="0022111B" w:rsidRPr="005103A1">
        <w:rPr>
          <w:rFonts w:asciiTheme="majorBidi" w:hAnsiTheme="majorBidi" w:cstheme="majorBidi"/>
        </w:rPr>
        <w:t>dies has</w:t>
      </w:r>
      <w:r w:rsidR="00645A46" w:rsidRPr="005103A1">
        <w:rPr>
          <w:rFonts w:asciiTheme="majorBidi" w:hAnsiTheme="majorBidi" w:cstheme="majorBidi"/>
        </w:rPr>
        <w:t xml:space="preserve"> investiga</w:t>
      </w:r>
      <w:r w:rsidR="006B692E" w:rsidRPr="005103A1">
        <w:rPr>
          <w:rFonts w:asciiTheme="majorBidi" w:hAnsiTheme="majorBidi" w:cstheme="majorBidi"/>
        </w:rPr>
        <w:t xml:space="preserve">ted the effect of </w:t>
      </w:r>
      <w:r w:rsidR="00EB3883" w:rsidRPr="005103A1">
        <w:rPr>
          <w:rFonts w:asciiTheme="majorBidi" w:hAnsiTheme="majorBidi" w:cstheme="majorBidi"/>
        </w:rPr>
        <w:t>CP</w:t>
      </w:r>
      <w:r w:rsidR="00645A46" w:rsidRPr="005103A1">
        <w:rPr>
          <w:rFonts w:asciiTheme="majorBidi" w:hAnsiTheme="majorBidi" w:cstheme="majorBidi"/>
        </w:rPr>
        <w:t xml:space="preserve"> on </w:t>
      </w:r>
      <w:r w:rsidR="00EB3883" w:rsidRPr="005103A1">
        <w:rPr>
          <w:rFonts w:asciiTheme="majorBidi" w:hAnsiTheme="majorBidi" w:cstheme="majorBidi"/>
        </w:rPr>
        <w:t>MV</w:t>
      </w:r>
      <w:r w:rsidR="00645A46" w:rsidRPr="005103A1">
        <w:rPr>
          <w:rFonts w:asciiTheme="majorBidi" w:hAnsiTheme="majorBidi" w:cstheme="majorBidi"/>
        </w:rPr>
        <w:t xml:space="preserve"> (Kim </w:t>
      </w:r>
      <w:r w:rsidR="00645A46" w:rsidRPr="005103A1">
        <w:rPr>
          <w:rFonts w:asciiTheme="majorBidi" w:hAnsiTheme="majorBidi" w:cstheme="majorBidi"/>
          <w:i/>
          <w:iCs/>
        </w:rPr>
        <w:t>et al.</w:t>
      </w:r>
      <w:r w:rsidR="00645A46" w:rsidRPr="005103A1">
        <w:rPr>
          <w:rFonts w:asciiTheme="majorBidi" w:hAnsiTheme="majorBidi" w:cstheme="majorBidi"/>
        </w:rPr>
        <w:t xml:space="preserve">, 2015; </w:t>
      </w:r>
      <w:proofErr w:type="spellStart"/>
      <w:r w:rsidR="00645A46" w:rsidRPr="005103A1">
        <w:rPr>
          <w:rFonts w:asciiTheme="majorBidi" w:hAnsiTheme="majorBidi" w:cstheme="majorBidi"/>
        </w:rPr>
        <w:t>Qiu</w:t>
      </w:r>
      <w:proofErr w:type="spellEnd"/>
      <w:r w:rsidR="00645A46" w:rsidRPr="005103A1">
        <w:rPr>
          <w:rFonts w:asciiTheme="majorBidi" w:hAnsiTheme="majorBidi" w:cstheme="majorBidi"/>
        </w:rPr>
        <w:t xml:space="preserve"> </w:t>
      </w:r>
      <w:r w:rsidR="00645A46" w:rsidRPr="005103A1">
        <w:rPr>
          <w:rFonts w:asciiTheme="majorBidi" w:hAnsiTheme="majorBidi" w:cstheme="majorBidi"/>
          <w:i/>
          <w:iCs/>
        </w:rPr>
        <w:t>et al</w:t>
      </w:r>
      <w:r w:rsidR="00645A46" w:rsidRPr="005103A1">
        <w:rPr>
          <w:rFonts w:asciiTheme="majorBidi" w:hAnsiTheme="majorBidi" w:cstheme="majorBidi"/>
        </w:rPr>
        <w:t xml:space="preserve">., 2016; </w:t>
      </w:r>
      <w:proofErr w:type="spellStart"/>
      <w:r w:rsidR="00645A46" w:rsidRPr="005103A1">
        <w:rPr>
          <w:rFonts w:asciiTheme="majorBidi" w:hAnsiTheme="majorBidi" w:cstheme="majorBidi"/>
        </w:rPr>
        <w:t>Trumpp</w:t>
      </w:r>
      <w:proofErr w:type="spellEnd"/>
      <w:r w:rsidR="00645A46" w:rsidRPr="005103A1">
        <w:rPr>
          <w:rFonts w:asciiTheme="majorBidi" w:hAnsiTheme="majorBidi" w:cstheme="majorBidi"/>
        </w:rPr>
        <w:t xml:space="preserve"> </w:t>
      </w:r>
      <w:r w:rsidR="00645A46" w:rsidRPr="005103A1">
        <w:rPr>
          <w:rFonts w:asciiTheme="majorBidi" w:hAnsiTheme="majorBidi" w:cstheme="majorBidi"/>
          <w:i/>
          <w:iCs/>
        </w:rPr>
        <w:t>et al</w:t>
      </w:r>
      <w:r w:rsidR="00645A46" w:rsidRPr="005103A1">
        <w:rPr>
          <w:rFonts w:asciiTheme="majorBidi" w:hAnsiTheme="majorBidi" w:cstheme="majorBidi"/>
        </w:rPr>
        <w:t xml:space="preserve">., 2015) with mixed findings. For example, whilst Matsumura </w:t>
      </w:r>
      <w:r w:rsidR="00645A46" w:rsidRPr="005103A1">
        <w:rPr>
          <w:rFonts w:asciiTheme="majorBidi" w:hAnsiTheme="majorBidi" w:cstheme="majorBidi"/>
          <w:i/>
        </w:rPr>
        <w:t>et al.</w:t>
      </w:r>
      <w:r w:rsidR="00645A46" w:rsidRPr="005103A1">
        <w:rPr>
          <w:rFonts w:asciiTheme="majorBidi" w:hAnsiTheme="majorBidi" w:cstheme="majorBidi"/>
        </w:rPr>
        <w:t xml:space="preserve"> (2014) find a positive effect </w:t>
      </w:r>
      <w:r w:rsidR="009108DE" w:rsidRPr="005103A1">
        <w:rPr>
          <w:rFonts w:asciiTheme="majorBidi" w:hAnsiTheme="majorBidi" w:cstheme="majorBidi"/>
        </w:rPr>
        <w:t xml:space="preserve">of </w:t>
      </w:r>
      <w:r w:rsidR="00EB3883" w:rsidRPr="005103A1">
        <w:rPr>
          <w:rFonts w:asciiTheme="majorBidi" w:hAnsiTheme="majorBidi" w:cstheme="majorBidi"/>
        </w:rPr>
        <w:t>CP</w:t>
      </w:r>
      <w:r w:rsidR="00645A46" w:rsidRPr="005103A1">
        <w:rPr>
          <w:rFonts w:asciiTheme="majorBidi" w:hAnsiTheme="majorBidi" w:cstheme="majorBidi"/>
        </w:rPr>
        <w:t xml:space="preserve"> on </w:t>
      </w:r>
      <w:r w:rsidR="00EB3883" w:rsidRPr="005103A1">
        <w:rPr>
          <w:rFonts w:asciiTheme="majorBidi" w:hAnsiTheme="majorBidi" w:cstheme="majorBidi"/>
        </w:rPr>
        <w:t>MV</w:t>
      </w:r>
      <w:r w:rsidR="00645A46" w:rsidRPr="005103A1">
        <w:rPr>
          <w:rFonts w:asciiTheme="majorBidi" w:hAnsiTheme="majorBidi" w:cstheme="majorBidi"/>
        </w:rPr>
        <w:t xml:space="preserve">, </w:t>
      </w:r>
      <w:r w:rsidR="00073C1A" w:rsidRPr="005103A1">
        <w:rPr>
          <w:rFonts w:asciiTheme="majorBidi" w:hAnsiTheme="majorBidi" w:cstheme="majorBidi"/>
        </w:rPr>
        <w:t xml:space="preserve">the evidence of </w:t>
      </w:r>
      <w:r w:rsidR="00645A46" w:rsidRPr="005103A1">
        <w:rPr>
          <w:rFonts w:asciiTheme="majorBidi" w:hAnsiTheme="majorBidi" w:cstheme="majorBidi"/>
        </w:rPr>
        <w:t xml:space="preserve">Delmas </w:t>
      </w:r>
      <w:r w:rsidR="00645A46" w:rsidRPr="005103A1">
        <w:rPr>
          <w:rFonts w:asciiTheme="majorBidi" w:hAnsiTheme="majorBidi" w:cstheme="majorBidi"/>
          <w:i/>
        </w:rPr>
        <w:t>et al.</w:t>
      </w:r>
      <w:r w:rsidR="00645A46" w:rsidRPr="005103A1">
        <w:rPr>
          <w:rFonts w:asciiTheme="majorBidi" w:hAnsiTheme="majorBidi" w:cstheme="majorBidi"/>
        </w:rPr>
        <w:t xml:space="preserve"> (2013)</w:t>
      </w:r>
      <w:r w:rsidR="00073C1A" w:rsidRPr="005103A1">
        <w:rPr>
          <w:rFonts w:asciiTheme="majorBidi" w:hAnsiTheme="majorBidi" w:cstheme="majorBidi"/>
        </w:rPr>
        <w:t xml:space="preserve"> </w:t>
      </w:r>
      <w:r w:rsidR="00645A46" w:rsidRPr="005103A1">
        <w:rPr>
          <w:rFonts w:asciiTheme="majorBidi" w:hAnsiTheme="majorBidi" w:cstheme="majorBidi"/>
        </w:rPr>
        <w:t>for the same link was inconclusive. A third strand of the literature</w:t>
      </w:r>
      <w:r w:rsidR="002B6BFF" w:rsidRPr="005103A1">
        <w:rPr>
          <w:rFonts w:asciiTheme="majorBidi" w:hAnsiTheme="majorBidi" w:cstheme="majorBidi"/>
        </w:rPr>
        <w:t xml:space="preserve"> has investigated the association between </w:t>
      </w:r>
      <w:r w:rsidR="00EB3883" w:rsidRPr="005103A1">
        <w:rPr>
          <w:rFonts w:asciiTheme="majorBidi" w:hAnsiTheme="majorBidi" w:cstheme="majorBidi"/>
        </w:rPr>
        <w:t>EC</w:t>
      </w:r>
      <w:r w:rsidR="00F028AA" w:rsidRPr="005103A1">
        <w:rPr>
          <w:rFonts w:asciiTheme="majorBidi" w:hAnsiTheme="majorBidi" w:cstheme="majorBidi"/>
        </w:rPr>
        <w:t xml:space="preserve"> and </w:t>
      </w:r>
      <w:r w:rsidR="00EB3883" w:rsidRPr="005103A1">
        <w:rPr>
          <w:rFonts w:asciiTheme="majorBidi" w:hAnsiTheme="majorBidi" w:cstheme="majorBidi"/>
        </w:rPr>
        <w:t>CP</w:t>
      </w:r>
      <w:r w:rsidR="00A15836" w:rsidRPr="00FB3918">
        <w:rPr>
          <w:rFonts w:asciiTheme="majorBidi" w:hAnsiTheme="majorBidi" w:cstheme="majorBidi"/>
        </w:rPr>
        <w:t xml:space="preserve"> (</w:t>
      </w:r>
      <w:r w:rsidR="002B6BFF" w:rsidRPr="008A3C22">
        <w:rPr>
          <w:rFonts w:asciiTheme="majorBidi" w:hAnsiTheme="majorBidi" w:cstheme="majorBidi"/>
        </w:rPr>
        <w:t xml:space="preserve">Campbell </w:t>
      </w:r>
      <w:r w:rsidR="002B6BFF" w:rsidRPr="008A3C22">
        <w:rPr>
          <w:rFonts w:asciiTheme="majorBidi" w:hAnsiTheme="majorBidi" w:cstheme="majorBidi"/>
          <w:i/>
          <w:iCs/>
        </w:rPr>
        <w:t>et al.,</w:t>
      </w:r>
      <w:r w:rsidR="002B6BFF" w:rsidRPr="004F3236">
        <w:rPr>
          <w:rFonts w:asciiTheme="majorBidi" w:hAnsiTheme="majorBidi" w:cstheme="majorBidi"/>
        </w:rPr>
        <w:t xml:space="preserve"> 2007;</w:t>
      </w:r>
      <w:r w:rsidR="00244F5B" w:rsidRPr="004F3236">
        <w:rPr>
          <w:rFonts w:asciiTheme="majorBidi" w:hAnsiTheme="majorBidi" w:cstheme="majorBidi"/>
        </w:rPr>
        <w:t xml:space="preserve"> </w:t>
      </w:r>
      <w:r w:rsidR="002B6BFF" w:rsidRPr="00D86C37">
        <w:rPr>
          <w:rFonts w:asciiTheme="majorBidi" w:hAnsiTheme="majorBidi" w:cstheme="majorBidi"/>
        </w:rPr>
        <w:t xml:space="preserve">Maas, 2018; </w:t>
      </w:r>
      <w:r w:rsidR="002B6BFF" w:rsidRPr="005103A1">
        <w:rPr>
          <w:rFonts w:asciiTheme="majorBidi" w:hAnsiTheme="majorBidi" w:cstheme="majorBidi"/>
        </w:rPr>
        <w:t xml:space="preserve">Mahoney and Thorn, 2006). With some exceptions (Haque, 2017; Ji, 2015), the findings of these studies largely indicate that there is a positive relationship </w:t>
      </w:r>
      <w:r w:rsidR="00EF3CB7" w:rsidRPr="005103A1">
        <w:rPr>
          <w:rFonts w:asciiTheme="majorBidi" w:hAnsiTheme="majorBidi" w:cstheme="majorBidi"/>
        </w:rPr>
        <w:t xml:space="preserve">between </w:t>
      </w:r>
      <w:r w:rsidR="00EB3883" w:rsidRPr="005103A1">
        <w:rPr>
          <w:rFonts w:asciiTheme="majorBidi" w:hAnsiTheme="majorBidi" w:cstheme="majorBidi"/>
        </w:rPr>
        <w:t>EC</w:t>
      </w:r>
      <w:r w:rsidR="002B6BFF" w:rsidRPr="005103A1">
        <w:rPr>
          <w:rFonts w:asciiTheme="majorBidi" w:hAnsiTheme="majorBidi" w:cstheme="majorBidi"/>
        </w:rPr>
        <w:t xml:space="preserve"> and </w:t>
      </w:r>
      <w:r w:rsidR="00EB3883" w:rsidRPr="005103A1">
        <w:rPr>
          <w:rFonts w:asciiTheme="majorBidi" w:hAnsiTheme="majorBidi" w:cstheme="majorBidi"/>
        </w:rPr>
        <w:t>CP</w:t>
      </w:r>
      <w:r w:rsidR="002B6BFF" w:rsidRPr="005103A1">
        <w:rPr>
          <w:rFonts w:asciiTheme="majorBidi" w:hAnsiTheme="majorBidi" w:cstheme="majorBidi"/>
        </w:rPr>
        <w:t xml:space="preserve">. A final strand of the extant literature has examined </w:t>
      </w:r>
      <w:r w:rsidR="00C706F7" w:rsidRPr="005103A1">
        <w:rPr>
          <w:rFonts w:asciiTheme="majorBidi" w:hAnsiTheme="majorBidi" w:cstheme="majorBidi"/>
        </w:rPr>
        <w:t xml:space="preserve">the impact of </w:t>
      </w:r>
      <w:r w:rsidR="00795A0E" w:rsidRPr="005103A1">
        <w:rPr>
          <w:rFonts w:asciiTheme="majorBidi" w:hAnsiTheme="majorBidi" w:cstheme="majorBidi"/>
        </w:rPr>
        <w:t>CG</w:t>
      </w:r>
      <w:r w:rsidR="00C706F7" w:rsidRPr="005103A1">
        <w:rPr>
          <w:rFonts w:asciiTheme="majorBidi" w:hAnsiTheme="majorBidi" w:cstheme="majorBidi"/>
        </w:rPr>
        <w:t xml:space="preserve"> structures</w:t>
      </w:r>
      <w:r w:rsidR="00EF3CB7" w:rsidRPr="005103A1">
        <w:rPr>
          <w:rFonts w:asciiTheme="majorBidi" w:hAnsiTheme="majorBidi" w:cstheme="majorBidi"/>
        </w:rPr>
        <w:t xml:space="preserve"> on:</w:t>
      </w:r>
      <w:r w:rsidR="00C706F7" w:rsidRPr="005103A1">
        <w:rPr>
          <w:rFonts w:asciiTheme="majorBidi" w:hAnsiTheme="majorBidi" w:cstheme="majorBidi"/>
        </w:rPr>
        <w:t xml:space="preserve"> (i) </w:t>
      </w:r>
      <w:r w:rsidR="00EB3883" w:rsidRPr="005103A1">
        <w:rPr>
          <w:rFonts w:asciiTheme="majorBidi" w:hAnsiTheme="majorBidi" w:cstheme="majorBidi"/>
        </w:rPr>
        <w:t>MV</w:t>
      </w:r>
      <w:r w:rsidR="00C706F7" w:rsidRPr="005103A1">
        <w:rPr>
          <w:rFonts w:asciiTheme="majorBidi" w:hAnsiTheme="majorBidi" w:cstheme="majorBidi"/>
        </w:rPr>
        <w:t xml:space="preserve"> (</w:t>
      </w:r>
      <w:r w:rsidR="007E5F43" w:rsidRPr="005103A1">
        <w:rPr>
          <w:rFonts w:asciiTheme="majorBidi" w:hAnsiTheme="majorBidi" w:cstheme="majorBidi"/>
        </w:rPr>
        <w:t xml:space="preserve">Mangena </w:t>
      </w:r>
      <w:r w:rsidR="007E5F43" w:rsidRPr="005103A1">
        <w:rPr>
          <w:rFonts w:asciiTheme="majorBidi" w:hAnsiTheme="majorBidi" w:cstheme="majorBidi"/>
          <w:i/>
          <w:iCs/>
        </w:rPr>
        <w:t>et al</w:t>
      </w:r>
      <w:r w:rsidR="007E5F43" w:rsidRPr="005103A1">
        <w:rPr>
          <w:rFonts w:asciiTheme="majorBidi" w:hAnsiTheme="majorBidi" w:cstheme="majorBidi"/>
        </w:rPr>
        <w:t xml:space="preserve">., 2012; </w:t>
      </w:r>
      <w:r w:rsidR="00C706F7" w:rsidRPr="005103A1">
        <w:rPr>
          <w:rFonts w:asciiTheme="majorBidi" w:hAnsiTheme="majorBidi" w:cstheme="majorBidi"/>
        </w:rPr>
        <w:t xml:space="preserve">Ntim, 2016; Singh </w:t>
      </w:r>
      <w:r w:rsidR="00C706F7" w:rsidRPr="005103A1">
        <w:rPr>
          <w:rFonts w:asciiTheme="majorBidi" w:hAnsiTheme="majorBidi" w:cstheme="majorBidi"/>
          <w:i/>
          <w:iCs/>
        </w:rPr>
        <w:t>et al.</w:t>
      </w:r>
      <w:r w:rsidR="00C706F7" w:rsidRPr="005103A1">
        <w:rPr>
          <w:rFonts w:asciiTheme="majorBidi" w:hAnsiTheme="majorBidi" w:cstheme="majorBidi"/>
        </w:rPr>
        <w:t>, 2018)</w:t>
      </w:r>
      <w:r w:rsidR="00EF3CB7" w:rsidRPr="005103A1">
        <w:rPr>
          <w:rFonts w:asciiTheme="majorBidi" w:hAnsiTheme="majorBidi" w:cstheme="majorBidi"/>
        </w:rPr>
        <w:t>;</w:t>
      </w:r>
      <w:r w:rsidR="00C706F7" w:rsidRPr="005103A1">
        <w:rPr>
          <w:rFonts w:asciiTheme="majorBidi" w:hAnsiTheme="majorBidi" w:cstheme="majorBidi"/>
        </w:rPr>
        <w:t xml:space="preserve"> (ii) </w:t>
      </w:r>
      <w:r w:rsidR="00EB3883" w:rsidRPr="005103A1">
        <w:rPr>
          <w:rFonts w:asciiTheme="majorBidi" w:hAnsiTheme="majorBidi" w:cstheme="majorBidi"/>
        </w:rPr>
        <w:t>CP</w:t>
      </w:r>
      <w:r w:rsidR="00C706F7" w:rsidRPr="005103A1">
        <w:rPr>
          <w:rFonts w:asciiTheme="majorBidi" w:hAnsiTheme="majorBidi" w:cstheme="majorBidi"/>
        </w:rPr>
        <w:t xml:space="preserve"> (de Villiers </w:t>
      </w:r>
      <w:r w:rsidR="00C706F7" w:rsidRPr="005103A1">
        <w:rPr>
          <w:rFonts w:asciiTheme="majorBidi" w:hAnsiTheme="majorBidi" w:cstheme="majorBidi"/>
          <w:i/>
          <w:iCs/>
        </w:rPr>
        <w:t>et al</w:t>
      </w:r>
      <w:r w:rsidR="00C706F7" w:rsidRPr="005103A1">
        <w:rPr>
          <w:rFonts w:asciiTheme="majorBidi" w:hAnsiTheme="majorBidi" w:cstheme="majorBidi"/>
        </w:rPr>
        <w:t>., 2011;</w:t>
      </w:r>
      <w:r w:rsidR="007D49E8" w:rsidRPr="005103A1">
        <w:rPr>
          <w:rFonts w:asciiTheme="majorBidi" w:hAnsiTheme="majorBidi" w:cstheme="majorBidi"/>
        </w:rPr>
        <w:t xml:space="preserve"> </w:t>
      </w:r>
      <w:r w:rsidR="00C706F7" w:rsidRPr="005103A1">
        <w:rPr>
          <w:rFonts w:asciiTheme="majorBidi" w:hAnsiTheme="majorBidi" w:cstheme="majorBidi"/>
        </w:rPr>
        <w:t xml:space="preserve">Tauringana and </w:t>
      </w:r>
      <w:proofErr w:type="spellStart"/>
      <w:r w:rsidR="00C706F7" w:rsidRPr="005103A1">
        <w:rPr>
          <w:rFonts w:asciiTheme="majorBidi" w:hAnsiTheme="majorBidi" w:cstheme="majorBidi"/>
        </w:rPr>
        <w:t>Chithambo</w:t>
      </w:r>
      <w:proofErr w:type="spellEnd"/>
      <w:r w:rsidR="00C706F7" w:rsidRPr="005103A1">
        <w:rPr>
          <w:rFonts w:asciiTheme="majorBidi" w:hAnsiTheme="majorBidi" w:cstheme="majorBidi"/>
        </w:rPr>
        <w:t>, 2015)</w:t>
      </w:r>
      <w:r w:rsidR="00EF3CB7" w:rsidRPr="005103A1">
        <w:rPr>
          <w:rFonts w:asciiTheme="majorBidi" w:hAnsiTheme="majorBidi" w:cstheme="majorBidi"/>
        </w:rPr>
        <w:t>;</w:t>
      </w:r>
      <w:r w:rsidR="00C706F7" w:rsidRPr="005103A1">
        <w:rPr>
          <w:rFonts w:asciiTheme="majorBidi" w:hAnsiTheme="majorBidi" w:cstheme="majorBidi"/>
        </w:rPr>
        <w:t xml:space="preserve"> and (iii) </w:t>
      </w:r>
      <w:r w:rsidR="00EB3883" w:rsidRPr="005103A1">
        <w:rPr>
          <w:rFonts w:asciiTheme="majorBidi" w:hAnsiTheme="majorBidi" w:cstheme="majorBidi"/>
        </w:rPr>
        <w:t>EC</w:t>
      </w:r>
      <w:r w:rsidR="00C706F7" w:rsidRPr="005103A1">
        <w:rPr>
          <w:rFonts w:asciiTheme="majorBidi" w:hAnsiTheme="majorBidi" w:cstheme="majorBidi"/>
        </w:rPr>
        <w:t xml:space="preserve"> (</w:t>
      </w:r>
      <w:r w:rsidR="00466710" w:rsidRPr="005103A1">
        <w:rPr>
          <w:rFonts w:asciiTheme="majorBidi" w:hAnsiTheme="majorBidi" w:cstheme="majorBidi"/>
          <w:color w:val="222222"/>
        </w:rPr>
        <w:t xml:space="preserve">Ntim </w:t>
      </w:r>
      <w:r w:rsidR="00466710" w:rsidRPr="005103A1">
        <w:rPr>
          <w:rFonts w:asciiTheme="majorBidi" w:hAnsiTheme="majorBidi" w:cstheme="majorBidi"/>
          <w:i/>
          <w:iCs/>
          <w:color w:val="222222"/>
        </w:rPr>
        <w:t>et al</w:t>
      </w:r>
      <w:r w:rsidR="00466710" w:rsidRPr="005103A1">
        <w:rPr>
          <w:rFonts w:asciiTheme="majorBidi" w:hAnsiTheme="majorBidi" w:cstheme="majorBidi"/>
          <w:color w:val="222222"/>
        </w:rPr>
        <w:t>., 2019</w:t>
      </w:r>
      <w:r w:rsidR="0072782B" w:rsidRPr="005103A1">
        <w:rPr>
          <w:rFonts w:asciiTheme="majorBidi" w:hAnsiTheme="majorBidi" w:cstheme="majorBidi"/>
          <w:color w:val="222222"/>
        </w:rPr>
        <w:t>; Ogden and Watson, 2012</w:t>
      </w:r>
      <w:r w:rsidR="00244F5B" w:rsidRPr="005103A1">
        <w:rPr>
          <w:rFonts w:asciiTheme="majorBidi" w:hAnsiTheme="majorBidi" w:cstheme="majorBidi"/>
          <w:color w:val="222222"/>
        </w:rPr>
        <w:t xml:space="preserve">; Sarhan </w:t>
      </w:r>
      <w:r w:rsidR="00244F5B" w:rsidRPr="005103A1">
        <w:rPr>
          <w:rFonts w:asciiTheme="majorBidi" w:hAnsiTheme="majorBidi" w:cstheme="majorBidi"/>
          <w:i/>
          <w:iCs/>
          <w:color w:val="222222"/>
        </w:rPr>
        <w:t>et al</w:t>
      </w:r>
      <w:r w:rsidR="00244F5B" w:rsidRPr="005103A1">
        <w:rPr>
          <w:rFonts w:asciiTheme="majorBidi" w:hAnsiTheme="majorBidi" w:cstheme="majorBidi"/>
          <w:color w:val="222222"/>
        </w:rPr>
        <w:t>., 2019</w:t>
      </w:r>
      <w:r w:rsidR="00C706F7" w:rsidRPr="005103A1">
        <w:rPr>
          <w:rFonts w:asciiTheme="majorBidi" w:hAnsiTheme="majorBidi" w:cstheme="majorBidi"/>
        </w:rPr>
        <w:t>).</w:t>
      </w:r>
      <w:r w:rsidR="007D49E8" w:rsidRPr="005103A1">
        <w:rPr>
          <w:rFonts w:asciiTheme="majorBidi" w:hAnsiTheme="majorBidi" w:cstheme="majorBidi"/>
        </w:rPr>
        <w:t xml:space="preserve"> The findings of these studies generally suggest that good governance is associated </w:t>
      </w:r>
      <w:r w:rsidR="00EF3CB7" w:rsidRPr="005103A1">
        <w:rPr>
          <w:rFonts w:asciiTheme="majorBidi" w:hAnsiTheme="majorBidi" w:cstheme="majorBidi"/>
        </w:rPr>
        <w:t xml:space="preserve">with </w:t>
      </w:r>
      <w:r w:rsidR="007D49E8" w:rsidRPr="005103A1">
        <w:rPr>
          <w:rFonts w:asciiTheme="majorBidi" w:hAnsiTheme="majorBidi" w:cstheme="majorBidi"/>
        </w:rPr>
        <w:t xml:space="preserve">better </w:t>
      </w:r>
      <w:r w:rsidR="00BE09BB" w:rsidRPr="005103A1">
        <w:rPr>
          <w:rFonts w:asciiTheme="majorBidi" w:hAnsiTheme="majorBidi" w:cstheme="majorBidi"/>
        </w:rPr>
        <w:t xml:space="preserve">carbon/environmental, </w:t>
      </w:r>
      <w:r w:rsidR="007D49E8" w:rsidRPr="005103A1">
        <w:rPr>
          <w:rFonts w:asciiTheme="majorBidi" w:hAnsiTheme="majorBidi" w:cstheme="majorBidi"/>
        </w:rPr>
        <w:t>compensation</w:t>
      </w:r>
      <w:r w:rsidR="00BE09BB" w:rsidRPr="005103A1">
        <w:rPr>
          <w:rFonts w:asciiTheme="majorBidi" w:hAnsiTheme="majorBidi" w:cstheme="majorBidi"/>
        </w:rPr>
        <w:t xml:space="preserve"> and</w:t>
      </w:r>
      <w:r w:rsidR="007D49E8" w:rsidRPr="005103A1">
        <w:rPr>
          <w:rFonts w:asciiTheme="majorBidi" w:hAnsiTheme="majorBidi" w:cstheme="majorBidi"/>
        </w:rPr>
        <w:t xml:space="preserve"> financial </w:t>
      </w:r>
      <w:r w:rsidR="00EF3CB7" w:rsidRPr="005103A1">
        <w:rPr>
          <w:rFonts w:asciiTheme="majorBidi" w:hAnsiTheme="majorBidi" w:cstheme="majorBidi"/>
        </w:rPr>
        <w:t>outcomes</w:t>
      </w:r>
      <w:r w:rsidR="007D49E8" w:rsidRPr="005103A1">
        <w:rPr>
          <w:rFonts w:asciiTheme="majorBidi" w:hAnsiTheme="majorBidi" w:cstheme="majorBidi"/>
        </w:rPr>
        <w:t>, albeit with some exceptions (</w:t>
      </w:r>
      <w:r w:rsidR="00215406" w:rsidRPr="005103A1">
        <w:rPr>
          <w:rFonts w:asciiTheme="majorBidi" w:hAnsiTheme="majorBidi" w:cstheme="majorBidi"/>
        </w:rPr>
        <w:t>Cong and Freedman, 2011</w:t>
      </w:r>
      <w:r w:rsidR="00F37F87" w:rsidRPr="005103A1">
        <w:rPr>
          <w:rFonts w:asciiTheme="majorBidi" w:hAnsiTheme="majorBidi" w:cstheme="majorBidi"/>
        </w:rPr>
        <w:t>; Haque and Ntim, 2018).</w:t>
      </w:r>
    </w:p>
    <w:p w14:paraId="26E79E07" w14:textId="50C0682E" w:rsidR="00D67826" w:rsidRPr="005103A1" w:rsidRDefault="00B01A37" w:rsidP="00EB3883">
      <w:pPr>
        <w:spacing w:after="0" w:line="480" w:lineRule="auto"/>
        <w:jc w:val="both"/>
        <w:rPr>
          <w:rFonts w:asciiTheme="majorBidi" w:hAnsiTheme="majorBidi" w:cstheme="majorBidi"/>
        </w:rPr>
      </w:pPr>
      <w:r w:rsidRPr="005103A1">
        <w:rPr>
          <w:rFonts w:asciiTheme="majorBidi" w:hAnsiTheme="majorBidi" w:cstheme="majorBidi"/>
        </w:rPr>
        <w:tab/>
        <w:t>Observably, t</w:t>
      </w:r>
      <w:r w:rsidR="00A4323E" w:rsidRPr="005103A1">
        <w:rPr>
          <w:rFonts w:asciiTheme="majorBidi" w:hAnsiTheme="majorBidi" w:cstheme="majorBidi"/>
        </w:rPr>
        <w:t>he</w:t>
      </w:r>
      <w:r w:rsidR="00F20736">
        <w:rPr>
          <w:rFonts w:asciiTheme="majorBidi" w:hAnsiTheme="majorBidi" w:cstheme="majorBidi"/>
        </w:rPr>
        <w:t xml:space="preserve"> above/past</w:t>
      </w:r>
      <w:r w:rsidR="00A4323E" w:rsidRPr="005103A1">
        <w:rPr>
          <w:rFonts w:asciiTheme="majorBidi" w:hAnsiTheme="majorBidi" w:cstheme="majorBidi"/>
        </w:rPr>
        <w:t xml:space="preserve"> studies arguably</w:t>
      </w:r>
      <w:r w:rsidRPr="005103A1">
        <w:rPr>
          <w:rFonts w:asciiTheme="majorBidi" w:hAnsiTheme="majorBidi" w:cstheme="majorBidi"/>
        </w:rPr>
        <w:t xml:space="preserve"> suffer from a number of limitations. First,</w:t>
      </w:r>
      <w:r w:rsidR="00DE7CE0" w:rsidRPr="005103A1">
        <w:rPr>
          <w:rFonts w:asciiTheme="majorBidi" w:hAnsiTheme="majorBidi" w:cstheme="majorBidi"/>
        </w:rPr>
        <w:t xml:space="preserve"> measures used to capture some of these </w:t>
      </w:r>
      <w:r w:rsidR="00FC155B" w:rsidRPr="005103A1">
        <w:rPr>
          <w:rFonts w:asciiTheme="majorBidi" w:hAnsiTheme="majorBidi" w:cstheme="majorBidi"/>
        </w:rPr>
        <w:t>(</w:t>
      </w:r>
      <w:r w:rsidR="00EB7A7C" w:rsidRPr="005103A1">
        <w:rPr>
          <w:rFonts w:asciiTheme="majorBidi" w:hAnsiTheme="majorBidi" w:cstheme="majorBidi"/>
        </w:rPr>
        <w:t>CP</w:t>
      </w:r>
      <w:r w:rsidR="00FC155B" w:rsidRPr="005103A1">
        <w:rPr>
          <w:rFonts w:asciiTheme="majorBidi" w:hAnsiTheme="majorBidi" w:cstheme="majorBidi"/>
        </w:rPr>
        <w:t>)</w:t>
      </w:r>
      <w:r w:rsidR="003807EC" w:rsidRPr="005103A1">
        <w:rPr>
          <w:rFonts w:asciiTheme="majorBidi" w:hAnsiTheme="majorBidi" w:cstheme="majorBidi"/>
        </w:rPr>
        <w:t xml:space="preserve"> </w:t>
      </w:r>
      <w:r w:rsidR="00DE7CE0" w:rsidRPr="005103A1">
        <w:rPr>
          <w:rFonts w:asciiTheme="majorBidi" w:hAnsiTheme="majorBidi" w:cstheme="majorBidi"/>
        </w:rPr>
        <w:t xml:space="preserve">mechanisms may be misleading, and thereby resulting </w:t>
      </w:r>
      <w:r w:rsidR="003807EC" w:rsidRPr="005103A1">
        <w:rPr>
          <w:rFonts w:asciiTheme="majorBidi" w:hAnsiTheme="majorBidi" w:cstheme="majorBidi"/>
        </w:rPr>
        <w:t xml:space="preserve">in </w:t>
      </w:r>
      <w:r w:rsidR="00DE7CE0" w:rsidRPr="005103A1">
        <w:rPr>
          <w:rFonts w:asciiTheme="majorBidi" w:hAnsiTheme="majorBidi" w:cstheme="majorBidi"/>
        </w:rPr>
        <w:t xml:space="preserve">inaccurate findings. For example, most of these studies employ absolute </w:t>
      </w:r>
      <w:r w:rsidR="00833E5D" w:rsidRPr="005103A1">
        <w:rPr>
          <w:rFonts w:asciiTheme="majorBidi" w:hAnsiTheme="majorBidi" w:cstheme="majorBidi"/>
        </w:rPr>
        <w:t xml:space="preserve">measures of </w:t>
      </w:r>
      <w:r w:rsidR="00EB3883" w:rsidRPr="005103A1">
        <w:rPr>
          <w:rFonts w:asciiTheme="majorBidi" w:hAnsiTheme="majorBidi" w:cstheme="majorBidi"/>
        </w:rPr>
        <w:t>CP</w:t>
      </w:r>
      <w:r w:rsidR="00DE7CE0" w:rsidRPr="005103A1">
        <w:rPr>
          <w:rFonts w:asciiTheme="majorBidi" w:hAnsiTheme="majorBidi" w:cstheme="majorBidi"/>
        </w:rPr>
        <w:t xml:space="preserve"> without carefully splitting </w:t>
      </w:r>
      <w:r w:rsidR="006A090D" w:rsidRPr="005103A1">
        <w:rPr>
          <w:rFonts w:asciiTheme="majorBidi" w:hAnsiTheme="majorBidi" w:cstheme="majorBidi"/>
        </w:rPr>
        <w:lastRenderedPageBreak/>
        <w:t>them into process-oriented and actual</w:t>
      </w:r>
      <w:r w:rsidR="001D7B44">
        <w:rPr>
          <w:rFonts w:asciiTheme="majorBidi" w:hAnsiTheme="majorBidi" w:cstheme="majorBidi"/>
        </w:rPr>
        <w:t>-</w:t>
      </w:r>
      <w:r w:rsidR="00EB3883" w:rsidRPr="005103A1">
        <w:rPr>
          <w:rFonts w:asciiTheme="majorBidi" w:hAnsiTheme="majorBidi" w:cstheme="majorBidi"/>
        </w:rPr>
        <w:t>CP</w:t>
      </w:r>
      <w:r w:rsidR="00DE7CE0" w:rsidRPr="005103A1">
        <w:rPr>
          <w:rFonts w:asciiTheme="majorBidi" w:hAnsiTheme="majorBidi" w:cstheme="majorBidi"/>
        </w:rPr>
        <w:t xml:space="preserve"> (Qian and </w:t>
      </w:r>
      <w:proofErr w:type="spellStart"/>
      <w:r w:rsidR="00DE7CE0" w:rsidRPr="005103A1">
        <w:rPr>
          <w:rFonts w:asciiTheme="majorBidi" w:hAnsiTheme="majorBidi" w:cstheme="majorBidi"/>
        </w:rPr>
        <w:t>Schaltegger</w:t>
      </w:r>
      <w:proofErr w:type="spellEnd"/>
      <w:r w:rsidR="00DE7CE0" w:rsidRPr="005103A1">
        <w:rPr>
          <w:rFonts w:asciiTheme="majorBidi" w:hAnsiTheme="majorBidi" w:cstheme="majorBidi"/>
        </w:rPr>
        <w:t xml:space="preserve">, 2017; Ziegler </w:t>
      </w:r>
      <w:r w:rsidR="00DE7CE0" w:rsidRPr="005103A1">
        <w:rPr>
          <w:rFonts w:asciiTheme="majorBidi" w:hAnsiTheme="majorBidi" w:cstheme="majorBidi"/>
          <w:i/>
          <w:iCs/>
        </w:rPr>
        <w:t>et al</w:t>
      </w:r>
      <w:r w:rsidR="00DE7CE0" w:rsidRPr="005103A1">
        <w:rPr>
          <w:rFonts w:asciiTheme="majorBidi" w:hAnsiTheme="majorBidi" w:cstheme="majorBidi"/>
        </w:rPr>
        <w:t>., 2011), and thereby failing to ascertain whether such process-oriented plans lead to actual reductions in GHG emissions.</w:t>
      </w:r>
      <w:r w:rsidR="006E0D4D" w:rsidRPr="005103A1">
        <w:rPr>
          <w:rFonts w:asciiTheme="majorBidi" w:hAnsiTheme="majorBidi" w:cstheme="majorBidi"/>
        </w:rPr>
        <w:t xml:space="preserve"> Second,</w:t>
      </w:r>
      <w:r w:rsidR="00DE7CE0" w:rsidRPr="005103A1">
        <w:rPr>
          <w:rFonts w:asciiTheme="majorBidi" w:hAnsiTheme="majorBidi" w:cstheme="majorBidi"/>
        </w:rPr>
        <w:t xml:space="preserve"> the existing studies have mostly provide</w:t>
      </w:r>
      <w:r w:rsidR="006E0D4D" w:rsidRPr="005103A1">
        <w:rPr>
          <w:rFonts w:asciiTheme="majorBidi" w:hAnsiTheme="majorBidi" w:cstheme="majorBidi"/>
        </w:rPr>
        <w:t xml:space="preserve">d a simple one directional testing of the links among these measures. However, the relationship among </w:t>
      </w:r>
      <w:r w:rsidR="00795A0E" w:rsidRPr="005103A1">
        <w:rPr>
          <w:rFonts w:asciiTheme="majorBidi" w:hAnsiTheme="majorBidi" w:cstheme="majorBidi"/>
        </w:rPr>
        <w:t>CG</w:t>
      </w:r>
      <w:r w:rsidR="006E0D4D" w:rsidRPr="005103A1">
        <w:rPr>
          <w:rFonts w:asciiTheme="majorBidi" w:hAnsiTheme="majorBidi" w:cstheme="majorBidi"/>
        </w:rPr>
        <w:t xml:space="preserve">, </w:t>
      </w:r>
      <w:r w:rsidR="00EB3883" w:rsidRPr="005103A1">
        <w:rPr>
          <w:rFonts w:asciiTheme="majorBidi" w:hAnsiTheme="majorBidi" w:cstheme="majorBidi"/>
        </w:rPr>
        <w:t>EC</w:t>
      </w:r>
      <w:r w:rsidR="006E0D4D" w:rsidRPr="005103A1">
        <w:rPr>
          <w:rFonts w:asciiTheme="majorBidi" w:hAnsiTheme="majorBidi" w:cstheme="majorBidi"/>
        </w:rPr>
        <w:t xml:space="preserve">, </w:t>
      </w:r>
      <w:r w:rsidR="00EB3883" w:rsidRPr="005103A1">
        <w:rPr>
          <w:rFonts w:asciiTheme="majorBidi" w:hAnsiTheme="majorBidi" w:cstheme="majorBidi"/>
        </w:rPr>
        <w:t>CP</w:t>
      </w:r>
      <w:r w:rsidR="006E0D4D" w:rsidRPr="005103A1">
        <w:rPr>
          <w:rFonts w:asciiTheme="majorBidi" w:hAnsiTheme="majorBidi" w:cstheme="majorBidi"/>
        </w:rPr>
        <w:t xml:space="preserve"> and </w:t>
      </w:r>
      <w:r w:rsidR="00EB3883" w:rsidRPr="005103A1">
        <w:rPr>
          <w:rFonts w:asciiTheme="majorBidi" w:hAnsiTheme="majorBidi" w:cstheme="majorBidi"/>
        </w:rPr>
        <w:t>MV</w:t>
      </w:r>
      <w:r w:rsidR="006E0D4D" w:rsidRPr="005103A1">
        <w:rPr>
          <w:rFonts w:asciiTheme="majorBidi" w:hAnsiTheme="majorBidi" w:cstheme="majorBidi"/>
        </w:rPr>
        <w:t xml:space="preserve"> are arguably </w:t>
      </w:r>
      <w:r w:rsidR="00610105" w:rsidRPr="005103A1">
        <w:rPr>
          <w:rFonts w:asciiTheme="majorBidi" w:hAnsiTheme="majorBidi" w:cstheme="majorBidi"/>
        </w:rPr>
        <w:t xml:space="preserve">very </w:t>
      </w:r>
      <w:r w:rsidR="006E0D4D" w:rsidRPr="005103A1">
        <w:rPr>
          <w:rFonts w:asciiTheme="majorBidi" w:hAnsiTheme="majorBidi" w:cstheme="majorBidi"/>
        </w:rPr>
        <w:t>complex and interdependent such</w:t>
      </w:r>
      <w:r w:rsidR="00C141BD" w:rsidRPr="005103A1">
        <w:rPr>
          <w:rFonts w:asciiTheme="majorBidi" w:hAnsiTheme="majorBidi" w:cstheme="majorBidi"/>
        </w:rPr>
        <w:t xml:space="preserve"> that</w:t>
      </w:r>
      <w:r w:rsidR="006E0D4D" w:rsidRPr="005103A1">
        <w:rPr>
          <w:rFonts w:asciiTheme="majorBidi" w:hAnsiTheme="majorBidi" w:cstheme="majorBidi"/>
        </w:rPr>
        <w:t xml:space="preserve"> a simple modelling of these relationships may result in spurious correlations (Arellano and Bond, 1991; Blundell and Bond, 1998). For example, none of the existing studies have examined how the </w:t>
      </w:r>
      <w:r w:rsidR="00191BA8" w:rsidRPr="005103A1">
        <w:rPr>
          <w:rFonts w:asciiTheme="majorBidi" w:hAnsiTheme="majorBidi" w:cstheme="majorBidi"/>
        </w:rPr>
        <w:t xml:space="preserve">process-oriented </w:t>
      </w:r>
      <w:r w:rsidR="00EB3883" w:rsidRPr="005103A1">
        <w:rPr>
          <w:rFonts w:asciiTheme="majorBidi" w:hAnsiTheme="majorBidi" w:cstheme="majorBidi"/>
        </w:rPr>
        <w:t>CP</w:t>
      </w:r>
      <w:r w:rsidR="006E0D4D" w:rsidRPr="005103A1">
        <w:rPr>
          <w:rFonts w:asciiTheme="majorBidi" w:hAnsiTheme="majorBidi" w:cstheme="majorBidi"/>
        </w:rPr>
        <w:t>–</w:t>
      </w:r>
      <w:r w:rsidR="00EB3883" w:rsidRPr="005103A1">
        <w:rPr>
          <w:rFonts w:asciiTheme="majorBidi" w:hAnsiTheme="majorBidi" w:cstheme="majorBidi"/>
        </w:rPr>
        <w:t>MV</w:t>
      </w:r>
      <w:r w:rsidR="00191BA8" w:rsidRPr="005103A1">
        <w:rPr>
          <w:rFonts w:asciiTheme="majorBidi" w:hAnsiTheme="majorBidi" w:cstheme="majorBidi"/>
        </w:rPr>
        <w:t xml:space="preserve"> (</w:t>
      </w:r>
      <w:r w:rsidR="00EB3883" w:rsidRPr="005103A1">
        <w:rPr>
          <w:rFonts w:asciiTheme="majorBidi" w:hAnsiTheme="majorBidi" w:cstheme="majorBidi"/>
        </w:rPr>
        <w:t>EC</w:t>
      </w:r>
      <w:r w:rsidR="00191BA8" w:rsidRPr="005103A1">
        <w:rPr>
          <w:rFonts w:asciiTheme="majorBidi" w:hAnsiTheme="majorBidi" w:cstheme="majorBidi"/>
        </w:rPr>
        <w:t>)</w:t>
      </w:r>
      <w:r w:rsidR="006E0D4D" w:rsidRPr="005103A1">
        <w:rPr>
          <w:rFonts w:asciiTheme="majorBidi" w:hAnsiTheme="majorBidi" w:cstheme="majorBidi"/>
        </w:rPr>
        <w:t xml:space="preserve"> link may be moderated b</w:t>
      </w:r>
      <w:r w:rsidR="00191BA8" w:rsidRPr="005103A1">
        <w:rPr>
          <w:rFonts w:asciiTheme="majorBidi" w:hAnsiTheme="majorBidi" w:cstheme="majorBidi"/>
        </w:rPr>
        <w:t xml:space="preserve">y </w:t>
      </w:r>
      <w:r w:rsidR="00EB3883" w:rsidRPr="005103A1">
        <w:rPr>
          <w:rFonts w:asciiTheme="majorBidi" w:hAnsiTheme="majorBidi" w:cstheme="majorBidi"/>
        </w:rPr>
        <w:t>EC</w:t>
      </w:r>
      <w:r w:rsidR="00191BA8" w:rsidRPr="005103A1">
        <w:rPr>
          <w:rFonts w:asciiTheme="majorBidi" w:hAnsiTheme="majorBidi" w:cstheme="majorBidi"/>
        </w:rPr>
        <w:t xml:space="preserve"> (ESG-based sustainable compensation policies).</w:t>
      </w:r>
      <w:r w:rsidR="00DE7CE0" w:rsidRPr="005103A1">
        <w:rPr>
          <w:rFonts w:asciiTheme="majorBidi" w:hAnsiTheme="majorBidi" w:cstheme="majorBidi"/>
        </w:rPr>
        <w:t xml:space="preserve"> </w:t>
      </w:r>
    </w:p>
    <w:p w14:paraId="01BB79C1" w14:textId="44E658E8" w:rsidR="004F4EC5" w:rsidRPr="005103A1" w:rsidRDefault="00D67826" w:rsidP="00BE019A">
      <w:pPr>
        <w:spacing w:after="0" w:line="480" w:lineRule="auto"/>
        <w:jc w:val="both"/>
        <w:rPr>
          <w:rFonts w:asciiTheme="majorBidi" w:hAnsiTheme="majorBidi" w:cstheme="majorBidi"/>
        </w:rPr>
      </w:pPr>
      <w:r w:rsidRPr="005103A1">
        <w:rPr>
          <w:rFonts w:asciiTheme="majorBidi" w:hAnsiTheme="majorBidi" w:cstheme="majorBidi"/>
        </w:rPr>
        <w:tab/>
      </w:r>
      <w:r w:rsidR="00DE7CE0" w:rsidRPr="005103A1">
        <w:rPr>
          <w:rFonts w:asciiTheme="majorBidi" w:hAnsiTheme="majorBidi" w:cstheme="majorBidi"/>
        </w:rPr>
        <w:t>Third</w:t>
      </w:r>
      <w:r w:rsidR="0032468C" w:rsidRPr="005103A1">
        <w:rPr>
          <w:rFonts w:asciiTheme="majorBidi" w:hAnsiTheme="majorBidi" w:cstheme="majorBidi"/>
        </w:rPr>
        <w:t xml:space="preserve"> </w:t>
      </w:r>
      <w:r w:rsidR="004F4EC5" w:rsidRPr="005103A1">
        <w:rPr>
          <w:rFonts w:asciiTheme="majorBidi" w:hAnsiTheme="majorBidi" w:cstheme="majorBidi"/>
        </w:rPr>
        <w:t>and although the EU currently remains the single largest economic block with 28 relatively highly industrialised countries and by extension, the single largest polluting economic unit in the world, the existing few studies have focused mostly on Australia, China, India and US (</w:t>
      </w:r>
      <w:r w:rsidR="004F4EC5" w:rsidRPr="005103A1">
        <w:rPr>
          <w:rFonts w:asciiTheme="majorBidi" w:hAnsiTheme="majorBidi" w:cstheme="majorBidi"/>
          <w:lang w:val="en-US"/>
        </w:rPr>
        <w:t xml:space="preserve">Chang </w:t>
      </w:r>
      <w:r w:rsidR="004F4EC5" w:rsidRPr="005103A1">
        <w:rPr>
          <w:rFonts w:asciiTheme="majorBidi" w:hAnsiTheme="majorBidi" w:cstheme="majorBidi"/>
          <w:i/>
          <w:lang w:val="en-US"/>
        </w:rPr>
        <w:t>et al.</w:t>
      </w:r>
      <w:r w:rsidR="004F4EC5" w:rsidRPr="005103A1">
        <w:rPr>
          <w:rFonts w:asciiTheme="majorBidi" w:hAnsiTheme="majorBidi" w:cstheme="majorBidi"/>
          <w:lang w:val="en-US"/>
        </w:rPr>
        <w:t>, 2015; Cordeiro and Sarkis, 2008;</w:t>
      </w:r>
      <w:r w:rsidR="004F4EC5" w:rsidRPr="005103A1">
        <w:rPr>
          <w:rFonts w:asciiTheme="majorBidi" w:hAnsiTheme="majorBidi" w:cstheme="majorBidi"/>
        </w:rPr>
        <w:t xml:space="preserve"> </w:t>
      </w:r>
      <w:proofErr w:type="spellStart"/>
      <w:r w:rsidR="004F4EC5" w:rsidRPr="005103A1">
        <w:rPr>
          <w:rFonts w:asciiTheme="majorBidi" w:hAnsiTheme="majorBidi" w:cstheme="majorBidi"/>
        </w:rPr>
        <w:t>Lattermann</w:t>
      </w:r>
      <w:proofErr w:type="spellEnd"/>
      <w:r w:rsidR="004F4EC5" w:rsidRPr="005103A1">
        <w:rPr>
          <w:rFonts w:asciiTheme="majorBidi" w:hAnsiTheme="majorBidi" w:cstheme="majorBidi"/>
        </w:rPr>
        <w:t xml:space="preserve"> </w:t>
      </w:r>
      <w:r w:rsidR="004F4EC5" w:rsidRPr="005103A1">
        <w:rPr>
          <w:rFonts w:asciiTheme="majorBidi" w:hAnsiTheme="majorBidi" w:cstheme="majorBidi"/>
          <w:i/>
        </w:rPr>
        <w:t>et al.</w:t>
      </w:r>
      <w:r w:rsidR="004F4EC5" w:rsidRPr="005103A1">
        <w:rPr>
          <w:rFonts w:asciiTheme="majorBidi" w:hAnsiTheme="majorBidi" w:cstheme="majorBidi"/>
        </w:rPr>
        <w:t xml:space="preserve">, 2009; </w:t>
      </w:r>
      <w:r w:rsidR="004F4EC5" w:rsidRPr="005103A1">
        <w:rPr>
          <w:rFonts w:asciiTheme="majorBidi" w:hAnsiTheme="majorBidi" w:cstheme="majorBidi"/>
          <w:lang w:val="en-US"/>
        </w:rPr>
        <w:t>Ji, 2015) to the neglect of EU countries in particular, but cross-country studies in general</w:t>
      </w:r>
      <w:r w:rsidR="004F4EC5" w:rsidRPr="00FB3918">
        <w:rPr>
          <w:rFonts w:asciiTheme="majorBidi" w:hAnsiTheme="majorBidi" w:cstheme="majorBidi"/>
        </w:rPr>
        <w:t>.</w:t>
      </w:r>
      <w:r w:rsidR="004F4EC5" w:rsidRPr="008A3C22">
        <w:rPr>
          <w:rFonts w:asciiTheme="majorBidi" w:hAnsiTheme="majorBidi" w:cstheme="majorBidi"/>
        </w:rPr>
        <w:t xml:space="preserve"> This has arguably impaired the ability to generalise existing fin</w:t>
      </w:r>
      <w:r w:rsidR="004F4EC5" w:rsidRPr="00D86C37">
        <w:rPr>
          <w:rFonts w:asciiTheme="majorBidi" w:hAnsiTheme="majorBidi" w:cstheme="majorBidi"/>
        </w:rPr>
        <w:t xml:space="preserve">dings </w:t>
      </w:r>
      <w:r w:rsidR="00EB6897" w:rsidRPr="0074464D">
        <w:rPr>
          <w:rFonts w:asciiTheme="majorBidi" w:hAnsiTheme="majorBidi" w:cstheme="majorBidi"/>
        </w:rPr>
        <w:t xml:space="preserve">fully </w:t>
      </w:r>
      <w:r w:rsidR="004F4EC5" w:rsidRPr="0074464D">
        <w:rPr>
          <w:rFonts w:asciiTheme="majorBidi" w:hAnsiTheme="majorBidi" w:cstheme="majorBidi"/>
        </w:rPr>
        <w:t>across countries. Finally and despite the fact that a number of studies have investigated general corporate social and environmental performance, especially its valuation consequences (</w:t>
      </w:r>
      <w:r w:rsidR="004F4EC5" w:rsidRPr="005103A1">
        <w:rPr>
          <w:rFonts w:asciiTheme="majorBidi" w:hAnsiTheme="majorBidi" w:cstheme="majorBidi"/>
          <w:color w:val="000000" w:themeColor="text1"/>
        </w:rPr>
        <w:t>Busch and Hoffmann, 2011</w:t>
      </w:r>
      <w:r w:rsidR="0072782B" w:rsidRPr="005103A1">
        <w:rPr>
          <w:rFonts w:asciiTheme="majorBidi" w:hAnsiTheme="majorBidi" w:cstheme="majorBidi"/>
          <w:color w:val="000000" w:themeColor="text1"/>
        </w:rPr>
        <w:t xml:space="preserve">; </w:t>
      </w:r>
      <w:proofErr w:type="spellStart"/>
      <w:r w:rsidR="0072782B" w:rsidRPr="00FB3918">
        <w:rPr>
          <w:rFonts w:asciiTheme="majorBidi" w:hAnsiTheme="majorBidi" w:cstheme="majorBidi"/>
        </w:rPr>
        <w:t>Lins</w:t>
      </w:r>
      <w:proofErr w:type="spellEnd"/>
      <w:r w:rsidR="0072782B" w:rsidRPr="00FB3918">
        <w:rPr>
          <w:rFonts w:asciiTheme="majorBidi" w:hAnsiTheme="majorBidi" w:cstheme="majorBidi"/>
        </w:rPr>
        <w:t xml:space="preserve"> </w:t>
      </w:r>
      <w:r w:rsidR="0072782B" w:rsidRPr="008A3C22">
        <w:rPr>
          <w:rFonts w:asciiTheme="majorBidi" w:hAnsiTheme="majorBidi" w:cstheme="majorBidi"/>
          <w:i/>
          <w:iCs/>
        </w:rPr>
        <w:t>et al.,</w:t>
      </w:r>
      <w:r w:rsidR="0072782B" w:rsidRPr="008A3C22">
        <w:rPr>
          <w:rFonts w:asciiTheme="majorBidi" w:hAnsiTheme="majorBidi" w:cstheme="majorBidi"/>
        </w:rPr>
        <w:t xml:space="preserve"> 2017</w:t>
      </w:r>
      <w:r w:rsidR="004F4EC5" w:rsidRPr="005103A1">
        <w:rPr>
          <w:rFonts w:asciiTheme="majorBidi" w:hAnsiTheme="majorBidi" w:cstheme="majorBidi"/>
        </w:rPr>
        <w:t>)</w:t>
      </w:r>
      <w:r w:rsidR="004F4EC5" w:rsidRPr="00FB3918">
        <w:rPr>
          <w:rFonts w:asciiTheme="majorBidi" w:hAnsiTheme="majorBidi" w:cstheme="majorBidi"/>
        </w:rPr>
        <w:t>, a clear major</w:t>
      </w:r>
      <w:r w:rsidR="004F4EC5" w:rsidRPr="008A3C22">
        <w:rPr>
          <w:rFonts w:asciiTheme="majorBidi" w:hAnsiTheme="majorBidi" w:cstheme="majorBidi"/>
        </w:rPr>
        <w:t>ity of them have been informed by theoretical insights drawn from traditional theories, such as legitimacy, resource dependence</w:t>
      </w:r>
      <w:r w:rsidR="0022213F">
        <w:rPr>
          <w:rFonts w:asciiTheme="majorBidi" w:hAnsiTheme="majorBidi" w:cstheme="majorBidi"/>
        </w:rPr>
        <w:t>, stakeholder</w:t>
      </w:r>
      <w:r w:rsidR="004F4EC5" w:rsidRPr="008A3C22">
        <w:rPr>
          <w:rFonts w:asciiTheme="majorBidi" w:hAnsiTheme="majorBidi" w:cstheme="majorBidi"/>
        </w:rPr>
        <w:t xml:space="preserve"> and, especially the ubiquitous agency theory (</w:t>
      </w:r>
      <w:r w:rsidR="00304C68" w:rsidRPr="008A3C22">
        <w:rPr>
          <w:rFonts w:asciiTheme="majorBidi" w:hAnsiTheme="majorBidi" w:cstheme="majorBidi"/>
        </w:rPr>
        <w:t>Ntim and Soobaroyen, 2013</w:t>
      </w:r>
      <w:r w:rsidR="004F4EC5" w:rsidRPr="005103A1">
        <w:rPr>
          <w:rFonts w:asciiTheme="majorBidi" w:hAnsiTheme="majorBidi" w:cstheme="majorBidi"/>
        </w:rPr>
        <w:t xml:space="preserve">). </w:t>
      </w:r>
      <w:r w:rsidR="004D72FC">
        <w:rPr>
          <w:rFonts w:asciiTheme="majorBidi" w:hAnsiTheme="majorBidi" w:cstheme="majorBidi"/>
        </w:rPr>
        <w:t>As</w:t>
      </w:r>
      <w:r w:rsidR="0009039F">
        <w:rPr>
          <w:rFonts w:asciiTheme="majorBidi" w:hAnsiTheme="majorBidi" w:cstheme="majorBidi"/>
        </w:rPr>
        <w:t xml:space="preserve"> elaborated later</w:t>
      </w:r>
      <w:r w:rsidR="004D72FC">
        <w:rPr>
          <w:rFonts w:asciiTheme="majorBidi" w:hAnsiTheme="majorBidi" w:cstheme="majorBidi"/>
        </w:rPr>
        <w:t>, both agency theory (AT) and resource dependence theory (</w:t>
      </w:r>
      <w:r w:rsidR="005D146F">
        <w:rPr>
          <w:rFonts w:asciiTheme="majorBidi" w:hAnsiTheme="majorBidi" w:cstheme="majorBidi"/>
        </w:rPr>
        <w:t xml:space="preserve">RDT) are related to ‘economic efficiency’, with AT focusing on self-interest and </w:t>
      </w:r>
      <w:r w:rsidR="002B6186">
        <w:rPr>
          <w:rFonts w:asciiTheme="majorBidi" w:hAnsiTheme="majorBidi" w:cstheme="majorBidi"/>
        </w:rPr>
        <w:t>wealth maximisation behaviour of a firm and its actors</w:t>
      </w:r>
      <w:r w:rsidR="0022213F">
        <w:rPr>
          <w:rFonts w:asciiTheme="majorBidi" w:hAnsiTheme="majorBidi" w:cstheme="majorBidi"/>
        </w:rPr>
        <w:t>,</w:t>
      </w:r>
      <w:r w:rsidR="002B6186">
        <w:rPr>
          <w:rFonts w:asciiTheme="majorBidi" w:hAnsiTheme="majorBidi" w:cstheme="majorBidi"/>
        </w:rPr>
        <w:t xml:space="preserve"> such as managers and shareholders, </w:t>
      </w:r>
      <w:r w:rsidR="004D72FC">
        <w:rPr>
          <w:rFonts w:asciiTheme="majorBidi" w:hAnsiTheme="majorBidi" w:cstheme="majorBidi"/>
        </w:rPr>
        <w:t xml:space="preserve">and </w:t>
      </w:r>
      <w:r w:rsidR="005D146F">
        <w:rPr>
          <w:rFonts w:asciiTheme="majorBidi" w:hAnsiTheme="majorBidi" w:cstheme="majorBidi"/>
        </w:rPr>
        <w:t xml:space="preserve">RDT explaining </w:t>
      </w:r>
      <w:r w:rsidR="004D72FC">
        <w:rPr>
          <w:rFonts w:asciiTheme="majorBidi" w:hAnsiTheme="majorBidi" w:cstheme="majorBidi"/>
        </w:rPr>
        <w:t>a firm’s unique resources</w:t>
      </w:r>
      <w:r w:rsidR="005D146F">
        <w:rPr>
          <w:rFonts w:asciiTheme="majorBidi" w:hAnsiTheme="majorBidi" w:cstheme="majorBidi"/>
        </w:rPr>
        <w:t xml:space="preserve"> and competencies</w:t>
      </w:r>
      <w:r w:rsidR="004D72FC">
        <w:rPr>
          <w:rFonts w:asciiTheme="majorBidi" w:hAnsiTheme="majorBidi" w:cstheme="majorBidi"/>
        </w:rPr>
        <w:t xml:space="preserve">. By contrast, </w:t>
      </w:r>
      <w:r w:rsidR="002B6186">
        <w:rPr>
          <w:rFonts w:asciiTheme="majorBidi" w:hAnsiTheme="majorBidi" w:cstheme="majorBidi"/>
        </w:rPr>
        <w:t xml:space="preserve">stakeholder and legitimacy theories seem to be more appropriate in explaining ‘symbolic/societal/moral’ aspects of a firm’s role </w:t>
      </w:r>
      <w:r w:rsidR="000E11EA">
        <w:rPr>
          <w:rFonts w:asciiTheme="majorBidi" w:hAnsiTheme="majorBidi" w:cstheme="majorBidi"/>
        </w:rPr>
        <w:t>within the society.</w:t>
      </w:r>
      <w:r w:rsidR="002B6186">
        <w:rPr>
          <w:rFonts w:asciiTheme="majorBidi" w:hAnsiTheme="majorBidi" w:cstheme="majorBidi"/>
        </w:rPr>
        <w:t xml:space="preserve"> </w:t>
      </w:r>
      <w:r w:rsidR="00BA5CE7" w:rsidRPr="005103A1">
        <w:rPr>
          <w:rFonts w:asciiTheme="majorBidi" w:hAnsiTheme="majorBidi" w:cstheme="majorBidi"/>
        </w:rPr>
        <w:t xml:space="preserve">Whilst </w:t>
      </w:r>
      <w:r w:rsidR="00C141BD" w:rsidRPr="005103A1">
        <w:rPr>
          <w:rFonts w:asciiTheme="majorBidi" w:hAnsiTheme="majorBidi" w:cstheme="majorBidi"/>
        </w:rPr>
        <w:t xml:space="preserve">all </w:t>
      </w:r>
      <w:r w:rsidR="00BA5CE7" w:rsidRPr="005103A1">
        <w:rPr>
          <w:rFonts w:asciiTheme="majorBidi" w:hAnsiTheme="majorBidi" w:cstheme="majorBidi"/>
        </w:rPr>
        <w:t>these theories are very useful in explaining the</w:t>
      </w:r>
      <w:r w:rsidR="005D146F">
        <w:rPr>
          <w:rFonts w:asciiTheme="majorBidi" w:hAnsiTheme="majorBidi" w:cstheme="majorBidi"/>
        </w:rPr>
        <w:t xml:space="preserve"> relationships among efficiency and symbolic constructs separately,</w:t>
      </w:r>
      <w:r w:rsidR="00BA5CE7" w:rsidRPr="005103A1">
        <w:rPr>
          <w:rFonts w:asciiTheme="majorBidi" w:hAnsiTheme="majorBidi" w:cstheme="majorBidi"/>
        </w:rPr>
        <w:t xml:space="preserve"> they are not multifaceted and all-encompassing like </w:t>
      </w:r>
      <w:r w:rsidR="00F77F65" w:rsidRPr="005103A1">
        <w:rPr>
          <w:rFonts w:asciiTheme="majorBidi" w:hAnsiTheme="majorBidi" w:cstheme="majorBidi"/>
        </w:rPr>
        <w:t>NIT</w:t>
      </w:r>
      <w:r w:rsidR="00BA5CE7" w:rsidRPr="005103A1">
        <w:rPr>
          <w:rFonts w:asciiTheme="majorBidi" w:hAnsiTheme="majorBidi" w:cstheme="majorBidi"/>
        </w:rPr>
        <w:t xml:space="preserve"> that can simultaneously </w:t>
      </w:r>
      <w:r w:rsidR="00C141BD" w:rsidRPr="005103A1">
        <w:rPr>
          <w:rFonts w:asciiTheme="majorBidi" w:hAnsiTheme="majorBidi" w:cstheme="majorBidi"/>
        </w:rPr>
        <w:t>predict multi-</w:t>
      </w:r>
      <w:r w:rsidR="00C141BD" w:rsidRPr="005103A1">
        <w:rPr>
          <w:rFonts w:asciiTheme="majorBidi" w:hAnsiTheme="majorBidi" w:cstheme="majorBidi"/>
        </w:rPr>
        <w:lastRenderedPageBreak/>
        <w:t>dimensional</w:t>
      </w:r>
      <w:r w:rsidR="00BA5CE7" w:rsidRPr="005103A1">
        <w:rPr>
          <w:rFonts w:asciiTheme="majorBidi" w:hAnsiTheme="majorBidi" w:cstheme="majorBidi"/>
        </w:rPr>
        <w:t xml:space="preserve"> (economic and social links) associations</w:t>
      </w:r>
      <w:r w:rsidR="00C141BD" w:rsidRPr="005103A1">
        <w:rPr>
          <w:rFonts w:asciiTheme="majorBidi" w:hAnsiTheme="majorBidi" w:cstheme="majorBidi"/>
        </w:rPr>
        <w:t>.</w:t>
      </w:r>
      <w:r w:rsidR="00BA5CE7" w:rsidRPr="005103A1">
        <w:rPr>
          <w:rFonts w:asciiTheme="majorBidi" w:hAnsiTheme="majorBidi" w:cstheme="majorBidi"/>
        </w:rPr>
        <w:t xml:space="preserve"> </w:t>
      </w:r>
      <w:r w:rsidR="004F4EC5" w:rsidRPr="005103A1">
        <w:rPr>
          <w:rFonts w:asciiTheme="majorBidi" w:hAnsiTheme="majorBidi" w:cstheme="majorBidi"/>
        </w:rPr>
        <w:t xml:space="preserve">Arguably, this has also impeded theoretical </w:t>
      </w:r>
      <w:r w:rsidR="00427F87">
        <w:rPr>
          <w:rFonts w:asciiTheme="majorBidi" w:hAnsiTheme="majorBidi" w:cstheme="majorBidi"/>
        </w:rPr>
        <w:t>application/</w:t>
      </w:r>
      <w:r w:rsidR="00D50393">
        <w:rPr>
          <w:rFonts w:asciiTheme="majorBidi" w:hAnsiTheme="majorBidi" w:cstheme="majorBidi"/>
        </w:rPr>
        <w:t>extension</w:t>
      </w:r>
      <w:r w:rsidR="004F4EC5" w:rsidRPr="005103A1">
        <w:rPr>
          <w:rFonts w:asciiTheme="majorBidi" w:hAnsiTheme="majorBidi" w:cstheme="majorBidi"/>
        </w:rPr>
        <w:t>.</w:t>
      </w:r>
    </w:p>
    <w:p w14:paraId="103A87B4" w14:textId="13076DD5" w:rsidR="004F4EC5" w:rsidRPr="005103A1" w:rsidRDefault="004F4EC5" w:rsidP="00786E7B">
      <w:pPr>
        <w:spacing w:after="0" w:line="480" w:lineRule="auto"/>
        <w:ind w:firstLine="720"/>
        <w:jc w:val="both"/>
        <w:rPr>
          <w:rFonts w:asciiTheme="majorBidi" w:hAnsiTheme="majorBidi" w:cstheme="majorBidi"/>
          <w:color w:val="000000" w:themeColor="text1"/>
        </w:rPr>
      </w:pPr>
      <w:proofErr w:type="gramStart"/>
      <w:r w:rsidRPr="005103A1">
        <w:rPr>
          <w:rFonts w:asciiTheme="majorBidi" w:hAnsiTheme="majorBidi" w:cstheme="majorBidi"/>
        </w:rPr>
        <w:t>Consequently</w:t>
      </w:r>
      <w:proofErr w:type="gramEnd"/>
      <w:r w:rsidRPr="005103A1">
        <w:rPr>
          <w:rFonts w:asciiTheme="majorBidi" w:hAnsiTheme="majorBidi" w:cstheme="majorBidi"/>
        </w:rPr>
        <w:t xml:space="preserve"> and in this paper, we seek to make a number of new contributions to the extant literature</w:t>
      </w:r>
      <w:r w:rsidR="00B90963" w:rsidRPr="005103A1">
        <w:rPr>
          <w:rFonts w:asciiTheme="majorBidi" w:hAnsiTheme="majorBidi" w:cstheme="majorBidi"/>
        </w:rPr>
        <w:t xml:space="preserve">. </w:t>
      </w:r>
      <w:r w:rsidR="009A1758" w:rsidRPr="005103A1">
        <w:rPr>
          <w:rFonts w:asciiTheme="majorBidi" w:hAnsiTheme="majorBidi" w:cstheme="majorBidi"/>
        </w:rPr>
        <w:t xml:space="preserve">Specifically, </w:t>
      </w:r>
      <w:r w:rsidR="009A1758" w:rsidRPr="005103A1">
        <w:rPr>
          <w:rFonts w:asciiTheme="majorBidi" w:hAnsiTheme="majorBidi" w:cstheme="majorBidi"/>
          <w:color w:val="000000" w:themeColor="text1"/>
        </w:rPr>
        <w:t>w</w:t>
      </w:r>
      <w:r w:rsidRPr="005103A1">
        <w:rPr>
          <w:rFonts w:asciiTheme="majorBidi" w:hAnsiTheme="majorBidi" w:cstheme="majorBidi"/>
          <w:color w:val="000000" w:themeColor="text1"/>
        </w:rPr>
        <w:t xml:space="preserve">e depart from the existing literature by </w:t>
      </w:r>
      <w:r w:rsidRPr="005103A1">
        <w:rPr>
          <w:rFonts w:asciiTheme="majorBidi" w:hAnsiTheme="majorBidi" w:cstheme="majorBidi"/>
        </w:rPr>
        <w:t xml:space="preserve">engaging in </w:t>
      </w:r>
      <w:r w:rsidR="000911E6" w:rsidRPr="005103A1">
        <w:rPr>
          <w:rFonts w:asciiTheme="majorBidi" w:hAnsiTheme="majorBidi" w:cstheme="majorBidi"/>
        </w:rPr>
        <w:t xml:space="preserve">an </w:t>
      </w:r>
      <w:r w:rsidRPr="005103A1">
        <w:rPr>
          <w:rFonts w:asciiTheme="majorBidi" w:hAnsiTheme="majorBidi" w:cstheme="majorBidi"/>
        </w:rPr>
        <w:t xml:space="preserve">integrated and multi-dimensional analysis that captures complex direct and indirect relationships among </w:t>
      </w:r>
      <w:r w:rsidR="00786E7B" w:rsidRPr="005103A1">
        <w:rPr>
          <w:rFonts w:asciiTheme="majorBidi" w:hAnsiTheme="majorBidi" w:cstheme="majorBidi"/>
        </w:rPr>
        <w:t>CP</w:t>
      </w:r>
      <w:r w:rsidRPr="005103A1">
        <w:rPr>
          <w:rFonts w:asciiTheme="majorBidi" w:hAnsiTheme="majorBidi" w:cstheme="majorBidi"/>
        </w:rPr>
        <w:t xml:space="preserve">, </w:t>
      </w:r>
      <w:r w:rsidR="00786E7B" w:rsidRPr="005103A1">
        <w:rPr>
          <w:rFonts w:asciiTheme="majorBidi" w:hAnsiTheme="majorBidi" w:cstheme="majorBidi"/>
        </w:rPr>
        <w:t>EC</w:t>
      </w:r>
      <w:r w:rsidRPr="005103A1">
        <w:rPr>
          <w:rFonts w:asciiTheme="majorBidi" w:hAnsiTheme="majorBidi" w:cstheme="majorBidi"/>
        </w:rPr>
        <w:t xml:space="preserve">, ESG-based sustainable compensation policy and </w:t>
      </w:r>
      <w:r w:rsidR="00786E7B" w:rsidRPr="005103A1">
        <w:rPr>
          <w:rFonts w:asciiTheme="majorBidi" w:hAnsiTheme="majorBidi" w:cstheme="majorBidi"/>
        </w:rPr>
        <w:t>MV</w:t>
      </w:r>
      <w:r w:rsidRPr="005103A1">
        <w:rPr>
          <w:rFonts w:asciiTheme="majorBidi" w:hAnsiTheme="majorBidi" w:cstheme="majorBidi"/>
        </w:rPr>
        <w:t xml:space="preserve">. This is conducted by using firms drawn from 13 industrialised European countries, which despite being at the forefront of the Kyoto and Paris climate agreements often with relatively well-developed </w:t>
      </w:r>
      <w:r w:rsidR="00786E7B" w:rsidRPr="005103A1">
        <w:rPr>
          <w:rFonts w:asciiTheme="majorBidi" w:hAnsiTheme="majorBidi" w:cstheme="majorBidi"/>
        </w:rPr>
        <w:t>CG</w:t>
      </w:r>
      <w:r w:rsidRPr="005103A1">
        <w:rPr>
          <w:rFonts w:asciiTheme="majorBidi" w:hAnsiTheme="majorBidi" w:cstheme="majorBidi"/>
        </w:rPr>
        <w:t xml:space="preserve"> and carbon enforcement standards, acutely lacks academic studies that examine such relationships.</w:t>
      </w:r>
      <w:r w:rsidRPr="005103A1" w:rsidDel="00D14FD0">
        <w:rPr>
          <w:rFonts w:asciiTheme="majorBidi" w:hAnsiTheme="majorBidi" w:cstheme="majorBidi"/>
        </w:rPr>
        <w:t xml:space="preserve"> </w:t>
      </w:r>
      <w:r w:rsidRPr="005103A1">
        <w:rPr>
          <w:rFonts w:asciiTheme="majorBidi" w:hAnsiTheme="majorBidi" w:cstheme="majorBidi"/>
          <w:color w:val="000000" w:themeColor="text1"/>
        </w:rPr>
        <w:t xml:space="preserve">Specifically, we contribute to the literature by first examining how </w:t>
      </w:r>
      <w:r w:rsidR="00786E7B" w:rsidRPr="005103A1">
        <w:rPr>
          <w:rFonts w:asciiTheme="majorBidi" w:hAnsiTheme="majorBidi" w:cstheme="majorBidi"/>
          <w:color w:val="000000" w:themeColor="text1"/>
        </w:rPr>
        <w:t>CB</w:t>
      </w:r>
      <w:r w:rsidRPr="005103A1">
        <w:rPr>
          <w:rFonts w:asciiTheme="majorBidi" w:hAnsiTheme="majorBidi" w:cstheme="majorBidi"/>
          <w:color w:val="000000" w:themeColor="text1"/>
        </w:rPr>
        <w:t xml:space="preserve"> influences </w:t>
      </w:r>
      <w:r w:rsidR="00786E7B" w:rsidRPr="005103A1">
        <w:rPr>
          <w:rFonts w:asciiTheme="majorBidi" w:hAnsiTheme="majorBidi" w:cstheme="majorBidi"/>
          <w:color w:val="000000" w:themeColor="text1"/>
        </w:rPr>
        <w:t>MV</w:t>
      </w:r>
      <w:r w:rsidRPr="005103A1">
        <w:rPr>
          <w:rFonts w:asciiTheme="majorBidi" w:hAnsiTheme="majorBidi" w:cstheme="majorBidi"/>
          <w:color w:val="000000" w:themeColor="text1"/>
        </w:rPr>
        <w:t xml:space="preserve">, and subsequently investigating whether </w:t>
      </w:r>
      <w:r w:rsidR="00786E7B" w:rsidRPr="005103A1">
        <w:rPr>
          <w:rFonts w:asciiTheme="majorBidi" w:hAnsiTheme="majorBidi" w:cstheme="majorBidi"/>
          <w:color w:val="000000" w:themeColor="text1"/>
        </w:rPr>
        <w:t>EC</w:t>
      </w:r>
      <w:r w:rsidRPr="005103A1">
        <w:rPr>
          <w:rFonts w:asciiTheme="majorBidi" w:hAnsiTheme="majorBidi" w:cstheme="majorBidi"/>
          <w:color w:val="000000" w:themeColor="text1"/>
        </w:rPr>
        <w:t xml:space="preserve"> moderates the </w:t>
      </w:r>
      <w:r w:rsidR="00786E7B" w:rsidRPr="005103A1">
        <w:rPr>
          <w:rFonts w:asciiTheme="majorBidi" w:hAnsiTheme="majorBidi" w:cstheme="majorBidi"/>
          <w:color w:val="000000" w:themeColor="text1"/>
        </w:rPr>
        <w:t>CP</w:t>
      </w:r>
      <w:r w:rsidRPr="005103A1">
        <w:rPr>
          <w:rFonts w:asciiTheme="majorBidi" w:hAnsiTheme="majorBidi" w:cstheme="majorBidi"/>
          <w:color w:val="000000" w:themeColor="text1"/>
        </w:rPr>
        <w:t>–</w:t>
      </w:r>
      <w:r w:rsidR="00786E7B" w:rsidRPr="005103A1">
        <w:rPr>
          <w:rFonts w:asciiTheme="majorBidi" w:hAnsiTheme="majorBidi" w:cstheme="majorBidi"/>
          <w:color w:val="000000" w:themeColor="text1"/>
        </w:rPr>
        <w:t>MV</w:t>
      </w:r>
      <w:r w:rsidRPr="005103A1">
        <w:rPr>
          <w:rFonts w:asciiTheme="majorBidi" w:hAnsiTheme="majorBidi" w:cstheme="majorBidi"/>
          <w:color w:val="000000" w:themeColor="text1"/>
        </w:rPr>
        <w:t xml:space="preserve"> relationship. </w:t>
      </w:r>
      <w:r w:rsidRPr="005103A1">
        <w:rPr>
          <w:rFonts w:asciiTheme="majorBidi" w:hAnsiTheme="majorBidi" w:cstheme="majorBidi"/>
          <w:iCs/>
          <w:color w:val="000000" w:themeColor="text1"/>
        </w:rPr>
        <w:t>Secondly</w:t>
      </w:r>
      <w:r w:rsidRPr="005103A1">
        <w:rPr>
          <w:rFonts w:asciiTheme="majorBidi" w:hAnsiTheme="majorBidi" w:cstheme="majorBidi"/>
          <w:color w:val="000000" w:themeColor="text1"/>
        </w:rPr>
        <w:t xml:space="preserve">, we contribute to </w:t>
      </w:r>
      <w:r w:rsidR="0024676D" w:rsidRPr="005103A1">
        <w:rPr>
          <w:rFonts w:asciiTheme="majorBidi" w:hAnsiTheme="majorBidi" w:cstheme="majorBidi"/>
          <w:color w:val="000000" w:themeColor="text1"/>
        </w:rPr>
        <w:t xml:space="preserve">the </w:t>
      </w:r>
      <w:r w:rsidRPr="005103A1">
        <w:rPr>
          <w:rFonts w:asciiTheme="majorBidi" w:hAnsiTheme="majorBidi" w:cstheme="majorBidi"/>
          <w:color w:val="000000" w:themeColor="text1"/>
        </w:rPr>
        <w:t xml:space="preserve">existing literature by investigating how </w:t>
      </w:r>
      <w:r w:rsidR="00786E7B" w:rsidRPr="005103A1">
        <w:rPr>
          <w:rFonts w:asciiTheme="majorBidi" w:hAnsiTheme="majorBidi" w:cstheme="majorBidi"/>
          <w:color w:val="000000" w:themeColor="text1"/>
        </w:rPr>
        <w:t>EC</w:t>
      </w:r>
      <w:r w:rsidRPr="005103A1">
        <w:rPr>
          <w:rFonts w:asciiTheme="majorBidi" w:hAnsiTheme="majorBidi" w:cstheme="majorBidi"/>
          <w:color w:val="000000" w:themeColor="text1"/>
        </w:rPr>
        <w:t xml:space="preserve"> determines </w:t>
      </w:r>
      <w:r w:rsidR="00786E7B" w:rsidRPr="005103A1">
        <w:rPr>
          <w:rFonts w:asciiTheme="majorBidi" w:hAnsiTheme="majorBidi" w:cstheme="majorBidi"/>
          <w:color w:val="000000" w:themeColor="text1"/>
        </w:rPr>
        <w:t>CP</w:t>
      </w:r>
      <w:r w:rsidRPr="005103A1">
        <w:rPr>
          <w:rFonts w:asciiTheme="majorBidi" w:hAnsiTheme="majorBidi" w:cstheme="majorBidi"/>
          <w:color w:val="000000" w:themeColor="text1"/>
        </w:rPr>
        <w:t xml:space="preserve">, and ascertain whether ESG-based </w:t>
      </w:r>
      <w:r w:rsidR="001033A4" w:rsidRPr="005103A1">
        <w:rPr>
          <w:rFonts w:asciiTheme="majorBidi" w:hAnsiTheme="majorBidi" w:cstheme="majorBidi"/>
          <w:color w:val="000000" w:themeColor="text1"/>
        </w:rPr>
        <w:t xml:space="preserve">sustainable </w:t>
      </w:r>
      <w:r w:rsidRPr="005103A1">
        <w:rPr>
          <w:rFonts w:asciiTheme="majorBidi" w:hAnsiTheme="majorBidi" w:cstheme="majorBidi"/>
          <w:color w:val="000000" w:themeColor="text1"/>
        </w:rPr>
        <w:t xml:space="preserve">compensation policy moderates the </w:t>
      </w:r>
      <w:r w:rsidR="00786E7B" w:rsidRPr="005103A1">
        <w:rPr>
          <w:rFonts w:asciiTheme="majorBidi" w:hAnsiTheme="majorBidi" w:cstheme="majorBidi"/>
          <w:color w:val="000000" w:themeColor="text1"/>
        </w:rPr>
        <w:t>EC</w:t>
      </w:r>
      <w:r w:rsidRPr="005103A1">
        <w:rPr>
          <w:rFonts w:asciiTheme="majorBidi" w:hAnsiTheme="majorBidi" w:cstheme="majorBidi"/>
          <w:color w:val="000000" w:themeColor="text1"/>
        </w:rPr>
        <w:t>–</w:t>
      </w:r>
      <w:r w:rsidR="00786E7B" w:rsidRPr="005103A1">
        <w:rPr>
          <w:rFonts w:asciiTheme="majorBidi" w:hAnsiTheme="majorBidi" w:cstheme="majorBidi"/>
          <w:color w:val="000000" w:themeColor="text1"/>
        </w:rPr>
        <w:t>CP</w:t>
      </w:r>
      <w:r w:rsidRPr="005103A1">
        <w:rPr>
          <w:rFonts w:asciiTheme="majorBidi" w:hAnsiTheme="majorBidi" w:cstheme="majorBidi"/>
          <w:color w:val="000000" w:themeColor="text1"/>
        </w:rPr>
        <w:t xml:space="preserve"> relationship. </w:t>
      </w:r>
      <w:r w:rsidR="008A5375">
        <w:rPr>
          <w:rFonts w:asciiTheme="majorBidi" w:hAnsiTheme="majorBidi" w:cstheme="majorBidi"/>
          <w:color w:val="000000" w:themeColor="text1"/>
        </w:rPr>
        <w:t xml:space="preserve">We are among the first to capture </w:t>
      </w:r>
      <w:r w:rsidR="004810FB">
        <w:rPr>
          <w:rFonts w:asciiTheme="majorBidi" w:hAnsiTheme="majorBidi" w:cstheme="majorBidi"/>
          <w:color w:val="000000" w:themeColor="text1"/>
        </w:rPr>
        <w:t>both (symbolic) process-oriented and (substantive) actual</w:t>
      </w:r>
      <w:r w:rsidR="003C13CE">
        <w:rPr>
          <w:rFonts w:asciiTheme="majorBidi" w:hAnsiTheme="majorBidi" w:cstheme="majorBidi"/>
          <w:color w:val="000000" w:themeColor="text1"/>
        </w:rPr>
        <w:t>-</w:t>
      </w:r>
      <w:r w:rsidR="004810FB">
        <w:rPr>
          <w:rFonts w:asciiTheme="majorBidi" w:hAnsiTheme="majorBidi" w:cstheme="majorBidi"/>
          <w:color w:val="000000" w:themeColor="text1"/>
        </w:rPr>
        <w:t xml:space="preserve">CP, </w:t>
      </w:r>
      <w:r w:rsidR="009C3AD8">
        <w:rPr>
          <w:rFonts w:asciiTheme="majorBidi" w:hAnsiTheme="majorBidi" w:cstheme="majorBidi"/>
          <w:color w:val="000000" w:themeColor="text1"/>
        </w:rPr>
        <w:t>along with their</w:t>
      </w:r>
      <w:r w:rsidR="00F5225F">
        <w:rPr>
          <w:rFonts w:asciiTheme="majorBidi" w:hAnsiTheme="majorBidi" w:cstheme="majorBidi"/>
          <w:color w:val="000000" w:themeColor="text1"/>
        </w:rPr>
        <w:t xml:space="preserve"> </w:t>
      </w:r>
      <w:r w:rsidR="009C3AD8">
        <w:rPr>
          <w:rFonts w:asciiTheme="majorBidi" w:hAnsiTheme="majorBidi" w:cstheme="majorBidi"/>
          <w:color w:val="000000" w:themeColor="text1"/>
        </w:rPr>
        <w:t>determinants (e.g., EC and ESG) and impacts (on MV), by examining both direct relationship</w:t>
      </w:r>
      <w:r w:rsidR="00212857">
        <w:rPr>
          <w:rFonts w:asciiTheme="majorBidi" w:hAnsiTheme="majorBidi" w:cstheme="majorBidi"/>
          <w:color w:val="000000" w:themeColor="text1"/>
        </w:rPr>
        <w:t>s</w:t>
      </w:r>
      <w:r w:rsidR="009C3AD8">
        <w:rPr>
          <w:rFonts w:asciiTheme="majorBidi" w:hAnsiTheme="majorBidi" w:cstheme="majorBidi"/>
          <w:color w:val="000000" w:themeColor="text1"/>
        </w:rPr>
        <w:t xml:space="preserve"> and moderating effects (see, Figure 1)</w:t>
      </w:r>
      <w:r w:rsidR="000C312B">
        <w:rPr>
          <w:rFonts w:asciiTheme="majorBidi" w:hAnsiTheme="majorBidi" w:cstheme="majorBidi"/>
          <w:color w:val="000000" w:themeColor="text1"/>
        </w:rPr>
        <w:t>.</w:t>
      </w:r>
      <w:r w:rsidR="009C3AD8">
        <w:rPr>
          <w:rFonts w:asciiTheme="majorBidi" w:hAnsiTheme="majorBidi" w:cstheme="majorBidi"/>
          <w:color w:val="000000" w:themeColor="text1"/>
        </w:rPr>
        <w:t xml:space="preserve"> </w:t>
      </w:r>
      <w:r w:rsidRPr="005103A1">
        <w:rPr>
          <w:rFonts w:asciiTheme="majorBidi" w:hAnsiTheme="majorBidi" w:cstheme="majorBidi"/>
          <w:color w:val="000000" w:themeColor="text1"/>
        </w:rPr>
        <w:t xml:space="preserve">With this, </w:t>
      </w:r>
      <w:r w:rsidR="00CD1871" w:rsidRPr="005103A1">
        <w:rPr>
          <w:rFonts w:asciiTheme="majorBidi" w:hAnsiTheme="majorBidi" w:cstheme="majorBidi"/>
          <w:color w:val="000000" w:themeColor="text1"/>
        </w:rPr>
        <w:t xml:space="preserve">we seek to bring together the different strands of the literature relating to </w:t>
      </w:r>
      <w:r w:rsidR="00786E7B" w:rsidRPr="005103A1">
        <w:rPr>
          <w:rFonts w:asciiTheme="majorBidi" w:hAnsiTheme="majorBidi" w:cstheme="majorBidi"/>
          <w:color w:val="000000" w:themeColor="text1"/>
        </w:rPr>
        <w:t>CG</w:t>
      </w:r>
      <w:r w:rsidR="00CD1871" w:rsidRPr="005103A1">
        <w:rPr>
          <w:rFonts w:asciiTheme="majorBidi" w:hAnsiTheme="majorBidi" w:cstheme="majorBidi"/>
          <w:color w:val="000000" w:themeColor="text1"/>
        </w:rPr>
        <w:t xml:space="preserve">, </w:t>
      </w:r>
      <w:r w:rsidR="00786E7B" w:rsidRPr="005103A1">
        <w:rPr>
          <w:rFonts w:asciiTheme="majorBidi" w:hAnsiTheme="majorBidi" w:cstheme="majorBidi"/>
          <w:color w:val="000000" w:themeColor="text1"/>
        </w:rPr>
        <w:t>CP</w:t>
      </w:r>
      <w:r w:rsidR="00CD1871" w:rsidRPr="005103A1">
        <w:rPr>
          <w:rFonts w:asciiTheme="majorBidi" w:hAnsiTheme="majorBidi" w:cstheme="majorBidi"/>
          <w:color w:val="000000" w:themeColor="text1"/>
        </w:rPr>
        <w:t xml:space="preserve">, </w:t>
      </w:r>
      <w:r w:rsidR="00786E7B" w:rsidRPr="005103A1">
        <w:rPr>
          <w:rFonts w:asciiTheme="majorBidi" w:hAnsiTheme="majorBidi" w:cstheme="majorBidi"/>
          <w:color w:val="000000" w:themeColor="text1"/>
        </w:rPr>
        <w:t>EC</w:t>
      </w:r>
      <w:r w:rsidR="00CD1871" w:rsidRPr="005103A1">
        <w:rPr>
          <w:rFonts w:asciiTheme="majorBidi" w:hAnsiTheme="majorBidi" w:cstheme="majorBidi"/>
          <w:color w:val="000000" w:themeColor="text1"/>
        </w:rPr>
        <w:t xml:space="preserve"> and </w:t>
      </w:r>
      <w:r w:rsidR="00786E7B" w:rsidRPr="005103A1">
        <w:rPr>
          <w:rFonts w:asciiTheme="majorBidi" w:hAnsiTheme="majorBidi" w:cstheme="majorBidi"/>
          <w:color w:val="000000" w:themeColor="text1"/>
        </w:rPr>
        <w:t>MV</w:t>
      </w:r>
      <w:r w:rsidRPr="005103A1">
        <w:rPr>
          <w:rFonts w:asciiTheme="majorBidi" w:hAnsiTheme="majorBidi" w:cstheme="majorBidi"/>
          <w:color w:val="000000" w:themeColor="text1"/>
        </w:rPr>
        <w:t xml:space="preserve"> in a </w:t>
      </w:r>
      <w:r w:rsidR="004061CE">
        <w:rPr>
          <w:rFonts w:asciiTheme="majorBidi" w:hAnsiTheme="majorBidi" w:cstheme="majorBidi"/>
          <w:color w:val="000000" w:themeColor="text1"/>
        </w:rPr>
        <w:t>combined</w:t>
      </w:r>
      <w:r w:rsidRPr="005103A1">
        <w:rPr>
          <w:rFonts w:asciiTheme="majorBidi" w:hAnsiTheme="majorBidi" w:cstheme="majorBidi"/>
          <w:color w:val="000000" w:themeColor="text1"/>
        </w:rPr>
        <w:t xml:space="preserve"> empirical framework. Unlike past studies, our analyses are informed by distinctive theoretical insights drawn from </w:t>
      </w:r>
      <w:r w:rsidR="00777A30" w:rsidRPr="005103A1">
        <w:rPr>
          <w:rFonts w:asciiTheme="majorBidi" w:hAnsiTheme="majorBidi" w:cstheme="majorBidi"/>
          <w:color w:val="000000" w:themeColor="text1"/>
        </w:rPr>
        <w:t xml:space="preserve">the </w:t>
      </w:r>
      <w:r w:rsidR="00F27A5F">
        <w:rPr>
          <w:rFonts w:asciiTheme="majorBidi" w:hAnsiTheme="majorBidi" w:cstheme="majorBidi"/>
          <w:color w:val="000000" w:themeColor="text1"/>
        </w:rPr>
        <w:t xml:space="preserve">robust </w:t>
      </w:r>
      <w:r w:rsidR="00777A30" w:rsidRPr="005103A1">
        <w:rPr>
          <w:rFonts w:asciiTheme="majorBidi" w:hAnsiTheme="majorBidi" w:cstheme="majorBidi"/>
          <w:color w:val="000000" w:themeColor="text1"/>
        </w:rPr>
        <w:t xml:space="preserve">multi-dimensional </w:t>
      </w:r>
      <w:r w:rsidR="00F77F65" w:rsidRPr="005103A1">
        <w:rPr>
          <w:rFonts w:asciiTheme="majorBidi" w:hAnsiTheme="majorBidi" w:cstheme="majorBidi"/>
          <w:color w:val="000000" w:themeColor="text1"/>
        </w:rPr>
        <w:t>NIT</w:t>
      </w:r>
      <w:r w:rsidRPr="005103A1">
        <w:rPr>
          <w:rFonts w:asciiTheme="majorBidi" w:hAnsiTheme="majorBidi" w:cstheme="majorBidi"/>
          <w:color w:val="000000" w:themeColor="text1"/>
        </w:rPr>
        <w:t xml:space="preserve"> that incorporates legitimation</w:t>
      </w:r>
      <w:r w:rsidR="00CD1871" w:rsidRPr="005103A1">
        <w:rPr>
          <w:rFonts w:asciiTheme="majorBidi" w:hAnsiTheme="majorBidi" w:cstheme="majorBidi"/>
          <w:color w:val="000000" w:themeColor="text1"/>
        </w:rPr>
        <w:t xml:space="preserve"> (social)</w:t>
      </w:r>
      <w:r w:rsidRPr="005103A1">
        <w:rPr>
          <w:rFonts w:asciiTheme="majorBidi" w:hAnsiTheme="majorBidi" w:cstheme="majorBidi"/>
          <w:color w:val="000000" w:themeColor="text1"/>
        </w:rPr>
        <w:t xml:space="preserve"> and efficiency</w:t>
      </w:r>
      <w:r w:rsidR="00CD1871" w:rsidRPr="005103A1">
        <w:rPr>
          <w:rFonts w:asciiTheme="majorBidi" w:hAnsiTheme="majorBidi" w:cstheme="majorBidi"/>
          <w:color w:val="000000" w:themeColor="text1"/>
        </w:rPr>
        <w:t xml:space="preserve"> (economic)</w:t>
      </w:r>
      <w:r w:rsidRPr="005103A1">
        <w:rPr>
          <w:rFonts w:asciiTheme="majorBidi" w:hAnsiTheme="majorBidi" w:cstheme="majorBidi"/>
          <w:color w:val="000000" w:themeColor="text1"/>
        </w:rPr>
        <w:t xml:space="preserve"> motives using data over </w:t>
      </w:r>
      <w:r w:rsidR="00A53BB1">
        <w:rPr>
          <w:rFonts w:asciiTheme="majorBidi" w:hAnsiTheme="majorBidi" w:cstheme="majorBidi"/>
          <w:color w:val="000000" w:themeColor="text1"/>
        </w:rPr>
        <w:t>a 15-year period (</w:t>
      </w:r>
      <w:r w:rsidRPr="005103A1">
        <w:rPr>
          <w:rFonts w:asciiTheme="majorBidi" w:hAnsiTheme="majorBidi" w:cstheme="majorBidi"/>
          <w:color w:val="000000" w:themeColor="text1"/>
        </w:rPr>
        <w:t xml:space="preserve">4,379 firm-year observations) across 13 EU countries. </w:t>
      </w:r>
      <w:r w:rsidR="004061CE">
        <w:rPr>
          <w:rFonts w:asciiTheme="majorBidi" w:hAnsiTheme="majorBidi" w:cstheme="majorBidi"/>
          <w:color w:val="000000" w:themeColor="text1"/>
        </w:rPr>
        <w:t xml:space="preserve">In this case, our study </w:t>
      </w:r>
      <w:r w:rsidR="008E0468">
        <w:rPr>
          <w:rFonts w:asciiTheme="majorBidi" w:hAnsiTheme="majorBidi" w:cstheme="majorBidi"/>
          <w:color w:val="000000" w:themeColor="text1"/>
        </w:rPr>
        <w:t xml:space="preserve">offers new insights on, and </w:t>
      </w:r>
      <w:r w:rsidR="004061CE">
        <w:rPr>
          <w:rFonts w:asciiTheme="majorBidi" w:hAnsiTheme="majorBidi" w:cstheme="majorBidi"/>
          <w:color w:val="000000" w:themeColor="text1"/>
        </w:rPr>
        <w:t>contributes to</w:t>
      </w:r>
      <w:r w:rsidR="008E0468">
        <w:rPr>
          <w:rFonts w:asciiTheme="majorBidi" w:hAnsiTheme="majorBidi" w:cstheme="majorBidi"/>
          <w:color w:val="000000" w:themeColor="text1"/>
        </w:rPr>
        <w:t>,</w:t>
      </w:r>
      <w:r w:rsidR="004061CE">
        <w:rPr>
          <w:rFonts w:asciiTheme="majorBidi" w:hAnsiTheme="majorBidi" w:cstheme="majorBidi"/>
          <w:color w:val="000000" w:themeColor="text1"/>
        </w:rPr>
        <w:t xml:space="preserve"> the existing literature by extending the application of the multi-dimensional NIT </w:t>
      </w:r>
      <w:r w:rsidR="008E0468">
        <w:rPr>
          <w:rFonts w:asciiTheme="majorBidi" w:hAnsiTheme="majorBidi" w:cstheme="majorBidi"/>
          <w:color w:val="000000" w:themeColor="text1"/>
        </w:rPr>
        <w:t xml:space="preserve">framework that seeks to </w:t>
      </w:r>
      <w:r w:rsidR="00AA0D48">
        <w:rPr>
          <w:rFonts w:asciiTheme="majorBidi" w:hAnsiTheme="majorBidi" w:cstheme="majorBidi"/>
          <w:color w:val="000000" w:themeColor="text1"/>
        </w:rPr>
        <w:t xml:space="preserve">explicitly </w:t>
      </w:r>
      <w:r w:rsidR="008E0468">
        <w:rPr>
          <w:rFonts w:asciiTheme="majorBidi" w:hAnsiTheme="majorBidi" w:cstheme="majorBidi"/>
          <w:color w:val="000000" w:themeColor="text1"/>
        </w:rPr>
        <w:t xml:space="preserve">test and </w:t>
      </w:r>
      <w:r w:rsidR="007B2605">
        <w:rPr>
          <w:rFonts w:asciiTheme="majorBidi" w:hAnsiTheme="majorBidi" w:cstheme="majorBidi"/>
          <w:color w:val="000000" w:themeColor="text1"/>
        </w:rPr>
        <w:t>integrate</w:t>
      </w:r>
      <w:r w:rsidR="008E0468">
        <w:rPr>
          <w:rFonts w:asciiTheme="majorBidi" w:hAnsiTheme="majorBidi" w:cstheme="majorBidi"/>
          <w:color w:val="000000" w:themeColor="text1"/>
        </w:rPr>
        <w:t xml:space="preserve"> the hitherto </w:t>
      </w:r>
      <w:r w:rsidR="00AA0D48">
        <w:rPr>
          <w:rFonts w:asciiTheme="majorBidi" w:hAnsiTheme="majorBidi" w:cstheme="majorBidi"/>
          <w:color w:val="000000" w:themeColor="text1"/>
        </w:rPr>
        <w:t>untested</w:t>
      </w:r>
      <w:r w:rsidR="008E0468">
        <w:rPr>
          <w:rFonts w:asciiTheme="majorBidi" w:hAnsiTheme="majorBidi" w:cstheme="majorBidi"/>
          <w:color w:val="000000" w:themeColor="text1"/>
        </w:rPr>
        <w:t xml:space="preserve"> complex relationships among CG, CP, EC and MV</w:t>
      </w:r>
      <w:r w:rsidR="003A3211">
        <w:rPr>
          <w:rFonts w:asciiTheme="majorBidi" w:hAnsiTheme="majorBidi" w:cstheme="majorBidi"/>
          <w:color w:val="000000" w:themeColor="text1"/>
        </w:rPr>
        <w:t xml:space="preserve">, and thereby offer empirical evidence </w:t>
      </w:r>
      <w:r w:rsidR="00F87DF0">
        <w:rPr>
          <w:rFonts w:asciiTheme="majorBidi" w:hAnsiTheme="majorBidi" w:cstheme="majorBidi"/>
          <w:color w:val="000000" w:themeColor="text1"/>
        </w:rPr>
        <w:t>to support the NIT’s predictions or otherwise</w:t>
      </w:r>
      <w:r w:rsidR="008E0468">
        <w:rPr>
          <w:rFonts w:asciiTheme="majorBidi" w:hAnsiTheme="majorBidi" w:cstheme="majorBidi"/>
          <w:color w:val="000000" w:themeColor="text1"/>
        </w:rPr>
        <w:t>.</w:t>
      </w:r>
    </w:p>
    <w:p w14:paraId="3074CCC6" w14:textId="4DF06536" w:rsidR="004F4EC5" w:rsidRPr="005103A1" w:rsidDel="00873875" w:rsidRDefault="004F4EC5" w:rsidP="004F4EC5">
      <w:pPr>
        <w:spacing w:after="0" w:line="480" w:lineRule="auto"/>
        <w:ind w:firstLine="720"/>
        <w:jc w:val="both"/>
        <w:rPr>
          <w:rFonts w:asciiTheme="majorBidi" w:hAnsiTheme="majorBidi" w:cstheme="majorBidi"/>
          <w:color w:val="000000" w:themeColor="text1"/>
        </w:rPr>
      </w:pPr>
      <w:r w:rsidRPr="005103A1" w:rsidDel="00873875">
        <w:rPr>
          <w:rFonts w:asciiTheme="majorBidi" w:hAnsiTheme="majorBidi" w:cstheme="majorBidi"/>
          <w:color w:val="000000" w:themeColor="text1"/>
        </w:rPr>
        <w:t xml:space="preserve">The rest of the paper is structured as follows. Section 2 </w:t>
      </w:r>
      <w:r w:rsidR="00EE24E9" w:rsidRPr="005103A1">
        <w:rPr>
          <w:rFonts w:asciiTheme="majorBidi" w:hAnsiTheme="majorBidi" w:cstheme="majorBidi"/>
          <w:color w:val="000000" w:themeColor="text1"/>
        </w:rPr>
        <w:t>presents the</w:t>
      </w:r>
      <w:r w:rsidRPr="005103A1" w:rsidDel="00873875">
        <w:rPr>
          <w:rFonts w:asciiTheme="majorBidi" w:hAnsiTheme="majorBidi" w:cstheme="majorBidi"/>
          <w:color w:val="000000" w:themeColor="text1"/>
        </w:rPr>
        <w:t xml:space="preserve"> </w:t>
      </w:r>
      <w:r w:rsidR="00EE24E9" w:rsidRPr="005103A1">
        <w:rPr>
          <w:rFonts w:asciiTheme="majorBidi" w:hAnsiTheme="majorBidi" w:cstheme="majorBidi"/>
          <w:color w:val="000000" w:themeColor="text1"/>
        </w:rPr>
        <w:t>study’s background. S</w:t>
      </w:r>
      <w:r w:rsidR="00500F65" w:rsidRPr="005103A1">
        <w:rPr>
          <w:rFonts w:asciiTheme="majorBidi" w:hAnsiTheme="majorBidi" w:cstheme="majorBidi"/>
          <w:color w:val="000000" w:themeColor="text1"/>
        </w:rPr>
        <w:t>ection 3 reviews the theory</w:t>
      </w:r>
      <w:r w:rsidR="00A931B2" w:rsidRPr="005103A1">
        <w:rPr>
          <w:rFonts w:asciiTheme="majorBidi" w:hAnsiTheme="majorBidi" w:cstheme="majorBidi"/>
          <w:color w:val="000000" w:themeColor="text1"/>
        </w:rPr>
        <w:t>,</w:t>
      </w:r>
      <w:r w:rsidRPr="005103A1" w:rsidDel="00873875">
        <w:rPr>
          <w:rFonts w:asciiTheme="majorBidi" w:hAnsiTheme="majorBidi" w:cstheme="majorBidi"/>
          <w:color w:val="000000" w:themeColor="text1"/>
        </w:rPr>
        <w:t xml:space="preserve"> empiric</w:t>
      </w:r>
      <w:r w:rsidR="00A931B2" w:rsidRPr="005103A1">
        <w:rPr>
          <w:rFonts w:asciiTheme="majorBidi" w:hAnsiTheme="majorBidi" w:cstheme="majorBidi"/>
          <w:color w:val="000000" w:themeColor="text1"/>
        </w:rPr>
        <w:t>s</w:t>
      </w:r>
      <w:r w:rsidRPr="005103A1" w:rsidDel="00873875">
        <w:rPr>
          <w:rFonts w:asciiTheme="majorBidi" w:hAnsiTheme="majorBidi" w:cstheme="majorBidi"/>
          <w:color w:val="000000" w:themeColor="text1"/>
        </w:rPr>
        <w:t xml:space="preserve"> and develops hypotheses. Section </w:t>
      </w:r>
      <w:r w:rsidR="00A931B2" w:rsidRPr="005103A1">
        <w:rPr>
          <w:rFonts w:asciiTheme="majorBidi" w:hAnsiTheme="majorBidi" w:cstheme="majorBidi"/>
          <w:color w:val="000000" w:themeColor="text1"/>
        </w:rPr>
        <w:t>4</w:t>
      </w:r>
      <w:r w:rsidR="00F765BE">
        <w:rPr>
          <w:rFonts w:asciiTheme="majorBidi" w:hAnsiTheme="majorBidi" w:cstheme="majorBidi"/>
          <w:color w:val="000000" w:themeColor="text1"/>
        </w:rPr>
        <w:t xml:space="preserve"> explains data/</w:t>
      </w:r>
      <w:r w:rsidRPr="005103A1" w:rsidDel="00873875">
        <w:rPr>
          <w:rFonts w:asciiTheme="majorBidi" w:hAnsiTheme="majorBidi" w:cstheme="majorBidi"/>
          <w:color w:val="000000" w:themeColor="text1"/>
        </w:rPr>
        <w:t xml:space="preserve">research methodology. Section </w:t>
      </w:r>
      <w:r w:rsidR="00A931B2" w:rsidRPr="005103A1">
        <w:rPr>
          <w:rFonts w:asciiTheme="majorBidi" w:hAnsiTheme="majorBidi" w:cstheme="majorBidi"/>
          <w:color w:val="000000" w:themeColor="text1"/>
        </w:rPr>
        <w:t>5</w:t>
      </w:r>
      <w:r w:rsidR="00500F65" w:rsidRPr="005103A1">
        <w:rPr>
          <w:rFonts w:asciiTheme="majorBidi" w:hAnsiTheme="majorBidi" w:cstheme="majorBidi"/>
          <w:color w:val="000000" w:themeColor="text1"/>
        </w:rPr>
        <w:t xml:space="preserve"> discusses</w:t>
      </w:r>
      <w:r w:rsidRPr="005103A1" w:rsidDel="00873875">
        <w:rPr>
          <w:rFonts w:asciiTheme="majorBidi" w:hAnsiTheme="majorBidi" w:cstheme="majorBidi"/>
          <w:color w:val="000000" w:themeColor="text1"/>
        </w:rPr>
        <w:t xml:space="preserve"> the </w:t>
      </w:r>
      <w:r w:rsidR="00500F65" w:rsidRPr="005103A1">
        <w:rPr>
          <w:rFonts w:asciiTheme="majorBidi" w:hAnsiTheme="majorBidi" w:cstheme="majorBidi"/>
          <w:color w:val="000000" w:themeColor="text1"/>
        </w:rPr>
        <w:t>empirical results</w:t>
      </w:r>
      <w:r w:rsidRPr="005103A1" w:rsidDel="00873875">
        <w:rPr>
          <w:rFonts w:asciiTheme="majorBidi" w:hAnsiTheme="majorBidi" w:cstheme="majorBidi"/>
          <w:color w:val="000000" w:themeColor="text1"/>
        </w:rPr>
        <w:t xml:space="preserve">, whilst section </w:t>
      </w:r>
      <w:r w:rsidR="00A931B2" w:rsidRPr="005103A1">
        <w:rPr>
          <w:rFonts w:asciiTheme="majorBidi" w:hAnsiTheme="majorBidi" w:cstheme="majorBidi"/>
          <w:color w:val="000000" w:themeColor="text1"/>
        </w:rPr>
        <w:t>6</w:t>
      </w:r>
      <w:r w:rsidRPr="005103A1" w:rsidDel="00873875">
        <w:rPr>
          <w:rFonts w:asciiTheme="majorBidi" w:hAnsiTheme="majorBidi" w:cstheme="majorBidi"/>
          <w:color w:val="000000" w:themeColor="text1"/>
        </w:rPr>
        <w:t xml:space="preserve"> concludes the paper. </w:t>
      </w:r>
    </w:p>
    <w:p w14:paraId="0654AB6B" w14:textId="77777777" w:rsidR="00FA12A0" w:rsidRPr="005103A1" w:rsidRDefault="00FA12A0" w:rsidP="00500F65">
      <w:pPr>
        <w:spacing w:after="0" w:line="240" w:lineRule="auto"/>
        <w:ind w:firstLine="720"/>
        <w:jc w:val="both"/>
        <w:rPr>
          <w:rFonts w:asciiTheme="majorBidi" w:hAnsiTheme="majorBidi" w:cstheme="majorBidi"/>
          <w:b/>
          <w:color w:val="000000" w:themeColor="text1"/>
        </w:rPr>
      </w:pPr>
    </w:p>
    <w:p w14:paraId="7940E5D5" w14:textId="5234D8B7" w:rsidR="00FA12A0" w:rsidRPr="005103A1" w:rsidRDefault="000A0F5D" w:rsidP="0064103E">
      <w:pPr>
        <w:pStyle w:val="ListParagraph"/>
        <w:spacing w:after="0" w:line="480" w:lineRule="auto"/>
        <w:ind w:left="0"/>
        <w:contextualSpacing w:val="0"/>
        <w:jc w:val="both"/>
        <w:rPr>
          <w:rFonts w:asciiTheme="majorBidi" w:hAnsiTheme="majorBidi" w:cstheme="majorBidi"/>
          <w:b/>
          <w:color w:val="000000" w:themeColor="text1"/>
        </w:rPr>
      </w:pPr>
      <w:r>
        <w:rPr>
          <w:rFonts w:asciiTheme="majorBidi" w:hAnsiTheme="majorBidi" w:cstheme="majorBidi"/>
          <w:b/>
          <w:color w:val="000000" w:themeColor="text1"/>
        </w:rPr>
        <w:t xml:space="preserve">Current status of </w:t>
      </w:r>
      <w:r w:rsidR="00714B6C">
        <w:rPr>
          <w:rFonts w:asciiTheme="majorBidi" w:hAnsiTheme="majorBidi" w:cstheme="majorBidi"/>
          <w:b/>
          <w:color w:val="000000" w:themeColor="text1"/>
        </w:rPr>
        <w:t>c</w:t>
      </w:r>
      <w:r w:rsidR="00460C71" w:rsidRPr="005103A1">
        <w:rPr>
          <w:rFonts w:asciiTheme="majorBidi" w:hAnsiTheme="majorBidi" w:cstheme="majorBidi"/>
          <w:b/>
          <w:color w:val="000000" w:themeColor="text1"/>
        </w:rPr>
        <w:t>limate change</w:t>
      </w:r>
      <w:r w:rsidR="00FA12A0" w:rsidRPr="005103A1">
        <w:rPr>
          <w:rFonts w:asciiTheme="majorBidi" w:hAnsiTheme="majorBidi" w:cstheme="majorBidi"/>
          <w:b/>
          <w:color w:val="000000" w:themeColor="text1"/>
        </w:rPr>
        <w:t xml:space="preserve">, </w:t>
      </w:r>
      <w:r w:rsidR="00F60043" w:rsidRPr="005103A1">
        <w:rPr>
          <w:rFonts w:asciiTheme="majorBidi" w:hAnsiTheme="majorBidi" w:cstheme="majorBidi"/>
          <w:b/>
          <w:color w:val="000000" w:themeColor="text1"/>
        </w:rPr>
        <w:t xml:space="preserve">governance and </w:t>
      </w:r>
      <w:r w:rsidR="00540CE1" w:rsidRPr="005103A1">
        <w:rPr>
          <w:rFonts w:asciiTheme="majorBidi" w:hAnsiTheme="majorBidi" w:cstheme="majorBidi"/>
          <w:b/>
          <w:color w:val="000000" w:themeColor="text1"/>
        </w:rPr>
        <w:t>EC</w:t>
      </w:r>
      <w:r w:rsidR="00F60043" w:rsidRPr="005103A1">
        <w:rPr>
          <w:rFonts w:asciiTheme="majorBidi" w:hAnsiTheme="majorBidi" w:cstheme="majorBidi"/>
          <w:b/>
          <w:color w:val="000000" w:themeColor="text1"/>
        </w:rPr>
        <w:t xml:space="preserve"> reforms</w:t>
      </w:r>
      <w:r w:rsidR="00FA12A0" w:rsidRPr="005103A1">
        <w:rPr>
          <w:rFonts w:asciiTheme="majorBidi" w:hAnsiTheme="majorBidi" w:cstheme="majorBidi"/>
          <w:b/>
          <w:color w:val="000000" w:themeColor="text1"/>
        </w:rPr>
        <w:t xml:space="preserve"> </w:t>
      </w:r>
      <w:r w:rsidR="00425051" w:rsidRPr="005103A1">
        <w:rPr>
          <w:rFonts w:asciiTheme="majorBidi" w:hAnsiTheme="majorBidi" w:cstheme="majorBidi"/>
          <w:b/>
          <w:color w:val="000000" w:themeColor="text1"/>
        </w:rPr>
        <w:t xml:space="preserve">in European </w:t>
      </w:r>
      <w:r w:rsidR="00D8505B" w:rsidRPr="005103A1">
        <w:rPr>
          <w:rFonts w:asciiTheme="majorBidi" w:hAnsiTheme="majorBidi" w:cstheme="majorBidi"/>
          <w:b/>
          <w:color w:val="000000" w:themeColor="text1"/>
        </w:rPr>
        <w:t xml:space="preserve">countries </w:t>
      </w:r>
      <w:r w:rsidR="00425051" w:rsidRPr="005103A1">
        <w:rPr>
          <w:rFonts w:asciiTheme="majorBidi" w:hAnsiTheme="majorBidi" w:cstheme="majorBidi"/>
          <w:b/>
          <w:color w:val="000000" w:themeColor="text1"/>
        </w:rPr>
        <w:t xml:space="preserve"> </w:t>
      </w:r>
    </w:p>
    <w:p w14:paraId="1E9A6399" w14:textId="3E37C576" w:rsidR="00425051" w:rsidRPr="005103A1" w:rsidRDefault="00941865" w:rsidP="00224B43">
      <w:pPr>
        <w:spacing w:after="0" w:line="480" w:lineRule="auto"/>
        <w:jc w:val="both"/>
        <w:rPr>
          <w:rFonts w:asciiTheme="majorBidi" w:hAnsiTheme="majorBidi" w:cstheme="majorBidi"/>
        </w:rPr>
      </w:pPr>
      <w:r w:rsidRPr="005103A1">
        <w:rPr>
          <w:rFonts w:asciiTheme="majorBidi" w:hAnsiTheme="majorBidi" w:cstheme="majorBidi"/>
        </w:rPr>
        <w:tab/>
      </w:r>
      <w:r w:rsidR="00425051" w:rsidRPr="005103A1">
        <w:rPr>
          <w:rFonts w:asciiTheme="majorBidi" w:hAnsiTheme="majorBidi" w:cstheme="majorBidi"/>
        </w:rPr>
        <w:t xml:space="preserve">European </w:t>
      </w:r>
      <w:r w:rsidR="00D8505B" w:rsidRPr="005103A1">
        <w:rPr>
          <w:rFonts w:asciiTheme="majorBidi" w:hAnsiTheme="majorBidi" w:cstheme="majorBidi"/>
        </w:rPr>
        <w:t>countries</w:t>
      </w:r>
      <w:r w:rsidR="00460C71" w:rsidRPr="005103A1">
        <w:rPr>
          <w:rFonts w:asciiTheme="majorBidi" w:hAnsiTheme="majorBidi" w:cstheme="majorBidi"/>
        </w:rPr>
        <w:t xml:space="preserve"> have been at the forefront of climate change agreements and carbon </w:t>
      </w:r>
      <w:r w:rsidR="00A15C72" w:rsidRPr="005103A1">
        <w:rPr>
          <w:rFonts w:asciiTheme="majorBidi" w:hAnsiTheme="majorBidi" w:cstheme="majorBidi"/>
        </w:rPr>
        <w:t xml:space="preserve">reduction </w:t>
      </w:r>
      <w:r w:rsidR="00460C71" w:rsidRPr="005103A1">
        <w:rPr>
          <w:rFonts w:asciiTheme="majorBidi" w:hAnsiTheme="majorBidi" w:cstheme="majorBidi"/>
        </w:rPr>
        <w:t>initiatives. For example,</w:t>
      </w:r>
      <w:r w:rsidR="00D8505B" w:rsidRPr="005103A1">
        <w:rPr>
          <w:rFonts w:asciiTheme="majorBidi" w:hAnsiTheme="majorBidi" w:cstheme="majorBidi"/>
        </w:rPr>
        <w:t xml:space="preserve"> </w:t>
      </w:r>
      <w:r w:rsidR="00460C71" w:rsidRPr="005103A1">
        <w:rPr>
          <w:rFonts w:asciiTheme="majorBidi" w:hAnsiTheme="majorBidi" w:cstheme="majorBidi"/>
        </w:rPr>
        <w:t xml:space="preserve">EU countries, such as UK </w:t>
      </w:r>
      <w:r w:rsidR="00425051" w:rsidRPr="005103A1">
        <w:rPr>
          <w:rFonts w:asciiTheme="majorBidi" w:hAnsiTheme="majorBidi" w:cstheme="majorBidi"/>
        </w:rPr>
        <w:t xml:space="preserve">were </w:t>
      </w:r>
      <w:r w:rsidR="00460C71" w:rsidRPr="005103A1">
        <w:rPr>
          <w:rFonts w:asciiTheme="majorBidi" w:hAnsiTheme="majorBidi" w:cstheme="majorBidi"/>
        </w:rPr>
        <w:t xml:space="preserve">among the first </w:t>
      </w:r>
      <w:r w:rsidR="00425051" w:rsidRPr="005103A1">
        <w:rPr>
          <w:rFonts w:asciiTheme="majorBidi" w:hAnsiTheme="majorBidi" w:cstheme="majorBidi"/>
        </w:rPr>
        <w:t xml:space="preserve">to ratify the </w:t>
      </w:r>
      <w:r w:rsidR="00ED5853" w:rsidRPr="005103A1">
        <w:rPr>
          <w:rFonts w:asciiTheme="majorBidi" w:hAnsiTheme="majorBidi" w:cstheme="majorBidi"/>
        </w:rPr>
        <w:t xml:space="preserve">1997 </w:t>
      </w:r>
      <w:r w:rsidR="00425051" w:rsidRPr="005103A1">
        <w:rPr>
          <w:rFonts w:asciiTheme="majorBidi" w:hAnsiTheme="majorBidi" w:cstheme="majorBidi"/>
        </w:rPr>
        <w:t xml:space="preserve">Kyoto </w:t>
      </w:r>
      <w:r w:rsidR="00F60043" w:rsidRPr="005103A1">
        <w:rPr>
          <w:rFonts w:asciiTheme="majorBidi" w:hAnsiTheme="majorBidi" w:cstheme="majorBidi"/>
        </w:rPr>
        <w:t>p</w:t>
      </w:r>
      <w:r w:rsidR="00425051" w:rsidRPr="005103A1">
        <w:rPr>
          <w:rFonts w:asciiTheme="majorBidi" w:hAnsiTheme="majorBidi" w:cstheme="majorBidi"/>
        </w:rPr>
        <w:t xml:space="preserve">rotocol that provided the </w:t>
      </w:r>
      <w:r w:rsidR="002C031E" w:rsidRPr="005103A1">
        <w:rPr>
          <w:rFonts w:asciiTheme="majorBidi" w:hAnsiTheme="majorBidi" w:cstheme="majorBidi"/>
        </w:rPr>
        <w:t xml:space="preserve">first major </w:t>
      </w:r>
      <w:r w:rsidR="000D3D6D" w:rsidRPr="005103A1">
        <w:rPr>
          <w:rFonts w:asciiTheme="majorBidi" w:hAnsiTheme="majorBidi" w:cstheme="majorBidi"/>
        </w:rPr>
        <w:t xml:space="preserve">legally binding </w:t>
      </w:r>
      <w:r w:rsidR="002C031E" w:rsidRPr="005103A1">
        <w:rPr>
          <w:rFonts w:asciiTheme="majorBidi" w:hAnsiTheme="majorBidi" w:cstheme="majorBidi"/>
        </w:rPr>
        <w:t xml:space="preserve">global </w:t>
      </w:r>
      <w:r w:rsidR="00425051" w:rsidRPr="005103A1">
        <w:rPr>
          <w:rFonts w:asciiTheme="majorBidi" w:hAnsiTheme="majorBidi" w:cstheme="majorBidi"/>
        </w:rPr>
        <w:t xml:space="preserve">platform for the EU to set out comprehensive policies to reduce </w:t>
      </w:r>
      <w:r w:rsidR="002C031E" w:rsidRPr="005103A1">
        <w:rPr>
          <w:rFonts w:asciiTheme="majorBidi" w:hAnsiTheme="majorBidi" w:cstheme="majorBidi"/>
        </w:rPr>
        <w:t>GHG</w:t>
      </w:r>
      <w:r w:rsidR="00425051" w:rsidRPr="005103A1">
        <w:rPr>
          <w:rFonts w:asciiTheme="majorBidi" w:hAnsiTheme="majorBidi" w:cstheme="majorBidi"/>
        </w:rPr>
        <w:t xml:space="preserve"> emissions (</w:t>
      </w:r>
      <w:proofErr w:type="spellStart"/>
      <w:r w:rsidR="00425051" w:rsidRPr="005103A1">
        <w:rPr>
          <w:rFonts w:asciiTheme="majorBidi" w:hAnsiTheme="majorBidi" w:cstheme="majorBidi"/>
        </w:rPr>
        <w:t>Delbeke</w:t>
      </w:r>
      <w:proofErr w:type="spellEnd"/>
      <w:r w:rsidR="00DD7E3F" w:rsidRPr="005103A1">
        <w:rPr>
          <w:rFonts w:asciiTheme="majorBidi" w:hAnsiTheme="majorBidi" w:cstheme="majorBidi"/>
        </w:rPr>
        <w:t xml:space="preserve"> and Vis, 2016). As part of </w:t>
      </w:r>
      <w:r w:rsidR="00E011C7" w:rsidRPr="005103A1">
        <w:rPr>
          <w:rFonts w:asciiTheme="majorBidi" w:hAnsiTheme="majorBidi" w:cstheme="majorBidi"/>
        </w:rPr>
        <w:t xml:space="preserve">the </w:t>
      </w:r>
      <w:r w:rsidR="00091C3F" w:rsidRPr="005103A1">
        <w:rPr>
          <w:rFonts w:asciiTheme="majorBidi" w:hAnsiTheme="majorBidi" w:cstheme="majorBidi"/>
        </w:rPr>
        <w:t xml:space="preserve">1997 </w:t>
      </w:r>
      <w:r w:rsidR="00425051" w:rsidRPr="005103A1">
        <w:rPr>
          <w:rFonts w:asciiTheme="majorBidi" w:hAnsiTheme="majorBidi" w:cstheme="majorBidi"/>
        </w:rPr>
        <w:t xml:space="preserve">Kyoto </w:t>
      </w:r>
      <w:r w:rsidR="005713BA" w:rsidRPr="005103A1">
        <w:rPr>
          <w:rFonts w:asciiTheme="majorBidi" w:hAnsiTheme="majorBidi" w:cstheme="majorBidi"/>
        </w:rPr>
        <w:t>p</w:t>
      </w:r>
      <w:r w:rsidR="00425051" w:rsidRPr="005103A1">
        <w:rPr>
          <w:rFonts w:asciiTheme="majorBidi" w:hAnsiTheme="majorBidi" w:cstheme="majorBidi"/>
        </w:rPr>
        <w:t xml:space="preserve">rotocol, the EU implemented </w:t>
      </w:r>
      <w:r w:rsidR="00544C6A" w:rsidRPr="005103A1">
        <w:rPr>
          <w:rFonts w:asciiTheme="majorBidi" w:hAnsiTheme="majorBidi" w:cstheme="majorBidi"/>
        </w:rPr>
        <w:t xml:space="preserve">several </w:t>
      </w:r>
      <w:r w:rsidR="00425051" w:rsidRPr="005103A1">
        <w:rPr>
          <w:rFonts w:asciiTheme="majorBidi" w:hAnsiTheme="majorBidi" w:cstheme="majorBidi"/>
        </w:rPr>
        <w:t xml:space="preserve">climate legislations on </w:t>
      </w:r>
      <w:r w:rsidR="00091C3F" w:rsidRPr="005103A1">
        <w:rPr>
          <w:rFonts w:asciiTheme="majorBidi" w:hAnsiTheme="majorBidi" w:cstheme="majorBidi"/>
        </w:rPr>
        <w:t xml:space="preserve">a key </w:t>
      </w:r>
      <w:r w:rsidR="00E011C7" w:rsidRPr="005103A1">
        <w:rPr>
          <w:rFonts w:asciiTheme="majorBidi" w:hAnsiTheme="majorBidi" w:cstheme="majorBidi"/>
        </w:rPr>
        <w:t>jo</w:t>
      </w:r>
      <w:r w:rsidR="0062587C" w:rsidRPr="005103A1">
        <w:rPr>
          <w:rFonts w:asciiTheme="majorBidi" w:hAnsiTheme="majorBidi" w:cstheme="majorBidi"/>
        </w:rPr>
        <w:t>int carbon reduction initiative</w:t>
      </w:r>
      <w:r w:rsidR="00E011C7" w:rsidRPr="005103A1">
        <w:rPr>
          <w:rFonts w:asciiTheme="majorBidi" w:hAnsiTheme="majorBidi" w:cstheme="majorBidi"/>
        </w:rPr>
        <w:t xml:space="preserve"> –</w:t>
      </w:r>
      <w:r w:rsidR="00425051" w:rsidRPr="005103A1">
        <w:rPr>
          <w:rFonts w:asciiTheme="majorBidi" w:hAnsiTheme="majorBidi" w:cstheme="majorBidi"/>
        </w:rPr>
        <w:t xml:space="preserve"> EU Emission Trading System (ETS) (European Commission, 2016)</w:t>
      </w:r>
      <w:r w:rsidR="00390EA3" w:rsidRPr="005103A1">
        <w:rPr>
          <w:rFonts w:asciiTheme="majorBidi" w:hAnsiTheme="majorBidi" w:cstheme="majorBidi"/>
        </w:rPr>
        <w:t xml:space="preserve">. </w:t>
      </w:r>
    </w:p>
    <w:p w14:paraId="23EBA878" w14:textId="2A9151B0" w:rsidR="00425051" w:rsidRPr="005103A1" w:rsidRDefault="00425051" w:rsidP="0064103E">
      <w:pPr>
        <w:spacing w:after="0" w:line="480" w:lineRule="auto"/>
        <w:ind w:firstLine="720"/>
        <w:jc w:val="both"/>
        <w:rPr>
          <w:rFonts w:asciiTheme="majorBidi" w:hAnsiTheme="majorBidi" w:cstheme="majorBidi"/>
        </w:rPr>
      </w:pPr>
      <w:r w:rsidRPr="005103A1">
        <w:rPr>
          <w:rFonts w:asciiTheme="majorBidi" w:hAnsiTheme="majorBidi" w:cstheme="majorBidi"/>
        </w:rPr>
        <w:t>Whilst the EU countries fell slightly short of meet</w:t>
      </w:r>
      <w:r w:rsidR="00AC4466">
        <w:rPr>
          <w:rFonts w:asciiTheme="majorBidi" w:hAnsiTheme="majorBidi" w:cstheme="majorBidi"/>
        </w:rPr>
        <w:t>ing GHG reduction targets (23.5-Gt-CO2-</w:t>
      </w:r>
      <w:r w:rsidRPr="005103A1">
        <w:rPr>
          <w:rFonts w:asciiTheme="majorBidi" w:hAnsiTheme="majorBidi" w:cstheme="majorBidi"/>
        </w:rPr>
        <w:t>eq. agai</w:t>
      </w:r>
      <w:r w:rsidR="00AC4466">
        <w:rPr>
          <w:rFonts w:asciiTheme="majorBidi" w:hAnsiTheme="majorBidi" w:cstheme="majorBidi"/>
        </w:rPr>
        <w:t>nst a cumulative target of 26.7-Gt-CO2-</w:t>
      </w:r>
      <w:r w:rsidRPr="005103A1">
        <w:rPr>
          <w:rFonts w:asciiTheme="majorBidi" w:hAnsiTheme="majorBidi" w:cstheme="majorBidi"/>
        </w:rPr>
        <w:t>eq</w:t>
      </w:r>
      <w:r w:rsidR="00E011C7" w:rsidRPr="005103A1">
        <w:rPr>
          <w:rFonts w:asciiTheme="majorBidi" w:hAnsiTheme="majorBidi" w:cstheme="majorBidi"/>
        </w:rPr>
        <w:t>.</w:t>
      </w:r>
      <w:r w:rsidRPr="005103A1">
        <w:rPr>
          <w:rFonts w:asciiTheme="majorBidi" w:hAnsiTheme="majorBidi" w:cstheme="majorBidi"/>
        </w:rPr>
        <w:t xml:space="preserve">) of the first commitment period (2008-2012), </w:t>
      </w:r>
      <w:r w:rsidR="00F62B16" w:rsidRPr="005103A1">
        <w:rPr>
          <w:rFonts w:asciiTheme="majorBidi" w:hAnsiTheme="majorBidi" w:cstheme="majorBidi"/>
        </w:rPr>
        <w:t>they are</w:t>
      </w:r>
      <w:r w:rsidRPr="005103A1">
        <w:rPr>
          <w:rFonts w:asciiTheme="majorBidi" w:hAnsiTheme="majorBidi" w:cstheme="majorBidi"/>
        </w:rPr>
        <w:t xml:space="preserve"> on track to overachieve the target for the second commitment period (2013-2020) (European Commission, 2016). </w:t>
      </w:r>
      <w:r w:rsidR="00B60E9A" w:rsidRPr="005103A1">
        <w:rPr>
          <w:rFonts w:asciiTheme="majorBidi" w:hAnsiTheme="majorBidi" w:cstheme="majorBidi"/>
        </w:rPr>
        <w:t>For example, i</w:t>
      </w:r>
      <w:r w:rsidRPr="005103A1">
        <w:rPr>
          <w:rFonts w:asciiTheme="majorBidi" w:hAnsiTheme="majorBidi" w:cstheme="majorBidi"/>
        </w:rPr>
        <w:t>n 2015, the EU managed to reduce its GHG emissions to 22% below 1990 level</w:t>
      </w:r>
      <w:r w:rsidR="00D411C5" w:rsidRPr="005103A1">
        <w:rPr>
          <w:rFonts w:asciiTheme="majorBidi" w:hAnsiTheme="majorBidi" w:cstheme="majorBidi"/>
        </w:rPr>
        <w:t>s</w:t>
      </w:r>
      <w:r w:rsidRPr="005103A1">
        <w:rPr>
          <w:rFonts w:asciiTheme="majorBidi" w:hAnsiTheme="majorBidi" w:cstheme="majorBidi"/>
        </w:rPr>
        <w:t xml:space="preserve">, with new mitigation policies being in place </w:t>
      </w:r>
      <w:r w:rsidR="001E3944" w:rsidRPr="005103A1">
        <w:rPr>
          <w:rFonts w:asciiTheme="majorBidi" w:hAnsiTheme="majorBidi" w:cstheme="majorBidi"/>
        </w:rPr>
        <w:t xml:space="preserve">to </w:t>
      </w:r>
      <w:r w:rsidRPr="005103A1">
        <w:rPr>
          <w:rFonts w:asciiTheme="majorBidi" w:hAnsiTheme="majorBidi" w:cstheme="majorBidi"/>
        </w:rPr>
        <w:t xml:space="preserve">meet at least a 40% domestic reduction in emissions by 2030 (European Commission, 2016). </w:t>
      </w:r>
    </w:p>
    <w:p w14:paraId="42C37D62" w14:textId="3018E4BC" w:rsidR="00B54084" w:rsidRPr="005103A1" w:rsidRDefault="00B60E9A" w:rsidP="00874B66">
      <w:pPr>
        <w:spacing w:after="0" w:line="480" w:lineRule="auto"/>
        <w:ind w:firstLine="720"/>
        <w:jc w:val="both"/>
        <w:rPr>
          <w:rFonts w:asciiTheme="majorBidi" w:hAnsiTheme="majorBidi" w:cstheme="majorBidi"/>
        </w:rPr>
      </w:pPr>
      <w:r w:rsidRPr="005103A1">
        <w:rPr>
          <w:rFonts w:asciiTheme="majorBidi" w:hAnsiTheme="majorBidi" w:cstheme="majorBidi"/>
        </w:rPr>
        <w:t>Discernibly, t</w:t>
      </w:r>
      <w:r w:rsidR="00425051" w:rsidRPr="005103A1">
        <w:rPr>
          <w:rFonts w:asciiTheme="majorBidi" w:hAnsiTheme="majorBidi" w:cstheme="majorBidi"/>
        </w:rPr>
        <w:t xml:space="preserve">he </w:t>
      </w:r>
      <w:r w:rsidR="004E0BF1" w:rsidRPr="005103A1">
        <w:rPr>
          <w:rFonts w:asciiTheme="majorBidi" w:hAnsiTheme="majorBidi" w:cstheme="majorBidi"/>
        </w:rPr>
        <w:t>December</w:t>
      </w:r>
      <w:r w:rsidR="006B1EE3" w:rsidRPr="005103A1">
        <w:rPr>
          <w:rFonts w:asciiTheme="majorBidi" w:hAnsiTheme="majorBidi" w:cstheme="majorBidi"/>
        </w:rPr>
        <w:t xml:space="preserve"> </w:t>
      </w:r>
      <w:r w:rsidR="00304F91" w:rsidRPr="005103A1">
        <w:rPr>
          <w:rFonts w:asciiTheme="majorBidi" w:hAnsiTheme="majorBidi" w:cstheme="majorBidi"/>
        </w:rPr>
        <w:t>201</w:t>
      </w:r>
      <w:r w:rsidR="004E0BF1" w:rsidRPr="005103A1">
        <w:rPr>
          <w:rFonts w:asciiTheme="majorBidi" w:hAnsiTheme="majorBidi" w:cstheme="majorBidi"/>
        </w:rPr>
        <w:t>5 draft</w:t>
      </w:r>
      <w:r w:rsidR="001E3944" w:rsidRPr="005103A1">
        <w:rPr>
          <w:rFonts w:asciiTheme="majorBidi" w:hAnsiTheme="majorBidi" w:cstheme="majorBidi"/>
        </w:rPr>
        <w:t xml:space="preserve"> </w:t>
      </w:r>
      <w:r w:rsidR="00425051" w:rsidRPr="005103A1">
        <w:rPr>
          <w:rFonts w:asciiTheme="majorBidi" w:hAnsiTheme="majorBidi" w:cstheme="majorBidi"/>
        </w:rPr>
        <w:t xml:space="preserve">Paris </w:t>
      </w:r>
      <w:r w:rsidR="006B1EE3" w:rsidRPr="005103A1">
        <w:rPr>
          <w:rFonts w:asciiTheme="majorBidi" w:hAnsiTheme="majorBidi" w:cstheme="majorBidi"/>
        </w:rPr>
        <w:t>c</w:t>
      </w:r>
      <w:r w:rsidR="00D8505B" w:rsidRPr="005103A1">
        <w:rPr>
          <w:rFonts w:asciiTheme="majorBidi" w:hAnsiTheme="majorBidi" w:cstheme="majorBidi"/>
        </w:rPr>
        <w:t xml:space="preserve">limate </w:t>
      </w:r>
      <w:r w:rsidR="00F6385C" w:rsidRPr="005103A1">
        <w:rPr>
          <w:rFonts w:asciiTheme="majorBidi" w:hAnsiTheme="majorBidi" w:cstheme="majorBidi"/>
        </w:rPr>
        <w:t xml:space="preserve">change </w:t>
      </w:r>
      <w:r w:rsidR="006B1EE3" w:rsidRPr="005103A1">
        <w:rPr>
          <w:rFonts w:asciiTheme="majorBidi" w:hAnsiTheme="majorBidi" w:cstheme="majorBidi"/>
        </w:rPr>
        <w:t>a</w:t>
      </w:r>
      <w:r w:rsidR="00425051" w:rsidRPr="005103A1">
        <w:rPr>
          <w:rFonts w:asciiTheme="majorBidi" w:hAnsiTheme="majorBidi" w:cstheme="majorBidi"/>
        </w:rPr>
        <w:t xml:space="preserve">greement, which is set to </w:t>
      </w:r>
      <w:r w:rsidR="00CA7CCB" w:rsidRPr="005103A1">
        <w:rPr>
          <w:rFonts w:asciiTheme="majorBidi" w:hAnsiTheme="majorBidi" w:cstheme="majorBidi"/>
        </w:rPr>
        <w:t xml:space="preserve">replace </w:t>
      </w:r>
      <w:r w:rsidR="00425051" w:rsidRPr="005103A1">
        <w:rPr>
          <w:rFonts w:asciiTheme="majorBidi" w:hAnsiTheme="majorBidi" w:cstheme="majorBidi"/>
        </w:rPr>
        <w:t xml:space="preserve">the 1997 Kyoto </w:t>
      </w:r>
      <w:r w:rsidR="006B1EE3" w:rsidRPr="005103A1">
        <w:rPr>
          <w:rFonts w:asciiTheme="majorBidi" w:hAnsiTheme="majorBidi" w:cstheme="majorBidi"/>
        </w:rPr>
        <w:t>p</w:t>
      </w:r>
      <w:r w:rsidR="00425051" w:rsidRPr="005103A1">
        <w:rPr>
          <w:rFonts w:asciiTheme="majorBidi" w:hAnsiTheme="majorBidi" w:cstheme="majorBidi"/>
        </w:rPr>
        <w:t>rotocol</w:t>
      </w:r>
      <w:r w:rsidR="004E0BF1" w:rsidRPr="005103A1">
        <w:rPr>
          <w:rFonts w:asciiTheme="majorBidi" w:hAnsiTheme="majorBidi" w:cstheme="majorBidi"/>
        </w:rPr>
        <w:t xml:space="preserve"> in 2020</w:t>
      </w:r>
      <w:r w:rsidR="00425051" w:rsidRPr="005103A1">
        <w:rPr>
          <w:rFonts w:asciiTheme="majorBidi" w:hAnsiTheme="majorBidi" w:cstheme="majorBidi"/>
        </w:rPr>
        <w:t>, is widely considered as a milestone global initiative to enhance and accelerate global transformation to a</w:t>
      </w:r>
      <w:r w:rsidR="00D8261F">
        <w:rPr>
          <w:rFonts w:asciiTheme="majorBidi" w:hAnsiTheme="majorBidi" w:cstheme="majorBidi"/>
        </w:rPr>
        <w:t xml:space="preserve"> low-carbon/</w:t>
      </w:r>
      <w:r w:rsidR="00425051" w:rsidRPr="005103A1">
        <w:rPr>
          <w:rFonts w:asciiTheme="majorBidi" w:hAnsiTheme="majorBidi" w:cstheme="majorBidi"/>
        </w:rPr>
        <w:t>climate resilient society (European Commission, 2016)</w:t>
      </w:r>
      <w:r w:rsidR="004E0BF1" w:rsidRPr="005103A1">
        <w:rPr>
          <w:rFonts w:asciiTheme="majorBidi" w:hAnsiTheme="majorBidi" w:cstheme="majorBidi"/>
        </w:rPr>
        <w:t xml:space="preserve">. </w:t>
      </w:r>
      <w:r w:rsidR="007D13DB">
        <w:rPr>
          <w:rFonts w:asciiTheme="majorBidi" w:hAnsiTheme="majorBidi" w:cstheme="majorBidi"/>
        </w:rPr>
        <w:t>T</w:t>
      </w:r>
      <w:r w:rsidR="004E0BF1" w:rsidRPr="005103A1">
        <w:rPr>
          <w:rFonts w:asciiTheme="majorBidi" w:hAnsiTheme="majorBidi" w:cstheme="majorBidi"/>
        </w:rPr>
        <w:t>he EU move quickly to ratify it</w:t>
      </w:r>
      <w:r w:rsidR="00425051" w:rsidRPr="005103A1">
        <w:rPr>
          <w:rFonts w:asciiTheme="majorBidi" w:hAnsiTheme="majorBidi" w:cstheme="majorBidi"/>
        </w:rPr>
        <w:t xml:space="preserve"> in October 2016</w:t>
      </w:r>
      <w:r w:rsidR="00735BDC" w:rsidRPr="005103A1">
        <w:rPr>
          <w:rFonts w:asciiTheme="majorBidi" w:hAnsiTheme="majorBidi" w:cstheme="majorBidi"/>
        </w:rPr>
        <w:t xml:space="preserve"> (whilst the US, for example, withdrew from it in June 2017)</w:t>
      </w:r>
      <w:r w:rsidR="00425051" w:rsidRPr="005103A1">
        <w:rPr>
          <w:rFonts w:asciiTheme="majorBidi" w:hAnsiTheme="majorBidi" w:cstheme="majorBidi"/>
        </w:rPr>
        <w:t xml:space="preserve"> as part</w:t>
      </w:r>
      <w:r w:rsidR="00603FF0" w:rsidRPr="005103A1">
        <w:rPr>
          <w:rFonts w:asciiTheme="majorBidi" w:hAnsiTheme="majorBidi" w:cstheme="majorBidi"/>
        </w:rPr>
        <w:t xml:space="preserve"> of</w:t>
      </w:r>
      <w:r w:rsidR="00425051" w:rsidRPr="005103A1">
        <w:rPr>
          <w:rFonts w:asciiTheme="majorBidi" w:hAnsiTheme="majorBidi" w:cstheme="majorBidi"/>
        </w:rPr>
        <w:t xml:space="preserve"> its commitment </w:t>
      </w:r>
      <w:r w:rsidR="00974903" w:rsidRPr="005103A1">
        <w:rPr>
          <w:rFonts w:asciiTheme="majorBidi" w:hAnsiTheme="majorBidi" w:cstheme="majorBidi"/>
        </w:rPr>
        <w:t xml:space="preserve">not only </w:t>
      </w:r>
      <w:r w:rsidR="00425051" w:rsidRPr="005103A1">
        <w:rPr>
          <w:rFonts w:asciiTheme="majorBidi" w:hAnsiTheme="majorBidi" w:cstheme="majorBidi"/>
        </w:rPr>
        <w:t>to reduce</w:t>
      </w:r>
      <w:r w:rsidR="004E0BF1" w:rsidRPr="005103A1">
        <w:rPr>
          <w:rFonts w:asciiTheme="majorBidi" w:hAnsiTheme="majorBidi" w:cstheme="majorBidi"/>
        </w:rPr>
        <w:t xml:space="preserve"> domestic/industrial</w:t>
      </w:r>
      <w:r w:rsidR="00425051" w:rsidRPr="005103A1">
        <w:rPr>
          <w:rFonts w:asciiTheme="majorBidi" w:hAnsiTheme="majorBidi" w:cstheme="majorBidi"/>
        </w:rPr>
        <w:t xml:space="preserve"> GHG emissions</w:t>
      </w:r>
      <w:r w:rsidR="00974903" w:rsidRPr="005103A1">
        <w:rPr>
          <w:rFonts w:asciiTheme="majorBidi" w:hAnsiTheme="majorBidi" w:cstheme="majorBidi"/>
        </w:rPr>
        <w:t>, but also</w:t>
      </w:r>
      <w:r w:rsidR="00425051" w:rsidRPr="005103A1">
        <w:rPr>
          <w:rFonts w:asciiTheme="majorBidi" w:hAnsiTheme="majorBidi" w:cstheme="majorBidi"/>
        </w:rPr>
        <w:t xml:space="preserve"> </w:t>
      </w:r>
      <w:r w:rsidR="00221412">
        <w:rPr>
          <w:rFonts w:asciiTheme="majorBidi" w:hAnsiTheme="majorBidi" w:cstheme="majorBidi"/>
        </w:rPr>
        <w:t xml:space="preserve">to </w:t>
      </w:r>
      <w:r w:rsidR="00425051" w:rsidRPr="005103A1">
        <w:rPr>
          <w:rFonts w:asciiTheme="majorBidi" w:hAnsiTheme="majorBidi" w:cstheme="majorBidi"/>
        </w:rPr>
        <w:t>incr</w:t>
      </w:r>
      <w:r w:rsidR="004E70F2" w:rsidRPr="005103A1">
        <w:rPr>
          <w:rFonts w:asciiTheme="majorBidi" w:hAnsiTheme="majorBidi" w:cstheme="majorBidi"/>
        </w:rPr>
        <w:t xml:space="preserve">ease its </w:t>
      </w:r>
      <w:r w:rsidR="00425051" w:rsidRPr="005103A1">
        <w:rPr>
          <w:rFonts w:asciiTheme="majorBidi" w:hAnsiTheme="majorBidi" w:cstheme="majorBidi"/>
        </w:rPr>
        <w:t>share of renewable energ</w:t>
      </w:r>
      <w:r w:rsidR="00874B66" w:rsidRPr="005103A1">
        <w:rPr>
          <w:rFonts w:asciiTheme="majorBidi" w:hAnsiTheme="majorBidi" w:cstheme="majorBidi"/>
        </w:rPr>
        <w:t>y sources</w:t>
      </w:r>
      <w:r w:rsidR="00310D40" w:rsidRPr="005103A1">
        <w:rPr>
          <w:rFonts w:asciiTheme="majorBidi" w:hAnsiTheme="majorBidi" w:cstheme="majorBidi"/>
        </w:rPr>
        <w:t>,</w:t>
      </w:r>
      <w:r w:rsidR="00425051" w:rsidRPr="005103A1">
        <w:rPr>
          <w:rFonts w:asciiTheme="majorBidi" w:hAnsiTheme="majorBidi" w:cstheme="majorBidi"/>
        </w:rPr>
        <w:t xml:space="preserve"> and</w:t>
      </w:r>
      <w:r w:rsidR="00874B66" w:rsidRPr="005103A1">
        <w:rPr>
          <w:rFonts w:asciiTheme="majorBidi" w:hAnsiTheme="majorBidi" w:cstheme="majorBidi"/>
        </w:rPr>
        <w:t xml:space="preserve"> thereby</w:t>
      </w:r>
      <w:r w:rsidR="00425051" w:rsidRPr="005103A1">
        <w:rPr>
          <w:rFonts w:asciiTheme="majorBidi" w:hAnsiTheme="majorBidi" w:cstheme="majorBidi"/>
        </w:rPr>
        <w:t xml:space="preserve"> improve energy efficiency (European Commission, 2016). </w:t>
      </w:r>
      <w:proofErr w:type="gramStart"/>
      <w:r w:rsidR="004D53DE" w:rsidRPr="005103A1">
        <w:rPr>
          <w:rFonts w:asciiTheme="majorBidi" w:hAnsiTheme="majorBidi" w:cstheme="majorBidi"/>
        </w:rPr>
        <w:t>In spite of</w:t>
      </w:r>
      <w:proofErr w:type="gramEnd"/>
      <w:r w:rsidR="004D53DE" w:rsidRPr="005103A1">
        <w:rPr>
          <w:rFonts w:asciiTheme="majorBidi" w:hAnsiTheme="majorBidi" w:cstheme="majorBidi"/>
        </w:rPr>
        <w:t xml:space="preserve"> these notable climate related regulations and initiatives, there seems to be a lack of progress in designing and enforcing firm-specific policies and guidelines that can help policymakers to monitor both process-oriented and actu</w:t>
      </w:r>
      <w:r w:rsidR="000A058F">
        <w:rPr>
          <w:rFonts w:asciiTheme="majorBidi" w:hAnsiTheme="majorBidi" w:cstheme="majorBidi"/>
        </w:rPr>
        <w:t>al carbon performance at a firm-</w:t>
      </w:r>
      <w:r w:rsidR="004D53DE" w:rsidRPr="005103A1">
        <w:rPr>
          <w:rFonts w:asciiTheme="majorBidi" w:hAnsiTheme="majorBidi" w:cstheme="majorBidi"/>
        </w:rPr>
        <w:t xml:space="preserve">level. </w:t>
      </w:r>
    </w:p>
    <w:p w14:paraId="683465D3" w14:textId="4BDCE8BE" w:rsidR="006E2938" w:rsidRPr="005103A1" w:rsidRDefault="002969F1" w:rsidP="004B32AE">
      <w:pPr>
        <w:autoSpaceDE w:val="0"/>
        <w:autoSpaceDN w:val="0"/>
        <w:adjustRightInd w:val="0"/>
        <w:spacing w:after="0" w:line="480" w:lineRule="auto"/>
        <w:ind w:firstLine="720"/>
        <w:jc w:val="both"/>
        <w:rPr>
          <w:rFonts w:asciiTheme="majorBidi" w:hAnsiTheme="majorBidi" w:cstheme="majorBidi"/>
          <w:lang w:val="en-US"/>
        </w:rPr>
      </w:pPr>
      <w:r w:rsidRPr="005103A1">
        <w:rPr>
          <w:rFonts w:asciiTheme="majorBidi" w:hAnsiTheme="majorBidi" w:cstheme="majorBidi"/>
        </w:rPr>
        <w:t>Aside its strong commitment to climate change reforms, t</w:t>
      </w:r>
      <w:r w:rsidR="00915E59" w:rsidRPr="005103A1">
        <w:rPr>
          <w:rFonts w:asciiTheme="majorBidi" w:hAnsiTheme="majorBidi" w:cstheme="majorBidi"/>
        </w:rPr>
        <w:t>he E</w:t>
      </w:r>
      <w:r w:rsidRPr="005103A1">
        <w:rPr>
          <w:rFonts w:asciiTheme="majorBidi" w:hAnsiTheme="majorBidi" w:cstheme="majorBidi"/>
        </w:rPr>
        <w:t>U</w:t>
      </w:r>
      <w:r w:rsidR="006E3E8C" w:rsidRPr="005103A1">
        <w:rPr>
          <w:rFonts w:asciiTheme="majorBidi" w:hAnsiTheme="majorBidi" w:cstheme="majorBidi"/>
        </w:rPr>
        <w:t xml:space="preserve"> ha</w:t>
      </w:r>
      <w:r w:rsidR="00B60E9A" w:rsidRPr="005103A1">
        <w:rPr>
          <w:rFonts w:asciiTheme="majorBidi" w:hAnsiTheme="majorBidi" w:cstheme="majorBidi"/>
        </w:rPr>
        <w:t>s</w:t>
      </w:r>
      <w:r w:rsidR="006E3E8C" w:rsidRPr="005103A1">
        <w:rPr>
          <w:rFonts w:asciiTheme="majorBidi" w:hAnsiTheme="majorBidi" w:cstheme="majorBidi"/>
        </w:rPr>
        <w:t xml:space="preserve"> pursued </w:t>
      </w:r>
      <w:proofErr w:type="gramStart"/>
      <w:r w:rsidR="006E3E8C" w:rsidRPr="005103A1">
        <w:rPr>
          <w:rFonts w:asciiTheme="majorBidi" w:hAnsiTheme="majorBidi" w:cstheme="majorBidi"/>
        </w:rPr>
        <w:t>a number of</w:t>
      </w:r>
      <w:proofErr w:type="gramEnd"/>
      <w:r w:rsidR="00915E59" w:rsidRPr="005103A1">
        <w:rPr>
          <w:rFonts w:asciiTheme="majorBidi" w:hAnsiTheme="majorBidi" w:cstheme="majorBidi"/>
        </w:rPr>
        <w:t xml:space="preserve"> initiatives </w:t>
      </w:r>
      <w:r w:rsidR="000E4ACD">
        <w:rPr>
          <w:rFonts w:asciiTheme="majorBidi" w:hAnsiTheme="majorBidi" w:cstheme="majorBidi"/>
        </w:rPr>
        <w:t>to reform</w:t>
      </w:r>
      <w:r w:rsidR="0033137E" w:rsidRPr="005103A1">
        <w:rPr>
          <w:rFonts w:asciiTheme="majorBidi" w:hAnsiTheme="majorBidi" w:cstheme="majorBidi"/>
        </w:rPr>
        <w:t xml:space="preserve"> </w:t>
      </w:r>
      <w:r w:rsidR="00EB7A7C" w:rsidRPr="005103A1">
        <w:rPr>
          <w:rFonts w:asciiTheme="majorBidi" w:hAnsiTheme="majorBidi" w:cstheme="majorBidi"/>
        </w:rPr>
        <w:t>CG</w:t>
      </w:r>
      <w:r w:rsidR="0033137E" w:rsidRPr="005103A1">
        <w:rPr>
          <w:rFonts w:asciiTheme="majorBidi" w:hAnsiTheme="majorBidi" w:cstheme="majorBidi"/>
        </w:rPr>
        <w:t xml:space="preserve"> </w:t>
      </w:r>
      <w:r w:rsidR="00915E59" w:rsidRPr="005103A1">
        <w:rPr>
          <w:rFonts w:asciiTheme="majorBidi" w:hAnsiTheme="majorBidi" w:cstheme="majorBidi"/>
        </w:rPr>
        <w:t>in E</w:t>
      </w:r>
      <w:r w:rsidR="006E3E8C" w:rsidRPr="005103A1">
        <w:rPr>
          <w:rFonts w:asciiTheme="majorBidi" w:hAnsiTheme="majorBidi" w:cstheme="majorBidi"/>
        </w:rPr>
        <w:t>U</w:t>
      </w:r>
      <w:r w:rsidR="00915E59" w:rsidRPr="005103A1">
        <w:rPr>
          <w:rFonts w:asciiTheme="majorBidi" w:hAnsiTheme="majorBidi" w:cstheme="majorBidi"/>
        </w:rPr>
        <w:t xml:space="preserve"> </w:t>
      </w:r>
      <w:r w:rsidR="0033137E" w:rsidRPr="005103A1">
        <w:rPr>
          <w:rFonts w:asciiTheme="majorBidi" w:hAnsiTheme="majorBidi" w:cstheme="majorBidi"/>
        </w:rPr>
        <w:t>firms</w:t>
      </w:r>
      <w:r w:rsidR="006E3E8C" w:rsidRPr="005103A1">
        <w:rPr>
          <w:rFonts w:asciiTheme="majorBidi" w:hAnsiTheme="majorBidi" w:cstheme="majorBidi"/>
        </w:rPr>
        <w:t>.</w:t>
      </w:r>
      <w:r w:rsidR="0033137E" w:rsidRPr="005103A1">
        <w:rPr>
          <w:rFonts w:asciiTheme="majorBidi" w:hAnsiTheme="majorBidi" w:cstheme="majorBidi"/>
        </w:rPr>
        <w:t xml:space="preserve"> </w:t>
      </w:r>
      <w:r w:rsidR="006E3E8C" w:rsidRPr="005103A1">
        <w:rPr>
          <w:rFonts w:asciiTheme="majorBidi" w:hAnsiTheme="majorBidi" w:cstheme="majorBidi"/>
        </w:rPr>
        <w:t>In this case,</w:t>
      </w:r>
      <w:r w:rsidR="00915E59" w:rsidRPr="005103A1">
        <w:rPr>
          <w:rFonts w:asciiTheme="majorBidi" w:hAnsiTheme="majorBidi" w:cstheme="majorBidi"/>
        </w:rPr>
        <w:t xml:space="preserve"> t</w:t>
      </w:r>
      <w:r w:rsidR="00ED6C83" w:rsidRPr="005103A1">
        <w:rPr>
          <w:rFonts w:asciiTheme="majorBidi" w:hAnsiTheme="majorBidi" w:cstheme="majorBidi"/>
        </w:rPr>
        <w:t xml:space="preserve">he EU </w:t>
      </w:r>
      <w:r w:rsidR="006B6288" w:rsidRPr="005103A1">
        <w:rPr>
          <w:rFonts w:asciiTheme="majorBidi" w:hAnsiTheme="majorBidi" w:cstheme="majorBidi"/>
        </w:rPr>
        <w:t>a</w:t>
      </w:r>
      <w:r w:rsidR="00ED6C83" w:rsidRPr="005103A1">
        <w:rPr>
          <w:rFonts w:asciiTheme="majorBidi" w:hAnsiTheme="majorBidi" w:cstheme="majorBidi"/>
        </w:rPr>
        <w:t xml:space="preserve">ction </w:t>
      </w:r>
      <w:r w:rsidR="006B6288" w:rsidRPr="005103A1">
        <w:rPr>
          <w:rFonts w:asciiTheme="majorBidi" w:hAnsiTheme="majorBidi" w:cstheme="majorBidi"/>
        </w:rPr>
        <w:t>p</w:t>
      </w:r>
      <w:r w:rsidR="00ED6C83" w:rsidRPr="005103A1">
        <w:rPr>
          <w:rFonts w:asciiTheme="majorBidi" w:hAnsiTheme="majorBidi" w:cstheme="majorBidi"/>
        </w:rPr>
        <w:t>lan of 2003</w:t>
      </w:r>
      <w:r w:rsidR="00915E59" w:rsidRPr="005103A1">
        <w:rPr>
          <w:rFonts w:asciiTheme="majorBidi" w:hAnsiTheme="majorBidi" w:cstheme="majorBidi"/>
        </w:rPr>
        <w:t xml:space="preserve"> </w:t>
      </w:r>
      <w:r w:rsidR="00ED6C83" w:rsidRPr="005103A1">
        <w:rPr>
          <w:rFonts w:asciiTheme="majorBidi" w:hAnsiTheme="majorBidi" w:cstheme="majorBidi"/>
        </w:rPr>
        <w:t>cover</w:t>
      </w:r>
      <w:r w:rsidR="006E3E8C" w:rsidRPr="005103A1">
        <w:rPr>
          <w:rFonts w:asciiTheme="majorBidi" w:hAnsiTheme="majorBidi" w:cstheme="majorBidi"/>
        </w:rPr>
        <w:t xml:space="preserve">s </w:t>
      </w:r>
      <w:r w:rsidR="00EB7A7C" w:rsidRPr="005103A1">
        <w:rPr>
          <w:rFonts w:asciiTheme="majorBidi" w:hAnsiTheme="majorBidi" w:cstheme="majorBidi"/>
        </w:rPr>
        <w:t>CG</w:t>
      </w:r>
      <w:r w:rsidR="006E3E8C" w:rsidRPr="005103A1">
        <w:rPr>
          <w:rFonts w:asciiTheme="majorBidi" w:hAnsiTheme="majorBidi" w:cstheme="majorBidi"/>
        </w:rPr>
        <w:t xml:space="preserve"> issues, such as the</w:t>
      </w:r>
      <w:r w:rsidR="00ED6C83" w:rsidRPr="005103A1">
        <w:rPr>
          <w:rFonts w:asciiTheme="majorBidi" w:hAnsiTheme="majorBidi" w:cstheme="majorBidi"/>
        </w:rPr>
        <w:t xml:space="preserve"> </w:t>
      </w:r>
      <w:r w:rsidR="00ED6C83" w:rsidRPr="005103A1">
        <w:rPr>
          <w:rFonts w:asciiTheme="majorBidi" w:hAnsiTheme="majorBidi" w:cstheme="majorBidi"/>
        </w:rPr>
        <w:lastRenderedPageBreak/>
        <w:t>independence of the board, separation between the CEO and chair</w:t>
      </w:r>
      <w:r w:rsidR="006B6288" w:rsidRPr="005103A1">
        <w:rPr>
          <w:rFonts w:asciiTheme="majorBidi" w:hAnsiTheme="majorBidi" w:cstheme="majorBidi"/>
        </w:rPr>
        <w:t>person</w:t>
      </w:r>
      <w:r w:rsidR="00ED6C83" w:rsidRPr="005103A1">
        <w:rPr>
          <w:rFonts w:asciiTheme="majorBidi" w:hAnsiTheme="majorBidi" w:cstheme="majorBidi"/>
        </w:rPr>
        <w:t xml:space="preserve">, </w:t>
      </w:r>
      <w:r w:rsidR="006E3E8C" w:rsidRPr="005103A1">
        <w:rPr>
          <w:rFonts w:asciiTheme="majorBidi" w:hAnsiTheme="majorBidi" w:cstheme="majorBidi"/>
        </w:rPr>
        <w:t xml:space="preserve">the </w:t>
      </w:r>
      <w:r w:rsidR="00ED6C83" w:rsidRPr="005103A1">
        <w:rPr>
          <w:rFonts w:asciiTheme="majorBidi" w:hAnsiTheme="majorBidi" w:cstheme="majorBidi"/>
        </w:rPr>
        <w:t xml:space="preserve">balance between executive and non-executive directors, remuneration policy of directors, disclosures of financial and non-financial information, and </w:t>
      </w:r>
      <w:r w:rsidR="006E3E8C" w:rsidRPr="005103A1">
        <w:rPr>
          <w:rFonts w:asciiTheme="majorBidi" w:hAnsiTheme="majorBidi" w:cstheme="majorBidi"/>
        </w:rPr>
        <w:t>protection</w:t>
      </w:r>
      <w:r w:rsidR="00ED6C83" w:rsidRPr="005103A1">
        <w:rPr>
          <w:rFonts w:asciiTheme="majorBidi" w:hAnsiTheme="majorBidi" w:cstheme="majorBidi"/>
        </w:rPr>
        <w:t xml:space="preserve"> of shareholder rights (IFC, 2015). Moreover, t</w:t>
      </w:r>
      <w:r w:rsidR="00C13539" w:rsidRPr="005103A1">
        <w:rPr>
          <w:rFonts w:asciiTheme="majorBidi" w:hAnsiTheme="majorBidi" w:cstheme="majorBidi"/>
          <w:lang w:val="en-US"/>
        </w:rPr>
        <w:t>he European Commission</w:t>
      </w:r>
      <w:r w:rsidR="00ED6C83" w:rsidRPr="005103A1">
        <w:rPr>
          <w:rFonts w:asciiTheme="majorBidi" w:hAnsiTheme="majorBidi" w:cstheme="majorBidi"/>
          <w:lang w:val="en-US"/>
        </w:rPr>
        <w:t xml:space="preserve"> develop</w:t>
      </w:r>
      <w:r w:rsidR="00FF6201" w:rsidRPr="005103A1">
        <w:rPr>
          <w:rFonts w:asciiTheme="majorBidi" w:hAnsiTheme="majorBidi" w:cstheme="majorBidi"/>
          <w:lang w:val="en-US"/>
        </w:rPr>
        <w:t>ed and introduced</w:t>
      </w:r>
      <w:r w:rsidR="00ED6C83" w:rsidRPr="005103A1">
        <w:rPr>
          <w:rFonts w:asciiTheme="majorBidi" w:hAnsiTheme="majorBidi" w:cstheme="majorBidi"/>
          <w:lang w:val="en-US"/>
        </w:rPr>
        <w:t xml:space="preserve"> CSR guidelines for EU firms in 2006, and published a CSR </w:t>
      </w:r>
      <w:r w:rsidR="007567DA" w:rsidRPr="005103A1">
        <w:rPr>
          <w:rFonts w:asciiTheme="majorBidi" w:hAnsiTheme="majorBidi" w:cstheme="majorBidi"/>
          <w:lang w:val="en-US"/>
        </w:rPr>
        <w:t>s</w:t>
      </w:r>
      <w:r w:rsidR="00ED6C83" w:rsidRPr="005103A1">
        <w:rPr>
          <w:rFonts w:asciiTheme="majorBidi" w:hAnsiTheme="majorBidi" w:cstheme="majorBidi"/>
          <w:lang w:val="en-US"/>
        </w:rPr>
        <w:t xml:space="preserve">trategy in 2011 (IFC, 2015). </w:t>
      </w:r>
      <w:r w:rsidR="00ED6C83" w:rsidRPr="005103A1">
        <w:rPr>
          <w:rFonts w:asciiTheme="majorBidi" w:hAnsiTheme="majorBidi" w:cstheme="majorBidi"/>
        </w:rPr>
        <w:t xml:space="preserve">The EU </w:t>
      </w:r>
      <w:r w:rsidR="006B6288" w:rsidRPr="005103A1">
        <w:rPr>
          <w:rFonts w:asciiTheme="majorBidi" w:hAnsiTheme="majorBidi" w:cstheme="majorBidi"/>
        </w:rPr>
        <w:t>a</w:t>
      </w:r>
      <w:r w:rsidR="00ED6C83" w:rsidRPr="005103A1">
        <w:rPr>
          <w:rFonts w:asciiTheme="majorBidi" w:hAnsiTheme="majorBidi" w:cstheme="majorBidi"/>
        </w:rPr>
        <w:t xml:space="preserve">ction </w:t>
      </w:r>
      <w:r w:rsidR="006B6288" w:rsidRPr="005103A1">
        <w:rPr>
          <w:rFonts w:asciiTheme="majorBidi" w:hAnsiTheme="majorBidi" w:cstheme="majorBidi"/>
        </w:rPr>
        <w:t>p</w:t>
      </w:r>
      <w:r w:rsidR="00ED6C83" w:rsidRPr="005103A1">
        <w:rPr>
          <w:rFonts w:asciiTheme="majorBidi" w:hAnsiTheme="majorBidi" w:cstheme="majorBidi"/>
        </w:rPr>
        <w:t xml:space="preserve">lan of 2012 provided further guidance on </w:t>
      </w:r>
      <w:r w:rsidR="007567DA" w:rsidRPr="005103A1">
        <w:rPr>
          <w:rFonts w:asciiTheme="majorBidi" w:hAnsiTheme="majorBidi" w:cstheme="majorBidi"/>
        </w:rPr>
        <w:t xml:space="preserve">good </w:t>
      </w:r>
      <w:r w:rsidR="00EB7A7C" w:rsidRPr="005103A1">
        <w:rPr>
          <w:rFonts w:asciiTheme="majorBidi" w:hAnsiTheme="majorBidi" w:cstheme="majorBidi"/>
        </w:rPr>
        <w:t>CG</w:t>
      </w:r>
      <w:r w:rsidR="00ED6C83" w:rsidRPr="005103A1">
        <w:rPr>
          <w:rFonts w:asciiTheme="majorBidi" w:hAnsiTheme="majorBidi" w:cstheme="majorBidi"/>
        </w:rPr>
        <w:t xml:space="preserve"> </w:t>
      </w:r>
      <w:r w:rsidR="007567DA" w:rsidRPr="005103A1">
        <w:rPr>
          <w:rFonts w:asciiTheme="majorBidi" w:hAnsiTheme="majorBidi" w:cstheme="majorBidi"/>
        </w:rPr>
        <w:t>mechanisms aimed</w:t>
      </w:r>
      <w:r w:rsidR="00ED6C83" w:rsidRPr="005103A1">
        <w:rPr>
          <w:rFonts w:asciiTheme="majorBidi" w:hAnsiTheme="majorBidi" w:cstheme="majorBidi"/>
        </w:rPr>
        <w:t xml:space="preserve"> </w:t>
      </w:r>
      <w:r w:rsidR="009161B7" w:rsidRPr="005103A1">
        <w:rPr>
          <w:rFonts w:asciiTheme="majorBidi" w:hAnsiTheme="majorBidi" w:cstheme="majorBidi"/>
        </w:rPr>
        <w:t xml:space="preserve">at </w:t>
      </w:r>
      <w:r w:rsidR="00ED6C83" w:rsidRPr="005103A1">
        <w:rPr>
          <w:rFonts w:asciiTheme="majorBidi" w:hAnsiTheme="majorBidi" w:cstheme="majorBidi"/>
        </w:rPr>
        <w:t>encourag</w:t>
      </w:r>
      <w:r w:rsidR="007567DA" w:rsidRPr="005103A1">
        <w:rPr>
          <w:rFonts w:asciiTheme="majorBidi" w:hAnsiTheme="majorBidi" w:cstheme="majorBidi"/>
        </w:rPr>
        <w:t>ing</w:t>
      </w:r>
      <w:r w:rsidR="00ED6C83" w:rsidRPr="005103A1">
        <w:rPr>
          <w:rFonts w:asciiTheme="majorBidi" w:hAnsiTheme="majorBidi" w:cstheme="majorBidi"/>
        </w:rPr>
        <w:t xml:space="preserve"> </w:t>
      </w:r>
      <w:r w:rsidR="007567DA" w:rsidRPr="005103A1">
        <w:rPr>
          <w:rFonts w:asciiTheme="majorBidi" w:hAnsiTheme="majorBidi" w:cstheme="majorBidi"/>
        </w:rPr>
        <w:t xml:space="preserve">EU </w:t>
      </w:r>
      <w:r w:rsidR="00ED6C83" w:rsidRPr="005103A1">
        <w:rPr>
          <w:rFonts w:asciiTheme="majorBidi" w:hAnsiTheme="majorBidi" w:cstheme="majorBidi"/>
        </w:rPr>
        <w:t>firm</w:t>
      </w:r>
      <w:r w:rsidR="007567DA" w:rsidRPr="005103A1">
        <w:rPr>
          <w:rFonts w:asciiTheme="majorBidi" w:hAnsiTheme="majorBidi" w:cstheme="majorBidi"/>
        </w:rPr>
        <w:t>s</w:t>
      </w:r>
      <w:r w:rsidR="00ED6C83" w:rsidRPr="005103A1">
        <w:rPr>
          <w:rFonts w:asciiTheme="majorBidi" w:hAnsiTheme="majorBidi" w:cstheme="majorBidi"/>
        </w:rPr>
        <w:t xml:space="preserve"> to </w:t>
      </w:r>
      <w:r w:rsidR="00ED6C83" w:rsidRPr="005103A1">
        <w:rPr>
          <w:rFonts w:asciiTheme="majorBidi" w:hAnsiTheme="majorBidi" w:cstheme="majorBidi"/>
          <w:lang w:val="en-US"/>
        </w:rPr>
        <w:t>increase long-term growth-orientated investment</w:t>
      </w:r>
      <w:r w:rsidR="00597A2F" w:rsidRPr="005103A1">
        <w:rPr>
          <w:rFonts w:asciiTheme="majorBidi" w:hAnsiTheme="majorBidi" w:cstheme="majorBidi"/>
          <w:lang w:val="en-US"/>
        </w:rPr>
        <w:t>s</w:t>
      </w:r>
      <w:r w:rsidR="00ED6C83" w:rsidRPr="005103A1">
        <w:rPr>
          <w:rFonts w:asciiTheme="majorBidi" w:hAnsiTheme="majorBidi" w:cstheme="majorBidi"/>
          <w:lang w:val="en-US"/>
        </w:rPr>
        <w:t xml:space="preserve"> and sustainable corporate practices</w:t>
      </w:r>
      <w:r w:rsidR="007567DA" w:rsidRPr="005103A1">
        <w:rPr>
          <w:rFonts w:asciiTheme="majorBidi" w:hAnsiTheme="majorBidi" w:cstheme="majorBidi"/>
          <w:lang w:val="en-US"/>
        </w:rPr>
        <w:t>, such as those relating to achieving reductions in climate change and GHG emissions</w:t>
      </w:r>
      <w:r w:rsidR="00ED6C83" w:rsidRPr="005103A1">
        <w:rPr>
          <w:rFonts w:asciiTheme="majorBidi" w:hAnsiTheme="majorBidi" w:cstheme="majorBidi"/>
          <w:lang w:val="en-US"/>
        </w:rPr>
        <w:t xml:space="preserve"> (IFC, 2015).</w:t>
      </w:r>
      <w:r w:rsidR="00ED6C83" w:rsidRPr="005103A1">
        <w:rPr>
          <w:rFonts w:asciiTheme="majorBidi" w:hAnsiTheme="majorBidi" w:cstheme="majorBidi"/>
        </w:rPr>
        <w:t xml:space="preserve"> </w:t>
      </w:r>
      <w:r w:rsidR="007567DA" w:rsidRPr="005103A1">
        <w:rPr>
          <w:rFonts w:asciiTheme="majorBidi" w:hAnsiTheme="majorBidi" w:cstheme="majorBidi"/>
        </w:rPr>
        <w:t>Observably, m</w:t>
      </w:r>
      <w:r w:rsidR="00ED6C83" w:rsidRPr="005103A1">
        <w:rPr>
          <w:rFonts w:asciiTheme="majorBidi" w:hAnsiTheme="majorBidi" w:cstheme="majorBidi"/>
        </w:rPr>
        <w:t>any of these initiatives have been revised through the Shareholders</w:t>
      </w:r>
      <w:r w:rsidR="00D34D35" w:rsidRPr="005103A1">
        <w:rPr>
          <w:rFonts w:asciiTheme="majorBidi" w:hAnsiTheme="majorBidi" w:cstheme="majorBidi"/>
        </w:rPr>
        <w:t>’</w:t>
      </w:r>
      <w:r w:rsidR="00ED6C83" w:rsidRPr="005103A1">
        <w:rPr>
          <w:rFonts w:asciiTheme="majorBidi" w:hAnsiTheme="majorBidi" w:cstheme="majorBidi"/>
        </w:rPr>
        <w:t xml:space="preserve"> Rights Directive of the EU that has outlined, among others, </w:t>
      </w:r>
      <w:r w:rsidR="00B70305">
        <w:rPr>
          <w:rFonts w:asciiTheme="majorBidi" w:hAnsiTheme="majorBidi" w:cstheme="majorBidi"/>
        </w:rPr>
        <w:t xml:space="preserve">the provision </w:t>
      </w:r>
      <w:r w:rsidR="00396D81">
        <w:rPr>
          <w:rFonts w:asciiTheme="majorBidi" w:hAnsiTheme="majorBidi" w:cstheme="majorBidi"/>
        </w:rPr>
        <w:t>to both vote and disclose directors pay</w:t>
      </w:r>
      <w:r w:rsidR="004459AD">
        <w:rPr>
          <w:rFonts w:asciiTheme="majorBidi" w:hAnsiTheme="majorBidi" w:cstheme="majorBidi"/>
        </w:rPr>
        <w:t>.</w:t>
      </w:r>
    </w:p>
    <w:p w14:paraId="3ACFFB8D" w14:textId="77777777" w:rsidR="00FA12A0" w:rsidRPr="005103A1" w:rsidRDefault="00FA12A0" w:rsidP="002D762D">
      <w:pPr>
        <w:spacing w:after="0" w:line="240" w:lineRule="auto"/>
        <w:ind w:firstLine="720"/>
        <w:jc w:val="both"/>
        <w:rPr>
          <w:rFonts w:asciiTheme="majorBidi" w:hAnsiTheme="majorBidi" w:cstheme="majorBidi"/>
        </w:rPr>
      </w:pPr>
    </w:p>
    <w:p w14:paraId="73F4D7D0" w14:textId="77777777" w:rsidR="00BE019A" w:rsidRPr="00D86C37" w:rsidRDefault="00DC5FE6" w:rsidP="001B4950">
      <w:pPr>
        <w:pStyle w:val="ListParagraph"/>
        <w:spacing w:after="0" w:line="480" w:lineRule="auto"/>
        <w:ind w:left="0"/>
        <w:contextualSpacing w:val="0"/>
        <w:jc w:val="both"/>
        <w:rPr>
          <w:rFonts w:asciiTheme="majorBidi" w:hAnsiTheme="majorBidi" w:cstheme="majorBidi"/>
          <w:b/>
        </w:rPr>
      </w:pPr>
      <w:r w:rsidRPr="00FB3918">
        <w:rPr>
          <w:rFonts w:asciiTheme="majorBidi" w:hAnsiTheme="majorBidi" w:cstheme="majorBidi"/>
          <w:b/>
        </w:rPr>
        <w:t>L</w:t>
      </w:r>
      <w:r w:rsidR="00932A0D" w:rsidRPr="008A3C22">
        <w:rPr>
          <w:rFonts w:asciiTheme="majorBidi" w:hAnsiTheme="majorBidi" w:cstheme="majorBidi"/>
          <w:b/>
        </w:rPr>
        <w:t>iterature review</w:t>
      </w:r>
      <w:r w:rsidRPr="008A3C22">
        <w:rPr>
          <w:rFonts w:asciiTheme="majorBidi" w:hAnsiTheme="majorBidi" w:cstheme="majorBidi"/>
          <w:b/>
        </w:rPr>
        <w:t>: Theory, em</w:t>
      </w:r>
      <w:r w:rsidRPr="004F3236">
        <w:rPr>
          <w:rFonts w:asciiTheme="majorBidi" w:hAnsiTheme="majorBidi" w:cstheme="majorBidi"/>
          <w:b/>
        </w:rPr>
        <w:t>pirics and hypotheses development</w:t>
      </w:r>
    </w:p>
    <w:p w14:paraId="28587DE6" w14:textId="37AE1C26" w:rsidR="001B4950" w:rsidRPr="005103A1" w:rsidRDefault="001B4950" w:rsidP="001B4950">
      <w:pPr>
        <w:pStyle w:val="ListParagraph"/>
        <w:spacing w:after="0" w:line="480" w:lineRule="auto"/>
        <w:ind w:left="0"/>
        <w:contextualSpacing w:val="0"/>
        <w:jc w:val="both"/>
        <w:rPr>
          <w:rFonts w:asciiTheme="majorBidi" w:hAnsiTheme="majorBidi" w:cstheme="majorBidi"/>
          <w:b/>
          <w:bCs/>
          <w:i/>
          <w:iCs/>
        </w:rPr>
      </w:pPr>
      <w:r w:rsidRPr="005103A1">
        <w:rPr>
          <w:rFonts w:asciiTheme="majorBidi" w:hAnsiTheme="majorBidi" w:cstheme="majorBidi"/>
          <w:b/>
          <w:bCs/>
          <w:i/>
          <w:iCs/>
        </w:rPr>
        <w:t>N</w:t>
      </w:r>
      <w:r w:rsidR="00D8641B" w:rsidRPr="005103A1">
        <w:rPr>
          <w:rFonts w:asciiTheme="majorBidi" w:hAnsiTheme="majorBidi" w:cstheme="majorBidi"/>
          <w:b/>
          <w:bCs/>
          <w:i/>
          <w:iCs/>
        </w:rPr>
        <w:t>IT Perspective</w:t>
      </w:r>
      <w:r w:rsidRPr="005103A1">
        <w:rPr>
          <w:rFonts w:asciiTheme="majorBidi" w:hAnsiTheme="majorBidi" w:cstheme="majorBidi"/>
          <w:b/>
          <w:bCs/>
          <w:i/>
          <w:iCs/>
        </w:rPr>
        <w:t xml:space="preserve"> for</w:t>
      </w:r>
      <w:r w:rsidR="000B666D" w:rsidRPr="005103A1">
        <w:rPr>
          <w:rFonts w:asciiTheme="majorBidi" w:hAnsiTheme="majorBidi" w:cstheme="majorBidi"/>
          <w:b/>
          <w:bCs/>
          <w:i/>
          <w:iCs/>
        </w:rPr>
        <w:t xml:space="preserve"> CP</w:t>
      </w:r>
    </w:p>
    <w:p w14:paraId="65E2A94F" w14:textId="74D995FD" w:rsidR="001B4950" w:rsidRPr="005103A1" w:rsidRDefault="00941865" w:rsidP="008D7B6D">
      <w:pPr>
        <w:spacing w:after="0" w:line="480" w:lineRule="auto"/>
        <w:jc w:val="both"/>
        <w:rPr>
          <w:rFonts w:asciiTheme="majorBidi" w:hAnsiTheme="majorBidi" w:cstheme="majorBidi"/>
        </w:rPr>
      </w:pPr>
      <w:r w:rsidRPr="005103A1">
        <w:rPr>
          <w:rFonts w:asciiTheme="majorBidi" w:hAnsiTheme="majorBidi" w:cstheme="majorBidi"/>
        </w:rPr>
        <w:tab/>
      </w:r>
      <w:r w:rsidR="001B4950" w:rsidRPr="005103A1">
        <w:rPr>
          <w:rFonts w:asciiTheme="majorBidi" w:hAnsiTheme="majorBidi" w:cstheme="majorBidi"/>
        </w:rPr>
        <w:t>Although the extant literature has employed several economic</w:t>
      </w:r>
      <w:r w:rsidR="00E04BB2" w:rsidRPr="005103A1">
        <w:rPr>
          <w:rFonts w:asciiTheme="majorBidi" w:hAnsiTheme="majorBidi" w:cstheme="majorBidi"/>
        </w:rPr>
        <w:t>-</w:t>
      </w:r>
      <w:r w:rsidR="001B4950" w:rsidRPr="005103A1">
        <w:rPr>
          <w:rFonts w:asciiTheme="majorBidi" w:hAnsiTheme="majorBidi" w:cstheme="majorBidi"/>
        </w:rPr>
        <w:t xml:space="preserve"> (agency and resource dependence) and socio</w:t>
      </w:r>
      <w:r w:rsidR="00E04BB2" w:rsidRPr="005103A1">
        <w:rPr>
          <w:rFonts w:asciiTheme="majorBidi" w:hAnsiTheme="majorBidi" w:cstheme="majorBidi"/>
        </w:rPr>
        <w:t>-based</w:t>
      </w:r>
      <w:r w:rsidR="001B4950" w:rsidRPr="005103A1">
        <w:rPr>
          <w:rFonts w:asciiTheme="majorBidi" w:hAnsiTheme="majorBidi" w:cstheme="majorBidi"/>
        </w:rPr>
        <w:t xml:space="preserve"> (legitimacy and stakeholder) theories to explain the links among </w:t>
      </w:r>
      <w:r w:rsidR="00E905D1" w:rsidRPr="005103A1">
        <w:rPr>
          <w:rFonts w:asciiTheme="majorBidi" w:hAnsiTheme="majorBidi" w:cstheme="majorBidi"/>
        </w:rPr>
        <w:t>CP</w:t>
      </w:r>
      <w:r w:rsidR="001B4950" w:rsidRPr="005103A1">
        <w:rPr>
          <w:rFonts w:asciiTheme="majorBidi" w:hAnsiTheme="majorBidi" w:cstheme="majorBidi"/>
        </w:rPr>
        <w:t xml:space="preserve">, </w:t>
      </w:r>
      <w:r w:rsidR="00E905D1" w:rsidRPr="005103A1">
        <w:rPr>
          <w:rFonts w:asciiTheme="majorBidi" w:hAnsiTheme="majorBidi" w:cstheme="majorBidi"/>
        </w:rPr>
        <w:t>EC</w:t>
      </w:r>
      <w:r w:rsidR="001B4950" w:rsidRPr="005103A1">
        <w:rPr>
          <w:rFonts w:asciiTheme="majorBidi" w:hAnsiTheme="majorBidi" w:cstheme="majorBidi"/>
        </w:rPr>
        <w:t xml:space="preserve">, </w:t>
      </w:r>
      <w:r w:rsidR="00E905D1" w:rsidRPr="005103A1">
        <w:rPr>
          <w:rFonts w:asciiTheme="majorBidi" w:hAnsiTheme="majorBidi" w:cstheme="majorBidi"/>
        </w:rPr>
        <w:t>CG</w:t>
      </w:r>
      <w:r w:rsidR="001B4950" w:rsidRPr="005103A1">
        <w:rPr>
          <w:rFonts w:asciiTheme="majorBidi" w:hAnsiTheme="majorBidi" w:cstheme="majorBidi"/>
        </w:rPr>
        <w:t xml:space="preserve"> and </w:t>
      </w:r>
      <w:r w:rsidR="00E905D1" w:rsidRPr="005103A1">
        <w:rPr>
          <w:rFonts w:asciiTheme="majorBidi" w:hAnsiTheme="majorBidi" w:cstheme="majorBidi"/>
        </w:rPr>
        <w:t>MV</w:t>
      </w:r>
      <w:r w:rsidR="001B4950" w:rsidRPr="005103A1">
        <w:rPr>
          <w:rFonts w:asciiTheme="majorBidi" w:hAnsiTheme="majorBidi" w:cstheme="majorBidi"/>
        </w:rPr>
        <w:t>, we apply NIT in this study for three reasons. First and as elaborate</w:t>
      </w:r>
      <w:r w:rsidR="0060569F">
        <w:rPr>
          <w:rFonts w:asciiTheme="majorBidi" w:hAnsiTheme="majorBidi" w:cstheme="majorBidi"/>
        </w:rPr>
        <w:t>d</w:t>
      </w:r>
      <w:r w:rsidR="001B4950" w:rsidRPr="005103A1">
        <w:rPr>
          <w:rFonts w:asciiTheme="majorBidi" w:hAnsiTheme="majorBidi" w:cstheme="majorBidi"/>
        </w:rPr>
        <w:t xml:space="preserve"> further, NIT is a multi-dimensional and all-encompassing theory that is able to directly </w:t>
      </w:r>
      <w:r w:rsidR="00E72BA9">
        <w:rPr>
          <w:rFonts w:asciiTheme="majorBidi" w:hAnsiTheme="majorBidi" w:cstheme="majorBidi"/>
        </w:rPr>
        <w:t>and/</w:t>
      </w:r>
      <w:r w:rsidR="001B4950" w:rsidRPr="005103A1">
        <w:rPr>
          <w:rFonts w:asciiTheme="majorBidi" w:hAnsiTheme="majorBidi" w:cstheme="majorBidi"/>
        </w:rPr>
        <w:t xml:space="preserve">or indirectly capture both </w:t>
      </w:r>
      <w:r w:rsidR="008054F6">
        <w:rPr>
          <w:rFonts w:asciiTheme="majorBidi" w:hAnsiTheme="majorBidi" w:cstheme="majorBidi"/>
        </w:rPr>
        <w:t xml:space="preserve">traditional </w:t>
      </w:r>
      <w:r w:rsidR="001B4950" w:rsidRPr="005103A1">
        <w:rPr>
          <w:rFonts w:asciiTheme="majorBidi" w:hAnsiTheme="majorBidi" w:cstheme="majorBidi"/>
        </w:rPr>
        <w:t>economic (agency</w:t>
      </w:r>
      <w:r w:rsidR="00D54AE2">
        <w:rPr>
          <w:rFonts w:asciiTheme="majorBidi" w:hAnsiTheme="majorBidi" w:cstheme="majorBidi"/>
        </w:rPr>
        <w:t>/</w:t>
      </w:r>
      <w:r w:rsidR="001B4950" w:rsidRPr="005103A1">
        <w:rPr>
          <w:rFonts w:asciiTheme="majorBidi" w:hAnsiTheme="majorBidi" w:cstheme="majorBidi"/>
        </w:rPr>
        <w:t>resource dependence theor</w:t>
      </w:r>
      <w:r w:rsidR="00D54AE2">
        <w:rPr>
          <w:rFonts w:asciiTheme="majorBidi" w:hAnsiTheme="majorBidi" w:cstheme="majorBidi"/>
        </w:rPr>
        <w:t>y</w:t>
      </w:r>
      <w:r w:rsidR="001B4950" w:rsidRPr="005103A1">
        <w:rPr>
          <w:rFonts w:asciiTheme="majorBidi" w:hAnsiTheme="majorBidi" w:cstheme="majorBidi"/>
        </w:rPr>
        <w:t xml:space="preserve">) </w:t>
      </w:r>
      <w:r w:rsidR="001B4950" w:rsidRPr="00FB3918">
        <w:rPr>
          <w:rFonts w:asciiTheme="majorBidi" w:hAnsiTheme="majorBidi" w:cstheme="majorBidi"/>
        </w:rPr>
        <w:t>(DiMaggio and Powell, 1983;</w:t>
      </w:r>
      <w:r w:rsidR="001B4950" w:rsidRPr="008A3C22">
        <w:rPr>
          <w:rFonts w:asciiTheme="majorBidi" w:hAnsiTheme="majorBidi" w:cstheme="majorBidi"/>
        </w:rPr>
        <w:t xml:space="preserve"> Meyer and Rowan, 1</w:t>
      </w:r>
      <w:r w:rsidR="001B4950" w:rsidRPr="004F3236">
        <w:rPr>
          <w:rFonts w:asciiTheme="majorBidi" w:hAnsiTheme="majorBidi" w:cstheme="majorBidi"/>
        </w:rPr>
        <w:t>977</w:t>
      </w:r>
      <w:r w:rsidR="001B4950" w:rsidRPr="006C1347">
        <w:rPr>
          <w:rFonts w:asciiTheme="majorBidi" w:hAnsiTheme="majorBidi" w:cstheme="majorBidi"/>
        </w:rPr>
        <w:t>)</w:t>
      </w:r>
      <w:r w:rsidR="00D54AE2">
        <w:rPr>
          <w:rFonts w:asciiTheme="majorBidi" w:hAnsiTheme="majorBidi" w:cstheme="majorBidi"/>
        </w:rPr>
        <w:t xml:space="preserve"> and social (legitimacy/</w:t>
      </w:r>
      <w:r w:rsidR="001B4950" w:rsidRPr="005103A1">
        <w:rPr>
          <w:rFonts w:asciiTheme="majorBidi" w:hAnsiTheme="majorBidi" w:cstheme="majorBidi"/>
        </w:rPr>
        <w:t>stakeholder theor</w:t>
      </w:r>
      <w:r w:rsidR="00D54AE2">
        <w:rPr>
          <w:rFonts w:asciiTheme="majorBidi" w:hAnsiTheme="majorBidi" w:cstheme="majorBidi"/>
        </w:rPr>
        <w:t>y</w:t>
      </w:r>
      <w:r w:rsidR="001B4950" w:rsidRPr="005103A1">
        <w:rPr>
          <w:rFonts w:asciiTheme="majorBidi" w:hAnsiTheme="majorBidi" w:cstheme="majorBidi"/>
        </w:rPr>
        <w:t xml:space="preserve">) </w:t>
      </w:r>
      <w:r w:rsidR="0080357A">
        <w:rPr>
          <w:rFonts w:asciiTheme="majorBidi" w:hAnsiTheme="majorBidi" w:cstheme="majorBidi"/>
        </w:rPr>
        <w:t xml:space="preserve">theoretical </w:t>
      </w:r>
      <w:r w:rsidR="001B4950" w:rsidRPr="005103A1">
        <w:rPr>
          <w:rFonts w:asciiTheme="majorBidi" w:hAnsiTheme="majorBidi" w:cstheme="majorBidi"/>
        </w:rPr>
        <w:t>predictions simultaneously (</w:t>
      </w:r>
      <w:proofErr w:type="spellStart"/>
      <w:r w:rsidR="001B4950" w:rsidRPr="00FB3918">
        <w:rPr>
          <w:rFonts w:asciiTheme="majorBidi" w:hAnsiTheme="majorBidi" w:cstheme="majorBidi"/>
        </w:rPr>
        <w:t>Ashforth</w:t>
      </w:r>
      <w:proofErr w:type="spellEnd"/>
      <w:r w:rsidR="001B4950" w:rsidRPr="00FB3918">
        <w:rPr>
          <w:rFonts w:asciiTheme="majorBidi" w:hAnsiTheme="majorBidi" w:cstheme="majorBidi"/>
        </w:rPr>
        <w:t xml:space="preserve"> and Gibbs, 1990; </w:t>
      </w:r>
      <w:proofErr w:type="spellStart"/>
      <w:r w:rsidR="001B4950" w:rsidRPr="008A3C22">
        <w:rPr>
          <w:rFonts w:asciiTheme="majorBidi" w:hAnsiTheme="majorBidi" w:cstheme="majorBidi"/>
        </w:rPr>
        <w:t>Suchman</w:t>
      </w:r>
      <w:proofErr w:type="spellEnd"/>
      <w:r w:rsidR="001B4950" w:rsidRPr="008A3C22">
        <w:rPr>
          <w:rFonts w:asciiTheme="majorBidi" w:hAnsiTheme="majorBidi" w:cstheme="majorBidi"/>
        </w:rPr>
        <w:t xml:space="preserve">, 1995). Second and more importantly, our current study seeks to explore </w:t>
      </w:r>
      <w:r w:rsidR="00C4131F" w:rsidRPr="004F3236">
        <w:rPr>
          <w:rFonts w:asciiTheme="majorBidi" w:hAnsiTheme="majorBidi" w:cstheme="majorBidi"/>
        </w:rPr>
        <w:t xml:space="preserve">complex and </w:t>
      </w:r>
      <w:r w:rsidR="001B4950" w:rsidRPr="005103A1">
        <w:rPr>
          <w:rFonts w:asciiTheme="majorBidi" w:hAnsiTheme="majorBidi" w:cstheme="majorBidi"/>
        </w:rPr>
        <w:t>multi</w:t>
      </w:r>
      <w:r w:rsidR="00C4131F" w:rsidRPr="005103A1">
        <w:rPr>
          <w:rFonts w:asciiTheme="majorBidi" w:hAnsiTheme="majorBidi" w:cstheme="majorBidi"/>
        </w:rPr>
        <w:t>-</w:t>
      </w:r>
      <w:r w:rsidR="001B4950" w:rsidRPr="005103A1">
        <w:rPr>
          <w:rFonts w:asciiTheme="majorBidi" w:hAnsiTheme="majorBidi" w:cstheme="majorBidi"/>
        </w:rPr>
        <w:t xml:space="preserve">dimensional relationships among </w:t>
      </w:r>
      <w:r w:rsidR="008D7B6D" w:rsidRPr="005103A1">
        <w:rPr>
          <w:rFonts w:asciiTheme="majorBidi" w:hAnsiTheme="majorBidi" w:cstheme="majorBidi"/>
        </w:rPr>
        <w:t>EC</w:t>
      </w:r>
      <w:r w:rsidR="001B4950" w:rsidRPr="005103A1">
        <w:rPr>
          <w:rFonts w:asciiTheme="majorBidi" w:hAnsiTheme="majorBidi" w:cstheme="majorBidi"/>
        </w:rPr>
        <w:t xml:space="preserve">, </w:t>
      </w:r>
      <w:r w:rsidR="00A460DD" w:rsidRPr="005103A1">
        <w:rPr>
          <w:rFonts w:asciiTheme="majorBidi" w:hAnsiTheme="majorBidi" w:cstheme="majorBidi"/>
        </w:rPr>
        <w:t xml:space="preserve">ESG-based </w:t>
      </w:r>
      <w:r w:rsidR="001B4950" w:rsidRPr="005103A1">
        <w:rPr>
          <w:rFonts w:asciiTheme="majorBidi" w:hAnsiTheme="majorBidi" w:cstheme="majorBidi"/>
        </w:rPr>
        <w:t xml:space="preserve">sustainable compensation policy, </w:t>
      </w:r>
      <w:r w:rsidR="00C07F0C">
        <w:rPr>
          <w:rFonts w:asciiTheme="majorBidi" w:hAnsiTheme="majorBidi" w:cstheme="majorBidi"/>
        </w:rPr>
        <w:t>process</w:t>
      </w:r>
      <w:r w:rsidR="00F371E8">
        <w:rPr>
          <w:rFonts w:asciiTheme="majorBidi" w:hAnsiTheme="majorBidi" w:cstheme="majorBidi"/>
        </w:rPr>
        <w:t>-</w:t>
      </w:r>
      <w:r w:rsidR="00C07F0C">
        <w:rPr>
          <w:rFonts w:asciiTheme="majorBidi" w:hAnsiTheme="majorBidi" w:cstheme="majorBidi"/>
        </w:rPr>
        <w:t xml:space="preserve">oriented (symbolic) and actual (substantive) </w:t>
      </w:r>
      <w:r w:rsidR="008D7B6D" w:rsidRPr="005103A1">
        <w:rPr>
          <w:rFonts w:asciiTheme="majorBidi" w:hAnsiTheme="majorBidi" w:cstheme="majorBidi"/>
        </w:rPr>
        <w:t>CP</w:t>
      </w:r>
      <w:r w:rsidR="001B4950" w:rsidRPr="005103A1">
        <w:rPr>
          <w:rFonts w:asciiTheme="majorBidi" w:hAnsiTheme="majorBidi" w:cstheme="majorBidi"/>
        </w:rPr>
        <w:t xml:space="preserve"> and </w:t>
      </w:r>
      <w:r w:rsidR="008D7B6D" w:rsidRPr="005103A1">
        <w:rPr>
          <w:rFonts w:asciiTheme="majorBidi" w:hAnsiTheme="majorBidi" w:cstheme="majorBidi"/>
        </w:rPr>
        <w:t>MV</w:t>
      </w:r>
      <w:r w:rsidR="001B4950" w:rsidRPr="005103A1">
        <w:rPr>
          <w:rFonts w:asciiTheme="majorBidi" w:hAnsiTheme="majorBidi" w:cstheme="majorBidi"/>
        </w:rPr>
        <w:t xml:space="preserve">, which inherently involves multiple institutions and stakeholders with divergent interests. </w:t>
      </w:r>
      <w:r w:rsidR="00784776" w:rsidRPr="005103A1">
        <w:rPr>
          <w:rFonts w:asciiTheme="majorBidi" w:hAnsiTheme="majorBidi" w:cstheme="majorBidi"/>
        </w:rPr>
        <w:t>Therefore, w</w:t>
      </w:r>
      <w:r w:rsidR="001B4950" w:rsidRPr="005103A1">
        <w:rPr>
          <w:rFonts w:asciiTheme="majorBidi" w:hAnsiTheme="majorBidi" w:cstheme="majorBidi"/>
        </w:rPr>
        <w:t xml:space="preserve">e argue that as a </w:t>
      </w:r>
      <w:r w:rsidR="000627BE">
        <w:rPr>
          <w:rFonts w:asciiTheme="majorBidi" w:hAnsiTheme="majorBidi" w:cstheme="majorBidi"/>
        </w:rPr>
        <w:t xml:space="preserve">robust </w:t>
      </w:r>
      <w:r w:rsidR="001B4950" w:rsidRPr="005103A1">
        <w:rPr>
          <w:rFonts w:asciiTheme="majorBidi" w:hAnsiTheme="majorBidi" w:cstheme="majorBidi"/>
        </w:rPr>
        <w:t>multi-dimensional and all-encompassing theory, NIT is naturally the most appropriate theoretical framework to adopt to conduct our analysis</w:t>
      </w:r>
      <w:r w:rsidR="00252F2B">
        <w:rPr>
          <w:rFonts w:asciiTheme="majorBidi" w:hAnsiTheme="majorBidi" w:cstheme="majorBidi"/>
        </w:rPr>
        <w:t xml:space="preserve"> involving both symbolic (legitimisation) and substantive (efficiency) constructs</w:t>
      </w:r>
      <w:r w:rsidR="001B4950" w:rsidRPr="005103A1">
        <w:rPr>
          <w:rFonts w:asciiTheme="majorBidi" w:hAnsiTheme="majorBidi" w:cstheme="majorBidi"/>
        </w:rPr>
        <w:t>. Finally, there has been increasing calls (</w:t>
      </w:r>
      <w:r w:rsidR="001B4950" w:rsidRPr="00FB3918">
        <w:rPr>
          <w:rFonts w:asciiTheme="majorBidi" w:hAnsiTheme="majorBidi" w:cstheme="majorBidi"/>
        </w:rPr>
        <w:t xml:space="preserve">Aguilera, 2005; Aguilera </w:t>
      </w:r>
      <w:r w:rsidR="001B4950" w:rsidRPr="008A3C22">
        <w:rPr>
          <w:rFonts w:asciiTheme="majorBidi" w:hAnsiTheme="majorBidi" w:cstheme="majorBidi"/>
          <w:i/>
          <w:iCs/>
        </w:rPr>
        <w:t>et al</w:t>
      </w:r>
      <w:r w:rsidR="001B4950" w:rsidRPr="008A3C22">
        <w:rPr>
          <w:rFonts w:asciiTheme="majorBidi" w:hAnsiTheme="majorBidi" w:cstheme="majorBidi"/>
        </w:rPr>
        <w:t>., 2007)</w:t>
      </w:r>
      <w:r w:rsidR="001B4950" w:rsidRPr="005103A1">
        <w:rPr>
          <w:rFonts w:asciiTheme="majorBidi" w:hAnsiTheme="majorBidi" w:cstheme="majorBidi"/>
        </w:rPr>
        <w:t xml:space="preserve"> for alternative theories to traditional ones to </w:t>
      </w:r>
      <w:r w:rsidR="001B4950" w:rsidRPr="005103A1">
        <w:rPr>
          <w:rFonts w:asciiTheme="majorBidi" w:hAnsiTheme="majorBidi" w:cstheme="majorBidi"/>
        </w:rPr>
        <w:lastRenderedPageBreak/>
        <w:t xml:space="preserve">be employed in order to offer new insights that can further advance theoretical </w:t>
      </w:r>
      <w:r w:rsidR="00B32898">
        <w:rPr>
          <w:rFonts w:asciiTheme="majorBidi" w:hAnsiTheme="majorBidi" w:cstheme="majorBidi"/>
        </w:rPr>
        <w:t>insights</w:t>
      </w:r>
      <w:r w:rsidR="001D4917">
        <w:rPr>
          <w:rFonts w:asciiTheme="majorBidi" w:hAnsiTheme="majorBidi" w:cstheme="majorBidi"/>
        </w:rPr>
        <w:t>/improvements</w:t>
      </w:r>
      <w:r w:rsidR="001B4950" w:rsidRPr="005103A1">
        <w:rPr>
          <w:rFonts w:asciiTheme="majorBidi" w:hAnsiTheme="majorBidi" w:cstheme="majorBidi"/>
        </w:rPr>
        <w:t>. Our current study is</w:t>
      </w:r>
      <w:r w:rsidR="00784776" w:rsidRPr="005103A1">
        <w:rPr>
          <w:rFonts w:asciiTheme="majorBidi" w:hAnsiTheme="majorBidi" w:cstheme="majorBidi"/>
        </w:rPr>
        <w:t>, thus,</w:t>
      </w:r>
      <w:r w:rsidR="001B4950" w:rsidRPr="005103A1">
        <w:rPr>
          <w:rFonts w:asciiTheme="majorBidi" w:hAnsiTheme="majorBidi" w:cstheme="majorBidi"/>
        </w:rPr>
        <w:t xml:space="preserve"> a direct response to such calls.</w:t>
      </w:r>
    </w:p>
    <w:p w14:paraId="0C1A281B" w14:textId="33E071B3" w:rsidR="001B4950" w:rsidRPr="005103A1" w:rsidRDefault="00E72BA9" w:rsidP="00F21DF3">
      <w:pPr>
        <w:spacing w:after="0" w:line="480" w:lineRule="auto"/>
        <w:jc w:val="both"/>
        <w:rPr>
          <w:rFonts w:asciiTheme="majorBidi" w:hAnsiTheme="majorBidi" w:cstheme="majorBidi"/>
          <w:bCs/>
        </w:rPr>
      </w:pPr>
      <w:r>
        <w:rPr>
          <w:rFonts w:asciiTheme="majorBidi" w:hAnsiTheme="majorBidi" w:cstheme="majorBidi"/>
          <w:bCs/>
        </w:rPr>
        <w:tab/>
        <w:t>Meanwhile NIT</w:t>
      </w:r>
      <w:r w:rsidR="001B4950" w:rsidRPr="00FB3918">
        <w:rPr>
          <w:rFonts w:asciiTheme="majorBidi" w:hAnsiTheme="majorBidi" w:cstheme="majorBidi"/>
          <w:bCs/>
        </w:rPr>
        <w:t xml:space="preserve"> scholars (</w:t>
      </w:r>
      <w:r w:rsidR="001B4950" w:rsidRPr="004F3236">
        <w:rPr>
          <w:rFonts w:asciiTheme="majorBidi" w:hAnsiTheme="majorBidi" w:cstheme="majorBidi"/>
        </w:rPr>
        <w:t>North, 1991; Powell and DiMaggio,</w:t>
      </w:r>
      <w:r w:rsidR="001B4950" w:rsidRPr="00D86C37">
        <w:rPr>
          <w:rFonts w:asciiTheme="majorBidi" w:hAnsiTheme="majorBidi" w:cstheme="majorBidi"/>
        </w:rPr>
        <w:t xml:space="preserve"> 1991</w:t>
      </w:r>
      <w:r w:rsidR="001B4950" w:rsidRPr="005103A1">
        <w:rPr>
          <w:rFonts w:asciiTheme="majorBidi" w:hAnsiTheme="majorBidi" w:cstheme="majorBidi"/>
          <w:bCs/>
        </w:rPr>
        <w:t xml:space="preserve">) have defined the notion of ‘institution’ as economic and social practices, norms and beliefs relating to varied parts of </w:t>
      </w:r>
      <w:r w:rsidR="003E7ACB">
        <w:rPr>
          <w:rFonts w:asciiTheme="majorBidi" w:hAnsiTheme="majorBidi" w:cstheme="majorBidi"/>
          <w:bCs/>
        </w:rPr>
        <w:t>society (religion/politics/</w:t>
      </w:r>
      <w:r w:rsidR="001B4950" w:rsidRPr="005103A1">
        <w:rPr>
          <w:rFonts w:asciiTheme="majorBidi" w:hAnsiTheme="majorBidi" w:cstheme="majorBidi"/>
          <w:bCs/>
        </w:rPr>
        <w:t xml:space="preserve">law) that are widely accepted. </w:t>
      </w:r>
      <w:r w:rsidR="00A255C9" w:rsidRPr="005103A1">
        <w:rPr>
          <w:rFonts w:asciiTheme="majorBidi" w:hAnsiTheme="majorBidi" w:cstheme="majorBidi"/>
          <w:bCs/>
        </w:rPr>
        <w:t xml:space="preserve">Discernibly, </w:t>
      </w:r>
      <w:r w:rsidR="006E5D9A">
        <w:rPr>
          <w:rFonts w:asciiTheme="majorBidi" w:hAnsiTheme="majorBidi" w:cstheme="majorBidi"/>
          <w:bCs/>
        </w:rPr>
        <w:t>‘</w:t>
      </w:r>
      <w:r w:rsidR="00A255C9" w:rsidRPr="005103A1">
        <w:rPr>
          <w:rFonts w:asciiTheme="majorBidi" w:hAnsiTheme="majorBidi" w:cstheme="majorBidi"/>
          <w:bCs/>
        </w:rPr>
        <w:t>e</w:t>
      </w:r>
      <w:r w:rsidR="001B4950" w:rsidRPr="005103A1">
        <w:rPr>
          <w:rFonts w:asciiTheme="majorBidi" w:hAnsiTheme="majorBidi" w:cstheme="majorBidi"/>
          <w:bCs/>
        </w:rPr>
        <w:t>conomic institutions</w:t>
      </w:r>
      <w:r w:rsidR="006E5D9A">
        <w:rPr>
          <w:rFonts w:asciiTheme="majorBidi" w:hAnsiTheme="majorBidi" w:cstheme="majorBidi"/>
          <w:bCs/>
        </w:rPr>
        <w:t>’</w:t>
      </w:r>
      <w:r w:rsidR="001B4950" w:rsidRPr="005103A1">
        <w:rPr>
          <w:rFonts w:asciiTheme="majorBidi" w:hAnsiTheme="majorBidi" w:cstheme="majorBidi"/>
          <w:bCs/>
        </w:rPr>
        <w:t xml:space="preserve"> can be formal</w:t>
      </w:r>
      <w:r w:rsidR="003D67FF">
        <w:rPr>
          <w:rFonts w:asciiTheme="majorBidi" w:hAnsiTheme="majorBidi" w:cstheme="majorBidi"/>
          <w:bCs/>
        </w:rPr>
        <w:t xml:space="preserve"> (</w:t>
      </w:r>
      <w:r w:rsidR="001B4950" w:rsidRPr="005103A1">
        <w:rPr>
          <w:rFonts w:asciiTheme="majorBidi" w:hAnsiTheme="majorBidi" w:cstheme="majorBidi"/>
          <w:bCs/>
        </w:rPr>
        <w:t>statutes</w:t>
      </w:r>
      <w:r w:rsidR="00F21DF3" w:rsidRPr="005103A1">
        <w:rPr>
          <w:rFonts w:asciiTheme="majorBidi" w:hAnsiTheme="majorBidi" w:cstheme="majorBidi"/>
          <w:bCs/>
        </w:rPr>
        <w:t>/</w:t>
      </w:r>
      <w:r w:rsidR="001B4950" w:rsidRPr="005103A1">
        <w:rPr>
          <w:rFonts w:asciiTheme="majorBidi" w:hAnsiTheme="majorBidi" w:cstheme="majorBidi"/>
          <w:bCs/>
        </w:rPr>
        <w:t>rules</w:t>
      </w:r>
      <w:r w:rsidR="003D67FF">
        <w:rPr>
          <w:rFonts w:asciiTheme="majorBidi" w:hAnsiTheme="majorBidi" w:cstheme="majorBidi"/>
          <w:bCs/>
        </w:rPr>
        <w:t>), but also informal (norms/</w:t>
      </w:r>
      <w:r w:rsidR="001B4950" w:rsidRPr="005103A1">
        <w:rPr>
          <w:rFonts w:asciiTheme="majorBidi" w:hAnsiTheme="majorBidi" w:cstheme="majorBidi"/>
          <w:bCs/>
        </w:rPr>
        <w:t>conventions</w:t>
      </w:r>
      <w:r w:rsidR="003D67FF">
        <w:rPr>
          <w:rFonts w:asciiTheme="majorBidi" w:hAnsiTheme="majorBidi" w:cstheme="majorBidi"/>
          <w:bCs/>
        </w:rPr>
        <w:t>)</w:t>
      </w:r>
      <w:r w:rsidR="001B4950" w:rsidRPr="005103A1">
        <w:rPr>
          <w:rFonts w:asciiTheme="majorBidi" w:hAnsiTheme="majorBidi" w:cstheme="majorBidi"/>
          <w:bCs/>
        </w:rPr>
        <w:t>. In this case, scholars (North, 1991; Scott, 2001) contend that the central focus of</w:t>
      </w:r>
      <w:r w:rsidR="00242757">
        <w:rPr>
          <w:rFonts w:asciiTheme="majorBidi" w:hAnsiTheme="majorBidi" w:cstheme="majorBidi"/>
          <w:bCs/>
        </w:rPr>
        <w:t xml:space="preserve"> economic institutions (companies/countries/</w:t>
      </w:r>
      <w:r w:rsidR="001B4950" w:rsidRPr="005103A1">
        <w:rPr>
          <w:rFonts w:asciiTheme="majorBidi" w:hAnsiTheme="majorBidi" w:cstheme="majorBidi"/>
          <w:bCs/>
        </w:rPr>
        <w:t>individuals</w:t>
      </w:r>
      <w:r w:rsidR="00242757">
        <w:rPr>
          <w:rFonts w:asciiTheme="majorBidi" w:hAnsiTheme="majorBidi" w:cstheme="majorBidi"/>
          <w:bCs/>
        </w:rPr>
        <w:t>/groups)</w:t>
      </w:r>
      <w:r w:rsidR="001B4950" w:rsidRPr="005103A1">
        <w:rPr>
          <w:rFonts w:asciiTheme="majorBidi" w:hAnsiTheme="majorBidi" w:cstheme="majorBidi"/>
          <w:bCs/>
        </w:rPr>
        <w:t xml:space="preserve"> tends to be about maximising economic growth. Therefore, economic-oriented </w:t>
      </w:r>
      <w:r w:rsidR="00CF5F4D" w:rsidRPr="005103A1">
        <w:rPr>
          <w:rFonts w:asciiTheme="majorBidi" w:hAnsiTheme="majorBidi" w:cstheme="majorBidi"/>
          <w:bCs/>
        </w:rPr>
        <w:t>NIT</w:t>
      </w:r>
      <w:r w:rsidR="001B4950" w:rsidRPr="005103A1">
        <w:rPr>
          <w:rFonts w:asciiTheme="majorBidi" w:hAnsiTheme="majorBidi" w:cstheme="majorBidi"/>
          <w:bCs/>
        </w:rPr>
        <w:t xml:space="preserve"> can be directly related to notions of ‘economic efficiency’ (Ntim </w:t>
      </w:r>
      <w:r w:rsidR="00570B07" w:rsidRPr="005103A1">
        <w:rPr>
          <w:rFonts w:asciiTheme="majorBidi" w:hAnsiTheme="majorBidi" w:cstheme="majorBidi"/>
          <w:bCs/>
        </w:rPr>
        <w:t>and Soobaroyen</w:t>
      </w:r>
      <w:r w:rsidR="001B4950" w:rsidRPr="005103A1">
        <w:rPr>
          <w:rFonts w:asciiTheme="majorBidi" w:hAnsiTheme="majorBidi" w:cstheme="majorBidi"/>
          <w:bCs/>
        </w:rPr>
        <w:t>, 2013)</w:t>
      </w:r>
      <w:r w:rsidR="00014389" w:rsidRPr="005103A1">
        <w:rPr>
          <w:rFonts w:asciiTheme="majorBidi" w:hAnsiTheme="majorBidi" w:cstheme="majorBidi"/>
          <w:bCs/>
        </w:rPr>
        <w:t>/</w:t>
      </w:r>
      <w:r w:rsidR="001B4950" w:rsidRPr="005103A1">
        <w:rPr>
          <w:rFonts w:asciiTheme="majorBidi" w:hAnsiTheme="majorBidi" w:cstheme="majorBidi"/>
          <w:bCs/>
        </w:rPr>
        <w:t xml:space="preserve">‘instrumentality’ (Aguilera </w:t>
      </w:r>
      <w:r w:rsidR="001B4950" w:rsidRPr="005103A1">
        <w:rPr>
          <w:rFonts w:asciiTheme="majorBidi" w:hAnsiTheme="majorBidi" w:cstheme="majorBidi"/>
          <w:bCs/>
          <w:i/>
          <w:iCs/>
        </w:rPr>
        <w:t>et al</w:t>
      </w:r>
      <w:r w:rsidR="001B4950" w:rsidRPr="00FB3918">
        <w:rPr>
          <w:rFonts w:asciiTheme="majorBidi" w:hAnsiTheme="majorBidi" w:cstheme="majorBidi"/>
          <w:bCs/>
        </w:rPr>
        <w:t>., 2007)</w:t>
      </w:r>
      <w:r w:rsidR="00014389" w:rsidRPr="008A3C22">
        <w:rPr>
          <w:rFonts w:asciiTheme="majorBidi" w:hAnsiTheme="majorBidi" w:cstheme="majorBidi"/>
          <w:bCs/>
        </w:rPr>
        <w:t>/</w:t>
      </w:r>
      <w:r w:rsidR="001B4950" w:rsidRPr="005103A1">
        <w:rPr>
          <w:rFonts w:asciiTheme="majorBidi" w:hAnsiTheme="majorBidi" w:cstheme="majorBidi"/>
          <w:bCs/>
        </w:rPr>
        <w:t>‘</w:t>
      </w:r>
      <w:proofErr w:type="spellStart"/>
      <w:r w:rsidR="001B4950" w:rsidRPr="005103A1">
        <w:rPr>
          <w:rFonts w:asciiTheme="majorBidi" w:hAnsiTheme="majorBidi" w:cstheme="majorBidi"/>
          <w:bCs/>
        </w:rPr>
        <w:t>substantiveness</w:t>
      </w:r>
      <w:proofErr w:type="spellEnd"/>
      <w:r w:rsidR="001B4950" w:rsidRPr="005103A1">
        <w:rPr>
          <w:rFonts w:asciiTheme="majorBidi" w:hAnsiTheme="majorBidi" w:cstheme="majorBidi"/>
          <w:bCs/>
        </w:rPr>
        <w:t>’ (</w:t>
      </w:r>
      <w:proofErr w:type="spellStart"/>
      <w:r w:rsidR="001B4950" w:rsidRPr="005103A1">
        <w:rPr>
          <w:rFonts w:asciiTheme="majorBidi" w:hAnsiTheme="majorBidi" w:cstheme="majorBidi"/>
          <w:bCs/>
        </w:rPr>
        <w:t>Ashforth</w:t>
      </w:r>
      <w:proofErr w:type="spellEnd"/>
      <w:r w:rsidR="001B4950" w:rsidRPr="005103A1">
        <w:rPr>
          <w:rFonts w:asciiTheme="majorBidi" w:hAnsiTheme="majorBidi" w:cstheme="majorBidi"/>
          <w:bCs/>
        </w:rPr>
        <w:t xml:space="preserve"> and Gibbs, 1990). Specifically and as inherent in economic-oriented theories</w:t>
      </w:r>
      <w:r w:rsidR="00014389" w:rsidRPr="005103A1">
        <w:rPr>
          <w:rFonts w:asciiTheme="majorBidi" w:hAnsiTheme="majorBidi" w:cstheme="majorBidi"/>
          <w:bCs/>
        </w:rPr>
        <w:t xml:space="preserve"> (</w:t>
      </w:r>
      <w:r w:rsidR="001B4950" w:rsidRPr="005103A1">
        <w:rPr>
          <w:rFonts w:asciiTheme="majorBidi" w:hAnsiTheme="majorBidi" w:cstheme="majorBidi"/>
          <w:bCs/>
        </w:rPr>
        <w:t>agency</w:t>
      </w:r>
      <w:r w:rsidR="0080357A">
        <w:rPr>
          <w:rFonts w:asciiTheme="majorBidi" w:hAnsiTheme="majorBidi" w:cstheme="majorBidi"/>
          <w:bCs/>
        </w:rPr>
        <w:t>/resource dependence</w:t>
      </w:r>
      <w:r w:rsidR="001B4950" w:rsidRPr="005103A1">
        <w:rPr>
          <w:rFonts w:asciiTheme="majorBidi" w:hAnsiTheme="majorBidi" w:cstheme="majorBidi"/>
          <w:bCs/>
        </w:rPr>
        <w:t xml:space="preserve"> </w:t>
      </w:r>
      <w:r w:rsidR="00F21DF3" w:rsidRPr="005103A1">
        <w:rPr>
          <w:rFonts w:asciiTheme="majorBidi" w:hAnsiTheme="majorBidi" w:cstheme="majorBidi"/>
          <w:bCs/>
        </w:rPr>
        <w:t>theory</w:t>
      </w:r>
      <w:r w:rsidR="00014389" w:rsidRPr="005103A1">
        <w:rPr>
          <w:rFonts w:asciiTheme="majorBidi" w:hAnsiTheme="majorBidi" w:cstheme="majorBidi"/>
          <w:bCs/>
        </w:rPr>
        <w:t>)</w:t>
      </w:r>
      <w:r w:rsidR="001B4950" w:rsidRPr="005103A1">
        <w:rPr>
          <w:rFonts w:asciiTheme="majorBidi" w:hAnsiTheme="majorBidi" w:cstheme="majorBidi"/>
          <w:bCs/>
        </w:rPr>
        <w:t xml:space="preserve"> (Ntim, 2016), it indicates that economic institutions (nations</w:t>
      </w:r>
      <w:r w:rsidR="003E7ACB">
        <w:rPr>
          <w:rFonts w:asciiTheme="majorBidi" w:hAnsiTheme="majorBidi" w:cstheme="majorBidi"/>
          <w:bCs/>
        </w:rPr>
        <w:t>/companies/</w:t>
      </w:r>
      <w:r w:rsidR="001B4950" w:rsidRPr="005103A1">
        <w:rPr>
          <w:rFonts w:asciiTheme="majorBidi" w:hAnsiTheme="majorBidi" w:cstheme="majorBidi"/>
          <w:bCs/>
        </w:rPr>
        <w:t>groups</w:t>
      </w:r>
      <w:r w:rsidR="003E7ACB">
        <w:rPr>
          <w:rFonts w:asciiTheme="majorBidi" w:hAnsiTheme="majorBidi" w:cstheme="majorBidi"/>
          <w:bCs/>
        </w:rPr>
        <w:t>/individuals</w:t>
      </w:r>
      <w:r w:rsidR="001B4950" w:rsidRPr="005103A1">
        <w:rPr>
          <w:rFonts w:asciiTheme="majorBidi" w:hAnsiTheme="majorBidi" w:cstheme="majorBidi"/>
          <w:bCs/>
        </w:rPr>
        <w:t xml:space="preserve">) should strive to maximise their own interests at the expense of other societal members by out-competing others for scarce societal resources (Aguilera </w:t>
      </w:r>
      <w:r w:rsidR="001B4950" w:rsidRPr="005103A1">
        <w:rPr>
          <w:rFonts w:asciiTheme="majorBidi" w:hAnsiTheme="majorBidi" w:cstheme="majorBidi"/>
          <w:bCs/>
          <w:i/>
          <w:iCs/>
        </w:rPr>
        <w:t>et al</w:t>
      </w:r>
      <w:r w:rsidR="001B4950" w:rsidRPr="005103A1">
        <w:rPr>
          <w:rFonts w:asciiTheme="majorBidi" w:hAnsiTheme="majorBidi" w:cstheme="majorBidi"/>
          <w:bCs/>
        </w:rPr>
        <w:t xml:space="preserve">., 2007). </w:t>
      </w:r>
    </w:p>
    <w:p w14:paraId="62815957" w14:textId="227664BD" w:rsidR="001B4950" w:rsidRPr="005103A1" w:rsidRDefault="001B4950" w:rsidP="002A4561">
      <w:pPr>
        <w:spacing w:after="0" w:line="480" w:lineRule="auto"/>
        <w:jc w:val="both"/>
        <w:rPr>
          <w:rFonts w:asciiTheme="majorBidi" w:hAnsiTheme="majorBidi" w:cstheme="majorBidi"/>
          <w:bCs/>
        </w:rPr>
      </w:pPr>
      <w:r w:rsidRPr="005103A1">
        <w:rPr>
          <w:rFonts w:asciiTheme="majorBidi" w:hAnsiTheme="majorBidi" w:cstheme="majorBidi"/>
          <w:bCs/>
        </w:rPr>
        <w:tab/>
        <w:t xml:space="preserve">By contrast, sociologists do not only take institutions as a means by which goods and services can be efficiently produced, but also as a system of high cultural, ethical, moral and social value (Meyer and Rowan, 1977). In this case, the sociologists’ conceptualisation of </w:t>
      </w:r>
      <w:r w:rsidR="000A2D1B" w:rsidRPr="005103A1">
        <w:rPr>
          <w:rFonts w:asciiTheme="majorBidi" w:hAnsiTheme="majorBidi" w:cstheme="majorBidi"/>
          <w:bCs/>
        </w:rPr>
        <w:t>NIT</w:t>
      </w:r>
      <w:r w:rsidRPr="005103A1">
        <w:rPr>
          <w:rFonts w:asciiTheme="majorBidi" w:hAnsiTheme="majorBidi" w:cstheme="majorBidi"/>
          <w:bCs/>
        </w:rPr>
        <w:t xml:space="preserve"> is that institutions will not only contest for scarce societal resources ('economic</w:t>
      </w:r>
      <w:r w:rsidR="000A2D1B" w:rsidRPr="005103A1">
        <w:rPr>
          <w:rFonts w:asciiTheme="majorBidi" w:hAnsiTheme="majorBidi" w:cstheme="majorBidi"/>
          <w:bCs/>
        </w:rPr>
        <w:t>/</w:t>
      </w:r>
      <w:r w:rsidRPr="005103A1">
        <w:rPr>
          <w:rFonts w:asciiTheme="majorBidi" w:hAnsiTheme="majorBidi" w:cstheme="majorBidi"/>
          <w:bCs/>
        </w:rPr>
        <w:t>instrumental</w:t>
      </w:r>
      <w:r w:rsidR="000A2D1B" w:rsidRPr="005103A1">
        <w:rPr>
          <w:rFonts w:asciiTheme="majorBidi" w:hAnsiTheme="majorBidi" w:cstheme="majorBidi"/>
          <w:bCs/>
        </w:rPr>
        <w:t>/</w:t>
      </w:r>
      <w:r w:rsidRPr="005103A1">
        <w:rPr>
          <w:rFonts w:asciiTheme="majorBidi" w:hAnsiTheme="majorBidi" w:cstheme="majorBidi"/>
          <w:bCs/>
        </w:rPr>
        <w:t xml:space="preserve">substantive efficiency’) (Ntim </w:t>
      </w:r>
      <w:r w:rsidR="00570B07" w:rsidRPr="005103A1">
        <w:rPr>
          <w:rFonts w:asciiTheme="majorBidi" w:hAnsiTheme="majorBidi" w:cstheme="majorBidi"/>
          <w:bCs/>
        </w:rPr>
        <w:t>and Soobaroyen</w:t>
      </w:r>
      <w:r w:rsidRPr="005103A1">
        <w:rPr>
          <w:rFonts w:asciiTheme="majorBidi" w:hAnsiTheme="majorBidi" w:cstheme="majorBidi"/>
          <w:bCs/>
        </w:rPr>
        <w:t>, 2013), but also attempt to gain approval of/support from the larger society for their right to exist (‘social</w:t>
      </w:r>
      <w:r w:rsidR="00014389" w:rsidRPr="005103A1">
        <w:rPr>
          <w:rFonts w:asciiTheme="majorBidi" w:hAnsiTheme="majorBidi" w:cstheme="majorBidi"/>
          <w:bCs/>
        </w:rPr>
        <w:t>/</w:t>
      </w:r>
      <w:r w:rsidRPr="005103A1">
        <w:rPr>
          <w:rFonts w:asciiTheme="majorBidi" w:hAnsiTheme="majorBidi" w:cstheme="majorBidi"/>
          <w:bCs/>
        </w:rPr>
        <w:t>moral</w:t>
      </w:r>
      <w:r w:rsidR="00014389" w:rsidRPr="005103A1">
        <w:rPr>
          <w:rFonts w:asciiTheme="majorBidi" w:hAnsiTheme="majorBidi" w:cstheme="majorBidi"/>
          <w:bCs/>
        </w:rPr>
        <w:t>/</w:t>
      </w:r>
      <w:r w:rsidRPr="005103A1">
        <w:rPr>
          <w:rFonts w:asciiTheme="majorBidi" w:hAnsiTheme="majorBidi" w:cstheme="majorBidi"/>
          <w:bCs/>
        </w:rPr>
        <w:t>symbolic legitimacy’) (</w:t>
      </w:r>
      <w:proofErr w:type="spellStart"/>
      <w:r w:rsidRPr="005103A1">
        <w:rPr>
          <w:rFonts w:asciiTheme="majorBidi" w:hAnsiTheme="majorBidi" w:cstheme="majorBidi"/>
          <w:bCs/>
        </w:rPr>
        <w:t>Ashforth</w:t>
      </w:r>
      <w:proofErr w:type="spellEnd"/>
      <w:r w:rsidRPr="005103A1">
        <w:rPr>
          <w:rFonts w:asciiTheme="majorBidi" w:hAnsiTheme="majorBidi" w:cstheme="majorBidi"/>
          <w:bCs/>
        </w:rPr>
        <w:t xml:space="preserve"> and Gibbs, 1990). Hence and similar to</w:t>
      </w:r>
      <w:r w:rsidR="00912156" w:rsidRPr="005103A1">
        <w:rPr>
          <w:rFonts w:asciiTheme="majorBidi" w:hAnsiTheme="majorBidi" w:cstheme="majorBidi"/>
          <w:bCs/>
        </w:rPr>
        <w:t xml:space="preserve"> the</w:t>
      </w:r>
      <w:r w:rsidRPr="005103A1">
        <w:rPr>
          <w:rFonts w:asciiTheme="majorBidi" w:hAnsiTheme="majorBidi" w:cstheme="majorBidi"/>
          <w:bCs/>
        </w:rPr>
        <w:t xml:space="preserve"> predictions inherent in social-oriented theories (legitimacy</w:t>
      </w:r>
      <w:r w:rsidR="0080357A">
        <w:rPr>
          <w:rFonts w:asciiTheme="majorBidi" w:hAnsiTheme="majorBidi" w:cstheme="majorBidi"/>
          <w:bCs/>
        </w:rPr>
        <w:t>/stakeholder</w:t>
      </w:r>
      <w:r w:rsidRPr="005103A1">
        <w:rPr>
          <w:rFonts w:asciiTheme="majorBidi" w:hAnsiTheme="majorBidi" w:cstheme="majorBidi"/>
          <w:bCs/>
        </w:rPr>
        <w:t xml:space="preserve"> </w:t>
      </w:r>
      <w:r w:rsidR="001D3BC0" w:rsidRPr="005103A1">
        <w:rPr>
          <w:rFonts w:asciiTheme="majorBidi" w:hAnsiTheme="majorBidi" w:cstheme="majorBidi"/>
          <w:bCs/>
        </w:rPr>
        <w:t>theory</w:t>
      </w:r>
      <w:r w:rsidRPr="005103A1">
        <w:rPr>
          <w:rFonts w:asciiTheme="majorBidi" w:hAnsiTheme="majorBidi" w:cstheme="majorBidi"/>
          <w:bCs/>
        </w:rPr>
        <w:t xml:space="preserve">) (Aguilera </w:t>
      </w:r>
      <w:r w:rsidRPr="005103A1">
        <w:rPr>
          <w:rFonts w:asciiTheme="majorBidi" w:hAnsiTheme="majorBidi" w:cstheme="majorBidi"/>
          <w:bCs/>
          <w:i/>
          <w:iCs/>
        </w:rPr>
        <w:t>et al</w:t>
      </w:r>
      <w:r w:rsidRPr="005103A1">
        <w:rPr>
          <w:rFonts w:asciiTheme="majorBidi" w:hAnsiTheme="majorBidi" w:cstheme="majorBidi"/>
          <w:bCs/>
        </w:rPr>
        <w:t>., 2007), social legitimacy involves demonstrating awarene</w:t>
      </w:r>
      <w:r w:rsidR="00F07043" w:rsidRPr="005103A1">
        <w:rPr>
          <w:rFonts w:asciiTheme="majorBidi" w:hAnsiTheme="majorBidi" w:cstheme="majorBidi"/>
          <w:bCs/>
        </w:rPr>
        <w:t>ss of, and concern for, how one</w:t>
      </w:r>
      <w:r w:rsidR="00430A2F">
        <w:rPr>
          <w:rFonts w:asciiTheme="majorBidi" w:hAnsiTheme="majorBidi" w:cstheme="majorBidi"/>
          <w:bCs/>
        </w:rPr>
        <w:t>’</w:t>
      </w:r>
      <w:r w:rsidR="00F07043" w:rsidRPr="005103A1">
        <w:rPr>
          <w:rFonts w:asciiTheme="majorBidi" w:hAnsiTheme="majorBidi" w:cstheme="majorBidi"/>
          <w:bCs/>
        </w:rPr>
        <w:t>s</w:t>
      </w:r>
      <w:r w:rsidRPr="005103A1">
        <w:rPr>
          <w:rFonts w:asciiTheme="majorBidi" w:hAnsiTheme="majorBidi" w:cstheme="majorBidi"/>
          <w:bCs/>
        </w:rPr>
        <w:t xml:space="preserve"> actions and inactions impact on, as well as may be perceived by, others (</w:t>
      </w:r>
      <w:proofErr w:type="spellStart"/>
      <w:r w:rsidRPr="005103A1">
        <w:rPr>
          <w:rFonts w:asciiTheme="majorBidi" w:hAnsiTheme="majorBidi" w:cstheme="majorBidi"/>
          <w:bCs/>
        </w:rPr>
        <w:t>Suchman</w:t>
      </w:r>
      <w:proofErr w:type="spellEnd"/>
      <w:r w:rsidRPr="005103A1">
        <w:rPr>
          <w:rFonts w:asciiTheme="majorBidi" w:hAnsiTheme="majorBidi" w:cstheme="majorBidi"/>
          <w:bCs/>
        </w:rPr>
        <w:t>, 1990).</w:t>
      </w:r>
    </w:p>
    <w:p w14:paraId="174D4E07" w14:textId="2EE35DFC" w:rsidR="001B4950" w:rsidRPr="005103A1" w:rsidRDefault="001B4950" w:rsidP="002A4561">
      <w:pPr>
        <w:spacing w:after="0" w:line="480" w:lineRule="auto"/>
        <w:jc w:val="both"/>
        <w:rPr>
          <w:rFonts w:asciiTheme="majorBidi" w:hAnsiTheme="majorBidi" w:cstheme="majorBidi"/>
          <w:bCs/>
        </w:rPr>
      </w:pPr>
      <w:r w:rsidRPr="005103A1">
        <w:rPr>
          <w:rFonts w:asciiTheme="majorBidi" w:hAnsiTheme="majorBidi" w:cstheme="majorBidi"/>
          <w:bCs/>
        </w:rPr>
        <w:tab/>
        <w:t>On this basis, NIT is often reduced to two simple opposing theoretical views, whereby institutions’ seek to conform to/make decisions that seek to maximise their: (i) economic/financial wealth (‘economic efficiency</w:t>
      </w:r>
      <w:r w:rsidR="005432A6" w:rsidRPr="005103A1">
        <w:rPr>
          <w:rFonts w:asciiTheme="majorBidi" w:hAnsiTheme="majorBidi" w:cstheme="majorBidi"/>
          <w:bCs/>
        </w:rPr>
        <w:t>/</w:t>
      </w:r>
      <w:r w:rsidRPr="005103A1">
        <w:rPr>
          <w:rFonts w:asciiTheme="majorBidi" w:hAnsiTheme="majorBidi" w:cstheme="majorBidi"/>
          <w:bCs/>
        </w:rPr>
        <w:t>simply ‘efficiency’)</w:t>
      </w:r>
      <w:r w:rsidR="003B123F">
        <w:rPr>
          <w:rFonts w:asciiTheme="majorBidi" w:hAnsiTheme="majorBidi" w:cstheme="majorBidi"/>
          <w:bCs/>
        </w:rPr>
        <w:t>;</w:t>
      </w:r>
      <w:r w:rsidRPr="005103A1">
        <w:rPr>
          <w:rFonts w:asciiTheme="majorBidi" w:hAnsiTheme="majorBidi" w:cstheme="majorBidi"/>
          <w:bCs/>
        </w:rPr>
        <w:t xml:space="preserve"> and/or (ii) level of social approval/acceptance (‘social legitimacy’</w:t>
      </w:r>
      <w:r w:rsidR="005432A6" w:rsidRPr="005103A1">
        <w:rPr>
          <w:rFonts w:asciiTheme="majorBidi" w:hAnsiTheme="majorBidi" w:cstheme="majorBidi"/>
          <w:bCs/>
        </w:rPr>
        <w:t>/</w:t>
      </w:r>
      <w:r w:rsidRPr="005103A1">
        <w:rPr>
          <w:rFonts w:asciiTheme="majorBidi" w:hAnsiTheme="majorBidi" w:cstheme="majorBidi"/>
          <w:bCs/>
        </w:rPr>
        <w:t xml:space="preserve">simply </w:t>
      </w:r>
      <w:r w:rsidRPr="005103A1">
        <w:rPr>
          <w:rFonts w:asciiTheme="majorBidi" w:hAnsiTheme="majorBidi" w:cstheme="majorBidi"/>
          <w:bCs/>
        </w:rPr>
        <w:lastRenderedPageBreak/>
        <w:t>‘legitimacy’). In this instance, the achievement of ‘economic efficiency’ will usually require serious (’substantive’) efforts over a relatively longer time period, whilst the realisation of ‘social legitimacy’ may normally require impression management (‘symbolic’) efforts</w:t>
      </w:r>
      <w:r w:rsidR="001A6E29" w:rsidRPr="005103A1">
        <w:rPr>
          <w:rFonts w:asciiTheme="majorBidi" w:hAnsiTheme="majorBidi" w:cstheme="majorBidi"/>
          <w:bCs/>
        </w:rPr>
        <w:t xml:space="preserve"> that may be achieved within a short period of time</w:t>
      </w:r>
      <w:r w:rsidRPr="005103A1">
        <w:rPr>
          <w:rFonts w:asciiTheme="majorBidi" w:hAnsiTheme="majorBidi" w:cstheme="majorBidi"/>
          <w:bCs/>
        </w:rPr>
        <w:t xml:space="preserve">. </w:t>
      </w:r>
    </w:p>
    <w:p w14:paraId="0BB719D8" w14:textId="2642248C" w:rsidR="001B4950" w:rsidRPr="005103A1" w:rsidRDefault="001B4950" w:rsidP="00477D2A">
      <w:pPr>
        <w:spacing w:after="0" w:line="480" w:lineRule="auto"/>
        <w:jc w:val="both"/>
        <w:rPr>
          <w:rFonts w:asciiTheme="majorBidi" w:hAnsiTheme="majorBidi" w:cstheme="majorBidi"/>
          <w:bCs/>
        </w:rPr>
      </w:pPr>
      <w:r w:rsidRPr="005103A1">
        <w:rPr>
          <w:rFonts w:asciiTheme="majorBidi" w:hAnsiTheme="majorBidi" w:cstheme="majorBidi"/>
          <w:bCs/>
        </w:rPr>
        <w:tab/>
        <w:t>Powell and DiMaggio (1991) extended NIT by classifying institutional forces that can compel institutions to seek ‘economic efficiency’ and/or ‘social legitimacy’ explicitly into three: (i) ‘coercive/regulative’; (ii) ‘cognitive/educative/mimetic’ and (iii) ‘normative’ (North, 1991). Briefly, coercive/regulative forces refer to the presence of institutions that can force actors to conform to accepted standards</w:t>
      </w:r>
      <w:r w:rsidR="00014389" w:rsidRPr="005103A1">
        <w:rPr>
          <w:rFonts w:asciiTheme="majorBidi" w:hAnsiTheme="majorBidi" w:cstheme="majorBidi"/>
          <w:bCs/>
        </w:rPr>
        <w:t xml:space="preserve"> (</w:t>
      </w:r>
      <w:r w:rsidRPr="005103A1">
        <w:rPr>
          <w:rFonts w:asciiTheme="majorBidi" w:hAnsiTheme="majorBidi" w:cstheme="majorBidi"/>
          <w:bCs/>
        </w:rPr>
        <w:t>government laws</w:t>
      </w:r>
      <w:r w:rsidR="005432A6" w:rsidRPr="005103A1">
        <w:rPr>
          <w:rFonts w:asciiTheme="majorBidi" w:hAnsiTheme="majorBidi" w:cstheme="majorBidi"/>
          <w:bCs/>
        </w:rPr>
        <w:t>/</w:t>
      </w:r>
      <w:r w:rsidRPr="005103A1">
        <w:rPr>
          <w:rFonts w:asciiTheme="majorBidi" w:hAnsiTheme="majorBidi" w:cstheme="majorBidi"/>
          <w:bCs/>
        </w:rPr>
        <w:t>regulations</w:t>
      </w:r>
      <w:r w:rsidR="00014389" w:rsidRPr="005103A1">
        <w:rPr>
          <w:rFonts w:asciiTheme="majorBidi" w:hAnsiTheme="majorBidi" w:cstheme="majorBidi"/>
          <w:bCs/>
        </w:rPr>
        <w:t>)</w:t>
      </w:r>
      <w:r w:rsidRPr="005103A1">
        <w:rPr>
          <w:rFonts w:asciiTheme="majorBidi" w:hAnsiTheme="majorBidi" w:cstheme="majorBidi"/>
          <w:bCs/>
        </w:rPr>
        <w:t>. Cognitive/educative/mimetic forces refer to the capacity</w:t>
      </w:r>
      <w:r w:rsidR="00536D42" w:rsidRPr="005103A1">
        <w:rPr>
          <w:rFonts w:asciiTheme="majorBidi" w:hAnsiTheme="majorBidi" w:cstheme="majorBidi"/>
          <w:bCs/>
        </w:rPr>
        <w:t xml:space="preserve"> of corporations</w:t>
      </w:r>
      <w:r w:rsidRPr="005103A1">
        <w:rPr>
          <w:rFonts w:asciiTheme="majorBidi" w:hAnsiTheme="majorBidi" w:cstheme="majorBidi"/>
          <w:bCs/>
        </w:rPr>
        <w:t xml:space="preserve"> to copy the behaviour of other </w:t>
      </w:r>
      <w:r w:rsidR="00536D42" w:rsidRPr="005103A1">
        <w:rPr>
          <w:rFonts w:asciiTheme="majorBidi" w:hAnsiTheme="majorBidi" w:cstheme="majorBidi"/>
          <w:bCs/>
        </w:rPr>
        <w:t>corporations</w:t>
      </w:r>
      <w:r w:rsidR="00014389" w:rsidRPr="005103A1">
        <w:rPr>
          <w:rFonts w:asciiTheme="majorBidi" w:hAnsiTheme="majorBidi" w:cstheme="majorBidi"/>
          <w:bCs/>
        </w:rPr>
        <w:t xml:space="preserve"> (</w:t>
      </w:r>
      <w:r w:rsidRPr="005103A1">
        <w:rPr>
          <w:rFonts w:asciiTheme="majorBidi" w:hAnsiTheme="majorBidi" w:cstheme="majorBidi"/>
          <w:bCs/>
        </w:rPr>
        <w:t>the process of voluntarily learning and sharing best practice</w:t>
      </w:r>
      <w:r w:rsidR="00014389" w:rsidRPr="005103A1">
        <w:rPr>
          <w:rFonts w:asciiTheme="majorBidi" w:hAnsiTheme="majorBidi" w:cstheme="majorBidi"/>
          <w:bCs/>
        </w:rPr>
        <w:t>)</w:t>
      </w:r>
      <w:r w:rsidRPr="005103A1">
        <w:rPr>
          <w:rFonts w:asciiTheme="majorBidi" w:hAnsiTheme="majorBidi" w:cstheme="majorBidi"/>
          <w:bCs/>
        </w:rPr>
        <w:t>, whilst normative institutional forces refer to widely expected and accepted standards of social behaviour</w:t>
      </w:r>
      <w:r w:rsidR="00014389" w:rsidRPr="005103A1">
        <w:rPr>
          <w:rFonts w:asciiTheme="majorBidi" w:hAnsiTheme="majorBidi" w:cstheme="majorBidi"/>
          <w:bCs/>
        </w:rPr>
        <w:t xml:space="preserve"> (</w:t>
      </w:r>
      <w:r w:rsidRPr="005103A1">
        <w:rPr>
          <w:rFonts w:asciiTheme="majorBidi" w:hAnsiTheme="majorBidi" w:cstheme="majorBidi"/>
          <w:bCs/>
        </w:rPr>
        <w:t>international norms</w:t>
      </w:r>
      <w:r w:rsidR="005432A6" w:rsidRPr="005103A1">
        <w:rPr>
          <w:rFonts w:asciiTheme="majorBidi" w:hAnsiTheme="majorBidi" w:cstheme="majorBidi"/>
          <w:bCs/>
        </w:rPr>
        <w:t>/</w:t>
      </w:r>
      <w:r w:rsidRPr="005103A1">
        <w:rPr>
          <w:rFonts w:asciiTheme="majorBidi" w:hAnsiTheme="majorBidi" w:cstheme="majorBidi"/>
          <w:bCs/>
        </w:rPr>
        <w:t>practices</w:t>
      </w:r>
      <w:r w:rsidR="00014389" w:rsidRPr="005103A1">
        <w:rPr>
          <w:rFonts w:asciiTheme="majorBidi" w:hAnsiTheme="majorBidi" w:cstheme="majorBidi"/>
          <w:bCs/>
        </w:rPr>
        <w:t>)</w:t>
      </w:r>
      <w:r w:rsidRPr="005103A1">
        <w:rPr>
          <w:rFonts w:asciiTheme="majorBidi" w:hAnsiTheme="majorBidi" w:cstheme="majorBidi"/>
          <w:bCs/>
        </w:rPr>
        <w:t xml:space="preserve">. </w:t>
      </w:r>
    </w:p>
    <w:p w14:paraId="0A6728E5" w14:textId="299D5ADE" w:rsidR="001B4950" w:rsidRPr="005103A1" w:rsidRDefault="001B4950" w:rsidP="008D7B6D">
      <w:pPr>
        <w:spacing w:after="0" w:line="480" w:lineRule="auto"/>
        <w:jc w:val="both"/>
        <w:rPr>
          <w:rFonts w:asciiTheme="majorBidi" w:hAnsiTheme="majorBidi" w:cstheme="majorBidi"/>
          <w:bCs/>
        </w:rPr>
      </w:pPr>
      <w:r w:rsidRPr="005103A1">
        <w:rPr>
          <w:rFonts w:asciiTheme="majorBidi" w:hAnsiTheme="majorBidi" w:cstheme="majorBidi"/>
          <w:bCs/>
        </w:rPr>
        <w:tab/>
        <w:t xml:space="preserve">Consequently, </w:t>
      </w:r>
      <w:r w:rsidRPr="005103A1">
        <w:rPr>
          <w:rFonts w:asciiTheme="majorBidi" w:hAnsiTheme="majorBidi" w:cstheme="majorBidi"/>
        </w:rPr>
        <w:t xml:space="preserve">NIT has been successfully applied in explaining the diffusion and/or imposition of a number of corporate practices, such as accounting and governance standards (Aguilera </w:t>
      </w:r>
      <w:r w:rsidRPr="005103A1">
        <w:rPr>
          <w:rFonts w:asciiTheme="majorBidi" w:hAnsiTheme="majorBidi" w:cstheme="majorBidi"/>
          <w:i/>
          <w:iCs/>
        </w:rPr>
        <w:t>et al</w:t>
      </w:r>
      <w:r w:rsidRPr="00FB3918">
        <w:rPr>
          <w:rFonts w:asciiTheme="majorBidi" w:hAnsiTheme="majorBidi" w:cstheme="majorBidi"/>
        </w:rPr>
        <w:t xml:space="preserve">., 2007). In a similar vein, we seek to extend the application of NIT to </w:t>
      </w:r>
      <w:r w:rsidR="008D7B6D" w:rsidRPr="005103A1">
        <w:rPr>
          <w:rFonts w:asciiTheme="majorBidi" w:hAnsiTheme="majorBidi" w:cstheme="majorBidi"/>
        </w:rPr>
        <w:t>CP</w:t>
      </w:r>
      <w:r w:rsidRPr="005103A1">
        <w:rPr>
          <w:rFonts w:asciiTheme="majorBidi" w:hAnsiTheme="majorBidi" w:cstheme="majorBidi"/>
        </w:rPr>
        <w:t xml:space="preserve"> and </w:t>
      </w:r>
      <w:r w:rsidR="008D7B6D" w:rsidRPr="005103A1">
        <w:rPr>
          <w:rFonts w:asciiTheme="majorBidi" w:hAnsiTheme="majorBidi" w:cstheme="majorBidi"/>
        </w:rPr>
        <w:t>EC</w:t>
      </w:r>
      <w:r w:rsidRPr="005103A1">
        <w:rPr>
          <w:rFonts w:asciiTheme="majorBidi" w:hAnsiTheme="majorBidi" w:cstheme="majorBidi"/>
        </w:rPr>
        <w:t xml:space="preserve">, including ESG-based sustainable compensation policies that have been </w:t>
      </w:r>
      <w:r w:rsidR="00536D42" w:rsidRPr="005103A1">
        <w:rPr>
          <w:rFonts w:asciiTheme="majorBidi" w:hAnsiTheme="majorBidi" w:cstheme="majorBidi"/>
        </w:rPr>
        <w:t>introduced</w:t>
      </w:r>
      <w:r w:rsidR="001C6E9A" w:rsidRPr="005103A1">
        <w:rPr>
          <w:rFonts w:asciiTheme="majorBidi" w:hAnsiTheme="majorBidi" w:cstheme="majorBidi"/>
        </w:rPr>
        <w:t xml:space="preserve"> under</w:t>
      </w:r>
      <w:r w:rsidRPr="005103A1">
        <w:rPr>
          <w:rFonts w:asciiTheme="majorBidi" w:hAnsiTheme="majorBidi" w:cstheme="majorBidi"/>
        </w:rPr>
        <w:t xml:space="preserve"> </w:t>
      </w:r>
      <w:r w:rsidR="00536D42" w:rsidRPr="005103A1">
        <w:rPr>
          <w:rFonts w:asciiTheme="majorBidi" w:hAnsiTheme="majorBidi" w:cstheme="majorBidi"/>
        </w:rPr>
        <w:t xml:space="preserve">the </w:t>
      </w:r>
      <w:r w:rsidRPr="005103A1">
        <w:rPr>
          <w:rFonts w:asciiTheme="majorBidi" w:hAnsiTheme="majorBidi" w:cstheme="majorBidi"/>
        </w:rPr>
        <w:t>global environmental regulatory framework</w:t>
      </w:r>
      <w:r w:rsidR="00536D42" w:rsidRPr="005103A1">
        <w:rPr>
          <w:rFonts w:asciiTheme="majorBidi" w:hAnsiTheme="majorBidi" w:cstheme="majorBidi"/>
        </w:rPr>
        <w:t>s</w:t>
      </w:r>
      <w:r w:rsidR="00E23F94" w:rsidRPr="005103A1">
        <w:rPr>
          <w:rFonts w:asciiTheme="majorBidi" w:hAnsiTheme="majorBidi" w:cstheme="majorBidi"/>
        </w:rPr>
        <w:t xml:space="preserve"> (Kyoto </w:t>
      </w:r>
      <w:r w:rsidRPr="005103A1">
        <w:rPr>
          <w:rFonts w:asciiTheme="majorBidi" w:hAnsiTheme="majorBidi" w:cstheme="majorBidi"/>
        </w:rPr>
        <w:t>and Paris agreement</w:t>
      </w:r>
      <w:r w:rsidR="00E23F94" w:rsidRPr="005103A1">
        <w:rPr>
          <w:rFonts w:asciiTheme="majorBidi" w:hAnsiTheme="majorBidi" w:cstheme="majorBidi"/>
        </w:rPr>
        <w:t>s</w:t>
      </w:r>
      <w:r w:rsidRPr="005103A1">
        <w:rPr>
          <w:rFonts w:asciiTheme="majorBidi" w:hAnsiTheme="majorBidi" w:cstheme="majorBidi"/>
        </w:rPr>
        <w:t>), which have been ado</w:t>
      </w:r>
      <w:r w:rsidR="00E23F94" w:rsidRPr="005103A1">
        <w:rPr>
          <w:rFonts w:asciiTheme="majorBidi" w:hAnsiTheme="majorBidi" w:cstheme="majorBidi"/>
        </w:rPr>
        <w:t>pted and imp</w:t>
      </w:r>
      <w:r w:rsidR="00160699">
        <w:rPr>
          <w:rFonts w:asciiTheme="majorBidi" w:hAnsiTheme="majorBidi" w:cstheme="majorBidi"/>
        </w:rPr>
        <w:t>osed on EU countrie</w:t>
      </w:r>
      <w:r w:rsidR="00E23F94" w:rsidRPr="005103A1">
        <w:rPr>
          <w:rFonts w:asciiTheme="majorBidi" w:hAnsiTheme="majorBidi" w:cstheme="majorBidi"/>
        </w:rPr>
        <w:t>s</w:t>
      </w:r>
      <w:r w:rsidRPr="005103A1">
        <w:rPr>
          <w:rFonts w:asciiTheme="majorBidi" w:hAnsiTheme="majorBidi" w:cstheme="majorBidi"/>
        </w:rPr>
        <w:t xml:space="preserve"> by the </w:t>
      </w:r>
      <w:r w:rsidR="00014389" w:rsidRPr="005103A1">
        <w:rPr>
          <w:rFonts w:asciiTheme="majorBidi" w:hAnsiTheme="majorBidi" w:cstheme="majorBidi"/>
        </w:rPr>
        <w:t>EU</w:t>
      </w:r>
      <w:r w:rsidRPr="005103A1">
        <w:rPr>
          <w:rFonts w:asciiTheme="majorBidi" w:hAnsiTheme="majorBidi" w:cstheme="majorBidi"/>
        </w:rPr>
        <w:t>.</w:t>
      </w:r>
      <w:r w:rsidR="00430A2F">
        <w:rPr>
          <w:rFonts w:asciiTheme="majorBidi" w:hAnsiTheme="majorBidi" w:cstheme="majorBidi"/>
        </w:rPr>
        <w:t xml:space="preserve"> </w:t>
      </w:r>
      <w:r w:rsidR="00B07000">
        <w:rPr>
          <w:rFonts w:asciiTheme="majorBidi" w:hAnsiTheme="majorBidi" w:cstheme="majorBidi"/>
        </w:rPr>
        <w:t>With this, we</w:t>
      </w:r>
      <w:r w:rsidR="009F288D">
        <w:rPr>
          <w:rFonts w:asciiTheme="majorBidi" w:hAnsiTheme="majorBidi" w:cstheme="majorBidi"/>
        </w:rPr>
        <w:t xml:space="preserve"> specifically</w:t>
      </w:r>
      <w:r w:rsidR="00B07000">
        <w:rPr>
          <w:rFonts w:asciiTheme="majorBidi" w:hAnsiTheme="majorBidi" w:cstheme="majorBidi"/>
        </w:rPr>
        <w:t xml:space="preserve"> extend NIT to capture both the incentive-based determinants and valuation consequences of symbolic</w:t>
      </w:r>
      <w:r w:rsidR="007706EB">
        <w:rPr>
          <w:rFonts w:asciiTheme="majorBidi" w:hAnsiTheme="majorBidi" w:cstheme="majorBidi"/>
        </w:rPr>
        <w:t xml:space="preserve"> (‘legitimation’)</w:t>
      </w:r>
      <w:r w:rsidR="00B07000">
        <w:rPr>
          <w:rFonts w:asciiTheme="majorBidi" w:hAnsiTheme="majorBidi" w:cstheme="majorBidi"/>
        </w:rPr>
        <w:t xml:space="preserve"> process-oriented CP and substantive</w:t>
      </w:r>
      <w:r w:rsidR="007706EB">
        <w:rPr>
          <w:rFonts w:asciiTheme="majorBidi" w:hAnsiTheme="majorBidi" w:cstheme="majorBidi"/>
        </w:rPr>
        <w:t xml:space="preserve"> (‘efficiency’)</w:t>
      </w:r>
      <w:r w:rsidR="00B07000">
        <w:rPr>
          <w:rFonts w:asciiTheme="majorBidi" w:hAnsiTheme="majorBidi" w:cstheme="majorBidi"/>
        </w:rPr>
        <w:t xml:space="preserve"> actual</w:t>
      </w:r>
      <w:r w:rsidR="009008B4">
        <w:rPr>
          <w:rFonts w:asciiTheme="majorBidi" w:hAnsiTheme="majorBidi" w:cstheme="majorBidi"/>
        </w:rPr>
        <w:t>-</w:t>
      </w:r>
      <w:r w:rsidR="00B07000" w:rsidRPr="005103A1">
        <w:rPr>
          <w:rFonts w:asciiTheme="majorBidi" w:hAnsiTheme="majorBidi" w:cstheme="majorBidi"/>
        </w:rPr>
        <w:t>CP</w:t>
      </w:r>
      <w:r w:rsidR="00B07000">
        <w:rPr>
          <w:rFonts w:asciiTheme="majorBidi" w:hAnsiTheme="majorBidi" w:cstheme="majorBidi"/>
        </w:rPr>
        <w:t>.</w:t>
      </w:r>
    </w:p>
    <w:p w14:paraId="3298A039" w14:textId="343615D6" w:rsidR="001B4950" w:rsidRPr="005103A1" w:rsidRDefault="001B4950" w:rsidP="00033971">
      <w:pPr>
        <w:spacing w:after="0" w:line="480" w:lineRule="auto"/>
        <w:jc w:val="both"/>
        <w:rPr>
          <w:rFonts w:asciiTheme="majorBidi" w:hAnsiTheme="majorBidi" w:cstheme="majorBidi"/>
          <w:bCs/>
        </w:rPr>
      </w:pPr>
      <w:r w:rsidRPr="005103A1">
        <w:rPr>
          <w:rFonts w:asciiTheme="majorBidi" w:hAnsiTheme="majorBidi" w:cstheme="majorBidi"/>
          <w:bCs/>
        </w:rPr>
        <w:tab/>
      </w:r>
      <w:r w:rsidR="00033971" w:rsidRPr="00FB3918">
        <w:rPr>
          <w:rFonts w:asciiTheme="majorBidi" w:hAnsiTheme="majorBidi" w:cstheme="majorBidi"/>
          <w:bCs/>
        </w:rPr>
        <w:t xml:space="preserve">In this case, </w:t>
      </w:r>
      <w:r w:rsidRPr="008A3C22">
        <w:rPr>
          <w:rFonts w:asciiTheme="majorBidi" w:hAnsiTheme="majorBidi" w:cstheme="majorBidi"/>
          <w:bCs/>
        </w:rPr>
        <w:t xml:space="preserve">NIT indicates that a major way by which corporations can gain social legitimacy is to </w:t>
      </w:r>
      <w:r w:rsidR="00BB2676">
        <w:rPr>
          <w:rFonts w:asciiTheme="majorBidi" w:hAnsiTheme="majorBidi" w:cstheme="majorBidi"/>
          <w:bCs/>
        </w:rPr>
        <w:t xml:space="preserve">voluntarily </w:t>
      </w:r>
      <w:r w:rsidRPr="008A3C22">
        <w:rPr>
          <w:rFonts w:asciiTheme="majorBidi" w:hAnsiTheme="majorBidi" w:cstheme="majorBidi"/>
          <w:bCs/>
        </w:rPr>
        <w:t xml:space="preserve">adopt and/or comply with accepted institutional norms, rules and conventions </w:t>
      </w:r>
      <w:r w:rsidRPr="004F3236">
        <w:rPr>
          <w:rFonts w:asciiTheme="majorBidi" w:hAnsiTheme="majorBidi" w:cstheme="majorBidi"/>
          <w:bCs/>
        </w:rPr>
        <w:t>(</w:t>
      </w:r>
      <w:r w:rsidRPr="00D86C37">
        <w:rPr>
          <w:rFonts w:asciiTheme="majorBidi" w:hAnsiTheme="majorBidi" w:cstheme="majorBidi"/>
        </w:rPr>
        <w:t>Scott, 2001</w:t>
      </w:r>
      <w:r w:rsidRPr="0074464D">
        <w:rPr>
          <w:rFonts w:asciiTheme="majorBidi" w:hAnsiTheme="majorBidi" w:cstheme="majorBidi"/>
          <w:bCs/>
        </w:rPr>
        <w:t xml:space="preserve">). </w:t>
      </w:r>
      <w:r w:rsidRPr="006C1347">
        <w:rPr>
          <w:rFonts w:asciiTheme="majorBidi" w:hAnsiTheme="majorBidi" w:cstheme="majorBidi"/>
          <w:bCs/>
        </w:rPr>
        <w:t xml:space="preserve">In this regard, </w:t>
      </w:r>
      <w:r w:rsidRPr="00291DEF">
        <w:rPr>
          <w:rFonts w:asciiTheme="majorBidi" w:hAnsiTheme="majorBidi" w:cstheme="majorBidi"/>
          <w:bCs/>
        </w:rPr>
        <w:t>EU corporations as economic institutions</w:t>
      </w:r>
      <w:r w:rsidRPr="005103A1">
        <w:rPr>
          <w:rFonts w:asciiTheme="majorBidi" w:hAnsiTheme="majorBidi" w:cstheme="majorBidi"/>
          <w:bCs/>
        </w:rPr>
        <w:t xml:space="preserve"> </w:t>
      </w:r>
      <w:r w:rsidR="000A0C5A" w:rsidRPr="005103A1">
        <w:rPr>
          <w:rFonts w:asciiTheme="majorBidi" w:hAnsiTheme="majorBidi" w:cstheme="majorBidi"/>
          <w:bCs/>
        </w:rPr>
        <w:t>may need to comply</w:t>
      </w:r>
      <w:r w:rsidRPr="005103A1">
        <w:rPr>
          <w:rFonts w:asciiTheme="majorBidi" w:hAnsiTheme="majorBidi" w:cstheme="majorBidi"/>
          <w:bCs/>
        </w:rPr>
        <w:t xml:space="preserve"> with </w:t>
      </w:r>
      <w:r w:rsidR="008D7B6D" w:rsidRPr="005103A1">
        <w:rPr>
          <w:rFonts w:asciiTheme="majorBidi" w:hAnsiTheme="majorBidi" w:cstheme="majorBidi"/>
          <w:bCs/>
        </w:rPr>
        <w:t>CP</w:t>
      </w:r>
      <w:r w:rsidRPr="005103A1">
        <w:rPr>
          <w:rFonts w:asciiTheme="majorBidi" w:hAnsiTheme="majorBidi" w:cstheme="majorBidi"/>
          <w:bCs/>
        </w:rPr>
        <w:t xml:space="preserve"> targets </w:t>
      </w:r>
      <w:r w:rsidR="000A0C5A" w:rsidRPr="005103A1">
        <w:rPr>
          <w:rFonts w:asciiTheme="majorBidi" w:hAnsiTheme="majorBidi" w:cstheme="majorBidi"/>
          <w:bCs/>
        </w:rPr>
        <w:t xml:space="preserve">that are </w:t>
      </w:r>
      <w:r w:rsidRPr="005103A1">
        <w:rPr>
          <w:rFonts w:asciiTheme="majorBidi" w:hAnsiTheme="majorBidi" w:cstheme="majorBidi"/>
          <w:bCs/>
        </w:rPr>
        <w:t>not only set by the EU (coercive/regulative pressures) (</w:t>
      </w:r>
      <w:r w:rsidRPr="005103A1">
        <w:rPr>
          <w:rFonts w:asciiTheme="majorBidi" w:hAnsiTheme="majorBidi" w:cstheme="majorBidi"/>
        </w:rPr>
        <w:t xml:space="preserve">Clarkson </w:t>
      </w:r>
      <w:r w:rsidRPr="005103A1">
        <w:rPr>
          <w:rFonts w:asciiTheme="majorBidi" w:hAnsiTheme="majorBidi" w:cstheme="majorBidi"/>
          <w:i/>
          <w:iCs/>
        </w:rPr>
        <w:t>et al</w:t>
      </w:r>
      <w:r w:rsidRPr="005103A1">
        <w:rPr>
          <w:rFonts w:asciiTheme="majorBidi" w:hAnsiTheme="majorBidi" w:cstheme="majorBidi"/>
        </w:rPr>
        <w:t>., 2015)</w:t>
      </w:r>
      <w:r w:rsidRPr="005103A1">
        <w:rPr>
          <w:rFonts w:asciiTheme="majorBidi" w:hAnsiTheme="majorBidi" w:cstheme="majorBidi"/>
          <w:bCs/>
        </w:rPr>
        <w:t xml:space="preserve">, but also as way of learning from best practice from peers (cognitive/educative/mimetic pressures) </w:t>
      </w:r>
      <w:r w:rsidR="00C4506C" w:rsidRPr="005103A1">
        <w:rPr>
          <w:rFonts w:asciiTheme="majorBidi" w:hAnsiTheme="majorBidi" w:cstheme="majorBidi"/>
          <w:bCs/>
        </w:rPr>
        <w:t>and/</w:t>
      </w:r>
      <w:r w:rsidRPr="005103A1">
        <w:rPr>
          <w:rFonts w:asciiTheme="majorBidi" w:hAnsiTheme="majorBidi" w:cstheme="majorBidi"/>
          <w:bCs/>
        </w:rPr>
        <w:t>or as part of international norms (Paris climate agreement) (</w:t>
      </w:r>
      <w:r w:rsidRPr="005103A1">
        <w:rPr>
          <w:rFonts w:asciiTheme="majorBidi" w:hAnsiTheme="majorBidi" w:cstheme="majorBidi"/>
        </w:rPr>
        <w:t xml:space="preserve">Kim </w:t>
      </w:r>
      <w:r w:rsidRPr="005103A1">
        <w:rPr>
          <w:rFonts w:asciiTheme="majorBidi" w:hAnsiTheme="majorBidi" w:cstheme="majorBidi"/>
          <w:i/>
          <w:iCs/>
        </w:rPr>
        <w:t>et al.</w:t>
      </w:r>
      <w:r w:rsidRPr="005103A1">
        <w:rPr>
          <w:rFonts w:asciiTheme="majorBidi" w:hAnsiTheme="majorBidi" w:cstheme="majorBidi"/>
        </w:rPr>
        <w:t>, 2015)</w:t>
      </w:r>
      <w:r w:rsidR="000A0C5A" w:rsidRPr="005103A1">
        <w:rPr>
          <w:rFonts w:asciiTheme="majorBidi" w:hAnsiTheme="majorBidi" w:cstheme="majorBidi"/>
        </w:rPr>
        <w:t>.</w:t>
      </w:r>
      <w:r w:rsidRPr="005103A1">
        <w:rPr>
          <w:rFonts w:asciiTheme="majorBidi" w:hAnsiTheme="majorBidi" w:cstheme="majorBidi"/>
        </w:rPr>
        <w:t xml:space="preserve"> </w:t>
      </w:r>
      <w:r w:rsidR="000A0C5A" w:rsidRPr="005103A1">
        <w:rPr>
          <w:rFonts w:asciiTheme="majorBidi" w:hAnsiTheme="majorBidi" w:cstheme="majorBidi"/>
        </w:rPr>
        <w:t xml:space="preserve">Complying with carbon regulations of this nature </w:t>
      </w:r>
      <w:r w:rsidRPr="005103A1">
        <w:rPr>
          <w:rFonts w:asciiTheme="majorBidi" w:hAnsiTheme="majorBidi" w:cstheme="majorBidi"/>
          <w:bCs/>
        </w:rPr>
        <w:t xml:space="preserve">cannot only help </w:t>
      </w:r>
      <w:r w:rsidRPr="005103A1">
        <w:rPr>
          <w:rFonts w:asciiTheme="majorBidi" w:hAnsiTheme="majorBidi" w:cstheme="majorBidi"/>
          <w:bCs/>
        </w:rPr>
        <w:lastRenderedPageBreak/>
        <w:t>to improve corporate legitimacy by enhancing corporate image, but also economic efficiency in the form of gaining access to critical resources, such as finance by securing the support of different influential</w:t>
      </w:r>
      <w:r w:rsidR="00EF1D90" w:rsidRPr="005103A1">
        <w:rPr>
          <w:rFonts w:asciiTheme="majorBidi" w:hAnsiTheme="majorBidi" w:cstheme="majorBidi"/>
          <w:bCs/>
        </w:rPr>
        <w:t xml:space="preserve"> stakeholders</w:t>
      </w:r>
      <w:r w:rsidR="00014389" w:rsidRPr="005103A1">
        <w:rPr>
          <w:rFonts w:asciiTheme="majorBidi" w:hAnsiTheme="majorBidi" w:cstheme="majorBidi"/>
          <w:bCs/>
        </w:rPr>
        <w:t xml:space="preserve"> (</w:t>
      </w:r>
      <w:r w:rsidRPr="005103A1">
        <w:rPr>
          <w:rFonts w:asciiTheme="majorBidi" w:hAnsiTheme="majorBidi" w:cstheme="majorBidi"/>
          <w:bCs/>
        </w:rPr>
        <w:t>governments</w:t>
      </w:r>
      <w:r w:rsidR="00014389" w:rsidRPr="005103A1">
        <w:rPr>
          <w:rFonts w:asciiTheme="majorBidi" w:hAnsiTheme="majorBidi" w:cstheme="majorBidi"/>
          <w:bCs/>
        </w:rPr>
        <w:t xml:space="preserve"> and</w:t>
      </w:r>
      <w:r w:rsidRPr="005103A1">
        <w:rPr>
          <w:rFonts w:asciiTheme="majorBidi" w:hAnsiTheme="majorBidi" w:cstheme="majorBidi"/>
          <w:bCs/>
        </w:rPr>
        <w:t xml:space="preserve"> shareholders</w:t>
      </w:r>
      <w:r w:rsidR="00014389" w:rsidRPr="005103A1">
        <w:rPr>
          <w:rFonts w:asciiTheme="majorBidi" w:hAnsiTheme="majorBidi" w:cstheme="majorBidi"/>
          <w:bCs/>
        </w:rPr>
        <w:t>)</w:t>
      </w:r>
      <w:r w:rsidRPr="005103A1">
        <w:rPr>
          <w:rFonts w:asciiTheme="majorBidi" w:hAnsiTheme="majorBidi" w:cstheme="majorBidi"/>
          <w:bCs/>
        </w:rPr>
        <w:t xml:space="preserve">. </w:t>
      </w:r>
    </w:p>
    <w:p w14:paraId="4F4ABCC6" w14:textId="7CFA7115" w:rsidR="003F167B" w:rsidRPr="005103A1" w:rsidRDefault="001B4950" w:rsidP="008D7B6D">
      <w:pPr>
        <w:spacing w:after="0" w:line="480" w:lineRule="auto"/>
        <w:jc w:val="both"/>
        <w:rPr>
          <w:rFonts w:asciiTheme="majorBidi" w:hAnsiTheme="majorBidi" w:cstheme="majorBidi"/>
          <w:bCs/>
        </w:rPr>
      </w:pPr>
      <w:r w:rsidRPr="005103A1">
        <w:rPr>
          <w:rFonts w:asciiTheme="majorBidi" w:hAnsiTheme="majorBidi" w:cstheme="majorBidi"/>
          <w:bCs/>
        </w:rPr>
        <w:tab/>
        <w:t xml:space="preserve">In this respect, EU companies can do so by designing process-oriented </w:t>
      </w:r>
      <w:r w:rsidR="008D7B6D" w:rsidRPr="005103A1">
        <w:rPr>
          <w:rFonts w:asciiTheme="majorBidi" w:hAnsiTheme="majorBidi" w:cstheme="majorBidi"/>
          <w:bCs/>
        </w:rPr>
        <w:t>CP</w:t>
      </w:r>
      <w:r w:rsidRPr="005103A1">
        <w:rPr>
          <w:rFonts w:asciiTheme="majorBidi" w:hAnsiTheme="majorBidi" w:cstheme="majorBidi"/>
          <w:bCs/>
        </w:rPr>
        <w:t xml:space="preserve">, </w:t>
      </w:r>
      <w:r w:rsidR="008D7B6D" w:rsidRPr="005103A1">
        <w:rPr>
          <w:rFonts w:asciiTheme="majorBidi" w:hAnsiTheme="majorBidi" w:cstheme="majorBidi"/>
          <w:bCs/>
        </w:rPr>
        <w:t>EC</w:t>
      </w:r>
      <w:r w:rsidRPr="005103A1">
        <w:rPr>
          <w:rFonts w:asciiTheme="majorBidi" w:hAnsiTheme="majorBidi" w:cstheme="majorBidi"/>
          <w:bCs/>
        </w:rPr>
        <w:t xml:space="preserve"> and ESG-based sustainable compensation policy initiatives (</w:t>
      </w:r>
      <w:r w:rsidR="00BB2676">
        <w:rPr>
          <w:rFonts w:asciiTheme="majorBidi" w:hAnsiTheme="majorBidi" w:cstheme="majorBidi"/>
        </w:rPr>
        <w:t xml:space="preserve">Qian and </w:t>
      </w:r>
      <w:proofErr w:type="spellStart"/>
      <w:r w:rsidR="00BB2676">
        <w:rPr>
          <w:rFonts w:asciiTheme="majorBidi" w:hAnsiTheme="majorBidi" w:cstheme="majorBidi"/>
        </w:rPr>
        <w:t>Schaltegger</w:t>
      </w:r>
      <w:proofErr w:type="spellEnd"/>
      <w:r w:rsidR="00BB2676">
        <w:rPr>
          <w:rFonts w:asciiTheme="majorBidi" w:hAnsiTheme="majorBidi" w:cstheme="majorBidi"/>
        </w:rPr>
        <w:t>, 2017</w:t>
      </w:r>
      <w:r w:rsidRPr="005103A1">
        <w:rPr>
          <w:rFonts w:asciiTheme="majorBidi" w:hAnsiTheme="majorBidi" w:cstheme="majorBidi"/>
        </w:rPr>
        <w:t>)</w:t>
      </w:r>
      <w:r w:rsidRPr="005103A1">
        <w:rPr>
          <w:rFonts w:asciiTheme="majorBidi" w:hAnsiTheme="majorBidi" w:cstheme="majorBidi"/>
          <w:bCs/>
        </w:rPr>
        <w:t xml:space="preserve"> that may (i) symbolically improve their corporate image and legitimacy in the eyes of their powerful stakeholders (legitimation’), but do not </w:t>
      </w:r>
      <w:r w:rsidR="00E248BF">
        <w:rPr>
          <w:rFonts w:asciiTheme="majorBidi" w:hAnsiTheme="majorBidi" w:cstheme="majorBidi"/>
          <w:bCs/>
        </w:rPr>
        <w:t xml:space="preserve">necessarily </w:t>
      </w:r>
      <w:r w:rsidRPr="005103A1">
        <w:rPr>
          <w:rFonts w:asciiTheme="majorBidi" w:hAnsiTheme="majorBidi" w:cstheme="majorBidi"/>
          <w:bCs/>
        </w:rPr>
        <w:t>result in actual reductions in GHG emissions (</w:t>
      </w:r>
      <w:r w:rsidR="000B666D" w:rsidRPr="005103A1">
        <w:rPr>
          <w:rFonts w:asciiTheme="majorBidi" w:hAnsiTheme="majorBidi" w:cstheme="majorBidi"/>
        </w:rPr>
        <w:t xml:space="preserve">Ziegler </w:t>
      </w:r>
      <w:r w:rsidR="000B666D" w:rsidRPr="005103A1">
        <w:rPr>
          <w:rFonts w:asciiTheme="majorBidi" w:hAnsiTheme="majorBidi" w:cstheme="majorBidi"/>
          <w:i/>
          <w:iCs/>
        </w:rPr>
        <w:t>et al</w:t>
      </w:r>
      <w:r w:rsidR="000B666D" w:rsidRPr="005103A1">
        <w:rPr>
          <w:rFonts w:asciiTheme="majorBidi" w:hAnsiTheme="majorBidi" w:cstheme="majorBidi"/>
        </w:rPr>
        <w:t>., 2011</w:t>
      </w:r>
      <w:r w:rsidRPr="005103A1">
        <w:rPr>
          <w:rFonts w:asciiTheme="majorBidi" w:hAnsiTheme="majorBidi" w:cstheme="majorBidi"/>
        </w:rPr>
        <w:t>)</w:t>
      </w:r>
      <w:r w:rsidRPr="005103A1">
        <w:rPr>
          <w:rFonts w:asciiTheme="majorBidi" w:hAnsiTheme="majorBidi" w:cstheme="majorBidi"/>
          <w:bCs/>
        </w:rPr>
        <w:t>; and/or (ii) substantively reduce actual GHG emissions that can reduce operating costs by improving corporate efficiency, and thereby impact positively on</w:t>
      </w:r>
      <w:r w:rsidR="000B666D" w:rsidRPr="005103A1">
        <w:rPr>
          <w:rFonts w:asciiTheme="majorBidi" w:hAnsiTheme="majorBidi" w:cstheme="majorBidi"/>
          <w:bCs/>
        </w:rPr>
        <w:t xml:space="preserve"> MV</w:t>
      </w:r>
      <w:r w:rsidRPr="005103A1">
        <w:rPr>
          <w:rFonts w:asciiTheme="majorBidi" w:hAnsiTheme="majorBidi" w:cstheme="majorBidi"/>
          <w:bCs/>
        </w:rPr>
        <w:t xml:space="preserve"> (</w:t>
      </w:r>
      <w:r w:rsidRPr="005103A1">
        <w:rPr>
          <w:rFonts w:asciiTheme="majorBidi" w:hAnsiTheme="majorBidi" w:cstheme="majorBidi"/>
        </w:rPr>
        <w:t xml:space="preserve">Campbell </w:t>
      </w:r>
      <w:r w:rsidRPr="005103A1">
        <w:rPr>
          <w:rFonts w:asciiTheme="majorBidi" w:hAnsiTheme="majorBidi" w:cstheme="majorBidi"/>
          <w:i/>
          <w:iCs/>
        </w:rPr>
        <w:t>et al.,</w:t>
      </w:r>
      <w:r w:rsidRPr="005103A1">
        <w:rPr>
          <w:rFonts w:asciiTheme="majorBidi" w:hAnsiTheme="majorBidi" w:cstheme="majorBidi"/>
        </w:rPr>
        <w:t xml:space="preserve"> 2007)</w:t>
      </w:r>
      <w:r w:rsidRPr="005103A1">
        <w:rPr>
          <w:rFonts w:asciiTheme="majorBidi" w:hAnsiTheme="majorBidi" w:cstheme="majorBidi"/>
          <w:bCs/>
        </w:rPr>
        <w:t xml:space="preserve">. </w:t>
      </w:r>
      <w:r w:rsidR="00DC76F6" w:rsidRPr="005103A1">
        <w:rPr>
          <w:rFonts w:asciiTheme="majorBidi" w:hAnsiTheme="majorBidi" w:cstheme="majorBidi"/>
          <w:bCs/>
        </w:rPr>
        <w:t xml:space="preserve"> </w:t>
      </w:r>
    </w:p>
    <w:p w14:paraId="367C5A28" w14:textId="1280EDE2" w:rsidR="00B252A4" w:rsidRPr="005103A1" w:rsidRDefault="003F167B" w:rsidP="00623B62">
      <w:pPr>
        <w:spacing w:after="0" w:line="240" w:lineRule="auto"/>
        <w:jc w:val="both"/>
        <w:rPr>
          <w:rFonts w:asciiTheme="majorBidi" w:hAnsiTheme="majorBidi" w:cstheme="majorBidi"/>
          <w:i/>
          <w:color w:val="000000" w:themeColor="text1"/>
        </w:rPr>
      </w:pPr>
      <w:r w:rsidRPr="005103A1">
        <w:rPr>
          <w:rFonts w:asciiTheme="majorBidi" w:hAnsiTheme="majorBidi" w:cstheme="majorBidi"/>
          <w:bCs/>
        </w:rPr>
        <w:tab/>
      </w:r>
    </w:p>
    <w:p w14:paraId="1F3696BD" w14:textId="77777777" w:rsidR="006C6385" w:rsidRPr="005103A1" w:rsidRDefault="006C6385" w:rsidP="006C6385">
      <w:pPr>
        <w:pStyle w:val="ListParagraph"/>
        <w:spacing w:after="0" w:line="480" w:lineRule="auto"/>
        <w:ind w:left="0"/>
        <w:contextualSpacing w:val="0"/>
        <w:jc w:val="both"/>
        <w:rPr>
          <w:rFonts w:asciiTheme="majorBidi" w:hAnsiTheme="majorBidi" w:cstheme="majorBidi"/>
          <w:b/>
          <w:i/>
          <w:iCs/>
        </w:rPr>
      </w:pPr>
      <w:r w:rsidRPr="005103A1">
        <w:rPr>
          <w:rFonts w:asciiTheme="majorBidi" w:hAnsiTheme="majorBidi" w:cstheme="majorBidi"/>
          <w:b/>
          <w:i/>
          <w:iCs/>
        </w:rPr>
        <w:t>Empirical literature and hypotheses development</w:t>
      </w:r>
    </w:p>
    <w:p w14:paraId="4A59DA6A" w14:textId="228ADE2F" w:rsidR="00C4506C" w:rsidRPr="005103A1" w:rsidRDefault="00017F11" w:rsidP="000B666D">
      <w:pPr>
        <w:spacing w:line="480" w:lineRule="auto"/>
        <w:jc w:val="both"/>
        <w:rPr>
          <w:rFonts w:asciiTheme="majorBidi" w:hAnsiTheme="majorBidi" w:cstheme="majorBidi"/>
        </w:rPr>
      </w:pPr>
      <w:r>
        <w:rPr>
          <w:rFonts w:asciiTheme="majorBidi" w:hAnsiTheme="majorBidi" w:cstheme="majorBidi"/>
        </w:rPr>
        <w:tab/>
      </w:r>
      <w:r w:rsidR="00C4506C" w:rsidRPr="00017F11">
        <w:rPr>
          <w:rFonts w:asciiTheme="majorBidi" w:hAnsiTheme="majorBidi" w:cstheme="majorBidi"/>
        </w:rPr>
        <w:t xml:space="preserve">Past </w:t>
      </w:r>
      <w:r w:rsidR="00A3770D" w:rsidRPr="00017F11">
        <w:rPr>
          <w:rFonts w:asciiTheme="majorBidi" w:hAnsiTheme="majorBidi" w:cstheme="majorBidi"/>
        </w:rPr>
        <w:t xml:space="preserve">empirical </w:t>
      </w:r>
      <w:r w:rsidR="00C4506C" w:rsidRPr="00017F11">
        <w:rPr>
          <w:rFonts w:asciiTheme="majorBidi" w:hAnsiTheme="majorBidi" w:cstheme="majorBidi"/>
        </w:rPr>
        <w:t>studies have examined</w:t>
      </w:r>
      <w:r w:rsidR="003F6954" w:rsidRPr="004F3236">
        <w:rPr>
          <w:rFonts w:asciiTheme="majorBidi" w:hAnsiTheme="majorBidi" w:cstheme="majorBidi"/>
        </w:rPr>
        <w:t xml:space="preserve"> </w:t>
      </w:r>
      <w:r w:rsidR="00C4506C" w:rsidRPr="00D86C37">
        <w:rPr>
          <w:rFonts w:asciiTheme="majorBidi" w:hAnsiTheme="majorBidi" w:cstheme="majorBidi"/>
        </w:rPr>
        <w:t>the link between</w:t>
      </w:r>
      <w:r w:rsidR="003F6954" w:rsidRPr="00D86C37">
        <w:rPr>
          <w:rFonts w:asciiTheme="majorBidi" w:hAnsiTheme="majorBidi" w:cstheme="majorBidi"/>
        </w:rPr>
        <w:t>: (i)</w:t>
      </w:r>
      <w:r w:rsidR="00C4506C" w:rsidRPr="006C1347">
        <w:rPr>
          <w:rFonts w:asciiTheme="majorBidi" w:hAnsiTheme="majorBidi" w:cstheme="majorBidi"/>
        </w:rPr>
        <w:t xml:space="preserve"> </w:t>
      </w:r>
      <w:r w:rsidR="000B666D" w:rsidRPr="005103A1">
        <w:rPr>
          <w:rFonts w:asciiTheme="majorBidi" w:hAnsiTheme="majorBidi" w:cstheme="majorBidi"/>
        </w:rPr>
        <w:t>CP</w:t>
      </w:r>
      <w:r w:rsidR="00C4506C" w:rsidRPr="005103A1">
        <w:rPr>
          <w:rFonts w:asciiTheme="majorBidi" w:hAnsiTheme="majorBidi" w:cstheme="majorBidi"/>
        </w:rPr>
        <w:t xml:space="preserve"> and </w:t>
      </w:r>
      <w:r w:rsidR="000B666D" w:rsidRPr="005103A1">
        <w:rPr>
          <w:rFonts w:asciiTheme="majorBidi" w:hAnsiTheme="majorBidi" w:cstheme="majorBidi"/>
        </w:rPr>
        <w:t>MV</w:t>
      </w:r>
      <w:r w:rsidR="00B3718F" w:rsidRPr="005103A1">
        <w:rPr>
          <w:rFonts w:asciiTheme="majorBidi" w:hAnsiTheme="majorBidi" w:cstheme="majorBidi"/>
        </w:rPr>
        <w:t xml:space="preserve"> (</w:t>
      </w:r>
      <w:proofErr w:type="spellStart"/>
      <w:r w:rsidR="00B3718F" w:rsidRPr="005103A1">
        <w:rPr>
          <w:rFonts w:asciiTheme="majorBidi" w:hAnsiTheme="majorBidi" w:cstheme="majorBidi"/>
        </w:rPr>
        <w:t>Baboukardos</w:t>
      </w:r>
      <w:proofErr w:type="spellEnd"/>
      <w:r w:rsidR="00B3718F" w:rsidRPr="005103A1">
        <w:rPr>
          <w:rFonts w:asciiTheme="majorBidi" w:hAnsiTheme="majorBidi" w:cstheme="majorBidi"/>
        </w:rPr>
        <w:t xml:space="preserve">, 2018; </w:t>
      </w:r>
      <w:proofErr w:type="spellStart"/>
      <w:r w:rsidR="00C4506C" w:rsidRPr="005103A1">
        <w:rPr>
          <w:rFonts w:asciiTheme="majorBidi" w:hAnsiTheme="majorBidi" w:cstheme="majorBidi"/>
        </w:rPr>
        <w:t>Trumpp</w:t>
      </w:r>
      <w:proofErr w:type="spellEnd"/>
      <w:r w:rsidR="00C4506C" w:rsidRPr="005103A1">
        <w:rPr>
          <w:rFonts w:asciiTheme="majorBidi" w:hAnsiTheme="majorBidi" w:cstheme="majorBidi"/>
        </w:rPr>
        <w:t xml:space="preserve"> et al., 2015)</w:t>
      </w:r>
      <w:r w:rsidR="00BE019A" w:rsidRPr="005103A1">
        <w:rPr>
          <w:rFonts w:asciiTheme="majorBidi" w:hAnsiTheme="majorBidi" w:cstheme="majorBidi"/>
        </w:rPr>
        <w:t>;</w:t>
      </w:r>
      <w:r w:rsidR="00CB1996" w:rsidRPr="005103A1">
        <w:rPr>
          <w:rFonts w:asciiTheme="majorBidi" w:hAnsiTheme="majorBidi" w:cstheme="majorBidi"/>
        </w:rPr>
        <w:t xml:space="preserve"> </w:t>
      </w:r>
      <w:r w:rsidR="00CD5465" w:rsidRPr="005103A1">
        <w:rPr>
          <w:rFonts w:asciiTheme="majorBidi" w:hAnsiTheme="majorBidi" w:cstheme="majorBidi"/>
        </w:rPr>
        <w:t>(i</w:t>
      </w:r>
      <w:r w:rsidR="00CA0CCF" w:rsidRPr="005103A1">
        <w:rPr>
          <w:rFonts w:asciiTheme="majorBidi" w:hAnsiTheme="majorBidi" w:cstheme="majorBidi"/>
        </w:rPr>
        <w:t>i</w:t>
      </w:r>
      <w:r w:rsidR="00CD5465" w:rsidRPr="005103A1">
        <w:rPr>
          <w:rFonts w:asciiTheme="majorBidi" w:hAnsiTheme="majorBidi" w:cstheme="majorBidi"/>
        </w:rPr>
        <w:t>)</w:t>
      </w:r>
      <w:r w:rsidR="00C4506C" w:rsidRPr="005103A1">
        <w:rPr>
          <w:rFonts w:asciiTheme="majorBidi" w:hAnsiTheme="majorBidi" w:cstheme="majorBidi"/>
        </w:rPr>
        <w:t xml:space="preserve"> </w:t>
      </w:r>
      <w:r w:rsidR="000B666D" w:rsidRPr="005103A1">
        <w:rPr>
          <w:rFonts w:asciiTheme="majorBidi" w:hAnsiTheme="majorBidi" w:cstheme="majorBidi"/>
        </w:rPr>
        <w:t>EC</w:t>
      </w:r>
      <w:r w:rsidR="00C4506C" w:rsidRPr="005103A1">
        <w:rPr>
          <w:rFonts w:asciiTheme="majorBidi" w:hAnsiTheme="majorBidi" w:cstheme="majorBidi"/>
        </w:rPr>
        <w:t xml:space="preserve"> and </w:t>
      </w:r>
      <w:r w:rsidR="000B666D" w:rsidRPr="005103A1">
        <w:rPr>
          <w:rFonts w:asciiTheme="majorBidi" w:hAnsiTheme="majorBidi" w:cstheme="majorBidi"/>
        </w:rPr>
        <w:t>MV</w:t>
      </w:r>
      <w:r w:rsidR="00C4506C" w:rsidRPr="005103A1">
        <w:rPr>
          <w:rFonts w:asciiTheme="majorBidi" w:hAnsiTheme="majorBidi" w:cstheme="majorBidi"/>
        </w:rPr>
        <w:t xml:space="preserve"> (</w:t>
      </w:r>
      <w:r w:rsidR="00B3718F" w:rsidRPr="005103A1">
        <w:rPr>
          <w:rFonts w:asciiTheme="majorBidi" w:hAnsiTheme="majorBidi" w:cstheme="majorBidi"/>
          <w:color w:val="222222"/>
        </w:rPr>
        <w:t xml:space="preserve">Chahine and </w:t>
      </w:r>
      <w:proofErr w:type="spellStart"/>
      <w:r w:rsidR="00B3718F" w:rsidRPr="005103A1">
        <w:rPr>
          <w:rFonts w:asciiTheme="majorBidi" w:hAnsiTheme="majorBidi" w:cstheme="majorBidi"/>
          <w:color w:val="222222"/>
        </w:rPr>
        <w:t>Goergen</w:t>
      </w:r>
      <w:proofErr w:type="spellEnd"/>
      <w:r w:rsidR="00B3718F" w:rsidRPr="005103A1">
        <w:rPr>
          <w:rFonts w:asciiTheme="majorBidi" w:hAnsiTheme="majorBidi" w:cstheme="majorBidi"/>
          <w:color w:val="222222"/>
        </w:rPr>
        <w:t xml:space="preserve">, 2014; </w:t>
      </w:r>
      <w:r w:rsidR="00C4506C" w:rsidRPr="005103A1">
        <w:rPr>
          <w:rFonts w:asciiTheme="majorBidi" w:hAnsiTheme="majorBidi" w:cstheme="majorBidi"/>
        </w:rPr>
        <w:t xml:space="preserve">Sarhan </w:t>
      </w:r>
      <w:r w:rsidR="00C4506C" w:rsidRPr="005103A1">
        <w:rPr>
          <w:rFonts w:asciiTheme="majorBidi" w:hAnsiTheme="majorBidi" w:cstheme="majorBidi"/>
          <w:i/>
          <w:iCs/>
        </w:rPr>
        <w:t>et al</w:t>
      </w:r>
      <w:r w:rsidR="00C4506C" w:rsidRPr="005103A1">
        <w:rPr>
          <w:rFonts w:asciiTheme="majorBidi" w:hAnsiTheme="majorBidi" w:cstheme="majorBidi"/>
        </w:rPr>
        <w:t>., 2019)</w:t>
      </w:r>
      <w:r w:rsidR="00EE170D" w:rsidRPr="005103A1">
        <w:rPr>
          <w:rFonts w:asciiTheme="majorBidi" w:hAnsiTheme="majorBidi" w:cstheme="majorBidi"/>
        </w:rPr>
        <w:t>/</w:t>
      </w:r>
      <w:r w:rsidR="000B666D" w:rsidRPr="005103A1">
        <w:rPr>
          <w:rFonts w:asciiTheme="majorBidi" w:hAnsiTheme="majorBidi" w:cstheme="majorBidi"/>
        </w:rPr>
        <w:t>CP</w:t>
      </w:r>
      <w:r w:rsidR="00B3718F" w:rsidRPr="005103A1">
        <w:rPr>
          <w:rFonts w:asciiTheme="majorBidi" w:hAnsiTheme="majorBidi" w:cstheme="majorBidi"/>
        </w:rPr>
        <w:t xml:space="preserve"> (</w:t>
      </w:r>
      <w:r w:rsidR="00C4506C" w:rsidRPr="005103A1">
        <w:rPr>
          <w:rFonts w:asciiTheme="majorBidi" w:hAnsiTheme="majorBidi" w:cstheme="majorBidi"/>
        </w:rPr>
        <w:t>Cordeiro an</w:t>
      </w:r>
      <w:r w:rsidR="00A042FC" w:rsidRPr="005103A1">
        <w:rPr>
          <w:rFonts w:asciiTheme="majorBidi" w:hAnsiTheme="majorBidi" w:cstheme="majorBidi"/>
        </w:rPr>
        <w:t>d Sarkis, 2008;</w:t>
      </w:r>
      <w:r w:rsidR="00BE019A" w:rsidRPr="005103A1">
        <w:rPr>
          <w:rFonts w:asciiTheme="majorBidi" w:hAnsiTheme="majorBidi" w:cstheme="majorBidi"/>
        </w:rPr>
        <w:t xml:space="preserve"> </w:t>
      </w:r>
      <w:r w:rsidR="00C4506C" w:rsidRPr="005103A1">
        <w:rPr>
          <w:rFonts w:asciiTheme="majorBidi" w:hAnsiTheme="majorBidi" w:cstheme="majorBidi"/>
        </w:rPr>
        <w:t>Maas, 2018)</w:t>
      </w:r>
      <w:r w:rsidR="00CD5465" w:rsidRPr="005103A1">
        <w:rPr>
          <w:rFonts w:asciiTheme="majorBidi" w:hAnsiTheme="majorBidi" w:cstheme="majorBidi"/>
        </w:rPr>
        <w:t>/</w:t>
      </w:r>
      <w:r w:rsidR="00C4506C" w:rsidRPr="005103A1">
        <w:rPr>
          <w:rFonts w:asciiTheme="majorBidi" w:hAnsiTheme="majorBidi" w:cstheme="majorBidi"/>
        </w:rPr>
        <w:t>CSR (Ji, 2015; Mahoney and Thorn, 2006)</w:t>
      </w:r>
      <w:r w:rsidR="00EE170D" w:rsidRPr="005103A1">
        <w:rPr>
          <w:rFonts w:asciiTheme="majorBidi" w:hAnsiTheme="majorBidi" w:cstheme="majorBidi"/>
        </w:rPr>
        <w:t>; and (iii</w:t>
      </w:r>
      <w:r w:rsidR="00CD5465" w:rsidRPr="005103A1">
        <w:rPr>
          <w:rFonts w:asciiTheme="majorBidi" w:hAnsiTheme="majorBidi" w:cstheme="majorBidi"/>
        </w:rPr>
        <w:t xml:space="preserve">) </w:t>
      </w:r>
      <w:r w:rsidR="00B3718F" w:rsidRPr="005103A1">
        <w:rPr>
          <w:rFonts w:asciiTheme="majorBidi" w:hAnsiTheme="majorBidi" w:cstheme="majorBidi"/>
        </w:rPr>
        <w:t>C</w:t>
      </w:r>
      <w:r w:rsidR="00C4506C" w:rsidRPr="005103A1">
        <w:rPr>
          <w:rFonts w:asciiTheme="majorBidi" w:hAnsiTheme="majorBidi" w:cstheme="majorBidi"/>
        </w:rPr>
        <w:t xml:space="preserve">G and </w:t>
      </w:r>
      <w:r w:rsidR="000B666D" w:rsidRPr="005103A1">
        <w:rPr>
          <w:rFonts w:asciiTheme="majorBidi" w:hAnsiTheme="majorBidi" w:cstheme="majorBidi"/>
        </w:rPr>
        <w:t>MV</w:t>
      </w:r>
      <w:r w:rsidR="00B3718F" w:rsidRPr="005103A1">
        <w:rPr>
          <w:rFonts w:asciiTheme="majorBidi" w:hAnsiTheme="majorBidi" w:cstheme="majorBidi"/>
        </w:rPr>
        <w:t xml:space="preserve"> (</w:t>
      </w:r>
      <w:r w:rsidR="00C4506C" w:rsidRPr="005103A1">
        <w:rPr>
          <w:rFonts w:asciiTheme="majorBidi" w:hAnsiTheme="majorBidi" w:cstheme="majorBidi"/>
        </w:rPr>
        <w:t xml:space="preserve">Ntim, 2016; Singh </w:t>
      </w:r>
      <w:r w:rsidR="00C4506C" w:rsidRPr="005103A1">
        <w:rPr>
          <w:rFonts w:asciiTheme="majorBidi" w:hAnsiTheme="majorBidi" w:cstheme="majorBidi"/>
          <w:i/>
          <w:iCs/>
        </w:rPr>
        <w:t>et al.</w:t>
      </w:r>
      <w:r w:rsidR="00CD5465" w:rsidRPr="005103A1">
        <w:rPr>
          <w:rFonts w:asciiTheme="majorBidi" w:hAnsiTheme="majorBidi" w:cstheme="majorBidi"/>
        </w:rPr>
        <w:t>, 2018)/</w:t>
      </w:r>
      <w:r w:rsidR="000B666D" w:rsidRPr="005103A1">
        <w:rPr>
          <w:rFonts w:asciiTheme="majorBidi" w:hAnsiTheme="majorBidi" w:cstheme="majorBidi"/>
        </w:rPr>
        <w:t>EC</w:t>
      </w:r>
      <w:r w:rsidR="00C4506C" w:rsidRPr="005103A1">
        <w:rPr>
          <w:rFonts w:asciiTheme="majorBidi" w:hAnsiTheme="majorBidi" w:cstheme="majorBidi"/>
        </w:rPr>
        <w:t xml:space="preserve"> (</w:t>
      </w:r>
      <w:proofErr w:type="spellStart"/>
      <w:r w:rsidR="00C4506C" w:rsidRPr="005103A1">
        <w:rPr>
          <w:rFonts w:asciiTheme="majorBidi" w:hAnsiTheme="majorBidi" w:cstheme="majorBidi"/>
        </w:rPr>
        <w:t>Goergen</w:t>
      </w:r>
      <w:proofErr w:type="spellEnd"/>
      <w:r w:rsidR="00C4506C" w:rsidRPr="005103A1">
        <w:rPr>
          <w:rFonts w:asciiTheme="majorBidi" w:hAnsiTheme="majorBidi" w:cstheme="majorBidi"/>
        </w:rPr>
        <w:t xml:space="preserve"> and </w:t>
      </w:r>
      <w:proofErr w:type="spellStart"/>
      <w:r w:rsidR="00C4506C" w:rsidRPr="005103A1">
        <w:rPr>
          <w:rFonts w:asciiTheme="majorBidi" w:hAnsiTheme="majorBidi" w:cstheme="majorBidi"/>
        </w:rPr>
        <w:t>Renneboog</w:t>
      </w:r>
      <w:proofErr w:type="spellEnd"/>
      <w:r w:rsidR="00C4506C" w:rsidRPr="005103A1">
        <w:rPr>
          <w:rFonts w:asciiTheme="majorBidi" w:hAnsiTheme="majorBidi" w:cstheme="majorBidi"/>
        </w:rPr>
        <w:t xml:space="preserve">, </w:t>
      </w:r>
      <w:r w:rsidR="0021519C" w:rsidRPr="005103A1">
        <w:rPr>
          <w:rFonts w:asciiTheme="majorBidi" w:hAnsiTheme="majorBidi" w:cstheme="majorBidi"/>
        </w:rPr>
        <w:t xml:space="preserve">2011; Elmagrhi </w:t>
      </w:r>
      <w:r w:rsidR="0021519C" w:rsidRPr="005103A1">
        <w:rPr>
          <w:rFonts w:asciiTheme="majorBidi" w:hAnsiTheme="majorBidi" w:cstheme="majorBidi"/>
          <w:i/>
          <w:iCs/>
        </w:rPr>
        <w:t>et al</w:t>
      </w:r>
      <w:r w:rsidR="0021519C" w:rsidRPr="005103A1">
        <w:rPr>
          <w:rFonts w:asciiTheme="majorBidi" w:hAnsiTheme="majorBidi" w:cstheme="majorBidi"/>
        </w:rPr>
        <w:t>., 2019</w:t>
      </w:r>
      <w:r w:rsidR="00CD5465" w:rsidRPr="005103A1">
        <w:rPr>
          <w:rFonts w:asciiTheme="majorBidi" w:hAnsiTheme="majorBidi" w:cstheme="majorBidi"/>
        </w:rPr>
        <w:t>)</w:t>
      </w:r>
      <w:r w:rsidR="00A042FC" w:rsidRPr="005103A1">
        <w:rPr>
          <w:rFonts w:asciiTheme="majorBidi" w:hAnsiTheme="majorBidi" w:cstheme="majorBidi"/>
        </w:rPr>
        <w:t>/</w:t>
      </w:r>
      <w:r w:rsidR="000B666D" w:rsidRPr="005103A1">
        <w:rPr>
          <w:rFonts w:asciiTheme="majorBidi" w:hAnsiTheme="majorBidi" w:cstheme="majorBidi"/>
        </w:rPr>
        <w:t>CP</w:t>
      </w:r>
      <w:r w:rsidR="00A042FC" w:rsidRPr="005103A1">
        <w:rPr>
          <w:rFonts w:asciiTheme="majorBidi" w:hAnsiTheme="majorBidi" w:cstheme="majorBidi"/>
        </w:rPr>
        <w:t xml:space="preserve"> (Haque, 2017)</w:t>
      </w:r>
      <w:r w:rsidR="00CD5465" w:rsidRPr="005103A1">
        <w:rPr>
          <w:rFonts w:asciiTheme="majorBidi" w:hAnsiTheme="majorBidi" w:cstheme="majorBidi"/>
        </w:rPr>
        <w:t>/</w:t>
      </w:r>
      <w:r w:rsidR="00C4506C" w:rsidRPr="005103A1">
        <w:rPr>
          <w:rFonts w:asciiTheme="majorBidi" w:hAnsiTheme="majorBidi" w:cstheme="majorBidi"/>
        </w:rPr>
        <w:t>CSR (</w:t>
      </w:r>
      <w:proofErr w:type="spellStart"/>
      <w:r w:rsidR="00C4506C" w:rsidRPr="005103A1">
        <w:rPr>
          <w:rFonts w:asciiTheme="majorBidi" w:hAnsiTheme="majorBidi" w:cstheme="majorBidi"/>
        </w:rPr>
        <w:t>Aktar</w:t>
      </w:r>
      <w:proofErr w:type="spellEnd"/>
      <w:r w:rsidR="00C4506C" w:rsidRPr="005103A1">
        <w:rPr>
          <w:rFonts w:asciiTheme="majorBidi" w:hAnsiTheme="majorBidi" w:cstheme="majorBidi"/>
        </w:rPr>
        <w:t xml:space="preserve"> </w:t>
      </w:r>
      <w:r w:rsidR="00C4506C" w:rsidRPr="005103A1">
        <w:rPr>
          <w:rFonts w:asciiTheme="majorBidi" w:hAnsiTheme="majorBidi" w:cstheme="majorBidi"/>
          <w:i/>
          <w:iCs/>
        </w:rPr>
        <w:t>et al.,</w:t>
      </w:r>
      <w:r w:rsidR="00C4506C" w:rsidRPr="005103A1">
        <w:rPr>
          <w:rFonts w:asciiTheme="majorBidi" w:hAnsiTheme="majorBidi" w:cstheme="majorBidi"/>
        </w:rPr>
        <w:t xml:space="preserve"> 201</w:t>
      </w:r>
      <w:r w:rsidR="00CD5465" w:rsidRPr="005103A1">
        <w:rPr>
          <w:rFonts w:asciiTheme="majorBidi" w:hAnsiTheme="majorBidi" w:cstheme="majorBidi"/>
        </w:rPr>
        <w:t xml:space="preserve">8; </w:t>
      </w:r>
      <w:r w:rsidR="00416C7F" w:rsidRPr="005103A1">
        <w:rPr>
          <w:rFonts w:asciiTheme="majorBidi" w:hAnsiTheme="majorBidi" w:cstheme="majorBidi"/>
        </w:rPr>
        <w:t xml:space="preserve">Chang </w:t>
      </w:r>
      <w:r w:rsidR="00416C7F" w:rsidRPr="005103A1">
        <w:rPr>
          <w:rFonts w:asciiTheme="majorBidi" w:hAnsiTheme="majorBidi" w:cstheme="majorBidi"/>
          <w:i/>
          <w:iCs/>
        </w:rPr>
        <w:t>et al</w:t>
      </w:r>
      <w:r w:rsidR="00416C7F" w:rsidRPr="005103A1">
        <w:rPr>
          <w:rFonts w:asciiTheme="majorBidi" w:hAnsiTheme="majorBidi" w:cstheme="majorBidi"/>
        </w:rPr>
        <w:t>.</w:t>
      </w:r>
      <w:r w:rsidR="00941042" w:rsidRPr="005103A1">
        <w:rPr>
          <w:rFonts w:asciiTheme="majorBidi" w:hAnsiTheme="majorBidi" w:cstheme="majorBidi"/>
        </w:rPr>
        <w:t>, 2015</w:t>
      </w:r>
      <w:r w:rsidR="00B3718F" w:rsidRPr="005103A1">
        <w:rPr>
          <w:rFonts w:asciiTheme="majorBidi" w:hAnsiTheme="majorBidi" w:cstheme="majorBidi"/>
        </w:rPr>
        <w:t>)</w:t>
      </w:r>
      <w:r w:rsidR="00CA0CCF" w:rsidRPr="005103A1">
        <w:rPr>
          <w:rFonts w:asciiTheme="majorBidi" w:hAnsiTheme="majorBidi" w:cstheme="majorBidi"/>
        </w:rPr>
        <w:t xml:space="preserve">. </w:t>
      </w:r>
      <w:r w:rsidR="00CD5465" w:rsidRPr="005103A1">
        <w:rPr>
          <w:rFonts w:asciiTheme="majorBidi" w:hAnsiTheme="majorBidi" w:cstheme="majorBidi"/>
        </w:rPr>
        <w:t>We</w:t>
      </w:r>
      <w:r w:rsidR="003F6954" w:rsidRPr="005103A1">
        <w:rPr>
          <w:rFonts w:asciiTheme="majorBidi" w:hAnsiTheme="majorBidi" w:cstheme="majorBidi"/>
        </w:rPr>
        <w:t>,</w:t>
      </w:r>
      <w:r w:rsidR="00CD5465" w:rsidRPr="005103A1">
        <w:rPr>
          <w:rFonts w:asciiTheme="majorBidi" w:hAnsiTheme="majorBidi" w:cstheme="majorBidi"/>
        </w:rPr>
        <w:t xml:space="preserve"> therefore</w:t>
      </w:r>
      <w:r w:rsidR="003F6954" w:rsidRPr="005103A1">
        <w:rPr>
          <w:rFonts w:asciiTheme="majorBidi" w:hAnsiTheme="majorBidi" w:cstheme="majorBidi"/>
        </w:rPr>
        <w:t>,</w:t>
      </w:r>
      <w:r w:rsidR="006A516D" w:rsidRPr="005103A1">
        <w:rPr>
          <w:rFonts w:asciiTheme="majorBidi" w:hAnsiTheme="majorBidi" w:cstheme="majorBidi"/>
        </w:rPr>
        <w:t xml:space="preserve"> draw from th</w:t>
      </w:r>
      <w:r w:rsidR="00A6095A">
        <w:rPr>
          <w:rFonts w:asciiTheme="majorBidi" w:hAnsiTheme="majorBidi" w:cstheme="majorBidi"/>
        </w:rPr>
        <w:t xml:space="preserve">ese </w:t>
      </w:r>
      <w:r w:rsidR="0005543B">
        <w:rPr>
          <w:rFonts w:asciiTheme="majorBidi" w:hAnsiTheme="majorBidi" w:cstheme="majorBidi"/>
        </w:rPr>
        <w:t xml:space="preserve">different </w:t>
      </w:r>
      <w:r w:rsidR="00A6095A">
        <w:rPr>
          <w:rFonts w:asciiTheme="majorBidi" w:hAnsiTheme="majorBidi" w:cstheme="majorBidi"/>
        </w:rPr>
        <w:t>strands of the</w:t>
      </w:r>
      <w:r w:rsidR="006A516D" w:rsidRPr="005103A1">
        <w:rPr>
          <w:rFonts w:asciiTheme="majorBidi" w:hAnsiTheme="majorBidi" w:cstheme="majorBidi"/>
        </w:rPr>
        <w:t xml:space="preserve"> literature to develop</w:t>
      </w:r>
      <w:r w:rsidR="00CD5465" w:rsidRPr="005103A1">
        <w:rPr>
          <w:rFonts w:asciiTheme="majorBidi" w:hAnsiTheme="majorBidi" w:cstheme="majorBidi"/>
        </w:rPr>
        <w:t xml:space="preserve"> our hypotheses.</w:t>
      </w:r>
    </w:p>
    <w:p w14:paraId="771C82F9" w14:textId="0541FF2D" w:rsidR="00366E05" w:rsidRPr="005103A1" w:rsidRDefault="00366E05" w:rsidP="0064103E">
      <w:pPr>
        <w:pStyle w:val="ListParagraph"/>
        <w:spacing w:after="0" w:line="480" w:lineRule="auto"/>
        <w:ind w:left="0"/>
        <w:contextualSpacing w:val="0"/>
        <w:jc w:val="both"/>
        <w:rPr>
          <w:rFonts w:asciiTheme="majorBidi" w:hAnsiTheme="majorBidi" w:cstheme="majorBidi"/>
          <w:iCs/>
          <w:color w:val="000000" w:themeColor="text1"/>
        </w:rPr>
      </w:pPr>
      <w:r w:rsidRPr="005103A1">
        <w:rPr>
          <w:rFonts w:asciiTheme="majorBidi" w:hAnsiTheme="majorBidi" w:cstheme="majorBidi"/>
          <w:i/>
          <w:color w:val="000000" w:themeColor="text1"/>
        </w:rPr>
        <w:t xml:space="preserve">Carbon performance and </w:t>
      </w:r>
      <w:r w:rsidR="00511F17" w:rsidRPr="005103A1">
        <w:rPr>
          <w:rFonts w:asciiTheme="majorBidi" w:hAnsiTheme="majorBidi" w:cstheme="majorBidi"/>
          <w:i/>
          <w:color w:val="000000" w:themeColor="text1"/>
        </w:rPr>
        <w:t>market</w:t>
      </w:r>
      <w:r w:rsidRPr="005103A1">
        <w:rPr>
          <w:rFonts w:asciiTheme="majorBidi" w:hAnsiTheme="majorBidi" w:cstheme="majorBidi"/>
          <w:i/>
          <w:color w:val="000000" w:themeColor="text1"/>
        </w:rPr>
        <w:t xml:space="preserve"> valu</w:t>
      </w:r>
      <w:r w:rsidR="00511F17" w:rsidRPr="005103A1">
        <w:rPr>
          <w:rFonts w:asciiTheme="majorBidi" w:hAnsiTheme="majorBidi" w:cstheme="majorBidi"/>
          <w:i/>
          <w:color w:val="000000" w:themeColor="text1"/>
        </w:rPr>
        <w:t>e</w:t>
      </w:r>
    </w:p>
    <w:p w14:paraId="015EE187" w14:textId="5A5C0A5D" w:rsidR="00376164" w:rsidRPr="005103A1" w:rsidRDefault="00017F11" w:rsidP="00C00B04">
      <w:pPr>
        <w:spacing w:after="0" w:line="480" w:lineRule="auto"/>
        <w:jc w:val="both"/>
        <w:rPr>
          <w:rFonts w:asciiTheme="majorBidi" w:hAnsiTheme="majorBidi" w:cstheme="majorBidi"/>
        </w:rPr>
      </w:pPr>
      <w:r>
        <w:rPr>
          <w:rFonts w:asciiTheme="majorBidi" w:hAnsiTheme="majorBidi" w:cstheme="majorBidi"/>
          <w:color w:val="000000" w:themeColor="text1"/>
        </w:rPr>
        <w:tab/>
      </w:r>
      <w:r w:rsidR="00D67FA3" w:rsidRPr="005103A1">
        <w:rPr>
          <w:rFonts w:asciiTheme="majorBidi" w:hAnsiTheme="majorBidi" w:cstheme="majorBidi"/>
          <w:color w:val="000000" w:themeColor="text1"/>
        </w:rPr>
        <w:t xml:space="preserve">In line with </w:t>
      </w:r>
      <w:r w:rsidR="00F02344">
        <w:rPr>
          <w:rFonts w:asciiTheme="majorBidi" w:hAnsiTheme="majorBidi" w:cstheme="majorBidi"/>
          <w:color w:val="000000" w:themeColor="text1"/>
        </w:rPr>
        <w:t>NIT</w:t>
      </w:r>
      <w:r w:rsidR="003A6624">
        <w:rPr>
          <w:rFonts w:asciiTheme="majorBidi" w:hAnsiTheme="majorBidi" w:cstheme="majorBidi"/>
          <w:color w:val="000000" w:themeColor="text1"/>
        </w:rPr>
        <w:t>’s</w:t>
      </w:r>
      <w:r w:rsidR="00D67FA3" w:rsidRPr="005103A1">
        <w:rPr>
          <w:rFonts w:asciiTheme="majorBidi" w:hAnsiTheme="majorBidi" w:cstheme="majorBidi"/>
          <w:color w:val="000000" w:themeColor="text1"/>
        </w:rPr>
        <w:t xml:space="preserve"> predictions discussed above</w:t>
      </w:r>
      <w:r w:rsidR="002A2A08" w:rsidRPr="005103A1">
        <w:rPr>
          <w:rFonts w:asciiTheme="majorBidi" w:hAnsiTheme="majorBidi" w:cstheme="majorBidi"/>
          <w:color w:val="000000" w:themeColor="text1"/>
        </w:rPr>
        <w:t xml:space="preserve">, an improved </w:t>
      </w:r>
      <w:r w:rsidR="000B666D" w:rsidRPr="005103A1">
        <w:rPr>
          <w:rFonts w:asciiTheme="majorBidi" w:hAnsiTheme="majorBidi" w:cstheme="majorBidi"/>
          <w:color w:val="000000" w:themeColor="text1"/>
        </w:rPr>
        <w:t>CP</w:t>
      </w:r>
      <w:r w:rsidR="003D7065" w:rsidRPr="005103A1">
        <w:rPr>
          <w:rFonts w:asciiTheme="majorBidi" w:hAnsiTheme="majorBidi" w:cstheme="majorBidi"/>
          <w:color w:val="000000" w:themeColor="text1"/>
        </w:rPr>
        <w:t xml:space="preserve"> is likely to </w:t>
      </w:r>
      <w:r w:rsidR="002918D5" w:rsidRPr="005103A1">
        <w:rPr>
          <w:rFonts w:asciiTheme="majorBidi" w:hAnsiTheme="majorBidi" w:cstheme="majorBidi"/>
          <w:color w:val="000000" w:themeColor="text1"/>
        </w:rPr>
        <w:t>be associated with</w:t>
      </w:r>
      <w:r w:rsidR="003D7065" w:rsidRPr="005103A1">
        <w:rPr>
          <w:rFonts w:asciiTheme="majorBidi" w:hAnsiTheme="majorBidi" w:cstheme="majorBidi"/>
          <w:color w:val="000000" w:themeColor="text1"/>
        </w:rPr>
        <w:t xml:space="preserve"> higher </w:t>
      </w:r>
      <w:r w:rsidR="000B666D" w:rsidRPr="005103A1">
        <w:rPr>
          <w:rFonts w:asciiTheme="majorBidi" w:hAnsiTheme="majorBidi" w:cstheme="majorBidi"/>
          <w:color w:val="000000" w:themeColor="text1"/>
        </w:rPr>
        <w:t>MV</w:t>
      </w:r>
      <w:r w:rsidR="003D7065" w:rsidRPr="005103A1">
        <w:rPr>
          <w:rFonts w:asciiTheme="majorBidi" w:hAnsiTheme="majorBidi" w:cstheme="majorBidi"/>
          <w:color w:val="000000" w:themeColor="text1"/>
        </w:rPr>
        <w:t xml:space="preserve"> </w:t>
      </w:r>
      <w:r w:rsidR="004A3494" w:rsidRPr="005103A1">
        <w:rPr>
          <w:rFonts w:asciiTheme="majorBidi" w:hAnsiTheme="majorBidi" w:cstheme="majorBidi"/>
          <w:color w:val="000000" w:themeColor="text1"/>
        </w:rPr>
        <w:t xml:space="preserve">not only </w:t>
      </w:r>
      <w:r w:rsidR="003D7065" w:rsidRPr="005103A1">
        <w:rPr>
          <w:rFonts w:asciiTheme="majorBidi" w:hAnsiTheme="majorBidi" w:cstheme="majorBidi"/>
          <w:color w:val="000000" w:themeColor="text1"/>
        </w:rPr>
        <w:t xml:space="preserve">through </w:t>
      </w:r>
      <w:r w:rsidR="002A5B4F" w:rsidRPr="005103A1">
        <w:rPr>
          <w:rFonts w:asciiTheme="majorBidi" w:hAnsiTheme="majorBidi" w:cstheme="majorBidi"/>
          <w:color w:val="000000" w:themeColor="text1"/>
        </w:rPr>
        <w:t>energy savings</w:t>
      </w:r>
      <w:r w:rsidR="00F147AC">
        <w:rPr>
          <w:rFonts w:asciiTheme="majorBidi" w:hAnsiTheme="majorBidi" w:cstheme="majorBidi"/>
          <w:color w:val="000000" w:themeColor="text1"/>
        </w:rPr>
        <w:t>/</w:t>
      </w:r>
      <w:r w:rsidR="003D7065" w:rsidRPr="005103A1">
        <w:rPr>
          <w:rFonts w:asciiTheme="majorBidi" w:hAnsiTheme="majorBidi" w:cstheme="majorBidi"/>
          <w:color w:val="000000" w:themeColor="text1"/>
        </w:rPr>
        <w:t>greater operational efficiency</w:t>
      </w:r>
      <w:r w:rsidR="004A3494" w:rsidRPr="005103A1">
        <w:rPr>
          <w:rFonts w:asciiTheme="majorBidi" w:hAnsiTheme="majorBidi" w:cstheme="majorBidi"/>
          <w:color w:val="000000" w:themeColor="text1"/>
        </w:rPr>
        <w:t xml:space="preserve"> and</w:t>
      </w:r>
      <w:r w:rsidR="003D7065" w:rsidRPr="005103A1">
        <w:rPr>
          <w:rFonts w:asciiTheme="majorBidi" w:hAnsiTheme="majorBidi" w:cstheme="majorBidi"/>
          <w:color w:val="000000" w:themeColor="text1"/>
        </w:rPr>
        <w:t xml:space="preserve"> improved access to critical resources</w:t>
      </w:r>
      <w:r w:rsidR="00196DDA">
        <w:rPr>
          <w:rFonts w:asciiTheme="majorBidi" w:hAnsiTheme="majorBidi" w:cstheme="majorBidi"/>
          <w:color w:val="000000" w:themeColor="text1"/>
        </w:rPr>
        <w:t xml:space="preserve"> (‘efficiency’</w:t>
      </w:r>
      <w:r w:rsidR="004A3494" w:rsidRPr="005103A1">
        <w:rPr>
          <w:rFonts w:asciiTheme="majorBidi" w:hAnsiTheme="majorBidi" w:cstheme="majorBidi"/>
          <w:color w:val="000000" w:themeColor="text1"/>
        </w:rPr>
        <w:t>), but also</w:t>
      </w:r>
      <w:r w:rsidR="003D7065" w:rsidRPr="005103A1">
        <w:rPr>
          <w:rFonts w:asciiTheme="majorBidi" w:hAnsiTheme="majorBidi" w:cstheme="majorBidi"/>
          <w:color w:val="000000" w:themeColor="text1"/>
        </w:rPr>
        <w:t xml:space="preserve"> improved environmental legitimacy</w:t>
      </w:r>
      <w:r w:rsidR="00196DDA">
        <w:rPr>
          <w:rFonts w:asciiTheme="majorBidi" w:hAnsiTheme="majorBidi" w:cstheme="majorBidi"/>
          <w:color w:val="000000" w:themeColor="text1"/>
        </w:rPr>
        <w:t xml:space="preserve"> (‘legitimation’</w:t>
      </w:r>
      <w:r w:rsidR="004A3494" w:rsidRPr="005103A1">
        <w:rPr>
          <w:rFonts w:asciiTheme="majorBidi" w:hAnsiTheme="majorBidi" w:cstheme="majorBidi"/>
          <w:color w:val="000000" w:themeColor="text1"/>
        </w:rPr>
        <w:t>)</w:t>
      </w:r>
      <w:r w:rsidR="00116DFD" w:rsidRPr="005103A1">
        <w:rPr>
          <w:rFonts w:asciiTheme="majorBidi" w:hAnsiTheme="majorBidi" w:cstheme="majorBidi"/>
          <w:color w:val="000000" w:themeColor="text1"/>
        </w:rPr>
        <w:t xml:space="preserve"> (Berrone and Gomez-Mejia, 2009; </w:t>
      </w:r>
      <w:r w:rsidR="00116DFD" w:rsidRPr="005103A1">
        <w:rPr>
          <w:rFonts w:asciiTheme="majorBidi" w:hAnsiTheme="majorBidi" w:cstheme="majorBidi"/>
        </w:rPr>
        <w:t xml:space="preserve">de Villiers </w:t>
      </w:r>
      <w:r w:rsidR="00116DFD" w:rsidRPr="005103A1">
        <w:rPr>
          <w:rFonts w:asciiTheme="majorBidi" w:hAnsiTheme="majorBidi" w:cstheme="majorBidi"/>
          <w:i/>
        </w:rPr>
        <w:t>et al.</w:t>
      </w:r>
      <w:r w:rsidR="00116DFD" w:rsidRPr="005103A1">
        <w:rPr>
          <w:rFonts w:asciiTheme="majorBidi" w:hAnsiTheme="majorBidi" w:cstheme="majorBidi"/>
        </w:rPr>
        <w:t>, 2011)</w:t>
      </w:r>
      <w:r w:rsidR="003D7065" w:rsidRPr="005103A1">
        <w:rPr>
          <w:rFonts w:asciiTheme="majorBidi" w:hAnsiTheme="majorBidi" w:cstheme="majorBidi"/>
          <w:color w:val="000000" w:themeColor="text1"/>
        </w:rPr>
        <w:t xml:space="preserve">. </w:t>
      </w:r>
      <w:bookmarkStart w:id="1" w:name="_Hlk525717066"/>
      <w:r w:rsidR="000E1202">
        <w:rPr>
          <w:rFonts w:asciiTheme="majorBidi" w:hAnsiTheme="majorBidi" w:cstheme="majorBidi"/>
          <w:color w:val="000000" w:themeColor="text1"/>
        </w:rPr>
        <w:t xml:space="preserve">From an ‘efficiency’ point of view, </w:t>
      </w:r>
      <w:r w:rsidR="00366E05" w:rsidRPr="005103A1">
        <w:rPr>
          <w:rFonts w:asciiTheme="majorBidi" w:hAnsiTheme="majorBidi" w:cstheme="majorBidi"/>
        </w:rPr>
        <w:t xml:space="preserve">Matsumura </w:t>
      </w:r>
      <w:r w:rsidR="00366E05" w:rsidRPr="005103A1">
        <w:rPr>
          <w:rFonts w:asciiTheme="majorBidi" w:hAnsiTheme="majorBidi" w:cstheme="majorBidi"/>
          <w:i/>
        </w:rPr>
        <w:t>et al.</w:t>
      </w:r>
      <w:r w:rsidR="00366E05" w:rsidRPr="005103A1">
        <w:rPr>
          <w:rFonts w:asciiTheme="majorBidi" w:hAnsiTheme="majorBidi" w:cstheme="majorBidi"/>
        </w:rPr>
        <w:t xml:space="preserve"> (2014) </w:t>
      </w:r>
      <w:r w:rsidR="00541B24" w:rsidRPr="005103A1">
        <w:rPr>
          <w:rFonts w:asciiTheme="majorBidi" w:hAnsiTheme="majorBidi" w:cstheme="majorBidi"/>
        </w:rPr>
        <w:t xml:space="preserve">argue that investors and markets determine </w:t>
      </w:r>
      <w:r w:rsidR="000B666D" w:rsidRPr="005103A1">
        <w:rPr>
          <w:rFonts w:asciiTheme="majorBidi" w:hAnsiTheme="majorBidi" w:cstheme="majorBidi"/>
        </w:rPr>
        <w:t>MV</w:t>
      </w:r>
      <w:r w:rsidR="00541B24" w:rsidRPr="005103A1">
        <w:rPr>
          <w:rFonts w:asciiTheme="majorBidi" w:hAnsiTheme="majorBidi" w:cstheme="majorBidi"/>
        </w:rPr>
        <w:t xml:space="preserve"> by assessing two aspects </w:t>
      </w:r>
      <w:r w:rsidR="00834F3F" w:rsidRPr="005103A1">
        <w:rPr>
          <w:rFonts w:asciiTheme="majorBidi" w:hAnsiTheme="majorBidi" w:cstheme="majorBidi"/>
        </w:rPr>
        <w:t xml:space="preserve">of </w:t>
      </w:r>
      <w:r w:rsidR="00366E05" w:rsidRPr="005103A1">
        <w:rPr>
          <w:rFonts w:asciiTheme="majorBidi" w:hAnsiTheme="majorBidi" w:cstheme="majorBidi"/>
        </w:rPr>
        <w:t>carbon emissions: climate-related risk profile of a firm</w:t>
      </w:r>
      <w:r w:rsidR="0053736F">
        <w:rPr>
          <w:rFonts w:asciiTheme="majorBidi" w:hAnsiTheme="majorBidi" w:cstheme="majorBidi"/>
        </w:rPr>
        <w:t>;</w:t>
      </w:r>
      <w:r w:rsidR="00366E05" w:rsidRPr="005103A1">
        <w:rPr>
          <w:rFonts w:asciiTheme="majorBidi" w:hAnsiTheme="majorBidi" w:cstheme="majorBidi"/>
        </w:rPr>
        <w:t xml:space="preserve"> and the lack of resources and capabilities to integrate climate change risk into business strategy. </w:t>
      </w:r>
      <w:bookmarkEnd w:id="1"/>
      <w:r w:rsidR="00E51AA5">
        <w:rPr>
          <w:rFonts w:asciiTheme="majorBidi" w:hAnsiTheme="majorBidi" w:cstheme="majorBidi"/>
        </w:rPr>
        <w:t>From a ‘symbolic’ aspect</w:t>
      </w:r>
      <w:r w:rsidR="0042588D">
        <w:rPr>
          <w:rFonts w:asciiTheme="majorBidi" w:hAnsiTheme="majorBidi" w:cstheme="majorBidi"/>
        </w:rPr>
        <w:t xml:space="preserve"> of</w:t>
      </w:r>
      <w:r w:rsidR="00E51AA5">
        <w:rPr>
          <w:rFonts w:asciiTheme="majorBidi" w:hAnsiTheme="majorBidi" w:cstheme="majorBidi"/>
        </w:rPr>
        <w:t xml:space="preserve"> NIT, </w:t>
      </w:r>
      <w:r w:rsidR="00A44910" w:rsidRPr="005103A1">
        <w:rPr>
          <w:rFonts w:asciiTheme="majorBidi" w:hAnsiTheme="majorBidi" w:cstheme="majorBidi"/>
          <w:color w:val="000000" w:themeColor="text1"/>
        </w:rPr>
        <w:t xml:space="preserve">powerful executive management might focus on improving </w:t>
      </w:r>
      <w:r w:rsidR="00A44910" w:rsidRPr="005103A1">
        <w:rPr>
          <w:rFonts w:asciiTheme="majorBidi" w:hAnsiTheme="majorBidi" w:cstheme="majorBidi"/>
          <w:color w:val="000000" w:themeColor="text1"/>
        </w:rPr>
        <w:lastRenderedPageBreak/>
        <w:t xml:space="preserve">process-oriented </w:t>
      </w:r>
      <w:r w:rsidR="00DD61C6" w:rsidRPr="005103A1">
        <w:rPr>
          <w:rFonts w:asciiTheme="majorBidi" w:hAnsiTheme="majorBidi" w:cstheme="majorBidi"/>
          <w:color w:val="000000" w:themeColor="text1"/>
        </w:rPr>
        <w:t>CP</w:t>
      </w:r>
      <w:r w:rsidR="00A44910" w:rsidRPr="005103A1">
        <w:rPr>
          <w:rFonts w:asciiTheme="majorBidi" w:hAnsiTheme="majorBidi" w:cstheme="majorBidi"/>
          <w:color w:val="000000" w:themeColor="text1"/>
        </w:rPr>
        <w:t xml:space="preserve"> </w:t>
      </w:r>
      <w:r w:rsidR="00090065" w:rsidRPr="005103A1">
        <w:rPr>
          <w:rFonts w:asciiTheme="majorBidi" w:hAnsiTheme="majorBidi" w:cstheme="majorBidi"/>
          <w:color w:val="000000" w:themeColor="text1"/>
        </w:rPr>
        <w:t xml:space="preserve">in order </w:t>
      </w:r>
      <w:r w:rsidR="00A44910" w:rsidRPr="005103A1">
        <w:rPr>
          <w:rFonts w:asciiTheme="majorBidi" w:hAnsiTheme="majorBidi" w:cstheme="majorBidi"/>
          <w:color w:val="000000" w:themeColor="text1"/>
        </w:rPr>
        <w:t>to gain</w:t>
      </w:r>
      <w:r w:rsidR="00857ECD" w:rsidRPr="005103A1">
        <w:rPr>
          <w:rFonts w:asciiTheme="majorBidi" w:hAnsiTheme="majorBidi" w:cstheme="majorBidi"/>
          <w:color w:val="000000" w:themeColor="text1"/>
        </w:rPr>
        <w:t xml:space="preserve"> environmental legitimacy and hence,</w:t>
      </w:r>
      <w:r w:rsidR="00A44910" w:rsidRPr="005103A1">
        <w:rPr>
          <w:rFonts w:asciiTheme="majorBidi" w:hAnsiTheme="majorBidi" w:cstheme="majorBidi"/>
          <w:color w:val="000000" w:themeColor="text1"/>
        </w:rPr>
        <w:t xml:space="preserve"> impress investors and markets</w:t>
      </w:r>
      <w:r w:rsidR="00E51AA5">
        <w:rPr>
          <w:rFonts w:asciiTheme="majorBidi" w:hAnsiTheme="majorBidi" w:cstheme="majorBidi"/>
          <w:color w:val="000000" w:themeColor="text1"/>
        </w:rPr>
        <w:t xml:space="preserve"> (</w:t>
      </w:r>
      <w:r w:rsidR="00E51AA5" w:rsidRPr="005103A1">
        <w:rPr>
          <w:rFonts w:asciiTheme="majorBidi" w:hAnsiTheme="majorBidi" w:cstheme="majorBidi"/>
          <w:color w:val="000000" w:themeColor="text1"/>
        </w:rPr>
        <w:t xml:space="preserve">Delmas </w:t>
      </w:r>
      <w:r w:rsidR="00E51AA5" w:rsidRPr="005103A1">
        <w:rPr>
          <w:rFonts w:asciiTheme="majorBidi" w:hAnsiTheme="majorBidi" w:cstheme="majorBidi"/>
          <w:i/>
          <w:iCs/>
          <w:color w:val="000000" w:themeColor="text1"/>
        </w:rPr>
        <w:t>et al.</w:t>
      </w:r>
      <w:r w:rsidR="00E51AA5" w:rsidRPr="005103A1">
        <w:rPr>
          <w:rFonts w:asciiTheme="majorBidi" w:hAnsiTheme="majorBidi" w:cstheme="majorBidi"/>
          <w:color w:val="000000" w:themeColor="text1"/>
        </w:rPr>
        <w:t xml:space="preserve"> 2013)</w:t>
      </w:r>
      <w:r w:rsidR="00A44910" w:rsidRPr="005103A1">
        <w:rPr>
          <w:rFonts w:asciiTheme="majorBidi" w:hAnsiTheme="majorBidi" w:cstheme="majorBidi"/>
          <w:color w:val="000000" w:themeColor="text1"/>
        </w:rPr>
        <w:t xml:space="preserve">. </w:t>
      </w:r>
      <w:r w:rsidR="00E51AA5">
        <w:rPr>
          <w:rFonts w:asciiTheme="majorBidi" w:hAnsiTheme="majorBidi" w:cstheme="majorBidi"/>
          <w:color w:val="000000" w:themeColor="text1"/>
        </w:rPr>
        <w:t xml:space="preserve">Similarly, as </w:t>
      </w:r>
      <w:r w:rsidR="00E51AA5" w:rsidRPr="005103A1">
        <w:rPr>
          <w:rFonts w:asciiTheme="majorBidi" w:hAnsiTheme="majorBidi" w:cstheme="majorBidi"/>
        </w:rPr>
        <w:t xml:space="preserve">Matsumura </w:t>
      </w:r>
      <w:r w:rsidR="00E51AA5" w:rsidRPr="005103A1">
        <w:rPr>
          <w:rFonts w:asciiTheme="majorBidi" w:hAnsiTheme="majorBidi" w:cstheme="majorBidi"/>
          <w:i/>
        </w:rPr>
        <w:t>et al.</w:t>
      </w:r>
      <w:r w:rsidR="00E51AA5" w:rsidRPr="005103A1">
        <w:rPr>
          <w:rFonts w:asciiTheme="majorBidi" w:hAnsiTheme="majorBidi" w:cstheme="majorBidi"/>
        </w:rPr>
        <w:t xml:space="preserve"> (2014)</w:t>
      </w:r>
      <w:r w:rsidR="00E51AA5">
        <w:rPr>
          <w:rFonts w:asciiTheme="majorBidi" w:hAnsiTheme="majorBidi" w:cstheme="majorBidi"/>
        </w:rPr>
        <w:t xml:space="preserve"> </w:t>
      </w:r>
      <w:r w:rsidR="00E51AA5" w:rsidRPr="005103A1">
        <w:rPr>
          <w:rFonts w:asciiTheme="majorBidi" w:hAnsiTheme="majorBidi" w:cstheme="majorBidi"/>
        </w:rPr>
        <w:t>argue</w:t>
      </w:r>
      <w:r w:rsidR="00E51AA5">
        <w:rPr>
          <w:rFonts w:asciiTheme="majorBidi" w:hAnsiTheme="majorBidi" w:cstheme="majorBidi"/>
        </w:rPr>
        <w:t>,</w:t>
      </w:r>
      <w:r w:rsidR="00E51AA5" w:rsidRPr="005103A1">
        <w:rPr>
          <w:rFonts w:asciiTheme="majorBidi" w:hAnsiTheme="majorBidi" w:cstheme="majorBidi"/>
        </w:rPr>
        <w:t xml:space="preserve"> markets may not </w:t>
      </w:r>
      <w:r w:rsidR="001D76D5">
        <w:rPr>
          <w:rFonts w:asciiTheme="majorBidi" w:hAnsiTheme="majorBidi" w:cstheme="majorBidi"/>
        </w:rPr>
        <w:t xml:space="preserve">always </w:t>
      </w:r>
      <w:r w:rsidR="0062299D">
        <w:rPr>
          <w:rFonts w:asciiTheme="majorBidi" w:hAnsiTheme="majorBidi" w:cstheme="majorBidi"/>
        </w:rPr>
        <w:t>un</w:t>
      </w:r>
      <w:r w:rsidR="00AD01E2">
        <w:rPr>
          <w:rFonts w:asciiTheme="majorBidi" w:hAnsiTheme="majorBidi" w:cstheme="majorBidi"/>
        </w:rPr>
        <w:t>d</w:t>
      </w:r>
      <w:r w:rsidR="0062299D">
        <w:rPr>
          <w:rFonts w:asciiTheme="majorBidi" w:hAnsiTheme="majorBidi" w:cstheme="majorBidi"/>
        </w:rPr>
        <w:t>ervalue</w:t>
      </w:r>
      <w:r w:rsidR="00E51AA5" w:rsidRPr="005103A1">
        <w:rPr>
          <w:rFonts w:asciiTheme="majorBidi" w:hAnsiTheme="majorBidi" w:cstheme="majorBidi"/>
        </w:rPr>
        <w:t xml:space="preserve"> firms with greater carbon emission if their voluntarily disclosed emission</w:t>
      </w:r>
      <w:r w:rsidR="00496C67">
        <w:rPr>
          <w:rFonts w:asciiTheme="majorBidi" w:hAnsiTheme="majorBidi" w:cstheme="majorBidi"/>
        </w:rPr>
        <w:t>s</w:t>
      </w:r>
      <w:r w:rsidR="00E51AA5" w:rsidRPr="005103A1">
        <w:rPr>
          <w:rFonts w:asciiTheme="majorBidi" w:hAnsiTheme="majorBidi" w:cstheme="majorBidi"/>
        </w:rPr>
        <w:t xml:space="preserve"> data are insufficiently reliable.</w:t>
      </w:r>
      <w:r w:rsidR="00E51AA5">
        <w:rPr>
          <w:rFonts w:asciiTheme="majorBidi" w:hAnsiTheme="majorBidi" w:cstheme="majorBidi"/>
        </w:rPr>
        <w:t xml:space="preserve"> In </w:t>
      </w:r>
      <w:r w:rsidR="00C441F0">
        <w:rPr>
          <w:rFonts w:asciiTheme="majorBidi" w:hAnsiTheme="majorBidi" w:cstheme="majorBidi"/>
        </w:rPr>
        <w:t>this circumstance</w:t>
      </w:r>
      <w:r w:rsidR="00E51AA5">
        <w:rPr>
          <w:rFonts w:asciiTheme="majorBidi" w:hAnsiTheme="majorBidi" w:cstheme="majorBidi"/>
        </w:rPr>
        <w:t xml:space="preserve">, markets might reward </w:t>
      </w:r>
      <w:r w:rsidR="00C441F0">
        <w:rPr>
          <w:rFonts w:asciiTheme="majorBidi" w:hAnsiTheme="majorBidi" w:cstheme="majorBidi"/>
        </w:rPr>
        <w:t>process-oriented</w:t>
      </w:r>
      <w:r w:rsidR="00E45E41">
        <w:rPr>
          <w:rFonts w:asciiTheme="majorBidi" w:hAnsiTheme="majorBidi" w:cstheme="majorBidi"/>
        </w:rPr>
        <w:t>, rather than actual</w:t>
      </w:r>
      <w:r w:rsidR="00A50A24">
        <w:rPr>
          <w:rFonts w:asciiTheme="majorBidi" w:hAnsiTheme="majorBidi" w:cstheme="majorBidi"/>
        </w:rPr>
        <w:t>-</w:t>
      </w:r>
      <w:r w:rsidR="00C441F0">
        <w:rPr>
          <w:rFonts w:asciiTheme="majorBidi" w:hAnsiTheme="majorBidi" w:cstheme="majorBidi"/>
        </w:rPr>
        <w:t>CP</w:t>
      </w:r>
      <w:r w:rsidR="00E45E41">
        <w:rPr>
          <w:rFonts w:asciiTheme="majorBidi" w:hAnsiTheme="majorBidi" w:cstheme="majorBidi"/>
        </w:rPr>
        <w:t xml:space="preserve"> of a firm</w:t>
      </w:r>
      <w:r w:rsidR="00C441F0">
        <w:rPr>
          <w:rFonts w:asciiTheme="majorBidi" w:hAnsiTheme="majorBidi" w:cstheme="majorBidi"/>
        </w:rPr>
        <w:t xml:space="preserve">, </w:t>
      </w:r>
      <w:r w:rsidR="00E45E41">
        <w:rPr>
          <w:rFonts w:asciiTheme="majorBidi" w:hAnsiTheme="majorBidi" w:cstheme="majorBidi"/>
        </w:rPr>
        <w:t>as the former can easily be communicated to the markets</w:t>
      </w:r>
      <w:r w:rsidR="00C441F0">
        <w:rPr>
          <w:rFonts w:asciiTheme="majorBidi" w:hAnsiTheme="majorBidi" w:cstheme="majorBidi"/>
        </w:rPr>
        <w:t xml:space="preserve">. </w:t>
      </w:r>
      <w:r w:rsidR="00C56C28" w:rsidRPr="005103A1">
        <w:rPr>
          <w:rFonts w:asciiTheme="majorBidi" w:hAnsiTheme="majorBidi" w:cstheme="majorBidi"/>
        </w:rPr>
        <w:t xml:space="preserve">Accordingly, firms </w:t>
      </w:r>
      <w:r w:rsidR="00857ECD" w:rsidRPr="005103A1">
        <w:rPr>
          <w:rFonts w:asciiTheme="majorBidi" w:hAnsiTheme="majorBidi" w:cstheme="majorBidi"/>
        </w:rPr>
        <w:t xml:space="preserve">may </w:t>
      </w:r>
      <w:r w:rsidR="0038414B" w:rsidRPr="005103A1">
        <w:rPr>
          <w:rFonts w:asciiTheme="majorBidi" w:hAnsiTheme="majorBidi" w:cstheme="majorBidi"/>
        </w:rPr>
        <w:t xml:space="preserve">focus on </w:t>
      </w:r>
      <w:r w:rsidR="00C56C28" w:rsidRPr="005103A1">
        <w:rPr>
          <w:rFonts w:asciiTheme="majorBidi" w:hAnsiTheme="majorBidi" w:cstheme="majorBidi"/>
        </w:rPr>
        <w:t>improv</w:t>
      </w:r>
      <w:r w:rsidR="0038414B" w:rsidRPr="005103A1">
        <w:rPr>
          <w:rFonts w:asciiTheme="majorBidi" w:hAnsiTheme="majorBidi" w:cstheme="majorBidi"/>
        </w:rPr>
        <w:t>ing</w:t>
      </w:r>
      <w:r w:rsidR="00C56C28" w:rsidRPr="005103A1">
        <w:rPr>
          <w:rFonts w:asciiTheme="majorBidi" w:hAnsiTheme="majorBidi" w:cstheme="majorBidi"/>
        </w:rPr>
        <w:t xml:space="preserve"> process-oriented </w:t>
      </w:r>
      <w:r w:rsidR="00DD61C6" w:rsidRPr="005103A1">
        <w:rPr>
          <w:rFonts w:asciiTheme="majorBidi" w:hAnsiTheme="majorBidi" w:cstheme="majorBidi"/>
        </w:rPr>
        <w:t>CP</w:t>
      </w:r>
      <w:r w:rsidR="00471863" w:rsidRPr="005103A1">
        <w:rPr>
          <w:rFonts w:asciiTheme="majorBidi" w:hAnsiTheme="majorBidi" w:cstheme="majorBidi"/>
        </w:rPr>
        <w:t xml:space="preserve">, which is </w:t>
      </w:r>
      <w:r w:rsidR="00A046C6" w:rsidRPr="005103A1">
        <w:rPr>
          <w:rFonts w:asciiTheme="majorBidi" w:hAnsiTheme="majorBidi" w:cstheme="majorBidi"/>
        </w:rPr>
        <w:t xml:space="preserve">expected </w:t>
      </w:r>
      <w:r w:rsidR="00C56C28" w:rsidRPr="005103A1">
        <w:rPr>
          <w:rFonts w:asciiTheme="majorBidi" w:hAnsiTheme="majorBidi" w:cstheme="majorBidi"/>
        </w:rPr>
        <w:t>to be perceived favourably by the market</w:t>
      </w:r>
      <w:r w:rsidR="00A046C6" w:rsidRPr="005103A1">
        <w:rPr>
          <w:rFonts w:asciiTheme="majorBidi" w:hAnsiTheme="majorBidi" w:cstheme="majorBidi"/>
        </w:rPr>
        <w:t xml:space="preserve">, </w:t>
      </w:r>
      <w:r w:rsidR="004A3494" w:rsidRPr="005103A1">
        <w:rPr>
          <w:rFonts w:asciiTheme="majorBidi" w:hAnsiTheme="majorBidi" w:cstheme="majorBidi"/>
        </w:rPr>
        <w:t xml:space="preserve">and thereby </w:t>
      </w:r>
      <w:r w:rsidR="00471863" w:rsidRPr="005103A1">
        <w:rPr>
          <w:rFonts w:asciiTheme="majorBidi" w:hAnsiTheme="majorBidi" w:cstheme="majorBidi"/>
        </w:rPr>
        <w:t xml:space="preserve">leading to an improved </w:t>
      </w:r>
      <w:r w:rsidR="00DD61C6" w:rsidRPr="005103A1">
        <w:rPr>
          <w:rFonts w:asciiTheme="majorBidi" w:hAnsiTheme="majorBidi" w:cstheme="majorBidi"/>
        </w:rPr>
        <w:t>MV</w:t>
      </w:r>
      <w:r w:rsidR="00C56C28" w:rsidRPr="005103A1">
        <w:rPr>
          <w:rFonts w:asciiTheme="majorBidi" w:hAnsiTheme="majorBidi" w:cstheme="majorBidi"/>
        </w:rPr>
        <w:t xml:space="preserve">. </w:t>
      </w:r>
    </w:p>
    <w:p w14:paraId="534E5F0A" w14:textId="3F032A2F" w:rsidR="0083695E" w:rsidRPr="005103A1" w:rsidRDefault="00A046C6" w:rsidP="00DD61C6">
      <w:pPr>
        <w:spacing w:after="0" w:line="480" w:lineRule="auto"/>
        <w:ind w:firstLine="720"/>
        <w:jc w:val="both"/>
        <w:rPr>
          <w:rFonts w:asciiTheme="majorBidi" w:hAnsiTheme="majorBidi" w:cstheme="majorBidi"/>
        </w:rPr>
      </w:pPr>
      <w:r w:rsidRPr="005103A1">
        <w:rPr>
          <w:rFonts w:asciiTheme="majorBidi" w:hAnsiTheme="majorBidi" w:cstheme="majorBidi"/>
          <w:color w:val="000000" w:themeColor="text1"/>
        </w:rPr>
        <w:t xml:space="preserve">Noticeably, </w:t>
      </w:r>
      <w:r w:rsidR="007608BF" w:rsidRPr="005103A1">
        <w:rPr>
          <w:rFonts w:asciiTheme="majorBidi" w:hAnsiTheme="majorBidi" w:cstheme="majorBidi"/>
          <w:color w:val="000000" w:themeColor="text1"/>
        </w:rPr>
        <w:t xml:space="preserve">a limited number of </w:t>
      </w:r>
      <w:r w:rsidR="00532D78" w:rsidRPr="005103A1">
        <w:rPr>
          <w:rFonts w:asciiTheme="majorBidi" w:hAnsiTheme="majorBidi" w:cstheme="majorBidi"/>
          <w:color w:val="000000" w:themeColor="text1"/>
        </w:rPr>
        <w:t xml:space="preserve">empirical </w:t>
      </w:r>
      <w:r w:rsidR="007608BF" w:rsidRPr="005103A1">
        <w:rPr>
          <w:rFonts w:asciiTheme="majorBidi" w:hAnsiTheme="majorBidi" w:cstheme="majorBidi"/>
          <w:color w:val="000000" w:themeColor="text1"/>
        </w:rPr>
        <w:t>studies</w:t>
      </w:r>
      <w:r w:rsidR="0092029E" w:rsidRPr="005103A1">
        <w:rPr>
          <w:rFonts w:asciiTheme="majorBidi" w:hAnsiTheme="majorBidi" w:cstheme="majorBidi"/>
          <w:color w:val="000000" w:themeColor="text1"/>
        </w:rPr>
        <w:t xml:space="preserve"> (</w:t>
      </w:r>
      <w:r w:rsidR="00F02416" w:rsidRPr="00FB3918">
        <w:rPr>
          <w:rFonts w:asciiTheme="majorBidi" w:hAnsiTheme="majorBidi" w:cstheme="majorBidi"/>
        </w:rPr>
        <w:t xml:space="preserve">Clarkson </w:t>
      </w:r>
      <w:r w:rsidR="00F02416" w:rsidRPr="00FB3918">
        <w:rPr>
          <w:rFonts w:asciiTheme="majorBidi" w:hAnsiTheme="majorBidi" w:cstheme="majorBidi"/>
          <w:i/>
          <w:iCs/>
        </w:rPr>
        <w:t>et al</w:t>
      </w:r>
      <w:r w:rsidR="00F02416" w:rsidRPr="00FB3918">
        <w:rPr>
          <w:rFonts w:asciiTheme="majorBidi" w:hAnsiTheme="majorBidi" w:cstheme="majorBidi"/>
        </w:rPr>
        <w:t>., 2015;</w:t>
      </w:r>
      <w:r w:rsidR="00C00B04" w:rsidRPr="008A3C22">
        <w:rPr>
          <w:rFonts w:asciiTheme="majorBidi" w:hAnsiTheme="majorBidi" w:cstheme="majorBidi"/>
        </w:rPr>
        <w:t xml:space="preserve"> </w:t>
      </w:r>
      <w:proofErr w:type="spellStart"/>
      <w:r w:rsidR="00FE04F4" w:rsidRPr="00017F11">
        <w:rPr>
          <w:rFonts w:asciiTheme="majorBidi" w:hAnsiTheme="majorBidi" w:cstheme="majorBidi"/>
        </w:rPr>
        <w:t>Lins</w:t>
      </w:r>
      <w:proofErr w:type="spellEnd"/>
      <w:r w:rsidR="00FE04F4" w:rsidRPr="00017F11">
        <w:rPr>
          <w:rFonts w:asciiTheme="majorBidi" w:hAnsiTheme="majorBidi" w:cstheme="majorBidi"/>
        </w:rPr>
        <w:t xml:space="preserve"> </w:t>
      </w:r>
      <w:r w:rsidR="00FE04F4" w:rsidRPr="00017F11">
        <w:rPr>
          <w:rFonts w:asciiTheme="majorBidi" w:hAnsiTheme="majorBidi" w:cstheme="majorBidi"/>
          <w:i/>
          <w:iCs/>
        </w:rPr>
        <w:t>et al.,</w:t>
      </w:r>
      <w:r w:rsidR="00FE04F4" w:rsidRPr="00017F11">
        <w:rPr>
          <w:rFonts w:asciiTheme="majorBidi" w:hAnsiTheme="majorBidi" w:cstheme="majorBidi"/>
        </w:rPr>
        <w:t xml:space="preserve"> 2017;</w:t>
      </w:r>
      <w:r w:rsidR="00FE04F4" w:rsidRPr="004F3236">
        <w:rPr>
          <w:rFonts w:asciiTheme="majorBidi" w:hAnsiTheme="majorBidi" w:cstheme="majorBidi"/>
        </w:rPr>
        <w:t xml:space="preserve"> </w:t>
      </w:r>
      <w:r w:rsidR="0092029E" w:rsidRPr="00D86C37">
        <w:rPr>
          <w:rFonts w:asciiTheme="majorBidi" w:hAnsiTheme="majorBidi" w:cstheme="majorBidi"/>
        </w:rPr>
        <w:t xml:space="preserve">Qian and </w:t>
      </w:r>
      <w:proofErr w:type="spellStart"/>
      <w:r w:rsidR="0092029E" w:rsidRPr="00D86C37">
        <w:rPr>
          <w:rFonts w:asciiTheme="majorBidi" w:hAnsiTheme="majorBidi" w:cstheme="majorBidi"/>
        </w:rPr>
        <w:t>Schaltegger</w:t>
      </w:r>
      <w:proofErr w:type="spellEnd"/>
      <w:r w:rsidR="0092029E" w:rsidRPr="00D86C37">
        <w:rPr>
          <w:rFonts w:asciiTheme="majorBidi" w:hAnsiTheme="majorBidi" w:cstheme="majorBidi"/>
        </w:rPr>
        <w:t>, 2017</w:t>
      </w:r>
      <w:r w:rsidR="00366E05" w:rsidRPr="005103A1">
        <w:rPr>
          <w:rFonts w:asciiTheme="majorBidi" w:hAnsiTheme="majorBidi" w:cstheme="majorBidi"/>
          <w:color w:val="000000" w:themeColor="text1"/>
        </w:rPr>
        <w:t xml:space="preserve">) </w:t>
      </w:r>
      <w:r w:rsidR="007608BF" w:rsidRPr="005103A1">
        <w:rPr>
          <w:rFonts w:asciiTheme="majorBidi" w:hAnsiTheme="majorBidi" w:cstheme="majorBidi"/>
          <w:color w:val="000000" w:themeColor="text1"/>
        </w:rPr>
        <w:t xml:space="preserve">have examined </w:t>
      </w:r>
      <w:r w:rsidR="00366E05" w:rsidRPr="005103A1">
        <w:rPr>
          <w:rFonts w:asciiTheme="majorBidi" w:hAnsiTheme="majorBidi" w:cstheme="majorBidi"/>
          <w:color w:val="000000" w:themeColor="text1"/>
        </w:rPr>
        <w:t xml:space="preserve">the impact of GHG disclosures and/or emissions on </w:t>
      </w:r>
      <w:r w:rsidR="00DD61C6" w:rsidRPr="005103A1">
        <w:rPr>
          <w:rFonts w:asciiTheme="majorBidi" w:hAnsiTheme="majorBidi" w:cstheme="majorBidi"/>
          <w:color w:val="000000" w:themeColor="text1"/>
        </w:rPr>
        <w:t>MV</w:t>
      </w:r>
      <w:r w:rsidR="00366E05" w:rsidRPr="005103A1">
        <w:rPr>
          <w:rFonts w:asciiTheme="majorBidi" w:hAnsiTheme="majorBidi" w:cstheme="majorBidi"/>
          <w:color w:val="000000" w:themeColor="text1"/>
        </w:rPr>
        <w:t xml:space="preserve">. </w:t>
      </w:r>
      <w:r w:rsidRPr="005103A1">
        <w:rPr>
          <w:rFonts w:asciiTheme="majorBidi" w:hAnsiTheme="majorBidi" w:cstheme="majorBidi"/>
          <w:color w:val="000000" w:themeColor="text1"/>
        </w:rPr>
        <w:t>For example</w:t>
      </w:r>
      <w:r w:rsidR="00366E05" w:rsidRPr="005103A1">
        <w:rPr>
          <w:rFonts w:asciiTheme="majorBidi" w:hAnsiTheme="majorBidi" w:cstheme="majorBidi"/>
          <w:color w:val="000000" w:themeColor="text1"/>
        </w:rPr>
        <w:t xml:space="preserve">, </w:t>
      </w:r>
      <w:r w:rsidR="00366E05" w:rsidRPr="005103A1">
        <w:rPr>
          <w:rFonts w:asciiTheme="majorBidi" w:hAnsiTheme="majorBidi" w:cstheme="majorBidi"/>
        </w:rPr>
        <w:t xml:space="preserve">Matsumura </w:t>
      </w:r>
      <w:r w:rsidR="00366E05" w:rsidRPr="005103A1">
        <w:rPr>
          <w:rFonts w:asciiTheme="majorBidi" w:hAnsiTheme="majorBidi" w:cstheme="majorBidi"/>
          <w:i/>
        </w:rPr>
        <w:t>et al.</w:t>
      </w:r>
      <w:r w:rsidR="00366E05" w:rsidRPr="005103A1">
        <w:rPr>
          <w:rFonts w:asciiTheme="majorBidi" w:hAnsiTheme="majorBidi" w:cstheme="majorBidi"/>
        </w:rPr>
        <w:t xml:space="preserve"> (2014) find an inverse association between </w:t>
      </w:r>
      <w:r w:rsidR="00DD61C6" w:rsidRPr="005103A1">
        <w:rPr>
          <w:rFonts w:asciiTheme="majorBidi" w:hAnsiTheme="majorBidi" w:cstheme="majorBidi"/>
        </w:rPr>
        <w:t xml:space="preserve">actual </w:t>
      </w:r>
      <w:r w:rsidR="00366E05" w:rsidRPr="005103A1">
        <w:rPr>
          <w:rFonts w:asciiTheme="majorBidi" w:hAnsiTheme="majorBidi" w:cstheme="majorBidi"/>
        </w:rPr>
        <w:t xml:space="preserve">GHG emissions and </w:t>
      </w:r>
      <w:r w:rsidR="00DD61C6" w:rsidRPr="005103A1">
        <w:rPr>
          <w:rFonts w:asciiTheme="majorBidi" w:hAnsiTheme="majorBidi" w:cstheme="majorBidi"/>
        </w:rPr>
        <w:t>MV</w:t>
      </w:r>
      <w:r w:rsidR="00ED1B1E">
        <w:rPr>
          <w:rFonts w:asciiTheme="majorBidi" w:hAnsiTheme="majorBidi" w:cstheme="majorBidi"/>
        </w:rPr>
        <w:t xml:space="preserve"> in </w:t>
      </w:r>
      <w:r w:rsidR="00ED1B1E" w:rsidRPr="005103A1">
        <w:rPr>
          <w:rFonts w:asciiTheme="majorBidi" w:hAnsiTheme="majorBidi" w:cstheme="majorBidi"/>
          <w:color w:val="000000" w:themeColor="text1"/>
        </w:rPr>
        <w:t>S&amp;P 500 companies</w:t>
      </w:r>
      <w:r w:rsidR="00366E05" w:rsidRPr="005103A1">
        <w:rPr>
          <w:rFonts w:asciiTheme="majorBidi" w:hAnsiTheme="majorBidi" w:cstheme="majorBidi"/>
        </w:rPr>
        <w:t xml:space="preserve">. </w:t>
      </w:r>
      <w:r w:rsidR="00BD771F" w:rsidRPr="005103A1">
        <w:rPr>
          <w:rFonts w:asciiTheme="majorBidi" w:hAnsiTheme="majorBidi" w:cstheme="majorBidi"/>
        </w:rPr>
        <w:t xml:space="preserve">Similarly, </w:t>
      </w:r>
      <w:r w:rsidR="00366E05" w:rsidRPr="005103A1">
        <w:rPr>
          <w:rFonts w:asciiTheme="majorBidi" w:hAnsiTheme="majorBidi" w:cstheme="majorBidi"/>
        </w:rPr>
        <w:t xml:space="preserve">Kim </w:t>
      </w:r>
      <w:r w:rsidR="00366E05" w:rsidRPr="005103A1">
        <w:rPr>
          <w:rFonts w:asciiTheme="majorBidi" w:hAnsiTheme="majorBidi" w:cstheme="majorBidi"/>
          <w:i/>
        </w:rPr>
        <w:t>et al.</w:t>
      </w:r>
      <w:r w:rsidR="00366E05" w:rsidRPr="005103A1">
        <w:rPr>
          <w:rFonts w:asciiTheme="majorBidi" w:hAnsiTheme="majorBidi" w:cstheme="majorBidi"/>
        </w:rPr>
        <w:t xml:space="preserve"> (2015) find that carbon intensity is positively associated with cost of capital of Korean firms. </w:t>
      </w:r>
      <w:r w:rsidR="00532D78" w:rsidRPr="005103A1">
        <w:rPr>
          <w:rFonts w:asciiTheme="majorBidi" w:hAnsiTheme="majorBidi" w:cstheme="majorBidi"/>
        </w:rPr>
        <w:t>In contrast,</w:t>
      </w:r>
      <w:r w:rsidR="00532D78" w:rsidRPr="005103A1">
        <w:rPr>
          <w:rFonts w:asciiTheme="majorBidi" w:hAnsiTheme="majorBidi" w:cstheme="majorBidi"/>
          <w:lang w:val="en-US"/>
        </w:rPr>
        <w:t xml:space="preserve"> past</w:t>
      </w:r>
      <w:r w:rsidR="009E61C9" w:rsidRPr="005103A1">
        <w:rPr>
          <w:rFonts w:asciiTheme="majorBidi" w:hAnsiTheme="majorBidi" w:cstheme="majorBidi"/>
          <w:lang w:val="en-US"/>
        </w:rPr>
        <w:t xml:space="preserve"> </w:t>
      </w:r>
      <w:r w:rsidR="00532D78" w:rsidRPr="005103A1">
        <w:rPr>
          <w:rFonts w:asciiTheme="majorBidi" w:hAnsiTheme="majorBidi" w:cstheme="majorBidi"/>
          <w:lang w:val="en-US"/>
        </w:rPr>
        <w:t>studies</w:t>
      </w:r>
      <w:r w:rsidR="009E61C9" w:rsidRPr="005103A1">
        <w:rPr>
          <w:rFonts w:asciiTheme="majorBidi" w:hAnsiTheme="majorBidi" w:cstheme="majorBidi"/>
          <w:lang w:val="en-US"/>
        </w:rPr>
        <w:t xml:space="preserve"> examining both process-oriented and actual</w:t>
      </w:r>
      <w:r w:rsidR="009D6FD0" w:rsidRPr="005103A1">
        <w:rPr>
          <w:rFonts w:asciiTheme="majorBidi" w:hAnsiTheme="majorBidi" w:cstheme="majorBidi"/>
          <w:lang w:val="en-US"/>
        </w:rPr>
        <w:t>-</w:t>
      </w:r>
      <w:r w:rsidR="00DD61C6" w:rsidRPr="005103A1">
        <w:rPr>
          <w:rFonts w:asciiTheme="majorBidi" w:hAnsiTheme="majorBidi" w:cstheme="majorBidi"/>
          <w:lang w:val="en-US"/>
        </w:rPr>
        <w:t>CP</w:t>
      </w:r>
      <w:r w:rsidR="009E61C9" w:rsidRPr="005103A1">
        <w:rPr>
          <w:rFonts w:asciiTheme="majorBidi" w:hAnsiTheme="majorBidi" w:cstheme="majorBidi"/>
          <w:lang w:val="en-US"/>
        </w:rPr>
        <w:t xml:space="preserve"> </w:t>
      </w:r>
      <w:r w:rsidR="00026F84" w:rsidRPr="005103A1">
        <w:rPr>
          <w:rFonts w:asciiTheme="majorBidi" w:hAnsiTheme="majorBidi" w:cstheme="majorBidi"/>
          <w:lang w:val="en-US"/>
        </w:rPr>
        <w:t xml:space="preserve">are relatively scarce. Studies by Busch and Hoffmann (2011) and Delmas </w:t>
      </w:r>
      <w:r w:rsidR="00026F84" w:rsidRPr="005103A1">
        <w:rPr>
          <w:rFonts w:asciiTheme="majorBidi" w:hAnsiTheme="majorBidi" w:cstheme="majorBidi"/>
          <w:i/>
          <w:lang w:val="en-US"/>
        </w:rPr>
        <w:t>et al.</w:t>
      </w:r>
      <w:r w:rsidR="00026F84" w:rsidRPr="005103A1">
        <w:rPr>
          <w:rFonts w:asciiTheme="majorBidi" w:hAnsiTheme="majorBidi" w:cstheme="majorBidi"/>
          <w:lang w:val="en-US"/>
        </w:rPr>
        <w:t xml:space="preserve"> (2013) are discernible exceptions. </w:t>
      </w:r>
      <w:r w:rsidR="00532D78" w:rsidRPr="005103A1">
        <w:rPr>
          <w:rFonts w:asciiTheme="majorBidi" w:hAnsiTheme="majorBidi" w:cstheme="majorBidi"/>
          <w:lang w:val="en-US"/>
        </w:rPr>
        <w:t>For instance</w:t>
      </w:r>
      <w:r w:rsidR="009E61C9" w:rsidRPr="005103A1">
        <w:rPr>
          <w:rFonts w:asciiTheme="majorBidi" w:hAnsiTheme="majorBidi" w:cstheme="majorBidi"/>
          <w:lang w:val="en-US"/>
        </w:rPr>
        <w:t xml:space="preserve">, </w:t>
      </w:r>
      <w:r w:rsidR="009E61C9" w:rsidRPr="005103A1">
        <w:rPr>
          <w:rFonts w:asciiTheme="majorBidi" w:hAnsiTheme="majorBidi" w:cstheme="majorBidi"/>
        </w:rPr>
        <w:t xml:space="preserve">Busch and Hoffmann (2011) find that actual </w:t>
      </w:r>
      <w:r w:rsidR="00DD61C6" w:rsidRPr="005103A1">
        <w:rPr>
          <w:rFonts w:asciiTheme="majorBidi" w:hAnsiTheme="majorBidi" w:cstheme="majorBidi"/>
        </w:rPr>
        <w:t>CP</w:t>
      </w:r>
      <w:r w:rsidR="009E61C9" w:rsidRPr="005103A1">
        <w:rPr>
          <w:rFonts w:asciiTheme="majorBidi" w:hAnsiTheme="majorBidi" w:cstheme="majorBidi"/>
        </w:rPr>
        <w:t xml:space="preserve"> (lower GHG emissions) is positively linked to </w:t>
      </w:r>
      <w:r w:rsidR="00F81EAA" w:rsidRPr="005103A1">
        <w:rPr>
          <w:rFonts w:asciiTheme="majorBidi" w:hAnsiTheme="majorBidi" w:cstheme="majorBidi"/>
        </w:rPr>
        <w:t>MV</w:t>
      </w:r>
      <w:r w:rsidR="009E61C9" w:rsidRPr="005103A1">
        <w:rPr>
          <w:rFonts w:asciiTheme="majorBidi" w:hAnsiTheme="majorBidi" w:cstheme="majorBidi"/>
        </w:rPr>
        <w:t xml:space="preserve"> (Tobin’s Q)</w:t>
      </w:r>
      <w:r w:rsidR="002A5ED3">
        <w:rPr>
          <w:rFonts w:asciiTheme="majorBidi" w:hAnsiTheme="majorBidi" w:cstheme="majorBidi"/>
        </w:rPr>
        <w:t xml:space="preserve"> in global firms</w:t>
      </w:r>
      <w:r w:rsidR="009E61C9" w:rsidRPr="005103A1">
        <w:rPr>
          <w:rFonts w:asciiTheme="majorBidi" w:hAnsiTheme="majorBidi" w:cstheme="majorBidi"/>
        </w:rPr>
        <w:t xml:space="preserve">. </w:t>
      </w:r>
      <w:r w:rsidR="00411AB8" w:rsidRPr="005103A1">
        <w:rPr>
          <w:rFonts w:asciiTheme="majorBidi" w:hAnsiTheme="majorBidi" w:cstheme="majorBidi"/>
        </w:rPr>
        <w:t xml:space="preserve">However, Delmas </w:t>
      </w:r>
      <w:r w:rsidR="00411AB8" w:rsidRPr="005103A1">
        <w:rPr>
          <w:rFonts w:asciiTheme="majorBidi" w:hAnsiTheme="majorBidi" w:cstheme="majorBidi"/>
          <w:i/>
        </w:rPr>
        <w:t>et al.</w:t>
      </w:r>
      <w:r w:rsidR="00411AB8" w:rsidRPr="005103A1">
        <w:rPr>
          <w:rFonts w:asciiTheme="majorBidi" w:hAnsiTheme="majorBidi" w:cstheme="majorBidi"/>
        </w:rPr>
        <w:t xml:space="preserve"> (2013)</w:t>
      </w:r>
      <w:r w:rsidR="00693986" w:rsidRPr="005103A1">
        <w:rPr>
          <w:rFonts w:asciiTheme="majorBidi" w:hAnsiTheme="majorBidi" w:cstheme="majorBidi"/>
        </w:rPr>
        <w:t xml:space="preserve"> </w:t>
      </w:r>
      <w:r w:rsidR="00411AB8" w:rsidRPr="005103A1">
        <w:rPr>
          <w:rFonts w:asciiTheme="majorBidi" w:hAnsiTheme="majorBidi" w:cstheme="majorBidi"/>
        </w:rPr>
        <w:t>find that process</w:t>
      </w:r>
      <w:r w:rsidR="00026F84" w:rsidRPr="005103A1">
        <w:rPr>
          <w:rFonts w:asciiTheme="majorBidi" w:hAnsiTheme="majorBidi" w:cstheme="majorBidi"/>
        </w:rPr>
        <w:t>-</w:t>
      </w:r>
      <w:r w:rsidR="00411AB8" w:rsidRPr="005103A1">
        <w:rPr>
          <w:rFonts w:asciiTheme="majorBidi" w:hAnsiTheme="majorBidi" w:cstheme="majorBidi"/>
        </w:rPr>
        <w:t xml:space="preserve">oriented </w:t>
      </w:r>
      <w:r w:rsidR="00DD61C6" w:rsidRPr="005103A1">
        <w:rPr>
          <w:rFonts w:asciiTheme="majorBidi" w:hAnsiTheme="majorBidi" w:cstheme="majorBidi"/>
        </w:rPr>
        <w:t>CP</w:t>
      </w:r>
      <w:r w:rsidR="00411AB8" w:rsidRPr="005103A1">
        <w:rPr>
          <w:rFonts w:asciiTheme="majorBidi" w:hAnsiTheme="majorBidi" w:cstheme="majorBidi"/>
        </w:rPr>
        <w:t xml:space="preserve">, rather than actual </w:t>
      </w:r>
      <w:r w:rsidR="00DD61C6" w:rsidRPr="005103A1">
        <w:rPr>
          <w:rFonts w:asciiTheme="majorBidi" w:hAnsiTheme="majorBidi" w:cstheme="majorBidi"/>
        </w:rPr>
        <w:t>CP</w:t>
      </w:r>
      <w:r w:rsidR="00411AB8" w:rsidRPr="005103A1">
        <w:rPr>
          <w:rFonts w:asciiTheme="majorBidi" w:hAnsiTheme="majorBidi" w:cstheme="majorBidi"/>
        </w:rPr>
        <w:t xml:space="preserve">, is positively related to </w:t>
      </w:r>
      <w:r w:rsidR="00DD61C6" w:rsidRPr="005103A1">
        <w:rPr>
          <w:rFonts w:asciiTheme="majorBidi" w:hAnsiTheme="majorBidi" w:cstheme="majorBidi"/>
        </w:rPr>
        <w:t>MV</w:t>
      </w:r>
      <w:r w:rsidR="005A4664">
        <w:rPr>
          <w:rFonts w:asciiTheme="majorBidi" w:hAnsiTheme="majorBidi" w:cstheme="majorBidi"/>
        </w:rPr>
        <w:t xml:space="preserve"> in US firms</w:t>
      </w:r>
      <w:r w:rsidR="00411AB8" w:rsidRPr="005103A1">
        <w:rPr>
          <w:rFonts w:asciiTheme="majorBidi" w:hAnsiTheme="majorBidi" w:cstheme="majorBidi"/>
        </w:rPr>
        <w:t>.</w:t>
      </w:r>
    </w:p>
    <w:p w14:paraId="5882796D" w14:textId="306CBD00" w:rsidR="00E04A52" w:rsidRPr="005103A1" w:rsidRDefault="00EB1F5E" w:rsidP="0064103E">
      <w:pPr>
        <w:spacing w:after="0" w:line="480" w:lineRule="auto"/>
        <w:ind w:firstLine="720"/>
        <w:jc w:val="both"/>
        <w:rPr>
          <w:rFonts w:asciiTheme="majorBidi" w:hAnsiTheme="majorBidi" w:cstheme="majorBidi"/>
        </w:rPr>
      </w:pPr>
      <w:proofErr w:type="gramStart"/>
      <w:r w:rsidRPr="005103A1">
        <w:rPr>
          <w:rFonts w:asciiTheme="majorBidi" w:hAnsiTheme="majorBidi" w:cstheme="majorBidi"/>
          <w:color w:val="000000" w:themeColor="text1"/>
        </w:rPr>
        <w:t>Therefore</w:t>
      </w:r>
      <w:proofErr w:type="gramEnd"/>
      <w:r w:rsidR="00026F84" w:rsidRPr="005103A1">
        <w:rPr>
          <w:rFonts w:asciiTheme="majorBidi" w:hAnsiTheme="majorBidi" w:cstheme="majorBidi"/>
          <w:color w:val="000000" w:themeColor="text1"/>
        </w:rPr>
        <w:t xml:space="preserve"> and given that the </w:t>
      </w:r>
      <w:r w:rsidR="00223936" w:rsidRPr="005103A1">
        <w:rPr>
          <w:rFonts w:asciiTheme="majorBidi" w:hAnsiTheme="majorBidi" w:cstheme="majorBidi"/>
          <w:color w:val="000000" w:themeColor="text1"/>
        </w:rPr>
        <w:t>market</w:t>
      </w:r>
      <w:r w:rsidR="00026F84" w:rsidRPr="005103A1">
        <w:rPr>
          <w:rFonts w:asciiTheme="majorBidi" w:hAnsiTheme="majorBidi" w:cstheme="majorBidi"/>
          <w:color w:val="000000" w:themeColor="text1"/>
        </w:rPr>
        <w:t xml:space="preserve"> may be deceived to</w:t>
      </w:r>
      <w:r w:rsidR="00223936" w:rsidRPr="005103A1">
        <w:rPr>
          <w:rFonts w:asciiTheme="majorBidi" w:hAnsiTheme="majorBidi" w:cstheme="majorBidi"/>
          <w:color w:val="000000" w:themeColor="text1"/>
        </w:rPr>
        <w:t xml:space="preserve"> respond to </w:t>
      </w:r>
      <w:r w:rsidR="001818FE" w:rsidRPr="005103A1">
        <w:rPr>
          <w:rFonts w:asciiTheme="majorBidi" w:hAnsiTheme="majorBidi" w:cstheme="majorBidi"/>
          <w:color w:val="000000" w:themeColor="text1"/>
        </w:rPr>
        <w:t xml:space="preserve">observable </w:t>
      </w:r>
      <w:r w:rsidRPr="005103A1">
        <w:rPr>
          <w:rFonts w:asciiTheme="majorBidi" w:hAnsiTheme="majorBidi" w:cstheme="majorBidi"/>
          <w:color w:val="000000" w:themeColor="text1"/>
        </w:rPr>
        <w:t xml:space="preserve">process-oriented carbon performance </w:t>
      </w:r>
      <w:r w:rsidR="001818FE" w:rsidRPr="005103A1">
        <w:rPr>
          <w:rFonts w:asciiTheme="majorBidi" w:hAnsiTheme="majorBidi" w:cstheme="majorBidi"/>
          <w:color w:val="000000" w:themeColor="text1"/>
        </w:rPr>
        <w:t xml:space="preserve">efforts </w:t>
      </w:r>
      <w:r w:rsidR="00223936" w:rsidRPr="005103A1">
        <w:rPr>
          <w:rFonts w:asciiTheme="majorBidi" w:hAnsiTheme="majorBidi" w:cstheme="majorBidi"/>
          <w:color w:val="000000" w:themeColor="text1"/>
        </w:rPr>
        <w:t>more favourably</w:t>
      </w:r>
      <w:r w:rsidRPr="005103A1">
        <w:rPr>
          <w:rFonts w:asciiTheme="majorBidi" w:hAnsiTheme="majorBidi" w:cstheme="majorBidi"/>
          <w:color w:val="000000" w:themeColor="text1"/>
        </w:rPr>
        <w:t xml:space="preserve">, we </w:t>
      </w:r>
      <w:r w:rsidR="003A19BD" w:rsidRPr="005103A1">
        <w:rPr>
          <w:rFonts w:asciiTheme="majorBidi" w:hAnsiTheme="majorBidi" w:cstheme="majorBidi"/>
          <w:color w:val="000000" w:themeColor="text1"/>
        </w:rPr>
        <w:t xml:space="preserve">support symbolic aspect of </w:t>
      </w:r>
      <w:r w:rsidR="0094352F" w:rsidRPr="005103A1">
        <w:rPr>
          <w:rFonts w:asciiTheme="majorBidi" w:hAnsiTheme="majorBidi" w:cstheme="majorBidi"/>
          <w:color w:val="000000" w:themeColor="text1"/>
        </w:rPr>
        <w:t>NIT</w:t>
      </w:r>
      <w:r w:rsidR="003A19BD" w:rsidRPr="005103A1">
        <w:rPr>
          <w:rFonts w:asciiTheme="majorBidi" w:hAnsiTheme="majorBidi" w:cstheme="majorBidi"/>
          <w:color w:val="000000" w:themeColor="text1"/>
        </w:rPr>
        <w:t xml:space="preserve"> and </w:t>
      </w:r>
      <w:r w:rsidRPr="005103A1">
        <w:rPr>
          <w:rFonts w:asciiTheme="majorBidi" w:hAnsiTheme="majorBidi" w:cstheme="majorBidi"/>
          <w:color w:val="000000" w:themeColor="text1"/>
        </w:rPr>
        <w:t xml:space="preserve">expect process-oriented measure, rather than actual </w:t>
      </w:r>
      <w:r w:rsidR="00DD61C6" w:rsidRPr="005103A1">
        <w:rPr>
          <w:rFonts w:asciiTheme="majorBidi" w:hAnsiTheme="majorBidi" w:cstheme="majorBidi"/>
          <w:color w:val="000000" w:themeColor="text1"/>
        </w:rPr>
        <w:t>CP</w:t>
      </w:r>
      <w:r w:rsidR="002A2E21" w:rsidRPr="005103A1">
        <w:rPr>
          <w:rFonts w:asciiTheme="majorBidi" w:hAnsiTheme="majorBidi" w:cstheme="majorBidi"/>
          <w:color w:val="000000" w:themeColor="text1"/>
        </w:rPr>
        <w:t xml:space="preserve"> measure</w:t>
      </w:r>
      <w:r w:rsidRPr="005103A1">
        <w:rPr>
          <w:rFonts w:asciiTheme="majorBidi" w:hAnsiTheme="majorBidi" w:cstheme="majorBidi"/>
          <w:color w:val="000000" w:themeColor="text1"/>
        </w:rPr>
        <w:t xml:space="preserve">, </w:t>
      </w:r>
      <w:r w:rsidR="001818FE" w:rsidRPr="005103A1">
        <w:rPr>
          <w:rFonts w:asciiTheme="majorBidi" w:hAnsiTheme="majorBidi" w:cstheme="majorBidi"/>
          <w:color w:val="000000" w:themeColor="text1"/>
        </w:rPr>
        <w:t>to have</w:t>
      </w:r>
      <w:r w:rsidRPr="005103A1">
        <w:rPr>
          <w:rFonts w:asciiTheme="majorBidi" w:hAnsiTheme="majorBidi" w:cstheme="majorBidi"/>
          <w:color w:val="000000" w:themeColor="text1"/>
        </w:rPr>
        <w:t xml:space="preserve"> a greater positive effect on </w:t>
      </w:r>
      <w:r w:rsidR="00F81EAA" w:rsidRPr="005103A1">
        <w:rPr>
          <w:rFonts w:asciiTheme="majorBidi" w:hAnsiTheme="majorBidi" w:cstheme="majorBidi"/>
          <w:color w:val="000000" w:themeColor="text1"/>
        </w:rPr>
        <w:t>MV</w:t>
      </w:r>
      <w:r w:rsidRPr="005103A1">
        <w:rPr>
          <w:rFonts w:asciiTheme="majorBidi" w:hAnsiTheme="majorBidi" w:cstheme="majorBidi"/>
          <w:color w:val="000000" w:themeColor="text1"/>
        </w:rPr>
        <w:t xml:space="preserve">. Thus, </w:t>
      </w:r>
      <w:r w:rsidR="00C409B2">
        <w:rPr>
          <w:rFonts w:asciiTheme="majorBidi" w:hAnsiTheme="majorBidi" w:cstheme="majorBidi"/>
        </w:rPr>
        <w:t xml:space="preserve">our first </w:t>
      </w:r>
      <w:r w:rsidR="00AC4EF4" w:rsidRPr="005103A1">
        <w:rPr>
          <w:rFonts w:asciiTheme="majorBidi" w:hAnsiTheme="majorBidi" w:cstheme="majorBidi"/>
        </w:rPr>
        <w:t>hypothesis</w:t>
      </w:r>
      <w:r w:rsidR="00C409B2">
        <w:rPr>
          <w:rFonts w:asciiTheme="majorBidi" w:hAnsiTheme="majorBidi" w:cstheme="majorBidi"/>
        </w:rPr>
        <w:t xml:space="preserve"> is</w:t>
      </w:r>
      <w:r w:rsidR="00AC4EF4" w:rsidRPr="005103A1">
        <w:rPr>
          <w:rFonts w:asciiTheme="majorBidi" w:hAnsiTheme="majorBidi" w:cstheme="majorBidi"/>
        </w:rPr>
        <w:t>:</w:t>
      </w:r>
    </w:p>
    <w:p w14:paraId="66503207" w14:textId="23076A28" w:rsidR="00366E05" w:rsidRPr="005103A1" w:rsidRDefault="00366E05" w:rsidP="00FB7F53">
      <w:pPr>
        <w:spacing w:after="0" w:line="240" w:lineRule="auto"/>
        <w:ind w:left="720"/>
        <w:jc w:val="both"/>
        <w:rPr>
          <w:rFonts w:asciiTheme="majorBidi" w:hAnsiTheme="majorBidi" w:cstheme="majorBidi"/>
          <w:i/>
          <w:color w:val="000000" w:themeColor="text1"/>
        </w:rPr>
      </w:pPr>
      <w:r w:rsidRPr="005103A1">
        <w:rPr>
          <w:rFonts w:asciiTheme="majorBidi" w:hAnsiTheme="majorBidi" w:cstheme="majorBidi"/>
          <w:i/>
          <w:color w:val="000000" w:themeColor="text1"/>
        </w:rPr>
        <w:t xml:space="preserve">H1a: </w:t>
      </w:r>
      <w:r w:rsidRPr="005103A1">
        <w:rPr>
          <w:rFonts w:asciiTheme="majorBidi" w:hAnsiTheme="majorBidi" w:cstheme="majorBidi"/>
          <w:i/>
          <w:iCs/>
          <w:color w:val="000000" w:themeColor="text1"/>
        </w:rPr>
        <w:t xml:space="preserve">Ceteris paribus, </w:t>
      </w:r>
      <w:r w:rsidR="00DD61C6" w:rsidRPr="005103A1">
        <w:rPr>
          <w:rFonts w:asciiTheme="majorBidi" w:hAnsiTheme="majorBidi" w:cstheme="majorBidi"/>
          <w:i/>
          <w:iCs/>
          <w:color w:val="000000" w:themeColor="text1"/>
        </w:rPr>
        <w:t>CP</w:t>
      </w:r>
      <w:r w:rsidRPr="005103A1">
        <w:rPr>
          <w:rFonts w:asciiTheme="majorBidi" w:hAnsiTheme="majorBidi" w:cstheme="majorBidi"/>
          <w:i/>
          <w:iCs/>
          <w:color w:val="000000" w:themeColor="text1"/>
        </w:rPr>
        <w:t xml:space="preserve"> has a positive relationship with </w:t>
      </w:r>
      <w:r w:rsidR="00DD61C6" w:rsidRPr="005103A1">
        <w:rPr>
          <w:rFonts w:asciiTheme="majorBidi" w:hAnsiTheme="majorBidi" w:cstheme="majorBidi"/>
          <w:i/>
          <w:iCs/>
          <w:color w:val="000000" w:themeColor="text1"/>
        </w:rPr>
        <w:t>MV</w:t>
      </w:r>
      <w:r w:rsidRPr="005103A1">
        <w:rPr>
          <w:rFonts w:asciiTheme="majorBidi" w:hAnsiTheme="majorBidi" w:cstheme="majorBidi"/>
          <w:i/>
          <w:iCs/>
          <w:color w:val="000000" w:themeColor="text1"/>
        </w:rPr>
        <w:t xml:space="preserve">, and this relationship is greater for process-oriented </w:t>
      </w:r>
      <w:r w:rsidR="00DD61C6" w:rsidRPr="005103A1">
        <w:rPr>
          <w:rFonts w:asciiTheme="majorBidi" w:hAnsiTheme="majorBidi" w:cstheme="majorBidi"/>
          <w:i/>
          <w:iCs/>
          <w:color w:val="000000" w:themeColor="text1"/>
        </w:rPr>
        <w:t>CP</w:t>
      </w:r>
      <w:r w:rsidRPr="005103A1">
        <w:rPr>
          <w:rFonts w:asciiTheme="majorBidi" w:hAnsiTheme="majorBidi" w:cstheme="majorBidi"/>
          <w:i/>
          <w:iCs/>
          <w:color w:val="000000" w:themeColor="text1"/>
        </w:rPr>
        <w:t xml:space="preserve"> than actual </w:t>
      </w:r>
      <w:r w:rsidR="00DD61C6" w:rsidRPr="005103A1">
        <w:rPr>
          <w:rFonts w:asciiTheme="majorBidi" w:hAnsiTheme="majorBidi" w:cstheme="majorBidi"/>
          <w:i/>
          <w:iCs/>
          <w:color w:val="000000" w:themeColor="text1"/>
        </w:rPr>
        <w:t>CP</w:t>
      </w:r>
      <w:r w:rsidRPr="005103A1">
        <w:rPr>
          <w:rFonts w:asciiTheme="majorBidi" w:hAnsiTheme="majorBidi" w:cstheme="majorBidi"/>
          <w:i/>
          <w:iCs/>
          <w:color w:val="000000" w:themeColor="text1"/>
        </w:rPr>
        <w:t>.</w:t>
      </w:r>
    </w:p>
    <w:p w14:paraId="2D9C146E" w14:textId="77777777" w:rsidR="00366E05" w:rsidRPr="005103A1" w:rsidRDefault="00366E05" w:rsidP="002D762D">
      <w:pPr>
        <w:spacing w:after="0" w:line="240" w:lineRule="auto"/>
        <w:ind w:firstLine="720"/>
        <w:jc w:val="both"/>
        <w:rPr>
          <w:rFonts w:asciiTheme="majorBidi" w:hAnsiTheme="majorBidi" w:cstheme="majorBidi"/>
          <w:b/>
          <w:color w:val="000000" w:themeColor="text1"/>
        </w:rPr>
      </w:pPr>
    </w:p>
    <w:p w14:paraId="142922F7" w14:textId="77777777" w:rsidR="00205C24" w:rsidRPr="005103A1" w:rsidRDefault="00205C24" w:rsidP="00196DDA">
      <w:pPr>
        <w:pStyle w:val="ListParagraph"/>
        <w:spacing w:after="0" w:line="240" w:lineRule="auto"/>
        <w:ind w:left="0"/>
        <w:contextualSpacing w:val="0"/>
        <w:jc w:val="both"/>
        <w:rPr>
          <w:rFonts w:asciiTheme="majorBidi" w:hAnsiTheme="majorBidi" w:cstheme="majorBidi"/>
          <w:i/>
          <w:color w:val="000000" w:themeColor="text1"/>
        </w:rPr>
      </w:pPr>
    </w:p>
    <w:p w14:paraId="57C88A4A" w14:textId="777F0D4C" w:rsidR="00366E05" w:rsidRPr="005103A1" w:rsidRDefault="00366E05" w:rsidP="0064103E">
      <w:pPr>
        <w:pStyle w:val="ListParagraph"/>
        <w:spacing w:after="0" w:line="480" w:lineRule="auto"/>
        <w:ind w:left="0"/>
        <w:contextualSpacing w:val="0"/>
        <w:jc w:val="both"/>
        <w:rPr>
          <w:rFonts w:asciiTheme="majorBidi" w:hAnsiTheme="majorBidi" w:cstheme="majorBidi"/>
          <w:i/>
          <w:color w:val="000000" w:themeColor="text1"/>
        </w:rPr>
      </w:pPr>
      <w:r w:rsidRPr="005103A1">
        <w:rPr>
          <w:rFonts w:asciiTheme="majorBidi" w:hAnsiTheme="majorBidi" w:cstheme="majorBidi"/>
          <w:i/>
          <w:color w:val="000000" w:themeColor="text1"/>
        </w:rPr>
        <w:t>The carbon performance</w:t>
      </w:r>
      <w:r w:rsidR="001818FE" w:rsidRPr="005103A1">
        <w:rPr>
          <w:rFonts w:asciiTheme="majorBidi" w:hAnsiTheme="majorBidi" w:cstheme="majorBidi"/>
          <w:i/>
          <w:color w:val="000000" w:themeColor="text1"/>
        </w:rPr>
        <w:t>–</w:t>
      </w:r>
      <w:r w:rsidR="008F1977" w:rsidRPr="005103A1">
        <w:rPr>
          <w:rFonts w:asciiTheme="majorBidi" w:hAnsiTheme="majorBidi" w:cstheme="majorBidi"/>
          <w:i/>
          <w:color w:val="000000" w:themeColor="text1"/>
        </w:rPr>
        <w:t>market value</w:t>
      </w:r>
      <w:r w:rsidR="001818FE" w:rsidRPr="005103A1">
        <w:rPr>
          <w:rFonts w:asciiTheme="majorBidi" w:hAnsiTheme="majorBidi" w:cstheme="majorBidi"/>
          <w:i/>
          <w:color w:val="000000" w:themeColor="text1"/>
        </w:rPr>
        <w:t xml:space="preserve"> nexus</w:t>
      </w:r>
      <w:r w:rsidRPr="005103A1">
        <w:rPr>
          <w:rFonts w:asciiTheme="majorBidi" w:hAnsiTheme="majorBidi" w:cstheme="majorBidi"/>
          <w:i/>
          <w:color w:val="000000" w:themeColor="text1"/>
        </w:rPr>
        <w:t xml:space="preserve">: </w:t>
      </w:r>
      <w:r w:rsidR="0094352F" w:rsidRPr="005103A1">
        <w:rPr>
          <w:rFonts w:asciiTheme="majorBidi" w:hAnsiTheme="majorBidi" w:cstheme="majorBidi"/>
          <w:i/>
          <w:color w:val="000000" w:themeColor="text1"/>
        </w:rPr>
        <w:t>T</w:t>
      </w:r>
      <w:r w:rsidRPr="005103A1">
        <w:rPr>
          <w:rFonts w:asciiTheme="majorBidi" w:hAnsiTheme="majorBidi" w:cstheme="majorBidi"/>
          <w:i/>
          <w:color w:val="000000" w:themeColor="text1"/>
        </w:rPr>
        <w:t>he moderating effect of executive compensation</w:t>
      </w:r>
    </w:p>
    <w:p w14:paraId="71E50876" w14:textId="14EE0771" w:rsidR="00366E05" w:rsidRPr="005103A1" w:rsidRDefault="004F3236" w:rsidP="00C00B04">
      <w:pPr>
        <w:spacing w:after="0" w:line="480" w:lineRule="auto"/>
        <w:jc w:val="both"/>
        <w:rPr>
          <w:rFonts w:asciiTheme="majorBidi" w:hAnsiTheme="majorBidi" w:cstheme="majorBidi"/>
          <w:color w:val="000000" w:themeColor="text1"/>
        </w:rPr>
      </w:pPr>
      <w:r>
        <w:rPr>
          <w:rFonts w:asciiTheme="majorBidi" w:hAnsiTheme="majorBidi" w:cstheme="majorBidi"/>
          <w:color w:val="000000" w:themeColor="text1"/>
        </w:rPr>
        <w:tab/>
      </w:r>
      <w:r w:rsidR="00366E05" w:rsidRPr="005103A1">
        <w:rPr>
          <w:rFonts w:asciiTheme="majorBidi" w:hAnsiTheme="majorBidi" w:cstheme="majorBidi"/>
          <w:color w:val="000000" w:themeColor="text1"/>
        </w:rPr>
        <w:t xml:space="preserve">Whilst a firm’s carbon abatement projects are likely to generate long-term financial gain, these costly investment projects are less likely to be materialised without active </w:t>
      </w:r>
      <w:r w:rsidR="00351FF9">
        <w:rPr>
          <w:rFonts w:asciiTheme="majorBidi" w:hAnsiTheme="majorBidi" w:cstheme="majorBidi"/>
          <w:color w:val="000000" w:themeColor="text1"/>
        </w:rPr>
        <w:t>involvement</w:t>
      </w:r>
      <w:r w:rsidR="00366E05" w:rsidRPr="005103A1">
        <w:rPr>
          <w:rFonts w:asciiTheme="majorBidi" w:hAnsiTheme="majorBidi" w:cstheme="majorBidi"/>
          <w:color w:val="000000" w:themeColor="text1"/>
        </w:rPr>
        <w:t xml:space="preserve"> of powerful executive management. </w:t>
      </w:r>
      <w:r w:rsidR="001818FE" w:rsidRPr="005103A1">
        <w:rPr>
          <w:rFonts w:asciiTheme="majorBidi" w:hAnsiTheme="majorBidi" w:cstheme="majorBidi"/>
          <w:color w:val="000000" w:themeColor="text1"/>
        </w:rPr>
        <w:t xml:space="preserve">According to </w:t>
      </w:r>
      <w:r w:rsidR="0094352F" w:rsidRPr="005103A1">
        <w:rPr>
          <w:rFonts w:asciiTheme="majorBidi" w:hAnsiTheme="majorBidi" w:cstheme="majorBidi"/>
          <w:color w:val="000000" w:themeColor="text1"/>
        </w:rPr>
        <w:t>NIT’s</w:t>
      </w:r>
      <w:r w:rsidR="001818FE" w:rsidRPr="005103A1">
        <w:rPr>
          <w:rFonts w:asciiTheme="majorBidi" w:hAnsiTheme="majorBidi" w:cstheme="majorBidi"/>
          <w:color w:val="000000" w:themeColor="text1"/>
        </w:rPr>
        <w:t xml:space="preserve"> predictions</w:t>
      </w:r>
      <w:r w:rsidR="00366E05" w:rsidRPr="005103A1">
        <w:rPr>
          <w:rFonts w:asciiTheme="majorBidi" w:hAnsiTheme="majorBidi" w:cstheme="majorBidi"/>
          <w:color w:val="000000" w:themeColor="text1"/>
        </w:rPr>
        <w:t xml:space="preserve">, firms can design and use </w:t>
      </w:r>
      <w:r w:rsidR="00F81EAA" w:rsidRPr="005103A1">
        <w:rPr>
          <w:rFonts w:asciiTheme="majorBidi" w:hAnsiTheme="majorBidi" w:cstheme="majorBidi"/>
          <w:color w:val="000000" w:themeColor="text1"/>
        </w:rPr>
        <w:t>EC</w:t>
      </w:r>
      <w:r w:rsidR="00366E05" w:rsidRPr="005103A1">
        <w:rPr>
          <w:rFonts w:asciiTheme="majorBidi" w:hAnsiTheme="majorBidi" w:cstheme="majorBidi"/>
          <w:color w:val="000000" w:themeColor="text1"/>
        </w:rPr>
        <w:t xml:space="preserve"> to persuade managers </w:t>
      </w:r>
      <w:r w:rsidR="00366E05" w:rsidRPr="005103A1">
        <w:rPr>
          <w:rFonts w:asciiTheme="majorBidi" w:hAnsiTheme="majorBidi" w:cstheme="majorBidi"/>
          <w:color w:val="000000" w:themeColor="text1"/>
        </w:rPr>
        <w:lastRenderedPageBreak/>
        <w:t>to undertake social and environmental initiatives, which in turn can enhance both organisational legitimacy</w:t>
      </w:r>
      <w:r w:rsidR="00196DDA">
        <w:rPr>
          <w:rFonts w:asciiTheme="majorBidi" w:hAnsiTheme="majorBidi" w:cstheme="majorBidi"/>
          <w:color w:val="000000" w:themeColor="text1"/>
        </w:rPr>
        <w:t xml:space="preserve"> (‘legitimacy’</w:t>
      </w:r>
      <w:r w:rsidR="0094352F" w:rsidRPr="005103A1">
        <w:rPr>
          <w:rFonts w:asciiTheme="majorBidi" w:hAnsiTheme="majorBidi" w:cstheme="majorBidi"/>
          <w:color w:val="000000" w:themeColor="text1"/>
        </w:rPr>
        <w:t>)</w:t>
      </w:r>
      <w:r w:rsidR="00366E05" w:rsidRPr="005103A1">
        <w:rPr>
          <w:rFonts w:asciiTheme="majorBidi" w:hAnsiTheme="majorBidi" w:cstheme="majorBidi"/>
          <w:color w:val="000000" w:themeColor="text1"/>
        </w:rPr>
        <w:t xml:space="preserve"> and economic benefits</w:t>
      </w:r>
      <w:r w:rsidR="0094352F" w:rsidRPr="005103A1">
        <w:rPr>
          <w:rFonts w:asciiTheme="majorBidi" w:hAnsiTheme="majorBidi" w:cstheme="majorBidi"/>
          <w:color w:val="000000" w:themeColor="text1"/>
        </w:rPr>
        <w:t xml:space="preserve"> (‘efficiency’)</w:t>
      </w:r>
      <w:r w:rsidR="00366E05" w:rsidRPr="005103A1">
        <w:rPr>
          <w:rFonts w:asciiTheme="majorBidi" w:hAnsiTheme="majorBidi" w:cstheme="majorBidi"/>
          <w:color w:val="000000" w:themeColor="text1"/>
        </w:rPr>
        <w:t xml:space="preserve"> of a firm (Mahoney and Thorn, 2006; Campbell</w:t>
      </w:r>
      <w:r w:rsidR="00040671" w:rsidRPr="005103A1">
        <w:rPr>
          <w:rFonts w:asciiTheme="majorBidi" w:hAnsiTheme="majorBidi" w:cstheme="majorBidi"/>
          <w:color w:val="000000" w:themeColor="text1"/>
        </w:rPr>
        <w:t xml:space="preserve"> </w:t>
      </w:r>
      <w:r w:rsidR="00040671" w:rsidRPr="005103A1">
        <w:rPr>
          <w:rFonts w:asciiTheme="majorBidi" w:hAnsiTheme="majorBidi" w:cstheme="majorBidi"/>
          <w:i/>
          <w:color w:val="000000" w:themeColor="text1"/>
        </w:rPr>
        <w:t>et al.</w:t>
      </w:r>
      <w:r w:rsidR="00040671" w:rsidRPr="005103A1">
        <w:rPr>
          <w:rFonts w:asciiTheme="majorBidi" w:hAnsiTheme="majorBidi" w:cstheme="majorBidi"/>
          <w:color w:val="000000" w:themeColor="text1"/>
        </w:rPr>
        <w:t xml:space="preserve">, </w:t>
      </w:r>
      <w:r w:rsidR="00366E05" w:rsidRPr="005103A1">
        <w:rPr>
          <w:rFonts w:asciiTheme="majorBidi" w:hAnsiTheme="majorBidi" w:cstheme="majorBidi"/>
          <w:color w:val="000000" w:themeColor="text1"/>
        </w:rPr>
        <w:t xml:space="preserve">2007). Therefore, </w:t>
      </w:r>
      <w:r w:rsidR="00C13115" w:rsidRPr="005103A1">
        <w:rPr>
          <w:rFonts w:asciiTheme="majorBidi" w:hAnsiTheme="majorBidi" w:cstheme="majorBidi"/>
          <w:color w:val="000000" w:themeColor="text1"/>
        </w:rPr>
        <w:t>EC</w:t>
      </w:r>
      <w:r w:rsidR="00366E05" w:rsidRPr="005103A1">
        <w:rPr>
          <w:rFonts w:asciiTheme="majorBidi" w:hAnsiTheme="majorBidi" w:cstheme="majorBidi"/>
          <w:color w:val="000000" w:themeColor="text1"/>
        </w:rPr>
        <w:t xml:space="preserve"> can be considered as an effective mechanism to improve </w:t>
      </w:r>
      <w:r w:rsidR="00C13115" w:rsidRPr="005103A1">
        <w:rPr>
          <w:rFonts w:asciiTheme="majorBidi" w:hAnsiTheme="majorBidi" w:cstheme="majorBidi"/>
          <w:color w:val="000000" w:themeColor="text1"/>
        </w:rPr>
        <w:t>MV</w:t>
      </w:r>
      <w:r w:rsidR="00366E05" w:rsidRPr="005103A1">
        <w:rPr>
          <w:rFonts w:asciiTheme="majorBidi" w:hAnsiTheme="majorBidi" w:cstheme="majorBidi"/>
          <w:color w:val="000000" w:themeColor="text1"/>
        </w:rPr>
        <w:t xml:space="preserve"> through an improvement in </w:t>
      </w:r>
      <w:r w:rsidR="00C13115" w:rsidRPr="005103A1">
        <w:rPr>
          <w:rFonts w:asciiTheme="majorBidi" w:hAnsiTheme="majorBidi" w:cstheme="majorBidi"/>
          <w:color w:val="000000" w:themeColor="text1"/>
        </w:rPr>
        <w:t>CP</w:t>
      </w:r>
      <w:r w:rsidR="00366E05" w:rsidRPr="005103A1">
        <w:rPr>
          <w:rFonts w:asciiTheme="majorBidi" w:hAnsiTheme="majorBidi" w:cstheme="majorBidi"/>
          <w:color w:val="000000" w:themeColor="text1"/>
        </w:rPr>
        <w:t xml:space="preserve">. </w:t>
      </w:r>
      <w:r w:rsidR="00281D2E">
        <w:rPr>
          <w:rFonts w:asciiTheme="majorBidi" w:hAnsiTheme="majorBidi" w:cstheme="majorBidi"/>
          <w:color w:val="000000" w:themeColor="text1"/>
        </w:rPr>
        <w:t xml:space="preserve">Considering our arguments </w:t>
      </w:r>
      <w:r w:rsidR="00511D4F">
        <w:rPr>
          <w:rFonts w:asciiTheme="majorBidi" w:hAnsiTheme="majorBidi" w:cstheme="majorBidi"/>
          <w:color w:val="000000" w:themeColor="text1"/>
        </w:rPr>
        <w:t>relating to</w:t>
      </w:r>
      <w:r w:rsidR="00281D2E">
        <w:rPr>
          <w:rFonts w:asciiTheme="majorBidi" w:hAnsiTheme="majorBidi" w:cstheme="majorBidi"/>
          <w:color w:val="000000" w:themeColor="text1"/>
        </w:rPr>
        <w:t xml:space="preserve"> symbolic aspect of NIT, we </w:t>
      </w:r>
      <w:r w:rsidR="00B529E9" w:rsidRPr="005103A1">
        <w:rPr>
          <w:rFonts w:asciiTheme="majorBidi" w:hAnsiTheme="majorBidi" w:cstheme="majorBidi"/>
          <w:color w:val="000000" w:themeColor="text1"/>
        </w:rPr>
        <w:t xml:space="preserve">intuitively </w:t>
      </w:r>
      <w:r w:rsidR="00366E05" w:rsidRPr="005103A1">
        <w:rPr>
          <w:rFonts w:asciiTheme="majorBidi" w:hAnsiTheme="majorBidi" w:cstheme="majorBidi"/>
          <w:color w:val="000000" w:themeColor="text1"/>
        </w:rPr>
        <w:t xml:space="preserve">expect that </w:t>
      </w:r>
      <w:r w:rsidR="000F2362" w:rsidRPr="005103A1">
        <w:rPr>
          <w:rFonts w:asciiTheme="majorBidi" w:hAnsiTheme="majorBidi" w:cstheme="majorBidi"/>
          <w:color w:val="000000" w:themeColor="text1"/>
        </w:rPr>
        <w:t>EC</w:t>
      </w:r>
      <w:r w:rsidR="00366E05" w:rsidRPr="005103A1">
        <w:rPr>
          <w:rFonts w:asciiTheme="majorBidi" w:hAnsiTheme="majorBidi" w:cstheme="majorBidi"/>
          <w:color w:val="000000" w:themeColor="text1"/>
        </w:rPr>
        <w:t xml:space="preserve"> is likely to reinforce the positive relatio</w:t>
      </w:r>
      <w:r w:rsidR="00196DDA">
        <w:rPr>
          <w:rFonts w:asciiTheme="majorBidi" w:hAnsiTheme="majorBidi" w:cstheme="majorBidi"/>
          <w:color w:val="000000" w:themeColor="text1"/>
        </w:rPr>
        <w:t>nship between CP</w:t>
      </w:r>
      <w:r w:rsidR="00366E05" w:rsidRPr="005103A1">
        <w:rPr>
          <w:rFonts w:asciiTheme="majorBidi" w:hAnsiTheme="majorBidi" w:cstheme="majorBidi"/>
          <w:color w:val="000000" w:themeColor="text1"/>
        </w:rPr>
        <w:t xml:space="preserve"> and </w:t>
      </w:r>
      <w:r w:rsidR="00196DDA">
        <w:rPr>
          <w:rFonts w:asciiTheme="majorBidi" w:hAnsiTheme="majorBidi" w:cstheme="majorBidi"/>
          <w:color w:val="000000" w:themeColor="text1"/>
        </w:rPr>
        <w:t>MV</w:t>
      </w:r>
      <w:r w:rsidR="00281D2E">
        <w:rPr>
          <w:rFonts w:asciiTheme="majorBidi" w:hAnsiTheme="majorBidi" w:cstheme="majorBidi"/>
          <w:color w:val="000000" w:themeColor="text1"/>
        </w:rPr>
        <w:t>, and this moderating effect would be greater for process-oriented CP than actual CP</w:t>
      </w:r>
      <w:r w:rsidR="00366E05" w:rsidRPr="005103A1">
        <w:rPr>
          <w:rFonts w:asciiTheme="majorBidi" w:hAnsiTheme="majorBidi" w:cstheme="majorBidi"/>
          <w:color w:val="000000" w:themeColor="text1"/>
        </w:rPr>
        <w:t xml:space="preserve">. </w:t>
      </w:r>
    </w:p>
    <w:p w14:paraId="7A828AA1" w14:textId="0999967C" w:rsidR="00366E05" w:rsidRPr="00FB3918" w:rsidRDefault="00A236C3" w:rsidP="000F2362">
      <w:pPr>
        <w:spacing w:line="480" w:lineRule="auto"/>
        <w:jc w:val="both"/>
        <w:rPr>
          <w:rFonts w:asciiTheme="majorBidi" w:hAnsiTheme="majorBidi" w:cstheme="majorBidi"/>
        </w:rPr>
      </w:pPr>
      <w:r w:rsidRPr="005103A1">
        <w:rPr>
          <w:rFonts w:asciiTheme="majorBidi" w:hAnsiTheme="majorBidi" w:cstheme="majorBidi"/>
          <w:color w:val="000000" w:themeColor="text1"/>
        </w:rPr>
        <w:tab/>
      </w:r>
      <w:r w:rsidR="00366E05" w:rsidRPr="005103A1">
        <w:rPr>
          <w:rFonts w:asciiTheme="majorBidi" w:hAnsiTheme="majorBidi" w:cstheme="majorBidi"/>
          <w:color w:val="000000" w:themeColor="text1"/>
        </w:rPr>
        <w:t>Empirically</w:t>
      </w:r>
      <w:r w:rsidR="0036071C" w:rsidRPr="005103A1">
        <w:rPr>
          <w:rFonts w:asciiTheme="majorBidi" w:hAnsiTheme="majorBidi" w:cstheme="majorBidi"/>
          <w:color w:val="000000" w:themeColor="text1"/>
        </w:rPr>
        <w:t xml:space="preserve"> and to the best of our knowledge</w:t>
      </w:r>
      <w:r w:rsidR="00106535">
        <w:rPr>
          <w:rFonts w:asciiTheme="majorBidi" w:hAnsiTheme="majorBidi" w:cstheme="majorBidi"/>
          <w:color w:val="000000" w:themeColor="text1"/>
        </w:rPr>
        <w:t>,</w:t>
      </w:r>
      <w:r w:rsidR="0036071C" w:rsidRPr="005103A1">
        <w:rPr>
          <w:rFonts w:asciiTheme="majorBidi" w:hAnsiTheme="majorBidi" w:cstheme="majorBidi"/>
          <w:color w:val="000000" w:themeColor="text1"/>
        </w:rPr>
        <w:t xml:space="preserve"> there is no evidence on whether </w:t>
      </w:r>
      <w:r w:rsidR="000F2362" w:rsidRPr="005103A1">
        <w:rPr>
          <w:rFonts w:asciiTheme="majorBidi" w:hAnsiTheme="majorBidi" w:cstheme="majorBidi"/>
          <w:color w:val="000000" w:themeColor="text1"/>
        </w:rPr>
        <w:t>EC</w:t>
      </w:r>
      <w:r w:rsidR="0036071C" w:rsidRPr="005103A1">
        <w:rPr>
          <w:rFonts w:asciiTheme="majorBidi" w:hAnsiTheme="majorBidi" w:cstheme="majorBidi"/>
          <w:color w:val="000000" w:themeColor="text1"/>
        </w:rPr>
        <w:t xml:space="preserve"> can moderate the </w:t>
      </w:r>
      <w:r w:rsidR="000F2362" w:rsidRPr="005103A1">
        <w:rPr>
          <w:rFonts w:asciiTheme="majorBidi" w:hAnsiTheme="majorBidi" w:cstheme="majorBidi"/>
          <w:color w:val="000000" w:themeColor="text1"/>
        </w:rPr>
        <w:t>CP</w:t>
      </w:r>
      <w:r w:rsidR="0036071C" w:rsidRPr="005103A1">
        <w:rPr>
          <w:rFonts w:asciiTheme="majorBidi" w:hAnsiTheme="majorBidi" w:cstheme="majorBidi"/>
          <w:color w:val="000000" w:themeColor="text1"/>
        </w:rPr>
        <w:t>–</w:t>
      </w:r>
      <w:r w:rsidR="000F2362" w:rsidRPr="005103A1">
        <w:rPr>
          <w:rFonts w:asciiTheme="majorBidi" w:hAnsiTheme="majorBidi" w:cstheme="majorBidi"/>
          <w:color w:val="000000" w:themeColor="text1"/>
        </w:rPr>
        <w:t>MV</w:t>
      </w:r>
      <w:r w:rsidR="0036071C" w:rsidRPr="005103A1">
        <w:rPr>
          <w:rFonts w:asciiTheme="majorBidi" w:hAnsiTheme="majorBidi" w:cstheme="majorBidi"/>
          <w:color w:val="000000" w:themeColor="text1"/>
        </w:rPr>
        <w:t xml:space="preserve"> link. </w:t>
      </w:r>
      <w:r w:rsidR="00B13F1A" w:rsidRPr="005103A1">
        <w:rPr>
          <w:rFonts w:asciiTheme="majorBidi" w:hAnsiTheme="majorBidi" w:cstheme="majorBidi"/>
          <w:color w:val="000000" w:themeColor="text1"/>
        </w:rPr>
        <w:t>P</w:t>
      </w:r>
      <w:r w:rsidR="0036071C" w:rsidRPr="005103A1">
        <w:rPr>
          <w:rFonts w:asciiTheme="majorBidi" w:hAnsiTheme="majorBidi" w:cstheme="majorBidi"/>
          <w:color w:val="000000" w:themeColor="text1"/>
        </w:rPr>
        <w:t>ast studies have primarily examined</w:t>
      </w:r>
      <w:r w:rsidR="00366E05" w:rsidRPr="005103A1">
        <w:rPr>
          <w:rFonts w:asciiTheme="majorBidi" w:hAnsiTheme="majorBidi" w:cstheme="majorBidi"/>
          <w:color w:val="000000" w:themeColor="text1"/>
        </w:rPr>
        <w:t xml:space="preserve"> the direct link between </w:t>
      </w:r>
      <w:r w:rsidR="000F2362" w:rsidRPr="005103A1">
        <w:rPr>
          <w:rFonts w:asciiTheme="majorBidi" w:hAnsiTheme="majorBidi" w:cstheme="majorBidi"/>
          <w:color w:val="000000" w:themeColor="text1"/>
        </w:rPr>
        <w:t>CP</w:t>
      </w:r>
      <w:r w:rsidR="00366E05" w:rsidRPr="005103A1">
        <w:rPr>
          <w:rFonts w:asciiTheme="majorBidi" w:hAnsiTheme="majorBidi" w:cstheme="majorBidi"/>
          <w:color w:val="000000" w:themeColor="text1"/>
        </w:rPr>
        <w:t xml:space="preserve"> and </w:t>
      </w:r>
      <w:r w:rsidR="000F2362" w:rsidRPr="005103A1">
        <w:rPr>
          <w:rFonts w:asciiTheme="majorBidi" w:hAnsiTheme="majorBidi" w:cstheme="majorBidi"/>
          <w:color w:val="000000" w:themeColor="text1"/>
        </w:rPr>
        <w:t>MV</w:t>
      </w:r>
      <w:r w:rsidR="0092029E" w:rsidRPr="005103A1">
        <w:rPr>
          <w:rFonts w:asciiTheme="majorBidi" w:hAnsiTheme="majorBidi" w:cstheme="majorBidi"/>
          <w:color w:val="000000" w:themeColor="text1"/>
        </w:rPr>
        <w:t xml:space="preserve"> (</w:t>
      </w:r>
      <w:proofErr w:type="spellStart"/>
      <w:r w:rsidR="00DA085C" w:rsidRPr="00FB3918">
        <w:rPr>
          <w:rFonts w:asciiTheme="majorBidi" w:hAnsiTheme="majorBidi" w:cstheme="majorBidi"/>
        </w:rPr>
        <w:t>Baboukardos</w:t>
      </w:r>
      <w:proofErr w:type="spellEnd"/>
      <w:r w:rsidR="00DA085C" w:rsidRPr="00FB3918">
        <w:rPr>
          <w:rFonts w:asciiTheme="majorBidi" w:hAnsiTheme="majorBidi" w:cstheme="majorBidi"/>
        </w:rPr>
        <w:t xml:space="preserve">, 2018; </w:t>
      </w:r>
      <w:proofErr w:type="spellStart"/>
      <w:r w:rsidR="00DA085C" w:rsidRPr="00FB3918">
        <w:rPr>
          <w:rFonts w:asciiTheme="majorBidi" w:hAnsiTheme="majorBidi" w:cstheme="majorBidi"/>
        </w:rPr>
        <w:t>Bernardi</w:t>
      </w:r>
      <w:proofErr w:type="spellEnd"/>
      <w:r w:rsidR="00DA085C" w:rsidRPr="00FB3918">
        <w:rPr>
          <w:rFonts w:asciiTheme="majorBidi" w:hAnsiTheme="majorBidi" w:cstheme="majorBidi"/>
        </w:rPr>
        <w:t xml:space="preserve"> and Stark, 2018; </w:t>
      </w:r>
      <w:proofErr w:type="spellStart"/>
      <w:r w:rsidR="0092029E" w:rsidRPr="00FB3918">
        <w:rPr>
          <w:rFonts w:asciiTheme="majorBidi" w:hAnsiTheme="majorBidi" w:cstheme="majorBidi"/>
        </w:rPr>
        <w:t>Qiu</w:t>
      </w:r>
      <w:proofErr w:type="spellEnd"/>
      <w:r w:rsidR="0092029E" w:rsidRPr="00FB3918">
        <w:rPr>
          <w:rFonts w:asciiTheme="majorBidi" w:hAnsiTheme="majorBidi" w:cstheme="majorBidi"/>
        </w:rPr>
        <w:t xml:space="preserve"> </w:t>
      </w:r>
      <w:r w:rsidR="0092029E" w:rsidRPr="00017F11">
        <w:rPr>
          <w:rFonts w:asciiTheme="majorBidi" w:hAnsiTheme="majorBidi" w:cstheme="majorBidi"/>
          <w:i/>
          <w:iCs/>
        </w:rPr>
        <w:t>et al</w:t>
      </w:r>
      <w:r w:rsidR="0092029E" w:rsidRPr="004F3236">
        <w:rPr>
          <w:rFonts w:asciiTheme="majorBidi" w:hAnsiTheme="majorBidi" w:cstheme="majorBidi"/>
        </w:rPr>
        <w:t>., 2016</w:t>
      </w:r>
      <w:r w:rsidR="0092029E" w:rsidRPr="00D86C37">
        <w:rPr>
          <w:rFonts w:asciiTheme="majorBidi" w:hAnsiTheme="majorBidi" w:cstheme="majorBidi"/>
        </w:rPr>
        <w:t>)</w:t>
      </w:r>
      <w:r w:rsidR="00366E05" w:rsidRPr="005103A1">
        <w:rPr>
          <w:rFonts w:asciiTheme="majorBidi" w:hAnsiTheme="majorBidi" w:cstheme="majorBidi"/>
          <w:color w:val="000000" w:themeColor="text1"/>
        </w:rPr>
        <w:t>, without considering the</w:t>
      </w:r>
      <w:r w:rsidR="0036071C" w:rsidRPr="005103A1">
        <w:rPr>
          <w:rFonts w:asciiTheme="majorBidi" w:hAnsiTheme="majorBidi" w:cstheme="majorBidi"/>
          <w:color w:val="000000" w:themeColor="text1"/>
        </w:rPr>
        <w:t xml:space="preserve"> potential</w:t>
      </w:r>
      <w:r w:rsidR="00366E05" w:rsidRPr="005103A1">
        <w:rPr>
          <w:rFonts w:asciiTheme="majorBidi" w:hAnsiTheme="majorBidi" w:cstheme="majorBidi"/>
          <w:color w:val="000000" w:themeColor="text1"/>
        </w:rPr>
        <w:t xml:space="preserve"> moderating effect of </w:t>
      </w:r>
      <w:r w:rsidR="000F2362" w:rsidRPr="005103A1">
        <w:rPr>
          <w:rFonts w:asciiTheme="majorBidi" w:hAnsiTheme="majorBidi" w:cstheme="majorBidi"/>
          <w:color w:val="000000" w:themeColor="text1"/>
        </w:rPr>
        <w:t>EC</w:t>
      </w:r>
      <w:r w:rsidR="00366E05" w:rsidRPr="005103A1">
        <w:rPr>
          <w:rFonts w:asciiTheme="majorBidi" w:hAnsiTheme="majorBidi" w:cstheme="majorBidi"/>
          <w:color w:val="000000" w:themeColor="text1"/>
        </w:rPr>
        <w:t xml:space="preserve">. </w:t>
      </w:r>
      <w:r w:rsidR="00722ADC" w:rsidRPr="005103A1">
        <w:rPr>
          <w:rFonts w:asciiTheme="majorBidi" w:hAnsiTheme="majorBidi" w:cstheme="majorBidi"/>
          <w:color w:val="000000" w:themeColor="text1"/>
        </w:rPr>
        <w:t xml:space="preserve">Ntim and Soobaroyen (2013) is of closer relevance to our study. </w:t>
      </w:r>
      <w:r w:rsidR="0036071C" w:rsidRPr="005103A1">
        <w:rPr>
          <w:rFonts w:asciiTheme="majorBidi" w:hAnsiTheme="majorBidi" w:cstheme="majorBidi"/>
          <w:color w:val="000000" w:themeColor="text1"/>
        </w:rPr>
        <w:t xml:space="preserve">Using a </w:t>
      </w:r>
      <w:r w:rsidR="00366E05" w:rsidRPr="005103A1">
        <w:rPr>
          <w:rFonts w:asciiTheme="majorBidi" w:hAnsiTheme="majorBidi" w:cstheme="majorBidi"/>
          <w:color w:val="000000" w:themeColor="text1"/>
        </w:rPr>
        <w:t>sample of large South Africa</w:t>
      </w:r>
      <w:r w:rsidR="00DC0C56">
        <w:rPr>
          <w:rFonts w:asciiTheme="majorBidi" w:hAnsiTheme="majorBidi" w:cstheme="majorBidi"/>
          <w:color w:val="000000" w:themeColor="text1"/>
        </w:rPr>
        <w:t>n firms, they</w:t>
      </w:r>
      <w:r w:rsidR="00FA0903" w:rsidRPr="005103A1">
        <w:rPr>
          <w:rFonts w:asciiTheme="majorBidi" w:hAnsiTheme="majorBidi" w:cstheme="majorBidi"/>
          <w:color w:val="000000" w:themeColor="text1"/>
        </w:rPr>
        <w:t xml:space="preserve"> find that the interaction between</w:t>
      </w:r>
      <w:r w:rsidR="006733E7" w:rsidRPr="005103A1">
        <w:rPr>
          <w:rFonts w:asciiTheme="majorBidi" w:hAnsiTheme="majorBidi" w:cstheme="majorBidi"/>
          <w:color w:val="000000" w:themeColor="text1"/>
        </w:rPr>
        <w:t xml:space="preserve"> CG</w:t>
      </w:r>
      <w:r w:rsidR="00366E05" w:rsidRPr="005103A1">
        <w:rPr>
          <w:rFonts w:asciiTheme="majorBidi" w:hAnsiTheme="majorBidi" w:cstheme="majorBidi"/>
          <w:color w:val="000000" w:themeColor="text1"/>
        </w:rPr>
        <w:t xml:space="preserve"> and CSR h</w:t>
      </w:r>
      <w:r w:rsidR="00FE1EDD">
        <w:rPr>
          <w:rFonts w:asciiTheme="majorBidi" w:hAnsiTheme="majorBidi" w:cstheme="majorBidi"/>
          <w:color w:val="000000" w:themeColor="text1"/>
        </w:rPr>
        <w:t>as a greater positive effect on MV</w:t>
      </w:r>
      <w:r w:rsidR="00366E05" w:rsidRPr="005103A1">
        <w:rPr>
          <w:rFonts w:asciiTheme="majorBidi" w:hAnsiTheme="majorBidi" w:cstheme="majorBidi"/>
          <w:color w:val="000000" w:themeColor="text1"/>
        </w:rPr>
        <w:t xml:space="preserve"> than CSR alone, implying that CG reinforces the CSR</w:t>
      </w:r>
      <w:r w:rsidR="0036071C" w:rsidRPr="005103A1">
        <w:rPr>
          <w:rFonts w:asciiTheme="majorBidi" w:hAnsiTheme="majorBidi" w:cstheme="majorBidi"/>
          <w:color w:val="000000" w:themeColor="text1"/>
        </w:rPr>
        <w:t>–</w:t>
      </w:r>
      <w:r w:rsidR="00FE1EDD">
        <w:rPr>
          <w:rFonts w:asciiTheme="majorBidi" w:hAnsiTheme="majorBidi" w:cstheme="majorBidi"/>
          <w:color w:val="000000" w:themeColor="text1"/>
        </w:rPr>
        <w:t>MV</w:t>
      </w:r>
      <w:r w:rsidR="0036071C" w:rsidRPr="005103A1">
        <w:rPr>
          <w:rFonts w:asciiTheme="majorBidi" w:hAnsiTheme="majorBidi" w:cstheme="majorBidi"/>
          <w:color w:val="000000" w:themeColor="text1"/>
        </w:rPr>
        <w:t xml:space="preserve"> nexus</w:t>
      </w:r>
      <w:r w:rsidR="00366E05" w:rsidRPr="005103A1">
        <w:rPr>
          <w:rFonts w:asciiTheme="majorBidi" w:hAnsiTheme="majorBidi" w:cstheme="majorBidi"/>
          <w:color w:val="000000" w:themeColor="text1"/>
        </w:rPr>
        <w:t>.</w:t>
      </w:r>
      <w:r w:rsidR="0041101E">
        <w:rPr>
          <w:rFonts w:asciiTheme="majorBidi" w:hAnsiTheme="majorBidi" w:cstheme="majorBidi"/>
          <w:color w:val="000000" w:themeColor="text1"/>
        </w:rPr>
        <w:t xml:space="preserve"> </w:t>
      </w:r>
      <w:r w:rsidR="006F072C">
        <w:rPr>
          <w:rFonts w:asciiTheme="majorBidi" w:hAnsiTheme="majorBidi" w:cstheme="majorBidi"/>
          <w:color w:val="000000" w:themeColor="text1"/>
        </w:rPr>
        <w:t>Observably</w:t>
      </w:r>
      <w:r w:rsidR="0041101E">
        <w:rPr>
          <w:rFonts w:asciiTheme="majorBidi" w:hAnsiTheme="majorBidi" w:cstheme="majorBidi"/>
          <w:color w:val="000000" w:themeColor="text1"/>
        </w:rPr>
        <w:t>, the</w:t>
      </w:r>
      <w:r w:rsidR="006F072C">
        <w:rPr>
          <w:rFonts w:asciiTheme="majorBidi" w:hAnsiTheme="majorBidi" w:cstheme="majorBidi"/>
          <w:color w:val="000000" w:themeColor="text1"/>
        </w:rPr>
        <w:t>y</w:t>
      </w:r>
      <w:r w:rsidR="0041101E">
        <w:rPr>
          <w:rFonts w:asciiTheme="majorBidi" w:hAnsiTheme="majorBidi" w:cstheme="majorBidi"/>
          <w:color w:val="000000" w:themeColor="text1"/>
        </w:rPr>
        <w:t xml:space="preserve"> did not examine whether EC can moderate such a nexus.</w:t>
      </w:r>
      <w:r w:rsidR="00366E05" w:rsidRPr="005103A1">
        <w:rPr>
          <w:rFonts w:asciiTheme="majorBidi" w:hAnsiTheme="majorBidi" w:cstheme="majorBidi"/>
          <w:color w:val="000000" w:themeColor="text1"/>
        </w:rPr>
        <w:t xml:space="preserve"> </w:t>
      </w:r>
      <w:r w:rsidR="00422569">
        <w:rPr>
          <w:rFonts w:asciiTheme="majorBidi" w:hAnsiTheme="majorBidi" w:cstheme="majorBidi"/>
          <w:color w:val="000000" w:themeColor="text1"/>
        </w:rPr>
        <w:t>However</w:t>
      </w:r>
      <w:r w:rsidR="00722ADC" w:rsidRPr="005103A1">
        <w:rPr>
          <w:rFonts w:asciiTheme="majorBidi" w:hAnsiTheme="majorBidi" w:cstheme="majorBidi"/>
          <w:color w:val="000000" w:themeColor="text1"/>
        </w:rPr>
        <w:t xml:space="preserve">, past evidence indicates that </w:t>
      </w:r>
      <w:r w:rsidR="000F2362" w:rsidRPr="00FB3918">
        <w:rPr>
          <w:rFonts w:asciiTheme="majorBidi" w:hAnsiTheme="majorBidi" w:cstheme="majorBidi"/>
        </w:rPr>
        <w:t>EC</w:t>
      </w:r>
      <w:r w:rsidR="00722ADC" w:rsidRPr="00FB3918">
        <w:rPr>
          <w:rFonts w:asciiTheme="majorBidi" w:hAnsiTheme="majorBidi" w:cstheme="majorBidi"/>
        </w:rPr>
        <w:t xml:space="preserve"> has a positive effect on</w:t>
      </w:r>
      <w:r w:rsidR="00722ADC" w:rsidRPr="00017F11">
        <w:rPr>
          <w:rFonts w:asciiTheme="majorBidi" w:hAnsiTheme="majorBidi" w:cstheme="majorBidi"/>
        </w:rPr>
        <w:t>:</w:t>
      </w:r>
      <w:r w:rsidR="00722ADC" w:rsidRPr="004F3236">
        <w:rPr>
          <w:rFonts w:asciiTheme="majorBidi" w:hAnsiTheme="majorBidi" w:cstheme="majorBidi"/>
        </w:rPr>
        <w:t xml:space="preserve"> (i) </w:t>
      </w:r>
      <w:r w:rsidR="000F2362" w:rsidRPr="004F3236">
        <w:rPr>
          <w:rFonts w:asciiTheme="majorBidi" w:hAnsiTheme="majorBidi" w:cstheme="majorBidi"/>
        </w:rPr>
        <w:t>MV</w:t>
      </w:r>
      <w:r w:rsidR="00722ADC" w:rsidRPr="009F03A0">
        <w:rPr>
          <w:rFonts w:asciiTheme="majorBidi" w:hAnsiTheme="majorBidi" w:cstheme="majorBidi"/>
        </w:rPr>
        <w:t xml:space="preserve"> (</w:t>
      </w:r>
      <w:r w:rsidR="00722ADC" w:rsidRPr="00291DEF">
        <w:rPr>
          <w:rFonts w:asciiTheme="majorBidi" w:hAnsiTheme="majorBidi" w:cstheme="majorBidi"/>
          <w:color w:val="222222"/>
        </w:rPr>
        <w:t xml:space="preserve">Chahine and </w:t>
      </w:r>
      <w:proofErr w:type="spellStart"/>
      <w:r w:rsidR="00722ADC" w:rsidRPr="00291DEF">
        <w:rPr>
          <w:rFonts w:asciiTheme="majorBidi" w:hAnsiTheme="majorBidi" w:cstheme="majorBidi"/>
          <w:color w:val="222222"/>
        </w:rPr>
        <w:t>Goergen</w:t>
      </w:r>
      <w:proofErr w:type="spellEnd"/>
      <w:r w:rsidR="00722ADC" w:rsidRPr="00291DEF">
        <w:rPr>
          <w:rFonts w:asciiTheme="majorBidi" w:hAnsiTheme="majorBidi" w:cstheme="majorBidi"/>
          <w:color w:val="222222"/>
        </w:rPr>
        <w:t xml:space="preserve">, 2014; Core </w:t>
      </w:r>
      <w:r w:rsidR="00722ADC" w:rsidRPr="005103A1">
        <w:rPr>
          <w:rFonts w:asciiTheme="majorBidi" w:hAnsiTheme="majorBidi" w:cstheme="majorBidi"/>
          <w:i/>
          <w:iCs/>
          <w:color w:val="222222"/>
        </w:rPr>
        <w:t>et al.</w:t>
      </w:r>
      <w:r w:rsidR="00A72294" w:rsidRPr="005103A1">
        <w:rPr>
          <w:rFonts w:asciiTheme="majorBidi" w:hAnsiTheme="majorBidi" w:cstheme="majorBidi"/>
          <w:color w:val="222222"/>
        </w:rPr>
        <w:t>, 1999;</w:t>
      </w:r>
      <w:r w:rsidR="00722ADC" w:rsidRPr="005103A1">
        <w:rPr>
          <w:rFonts w:asciiTheme="majorBidi" w:hAnsiTheme="majorBidi" w:cstheme="majorBidi"/>
        </w:rPr>
        <w:t xml:space="preserve"> Ntim </w:t>
      </w:r>
      <w:r w:rsidR="00722ADC" w:rsidRPr="005103A1">
        <w:rPr>
          <w:rFonts w:asciiTheme="majorBidi" w:hAnsiTheme="majorBidi" w:cstheme="majorBidi"/>
          <w:i/>
          <w:iCs/>
        </w:rPr>
        <w:t>et al</w:t>
      </w:r>
      <w:r w:rsidR="00722ADC" w:rsidRPr="005103A1">
        <w:rPr>
          <w:rFonts w:asciiTheme="majorBidi" w:hAnsiTheme="majorBidi" w:cstheme="majorBidi"/>
        </w:rPr>
        <w:t xml:space="preserve">., 2019); </w:t>
      </w:r>
      <w:r w:rsidR="00B0499E">
        <w:rPr>
          <w:rFonts w:asciiTheme="majorBidi" w:hAnsiTheme="majorBidi" w:cstheme="majorBidi"/>
        </w:rPr>
        <w:t xml:space="preserve">and </w:t>
      </w:r>
      <w:r w:rsidR="00722ADC" w:rsidRPr="005103A1">
        <w:rPr>
          <w:rFonts w:asciiTheme="majorBidi" w:hAnsiTheme="majorBidi" w:cstheme="majorBidi"/>
        </w:rPr>
        <w:t xml:space="preserve">(ii) </w:t>
      </w:r>
      <w:r w:rsidR="00EF256C">
        <w:rPr>
          <w:rFonts w:asciiTheme="majorBidi" w:hAnsiTheme="majorBidi" w:cstheme="majorBidi"/>
        </w:rPr>
        <w:t>CSR</w:t>
      </w:r>
      <w:r w:rsidR="001E5FBD">
        <w:rPr>
          <w:rFonts w:asciiTheme="majorBidi" w:hAnsiTheme="majorBidi" w:cstheme="majorBidi"/>
        </w:rPr>
        <w:t xml:space="preserve"> </w:t>
      </w:r>
      <w:r w:rsidR="00722ADC" w:rsidRPr="005103A1">
        <w:rPr>
          <w:rFonts w:asciiTheme="majorBidi" w:hAnsiTheme="majorBidi" w:cstheme="majorBidi"/>
        </w:rPr>
        <w:t xml:space="preserve">(Campbell </w:t>
      </w:r>
      <w:r w:rsidR="00722ADC" w:rsidRPr="005103A1">
        <w:rPr>
          <w:rFonts w:asciiTheme="majorBidi" w:hAnsiTheme="majorBidi" w:cstheme="majorBidi"/>
          <w:i/>
          <w:iCs/>
        </w:rPr>
        <w:t>et al.,</w:t>
      </w:r>
      <w:r w:rsidR="00722ADC" w:rsidRPr="005103A1">
        <w:rPr>
          <w:rFonts w:asciiTheme="majorBidi" w:hAnsiTheme="majorBidi" w:cstheme="majorBidi"/>
        </w:rPr>
        <w:t xml:space="preserve"> 2007; Cordeiro and Sarkis, 2008; Maas, 2018). </w:t>
      </w:r>
      <w:r w:rsidR="007170C4" w:rsidRPr="005103A1">
        <w:rPr>
          <w:rFonts w:asciiTheme="majorBidi" w:hAnsiTheme="majorBidi" w:cstheme="majorBidi"/>
        </w:rPr>
        <w:t xml:space="preserve">This implies that </w:t>
      </w:r>
      <w:r w:rsidR="000F2362" w:rsidRPr="005103A1">
        <w:rPr>
          <w:rFonts w:asciiTheme="majorBidi" w:hAnsiTheme="majorBidi" w:cstheme="majorBidi"/>
        </w:rPr>
        <w:t>EC</w:t>
      </w:r>
      <w:r w:rsidR="007170C4" w:rsidRPr="005103A1">
        <w:rPr>
          <w:rFonts w:asciiTheme="majorBidi" w:hAnsiTheme="majorBidi" w:cstheme="majorBidi"/>
        </w:rPr>
        <w:t xml:space="preserve"> is likely to affect the link between </w:t>
      </w:r>
      <w:r w:rsidR="000F2362" w:rsidRPr="005103A1">
        <w:rPr>
          <w:rFonts w:asciiTheme="majorBidi" w:hAnsiTheme="majorBidi" w:cstheme="majorBidi"/>
        </w:rPr>
        <w:t>CP</w:t>
      </w:r>
      <w:r w:rsidR="007170C4" w:rsidRPr="005103A1">
        <w:rPr>
          <w:rFonts w:asciiTheme="majorBidi" w:hAnsiTheme="majorBidi" w:cstheme="majorBidi"/>
        </w:rPr>
        <w:t xml:space="preserve"> and </w:t>
      </w:r>
      <w:r w:rsidR="000F2362" w:rsidRPr="005103A1">
        <w:rPr>
          <w:rFonts w:asciiTheme="majorBidi" w:hAnsiTheme="majorBidi" w:cstheme="majorBidi"/>
        </w:rPr>
        <w:t>MV</w:t>
      </w:r>
      <w:r w:rsidR="007170C4" w:rsidRPr="005103A1">
        <w:rPr>
          <w:rFonts w:asciiTheme="majorBidi" w:hAnsiTheme="majorBidi" w:cstheme="majorBidi"/>
        </w:rPr>
        <w:t xml:space="preserve">, and </w:t>
      </w:r>
      <w:r w:rsidR="007170C4" w:rsidRPr="005103A1">
        <w:rPr>
          <w:rFonts w:asciiTheme="majorBidi" w:hAnsiTheme="majorBidi" w:cstheme="majorBidi"/>
          <w:color w:val="000000" w:themeColor="text1"/>
        </w:rPr>
        <w:t>t</w:t>
      </w:r>
      <w:r w:rsidR="007229A4" w:rsidRPr="005103A1">
        <w:rPr>
          <w:rFonts w:asciiTheme="majorBidi" w:hAnsiTheme="majorBidi" w:cstheme="majorBidi"/>
          <w:color w:val="000000" w:themeColor="text1"/>
        </w:rPr>
        <w:t>hus, our second</w:t>
      </w:r>
      <w:r w:rsidR="00AC4EF4" w:rsidRPr="005103A1">
        <w:rPr>
          <w:rFonts w:asciiTheme="majorBidi" w:hAnsiTheme="majorBidi" w:cstheme="majorBidi"/>
          <w:color w:val="000000" w:themeColor="text1"/>
        </w:rPr>
        <w:t xml:space="preserve"> </w:t>
      </w:r>
      <w:r w:rsidR="00366E05" w:rsidRPr="005103A1">
        <w:rPr>
          <w:rFonts w:asciiTheme="majorBidi" w:hAnsiTheme="majorBidi" w:cstheme="majorBidi"/>
          <w:color w:val="000000" w:themeColor="text1"/>
        </w:rPr>
        <w:t>hypothesis</w:t>
      </w:r>
      <w:r w:rsidR="00AC4EF4" w:rsidRPr="005103A1">
        <w:rPr>
          <w:rFonts w:asciiTheme="majorBidi" w:hAnsiTheme="majorBidi" w:cstheme="majorBidi"/>
          <w:color w:val="000000" w:themeColor="text1"/>
        </w:rPr>
        <w:t xml:space="preserve"> is</w:t>
      </w:r>
      <w:r w:rsidR="00366E05" w:rsidRPr="005103A1">
        <w:rPr>
          <w:rFonts w:asciiTheme="majorBidi" w:hAnsiTheme="majorBidi" w:cstheme="majorBidi"/>
          <w:color w:val="000000" w:themeColor="text1"/>
        </w:rPr>
        <w:t>:</w:t>
      </w:r>
    </w:p>
    <w:p w14:paraId="7EADAA19" w14:textId="6CB05DC5" w:rsidR="00366E05" w:rsidRPr="005103A1" w:rsidRDefault="00366E05" w:rsidP="00FB7F53">
      <w:pPr>
        <w:spacing w:after="0" w:line="240" w:lineRule="auto"/>
        <w:ind w:left="720"/>
        <w:jc w:val="both"/>
        <w:rPr>
          <w:rFonts w:asciiTheme="majorBidi" w:hAnsiTheme="majorBidi" w:cstheme="majorBidi"/>
          <w:i/>
          <w:iCs/>
          <w:color w:val="000000" w:themeColor="text1"/>
        </w:rPr>
      </w:pPr>
      <w:r w:rsidRPr="005103A1">
        <w:rPr>
          <w:rFonts w:asciiTheme="majorBidi" w:hAnsiTheme="majorBidi" w:cstheme="majorBidi"/>
          <w:i/>
          <w:color w:val="000000" w:themeColor="text1"/>
        </w:rPr>
        <w:t xml:space="preserve">H1b: </w:t>
      </w:r>
      <w:r w:rsidRPr="005103A1">
        <w:rPr>
          <w:rFonts w:asciiTheme="majorBidi" w:hAnsiTheme="majorBidi" w:cstheme="majorBidi"/>
          <w:i/>
          <w:iCs/>
          <w:color w:val="000000" w:themeColor="text1"/>
        </w:rPr>
        <w:t xml:space="preserve">Ceteris paribus, </w:t>
      </w:r>
      <w:r w:rsidR="00DD61C6" w:rsidRPr="005103A1">
        <w:rPr>
          <w:rFonts w:asciiTheme="majorBidi" w:hAnsiTheme="majorBidi" w:cstheme="majorBidi"/>
          <w:i/>
          <w:iCs/>
          <w:color w:val="000000" w:themeColor="text1"/>
        </w:rPr>
        <w:t>EC</w:t>
      </w:r>
      <w:r w:rsidRPr="005103A1">
        <w:rPr>
          <w:rFonts w:asciiTheme="majorBidi" w:hAnsiTheme="majorBidi" w:cstheme="majorBidi"/>
          <w:i/>
          <w:iCs/>
          <w:color w:val="000000" w:themeColor="text1"/>
        </w:rPr>
        <w:t xml:space="preserve"> reinforces a positive relationship between </w:t>
      </w:r>
      <w:r w:rsidR="00DD61C6" w:rsidRPr="005103A1">
        <w:rPr>
          <w:rFonts w:asciiTheme="majorBidi" w:hAnsiTheme="majorBidi" w:cstheme="majorBidi"/>
          <w:i/>
          <w:iCs/>
          <w:color w:val="000000" w:themeColor="text1"/>
        </w:rPr>
        <w:t>CP</w:t>
      </w:r>
      <w:r w:rsidRPr="005103A1">
        <w:rPr>
          <w:rFonts w:asciiTheme="majorBidi" w:hAnsiTheme="majorBidi" w:cstheme="majorBidi"/>
          <w:i/>
          <w:iCs/>
          <w:color w:val="000000" w:themeColor="text1"/>
        </w:rPr>
        <w:t xml:space="preserve"> and </w:t>
      </w:r>
      <w:r w:rsidR="00DD61C6" w:rsidRPr="005103A1">
        <w:rPr>
          <w:rFonts w:asciiTheme="majorBidi" w:hAnsiTheme="majorBidi" w:cstheme="majorBidi"/>
          <w:i/>
          <w:iCs/>
          <w:color w:val="000000" w:themeColor="text1"/>
        </w:rPr>
        <w:t>MV</w:t>
      </w:r>
      <w:r w:rsidRPr="005103A1">
        <w:rPr>
          <w:rFonts w:asciiTheme="majorBidi" w:hAnsiTheme="majorBidi" w:cstheme="majorBidi"/>
          <w:i/>
          <w:iCs/>
          <w:color w:val="000000" w:themeColor="text1"/>
        </w:rPr>
        <w:t>, and this moderating effect is greater for process-oriented</w:t>
      </w:r>
      <w:r w:rsidR="00D42F2F" w:rsidRPr="005103A1">
        <w:rPr>
          <w:rFonts w:asciiTheme="majorBidi" w:hAnsiTheme="majorBidi" w:cstheme="majorBidi"/>
          <w:i/>
          <w:iCs/>
          <w:color w:val="000000" w:themeColor="text1"/>
        </w:rPr>
        <w:t xml:space="preserve"> </w:t>
      </w:r>
      <w:r w:rsidR="00DD61C6" w:rsidRPr="005103A1">
        <w:rPr>
          <w:rFonts w:asciiTheme="majorBidi" w:hAnsiTheme="majorBidi" w:cstheme="majorBidi"/>
          <w:i/>
          <w:iCs/>
          <w:color w:val="000000" w:themeColor="text1"/>
        </w:rPr>
        <w:t>CP</w:t>
      </w:r>
      <w:r w:rsidR="00D42F2F" w:rsidRPr="005103A1">
        <w:rPr>
          <w:rFonts w:asciiTheme="majorBidi" w:hAnsiTheme="majorBidi" w:cstheme="majorBidi"/>
          <w:i/>
          <w:iCs/>
          <w:color w:val="000000" w:themeColor="text1"/>
        </w:rPr>
        <w:t xml:space="preserve"> rather than actual </w:t>
      </w:r>
      <w:r w:rsidR="00DD61C6" w:rsidRPr="005103A1">
        <w:rPr>
          <w:rFonts w:asciiTheme="majorBidi" w:hAnsiTheme="majorBidi" w:cstheme="majorBidi"/>
          <w:i/>
          <w:iCs/>
          <w:color w:val="000000" w:themeColor="text1"/>
        </w:rPr>
        <w:t>CP</w:t>
      </w:r>
      <w:r w:rsidRPr="005103A1">
        <w:rPr>
          <w:rFonts w:asciiTheme="majorBidi" w:hAnsiTheme="majorBidi" w:cstheme="majorBidi"/>
          <w:i/>
          <w:iCs/>
          <w:color w:val="000000" w:themeColor="text1"/>
        </w:rPr>
        <w:t>.</w:t>
      </w:r>
    </w:p>
    <w:p w14:paraId="67638720" w14:textId="77777777" w:rsidR="00366E05" w:rsidRPr="005103A1" w:rsidRDefault="00366E05" w:rsidP="002D762D">
      <w:pPr>
        <w:spacing w:after="0" w:line="240" w:lineRule="auto"/>
        <w:ind w:firstLine="720"/>
        <w:jc w:val="both"/>
        <w:rPr>
          <w:rFonts w:asciiTheme="majorBidi" w:hAnsiTheme="majorBidi" w:cstheme="majorBidi"/>
          <w:b/>
          <w:i/>
          <w:color w:val="000000" w:themeColor="text1"/>
        </w:rPr>
      </w:pPr>
    </w:p>
    <w:p w14:paraId="42191B78" w14:textId="77777777" w:rsidR="00205C24" w:rsidRPr="005103A1" w:rsidRDefault="00205C24" w:rsidP="0004220B">
      <w:pPr>
        <w:pStyle w:val="ListParagraph"/>
        <w:spacing w:after="0" w:line="240" w:lineRule="auto"/>
        <w:ind w:left="0"/>
        <w:contextualSpacing w:val="0"/>
        <w:jc w:val="both"/>
        <w:rPr>
          <w:rFonts w:asciiTheme="majorBidi" w:hAnsiTheme="majorBidi" w:cstheme="majorBidi"/>
          <w:i/>
          <w:color w:val="000000" w:themeColor="text1"/>
        </w:rPr>
      </w:pPr>
    </w:p>
    <w:p w14:paraId="7043D52D" w14:textId="450A3405" w:rsidR="00730620" w:rsidRPr="005103A1" w:rsidRDefault="00730620" w:rsidP="0064103E">
      <w:pPr>
        <w:pStyle w:val="ListParagraph"/>
        <w:spacing w:after="0" w:line="480" w:lineRule="auto"/>
        <w:ind w:left="0"/>
        <w:contextualSpacing w:val="0"/>
        <w:jc w:val="both"/>
        <w:rPr>
          <w:rFonts w:asciiTheme="majorBidi" w:hAnsiTheme="majorBidi" w:cstheme="majorBidi"/>
          <w:i/>
          <w:color w:val="000000" w:themeColor="text1"/>
        </w:rPr>
      </w:pPr>
      <w:r w:rsidRPr="005103A1">
        <w:rPr>
          <w:rFonts w:asciiTheme="majorBidi" w:hAnsiTheme="majorBidi" w:cstheme="majorBidi"/>
          <w:i/>
          <w:color w:val="000000" w:themeColor="text1"/>
        </w:rPr>
        <w:t>Executive compensation and carbon performance</w:t>
      </w:r>
    </w:p>
    <w:p w14:paraId="02D1A3BD" w14:textId="237A21C1" w:rsidR="00186956" w:rsidRPr="005103A1" w:rsidRDefault="004F3236" w:rsidP="0064103E">
      <w:pPr>
        <w:spacing w:after="0" w:line="480" w:lineRule="auto"/>
        <w:jc w:val="both"/>
        <w:rPr>
          <w:rFonts w:asciiTheme="majorBidi" w:hAnsiTheme="majorBidi" w:cstheme="majorBidi"/>
          <w:color w:val="000000" w:themeColor="text1"/>
        </w:rPr>
      </w:pPr>
      <w:bookmarkStart w:id="2" w:name="_Hlk485224786"/>
      <w:r>
        <w:rPr>
          <w:rFonts w:asciiTheme="majorBidi" w:hAnsiTheme="majorBidi" w:cstheme="majorBidi"/>
          <w:color w:val="000000" w:themeColor="text1"/>
        </w:rPr>
        <w:tab/>
      </w:r>
      <w:r w:rsidR="0067740C" w:rsidRPr="005103A1">
        <w:rPr>
          <w:rFonts w:asciiTheme="majorBidi" w:hAnsiTheme="majorBidi" w:cstheme="majorBidi"/>
          <w:color w:val="000000" w:themeColor="text1"/>
        </w:rPr>
        <w:t>From an efficiency perspective</w:t>
      </w:r>
      <w:r w:rsidR="007D6849">
        <w:rPr>
          <w:rFonts w:asciiTheme="majorBidi" w:hAnsiTheme="majorBidi" w:cstheme="majorBidi"/>
          <w:color w:val="000000" w:themeColor="text1"/>
        </w:rPr>
        <w:t xml:space="preserve"> of </w:t>
      </w:r>
      <w:r w:rsidR="007D6849" w:rsidRPr="005103A1">
        <w:rPr>
          <w:rFonts w:asciiTheme="majorBidi" w:hAnsiTheme="majorBidi" w:cstheme="majorBidi"/>
          <w:color w:val="000000" w:themeColor="text1"/>
        </w:rPr>
        <w:t>NIT</w:t>
      </w:r>
      <w:r w:rsidR="0067740C" w:rsidRPr="005103A1">
        <w:rPr>
          <w:rFonts w:asciiTheme="majorBidi" w:hAnsiTheme="majorBidi" w:cstheme="majorBidi"/>
          <w:color w:val="000000" w:themeColor="text1"/>
        </w:rPr>
        <w:t>, t</w:t>
      </w:r>
      <w:r w:rsidR="00241C7F" w:rsidRPr="005103A1">
        <w:rPr>
          <w:rFonts w:asciiTheme="majorBidi" w:hAnsiTheme="majorBidi" w:cstheme="majorBidi"/>
          <w:color w:val="000000" w:themeColor="text1"/>
        </w:rPr>
        <w:t>he market can encourage carbon reduction initiatives by rewarding firms with better carbon performance with higher valuation and vice-versa</w:t>
      </w:r>
      <w:r w:rsidR="00EA7FA6" w:rsidRPr="005103A1">
        <w:rPr>
          <w:rFonts w:asciiTheme="majorBidi" w:hAnsiTheme="majorBidi" w:cstheme="majorBidi"/>
          <w:color w:val="000000" w:themeColor="text1"/>
        </w:rPr>
        <w:t xml:space="preserve">. </w:t>
      </w:r>
      <w:r w:rsidR="0001516C" w:rsidRPr="005103A1">
        <w:rPr>
          <w:rFonts w:asciiTheme="majorBidi" w:hAnsiTheme="majorBidi" w:cstheme="majorBidi"/>
          <w:color w:val="000000" w:themeColor="text1"/>
        </w:rPr>
        <w:t xml:space="preserve">Therefore, </w:t>
      </w:r>
      <w:r w:rsidR="00241C7F" w:rsidRPr="005103A1">
        <w:rPr>
          <w:rFonts w:asciiTheme="majorBidi" w:hAnsiTheme="majorBidi" w:cstheme="majorBidi"/>
          <w:color w:val="000000" w:themeColor="text1"/>
        </w:rPr>
        <w:t xml:space="preserve">well-meaning </w:t>
      </w:r>
      <w:r w:rsidR="0001516C" w:rsidRPr="005103A1">
        <w:rPr>
          <w:rFonts w:asciiTheme="majorBidi" w:hAnsiTheme="majorBidi" w:cstheme="majorBidi"/>
          <w:color w:val="000000" w:themeColor="text1"/>
        </w:rPr>
        <w:t xml:space="preserve">corporate boards </w:t>
      </w:r>
      <w:r w:rsidR="001338CA" w:rsidRPr="005103A1">
        <w:rPr>
          <w:rFonts w:asciiTheme="majorBidi" w:hAnsiTheme="majorBidi" w:cstheme="majorBidi"/>
          <w:color w:val="000000" w:themeColor="text1"/>
        </w:rPr>
        <w:t>can be expected</w:t>
      </w:r>
      <w:r w:rsidR="0001516C" w:rsidRPr="005103A1">
        <w:rPr>
          <w:rFonts w:asciiTheme="majorBidi" w:hAnsiTheme="majorBidi" w:cstheme="majorBidi"/>
          <w:color w:val="000000" w:themeColor="text1"/>
        </w:rPr>
        <w:t xml:space="preserve"> to use incentive-based mechanisms</w:t>
      </w:r>
      <w:r w:rsidR="00241C7F" w:rsidRPr="005103A1">
        <w:rPr>
          <w:rFonts w:asciiTheme="majorBidi" w:hAnsiTheme="majorBidi" w:cstheme="majorBidi"/>
          <w:color w:val="000000" w:themeColor="text1"/>
        </w:rPr>
        <w:t>,</w:t>
      </w:r>
      <w:r w:rsidR="0001516C" w:rsidRPr="005103A1">
        <w:rPr>
          <w:rFonts w:asciiTheme="majorBidi" w:hAnsiTheme="majorBidi" w:cstheme="majorBidi"/>
          <w:color w:val="000000" w:themeColor="text1"/>
        </w:rPr>
        <w:t xml:space="preserve"> such as </w:t>
      </w:r>
      <w:r w:rsidR="000F2362" w:rsidRPr="005103A1">
        <w:rPr>
          <w:rFonts w:asciiTheme="majorBidi" w:hAnsiTheme="majorBidi" w:cstheme="majorBidi"/>
          <w:color w:val="000000" w:themeColor="text1"/>
        </w:rPr>
        <w:t>EC</w:t>
      </w:r>
      <w:r w:rsidR="0001516C" w:rsidRPr="005103A1">
        <w:rPr>
          <w:rFonts w:asciiTheme="majorBidi" w:hAnsiTheme="majorBidi" w:cstheme="majorBidi"/>
          <w:color w:val="000000" w:themeColor="text1"/>
        </w:rPr>
        <w:t xml:space="preserve"> to motivate executive management to undertake carbon abatement projects</w:t>
      </w:r>
      <w:r w:rsidR="003C779B" w:rsidRPr="005103A1">
        <w:rPr>
          <w:rFonts w:asciiTheme="majorBidi" w:hAnsiTheme="majorBidi" w:cstheme="majorBidi"/>
          <w:color w:val="000000" w:themeColor="text1"/>
        </w:rPr>
        <w:t>.</w:t>
      </w:r>
      <w:bookmarkEnd w:id="2"/>
      <w:r w:rsidR="00EB1F5E" w:rsidRPr="005103A1">
        <w:rPr>
          <w:rFonts w:asciiTheme="majorBidi" w:hAnsiTheme="majorBidi" w:cstheme="majorBidi"/>
          <w:color w:val="000000" w:themeColor="text1"/>
        </w:rPr>
        <w:t xml:space="preserve"> </w:t>
      </w:r>
      <w:r w:rsidR="005A38E6" w:rsidRPr="005103A1">
        <w:rPr>
          <w:rFonts w:asciiTheme="majorBidi" w:hAnsiTheme="majorBidi" w:cstheme="majorBidi"/>
          <w:color w:val="000000" w:themeColor="text1"/>
        </w:rPr>
        <w:t>Indeed, past evidence (</w:t>
      </w:r>
      <w:r w:rsidR="005E0927" w:rsidRPr="005103A1">
        <w:rPr>
          <w:rFonts w:asciiTheme="majorBidi" w:hAnsiTheme="majorBidi" w:cstheme="majorBidi"/>
        </w:rPr>
        <w:t xml:space="preserve">Tauringana </w:t>
      </w:r>
      <w:r w:rsidR="00040671" w:rsidRPr="005103A1">
        <w:rPr>
          <w:rFonts w:asciiTheme="majorBidi" w:hAnsiTheme="majorBidi" w:cstheme="majorBidi"/>
        </w:rPr>
        <w:t>and</w:t>
      </w:r>
      <w:r w:rsidR="005E0927" w:rsidRPr="005103A1">
        <w:rPr>
          <w:rFonts w:asciiTheme="majorBidi" w:hAnsiTheme="majorBidi" w:cstheme="majorBidi"/>
        </w:rPr>
        <w:t xml:space="preserve"> </w:t>
      </w:r>
      <w:proofErr w:type="spellStart"/>
      <w:r w:rsidR="005E0927" w:rsidRPr="005103A1">
        <w:rPr>
          <w:rFonts w:asciiTheme="majorBidi" w:hAnsiTheme="majorBidi" w:cstheme="majorBidi"/>
        </w:rPr>
        <w:t>Chithambo</w:t>
      </w:r>
      <w:proofErr w:type="spellEnd"/>
      <w:r w:rsidR="005E0927" w:rsidRPr="005103A1">
        <w:rPr>
          <w:rFonts w:asciiTheme="majorBidi" w:hAnsiTheme="majorBidi" w:cstheme="majorBidi"/>
        </w:rPr>
        <w:t>, 2015</w:t>
      </w:r>
      <w:r w:rsidR="005E0927" w:rsidRPr="005103A1">
        <w:rPr>
          <w:rFonts w:asciiTheme="majorBidi" w:hAnsiTheme="majorBidi" w:cstheme="majorBidi"/>
          <w:color w:val="000000" w:themeColor="text1"/>
        </w:rPr>
        <w:t>) indicate</w:t>
      </w:r>
      <w:r w:rsidR="005A38E6" w:rsidRPr="005103A1">
        <w:rPr>
          <w:rFonts w:asciiTheme="majorBidi" w:hAnsiTheme="majorBidi" w:cstheme="majorBidi"/>
          <w:color w:val="000000" w:themeColor="text1"/>
        </w:rPr>
        <w:t>s</w:t>
      </w:r>
      <w:r w:rsidR="005E0927" w:rsidRPr="005103A1">
        <w:rPr>
          <w:rFonts w:asciiTheme="majorBidi" w:hAnsiTheme="majorBidi" w:cstheme="majorBidi"/>
          <w:color w:val="000000" w:themeColor="text1"/>
        </w:rPr>
        <w:t xml:space="preserve"> </w:t>
      </w:r>
      <w:r w:rsidR="00186956" w:rsidRPr="005103A1">
        <w:rPr>
          <w:rFonts w:asciiTheme="majorBidi" w:hAnsiTheme="majorBidi" w:cstheme="majorBidi"/>
          <w:color w:val="000000" w:themeColor="text1"/>
        </w:rPr>
        <w:t>that incentive</w:t>
      </w:r>
      <w:r w:rsidR="00212540" w:rsidRPr="005103A1">
        <w:rPr>
          <w:rFonts w:asciiTheme="majorBidi" w:hAnsiTheme="majorBidi" w:cstheme="majorBidi"/>
          <w:color w:val="000000" w:themeColor="text1"/>
        </w:rPr>
        <w:t>-</w:t>
      </w:r>
      <w:r w:rsidR="00186956" w:rsidRPr="005103A1">
        <w:rPr>
          <w:rFonts w:asciiTheme="majorBidi" w:hAnsiTheme="majorBidi" w:cstheme="majorBidi"/>
          <w:color w:val="000000" w:themeColor="text1"/>
        </w:rPr>
        <w:t xml:space="preserve">based mechanisms of </w:t>
      </w:r>
      <w:r w:rsidR="000F2362" w:rsidRPr="005103A1">
        <w:rPr>
          <w:rFonts w:asciiTheme="majorBidi" w:hAnsiTheme="majorBidi" w:cstheme="majorBidi"/>
          <w:color w:val="000000" w:themeColor="text1"/>
        </w:rPr>
        <w:t>CG</w:t>
      </w:r>
      <w:r w:rsidR="00186956" w:rsidRPr="005103A1">
        <w:rPr>
          <w:rFonts w:asciiTheme="majorBidi" w:hAnsiTheme="majorBidi" w:cstheme="majorBidi"/>
          <w:color w:val="000000" w:themeColor="text1"/>
        </w:rPr>
        <w:t xml:space="preserve"> can be instrumental in enhancing </w:t>
      </w:r>
      <w:r w:rsidR="00212540" w:rsidRPr="005103A1">
        <w:rPr>
          <w:rFonts w:asciiTheme="majorBidi" w:hAnsiTheme="majorBidi" w:cstheme="majorBidi"/>
          <w:color w:val="000000" w:themeColor="text1"/>
        </w:rPr>
        <w:t>corporate</w:t>
      </w:r>
      <w:r w:rsidR="00186956" w:rsidRPr="005103A1">
        <w:rPr>
          <w:rFonts w:asciiTheme="majorBidi" w:hAnsiTheme="majorBidi" w:cstheme="majorBidi"/>
          <w:color w:val="000000" w:themeColor="text1"/>
        </w:rPr>
        <w:t xml:space="preserve"> </w:t>
      </w:r>
      <w:r w:rsidR="000F2362" w:rsidRPr="005103A1">
        <w:rPr>
          <w:rFonts w:asciiTheme="majorBidi" w:hAnsiTheme="majorBidi" w:cstheme="majorBidi"/>
          <w:color w:val="000000" w:themeColor="text1"/>
        </w:rPr>
        <w:t>CP</w:t>
      </w:r>
      <w:r w:rsidR="004E60D0" w:rsidRPr="005103A1">
        <w:rPr>
          <w:rFonts w:asciiTheme="majorBidi" w:hAnsiTheme="majorBidi" w:cstheme="majorBidi"/>
          <w:color w:val="000000" w:themeColor="text1"/>
        </w:rPr>
        <w:t xml:space="preserve"> in </w:t>
      </w:r>
      <w:proofErr w:type="gramStart"/>
      <w:r w:rsidR="004E60D0" w:rsidRPr="005103A1">
        <w:rPr>
          <w:rFonts w:asciiTheme="majorBidi" w:hAnsiTheme="majorBidi" w:cstheme="majorBidi"/>
          <w:color w:val="000000" w:themeColor="text1"/>
        </w:rPr>
        <w:t>a number of</w:t>
      </w:r>
      <w:proofErr w:type="gramEnd"/>
      <w:r w:rsidR="004E60D0" w:rsidRPr="005103A1">
        <w:rPr>
          <w:rFonts w:asciiTheme="majorBidi" w:hAnsiTheme="majorBidi" w:cstheme="majorBidi"/>
          <w:color w:val="000000" w:themeColor="text1"/>
        </w:rPr>
        <w:t xml:space="preserve"> ways</w:t>
      </w:r>
      <w:r w:rsidR="00186956" w:rsidRPr="005103A1">
        <w:rPr>
          <w:rFonts w:asciiTheme="majorBidi" w:hAnsiTheme="majorBidi" w:cstheme="majorBidi"/>
          <w:color w:val="000000" w:themeColor="text1"/>
        </w:rPr>
        <w:t>.</w:t>
      </w:r>
    </w:p>
    <w:p w14:paraId="2B824839" w14:textId="2CAD9D42" w:rsidR="007E2045" w:rsidRPr="005103A1" w:rsidRDefault="00C40EDA" w:rsidP="006B358C">
      <w:pPr>
        <w:spacing w:after="0" w:line="480" w:lineRule="auto"/>
        <w:ind w:firstLine="720"/>
        <w:jc w:val="both"/>
        <w:rPr>
          <w:rFonts w:asciiTheme="majorBidi" w:hAnsiTheme="majorBidi" w:cstheme="majorBidi"/>
          <w:color w:val="000000" w:themeColor="text1"/>
        </w:rPr>
      </w:pPr>
      <w:r w:rsidRPr="005103A1">
        <w:rPr>
          <w:rFonts w:asciiTheme="majorBidi" w:hAnsiTheme="majorBidi" w:cstheme="majorBidi"/>
          <w:iCs/>
          <w:color w:val="000000" w:themeColor="text1"/>
        </w:rPr>
        <w:lastRenderedPageBreak/>
        <w:t>First,</w:t>
      </w:r>
      <w:r w:rsidRPr="005103A1">
        <w:rPr>
          <w:rFonts w:asciiTheme="majorBidi" w:hAnsiTheme="majorBidi" w:cstheme="majorBidi"/>
          <w:color w:val="000000" w:themeColor="text1"/>
        </w:rPr>
        <w:t xml:space="preserve"> </w:t>
      </w:r>
      <w:r w:rsidR="00794A6B" w:rsidRPr="005103A1">
        <w:rPr>
          <w:rFonts w:asciiTheme="majorBidi" w:hAnsiTheme="majorBidi" w:cstheme="majorBidi"/>
          <w:color w:val="000000" w:themeColor="text1"/>
        </w:rPr>
        <w:t xml:space="preserve">powerful executives are likely to be reluctant to pursue </w:t>
      </w:r>
      <w:r w:rsidR="007842FD" w:rsidRPr="005103A1">
        <w:rPr>
          <w:rFonts w:asciiTheme="majorBidi" w:hAnsiTheme="majorBidi" w:cstheme="majorBidi"/>
          <w:color w:val="000000" w:themeColor="text1"/>
        </w:rPr>
        <w:t>long-term</w:t>
      </w:r>
      <w:r w:rsidR="00794A6B" w:rsidRPr="005103A1">
        <w:rPr>
          <w:rFonts w:asciiTheme="majorBidi" w:hAnsiTheme="majorBidi" w:cstheme="majorBidi"/>
          <w:color w:val="000000" w:themeColor="text1"/>
        </w:rPr>
        <w:t xml:space="preserve"> emission reduction projects, </w:t>
      </w:r>
      <w:r w:rsidR="005D5A34" w:rsidRPr="005103A1">
        <w:rPr>
          <w:rFonts w:asciiTheme="majorBidi" w:hAnsiTheme="majorBidi" w:cstheme="majorBidi"/>
          <w:color w:val="000000" w:themeColor="text1"/>
        </w:rPr>
        <w:t>since they</w:t>
      </w:r>
      <w:r w:rsidR="0096095B" w:rsidRPr="005103A1">
        <w:rPr>
          <w:rFonts w:asciiTheme="majorBidi" w:hAnsiTheme="majorBidi" w:cstheme="majorBidi"/>
          <w:color w:val="000000" w:themeColor="text1"/>
        </w:rPr>
        <w:t xml:space="preserve"> </w:t>
      </w:r>
      <w:r w:rsidR="005D5A34" w:rsidRPr="005103A1">
        <w:rPr>
          <w:rFonts w:asciiTheme="majorBidi" w:hAnsiTheme="majorBidi" w:cstheme="majorBidi"/>
          <w:color w:val="000000" w:themeColor="text1"/>
        </w:rPr>
        <w:t xml:space="preserve">require substantial capital investments amid </w:t>
      </w:r>
      <w:r w:rsidR="00794A6B" w:rsidRPr="005103A1">
        <w:rPr>
          <w:rFonts w:asciiTheme="majorBidi" w:hAnsiTheme="majorBidi" w:cstheme="majorBidi"/>
          <w:color w:val="000000" w:themeColor="text1"/>
        </w:rPr>
        <w:t>uncertain financial benefits</w:t>
      </w:r>
      <w:r w:rsidR="00B54943" w:rsidRPr="005103A1">
        <w:rPr>
          <w:rFonts w:asciiTheme="majorBidi" w:hAnsiTheme="majorBidi" w:cstheme="majorBidi"/>
          <w:color w:val="000000" w:themeColor="text1"/>
        </w:rPr>
        <w:t xml:space="preserve"> at least in the short-term</w:t>
      </w:r>
      <w:r w:rsidR="00794A6B" w:rsidRPr="005103A1">
        <w:rPr>
          <w:rFonts w:asciiTheme="majorBidi" w:hAnsiTheme="majorBidi" w:cstheme="majorBidi"/>
          <w:color w:val="000000" w:themeColor="text1"/>
        </w:rPr>
        <w:t xml:space="preserve"> </w:t>
      </w:r>
      <w:r w:rsidR="00B54943" w:rsidRPr="005103A1">
        <w:rPr>
          <w:rFonts w:asciiTheme="majorBidi" w:hAnsiTheme="majorBidi" w:cstheme="majorBidi"/>
          <w:color w:val="000000" w:themeColor="text1"/>
        </w:rPr>
        <w:t>(</w:t>
      </w:r>
      <w:r w:rsidR="009324D2" w:rsidRPr="005103A1">
        <w:rPr>
          <w:rFonts w:asciiTheme="majorBidi" w:hAnsiTheme="majorBidi" w:cstheme="majorBidi"/>
        </w:rPr>
        <w:t>Haque, 2017</w:t>
      </w:r>
      <w:r w:rsidR="00794A6B" w:rsidRPr="005103A1">
        <w:rPr>
          <w:rFonts w:asciiTheme="majorBidi" w:hAnsiTheme="majorBidi" w:cstheme="majorBidi"/>
          <w:color w:val="000000" w:themeColor="text1"/>
        </w:rPr>
        <w:t>)</w:t>
      </w:r>
      <w:r w:rsidR="007842FD" w:rsidRPr="005103A1">
        <w:rPr>
          <w:rFonts w:asciiTheme="majorBidi" w:hAnsiTheme="majorBidi" w:cstheme="majorBidi"/>
          <w:color w:val="000000" w:themeColor="text1"/>
        </w:rPr>
        <w:t xml:space="preserve">. </w:t>
      </w:r>
      <w:r w:rsidR="00794A6B" w:rsidRPr="005103A1">
        <w:rPr>
          <w:rFonts w:asciiTheme="majorBidi" w:hAnsiTheme="majorBidi" w:cstheme="majorBidi"/>
          <w:iCs/>
          <w:color w:val="000000" w:themeColor="text1"/>
        </w:rPr>
        <w:t>Second,</w:t>
      </w:r>
      <w:r w:rsidR="00794A6B" w:rsidRPr="005103A1">
        <w:rPr>
          <w:rFonts w:asciiTheme="majorBidi" w:hAnsiTheme="majorBidi" w:cstheme="majorBidi"/>
          <w:color w:val="000000" w:themeColor="text1"/>
        </w:rPr>
        <w:t xml:space="preserve"> </w:t>
      </w:r>
      <w:r w:rsidRPr="005103A1">
        <w:rPr>
          <w:rFonts w:asciiTheme="majorBidi" w:hAnsiTheme="majorBidi" w:cstheme="majorBidi"/>
          <w:color w:val="000000" w:themeColor="text1"/>
        </w:rPr>
        <w:t xml:space="preserve">as Berrone and Gomez-Mejia (2009) argue, environmental projects require </w:t>
      </w:r>
      <w:r w:rsidR="009E54FA" w:rsidRPr="005103A1">
        <w:rPr>
          <w:rFonts w:asciiTheme="majorBidi" w:hAnsiTheme="majorBidi" w:cstheme="majorBidi"/>
          <w:color w:val="000000" w:themeColor="text1"/>
        </w:rPr>
        <w:t>labour</w:t>
      </w:r>
      <w:r w:rsidR="00853DE0" w:rsidRPr="005103A1">
        <w:rPr>
          <w:rFonts w:asciiTheme="majorBidi" w:hAnsiTheme="majorBidi" w:cstheme="majorBidi"/>
          <w:color w:val="000000" w:themeColor="text1"/>
        </w:rPr>
        <w:t>-</w:t>
      </w:r>
      <w:r w:rsidRPr="005103A1">
        <w:rPr>
          <w:rFonts w:asciiTheme="majorBidi" w:hAnsiTheme="majorBidi" w:cstheme="majorBidi"/>
          <w:color w:val="000000" w:themeColor="text1"/>
        </w:rPr>
        <w:t>intensive structures and high performing employees to design and implement environmental protection or emission reduction initiatives</w:t>
      </w:r>
      <w:r w:rsidR="00853DE0" w:rsidRPr="005103A1">
        <w:rPr>
          <w:rFonts w:asciiTheme="majorBidi" w:hAnsiTheme="majorBidi" w:cstheme="majorBidi"/>
          <w:color w:val="000000" w:themeColor="text1"/>
        </w:rPr>
        <w:t>,</w:t>
      </w:r>
      <w:r w:rsidRPr="005103A1">
        <w:rPr>
          <w:rFonts w:asciiTheme="majorBidi" w:hAnsiTheme="majorBidi" w:cstheme="majorBidi"/>
          <w:color w:val="000000" w:themeColor="text1"/>
        </w:rPr>
        <w:t xml:space="preserve"> such as developing green products and services, or reducing the risks of environmental mishaps and legal sanctions. </w:t>
      </w:r>
      <w:r w:rsidR="0067740C" w:rsidRPr="005103A1">
        <w:rPr>
          <w:rFonts w:asciiTheme="majorBidi" w:hAnsiTheme="majorBidi" w:cstheme="majorBidi"/>
          <w:color w:val="000000" w:themeColor="text1"/>
        </w:rPr>
        <w:t>Therefore, f</w:t>
      </w:r>
      <w:r w:rsidR="00FB579C" w:rsidRPr="005103A1">
        <w:rPr>
          <w:rFonts w:asciiTheme="majorBidi" w:hAnsiTheme="majorBidi" w:cstheme="majorBidi"/>
          <w:color w:val="000000" w:themeColor="text1"/>
        </w:rPr>
        <w:t xml:space="preserve">irms need to use appropriate incentives to attract and/or motivate these talented employees </w:t>
      </w:r>
      <w:r w:rsidR="00BA3056" w:rsidRPr="005103A1">
        <w:rPr>
          <w:rFonts w:asciiTheme="majorBidi" w:hAnsiTheme="majorBidi" w:cstheme="majorBidi"/>
          <w:color w:val="000000" w:themeColor="text1"/>
        </w:rPr>
        <w:t xml:space="preserve">with certain expertise and innovative </w:t>
      </w:r>
      <w:r w:rsidR="009C364D" w:rsidRPr="005103A1">
        <w:rPr>
          <w:rFonts w:asciiTheme="majorBidi" w:hAnsiTheme="majorBidi" w:cstheme="majorBidi"/>
          <w:color w:val="000000" w:themeColor="text1"/>
        </w:rPr>
        <w:t>mind-sets</w:t>
      </w:r>
      <w:r w:rsidR="00FB579C" w:rsidRPr="005103A1">
        <w:rPr>
          <w:rFonts w:asciiTheme="majorBidi" w:hAnsiTheme="majorBidi" w:cstheme="majorBidi"/>
          <w:color w:val="000000" w:themeColor="text1"/>
        </w:rPr>
        <w:t>.</w:t>
      </w:r>
      <w:r w:rsidR="00BA3056" w:rsidRPr="005103A1">
        <w:rPr>
          <w:rFonts w:asciiTheme="majorBidi" w:hAnsiTheme="majorBidi" w:cstheme="majorBidi"/>
          <w:color w:val="000000" w:themeColor="text1"/>
        </w:rPr>
        <w:t xml:space="preserve"> </w:t>
      </w:r>
      <w:r w:rsidR="007E2045" w:rsidRPr="005103A1">
        <w:rPr>
          <w:rFonts w:asciiTheme="majorBidi" w:hAnsiTheme="majorBidi" w:cstheme="majorBidi"/>
          <w:iCs/>
          <w:color w:val="000000" w:themeColor="text1"/>
        </w:rPr>
        <w:t>Third,</w:t>
      </w:r>
      <w:r w:rsidR="007E2045" w:rsidRPr="005103A1">
        <w:rPr>
          <w:rFonts w:asciiTheme="majorBidi" w:hAnsiTheme="majorBidi" w:cstheme="majorBidi"/>
          <w:color w:val="000000" w:themeColor="text1"/>
        </w:rPr>
        <w:t xml:space="preserve"> </w:t>
      </w:r>
      <w:proofErr w:type="spellStart"/>
      <w:r w:rsidR="007E2045" w:rsidRPr="005103A1">
        <w:rPr>
          <w:rFonts w:asciiTheme="majorBidi" w:hAnsiTheme="majorBidi" w:cstheme="majorBidi"/>
          <w:color w:val="000000" w:themeColor="text1"/>
        </w:rPr>
        <w:t>Melis</w:t>
      </w:r>
      <w:proofErr w:type="spellEnd"/>
      <w:r w:rsidR="007E2045" w:rsidRPr="005103A1">
        <w:rPr>
          <w:rFonts w:asciiTheme="majorBidi" w:hAnsiTheme="majorBidi" w:cstheme="majorBidi"/>
          <w:color w:val="000000" w:themeColor="text1"/>
        </w:rPr>
        <w:t xml:space="preserve"> </w:t>
      </w:r>
      <w:r w:rsidR="007E2045" w:rsidRPr="005103A1">
        <w:rPr>
          <w:rFonts w:asciiTheme="majorBidi" w:hAnsiTheme="majorBidi" w:cstheme="majorBidi"/>
          <w:i/>
          <w:color w:val="000000" w:themeColor="text1"/>
        </w:rPr>
        <w:t>et al.</w:t>
      </w:r>
      <w:r w:rsidR="007E2045" w:rsidRPr="005103A1">
        <w:rPr>
          <w:rFonts w:asciiTheme="majorBidi" w:hAnsiTheme="majorBidi" w:cstheme="majorBidi"/>
          <w:color w:val="000000" w:themeColor="text1"/>
        </w:rPr>
        <w:t xml:space="preserve"> (2015) argue that firms with </w:t>
      </w:r>
      <w:r w:rsidR="009C364D" w:rsidRPr="005103A1">
        <w:rPr>
          <w:rFonts w:asciiTheme="majorBidi" w:hAnsiTheme="majorBidi" w:cstheme="majorBidi"/>
          <w:color w:val="000000" w:themeColor="text1"/>
        </w:rPr>
        <w:t>generously</w:t>
      </w:r>
      <w:r w:rsidR="007E2045" w:rsidRPr="005103A1">
        <w:rPr>
          <w:rFonts w:asciiTheme="majorBidi" w:hAnsiTheme="majorBidi" w:cstheme="majorBidi"/>
          <w:color w:val="000000" w:themeColor="text1"/>
        </w:rPr>
        <w:t xml:space="preserve">-remunerated executives are likely to be exposed to public and media scrutiny. Therefore, firms offering attractive remuneration policies might be under pressure to remain proactive in climate related matters in order to reduce </w:t>
      </w:r>
      <w:r w:rsidR="009C364D" w:rsidRPr="005103A1">
        <w:rPr>
          <w:rFonts w:asciiTheme="majorBidi" w:hAnsiTheme="majorBidi" w:cstheme="majorBidi"/>
          <w:color w:val="000000" w:themeColor="text1"/>
        </w:rPr>
        <w:t xml:space="preserve">potential </w:t>
      </w:r>
      <w:r w:rsidR="007E2045" w:rsidRPr="005103A1">
        <w:rPr>
          <w:rFonts w:asciiTheme="majorBidi" w:hAnsiTheme="majorBidi" w:cstheme="majorBidi"/>
          <w:color w:val="000000" w:themeColor="text1"/>
        </w:rPr>
        <w:t>negative media publicity</w:t>
      </w:r>
      <w:r w:rsidR="009C364D" w:rsidRPr="005103A1">
        <w:rPr>
          <w:rFonts w:asciiTheme="majorBidi" w:hAnsiTheme="majorBidi" w:cstheme="majorBidi"/>
          <w:color w:val="000000" w:themeColor="text1"/>
        </w:rPr>
        <w:t>,</w:t>
      </w:r>
      <w:r w:rsidR="007E2045" w:rsidRPr="005103A1">
        <w:rPr>
          <w:rFonts w:asciiTheme="majorBidi" w:hAnsiTheme="majorBidi" w:cstheme="majorBidi"/>
          <w:color w:val="000000" w:themeColor="text1"/>
        </w:rPr>
        <w:t xml:space="preserve"> and t</w:t>
      </w:r>
      <w:r w:rsidR="009C364D" w:rsidRPr="005103A1">
        <w:rPr>
          <w:rFonts w:asciiTheme="majorBidi" w:hAnsiTheme="majorBidi" w:cstheme="majorBidi"/>
          <w:color w:val="000000" w:themeColor="text1"/>
        </w:rPr>
        <w:t>hereby</w:t>
      </w:r>
      <w:r w:rsidR="007E2045" w:rsidRPr="005103A1">
        <w:rPr>
          <w:rFonts w:asciiTheme="majorBidi" w:hAnsiTheme="majorBidi" w:cstheme="majorBidi"/>
          <w:color w:val="000000" w:themeColor="text1"/>
        </w:rPr>
        <w:t xml:space="preserve"> enhance corporate legitimacy. </w:t>
      </w:r>
    </w:p>
    <w:p w14:paraId="4019880D" w14:textId="6C9248A5" w:rsidR="00140836" w:rsidRPr="005103A1" w:rsidRDefault="00070307" w:rsidP="00643CC4">
      <w:pPr>
        <w:spacing w:after="0" w:line="480" w:lineRule="auto"/>
        <w:ind w:firstLine="720"/>
        <w:jc w:val="both"/>
        <w:rPr>
          <w:rFonts w:asciiTheme="majorBidi" w:hAnsiTheme="majorBidi" w:cstheme="majorBidi"/>
          <w:color w:val="000000" w:themeColor="text1"/>
        </w:rPr>
      </w:pPr>
      <w:r w:rsidRPr="005103A1">
        <w:rPr>
          <w:rFonts w:asciiTheme="majorBidi" w:hAnsiTheme="majorBidi" w:cstheme="majorBidi"/>
          <w:color w:val="000000" w:themeColor="text1"/>
        </w:rPr>
        <w:t>Empirically,</w:t>
      </w:r>
      <w:r w:rsidR="00643CC4" w:rsidRPr="005103A1">
        <w:rPr>
          <w:rFonts w:asciiTheme="majorBidi" w:hAnsiTheme="majorBidi" w:cstheme="majorBidi"/>
          <w:color w:val="000000" w:themeColor="text1"/>
        </w:rPr>
        <w:t xml:space="preserve"> </w:t>
      </w:r>
      <w:proofErr w:type="gramStart"/>
      <w:r w:rsidR="00643CC4" w:rsidRPr="005103A1">
        <w:rPr>
          <w:rFonts w:asciiTheme="majorBidi" w:hAnsiTheme="majorBidi" w:cstheme="majorBidi"/>
          <w:color w:val="000000" w:themeColor="text1"/>
        </w:rPr>
        <w:t>a number of</w:t>
      </w:r>
      <w:proofErr w:type="gramEnd"/>
      <w:r w:rsidR="00643CC4" w:rsidRPr="005103A1">
        <w:rPr>
          <w:rFonts w:asciiTheme="majorBidi" w:hAnsiTheme="majorBidi" w:cstheme="majorBidi"/>
          <w:color w:val="000000" w:themeColor="text1"/>
        </w:rPr>
        <w:t xml:space="preserve"> studies have documented </w:t>
      </w:r>
      <w:r w:rsidR="00680EDD" w:rsidRPr="005103A1">
        <w:rPr>
          <w:rFonts w:asciiTheme="majorBidi" w:hAnsiTheme="majorBidi" w:cstheme="majorBidi"/>
          <w:color w:val="000000" w:themeColor="text1"/>
        </w:rPr>
        <w:t xml:space="preserve">a positive </w:t>
      </w:r>
      <w:r w:rsidR="000F2362" w:rsidRPr="005103A1">
        <w:rPr>
          <w:rFonts w:asciiTheme="majorBidi" w:hAnsiTheme="majorBidi" w:cstheme="majorBidi"/>
          <w:color w:val="000000" w:themeColor="text1"/>
        </w:rPr>
        <w:t>EC</w:t>
      </w:r>
      <w:r w:rsidR="00643CC4" w:rsidRPr="005103A1">
        <w:rPr>
          <w:rFonts w:asciiTheme="majorBidi" w:hAnsiTheme="majorBidi" w:cstheme="majorBidi"/>
          <w:color w:val="000000" w:themeColor="text1"/>
        </w:rPr>
        <w:t>–</w:t>
      </w:r>
      <w:r w:rsidR="000F2362" w:rsidRPr="005103A1">
        <w:rPr>
          <w:rFonts w:asciiTheme="majorBidi" w:hAnsiTheme="majorBidi" w:cstheme="majorBidi"/>
          <w:color w:val="000000" w:themeColor="text1"/>
        </w:rPr>
        <w:t>CP</w:t>
      </w:r>
      <w:r w:rsidR="00643CC4" w:rsidRPr="005103A1">
        <w:rPr>
          <w:rFonts w:asciiTheme="majorBidi" w:hAnsiTheme="majorBidi" w:cstheme="majorBidi"/>
          <w:color w:val="000000" w:themeColor="text1"/>
        </w:rPr>
        <w:t xml:space="preserve"> nexus (</w:t>
      </w:r>
      <w:r w:rsidR="00643CC4" w:rsidRPr="004F3236">
        <w:rPr>
          <w:rFonts w:asciiTheme="majorBidi" w:hAnsiTheme="majorBidi" w:cstheme="majorBidi"/>
        </w:rPr>
        <w:t xml:space="preserve">Cordeiro and Sarkis, 2008; Haque, 2017; </w:t>
      </w:r>
      <w:r w:rsidR="00643CC4" w:rsidRPr="00D86C37">
        <w:rPr>
          <w:rFonts w:asciiTheme="majorBidi" w:hAnsiTheme="majorBidi" w:cstheme="majorBidi"/>
        </w:rPr>
        <w:t>Maas, 2018</w:t>
      </w:r>
      <w:r w:rsidR="00643CC4" w:rsidRPr="009F03A0">
        <w:rPr>
          <w:rFonts w:asciiTheme="majorBidi" w:hAnsiTheme="majorBidi" w:cstheme="majorBidi"/>
        </w:rPr>
        <w:t>).</w:t>
      </w:r>
      <w:r w:rsidRPr="005103A1">
        <w:rPr>
          <w:rFonts w:asciiTheme="majorBidi" w:hAnsiTheme="majorBidi" w:cstheme="majorBidi"/>
          <w:color w:val="000000" w:themeColor="text1"/>
        </w:rPr>
        <w:t xml:space="preserve"> </w:t>
      </w:r>
      <w:r w:rsidR="00643CC4" w:rsidRPr="005103A1">
        <w:rPr>
          <w:rFonts w:asciiTheme="majorBidi" w:hAnsiTheme="majorBidi" w:cstheme="majorBidi"/>
          <w:color w:val="000000" w:themeColor="text1"/>
        </w:rPr>
        <w:t xml:space="preserve">For example, </w:t>
      </w:r>
      <w:r w:rsidR="00140836" w:rsidRPr="005103A1">
        <w:rPr>
          <w:rFonts w:asciiTheme="majorBidi" w:hAnsiTheme="majorBidi" w:cstheme="majorBidi"/>
          <w:color w:val="000000" w:themeColor="text1"/>
        </w:rPr>
        <w:t xml:space="preserve">Mahoney and Thorn (2006) find a positive relationship between </w:t>
      </w:r>
      <w:r w:rsidR="00B67689" w:rsidRPr="005103A1">
        <w:rPr>
          <w:rFonts w:asciiTheme="majorBidi" w:hAnsiTheme="majorBidi" w:cstheme="majorBidi"/>
          <w:color w:val="000000" w:themeColor="text1"/>
        </w:rPr>
        <w:t xml:space="preserve">stock-based compensation </w:t>
      </w:r>
      <w:r w:rsidR="00140836" w:rsidRPr="005103A1">
        <w:rPr>
          <w:rFonts w:asciiTheme="majorBidi" w:hAnsiTheme="majorBidi" w:cstheme="majorBidi"/>
          <w:color w:val="000000" w:themeColor="text1"/>
        </w:rPr>
        <w:t xml:space="preserve">and </w:t>
      </w:r>
      <w:r w:rsidR="00B67689" w:rsidRPr="005103A1">
        <w:rPr>
          <w:rFonts w:asciiTheme="majorBidi" w:hAnsiTheme="majorBidi" w:cstheme="majorBidi"/>
          <w:color w:val="000000" w:themeColor="text1"/>
        </w:rPr>
        <w:t xml:space="preserve">positive aspects of </w:t>
      </w:r>
      <w:r w:rsidR="0023310A" w:rsidRPr="005103A1">
        <w:rPr>
          <w:rFonts w:asciiTheme="majorBidi" w:hAnsiTheme="majorBidi" w:cstheme="majorBidi"/>
          <w:color w:val="000000" w:themeColor="text1"/>
        </w:rPr>
        <w:t>CSR</w:t>
      </w:r>
      <w:r w:rsidR="00140836" w:rsidRPr="005103A1">
        <w:rPr>
          <w:rFonts w:asciiTheme="majorBidi" w:hAnsiTheme="majorBidi" w:cstheme="majorBidi"/>
          <w:color w:val="000000" w:themeColor="text1"/>
        </w:rPr>
        <w:t xml:space="preserve"> of Canadian firms. </w:t>
      </w:r>
      <w:r w:rsidR="00317D05" w:rsidRPr="005103A1">
        <w:rPr>
          <w:rFonts w:asciiTheme="majorBidi" w:hAnsiTheme="majorBidi" w:cstheme="majorBidi"/>
          <w:color w:val="000000" w:themeColor="text1"/>
        </w:rPr>
        <w:t xml:space="preserve">Ji (2015) </w:t>
      </w:r>
      <w:r w:rsidR="00530914" w:rsidRPr="005103A1">
        <w:rPr>
          <w:rFonts w:asciiTheme="majorBidi" w:hAnsiTheme="majorBidi" w:cstheme="majorBidi"/>
          <w:color w:val="000000" w:themeColor="text1"/>
        </w:rPr>
        <w:t xml:space="preserve">also </w:t>
      </w:r>
      <w:r w:rsidR="00317D05" w:rsidRPr="005103A1">
        <w:rPr>
          <w:rFonts w:asciiTheme="majorBidi" w:hAnsiTheme="majorBidi" w:cstheme="majorBidi"/>
          <w:color w:val="000000" w:themeColor="text1"/>
        </w:rPr>
        <w:t xml:space="preserve">finds </w:t>
      </w:r>
      <w:r w:rsidR="00530914" w:rsidRPr="005103A1">
        <w:rPr>
          <w:rFonts w:asciiTheme="majorBidi" w:hAnsiTheme="majorBidi" w:cstheme="majorBidi"/>
          <w:color w:val="000000" w:themeColor="text1"/>
        </w:rPr>
        <w:t>similar evidence among US f</w:t>
      </w:r>
      <w:r w:rsidR="00EC0AF9" w:rsidRPr="005103A1">
        <w:rPr>
          <w:rFonts w:asciiTheme="majorBidi" w:hAnsiTheme="majorBidi" w:cstheme="majorBidi"/>
          <w:color w:val="000000" w:themeColor="text1"/>
        </w:rPr>
        <w:t>irms</w:t>
      </w:r>
      <w:r w:rsidR="00317D05" w:rsidRPr="005103A1">
        <w:rPr>
          <w:rFonts w:asciiTheme="majorBidi" w:hAnsiTheme="majorBidi" w:cstheme="majorBidi"/>
          <w:color w:val="000000" w:themeColor="text1"/>
        </w:rPr>
        <w:t xml:space="preserve">. </w:t>
      </w:r>
      <w:r w:rsidR="00B410E9" w:rsidRPr="005103A1">
        <w:rPr>
          <w:rFonts w:asciiTheme="majorBidi" w:hAnsiTheme="majorBidi" w:cstheme="majorBidi"/>
          <w:color w:val="000000" w:themeColor="text1"/>
        </w:rPr>
        <w:t xml:space="preserve">Further, </w:t>
      </w:r>
      <w:r w:rsidRPr="005103A1">
        <w:rPr>
          <w:rFonts w:asciiTheme="majorBidi" w:hAnsiTheme="majorBidi" w:cstheme="majorBidi"/>
          <w:color w:val="000000" w:themeColor="text1"/>
        </w:rPr>
        <w:t xml:space="preserve">Berrone and Gomez-Mejia (2009) </w:t>
      </w:r>
      <w:r w:rsidR="00073EF0" w:rsidRPr="005103A1">
        <w:rPr>
          <w:rFonts w:asciiTheme="majorBidi" w:hAnsiTheme="majorBidi" w:cstheme="majorBidi"/>
          <w:color w:val="000000" w:themeColor="text1"/>
        </w:rPr>
        <w:t xml:space="preserve">find </w:t>
      </w:r>
      <w:r w:rsidRPr="005103A1">
        <w:rPr>
          <w:rFonts w:asciiTheme="majorBidi" w:hAnsiTheme="majorBidi" w:cstheme="majorBidi"/>
          <w:color w:val="000000" w:themeColor="text1"/>
        </w:rPr>
        <w:t xml:space="preserve">a </w:t>
      </w:r>
      <w:r w:rsidR="00073EF0" w:rsidRPr="005103A1">
        <w:rPr>
          <w:rFonts w:asciiTheme="majorBidi" w:hAnsiTheme="majorBidi" w:cstheme="majorBidi"/>
          <w:color w:val="000000" w:themeColor="text1"/>
        </w:rPr>
        <w:t xml:space="preserve">positive association between </w:t>
      </w:r>
      <w:r w:rsidRPr="005103A1">
        <w:rPr>
          <w:rFonts w:asciiTheme="majorBidi" w:hAnsiTheme="majorBidi" w:cstheme="majorBidi"/>
          <w:color w:val="000000" w:themeColor="text1"/>
        </w:rPr>
        <w:t xml:space="preserve">pollution prevention strategies </w:t>
      </w:r>
      <w:r w:rsidR="00073EF0" w:rsidRPr="005103A1">
        <w:rPr>
          <w:rFonts w:asciiTheme="majorBidi" w:hAnsiTheme="majorBidi" w:cstheme="majorBidi"/>
          <w:color w:val="000000" w:themeColor="text1"/>
        </w:rPr>
        <w:t>and total CEO pay among US firms in polluting industry</w:t>
      </w:r>
      <w:r w:rsidR="005338CA" w:rsidRPr="005103A1">
        <w:rPr>
          <w:rFonts w:asciiTheme="majorBidi" w:hAnsiTheme="majorBidi" w:cstheme="majorBidi"/>
          <w:color w:val="000000" w:themeColor="text1"/>
        </w:rPr>
        <w:t xml:space="preserve">. </w:t>
      </w:r>
      <w:r w:rsidR="00D0778E" w:rsidRPr="005103A1">
        <w:rPr>
          <w:rFonts w:asciiTheme="majorBidi" w:hAnsiTheme="majorBidi" w:cstheme="majorBidi"/>
          <w:color w:val="000000" w:themeColor="text1"/>
        </w:rPr>
        <w:t xml:space="preserve"> </w:t>
      </w:r>
    </w:p>
    <w:p w14:paraId="2E85304B" w14:textId="39775058" w:rsidR="00E50BEE" w:rsidRPr="005103A1" w:rsidRDefault="0075499C" w:rsidP="000E2B02">
      <w:pPr>
        <w:spacing w:after="0" w:line="480" w:lineRule="auto"/>
        <w:ind w:firstLine="720"/>
        <w:jc w:val="both"/>
        <w:rPr>
          <w:rFonts w:asciiTheme="majorBidi" w:hAnsiTheme="majorBidi" w:cstheme="majorBidi"/>
          <w:color w:val="000000" w:themeColor="text1"/>
        </w:rPr>
      </w:pPr>
      <w:r w:rsidRPr="005103A1">
        <w:rPr>
          <w:rFonts w:asciiTheme="majorBidi" w:hAnsiTheme="majorBidi" w:cstheme="majorBidi"/>
          <w:color w:val="000000" w:themeColor="text1"/>
        </w:rPr>
        <w:t>Together,</w:t>
      </w:r>
      <w:r w:rsidR="008C4152" w:rsidRPr="005103A1">
        <w:rPr>
          <w:rFonts w:asciiTheme="majorBidi" w:hAnsiTheme="majorBidi" w:cstheme="majorBidi"/>
          <w:color w:val="000000" w:themeColor="text1"/>
        </w:rPr>
        <w:t xml:space="preserve"> we argue that </w:t>
      </w:r>
      <w:r w:rsidR="000F2362" w:rsidRPr="005103A1">
        <w:rPr>
          <w:rFonts w:asciiTheme="majorBidi" w:hAnsiTheme="majorBidi" w:cstheme="majorBidi"/>
          <w:color w:val="000000" w:themeColor="text1"/>
        </w:rPr>
        <w:t>EC</w:t>
      </w:r>
      <w:r w:rsidR="008C4152" w:rsidRPr="005103A1">
        <w:rPr>
          <w:rFonts w:asciiTheme="majorBidi" w:hAnsiTheme="majorBidi" w:cstheme="majorBidi"/>
          <w:color w:val="000000" w:themeColor="text1"/>
        </w:rPr>
        <w:t xml:space="preserve"> is a critical determinant of a firm’s carbon related strategies and actions, even though the design of </w:t>
      </w:r>
      <w:r w:rsidR="000F2362" w:rsidRPr="005103A1">
        <w:rPr>
          <w:rFonts w:asciiTheme="majorBidi" w:hAnsiTheme="majorBidi" w:cstheme="majorBidi"/>
          <w:color w:val="000000" w:themeColor="text1"/>
        </w:rPr>
        <w:t>EC</w:t>
      </w:r>
      <w:r w:rsidR="008C4152" w:rsidRPr="005103A1">
        <w:rPr>
          <w:rFonts w:asciiTheme="majorBidi" w:hAnsiTheme="majorBidi" w:cstheme="majorBidi"/>
          <w:color w:val="000000" w:themeColor="text1"/>
        </w:rPr>
        <w:t xml:space="preserve"> and its impact on </w:t>
      </w:r>
      <w:r w:rsidR="000F2362" w:rsidRPr="005103A1">
        <w:rPr>
          <w:rFonts w:asciiTheme="majorBidi" w:hAnsiTheme="majorBidi" w:cstheme="majorBidi"/>
          <w:color w:val="000000" w:themeColor="text1"/>
        </w:rPr>
        <w:t>CP</w:t>
      </w:r>
      <w:r w:rsidR="008C4152" w:rsidRPr="005103A1">
        <w:rPr>
          <w:rFonts w:asciiTheme="majorBidi" w:hAnsiTheme="majorBidi" w:cstheme="majorBidi"/>
          <w:color w:val="000000" w:themeColor="text1"/>
        </w:rPr>
        <w:t xml:space="preserve"> are more likely to be driven by economic motives of shareholders and executives. Th</w:t>
      </w:r>
      <w:r w:rsidR="00F71EF1" w:rsidRPr="005103A1">
        <w:rPr>
          <w:rFonts w:asciiTheme="majorBidi" w:hAnsiTheme="majorBidi" w:cstheme="majorBidi"/>
          <w:color w:val="000000" w:themeColor="text1"/>
        </w:rPr>
        <w:t>erefore, as the legitimation/</w:t>
      </w:r>
      <w:r w:rsidR="008C4152" w:rsidRPr="005103A1">
        <w:rPr>
          <w:rFonts w:asciiTheme="majorBidi" w:hAnsiTheme="majorBidi" w:cstheme="majorBidi"/>
          <w:color w:val="000000" w:themeColor="text1"/>
        </w:rPr>
        <w:t xml:space="preserve">symbolic perspective of </w:t>
      </w:r>
      <w:r w:rsidR="00C36849" w:rsidRPr="005103A1">
        <w:rPr>
          <w:rFonts w:asciiTheme="majorBidi" w:hAnsiTheme="majorBidi" w:cstheme="majorBidi"/>
          <w:color w:val="000000" w:themeColor="text1"/>
        </w:rPr>
        <w:t>NIT</w:t>
      </w:r>
      <w:r w:rsidR="008C4152" w:rsidRPr="005103A1">
        <w:rPr>
          <w:rFonts w:asciiTheme="majorBidi" w:hAnsiTheme="majorBidi" w:cstheme="majorBidi"/>
          <w:color w:val="000000" w:themeColor="text1"/>
        </w:rPr>
        <w:t xml:space="preserve"> suggests, </w:t>
      </w:r>
      <w:r w:rsidR="000F2362" w:rsidRPr="005103A1">
        <w:rPr>
          <w:rFonts w:asciiTheme="majorBidi" w:hAnsiTheme="majorBidi" w:cstheme="majorBidi"/>
          <w:color w:val="000000" w:themeColor="text1"/>
        </w:rPr>
        <w:t>EC</w:t>
      </w:r>
      <w:r w:rsidR="008C4152" w:rsidRPr="005103A1">
        <w:rPr>
          <w:rFonts w:asciiTheme="majorBidi" w:hAnsiTheme="majorBidi" w:cstheme="majorBidi"/>
          <w:color w:val="000000" w:themeColor="text1"/>
        </w:rPr>
        <w:t xml:space="preserve"> is likely to promote those climate related practices that will enhance corporate legitimacy, reduce carbon risks and improve financial benefits of the powerful economic agents. </w:t>
      </w:r>
      <w:r w:rsidR="00223936" w:rsidRPr="005103A1">
        <w:rPr>
          <w:rFonts w:asciiTheme="majorBidi" w:hAnsiTheme="majorBidi" w:cstheme="majorBidi"/>
          <w:color w:val="000000" w:themeColor="text1"/>
        </w:rPr>
        <w:t>As we</w:t>
      </w:r>
      <w:r w:rsidRPr="005103A1">
        <w:rPr>
          <w:rFonts w:asciiTheme="majorBidi" w:hAnsiTheme="majorBidi" w:cstheme="majorBidi"/>
          <w:color w:val="000000" w:themeColor="text1"/>
        </w:rPr>
        <w:t xml:space="preserve"> have</w:t>
      </w:r>
      <w:r w:rsidR="00223936" w:rsidRPr="005103A1">
        <w:rPr>
          <w:rFonts w:asciiTheme="majorBidi" w:hAnsiTheme="majorBidi" w:cstheme="majorBidi"/>
          <w:color w:val="000000" w:themeColor="text1"/>
        </w:rPr>
        <w:t xml:space="preserve"> </w:t>
      </w:r>
      <w:r w:rsidR="00E50BEE" w:rsidRPr="005103A1">
        <w:rPr>
          <w:rFonts w:asciiTheme="majorBidi" w:hAnsiTheme="majorBidi" w:cstheme="majorBidi"/>
          <w:color w:val="000000" w:themeColor="text1"/>
        </w:rPr>
        <w:t>previous</w:t>
      </w:r>
      <w:r w:rsidR="00223936" w:rsidRPr="005103A1">
        <w:rPr>
          <w:rFonts w:asciiTheme="majorBidi" w:hAnsiTheme="majorBidi" w:cstheme="majorBidi"/>
          <w:color w:val="000000" w:themeColor="text1"/>
        </w:rPr>
        <w:t xml:space="preserve">ly argued </w:t>
      </w:r>
      <w:r w:rsidR="00E50BEE" w:rsidRPr="005103A1">
        <w:rPr>
          <w:rFonts w:asciiTheme="majorBidi" w:hAnsiTheme="majorBidi" w:cstheme="majorBidi"/>
          <w:color w:val="000000" w:themeColor="text1"/>
        </w:rPr>
        <w:t xml:space="preserve">that process-oriented </w:t>
      </w:r>
      <w:r w:rsidR="000F2362" w:rsidRPr="005103A1">
        <w:rPr>
          <w:rFonts w:asciiTheme="majorBidi" w:hAnsiTheme="majorBidi" w:cstheme="majorBidi"/>
          <w:color w:val="000000" w:themeColor="text1"/>
        </w:rPr>
        <w:t>CP</w:t>
      </w:r>
      <w:r w:rsidR="00E50BEE" w:rsidRPr="005103A1">
        <w:rPr>
          <w:rFonts w:asciiTheme="majorBidi" w:hAnsiTheme="majorBidi" w:cstheme="majorBidi"/>
          <w:color w:val="000000" w:themeColor="text1"/>
        </w:rPr>
        <w:t xml:space="preserve"> enhances </w:t>
      </w:r>
      <w:r w:rsidR="0086539F" w:rsidRPr="005103A1">
        <w:rPr>
          <w:rFonts w:asciiTheme="majorBidi" w:hAnsiTheme="majorBidi" w:cstheme="majorBidi"/>
          <w:color w:val="000000" w:themeColor="text1"/>
        </w:rPr>
        <w:t xml:space="preserve">corporate </w:t>
      </w:r>
      <w:r w:rsidR="00E50BEE" w:rsidRPr="005103A1">
        <w:rPr>
          <w:rFonts w:asciiTheme="majorBidi" w:hAnsiTheme="majorBidi" w:cstheme="majorBidi"/>
          <w:color w:val="000000" w:themeColor="text1"/>
        </w:rPr>
        <w:t>legitimacy and economic benefits</w:t>
      </w:r>
      <w:r w:rsidR="0086539F" w:rsidRPr="005103A1">
        <w:rPr>
          <w:rFonts w:asciiTheme="majorBidi" w:hAnsiTheme="majorBidi" w:cstheme="majorBidi"/>
          <w:color w:val="000000" w:themeColor="text1"/>
        </w:rPr>
        <w:t xml:space="preserve"> </w:t>
      </w:r>
      <w:r w:rsidR="00C36849" w:rsidRPr="005103A1">
        <w:rPr>
          <w:rFonts w:asciiTheme="majorBidi" w:hAnsiTheme="majorBidi" w:cstheme="majorBidi"/>
          <w:color w:val="000000" w:themeColor="text1"/>
        </w:rPr>
        <w:t>for</w:t>
      </w:r>
      <w:r w:rsidR="0086539F" w:rsidRPr="005103A1">
        <w:rPr>
          <w:rFonts w:asciiTheme="majorBidi" w:hAnsiTheme="majorBidi" w:cstheme="majorBidi"/>
          <w:color w:val="000000" w:themeColor="text1"/>
        </w:rPr>
        <w:t xml:space="preserve"> shareholders and executives</w:t>
      </w:r>
      <w:r w:rsidR="00E50BEE" w:rsidRPr="005103A1">
        <w:rPr>
          <w:rFonts w:asciiTheme="majorBidi" w:hAnsiTheme="majorBidi" w:cstheme="majorBidi"/>
          <w:color w:val="000000" w:themeColor="text1"/>
        </w:rPr>
        <w:t xml:space="preserve">, </w:t>
      </w:r>
      <w:r w:rsidR="008C4152" w:rsidRPr="005103A1">
        <w:rPr>
          <w:rFonts w:asciiTheme="majorBidi" w:hAnsiTheme="majorBidi" w:cstheme="majorBidi"/>
          <w:color w:val="000000" w:themeColor="text1"/>
        </w:rPr>
        <w:t xml:space="preserve">we </w:t>
      </w:r>
      <w:r w:rsidR="00223936" w:rsidRPr="005103A1">
        <w:rPr>
          <w:rFonts w:asciiTheme="majorBidi" w:hAnsiTheme="majorBidi" w:cstheme="majorBidi"/>
          <w:color w:val="000000" w:themeColor="text1"/>
        </w:rPr>
        <w:t xml:space="preserve">expect </w:t>
      </w:r>
      <w:r w:rsidR="000F2362" w:rsidRPr="005103A1">
        <w:rPr>
          <w:rFonts w:asciiTheme="majorBidi" w:hAnsiTheme="majorBidi" w:cstheme="majorBidi"/>
          <w:color w:val="000000" w:themeColor="text1"/>
        </w:rPr>
        <w:t>EC</w:t>
      </w:r>
      <w:r w:rsidR="0032507F" w:rsidRPr="005103A1">
        <w:rPr>
          <w:rFonts w:asciiTheme="majorBidi" w:hAnsiTheme="majorBidi" w:cstheme="majorBidi"/>
          <w:color w:val="000000" w:themeColor="text1"/>
        </w:rPr>
        <w:t xml:space="preserve"> </w:t>
      </w:r>
      <w:r w:rsidRPr="005103A1">
        <w:rPr>
          <w:rFonts w:asciiTheme="majorBidi" w:hAnsiTheme="majorBidi" w:cstheme="majorBidi"/>
          <w:color w:val="000000" w:themeColor="text1"/>
        </w:rPr>
        <w:t xml:space="preserve">to </w:t>
      </w:r>
      <w:r w:rsidR="00E50BEE" w:rsidRPr="005103A1">
        <w:rPr>
          <w:rFonts w:asciiTheme="majorBidi" w:hAnsiTheme="majorBidi" w:cstheme="majorBidi"/>
          <w:color w:val="000000" w:themeColor="text1"/>
        </w:rPr>
        <w:t>hav</w:t>
      </w:r>
      <w:r w:rsidRPr="005103A1">
        <w:rPr>
          <w:rFonts w:asciiTheme="majorBidi" w:hAnsiTheme="majorBidi" w:cstheme="majorBidi"/>
          <w:color w:val="000000" w:themeColor="text1"/>
        </w:rPr>
        <w:t>e</w:t>
      </w:r>
      <w:r w:rsidR="00E50BEE" w:rsidRPr="005103A1">
        <w:rPr>
          <w:rFonts w:asciiTheme="majorBidi" w:hAnsiTheme="majorBidi" w:cstheme="majorBidi"/>
          <w:color w:val="000000" w:themeColor="text1"/>
        </w:rPr>
        <w:t xml:space="preserve"> a greater positive effect on </w:t>
      </w:r>
      <w:r w:rsidR="00196ED5" w:rsidRPr="005103A1">
        <w:rPr>
          <w:rFonts w:asciiTheme="majorBidi" w:hAnsiTheme="majorBidi" w:cstheme="majorBidi"/>
          <w:color w:val="000000" w:themeColor="text1"/>
        </w:rPr>
        <w:t xml:space="preserve">process-oriented </w:t>
      </w:r>
      <w:r w:rsidR="000F2362" w:rsidRPr="005103A1">
        <w:rPr>
          <w:rFonts w:asciiTheme="majorBidi" w:hAnsiTheme="majorBidi" w:cstheme="majorBidi"/>
          <w:color w:val="000000" w:themeColor="text1"/>
        </w:rPr>
        <w:t>CP</w:t>
      </w:r>
      <w:r w:rsidR="000C0389">
        <w:rPr>
          <w:rFonts w:asciiTheme="majorBidi" w:hAnsiTheme="majorBidi" w:cstheme="majorBidi"/>
          <w:color w:val="000000" w:themeColor="text1"/>
        </w:rPr>
        <w:t xml:space="preserve"> than actual CP</w:t>
      </w:r>
      <w:r w:rsidR="003F0FD0" w:rsidRPr="005103A1">
        <w:rPr>
          <w:rFonts w:asciiTheme="majorBidi" w:hAnsiTheme="majorBidi" w:cstheme="majorBidi"/>
          <w:color w:val="000000" w:themeColor="text1"/>
        </w:rPr>
        <w:t xml:space="preserve">, a notion that is </w:t>
      </w:r>
      <w:r w:rsidR="00A05E17" w:rsidRPr="005103A1">
        <w:rPr>
          <w:rFonts w:asciiTheme="majorBidi" w:hAnsiTheme="majorBidi" w:cstheme="majorBidi"/>
          <w:color w:val="000000" w:themeColor="text1"/>
        </w:rPr>
        <w:t xml:space="preserve">consistent with the </w:t>
      </w:r>
      <w:r w:rsidR="00F71EF1" w:rsidRPr="005103A1">
        <w:rPr>
          <w:rFonts w:asciiTheme="majorBidi" w:hAnsiTheme="majorBidi" w:cstheme="majorBidi"/>
          <w:color w:val="000000" w:themeColor="text1"/>
        </w:rPr>
        <w:t>legitimation/</w:t>
      </w:r>
      <w:r w:rsidR="003F0FD0" w:rsidRPr="005103A1">
        <w:rPr>
          <w:rFonts w:asciiTheme="majorBidi" w:hAnsiTheme="majorBidi" w:cstheme="majorBidi"/>
          <w:color w:val="000000" w:themeColor="text1"/>
        </w:rPr>
        <w:t xml:space="preserve">symbolic aspect of </w:t>
      </w:r>
      <w:r w:rsidR="000E2B02" w:rsidRPr="005103A1">
        <w:rPr>
          <w:rFonts w:asciiTheme="majorBidi" w:hAnsiTheme="majorBidi" w:cstheme="majorBidi"/>
          <w:color w:val="000000" w:themeColor="text1"/>
        </w:rPr>
        <w:t>NIT</w:t>
      </w:r>
      <w:r w:rsidR="003E6BCC" w:rsidRPr="005103A1">
        <w:rPr>
          <w:rFonts w:asciiTheme="majorBidi" w:hAnsiTheme="majorBidi" w:cstheme="majorBidi"/>
          <w:color w:val="000000" w:themeColor="text1"/>
        </w:rPr>
        <w:t>.</w:t>
      </w:r>
      <w:r w:rsidR="00594883" w:rsidRPr="005103A1">
        <w:rPr>
          <w:rFonts w:asciiTheme="majorBidi" w:hAnsiTheme="majorBidi" w:cstheme="majorBidi"/>
          <w:color w:val="000000" w:themeColor="text1"/>
        </w:rPr>
        <w:t xml:space="preserve"> Thus, our third</w:t>
      </w:r>
      <w:r w:rsidR="00E50BEE" w:rsidRPr="005103A1">
        <w:rPr>
          <w:rFonts w:asciiTheme="majorBidi" w:hAnsiTheme="majorBidi" w:cstheme="majorBidi"/>
          <w:color w:val="000000" w:themeColor="text1"/>
        </w:rPr>
        <w:t xml:space="preserve"> hypothesis is:</w:t>
      </w:r>
    </w:p>
    <w:p w14:paraId="2DFB8E2C" w14:textId="34778478" w:rsidR="005321A9" w:rsidRPr="005103A1" w:rsidRDefault="005321A9" w:rsidP="00FB7F53">
      <w:pPr>
        <w:spacing w:after="0" w:line="240" w:lineRule="auto"/>
        <w:ind w:left="720"/>
        <w:jc w:val="both"/>
        <w:rPr>
          <w:rFonts w:asciiTheme="majorBidi" w:hAnsiTheme="majorBidi" w:cstheme="majorBidi"/>
          <w:i/>
          <w:iCs/>
          <w:color w:val="000000" w:themeColor="text1"/>
        </w:rPr>
      </w:pPr>
      <w:r w:rsidRPr="005103A1">
        <w:rPr>
          <w:rFonts w:asciiTheme="majorBidi" w:hAnsiTheme="majorBidi" w:cstheme="majorBidi"/>
          <w:i/>
          <w:color w:val="000000" w:themeColor="text1"/>
        </w:rPr>
        <w:lastRenderedPageBreak/>
        <w:t>H</w:t>
      </w:r>
      <w:r w:rsidR="00366E05" w:rsidRPr="005103A1">
        <w:rPr>
          <w:rFonts w:asciiTheme="majorBidi" w:hAnsiTheme="majorBidi" w:cstheme="majorBidi"/>
          <w:i/>
          <w:color w:val="000000" w:themeColor="text1"/>
        </w:rPr>
        <w:t>2</w:t>
      </w:r>
      <w:r w:rsidR="000E16C8" w:rsidRPr="005103A1">
        <w:rPr>
          <w:rFonts w:asciiTheme="majorBidi" w:hAnsiTheme="majorBidi" w:cstheme="majorBidi"/>
          <w:i/>
          <w:color w:val="000000" w:themeColor="text1"/>
        </w:rPr>
        <w:t>a</w:t>
      </w:r>
      <w:r w:rsidRPr="005103A1">
        <w:rPr>
          <w:rFonts w:asciiTheme="majorBidi" w:hAnsiTheme="majorBidi" w:cstheme="majorBidi"/>
          <w:i/>
          <w:color w:val="000000" w:themeColor="text1"/>
        </w:rPr>
        <w:t xml:space="preserve">: </w:t>
      </w:r>
      <w:r w:rsidRPr="005103A1">
        <w:rPr>
          <w:rFonts w:asciiTheme="majorBidi" w:hAnsiTheme="majorBidi" w:cstheme="majorBidi"/>
          <w:i/>
          <w:iCs/>
          <w:color w:val="000000" w:themeColor="text1"/>
        </w:rPr>
        <w:t xml:space="preserve">Ceteris paribus, </w:t>
      </w:r>
      <w:r w:rsidR="00DD61C6" w:rsidRPr="005103A1">
        <w:rPr>
          <w:rFonts w:asciiTheme="majorBidi" w:hAnsiTheme="majorBidi" w:cstheme="majorBidi"/>
          <w:i/>
          <w:iCs/>
          <w:color w:val="000000" w:themeColor="text1"/>
        </w:rPr>
        <w:t>EC</w:t>
      </w:r>
      <w:r w:rsidRPr="005103A1">
        <w:rPr>
          <w:rFonts w:asciiTheme="majorBidi" w:hAnsiTheme="majorBidi" w:cstheme="majorBidi"/>
          <w:i/>
          <w:iCs/>
          <w:color w:val="000000" w:themeColor="text1"/>
        </w:rPr>
        <w:t xml:space="preserve"> is positively associated with</w:t>
      </w:r>
      <w:r w:rsidR="00CD519E" w:rsidRPr="005103A1">
        <w:rPr>
          <w:rFonts w:asciiTheme="majorBidi" w:hAnsiTheme="majorBidi" w:cstheme="majorBidi"/>
          <w:i/>
          <w:iCs/>
          <w:color w:val="000000" w:themeColor="text1"/>
        </w:rPr>
        <w:t xml:space="preserve"> </w:t>
      </w:r>
      <w:r w:rsidR="00DD61C6" w:rsidRPr="005103A1">
        <w:rPr>
          <w:rFonts w:asciiTheme="majorBidi" w:hAnsiTheme="majorBidi" w:cstheme="majorBidi"/>
          <w:i/>
          <w:iCs/>
          <w:color w:val="000000" w:themeColor="text1"/>
        </w:rPr>
        <w:t>CP</w:t>
      </w:r>
      <w:r w:rsidRPr="005103A1">
        <w:rPr>
          <w:rFonts w:asciiTheme="majorBidi" w:hAnsiTheme="majorBidi" w:cstheme="majorBidi"/>
          <w:i/>
          <w:iCs/>
          <w:color w:val="000000" w:themeColor="text1"/>
        </w:rPr>
        <w:t xml:space="preserve"> of a firm, and this relationship is greater for process-oriented </w:t>
      </w:r>
      <w:r w:rsidR="00DD61C6" w:rsidRPr="005103A1">
        <w:rPr>
          <w:rFonts w:asciiTheme="majorBidi" w:hAnsiTheme="majorBidi" w:cstheme="majorBidi"/>
          <w:i/>
          <w:iCs/>
          <w:color w:val="000000" w:themeColor="text1"/>
        </w:rPr>
        <w:t>CP</w:t>
      </w:r>
      <w:r w:rsidRPr="005103A1">
        <w:rPr>
          <w:rFonts w:asciiTheme="majorBidi" w:hAnsiTheme="majorBidi" w:cstheme="majorBidi"/>
          <w:i/>
          <w:iCs/>
          <w:color w:val="000000" w:themeColor="text1"/>
        </w:rPr>
        <w:t xml:space="preserve"> than (a reduction in) actual carbon emissions.</w:t>
      </w:r>
    </w:p>
    <w:p w14:paraId="2689E6DB" w14:textId="77777777" w:rsidR="00F26E9F" w:rsidRPr="005103A1" w:rsidRDefault="00F26E9F" w:rsidP="002D762D">
      <w:pPr>
        <w:spacing w:after="0" w:line="240" w:lineRule="auto"/>
        <w:ind w:firstLine="720"/>
        <w:jc w:val="both"/>
        <w:rPr>
          <w:rFonts w:asciiTheme="majorBidi" w:hAnsiTheme="majorBidi" w:cstheme="majorBidi"/>
          <w:b/>
          <w:color w:val="000000" w:themeColor="text1"/>
        </w:rPr>
      </w:pPr>
    </w:p>
    <w:p w14:paraId="6C8126B4" w14:textId="77777777" w:rsidR="00205C24" w:rsidRPr="005103A1" w:rsidRDefault="00205C24" w:rsidP="006673FA">
      <w:pPr>
        <w:pStyle w:val="ListParagraph"/>
        <w:spacing w:after="0" w:line="240" w:lineRule="auto"/>
        <w:ind w:left="0"/>
        <w:contextualSpacing w:val="0"/>
        <w:jc w:val="both"/>
        <w:rPr>
          <w:rFonts w:asciiTheme="majorBidi" w:hAnsiTheme="majorBidi" w:cstheme="majorBidi"/>
          <w:i/>
          <w:color w:val="000000" w:themeColor="text1"/>
        </w:rPr>
      </w:pPr>
    </w:p>
    <w:p w14:paraId="136A343B" w14:textId="07E303A4" w:rsidR="000E16C8" w:rsidRPr="005103A1" w:rsidRDefault="006A6660" w:rsidP="006673FA">
      <w:pPr>
        <w:pStyle w:val="ListParagraph"/>
        <w:spacing w:after="0" w:line="240" w:lineRule="auto"/>
        <w:ind w:left="0"/>
        <w:contextualSpacing w:val="0"/>
        <w:jc w:val="both"/>
        <w:rPr>
          <w:rFonts w:asciiTheme="majorBidi" w:hAnsiTheme="majorBidi" w:cstheme="majorBidi"/>
          <w:i/>
          <w:color w:val="000000" w:themeColor="text1"/>
        </w:rPr>
      </w:pPr>
      <w:r w:rsidRPr="005103A1">
        <w:rPr>
          <w:rFonts w:asciiTheme="majorBidi" w:hAnsiTheme="majorBidi" w:cstheme="majorBidi"/>
          <w:i/>
          <w:color w:val="000000" w:themeColor="text1"/>
        </w:rPr>
        <w:t xml:space="preserve">Executive compensation and </w:t>
      </w:r>
      <w:r w:rsidR="00CD519E" w:rsidRPr="005103A1">
        <w:rPr>
          <w:rFonts w:asciiTheme="majorBidi" w:hAnsiTheme="majorBidi" w:cstheme="majorBidi"/>
          <w:i/>
          <w:color w:val="000000" w:themeColor="text1"/>
        </w:rPr>
        <w:t>carbon performance</w:t>
      </w:r>
      <w:r w:rsidRPr="005103A1">
        <w:rPr>
          <w:rFonts w:asciiTheme="majorBidi" w:hAnsiTheme="majorBidi" w:cstheme="majorBidi"/>
          <w:i/>
          <w:color w:val="000000" w:themeColor="text1"/>
        </w:rPr>
        <w:t xml:space="preserve">: </w:t>
      </w:r>
      <w:r w:rsidR="00310279" w:rsidRPr="005103A1">
        <w:rPr>
          <w:rFonts w:asciiTheme="majorBidi" w:hAnsiTheme="majorBidi" w:cstheme="majorBidi"/>
          <w:i/>
          <w:color w:val="000000" w:themeColor="text1"/>
        </w:rPr>
        <w:t>T</w:t>
      </w:r>
      <w:r w:rsidRPr="005103A1">
        <w:rPr>
          <w:rFonts w:asciiTheme="majorBidi" w:hAnsiTheme="majorBidi" w:cstheme="majorBidi"/>
          <w:i/>
          <w:color w:val="000000" w:themeColor="text1"/>
        </w:rPr>
        <w:t xml:space="preserve">he moderating effect of </w:t>
      </w:r>
      <w:r w:rsidR="002D762D" w:rsidRPr="005103A1">
        <w:rPr>
          <w:rFonts w:asciiTheme="majorBidi" w:hAnsiTheme="majorBidi" w:cstheme="majorBidi"/>
          <w:i/>
          <w:color w:val="000000" w:themeColor="text1"/>
        </w:rPr>
        <w:t xml:space="preserve">ESG-based </w:t>
      </w:r>
      <w:r w:rsidRPr="005103A1">
        <w:rPr>
          <w:rFonts w:asciiTheme="majorBidi" w:hAnsiTheme="majorBidi" w:cstheme="majorBidi"/>
          <w:i/>
          <w:color w:val="000000" w:themeColor="text1"/>
        </w:rPr>
        <w:t xml:space="preserve">sustainable compensation policy </w:t>
      </w:r>
    </w:p>
    <w:p w14:paraId="0590D9AD" w14:textId="77777777" w:rsidR="006673FA" w:rsidRPr="005103A1" w:rsidRDefault="006673FA" w:rsidP="006673FA">
      <w:pPr>
        <w:spacing w:after="0" w:line="240" w:lineRule="auto"/>
        <w:jc w:val="both"/>
        <w:rPr>
          <w:rFonts w:asciiTheme="majorBidi" w:hAnsiTheme="majorBidi" w:cstheme="majorBidi"/>
          <w:color w:val="000000" w:themeColor="text1"/>
        </w:rPr>
      </w:pPr>
    </w:p>
    <w:p w14:paraId="67986C99" w14:textId="6A7712BD" w:rsidR="001D47D1" w:rsidRPr="005103A1" w:rsidRDefault="004F3236" w:rsidP="005179F9">
      <w:pPr>
        <w:spacing w:after="0" w:line="480" w:lineRule="auto"/>
        <w:jc w:val="both"/>
        <w:rPr>
          <w:rFonts w:asciiTheme="majorBidi" w:hAnsiTheme="majorBidi" w:cstheme="majorBidi"/>
          <w:color w:val="000000" w:themeColor="text1"/>
        </w:rPr>
      </w:pPr>
      <w:r>
        <w:rPr>
          <w:rFonts w:asciiTheme="majorBidi" w:hAnsiTheme="majorBidi" w:cstheme="majorBidi"/>
          <w:color w:val="000000" w:themeColor="text1"/>
        </w:rPr>
        <w:tab/>
      </w:r>
      <w:r w:rsidR="006A6660" w:rsidRPr="005103A1">
        <w:rPr>
          <w:rFonts w:asciiTheme="majorBidi" w:hAnsiTheme="majorBidi" w:cstheme="majorBidi"/>
          <w:color w:val="000000" w:themeColor="text1"/>
        </w:rPr>
        <w:t xml:space="preserve">The provision of ESG-based </w:t>
      </w:r>
      <w:r w:rsidR="008C3822" w:rsidRPr="005103A1">
        <w:rPr>
          <w:rFonts w:asciiTheme="majorBidi" w:hAnsiTheme="majorBidi" w:cstheme="majorBidi"/>
          <w:color w:val="000000" w:themeColor="text1"/>
        </w:rPr>
        <w:t xml:space="preserve">sustainable </w:t>
      </w:r>
      <w:r w:rsidR="006A6660" w:rsidRPr="005103A1">
        <w:rPr>
          <w:rFonts w:asciiTheme="majorBidi" w:hAnsiTheme="majorBidi" w:cstheme="majorBidi"/>
          <w:color w:val="000000" w:themeColor="text1"/>
        </w:rPr>
        <w:t xml:space="preserve">compensation policy is likely to play a critical role in </w:t>
      </w:r>
      <w:r w:rsidR="007C4459" w:rsidRPr="005103A1">
        <w:rPr>
          <w:rFonts w:asciiTheme="majorBidi" w:hAnsiTheme="majorBidi" w:cstheme="majorBidi"/>
          <w:color w:val="000000" w:themeColor="text1"/>
        </w:rPr>
        <w:t xml:space="preserve">motivating </w:t>
      </w:r>
      <w:r w:rsidR="006A6660" w:rsidRPr="005103A1">
        <w:rPr>
          <w:rFonts w:asciiTheme="majorBidi" w:hAnsiTheme="majorBidi" w:cstheme="majorBidi"/>
          <w:color w:val="000000" w:themeColor="text1"/>
        </w:rPr>
        <w:t xml:space="preserve">corporate executives </w:t>
      </w:r>
      <w:r w:rsidR="00842DF5" w:rsidRPr="005103A1">
        <w:rPr>
          <w:rFonts w:asciiTheme="majorBidi" w:hAnsiTheme="majorBidi" w:cstheme="majorBidi"/>
          <w:color w:val="000000" w:themeColor="text1"/>
        </w:rPr>
        <w:t xml:space="preserve">to undertake </w:t>
      </w:r>
      <w:r w:rsidR="006A6660" w:rsidRPr="005103A1">
        <w:rPr>
          <w:rFonts w:asciiTheme="majorBidi" w:hAnsiTheme="majorBidi" w:cstheme="majorBidi"/>
          <w:color w:val="000000" w:themeColor="text1"/>
        </w:rPr>
        <w:t>carbon initiatives, which</w:t>
      </w:r>
      <w:r w:rsidR="00E94AED" w:rsidRPr="005103A1">
        <w:rPr>
          <w:rFonts w:asciiTheme="majorBidi" w:hAnsiTheme="majorBidi" w:cstheme="majorBidi"/>
          <w:color w:val="000000" w:themeColor="text1"/>
        </w:rPr>
        <w:t xml:space="preserve"> can</w:t>
      </w:r>
      <w:r w:rsidR="006A6660" w:rsidRPr="005103A1">
        <w:rPr>
          <w:rFonts w:asciiTheme="majorBidi" w:hAnsiTheme="majorBidi" w:cstheme="majorBidi"/>
          <w:color w:val="000000" w:themeColor="text1"/>
        </w:rPr>
        <w:t xml:space="preserve"> in turn </w:t>
      </w:r>
      <w:r w:rsidR="00842DF5" w:rsidRPr="005103A1">
        <w:rPr>
          <w:rFonts w:asciiTheme="majorBidi" w:hAnsiTheme="majorBidi" w:cstheme="majorBidi"/>
          <w:color w:val="000000" w:themeColor="text1"/>
        </w:rPr>
        <w:t xml:space="preserve">enhance both organisational legitimacy and </w:t>
      </w:r>
      <w:r w:rsidR="000A6D3C">
        <w:rPr>
          <w:rFonts w:asciiTheme="majorBidi" w:hAnsiTheme="majorBidi" w:cstheme="majorBidi"/>
          <w:color w:val="000000" w:themeColor="text1"/>
        </w:rPr>
        <w:t>MV</w:t>
      </w:r>
      <w:r w:rsidR="00842DF5" w:rsidRPr="005103A1">
        <w:rPr>
          <w:rFonts w:asciiTheme="majorBidi" w:hAnsiTheme="majorBidi" w:cstheme="majorBidi"/>
          <w:color w:val="000000" w:themeColor="text1"/>
        </w:rPr>
        <w:t xml:space="preserve">. </w:t>
      </w:r>
      <w:r w:rsidR="00786141" w:rsidRPr="005103A1">
        <w:rPr>
          <w:rFonts w:asciiTheme="majorBidi" w:hAnsiTheme="majorBidi" w:cstheme="majorBidi"/>
          <w:color w:val="000000" w:themeColor="text1"/>
        </w:rPr>
        <w:t>As part of sustainable corporate strategies, corporations are increasingly using sustainable compensation policy to motivate executives to pursue social and environmental projects. For example, the Newsweek Green Ranking</w:t>
      </w:r>
      <w:r w:rsidR="00FC474E">
        <w:rPr>
          <w:rFonts w:asciiTheme="majorBidi" w:hAnsiTheme="majorBidi" w:cstheme="majorBidi"/>
          <w:color w:val="000000" w:themeColor="text1"/>
        </w:rPr>
        <w:t>s</w:t>
      </w:r>
      <w:r w:rsidR="00786141" w:rsidRPr="005103A1">
        <w:rPr>
          <w:rFonts w:asciiTheme="majorBidi" w:hAnsiTheme="majorBidi" w:cstheme="majorBidi"/>
          <w:color w:val="000000" w:themeColor="text1"/>
        </w:rPr>
        <w:t xml:space="preserve"> 2015 show that more than ha</w:t>
      </w:r>
      <w:r w:rsidR="00122CA6">
        <w:rPr>
          <w:rFonts w:asciiTheme="majorBidi" w:hAnsiTheme="majorBidi" w:cstheme="majorBidi"/>
          <w:color w:val="000000" w:themeColor="text1"/>
        </w:rPr>
        <w:t xml:space="preserve">lf of </w:t>
      </w:r>
      <w:r w:rsidR="005179F9" w:rsidRPr="005103A1">
        <w:rPr>
          <w:rFonts w:asciiTheme="majorBidi" w:hAnsiTheme="majorBidi" w:cstheme="majorBidi"/>
          <w:color w:val="000000" w:themeColor="text1"/>
        </w:rPr>
        <w:t>US firms and around 69</w:t>
      </w:r>
      <w:r w:rsidR="00786141" w:rsidRPr="005103A1">
        <w:rPr>
          <w:rFonts w:asciiTheme="majorBidi" w:hAnsiTheme="majorBidi" w:cstheme="majorBidi"/>
          <w:color w:val="000000" w:themeColor="text1"/>
        </w:rPr>
        <w:t xml:space="preserve">% </w:t>
      </w:r>
      <w:r w:rsidR="005179F9" w:rsidRPr="005103A1">
        <w:rPr>
          <w:rFonts w:asciiTheme="majorBidi" w:hAnsiTheme="majorBidi" w:cstheme="majorBidi"/>
          <w:color w:val="000000" w:themeColor="text1"/>
        </w:rPr>
        <w:t>of g</w:t>
      </w:r>
      <w:r w:rsidR="00786141" w:rsidRPr="005103A1">
        <w:rPr>
          <w:rFonts w:asciiTheme="majorBidi" w:hAnsiTheme="majorBidi" w:cstheme="majorBidi"/>
          <w:color w:val="000000" w:themeColor="text1"/>
        </w:rPr>
        <w:t>lobal firms tend to</w:t>
      </w:r>
      <w:r w:rsidR="00C33ED9" w:rsidRPr="005103A1">
        <w:rPr>
          <w:rFonts w:asciiTheme="majorBidi" w:hAnsiTheme="majorBidi" w:cstheme="majorBidi"/>
          <w:color w:val="000000" w:themeColor="text1"/>
        </w:rPr>
        <w:t xml:space="preserve"> have</w:t>
      </w:r>
      <w:r w:rsidR="00786141" w:rsidRPr="005103A1">
        <w:rPr>
          <w:rFonts w:asciiTheme="majorBidi" w:hAnsiTheme="majorBidi" w:cstheme="majorBidi"/>
          <w:color w:val="000000" w:themeColor="text1"/>
        </w:rPr>
        <w:t xml:space="preserve"> </w:t>
      </w:r>
      <w:r w:rsidR="00C33ED9" w:rsidRPr="005103A1">
        <w:rPr>
          <w:rFonts w:asciiTheme="majorBidi" w:hAnsiTheme="majorBidi" w:cstheme="majorBidi"/>
          <w:color w:val="000000" w:themeColor="text1"/>
        </w:rPr>
        <w:t xml:space="preserve">a </w:t>
      </w:r>
      <w:r w:rsidR="00786141" w:rsidRPr="005103A1">
        <w:rPr>
          <w:rFonts w:asciiTheme="majorBidi" w:hAnsiTheme="majorBidi" w:cstheme="majorBidi"/>
          <w:color w:val="000000" w:themeColor="text1"/>
        </w:rPr>
        <w:t xml:space="preserve">part of </w:t>
      </w:r>
      <w:r w:rsidR="00C33ED9" w:rsidRPr="005103A1">
        <w:rPr>
          <w:rFonts w:asciiTheme="majorBidi" w:hAnsiTheme="majorBidi" w:cstheme="majorBidi"/>
          <w:color w:val="000000" w:themeColor="text1"/>
        </w:rPr>
        <w:t xml:space="preserve">their </w:t>
      </w:r>
      <w:r w:rsidR="00DD61C6" w:rsidRPr="005103A1">
        <w:rPr>
          <w:rFonts w:asciiTheme="majorBidi" w:hAnsiTheme="majorBidi" w:cstheme="majorBidi"/>
          <w:color w:val="000000" w:themeColor="text1"/>
        </w:rPr>
        <w:t>EC</w:t>
      </w:r>
      <w:r w:rsidR="00786141" w:rsidRPr="005103A1">
        <w:rPr>
          <w:rFonts w:asciiTheme="majorBidi" w:hAnsiTheme="majorBidi" w:cstheme="majorBidi"/>
          <w:color w:val="000000" w:themeColor="text1"/>
        </w:rPr>
        <w:t xml:space="preserve"> scheme</w:t>
      </w:r>
      <w:r w:rsidR="00C33ED9" w:rsidRPr="005103A1">
        <w:rPr>
          <w:rFonts w:asciiTheme="majorBidi" w:hAnsiTheme="majorBidi" w:cstheme="majorBidi"/>
          <w:color w:val="000000" w:themeColor="text1"/>
        </w:rPr>
        <w:t>s</w:t>
      </w:r>
      <w:r w:rsidR="00786141" w:rsidRPr="005103A1">
        <w:rPr>
          <w:rFonts w:asciiTheme="majorBidi" w:hAnsiTheme="majorBidi" w:cstheme="majorBidi"/>
          <w:color w:val="000000" w:themeColor="text1"/>
        </w:rPr>
        <w:t xml:space="preserve"> to</w:t>
      </w:r>
      <w:r w:rsidR="00C33ED9" w:rsidRPr="005103A1">
        <w:rPr>
          <w:rFonts w:asciiTheme="majorBidi" w:hAnsiTheme="majorBidi" w:cstheme="majorBidi"/>
          <w:color w:val="000000" w:themeColor="text1"/>
        </w:rPr>
        <w:t xml:space="preserve"> incorporate</w:t>
      </w:r>
      <w:r w:rsidR="00786141" w:rsidRPr="005103A1">
        <w:rPr>
          <w:rFonts w:asciiTheme="majorBidi" w:hAnsiTheme="majorBidi" w:cstheme="majorBidi"/>
          <w:color w:val="000000" w:themeColor="text1"/>
        </w:rPr>
        <w:t xml:space="preserve"> </w:t>
      </w:r>
      <w:r w:rsidR="005C77D8" w:rsidRPr="005103A1">
        <w:rPr>
          <w:rFonts w:asciiTheme="majorBidi" w:hAnsiTheme="majorBidi" w:cstheme="majorBidi"/>
          <w:color w:val="000000" w:themeColor="text1"/>
        </w:rPr>
        <w:t xml:space="preserve">some form of </w:t>
      </w:r>
      <w:r w:rsidR="00786141" w:rsidRPr="005103A1">
        <w:rPr>
          <w:rFonts w:asciiTheme="majorBidi" w:hAnsiTheme="majorBidi" w:cstheme="majorBidi"/>
          <w:color w:val="000000" w:themeColor="text1"/>
        </w:rPr>
        <w:t xml:space="preserve">green performance targets (Heaps, 2015). </w:t>
      </w:r>
      <w:r w:rsidR="007109DD" w:rsidRPr="005103A1">
        <w:rPr>
          <w:rFonts w:asciiTheme="majorBidi" w:hAnsiTheme="majorBidi" w:cstheme="majorBidi"/>
          <w:color w:val="000000" w:themeColor="text1"/>
          <w:lang w:val="en-US"/>
        </w:rPr>
        <w:t>Empirically</w:t>
      </w:r>
      <w:r w:rsidR="0019024C" w:rsidRPr="005103A1">
        <w:rPr>
          <w:rFonts w:asciiTheme="majorBidi" w:hAnsiTheme="majorBidi" w:cstheme="majorBidi"/>
          <w:color w:val="000000" w:themeColor="text1"/>
        </w:rPr>
        <w:t xml:space="preserve">, </w:t>
      </w:r>
      <w:r w:rsidR="0035255D" w:rsidRPr="005103A1">
        <w:rPr>
          <w:rFonts w:asciiTheme="majorBidi" w:hAnsiTheme="majorBidi" w:cstheme="majorBidi"/>
          <w:color w:val="000000" w:themeColor="text1"/>
        </w:rPr>
        <w:t xml:space="preserve">Campbell </w:t>
      </w:r>
      <w:r w:rsidR="0035255D" w:rsidRPr="005103A1">
        <w:rPr>
          <w:rFonts w:asciiTheme="majorBidi" w:hAnsiTheme="majorBidi" w:cstheme="majorBidi"/>
          <w:i/>
          <w:color w:val="000000" w:themeColor="text1"/>
        </w:rPr>
        <w:t>et al.</w:t>
      </w:r>
      <w:r w:rsidR="0035255D" w:rsidRPr="005103A1">
        <w:rPr>
          <w:rFonts w:asciiTheme="majorBidi" w:hAnsiTheme="majorBidi" w:cstheme="majorBidi"/>
          <w:color w:val="000000" w:themeColor="text1"/>
        </w:rPr>
        <w:t xml:space="preserve"> (2007) </w:t>
      </w:r>
      <w:r w:rsidR="001D47D1" w:rsidRPr="005103A1">
        <w:rPr>
          <w:rFonts w:asciiTheme="majorBidi" w:hAnsiTheme="majorBidi" w:cstheme="majorBidi"/>
          <w:color w:val="000000" w:themeColor="text1"/>
        </w:rPr>
        <w:t xml:space="preserve">find </w:t>
      </w:r>
      <w:r w:rsidR="003B578B" w:rsidRPr="005103A1">
        <w:rPr>
          <w:rFonts w:asciiTheme="majorBidi" w:hAnsiTheme="majorBidi" w:cstheme="majorBidi"/>
          <w:color w:val="000000" w:themeColor="text1"/>
        </w:rPr>
        <w:t xml:space="preserve">that </w:t>
      </w:r>
      <w:r w:rsidR="00EF256C">
        <w:rPr>
          <w:rFonts w:asciiTheme="majorBidi" w:hAnsiTheme="majorBidi" w:cstheme="majorBidi"/>
          <w:color w:val="000000" w:themeColor="text1"/>
        </w:rPr>
        <w:t>sustainable</w:t>
      </w:r>
      <w:r w:rsidR="0019024C" w:rsidRPr="005103A1">
        <w:rPr>
          <w:rFonts w:asciiTheme="majorBidi" w:hAnsiTheme="majorBidi" w:cstheme="majorBidi"/>
          <w:color w:val="000000" w:themeColor="text1"/>
        </w:rPr>
        <w:t xml:space="preserve"> compensation scheme</w:t>
      </w:r>
      <w:r w:rsidR="003029C0">
        <w:rPr>
          <w:rFonts w:asciiTheme="majorBidi" w:hAnsiTheme="majorBidi" w:cstheme="majorBidi"/>
          <w:color w:val="000000" w:themeColor="text1"/>
        </w:rPr>
        <w:t>s</w:t>
      </w:r>
      <w:r w:rsidR="0019024C" w:rsidRPr="005103A1">
        <w:rPr>
          <w:rFonts w:asciiTheme="majorBidi" w:hAnsiTheme="majorBidi" w:cstheme="majorBidi"/>
          <w:color w:val="000000" w:themeColor="text1"/>
        </w:rPr>
        <w:t xml:space="preserve"> reduce environmental exposure premium component of </w:t>
      </w:r>
      <w:r w:rsidR="00D0778E" w:rsidRPr="005103A1">
        <w:rPr>
          <w:rFonts w:asciiTheme="majorBidi" w:hAnsiTheme="majorBidi" w:cstheme="majorBidi"/>
          <w:color w:val="000000" w:themeColor="text1"/>
        </w:rPr>
        <w:t xml:space="preserve">CEO </w:t>
      </w:r>
      <w:r w:rsidR="0019024C" w:rsidRPr="005103A1">
        <w:rPr>
          <w:rFonts w:asciiTheme="majorBidi" w:hAnsiTheme="majorBidi" w:cstheme="majorBidi"/>
          <w:color w:val="000000" w:themeColor="text1"/>
        </w:rPr>
        <w:t>compensation</w:t>
      </w:r>
      <w:r w:rsidR="002C7ECC">
        <w:rPr>
          <w:rFonts w:asciiTheme="majorBidi" w:hAnsiTheme="majorBidi" w:cstheme="majorBidi"/>
          <w:color w:val="000000" w:themeColor="text1"/>
        </w:rPr>
        <w:t xml:space="preserve"> in </w:t>
      </w:r>
      <w:r w:rsidR="002C7ECC" w:rsidRPr="005103A1">
        <w:rPr>
          <w:rFonts w:asciiTheme="majorBidi" w:hAnsiTheme="majorBidi" w:cstheme="majorBidi"/>
          <w:color w:val="000000" w:themeColor="text1"/>
        </w:rPr>
        <w:t>US firms</w:t>
      </w:r>
      <w:r w:rsidR="001D47D1" w:rsidRPr="005103A1">
        <w:rPr>
          <w:rFonts w:asciiTheme="majorBidi" w:hAnsiTheme="majorBidi" w:cstheme="majorBidi"/>
          <w:color w:val="000000" w:themeColor="text1"/>
        </w:rPr>
        <w:t>.</w:t>
      </w:r>
    </w:p>
    <w:p w14:paraId="5D8B2882" w14:textId="44AAE098" w:rsidR="006A6660" w:rsidRPr="005103A1" w:rsidRDefault="00392518" w:rsidP="00DD61C6">
      <w:pPr>
        <w:spacing w:after="0" w:line="480" w:lineRule="auto"/>
        <w:ind w:firstLine="720"/>
        <w:jc w:val="both"/>
        <w:rPr>
          <w:rFonts w:asciiTheme="majorBidi" w:hAnsiTheme="majorBidi" w:cstheme="majorBidi"/>
          <w:lang w:val="en-US"/>
        </w:rPr>
      </w:pPr>
      <w:r w:rsidRPr="005103A1">
        <w:rPr>
          <w:rFonts w:asciiTheme="majorBidi" w:hAnsiTheme="majorBidi" w:cstheme="majorBidi"/>
          <w:color w:val="000000" w:themeColor="text1"/>
        </w:rPr>
        <w:t>We ar</w:t>
      </w:r>
      <w:r w:rsidR="002D762D" w:rsidRPr="005103A1">
        <w:rPr>
          <w:rFonts w:asciiTheme="majorBidi" w:hAnsiTheme="majorBidi" w:cstheme="majorBidi"/>
          <w:color w:val="000000" w:themeColor="text1"/>
        </w:rPr>
        <w:t>gue</w:t>
      </w:r>
      <w:r w:rsidRPr="005103A1">
        <w:rPr>
          <w:rFonts w:asciiTheme="majorBidi" w:hAnsiTheme="majorBidi" w:cstheme="majorBidi"/>
          <w:color w:val="000000" w:themeColor="text1"/>
        </w:rPr>
        <w:t>,</w:t>
      </w:r>
      <w:r w:rsidR="00575934" w:rsidRPr="005103A1">
        <w:rPr>
          <w:rFonts w:asciiTheme="majorBidi" w:hAnsiTheme="majorBidi" w:cstheme="majorBidi"/>
          <w:color w:val="000000" w:themeColor="text1"/>
        </w:rPr>
        <w:t xml:space="preserve"> therefore, that</w:t>
      </w:r>
      <w:r w:rsidRPr="005103A1">
        <w:rPr>
          <w:rFonts w:asciiTheme="majorBidi" w:hAnsiTheme="majorBidi" w:cstheme="majorBidi"/>
          <w:color w:val="000000" w:themeColor="text1"/>
        </w:rPr>
        <w:t xml:space="preserve"> in the presence of a sustainable compensation policy, the board of directors and the compensation committee of the board might be in a better position </w:t>
      </w:r>
      <w:r w:rsidR="003D003F" w:rsidRPr="005103A1">
        <w:rPr>
          <w:rFonts w:asciiTheme="majorBidi" w:hAnsiTheme="majorBidi" w:cstheme="majorBidi"/>
          <w:color w:val="000000" w:themeColor="text1"/>
        </w:rPr>
        <w:t xml:space="preserve">to </w:t>
      </w:r>
      <w:r w:rsidRPr="005103A1">
        <w:rPr>
          <w:rFonts w:asciiTheme="majorBidi" w:hAnsiTheme="majorBidi" w:cstheme="majorBidi"/>
          <w:color w:val="000000" w:themeColor="text1"/>
        </w:rPr>
        <w:t xml:space="preserve">evaluate carbon risks of a firm to design a more effective </w:t>
      </w:r>
      <w:r w:rsidR="00DD61C6" w:rsidRPr="005103A1">
        <w:rPr>
          <w:rFonts w:asciiTheme="majorBidi" w:hAnsiTheme="majorBidi" w:cstheme="majorBidi"/>
          <w:color w:val="000000" w:themeColor="text1"/>
        </w:rPr>
        <w:t>EC</w:t>
      </w:r>
      <w:r w:rsidRPr="005103A1">
        <w:rPr>
          <w:rFonts w:asciiTheme="majorBidi" w:hAnsiTheme="majorBidi" w:cstheme="majorBidi"/>
          <w:color w:val="000000" w:themeColor="text1"/>
        </w:rPr>
        <w:t xml:space="preserve"> scheme</w:t>
      </w:r>
      <w:r w:rsidR="00AC4C31" w:rsidRPr="005103A1">
        <w:rPr>
          <w:rFonts w:asciiTheme="majorBidi" w:hAnsiTheme="majorBidi" w:cstheme="majorBidi"/>
          <w:color w:val="000000" w:themeColor="text1"/>
        </w:rPr>
        <w:t>,</w:t>
      </w:r>
      <w:r w:rsidRPr="005103A1">
        <w:rPr>
          <w:rFonts w:asciiTheme="majorBidi" w:hAnsiTheme="majorBidi" w:cstheme="majorBidi"/>
          <w:color w:val="000000" w:themeColor="text1"/>
        </w:rPr>
        <w:t xml:space="preserve"> </w:t>
      </w:r>
      <w:r w:rsidR="00AC4C31" w:rsidRPr="005103A1">
        <w:rPr>
          <w:rFonts w:asciiTheme="majorBidi" w:hAnsiTheme="majorBidi" w:cstheme="majorBidi"/>
          <w:color w:val="000000" w:themeColor="text1"/>
        </w:rPr>
        <w:t>which may</w:t>
      </w:r>
      <w:r w:rsidRPr="005103A1">
        <w:rPr>
          <w:rFonts w:asciiTheme="majorBidi" w:hAnsiTheme="majorBidi" w:cstheme="majorBidi"/>
          <w:color w:val="000000" w:themeColor="text1"/>
        </w:rPr>
        <w:t xml:space="preserve"> enhance </w:t>
      </w:r>
      <w:r w:rsidR="00AC4C31" w:rsidRPr="005103A1">
        <w:rPr>
          <w:rFonts w:asciiTheme="majorBidi" w:hAnsiTheme="majorBidi" w:cstheme="majorBidi"/>
          <w:color w:val="000000" w:themeColor="text1"/>
        </w:rPr>
        <w:t xml:space="preserve">corporate </w:t>
      </w:r>
      <w:r w:rsidR="00DD61C6" w:rsidRPr="005103A1">
        <w:rPr>
          <w:rFonts w:asciiTheme="majorBidi" w:hAnsiTheme="majorBidi" w:cstheme="majorBidi"/>
          <w:color w:val="000000" w:themeColor="text1"/>
        </w:rPr>
        <w:t>CP</w:t>
      </w:r>
      <w:r w:rsidRPr="005103A1">
        <w:rPr>
          <w:rFonts w:asciiTheme="majorBidi" w:hAnsiTheme="majorBidi" w:cstheme="majorBidi"/>
          <w:color w:val="000000" w:themeColor="text1"/>
        </w:rPr>
        <w:t>.</w:t>
      </w:r>
      <w:r w:rsidR="00BC70FC" w:rsidRPr="005103A1">
        <w:rPr>
          <w:rFonts w:asciiTheme="majorBidi" w:hAnsiTheme="majorBidi" w:cstheme="majorBidi"/>
          <w:color w:val="000000" w:themeColor="text1"/>
        </w:rPr>
        <w:t xml:space="preserve"> </w:t>
      </w:r>
      <w:r w:rsidR="00D80191" w:rsidRPr="005103A1">
        <w:rPr>
          <w:rFonts w:asciiTheme="majorBidi" w:hAnsiTheme="majorBidi" w:cstheme="majorBidi"/>
          <w:color w:val="000000" w:themeColor="text1"/>
        </w:rPr>
        <w:t xml:space="preserve">However, as </w:t>
      </w:r>
      <w:r w:rsidR="00D80191" w:rsidRPr="005103A1">
        <w:rPr>
          <w:rFonts w:asciiTheme="majorBidi" w:hAnsiTheme="majorBidi" w:cstheme="majorBidi"/>
          <w:lang w:val="en-US"/>
        </w:rPr>
        <w:t xml:space="preserve">Cordeiro and Sarkis (2008) argue, corporate boards might </w:t>
      </w:r>
      <w:proofErr w:type="spellStart"/>
      <w:r w:rsidR="00D80191" w:rsidRPr="005103A1">
        <w:rPr>
          <w:rFonts w:asciiTheme="majorBidi" w:hAnsiTheme="majorBidi" w:cstheme="majorBidi"/>
          <w:lang w:val="en-US"/>
        </w:rPr>
        <w:t>utilise</w:t>
      </w:r>
      <w:proofErr w:type="spellEnd"/>
      <w:r w:rsidR="00D80191" w:rsidRPr="005103A1">
        <w:rPr>
          <w:rFonts w:asciiTheme="majorBidi" w:hAnsiTheme="majorBidi" w:cstheme="majorBidi"/>
          <w:lang w:val="en-US"/>
        </w:rPr>
        <w:t xml:space="preserve"> </w:t>
      </w:r>
      <w:r w:rsidR="00DD61C6" w:rsidRPr="005103A1">
        <w:rPr>
          <w:rFonts w:asciiTheme="majorBidi" w:hAnsiTheme="majorBidi" w:cstheme="majorBidi"/>
          <w:lang w:val="en-US"/>
        </w:rPr>
        <w:t>CP</w:t>
      </w:r>
      <w:r w:rsidR="00D80191" w:rsidRPr="005103A1">
        <w:rPr>
          <w:rFonts w:asciiTheme="majorBidi" w:hAnsiTheme="majorBidi" w:cstheme="majorBidi"/>
          <w:lang w:val="en-US"/>
        </w:rPr>
        <w:t>-based compensation contracts, as a symbolic</w:t>
      </w:r>
      <w:r w:rsidR="008F06D4" w:rsidRPr="005103A1">
        <w:rPr>
          <w:rFonts w:asciiTheme="majorBidi" w:hAnsiTheme="majorBidi" w:cstheme="majorBidi"/>
          <w:lang w:val="en-US"/>
        </w:rPr>
        <w:t xml:space="preserve"> (‘legitimation’)</w:t>
      </w:r>
      <w:r w:rsidR="00D80191" w:rsidRPr="005103A1">
        <w:rPr>
          <w:rFonts w:asciiTheme="majorBidi" w:hAnsiTheme="majorBidi" w:cstheme="majorBidi"/>
          <w:lang w:val="en-US"/>
        </w:rPr>
        <w:t xml:space="preserve"> rather than substantive</w:t>
      </w:r>
      <w:r w:rsidR="008F06D4" w:rsidRPr="005103A1">
        <w:rPr>
          <w:rFonts w:asciiTheme="majorBidi" w:hAnsiTheme="majorBidi" w:cstheme="majorBidi"/>
          <w:lang w:val="en-US"/>
        </w:rPr>
        <w:t xml:space="preserve"> (‘efficiency’)</w:t>
      </w:r>
      <w:r w:rsidR="00D80191" w:rsidRPr="005103A1">
        <w:rPr>
          <w:rFonts w:asciiTheme="majorBidi" w:hAnsiTheme="majorBidi" w:cstheme="majorBidi"/>
          <w:lang w:val="en-US"/>
        </w:rPr>
        <w:t xml:space="preserve"> management practices, with the aim of enhancing </w:t>
      </w:r>
      <w:proofErr w:type="spellStart"/>
      <w:r w:rsidR="00D80191" w:rsidRPr="005103A1">
        <w:rPr>
          <w:rFonts w:asciiTheme="majorBidi" w:hAnsiTheme="majorBidi" w:cstheme="majorBidi"/>
          <w:lang w:val="en-US"/>
        </w:rPr>
        <w:t>organisational</w:t>
      </w:r>
      <w:proofErr w:type="spellEnd"/>
      <w:r w:rsidR="00D80191" w:rsidRPr="005103A1">
        <w:rPr>
          <w:rFonts w:asciiTheme="majorBidi" w:hAnsiTheme="majorBidi" w:cstheme="majorBidi"/>
          <w:lang w:val="en-US"/>
        </w:rPr>
        <w:t xml:space="preserve"> legitimacy or maintaining good standing with their stakeholders. In the context of o</w:t>
      </w:r>
      <w:r w:rsidR="008F06D4" w:rsidRPr="005103A1">
        <w:rPr>
          <w:rFonts w:asciiTheme="majorBidi" w:hAnsiTheme="majorBidi" w:cstheme="majorBidi"/>
          <w:lang w:val="en-US"/>
        </w:rPr>
        <w:t>ur study, the European Commission has</w:t>
      </w:r>
      <w:r w:rsidR="00D80191" w:rsidRPr="005103A1">
        <w:rPr>
          <w:rFonts w:asciiTheme="majorBidi" w:hAnsiTheme="majorBidi" w:cstheme="majorBidi"/>
          <w:lang w:val="en-US"/>
        </w:rPr>
        <w:t xml:space="preserve"> not mandated sustainable compensation policy for </w:t>
      </w:r>
      <w:r w:rsidR="008F06D4" w:rsidRPr="005103A1">
        <w:rPr>
          <w:rFonts w:asciiTheme="majorBidi" w:hAnsiTheme="majorBidi" w:cstheme="majorBidi"/>
          <w:lang w:val="en-US"/>
        </w:rPr>
        <w:t xml:space="preserve">EU </w:t>
      </w:r>
      <w:r w:rsidR="00D80191" w:rsidRPr="005103A1">
        <w:rPr>
          <w:rFonts w:asciiTheme="majorBidi" w:hAnsiTheme="majorBidi" w:cstheme="majorBidi"/>
          <w:lang w:val="en-US"/>
        </w:rPr>
        <w:t xml:space="preserve">corporations, </w:t>
      </w:r>
      <w:r w:rsidR="00FB6DD0" w:rsidRPr="005103A1">
        <w:rPr>
          <w:rFonts w:asciiTheme="majorBidi" w:hAnsiTheme="majorBidi" w:cstheme="majorBidi"/>
          <w:lang w:val="en-US"/>
        </w:rPr>
        <w:t xml:space="preserve">which is likely to cause </w:t>
      </w:r>
      <w:r w:rsidR="00226116" w:rsidRPr="005103A1">
        <w:rPr>
          <w:rFonts w:asciiTheme="majorBidi" w:hAnsiTheme="majorBidi" w:cstheme="majorBidi"/>
          <w:lang w:val="en-US"/>
        </w:rPr>
        <w:t xml:space="preserve">the </w:t>
      </w:r>
      <w:r w:rsidR="00FB6DD0" w:rsidRPr="005103A1">
        <w:rPr>
          <w:rFonts w:asciiTheme="majorBidi" w:hAnsiTheme="majorBidi" w:cstheme="majorBidi"/>
          <w:lang w:val="en-US"/>
        </w:rPr>
        <w:t>latter to adopt such polic</w:t>
      </w:r>
      <w:r w:rsidR="00171595">
        <w:rPr>
          <w:rFonts w:asciiTheme="majorBidi" w:hAnsiTheme="majorBidi" w:cstheme="majorBidi"/>
          <w:lang w:val="en-US"/>
        </w:rPr>
        <w:t>ies</w:t>
      </w:r>
      <w:r w:rsidR="00FB6DD0" w:rsidRPr="005103A1">
        <w:rPr>
          <w:rFonts w:asciiTheme="majorBidi" w:hAnsiTheme="majorBidi" w:cstheme="majorBidi"/>
          <w:lang w:val="en-US"/>
        </w:rPr>
        <w:t xml:space="preserve"> as a symbolic </w:t>
      </w:r>
      <w:r w:rsidR="00171E63" w:rsidRPr="005103A1">
        <w:rPr>
          <w:rFonts w:asciiTheme="majorBidi" w:hAnsiTheme="majorBidi" w:cstheme="majorBidi"/>
          <w:lang w:val="en-US"/>
        </w:rPr>
        <w:t xml:space="preserve">measure so as to enhance corporate legitimacy in response to growing criticisms of excessive </w:t>
      </w:r>
      <w:r w:rsidR="000F2362" w:rsidRPr="005103A1">
        <w:rPr>
          <w:rFonts w:asciiTheme="majorBidi" w:hAnsiTheme="majorBidi" w:cstheme="majorBidi"/>
          <w:lang w:val="en-US"/>
        </w:rPr>
        <w:t>EC</w:t>
      </w:r>
      <w:r w:rsidR="00171E63" w:rsidRPr="005103A1">
        <w:rPr>
          <w:rFonts w:asciiTheme="majorBidi" w:hAnsiTheme="majorBidi" w:cstheme="majorBidi"/>
          <w:lang w:val="en-US"/>
        </w:rPr>
        <w:t xml:space="preserve">. Therefore, </w:t>
      </w:r>
      <w:r w:rsidR="00BC70FC" w:rsidRPr="005103A1">
        <w:rPr>
          <w:rFonts w:asciiTheme="majorBidi" w:hAnsiTheme="majorBidi" w:cstheme="majorBidi"/>
          <w:lang w:val="en-US"/>
        </w:rPr>
        <w:t xml:space="preserve">any symbolic ESG-based compensation policy without requiring explicit guidelines and mandatory emission reduction targets, might </w:t>
      </w:r>
      <w:r w:rsidR="00171E63" w:rsidRPr="005103A1">
        <w:rPr>
          <w:rFonts w:asciiTheme="majorBidi" w:hAnsiTheme="majorBidi" w:cstheme="majorBidi"/>
          <w:lang w:val="en-US"/>
        </w:rPr>
        <w:t xml:space="preserve">enhance process-oriented </w:t>
      </w:r>
      <w:r w:rsidR="000F2362" w:rsidRPr="005103A1">
        <w:rPr>
          <w:rFonts w:asciiTheme="majorBidi" w:hAnsiTheme="majorBidi" w:cstheme="majorBidi"/>
          <w:lang w:val="en-US"/>
        </w:rPr>
        <w:t>CP</w:t>
      </w:r>
      <w:r w:rsidR="00310279" w:rsidRPr="005103A1">
        <w:rPr>
          <w:rFonts w:asciiTheme="majorBidi" w:hAnsiTheme="majorBidi" w:cstheme="majorBidi"/>
          <w:lang w:val="en-US"/>
        </w:rPr>
        <w:t>,</w:t>
      </w:r>
      <w:r w:rsidR="00171E63" w:rsidRPr="005103A1">
        <w:rPr>
          <w:rFonts w:asciiTheme="majorBidi" w:hAnsiTheme="majorBidi" w:cstheme="majorBidi"/>
          <w:lang w:val="en-US"/>
        </w:rPr>
        <w:t xml:space="preserve"> but </w:t>
      </w:r>
      <w:r w:rsidR="00310279" w:rsidRPr="005103A1">
        <w:rPr>
          <w:rFonts w:asciiTheme="majorBidi" w:hAnsiTheme="majorBidi" w:cstheme="majorBidi"/>
          <w:lang w:val="en-US"/>
        </w:rPr>
        <w:t>may</w:t>
      </w:r>
      <w:r w:rsidR="00171E63" w:rsidRPr="005103A1">
        <w:rPr>
          <w:rFonts w:asciiTheme="majorBidi" w:hAnsiTheme="majorBidi" w:cstheme="majorBidi"/>
          <w:lang w:val="en-US"/>
        </w:rPr>
        <w:t xml:space="preserve"> </w:t>
      </w:r>
      <w:r w:rsidR="00BC70FC" w:rsidRPr="005103A1">
        <w:rPr>
          <w:rFonts w:asciiTheme="majorBidi" w:hAnsiTheme="majorBidi" w:cstheme="majorBidi"/>
          <w:lang w:val="en-US"/>
        </w:rPr>
        <w:t>not</w:t>
      </w:r>
      <w:r w:rsidR="00B3124E" w:rsidRPr="005103A1">
        <w:rPr>
          <w:rFonts w:asciiTheme="majorBidi" w:hAnsiTheme="majorBidi" w:cstheme="majorBidi"/>
          <w:lang w:val="en-US"/>
        </w:rPr>
        <w:t xml:space="preserve"> necessarily</w:t>
      </w:r>
      <w:r w:rsidR="00BC70FC" w:rsidRPr="005103A1">
        <w:rPr>
          <w:rFonts w:asciiTheme="majorBidi" w:hAnsiTheme="majorBidi" w:cstheme="majorBidi"/>
          <w:lang w:val="en-US"/>
        </w:rPr>
        <w:t xml:space="preserve"> lead to a </w:t>
      </w:r>
      <w:r w:rsidR="00B3124E" w:rsidRPr="005103A1">
        <w:rPr>
          <w:rFonts w:asciiTheme="majorBidi" w:hAnsiTheme="majorBidi" w:cstheme="majorBidi"/>
          <w:lang w:val="en-US"/>
        </w:rPr>
        <w:t xml:space="preserve">substantive </w:t>
      </w:r>
      <w:r w:rsidR="00536DA9" w:rsidRPr="005103A1">
        <w:rPr>
          <w:rFonts w:asciiTheme="majorBidi" w:hAnsiTheme="majorBidi" w:cstheme="majorBidi"/>
          <w:lang w:val="en-US"/>
        </w:rPr>
        <w:t xml:space="preserve">actual </w:t>
      </w:r>
      <w:r w:rsidR="00BC70FC" w:rsidRPr="005103A1">
        <w:rPr>
          <w:rFonts w:asciiTheme="majorBidi" w:hAnsiTheme="majorBidi" w:cstheme="majorBidi"/>
          <w:lang w:val="en-US"/>
        </w:rPr>
        <w:t xml:space="preserve">decline in GHG emissions. </w:t>
      </w:r>
      <w:r w:rsidRPr="005103A1">
        <w:rPr>
          <w:rFonts w:asciiTheme="majorBidi" w:hAnsiTheme="majorBidi" w:cstheme="majorBidi"/>
          <w:color w:val="000000" w:themeColor="text1"/>
        </w:rPr>
        <w:t xml:space="preserve">Thus, our </w:t>
      </w:r>
      <w:r w:rsidR="00310279" w:rsidRPr="005103A1">
        <w:rPr>
          <w:rFonts w:asciiTheme="majorBidi" w:hAnsiTheme="majorBidi" w:cstheme="majorBidi"/>
          <w:color w:val="000000" w:themeColor="text1"/>
        </w:rPr>
        <w:t>final</w:t>
      </w:r>
      <w:r w:rsidRPr="005103A1">
        <w:rPr>
          <w:rFonts w:asciiTheme="majorBidi" w:hAnsiTheme="majorBidi" w:cstheme="majorBidi"/>
          <w:color w:val="000000" w:themeColor="text1"/>
        </w:rPr>
        <w:t xml:space="preserve"> </w:t>
      </w:r>
      <w:r w:rsidR="006A6660" w:rsidRPr="005103A1">
        <w:rPr>
          <w:rFonts w:asciiTheme="majorBidi" w:hAnsiTheme="majorBidi" w:cstheme="majorBidi"/>
          <w:color w:val="000000" w:themeColor="text1"/>
        </w:rPr>
        <w:t>hypothesis</w:t>
      </w:r>
      <w:r w:rsidRPr="005103A1">
        <w:rPr>
          <w:rFonts w:asciiTheme="majorBidi" w:hAnsiTheme="majorBidi" w:cstheme="majorBidi"/>
          <w:color w:val="000000" w:themeColor="text1"/>
        </w:rPr>
        <w:t xml:space="preserve"> is</w:t>
      </w:r>
      <w:r w:rsidR="006A6660" w:rsidRPr="005103A1">
        <w:rPr>
          <w:rFonts w:asciiTheme="majorBidi" w:hAnsiTheme="majorBidi" w:cstheme="majorBidi"/>
          <w:color w:val="000000" w:themeColor="text1"/>
        </w:rPr>
        <w:t>:</w:t>
      </w:r>
    </w:p>
    <w:p w14:paraId="4D3BB88C" w14:textId="72C3C522" w:rsidR="006A6660" w:rsidRDefault="00366E05" w:rsidP="00496373">
      <w:pPr>
        <w:spacing w:after="0" w:line="240" w:lineRule="auto"/>
        <w:ind w:left="720"/>
        <w:jc w:val="both"/>
        <w:rPr>
          <w:rFonts w:asciiTheme="majorBidi" w:hAnsiTheme="majorBidi" w:cstheme="majorBidi"/>
          <w:color w:val="000000" w:themeColor="text1"/>
        </w:rPr>
      </w:pPr>
      <w:r w:rsidRPr="005103A1">
        <w:rPr>
          <w:rFonts w:asciiTheme="majorBidi" w:hAnsiTheme="majorBidi" w:cstheme="majorBidi"/>
          <w:i/>
          <w:color w:val="000000" w:themeColor="text1"/>
        </w:rPr>
        <w:lastRenderedPageBreak/>
        <w:t>H2</w:t>
      </w:r>
      <w:r w:rsidR="00AE2B1B" w:rsidRPr="005103A1">
        <w:rPr>
          <w:rFonts w:asciiTheme="majorBidi" w:hAnsiTheme="majorBidi" w:cstheme="majorBidi"/>
          <w:i/>
          <w:color w:val="000000" w:themeColor="text1"/>
        </w:rPr>
        <w:t>b</w:t>
      </w:r>
      <w:r w:rsidR="006A6660" w:rsidRPr="005103A1">
        <w:rPr>
          <w:rFonts w:asciiTheme="majorBidi" w:hAnsiTheme="majorBidi" w:cstheme="majorBidi"/>
          <w:i/>
          <w:color w:val="000000" w:themeColor="text1"/>
        </w:rPr>
        <w:t xml:space="preserve">: </w:t>
      </w:r>
      <w:r w:rsidR="006A6660" w:rsidRPr="005103A1">
        <w:rPr>
          <w:rFonts w:asciiTheme="majorBidi" w:hAnsiTheme="majorBidi" w:cstheme="majorBidi"/>
          <w:i/>
          <w:iCs/>
          <w:color w:val="000000" w:themeColor="text1"/>
        </w:rPr>
        <w:t xml:space="preserve">Ceteris paribus, </w:t>
      </w:r>
      <w:r w:rsidR="00AE2B1B" w:rsidRPr="005103A1">
        <w:rPr>
          <w:rFonts w:asciiTheme="majorBidi" w:hAnsiTheme="majorBidi" w:cstheme="majorBidi"/>
          <w:i/>
          <w:iCs/>
          <w:color w:val="000000" w:themeColor="text1"/>
        </w:rPr>
        <w:t xml:space="preserve">the positive effect of </w:t>
      </w:r>
      <w:r w:rsidR="00DD61C6" w:rsidRPr="005103A1">
        <w:rPr>
          <w:rFonts w:asciiTheme="majorBidi" w:hAnsiTheme="majorBidi" w:cstheme="majorBidi"/>
          <w:i/>
          <w:iCs/>
          <w:color w:val="000000" w:themeColor="text1"/>
        </w:rPr>
        <w:t>EC</w:t>
      </w:r>
      <w:r w:rsidR="006A6660" w:rsidRPr="005103A1">
        <w:rPr>
          <w:rFonts w:asciiTheme="majorBidi" w:hAnsiTheme="majorBidi" w:cstheme="majorBidi"/>
          <w:i/>
          <w:iCs/>
          <w:color w:val="000000" w:themeColor="text1"/>
        </w:rPr>
        <w:t xml:space="preserve"> </w:t>
      </w:r>
      <w:r w:rsidR="00CD6E7A" w:rsidRPr="005103A1">
        <w:rPr>
          <w:rFonts w:asciiTheme="majorBidi" w:hAnsiTheme="majorBidi" w:cstheme="majorBidi"/>
          <w:i/>
          <w:iCs/>
          <w:color w:val="000000" w:themeColor="text1"/>
        </w:rPr>
        <w:t xml:space="preserve">on </w:t>
      </w:r>
      <w:r w:rsidR="00DD61C6" w:rsidRPr="005103A1">
        <w:rPr>
          <w:rFonts w:asciiTheme="majorBidi" w:hAnsiTheme="majorBidi" w:cstheme="majorBidi"/>
          <w:i/>
          <w:iCs/>
          <w:color w:val="000000" w:themeColor="text1"/>
        </w:rPr>
        <w:t>CP</w:t>
      </w:r>
      <w:r w:rsidR="006A6660" w:rsidRPr="005103A1">
        <w:rPr>
          <w:rFonts w:asciiTheme="majorBidi" w:hAnsiTheme="majorBidi" w:cstheme="majorBidi"/>
          <w:i/>
          <w:iCs/>
          <w:color w:val="000000" w:themeColor="text1"/>
        </w:rPr>
        <w:t xml:space="preserve"> </w:t>
      </w:r>
      <w:r w:rsidR="00CD6E7A" w:rsidRPr="005103A1">
        <w:rPr>
          <w:rFonts w:asciiTheme="majorBidi" w:hAnsiTheme="majorBidi" w:cstheme="majorBidi"/>
          <w:i/>
          <w:iCs/>
          <w:color w:val="000000" w:themeColor="text1"/>
        </w:rPr>
        <w:t xml:space="preserve">is greater for firms that adopt ESG-based </w:t>
      </w:r>
      <w:r w:rsidR="008C3822" w:rsidRPr="005103A1">
        <w:rPr>
          <w:rFonts w:asciiTheme="majorBidi" w:hAnsiTheme="majorBidi" w:cstheme="majorBidi"/>
          <w:i/>
          <w:iCs/>
          <w:color w:val="000000" w:themeColor="text1"/>
        </w:rPr>
        <w:t xml:space="preserve">sustainable </w:t>
      </w:r>
      <w:r w:rsidR="00CD6E7A" w:rsidRPr="005103A1">
        <w:rPr>
          <w:rFonts w:asciiTheme="majorBidi" w:hAnsiTheme="majorBidi" w:cstheme="majorBidi"/>
          <w:i/>
          <w:iCs/>
          <w:color w:val="000000" w:themeColor="text1"/>
        </w:rPr>
        <w:t>compensation policy</w:t>
      </w:r>
      <w:r w:rsidR="006A6660" w:rsidRPr="005103A1">
        <w:rPr>
          <w:rFonts w:asciiTheme="majorBidi" w:hAnsiTheme="majorBidi" w:cstheme="majorBidi"/>
          <w:i/>
          <w:iCs/>
          <w:color w:val="000000" w:themeColor="text1"/>
        </w:rPr>
        <w:t xml:space="preserve">, and this </w:t>
      </w:r>
      <w:r w:rsidR="00CD6E7A" w:rsidRPr="005103A1">
        <w:rPr>
          <w:rFonts w:asciiTheme="majorBidi" w:hAnsiTheme="majorBidi" w:cstheme="majorBidi"/>
          <w:i/>
          <w:iCs/>
          <w:color w:val="000000" w:themeColor="text1"/>
        </w:rPr>
        <w:t xml:space="preserve">moderating effect </w:t>
      </w:r>
      <w:r w:rsidR="006A6660" w:rsidRPr="005103A1">
        <w:rPr>
          <w:rFonts w:asciiTheme="majorBidi" w:hAnsiTheme="majorBidi" w:cstheme="majorBidi"/>
          <w:i/>
          <w:iCs/>
          <w:color w:val="000000" w:themeColor="text1"/>
        </w:rPr>
        <w:t xml:space="preserve">is greater for process-oriented </w:t>
      </w:r>
      <w:r w:rsidR="00DD61C6" w:rsidRPr="005103A1">
        <w:rPr>
          <w:rFonts w:asciiTheme="majorBidi" w:hAnsiTheme="majorBidi" w:cstheme="majorBidi"/>
          <w:i/>
          <w:iCs/>
          <w:color w:val="000000" w:themeColor="text1"/>
        </w:rPr>
        <w:t>CP</w:t>
      </w:r>
      <w:r w:rsidR="006A6660" w:rsidRPr="005103A1">
        <w:rPr>
          <w:rFonts w:asciiTheme="majorBidi" w:hAnsiTheme="majorBidi" w:cstheme="majorBidi"/>
          <w:i/>
          <w:iCs/>
          <w:color w:val="000000" w:themeColor="text1"/>
        </w:rPr>
        <w:t xml:space="preserve"> than (a reduction in) actual carbon emissions</w:t>
      </w:r>
      <w:r w:rsidR="006A6660" w:rsidRPr="005103A1">
        <w:rPr>
          <w:rFonts w:asciiTheme="majorBidi" w:hAnsiTheme="majorBidi" w:cstheme="majorBidi"/>
          <w:color w:val="000000" w:themeColor="text1"/>
        </w:rPr>
        <w:t>.</w:t>
      </w:r>
    </w:p>
    <w:p w14:paraId="795C3BD1" w14:textId="1DBCA06A" w:rsidR="00D442E3" w:rsidRDefault="00D442E3" w:rsidP="00C46C8B">
      <w:pPr>
        <w:spacing w:after="0" w:line="480" w:lineRule="auto"/>
        <w:jc w:val="both"/>
        <w:rPr>
          <w:rFonts w:asciiTheme="majorBidi" w:hAnsiTheme="majorBidi" w:cstheme="majorBidi"/>
          <w:color w:val="000000" w:themeColor="text1"/>
        </w:rPr>
      </w:pPr>
      <w:r w:rsidRPr="00D442E3">
        <w:rPr>
          <w:noProof/>
        </w:rPr>
        <w:drawing>
          <wp:inline distT="0" distB="0" distL="0" distR="0" wp14:anchorId="6C3CE07B" wp14:editId="32D152B3">
            <wp:extent cx="5943600" cy="4631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631055"/>
                    </a:xfrm>
                    <a:prstGeom prst="rect">
                      <a:avLst/>
                    </a:prstGeom>
                    <a:noFill/>
                    <a:ln>
                      <a:noFill/>
                    </a:ln>
                  </pic:spPr>
                </pic:pic>
              </a:graphicData>
            </a:graphic>
          </wp:inline>
        </w:drawing>
      </w:r>
    </w:p>
    <w:p w14:paraId="16B8D9FF" w14:textId="42DE9DAC" w:rsidR="004179C9" w:rsidRPr="005103A1" w:rsidRDefault="00F56894" w:rsidP="00C46C8B">
      <w:pPr>
        <w:spacing w:after="0" w:line="480"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In conclusion, </w:t>
      </w:r>
      <w:r w:rsidR="004179C9">
        <w:rPr>
          <w:rFonts w:asciiTheme="majorBidi" w:hAnsiTheme="majorBidi" w:cstheme="majorBidi"/>
          <w:color w:val="000000" w:themeColor="text1"/>
        </w:rPr>
        <w:t xml:space="preserve">Figure 1 </w:t>
      </w:r>
      <w:r>
        <w:rPr>
          <w:rFonts w:asciiTheme="majorBidi" w:hAnsiTheme="majorBidi" w:cstheme="majorBidi"/>
          <w:color w:val="000000" w:themeColor="text1"/>
        </w:rPr>
        <w:t xml:space="preserve">captures </w:t>
      </w:r>
      <w:r w:rsidR="004C7D91">
        <w:rPr>
          <w:rFonts w:asciiTheme="majorBidi" w:hAnsiTheme="majorBidi" w:cstheme="majorBidi"/>
          <w:color w:val="000000" w:themeColor="text1"/>
        </w:rPr>
        <w:t xml:space="preserve">the operationalisation of </w:t>
      </w:r>
      <w:r w:rsidR="004179C9">
        <w:rPr>
          <w:rFonts w:asciiTheme="majorBidi" w:hAnsiTheme="majorBidi" w:cstheme="majorBidi"/>
          <w:color w:val="000000" w:themeColor="text1"/>
        </w:rPr>
        <w:t xml:space="preserve">our conceptual framework outlining </w:t>
      </w:r>
      <w:r w:rsidR="00EE4E1B">
        <w:rPr>
          <w:rFonts w:asciiTheme="majorBidi" w:hAnsiTheme="majorBidi" w:cstheme="majorBidi"/>
          <w:color w:val="000000" w:themeColor="text1"/>
        </w:rPr>
        <w:t xml:space="preserve">the </w:t>
      </w:r>
      <w:r w:rsidR="004179C9">
        <w:rPr>
          <w:rFonts w:asciiTheme="majorBidi" w:hAnsiTheme="majorBidi" w:cstheme="majorBidi"/>
          <w:color w:val="000000" w:themeColor="text1"/>
        </w:rPr>
        <w:t>two theoretical constructs of the NIT</w:t>
      </w:r>
      <w:r w:rsidR="00DC577F">
        <w:rPr>
          <w:rFonts w:asciiTheme="majorBidi" w:hAnsiTheme="majorBidi" w:cstheme="majorBidi"/>
          <w:color w:val="000000" w:themeColor="text1"/>
        </w:rPr>
        <w:t xml:space="preserve"> – </w:t>
      </w:r>
      <w:r w:rsidR="004179C9">
        <w:rPr>
          <w:rFonts w:asciiTheme="majorBidi" w:hAnsiTheme="majorBidi" w:cstheme="majorBidi"/>
          <w:color w:val="000000" w:themeColor="text1"/>
        </w:rPr>
        <w:t>efficiency (substantive) and legitimisation (symbolic) constructs</w:t>
      </w:r>
      <w:r w:rsidR="00AA0B3D">
        <w:rPr>
          <w:rFonts w:asciiTheme="majorBidi" w:hAnsiTheme="majorBidi" w:cstheme="majorBidi"/>
          <w:color w:val="000000" w:themeColor="text1"/>
        </w:rPr>
        <w:t>,</w:t>
      </w:r>
      <w:r w:rsidR="00EE4E1B">
        <w:rPr>
          <w:rFonts w:asciiTheme="majorBidi" w:hAnsiTheme="majorBidi" w:cstheme="majorBidi"/>
          <w:color w:val="000000" w:themeColor="text1"/>
        </w:rPr>
        <w:t xml:space="preserve"> </w:t>
      </w:r>
      <w:r w:rsidR="007A3FA9">
        <w:rPr>
          <w:rFonts w:asciiTheme="majorBidi" w:hAnsiTheme="majorBidi" w:cstheme="majorBidi"/>
          <w:color w:val="000000" w:themeColor="text1"/>
        </w:rPr>
        <w:t xml:space="preserve">including </w:t>
      </w:r>
      <w:r w:rsidR="00856C0B">
        <w:rPr>
          <w:rFonts w:asciiTheme="majorBidi" w:hAnsiTheme="majorBidi" w:cstheme="majorBidi"/>
          <w:color w:val="000000" w:themeColor="text1"/>
        </w:rPr>
        <w:t>five</w:t>
      </w:r>
      <w:r w:rsidR="00AA0B3D">
        <w:rPr>
          <w:rFonts w:asciiTheme="majorBidi" w:hAnsiTheme="majorBidi" w:cstheme="majorBidi"/>
          <w:color w:val="000000" w:themeColor="text1"/>
        </w:rPr>
        <w:t xml:space="preserve"> </w:t>
      </w:r>
      <w:r w:rsidR="004179C9">
        <w:rPr>
          <w:rFonts w:asciiTheme="majorBidi" w:hAnsiTheme="majorBidi" w:cstheme="majorBidi"/>
          <w:color w:val="000000" w:themeColor="text1"/>
        </w:rPr>
        <w:t xml:space="preserve">specific measures of these constructs </w:t>
      </w:r>
      <w:r w:rsidR="002E0BD3">
        <w:rPr>
          <w:rFonts w:asciiTheme="majorBidi" w:hAnsiTheme="majorBidi" w:cstheme="majorBidi"/>
          <w:color w:val="000000" w:themeColor="text1"/>
        </w:rPr>
        <w:t xml:space="preserve">and their </w:t>
      </w:r>
      <w:r w:rsidR="00EE4E1B">
        <w:rPr>
          <w:rFonts w:asciiTheme="majorBidi" w:hAnsiTheme="majorBidi" w:cstheme="majorBidi"/>
          <w:color w:val="000000" w:themeColor="text1"/>
        </w:rPr>
        <w:t xml:space="preserve">predicted </w:t>
      </w:r>
      <w:r w:rsidR="002E0BD3">
        <w:rPr>
          <w:rFonts w:asciiTheme="majorBidi" w:hAnsiTheme="majorBidi" w:cstheme="majorBidi"/>
          <w:color w:val="000000" w:themeColor="text1"/>
        </w:rPr>
        <w:t>interrelationships, as explained by our hypotheses.</w:t>
      </w:r>
      <w:r w:rsidR="004179C9">
        <w:rPr>
          <w:rFonts w:asciiTheme="majorBidi" w:hAnsiTheme="majorBidi" w:cstheme="majorBidi"/>
          <w:color w:val="000000" w:themeColor="text1"/>
        </w:rPr>
        <w:t xml:space="preserve"> </w:t>
      </w:r>
      <w:r w:rsidR="003A78FC">
        <w:rPr>
          <w:rFonts w:asciiTheme="majorBidi" w:hAnsiTheme="majorBidi" w:cstheme="majorBidi"/>
          <w:color w:val="000000" w:themeColor="text1"/>
        </w:rPr>
        <w:t xml:space="preserve">It </w:t>
      </w:r>
      <w:r w:rsidR="00DC577F">
        <w:rPr>
          <w:rFonts w:asciiTheme="majorBidi" w:hAnsiTheme="majorBidi" w:cstheme="majorBidi"/>
          <w:color w:val="000000" w:themeColor="text1"/>
        </w:rPr>
        <w:t xml:space="preserve">also </w:t>
      </w:r>
      <w:r w:rsidR="003A78FC">
        <w:rPr>
          <w:rFonts w:asciiTheme="majorBidi" w:hAnsiTheme="majorBidi" w:cstheme="majorBidi"/>
          <w:color w:val="000000" w:themeColor="text1"/>
        </w:rPr>
        <w:t xml:space="preserve">shows how </w:t>
      </w:r>
      <w:r w:rsidR="00D4670B">
        <w:rPr>
          <w:rFonts w:asciiTheme="majorBidi" w:hAnsiTheme="majorBidi" w:cstheme="majorBidi"/>
          <w:color w:val="000000" w:themeColor="text1"/>
        </w:rPr>
        <w:t>t</w:t>
      </w:r>
      <w:r w:rsidR="003A78FC">
        <w:rPr>
          <w:rFonts w:asciiTheme="majorBidi" w:hAnsiTheme="majorBidi" w:cstheme="majorBidi"/>
          <w:color w:val="000000" w:themeColor="text1"/>
        </w:rPr>
        <w:t>hree substantive measures</w:t>
      </w:r>
      <w:r w:rsidR="00DC577F">
        <w:rPr>
          <w:rFonts w:asciiTheme="majorBidi" w:hAnsiTheme="majorBidi" w:cstheme="majorBidi"/>
          <w:color w:val="000000" w:themeColor="text1"/>
        </w:rPr>
        <w:t xml:space="preserve"> – </w:t>
      </w:r>
      <w:r w:rsidR="00D4670B">
        <w:rPr>
          <w:rFonts w:asciiTheme="majorBidi" w:hAnsiTheme="majorBidi" w:cstheme="majorBidi"/>
          <w:color w:val="000000" w:themeColor="text1"/>
        </w:rPr>
        <w:t>executive compensation (</w:t>
      </w:r>
      <w:r w:rsidR="003A78FC">
        <w:rPr>
          <w:rFonts w:asciiTheme="majorBidi" w:hAnsiTheme="majorBidi" w:cstheme="majorBidi"/>
          <w:color w:val="000000" w:themeColor="text1"/>
        </w:rPr>
        <w:t>EC</w:t>
      </w:r>
      <w:r w:rsidR="00D4670B">
        <w:rPr>
          <w:rFonts w:asciiTheme="majorBidi" w:hAnsiTheme="majorBidi" w:cstheme="majorBidi"/>
          <w:color w:val="000000" w:themeColor="text1"/>
        </w:rPr>
        <w:t>)</w:t>
      </w:r>
      <w:r w:rsidR="00B45068">
        <w:rPr>
          <w:rFonts w:asciiTheme="majorBidi" w:hAnsiTheme="majorBidi" w:cstheme="majorBidi"/>
          <w:color w:val="000000" w:themeColor="text1"/>
        </w:rPr>
        <w:t>,</w:t>
      </w:r>
      <w:r w:rsidR="003A78FC">
        <w:rPr>
          <w:rFonts w:asciiTheme="majorBidi" w:hAnsiTheme="majorBidi" w:cstheme="majorBidi"/>
          <w:color w:val="000000" w:themeColor="text1"/>
        </w:rPr>
        <w:t xml:space="preserve"> </w:t>
      </w:r>
      <w:r w:rsidR="00D4670B">
        <w:rPr>
          <w:rFonts w:asciiTheme="majorBidi" w:hAnsiTheme="majorBidi" w:cstheme="majorBidi"/>
          <w:color w:val="000000" w:themeColor="text1"/>
        </w:rPr>
        <w:t>actual carbon performance (GHG)</w:t>
      </w:r>
      <w:r w:rsidR="00B45068">
        <w:rPr>
          <w:rFonts w:asciiTheme="majorBidi" w:hAnsiTheme="majorBidi" w:cstheme="majorBidi"/>
          <w:color w:val="000000" w:themeColor="text1"/>
        </w:rPr>
        <w:t>,</w:t>
      </w:r>
      <w:r w:rsidR="00D4670B">
        <w:rPr>
          <w:rFonts w:asciiTheme="majorBidi" w:hAnsiTheme="majorBidi" w:cstheme="majorBidi"/>
          <w:color w:val="000000" w:themeColor="text1"/>
        </w:rPr>
        <w:t xml:space="preserve"> and market value (</w:t>
      </w:r>
      <w:r w:rsidR="003A78FC">
        <w:rPr>
          <w:rFonts w:asciiTheme="majorBidi" w:hAnsiTheme="majorBidi" w:cstheme="majorBidi"/>
          <w:color w:val="000000" w:themeColor="text1"/>
        </w:rPr>
        <w:t>MV</w:t>
      </w:r>
      <w:r w:rsidR="00D4670B">
        <w:rPr>
          <w:rFonts w:asciiTheme="majorBidi" w:hAnsiTheme="majorBidi" w:cstheme="majorBidi"/>
          <w:color w:val="000000" w:themeColor="text1"/>
        </w:rPr>
        <w:t>)</w:t>
      </w:r>
      <w:r w:rsidR="00B45068">
        <w:rPr>
          <w:rFonts w:asciiTheme="majorBidi" w:hAnsiTheme="majorBidi" w:cstheme="majorBidi"/>
          <w:color w:val="000000" w:themeColor="text1"/>
        </w:rPr>
        <w:t>;</w:t>
      </w:r>
      <w:r w:rsidR="00D4670B">
        <w:rPr>
          <w:rFonts w:asciiTheme="majorBidi" w:hAnsiTheme="majorBidi" w:cstheme="majorBidi"/>
          <w:color w:val="000000" w:themeColor="text1"/>
        </w:rPr>
        <w:t xml:space="preserve"> </w:t>
      </w:r>
      <w:r w:rsidR="003A78FC">
        <w:rPr>
          <w:rFonts w:asciiTheme="majorBidi" w:hAnsiTheme="majorBidi" w:cstheme="majorBidi"/>
          <w:color w:val="000000" w:themeColor="text1"/>
        </w:rPr>
        <w:t>and two symbolic measures</w:t>
      </w:r>
      <w:r w:rsidR="00DC577F">
        <w:rPr>
          <w:rFonts w:asciiTheme="majorBidi" w:hAnsiTheme="majorBidi" w:cstheme="majorBidi"/>
          <w:color w:val="000000" w:themeColor="text1"/>
        </w:rPr>
        <w:t xml:space="preserve"> – </w:t>
      </w:r>
      <w:r w:rsidR="001526E4">
        <w:rPr>
          <w:rFonts w:asciiTheme="majorBidi" w:hAnsiTheme="majorBidi" w:cstheme="majorBidi"/>
          <w:color w:val="000000" w:themeColor="text1"/>
        </w:rPr>
        <w:t>process-oriented carbon performance (</w:t>
      </w:r>
      <w:r w:rsidR="003A78FC">
        <w:rPr>
          <w:rFonts w:asciiTheme="majorBidi" w:hAnsiTheme="majorBidi" w:cstheme="majorBidi"/>
          <w:color w:val="000000" w:themeColor="text1"/>
        </w:rPr>
        <w:t>PCRI)</w:t>
      </w:r>
      <w:r w:rsidR="00B45068">
        <w:rPr>
          <w:rFonts w:asciiTheme="majorBidi" w:hAnsiTheme="majorBidi" w:cstheme="majorBidi"/>
          <w:color w:val="000000" w:themeColor="text1"/>
        </w:rPr>
        <w:t>,</w:t>
      </w:r>
      <w:r w:rsidR="003A78FC">
        <w:rPr>
          <w:rFonts w:asciiTheme="majorBidi" w:hAnsiTheme="majorBidi" w:cstheme="majorBidi"/>
          <w:color w:val="000000" w:themeColor="text1"/>
        </w:rPr>
        <w:t xml:space="preserve"> </w:t>
      </w:r>
      <w:r w:rsidR="001526E4">
        <w:rPr>
          <w:rFonts w:asciiTheme="majorBidi" w:hAnsiTheme="majorBidi" w:cstheme="majorBidi"/>
          <w:color w:val="000000" w:themeColor="text1"/>
        </w:rPr>
        <w:t>and ESG-based compensation policy (ESG) influence each other</w:t>
      </w:r>
      <w:r w:rsidR="004179C9">
        <w:rPr>
          <w:rFonts w:asciiTheme="majorBidi" w:hAnsiTheme="majorBidi" w:cstheme="majorBidi"/>
          <w:color w:val="000000" w:themeColor="text1"/>
        </w:rPr>
        <w:t xml:space="preserve"> </w:t>
      </w:r>
      <w:r w:rsidR="001526E4">
        <w:rPr>
          <w:rFonts w:asciiTheme="majorBidi" w:hAnsiTheme="majorBidi" w:cstheme="majorBidi"/>
          <w:color w:val="000000" w:themeColor="text1"/>
        </w:rPr>
        <w:t xml:space="preserve">through direct relationships and/or </w:t>
      </w:r>
      <w:r w:rsidR="00F90668">
        <w:rPr>
          <w:rFonts w:asciiTheme="majorBidi" w:hAnsiTheme="majorBidi" w:cstheme="majorBidi"/>
          <w:color w:val="000000" w:themeColor="text1"/>
        </w:rPr>
        <w:t xml:space="preserve">moderating </w:t>
      </w:r>
      <w:r w:rsidR="001526E4">
        <w:rPr>
          <w:rFonts w:asciiTheme="majorBidi" w:hAnsiTheme="majorBidi" w:cstheme="majorBidi"/>
          <w:color w:val="000000" w:themeColor="text1"/>
        </w:rPr>
        <w:t>effects.</w:t>
      </w:r>
    </w:p>
    <w:p w14:paraId="671682A8" w14:textId="77777777" w:rsidR="00EE4E1B" w:rsidRDefault="00EE4E1B" w:rsidP="0064103E">
      <w:pPr>
        <w:pStyle w:val="ListParagraph"/>
        <w:spacing w:after="0" w:line="480" w:lineRule="auto"/>
        <w:ind w:left="0"/>
        <w:contextualSpacing w:val="0"/>
        <w:jc w:val="both"/>
        <w:rPr>
          <w:rFonts w:asciiTheme="majorBidi" w:hAnsiTheme="majorBidi" w:cstheme="majorBidi"/>
          <w:b/>
          <w:lang w:val="en-US"/>
        </w:rPr>
      </w:pPr>
    </w:p>
    <w:p w14:paraId="01B2FD87" w14:textId="57B57356" w:rsidR="00810D94" w:rsidRPr="00FB3918" w:rsidRDefault="00810D94" w:rsidP="0064103E">
      <w:pPr>
        <w:pStyle w:val="ListParagraph"/>
        <w:spacing w:after="0" w:line="480" w:lineRule="auto"/>
        <w:ind w:left="0"/>
        <w:contextualSpacing w:val="0"/>
        <w:jc w:val="both"/>
        <w:rPr>
          <w:rFonts w:asciiTheme="majorBidi" w:hAnsiTheme="majorBidi" w:cstheme="majorBidi"/>
          <w:b/>
          <w:lang w:val="en-US"/>
        </w:rPr>
      </w:pPr>
      <w:r w:rsidRPr="00FB3918">
        <w:rPr>
          <w:rFonts w:asciiTheme="majorBidi" w:hAnsiTheme="majorBidi" w:cstheme="majorBidi"/>
          <w:b/>
          <w:lang w:val="en-US"/>
        </w:rPr>
        <w:t>Methodology</w:t>
      </w:r>
    </w:p>
    <w:p w14:paraId="4AB4CEAD" w14:textId="30D8456F" w:rsidR="00051887" w:rsidRPr="005103A1" w:rsidRDefault="00F957CD" w:rsidP="0064103E">
      <w:pPr>
        <w:pStyle w:val="ListParagraph"/>
        <w:spacing w:after="0" w:line="480" w:lineRule="auto"/>
        <w:ind w:left="0"/>
        <w:contextualSpacing w:val="0"/>
        <w:jc w:val="both"/>
        <w:rPr>
          <w:rFonts w:asciiTheme="majorBidi" w:hAnsiTheme="majorBidi" w:cstheme="majorBidi"/>
          <w:i/>
          <w:color w:val="000000" w:themeColor="text1"/>
        </w:rPr>
      </w:pPr>
      <w:r w:rsidRPr="005103A1">
        <w:rPr>
          <w:rFonts w:asciiTheme="majorBidi" w:hAnsiTheme="majorBidi" w:cstheme="majorBidi"/>
          <w:i/>
          <w:color w:val="000000" w:themeColor="text1"/>
        </w:rPr>
        <w:lastRenderedPageBreak/>
        <w:t>Sample and data</w:t>
      </w:r>
    </w:p>
    <w:p w14:paraId="1EA9FBA2" w14:textId="08A8AA35" w:rsidR="00740447" w:rsidRPr="005103A1" w:rsidRDefault="004F3236" w:rsidP="0064103E">
      <w:pPr>
        <w:spacing w:after="0" w:line="480" w:lineRule="auto"/>
        <w:jc w:val="both"/>
        <w:rPr>
          <w:rFonts w:asciiTheme="majorBidi" w:hAnsiTheme="majorBidi" w:cstheme="majorBidi"/>
          <w:color w:val="000000" w:themeColor="text1"/>
        </w:rPr>
      </w:pPr>
      <w:r>
        <w:rPr>
          <w:rFonts w:asciiTheme="majorBidi" w:hAnsiTheme="majorBidi" w:cstheme="majorBidi"/>
          <w:color w:val="000000" w:themeColor="text1"/>
        </w:rPr>
        <w:tab/>
      </w:r>
      <w:r w:rsidR="008222E7" w:rsidRPr="005103A1">
        <w:rPr>
          <w:rFonts w:asciiTheme="majorBidi" w:hAnsiTheme="majorBidi" w:cstheme="majorBidi"/>
          <w:color w:val="000000" w:themeColor="text1"/>
        </w:rPr>
        <w:t xml:space="preserve">Our initial sample </w:t>
      </w:r>
      <w:r w:rsidR="003B578B" w:rsidRPr="005103A1">
        <w:rPr>
          <w:rFonts w:asciiTheme="majorBidi" w:hAnsiTheme="majorBidi" w:cstheme="majorBidi"/>
          <w:color w:val="000000" w:themeColor="text1"/>
        </w:rPr>
        <w:t>was</w:t>
      </w:r>
      <w:r w:rsidR="008222E7" w:rsidRPr="005103A1">
        <w:rPr>
          <w:rFonts w:asciiTheme="majorBidi" w:hAnsiTheme="majorBidi" w:cstheme="majorBidi"/>
          <w:color w:val="000000" w:themeColor="text1"/>
        </w:rPr>
        <w:t xml:space="preserve"> based on</w:t>
      </w:r>
      <w:r w:rsidR="00CF49BC" w:rsidRPr="005103A1">
        <w:rPr>
          <w:rFonts w:asciiTheme="majorBidi" w:hAnsiTheme="majorBidi" w:cstheme="majorBidi"/>
          <w:color w:val="000000" w:themeColor="text1"/>
        </w:rPr>
        <w:t xml:space="preserve"> the availability of </w:t>
      </w:r>
      <w:r w:rsidR="00350945" w:rsidRPr="005103A1">
        <w:rPr>
          <w:rFonts w:asciiTheme="majorBidi" w:hAnsiTheme="majorBidi" w:cstheme="majorBidi"/>
          <w:color w:val="000000" w:themeColor="text1"/>
        </w:rPr>
        <w:t>ESG</w:t>
      </w:r>
      <w:r w:rsidR="00410E43" w:rsidRPr="005103A1">
        <w:rPr>
          <w:rFonts w:asciiTheme="majorBidi" w:hAnsiTheme="majorBidi" w:cstheme="majorBidi"/>
          <w:color w:val="000000" w:themeColor="text1"/>
        </w:rPr>
        <w:t xml:space="preserve"> </w:t>
      </w:r>
      <w:r w:rsidR="00CF49BC" w:rsidRPr="005103A1">
        <w:rPr>
          <w:rFonts w:asciiTheme="majorBidi" w:hAnsiTheme="majorBidi" w:cstheme="majorBidi"/>
          <w:color w:val="000000" w:themeColor="text1"/>
        </w:rPr>
        <w:t xml:space="preserve">data in the </w:t>
      </w:r>
      <w:r w:rsidR="00410E43" w:rsidRPr="005103A1">
        <w:rPr>
          <w:rFonts w:asciiTheme="majorBidi" w:hAnsiTheme="majorBidi" w:cstheme="majorBidi"/>
          <w:color w:val="000000" w:themeColor="text1"/>
        </w:rPr>
        <w:t>Thomson Reuters Asset4 database</w:t>
      </w:r>
      <w:r w:rsidR="000F4242">
        <w:rPr>
          <w:rFonts w:asciiTheme="majorBidi" w:hAnsiTheme="majorBidi" w:cstheme="majorBidi"/>
          <w:color w:val="000000" w:themeColor="text1"/>
        </w:rPr>
        <w:t>. W</w:t>
      </w:r>
      <w:r w:rsidR="003B578B" w:rsidRPr="005103A1">
        <w:rPr>
          <w:rFonts w:asciiTheme="majorBidi" w:hAnsiTheme="majorBidi" w:cstheme="majorBidi"/>
          <w:color w:val="000000" w:themeColor="text1"/>
        </w:rPr>
        <w:t>e started with a</w:t>
      </w:r>
      <w:r w:rsidR="004E7C9C" w:rsidRPr="005103A1">
        <w:rPr>
          <w:rFonts w:asciiTheme="majorBidi" w:hAnsiTheme="majorBidi" w:cstheme="majorBidi"/>
          <w:color w:val="000000" w:themeColor="text1"/>
        </w:rPr>
        <w:t>ll the available</w:t>
      </w:r>
      <w:r w:rsidR="003B578B" w:rsidRPr="005103A1">
        <w:rPr>
          <w:rFonts w:asciiTheme="majorBidi" w:hAnsiTheme="majorBidi" w:cstheme="majorBidi"/>
          <w:color w:val="000000" w:themeColor="text1"/>
        </w:rPr>
        <w:t xml:space="preserve"> sample of </w:t>
      </w:r>
      <w:r w:rsidR="00CF49BC" w:rsidRPr="005103A1">
        <w:rPr>
          <w:rFonts w:asciiTheme="majorBidi" w:hAnsiTheme="majorBidi" w:cstheme="majorBidi"/>
          <w:color w:val="000000" w:themeColor="text1"/>
        </w:rPr>
        <w:t>6</w:t>
      </w:r>
      <w:r w:rsidR="000401BE" w:rsidRPr="005103A1">
        <w:rPr>
          <w:rFonts w:asciiTheme="majorBidi" w:hAnsiTheme="majorBidi" w:cstheme="majorBidi"/>
          <w:color w:val="000000" w:themeColor="text1"/>
        </w:rPr>
        <w:t>,</w:t>
      </w:r>
      <w:r w:rsidR="00CF49BC" w:rsidRPr="005103A1">
        <w:rPr>
          <w:rFonts w:asciiTheme="majorBidi" w:hAnsiTheme="majorBidi" w:cstheme="majorBidi"/>
          <w:color w:val="000000" w:themeColor="text1"/>
        </w:rPr>
        <w:t>814</w:t>
      </w:r>
      <w:r w:rsidR="008222E7" w:rsidRPr="005103A1">
        <w:rPr>
          <w:rFonts w:asciiTheme="majorBidi" w:hAnsiTheme="majorBidi" w:cstheme="majorBidi"/>
          <w:color w:val="000000" w:themeColor="text1"/>
        </w:rPr>
        <w:t xml:space="preserve"> firm-year observations from </w:t>
      </w:r>
      <w:r w:rsidR="00CF49BC" w:rsidRPr="005103A1">
        <w:rPr>
          <w:rFonts w:asciiTheme="majorBidi" w:hAnsiTheme="majorBidi" w:cstheme="majorBidi"/>
          <w:color w:val="000000" w:themeColor="text1"/>
        </w:rPr>
        <w:t>517</w:t>
      </w:r>
      <w:r w:rsidR="008222E7" w:rsidRPr="005103A1">
        <w:rPr>
          <w:rFonts w:asciiTheme="majorBidi" w:hAnsiTheme="majorBidi" w:cstheme="majorBidi"/>
          <w:color w:val="000000" w:themeColor="text1"/>
        </w:rPr>
        <w:t xml:space="preserve"> non-financial firms </w:t>
      </w:r>
      <w:r w:rsidR="00CF49BC" w:rsidRPr="005103A1">
        <w:rPr>
          <w:rFonts w:asciiTheme="majorBidi" w:hAnsiTheme="majorBidi" w:cstheme="majorBidi"/>
          <w:color w:val="000000" w:themeColor="text1"/>
        </w:rPr>
        <w:t xml:space="preserve">that are listed on </w:t>
      </w:r>
      <w:r w:rsidR="000401BE" w:rsidRPr="005103A1">
        <w:rPr>
          <w:rFonts w:asciiTheme="majorBidi" w:hAnsiTheme="majorBidi" w:cstheme="majorBidi"/>
          <w:color w:val="000000" w:themeColor="text1"/>
        </w:rPr>
        <w:t xml:space="preserve">the </w:t>
      </w:r>
      <w:r w:rsidR="00CF49BC" w:rsidRPr="005103A1">
        <w:rPr>
          <w:rFonts w:asciiTheme="majorBidi" w:hAnsiTheme="majorBidi" w:cstheme="majorBidi"/>
          <w:color w:val="000000" w:themeColor="text1"/>
        </w:rPr>
        <w:t xml:space="preserve">main stock exchanges of 13 </w:t>
      </w:r>
      <w:r w:rsidR="000401BE" w:rsidRPr="005103A1">
        <w:rPr>
          <w:rFonts w:asciiTheme="majorBidi" w:hAnsiTheme="majorBidi" w:cstheme="majorBidi"/>
          <w:color w:val="000000" w:themeColor="text1"/>
        </w:rPr>
        <w:t xml:space="preserve">industrialised </w:t>
      </w:r>
      <w:r w:rsidR="00CF49BC" w:rsidRPr="005103A1">
        <w:rPr>
          <w:rFonts w:asciiTheme="majorBidi" w:hAnsiTheme="majorBidi" w:cstheme="majorBidi"/>
          <w:color w:val="000000" w:themeColor="text1"/>
        </w:rPr>
        <w:t>European countries</w:t>
      </w:r>
      <w:r w:rsidR="000401BE" w:rsidRPr="005103A1">
        <w:rPr>
          <w:rFonts w:asciiTheme="majorBidi" w:hAnsiTheme="majorBidi" w:cstheme="majorBidi"/>
          <w:color w:val="000000" w:themeColor="text1"/>
        </w:rPr>
        <w:t>,</w:t>
      </w:r>
      <w:r w:rsidR="006C785C" w:rsidRPr="005103A1">
        <w:rPr>
          <w:rFonts w:asciiTheme="majorBidi" w:hAnsiTheme="majorBidi" w:cstheme="majorBidi"/>
          <w:color w:val="000000" w:themeColor="text1"/>
        </w:rPr>
        <w:t xml:space="preserve"> </w:t>
      </w:r>
      <w:r w:rsidR="000401BE" w:rsidRPr="005103A1">
        <w:rPr>
          <w:rFonts w:asciiTheme="majorBidi" w:hAnsiTheme="majorBidi" w:cstheme="majorBidi"/>
          <w:color w:val="000000" w:themeColor="text1"/>
        </w:rPr>
        <w:t>including</w:t>
      </w:r>
      <w:r w:rsidR="006C785C" w:rsidRPr="005103A1">
        <w:rPr>
          <w:rFonts w:asciiTheme="majorBidi" w:hAnsiTheme="majorBidi" w:cstheme="majorBidi"/>
          <w:color w:val="000000" w:themeColor="text1"/>
        </w:rPr>
        <w:t xml:space="preserve"> Austria, Belgium, Denmark, Finland, France, Germany, Italy, Netherlands, Norway, Spain, Sweden, Switzerland, and UK</w:t>
      </w:r>
      <w:r w:rsidR="00B9744E" w:rsidRPr="005103A1">
        <w:rPr>
          <w:rFonts w:asciiTheme="majorBidi" w:hAnsiTheme="majorBidi" w:cstheme="majorBidi"/>
          <w:color w:val="000000" w:themeColor="text1"/>
        </w:rPr>
        <w:t xml:space="preserve">. </w:t>
      </w:r>
      <w:r w:rsidR="00065A7F" w:rsidRPr="005103A1">
        <w:rPr>
          <w:rFonts w:asciiTheme="majorBidi" w:hAnsiTheme="majorBidi" w:cstheme="majorBidi"/>
          <w:color w:val="000000" w:themeColor="text1"/>
        </w:rPr>
        <w:t>We then remove</w:t>
      </w:r>
      <w:r w:rsidR="004E7C9C" w:rsidRPr="005103A1">
        <w:rPr>
          <w:rFonts w:asciiTheme="majorBidi" w:hAnsiTheme="majorBidi" w:cstheme="majorBidi"/>
          <w:color w:val="000000" w:themeColor="text1"/>
        </w:rPr>
        <w:t>d</w:t>
      </w:r>
      <w:r w:rsidR="00065A7F" w:rsidRPr="005103A1">
        <w:rPr>
          <w:rFonts w:asciiTheme="majorBidi" w:hAnsiTheme="majorBidi" w:cstheme="majorBidi"/>
          <w:color w:val="000000" w:themeColor="text1"/>
        </w:rPr>
        <w:t xml:space="preserve"> 1</w:t>
      </w:r>
      <w:r w:rsidR="00057403" w:rsidRPr="005103A1">
        <w:rPr>
          <w:rFonts w:asciiTheme="majorBidi" w:hAnsiTheme="majorBidi" w:cstheme="majorBidi"/>
          <w:color w:val="000000" w:themeColor="text1"/>
        </w:rPr>
        <w:t>,</w:t>
      </w:r>
      <w:r w:rsidR="00065A7F" w:rsidRPr="005103A1">
        <w:rPr>
          <w:rFonts w:asciiTheme="majorBidi" w:hAnsiTheme="majorBidi" w:cstheme="majorBidi"/>
          <w:color w:val="000000" w:themeColor="text1"/>
        </w:rPr>
        <w:t xml:space="preserve">164 observations with missing firm-level data on </w:t>
      </w:r>
      <w:r w:rsidR="00481E94" w:rsidRPr="005103A1">
        <w:rPr>
          <w:rFonts w:asciiTheme="majorBidi" w:hAnsiTheme="majorBidi" w:cstheme="majorBidi"/>
          <w:color w:val="000000" w:themeColor="text1"/>
        </w:rPr>
        <w:t>CP</w:t>
      </w:r>
      <w:r w:rsidR="00065A7F" w:rsidRPr="005103A1">
        <w:rPr>
          <w:rFonts w:asciiTheme="majorBidi" w:hAnsiTheme="majorBidi" w:cstheme="majorBidi"/>
          <w:color w:val="000000" w:themeColor="text1"/>
        </w:rPr>
        <w:t>. Finally, w</w:t>
      </w:r>
      <w:r w:rsidR="008222E7" w:rsidRPr="005103A1">
        <w:rPr>
          <w:rFonts w:asciiTheme="majorBidi" w:hAnsiTheme="majorBidi" w:cstheme="majorBidi"/>
          <w:color w:val="000000" w:themeColor="text1"/>
        </w:rPr>
        <w:t>e eliminate</w:t>
      </w:r>
      <w:r w:rsidR="004E7C9C" w:rsidRPr="005103A1">
        <w:rPr>
          <w:rFonts w:asciiTheme="majorBidi" w:hAnsiTheme="majorBidi" w:cstheme="majorBidi"/>
          <w:color w:val="000000" w:themeColor="text1"/>
        </w:rPr>
        <w:t>d</w:t>
      </w:r>
      <w:r w:rsidR="008222E7" w:rsidRPr="005103A1">
        <w:rPr>
          <w:rFonts w:asciiTheme="majorBidi" w:hAnsiTheme="majorBidi" w:cstheme="majorBidi"/>
          <w:color w:val="000000" w:themeColor="text1"/>
        </w:rPr>
        <w:t xml:space="preserve"> 1</w:t>
      </w:r>
      <w:r w:rsidR="00F820F7" w:rsidRPr="005103A1">
        <w:rPr>
          <w:rFonts w:asciiTheme="majorBidi" w:hAnsiTheme="majorBidi" w:cstheme="majorBidi"/>
          <w:color w:val="000000" w:themeColor="text1"/>
        </w:rPr>
        <w:t>,</w:t>
      </w:r>
      <w:r w:rsidR="00065A7F" w:rsidRPr="005103A1">
        <w:rPr>
          <w:rFonts w:asciiTheme="majorBidi" w:hAnsiTheme="majorBidi" w:cstheme="majorBidi"/>
          <w:color w:val="000000" w:themeColor="text1"/>
        </w:rPr>
        <w:t>271</w:t>
      </w:r>
      <w:r w:rsidR="008222E7" w:rsidRPr="005103A1">
        <w:rPr>
          <w:rFonts w:asciiTheme="majorBidi" w:hAnsiTheme="majorBidi" w:cstheme="majorBidi"/>
          <w:color w:val="000000" w:themeColor="text1"/>
        </w:rPr>
        <w:t xml:space="preserve"> observations with missing yearly data </w:t>
      </w:r>
      <w:r w:rsidR="001C7524" w:rsidRPr="005103A1">
        <w:rPr>
          <w:rFonts w:asciiTheme="majorBidi" w:hAnsiTheme="majorBidi" w:cstheme="majorBidi"/>
          <w:color w:val="000000" w:themeColor="text1"/>
        </w:rPr>
        <w:t>relating to the</w:t>
      </w:r>
      <w:r w:rsidR="008222E7" w:rsidRPr="005103A1">
        <w:rPr>
          <w:rFonts w:asciiTheme="majorBidi" w:hAnsiTheme="majorBidi" w:cstheme="majorBidi"/>
          <w:color w:val="000000" w:themeColor="text1"/>
        </w:rPr>
        <w:t xml:space="preserve"> independent variables. Our final sample is based on an unbalanced panel dataset </w:t>
      </w:r>
      <w:r w:rsidR="001C7524" w:rsidRPr="005103A1">
        <w:rPr>
          <w:rFonts w:asciiTheme="majorBidi" w:hAnsiTheme="majorBidi" w:cstheme="majorBidi"/>
          <w:color w:val="000000" w:themeColor="text1"/>
        </w:rPr>
        <w:t xml:space="preserve">consisting </w:t>
      </w:r>
      <w:r w:rsidR="008222E7" w:rsidRPr="005103A1">
        <w:rPr>
          <w:rFonts w:asciiTheme="majorBidi" w:hAnsiTheme="majorBidi" w:cstheme="majorBidi"/>
          <w:color w:val="000000" w:themeColor="text1"/>
        </w:rPr>
        <w:t>o</w:t>
      </w:r>
      <w:r w:rsidR="001C7524" w:rsidRPr="005103A1">
        <w:rPr>
          <w:rFonts w:asciiTheme="majorBidi" w:hAnsiTheme="majorBidi" w:cstheme="majorBidi"/>
          <w:color w:val="000000" w:themeColor="text1"/>
        </w:rPr>
        <w:t>f</w:t>
      </w:r>
      <w:r w:rsidR="008222E7" w:rsidRPr="005103A1">
        <w:rPr>
          <w:rFonts w:asciiTheme="majorBidi" w:hAnsiTheme="majorBidi" w:cstheme="majorBidi"/>
          <w:color w:val="000000" w:themeColor="text1"/>
        </w:rPr>
        <w:t xml:space="preserve"> </w:t>
      </w:r>
      <w:r w:rsidR="00065A7F" w:rsidRPr="005103A1">
        <w:rPr>
          <w:rFonts w:asciiTheme="majorBidi" w:hAnsiTheme="majorBidi" w:cstheme="majorBidi"/>
          <w:color w:val="000000" w:themeColor="text1"/>
        </w:rPr>
        <w:t>4</w:t>
      </w:r>
      <w:r w:rsidR="006C785C" w:rsidRPr="005103A1">
        <w:rPr>
          <w:rFonts w:asciiTheme="majorBidi" w:hAnsiTheme="majorBidi" w:cstheme="majorBidi"/>
          <w:color w:val="000000" w:themeColor="text1"/>
        </w:rPr>
        <w:t>,</w:t>
      </w:r>
      <w:r w:rsidR="00065A7F" w:rsidRPr="005103A1">
        <w:rPr>
          <w:rFonts w:asciiTheme="majorBidi" w:hAnsiTheme="majorBidi" w:cstheme="majorBidi"/>
          <w:color w:val="000000" w:themeColor="text1"/>
        </w:rPr>
        <w:t>379</w:t>
      </w:r>
      <w:r w:rsidR="008222E7" w:rsidRPr="005103A1">
        <w:rPr>
          <w:rFonts w:asciiTheme="majorBidi" w:hAnsiTheme="majorBidi" w:cstheme="majorBidi"/>
          <w:color w:val="000000" w:themeColor="text1"/>
        </w:rPr>
        <w:t xml:space="preserve"> firm-year observations </w:t>
      </w:r>
      <w:r w:rsidR="00065A7F" w:rsidRPr="005103A1">
        <w:rPr>
          <w:rFonts w:asciiTheme="majorBidi" w:hAnsiTheme="majorBidi" w:cstheme="majorBidi"/>
          <w:color w:val="000000" w:themeColor="text1"/>
        </w:rPr>
        <w:t>from 494 listed firms</w:t>
      </w:r>
      <w:r w:rsidR="004E7C9C" w:rsidRPr="005103A1">
        <w:rPr>
          <w:rFonts w:asciiTheme="majorBidi" w:hAnsiTheme="majorBidi" w:cstheme="majorBidi"/>
          <w:color w:val="000000" w:themeColor="text1"/>
        </w:rPr>
        <w:t>,</w:t>
      </w:r>
      <w:r w:rsidR="00065A7F" w:rsidRPr="005103A1">
        <w:rPr>
          <w:rFonts w:asciiTheme="majorBidi" w:hAnsiTheme="majorBidi" w:cstheme="majorBidi"/>
          <w:color w:val="000000" w:themeColor="text1"/>
        </w:rPr>
        <w:t xml:space="preserve"> </w:t>
      </w:r>
      <w:r w:rsidR="008222E7" w:rsidRPr="005103A1">
        <w:rPr>
          <w:rFonts w:asciiTheme="majorBidi" w:hAnsiTheme="majorBidi" w:cstheme="majorBidi"/>
          <w:color w:val="000000" w:themeColor="text1"/>
        </w:rPr>
        <w:t>covering a period of 1</w:t>
      </w:r>
      <w:r w:rsidR="00065A7F" w:rsidRPr="005103A1">
        <w:rPr>
          <w:rFonts w:asciiTheme="majorBidi" w:hAnsiTheme="majorBidi" w:cstheme="majorBidi"/>
          <w:color w:val="000000" w:themeColor="text1"/>
        </w:rPr>
        <w:t>5</w:t>
      </w:r>
      <w:r w:rsidR="008222E7" w:rsidRPr="005103A1">
        <w:rPr>
          <w:rFonts w:asciiTheme="majorBidi" w:hAnsiTheme="majorBidi" w:cstheme="majorBidi"/>
          <w:color w:val="000000" w:themeColor="text1"/>
        </w:rPr>
        <w:t xml:space="preserve"> years (2002-201</w:t>
      </w:r>
      <w:r w:rsidR="00065A7F" w:rsidRPr="005103A1">
        <w:rPr>
          <w:rFonts w:asciiTheme="majorBidi" w:hAnsiTheme="majorBidi" w:cstheme="majorBidi"/>
          <w:color w:val="000000" w:themeColor="text1"/>
        </w:rPr>
        <w:t>6</w:t>
      </w:r>
      <w:r w:rsidR="008222E7" w:rsidRPr="005103A1">
        <w:rPr>
          <w:rFonts w:asciiTheme="majorBidi" w:hAnsiTheme="majorBidi" w:cstheme="majorBidi"/>
          <w:color w:val="000000" w:themeColor="text1"/>
        </w:rPr>
        <w:t>)</w:t>
      </w:r>
      <w:r w:rsidR="007D7B42" w:rsidRPr="005103A1">
        <w:rPr>
          <w:rFonts w:asciiTheme="majorBidi" w:hAnsiTheme="majorBidi" w:cstheme="majorBidi"/>
          <w:color w:val="000000" w:themeColor="text1"/>
        </w:rPr>
        <w:t xml:space="preserve">. </w:t>
      </w:r>
      <w:r w:rsidR="008222E7" w:rsidRPr="005103A1">
        <w:rPr>
          <w:rFonts w:asciiTheme="majorBidi" w:hAnsiTheme="majorBidi" w:cstheme="majorBidi"/>
          <w:color w:val="000000" w:themeColor="text1"/>
        </w:rPr>
        <w:t>Table 1 shows industry-</w:t>
      </w:r>
      <w:r w:rsidR="0008321B" w:rsidRPr="005103A1">
        <w:rPr>
          <w:rFonts w:asciiTheme="majorBidi" w:hAnsiTheme="majorBidi" w:cstheme="majorBidi"/>
          <w:color w:val="000000" w:themeColor="text1"/>
        </w:rPr>
        <w:t xml:space="preserve"> and country-</w:t>
      </w:r>
      <w:r w:rsidR="008222E7" w:rsidRPr="005103A1">
        <w:rPr>
          <w:rFonts w:asciiTheme="majorBidi" w:hAnsiTheme="majorBidi" w:cstheme="majorBidi"/>
          <w:color w:val="000000" w:themeColor="text1"/>
        </w:rPr>
        <w:t>wise distribution of the sample.</w:t>
      </w:r>
      <w:r w:rsidR="00B9744E" w:rsidRPr="005103A1">
        <w:rPr>
          <w:rFonts w:asciiTheme="majorBidi" w:hAnsiTheme="majorBidi" w:cstheme="majorBidi"/>
          <w:color w:val="000000" w:themeColor="text1"/>
        </w:rPr>
        <w:t xml:space="preserve"> We use</w:t>
      </w:r>
      <w:r w:rsidR="004E7C9C" w:rsidRPr="005103A1">
        <w:rPr>
          <w:rFonts w:asciiTheme="majorBidi" w:hAnsiTheme="majorBidi" w:cstheme="majorBidi"/>
          <w:color w:val="000000" w:themeColor="text1"/>
        </w:rPr>
        <w:t>d</w:t>
      </w:r>
      <w:r w:rsidR="00B9744E" w:rsidRPr="005103A1">
        <w:rPr>
          <w:rFonts w:asciiTheme="majorBidi" w:hAnsiTheme="majorBidi" w:cstheme="majorBidi"/>
          <w:color w:val="000000" w:themeColor="text1"/>
        </w:rPr>
        <w:t xml:space="preserve"> </w:t>
      </w:r>
      <w:r w:rsidR="00B9744E" w:rsidRPr="00DC799E">
        <w:rPr>
          <w:rFonts w:asciiTheme="majorBidi" w:hAnsiTheme="majorBidi" w:cstheme="majorBidi"/>
          <w:i/>
          <w:iCs/>
          <w:color w:val="000000" w:themeColor="text1"/>
        </w:rPr>
        <w:t>Asset4</w:t>
      </w:r>
      <w:r w:rsidR="00B9744E" w:rsidRPr="005103A1">
        <w:rPr>
          <w:rFonts w:asciiTheme="majorBidi" w:hAnsiTheme="majorBidi" w:cstheme="majorBidi"/>
          <w:color w:val="000000" w:themeColor="text1"/>
        </w:rPr>
        <w:t xml:space="preserve"> dataset to collect </w:t>
      </w:r>
      <w:r w:rsidR="00481E94" w:rsidRPr="005103A1">
        <w:rPr>
          <w:rFonts w:asciiTheme="majorBidi" w:hAnsiTheme="majorBidi" w:cstheme="majorBidi"/>
          <w:color w:val="000000" w:themeColor="text1"/>
        </w:rPr>
        <w:t>CP</w:t>
      </w:r>
      <w:r w:rsidR="00B9744E" w:rsidRPr="005103A1">
        <w:rPr>
          <w:rFonts w:asciiTheme="majorBidi" w:hAnsiTheme="majorBidi" w:cstheme="majorBidi"/>
          <w:color w:val="000000" w:themeColor="text1"/>
        </w:rPr>
        <w:t xml:space="preserve"> and </w:t>
      </w:r>
      <w:r w:rsidR="00481E94" w:rsidRPr="005103A1">
        <w:rPr>
          <w:rFonts w:asciiTheme="majorBidi" w:hAnsiTheme="majorBidi" w:cstheme="majorBidi"/>
          <w:color w:val="000000" w:themeColor="text1"/>
        </w:rPr>
        <w:t>CG</w:t>
      </w:r>
      <w:r w:rsidR="00B9744E" w:rsidRPr="005103A1">
        <w:rPr>
          <w:rFonts w:asciiTheme="majorBidi" w:hAnsiTheme="majorBidi" w:cstheme="majorBidi"/>
          <w:color w:val="000000" w:themeColor="text1"/>
        </w:rPr>
        <w:t xml:space="preserve"> data, and </w:t>
      </w:r>
      <w:proofErr w:type="spellStart"/>
      <w:r w:rsidR="00B9744E" w:rsidRPr="00DC799E">
        <w:rPr>
          <w:rFonts w:asciiTheme="majorBidi" w:hAnsiTheme="majorBidi" w:cstheme="majorBidi"/>
          <w:i/>
          <w:iCs/>
          <w:color w:val="000000" w:themeColor="text1"/>
        </w:rPr>
        <w:t>Worldscope</w:t>
      </w:r>
      <w:proofErr w:type="spellEnd"/>
      <w:r w:rsidR="00B9744E" w:rsidRPr="005103A1">
        <w:rPr>
          <w:rFonts w:asciiTheme="majorBidi" w:hAnsiTheme="majorBidi" w:cstheme="majorBidi"/>
          <w:color w:val="000000" w:themeColor="text1"/>
        </w:rPr>
        <w:t xml:space="preserve"> database to collect </w:t>
      </w:r>
      <w:r w:rsidR="00481E94" w:rsidRPr="005103A1">
        <w:rPr>
          <w:rFonts w:asciiTheme="majorBidi" w:hAnsiTheme="majorBidi" w:cstheme="majorBidi"/>
          <w:color w:val="000000" w:themeColor="text1"/>
        </w:rPr>
        <w:t>MV</w:t>
      </w:r>
      <w:r w:rsidR="00B9744E" w:rsidRPr="005103A1">
        <w:rPr>
          <w:rFonts w:asciiTheme="majorBidi" w:hAnsiTheme="majorBidi" w:cstheme="majorBidi"/>
          <w:color w:val="000000" w:themeColor="text1"/>
        </w:rPr>
        <w:t xml:space="preserve"> and other financial data.</w:t>
      </w:r>
    </w:p>
    <w:p w14:paraId="1E67A013" w14:textId="15832503" w:rsidR="00E7502D" w:rsidRPr="0040657D" w:rsidRDefault="0040657D" w:rsidP="002D762D">
      <w:pPr>
        <w:spacing w:after="0" w:line="480" w:lineRule="auto"/>
        <w:jc w:val="center"/>
        <w:rPr>
          <w:rFonts w:asciiTheme="majorBidi" w:hAnsiTheme="majorBidi" w:cstheme="majorBidi"/>
          <w:bCs/>
          <w:iCs/>
        </w:rPr>
      </w:pPr>
      <w:r w:rsidRPr="0040657D">
        <w:rPr>
          <w:rFonts w:asciiTheme="majorBidi" w:hAnsiTheme="majorBidi" w:cstheme="majorBidi"/>
          <w:bCs/>
          <w:iCs/>
        </w:rPr>
        <w:t>Table 1</w:t>
      </w:r>
      <w:r w:rsidR="00B26417">
        <w:rPr>
          <w:rFonts w:asciiTheme="majorBidi" w:hAnsiTheme="majorBidi" w:cstheme="majorBidi"/>
          <w:bCs/>
          <w:iCs/>
        </w:rPr>
        <w:t xml:space="preserve"> Here</w:t>
      </w:r>
    </w:p>
    <w:p w14:paraId="1202D84B" w14:textId="3975A814" w:rsidR="00051887" w:rsidRPr="005103A1" w:rsidRDefault="00051887" w:rsidP="0064103E">
      <w:pPr>
        <w:pStyle w:val="ListParagraph"/>
        <w:spacing w:after="0" w:line="480" w:lineRule="auto"/>
        <w:ind w:left="0"/>
        <w:contextualSpacing w:val="0"/>
        <w:jc w:val="both"/>
        <w:rPr>
          <w:rFonts w:asciiTheme="majorBidi" w:hAnsiTheme="majorBidi" w:cstheme="majorBidi"/>
          <w:i/>
          <w:color w:val="000000" w:themeColor="text1"/>
        </w:rPr>
      </w:pPr>
      <w:r w:rsidRPr="005103A1">
        <w:rPr>
          <w:rFonts w:asciiTheme="majorBidi" w:hAnsiTheme="majorBidi" w:cstheme="majorBidi"/>
          <w:i/>
          <w:color w:val="000000" w:themeColor="text1"/>
        </w:rPr>
        <w:t>Empirical model</w:t>
      </w:r>
      <w:r w:rsidR="002D762D" w:rsidRPr="005103A1">
        <w:rPr>
          <w:rFonts w:asciiTheme="majorBidi" w:hAnsiTheme="majorBidi" w:cstheme="majorBidi"/>
          <w:i/>
          <w:color w:val="000000" w:themeColor="text1"/>
        </w:rPr>
        <w:t>s</w:t>
      </w:r>
      <w:r w:rsidRPr="005103A1">
        <w:rPr>
          <w:rFonts w:asciiTheme="majorBidi" w:hAnsiTheme="majorBidi" w:cstheme="majorBidi"/>
          <w:i/>
          <w:color w:val="000000" w:themeColor="text1"/>
        </w:rPr>
        <w:t xml:space="preserve"> and variables</w:t>
      </w:r>
    </w:p>
    <w:p w14:paraId="66EC0A57" w14:textId="2A969E1B" w:rsidR="007552CF" w:rsidRPr="000D07FF" w:rsidRDefault="00196DDA" w:rsidP="00491CEA">
      <w:pPr>
        <w:spacing w:after="0" w:line="480" w:lineRule="auto"/>
        <w:jc w:val="both"/>
        <w:rPr>
          <w:rFonts w:asciiTheme="majorBidi" w:hAnsiTheme="majorBidi" w:cstheme="majorBidi"/>
          <w:color w:val="000000" w:themeColor="text1"/>
        </w:rPr>
      </w:pPr>
      <w:r>
        <w:rPr>
          <w:rFonts w:asciiTheme="majorBidi" w:hAnsiTheme="majorBidi" w:cstheme="majorBidi"/>
          <w:color w:val="000000" w:themeColor="text1"/>
        </w:rPr>
        <w:tab/>
      </w:r>
      <w:r w:rsidR="00326778" w:rsidRPr="005103A1">
        <w:rPr>
          <w:rFonts w:asciiTheme="majorBidi" w:hAnsiTheme="majorBidi" w:cstheme="majorBidi"/>
          <w:color w:val="000000" w:themeColor="text1"/>
        </w:rPr>
        <w:t xml:space="preserve">In order to examine the </w:t>
      </w:r>
      <w:r w:rsidR="00AC6283" w:rsidRPr="005103A1">
        <w:rPr>
          <w:rFonts w:asciiTheme="majorBidi" w:hAnsiTheme="majorBidi" w:cstheme="majorBidi"/>
          <w:color w:val="000000" w:themeColor="text1"/>
        </w:rPr>
        <w:t xml:space="preserve">relationships among </w:t>
      </w:r>
      <w:r w:rsidR="00491CEA" w:rsidRPr="005103A1">
        <w:rPr>
          <w:rFonts w:asciiTheme="majorBidi" w:hAnsiTheme="majorBidi" w:cstheme="majorBidi"/>
          <w:color w:val="000000" w:themeColor="text1"/>
        </w:rPr>
        <w:t>EC</w:t>
      </w:r>
      <w:r w:rsidR="00AC6283" w:rsidRPr="005103A1">
        <w:rPr>
          <w:rFonts w:asciiTheme="majorBidi" w:hAnsiTheme="majorBidi" w:cstheme="majorBidi"/>
          <w:color w:val="000000" w:themeColor="text1"/>
        </w:rPr>
        <w:t xml:space="preserve">, </w:t>
      </w:r>
      <w:r w:rsidR="00F554F3" w:rsidRPr="005103A1">
        <w:rPr>
          <w:rFonts w:asciiTheme="majorBidi" w:hAnsiTheme="majorBidi" w:cstheme="majorBidi"/>
          <w:color w:val="000000" w:themeColor="text1"/>
        </w:rPr>
        <w:t xml:space="preserve">ESG-based </w:t>
      </w:r>
      <w:r w:rsidR="00423791" w:rsidRPr="005103A1">
        <w:rPr>
          <w:rFonts w:asciiTheme="majorBidi" w:hAnsiTheme="majorBidi" w:cstheme="majorBidi"/>
          <w:color w:val="000000" w:themeColor="text1"/>
        </w:rPr>
        <w:t xml:space="preserve">sustainable compensation policy, </w:t>
      </w:r>
      <w:r w:rsidR="00491CEA" w:rsidRPr="005103A1">
        <w:rPr>
          <w:rFonts w:asciiTheme="majorBidi" w:hAnsiTheme="majorBidi" w:cstheme="majorBidi"/>
          <w:color w:val="000000" w:themeColor="text1"/>
        </w:rPr>
        <w:t>CP</w:t>
      </w:r>
      <w:r w:rsidR="00AC6283" w:rsidRPr="005103A1">
        <w:rPr>
          <w:rFonts w:asciiTheme="majorBidi" w:hAnsiTheme="majorBidi" w:cstheme="majorBidi"/>
          <w:color w:val="000000" w:themeColor="text1"/>
        </w:rPr>
        <w:t xml:space="preserve"> and </w:t>
      </w:r>
      <w:r w:rsidR="00491CEA" w:rsidRPr="005103A1">
        <w:rPr>
          <w:rFonts w:asciiTheme="majorBidi" w:hAnsiTheme="majorBidi" w:cstheme="majorBidi"/>
          <w:color w:val="000000" w:themeColor="text1"/>
        </w:rPr>
        <w:t>MV</w:t>
      </w:r>
      <w:r w:rsidR="00AC6283" w:rsidRPr="005103A1">
        <w:rPr>
          <w:rFonts w:asciiTheme="majorBidi" w:hAnsiTheme="majorBidi" w:cstheme="majorBidi"/>
          <w:color w:val="000000" w:themeColor="text1"/>
        </w:rPr>
        <w:t xml:space="preserve">, </w:t>
      </w:r>
      <w:r w:rsidR="00326778" w:rsidRPr="005103A1">
        <w:rPr>
          <w:rFonts w:asciiTheme="majorBidi" w:hAnsiTheme="majorBidi" w:cstheme="majorBidi"/>
          <w:color w:val="000000" w:themeColor="text1"/>
        </w:rPr>
        <w:t xml:space="preserve">we use </w:t>
      </w:r>
      <w:r w:rsidR="00CC548D" w:rsidRPr="005103A1">
        <w:rPr>
          <w:rFonts w:asciiTheme="majorBidi" w:hAnsiTheme="majorBidi" w:cstheme="majorBidi"/>
          <w:color w:val="000000" w:themeColor="text1"/>
        </w:rPr>
        <w:t>f</w:t>
      </w:r>
      <w:r w:rsidR="00326778" w:rsidRPr="005103A1">
        <w:rPr>
          <w:rFonts w:asciiTheme="majorBidi" w:hAnsiTheme="majorBidi" w:cstheme="majorBidi"/>
          <w:color w:val="000000" w:themeColor="text1"/>
        </w:rPr>
        <w:t>irm fixed</w:t>
      </w:r>
      <w:r w:rsidR="00631BD0" w:rsidRPr="005103A1">
        <w:rPr>
          <w:rFonts w:asciiTheme="majorBidi" w:hAnsiTheme="majorBidi" w:cstheme="majorBidi"/>
          <w:color w:val="000000" w:themeColor="text1"/>
        </w:rPr>
        <w:t>-</w:t>
      </w:r>
      <w:r w:rsidR="00326778" w:rsidRPr="005103A1">
        <w:rPr>
          <w:rFonts w:asciiTheme="majorBidi" w:hAnsiTheme="majorBidi" w:cstheme="majorBidi"/>
          <w:color w:val="000000" w:themeColor="text1"/>
        </w:rPr>
        <w:t>effect</w:t>
      </w:r>
      <w:r w:rsidR="00CB4DD9" w:rsidRPr="005103A1">
        <w:rPr>
          <w:rFonts w:asciiTheme="majorBidi" w:hAnsiTheme="majorBidi" w:cstheme="majorBidi"/>
          <w:color w:val="000000" w:themeColor="text1"/>
        </w:rPr>
        <w:t>s</w:t>
      </w:r>
      <w:r w:rsidR="00326778" w:rsidRPr="005103A1">
        <w:rPr>
          <w:rFonts w:asciiTheme="majorBidi" w:hAnsiTheme="majorBidi" w:cstheme="majorBidi"/>
          <w:color w:val="000000" w:themeColor="text1"/>
        </w:rPr>
        <w:t xml:space="preserve"> </w:t>
      </w:r>
      <w:r w:rsidR="005C5B46" w:rsidRPr="005103A1">
        <w:rPr>
          <w:rFonts w:asciiTheme="majorBidi" w:hAnsiTheme="majorBidi" w:cstheme="majorBidi"/>
          <w:color w:val="000000" w:themeColor="text1"/>
        </w:rPr>
        <w:t>regressions with heteroskedast</w:t>
      </w:r>
      <w:r w:rsidR="00CC548D" w:rsidRPr="005103A1">
        <w:rPr>
          <w:rFonts w:asciiTheme="majorBidi" w:hAnsiTheme="majorBidi" w:cstheme="majorBidi"/>
          <w:color w:val="000000" w:themeColor="text1"/>
        </w:rPr>
        <w:t xml:space="preserve">icity adjusted standard errors clustered at </w:t>
      </w:r>
      <w:r w:rsidR="008541BE" w:rsidRPr="005103A1">
        <w:rPr>
          <w:rFonts w:asciiTheme="majorBidi" w:hAnsiTheme="majorBidi" w:cstheme="majorBidi"/>
          <w:color w:val="000000" w:themeColor="text1"/>
        </w:rPr>
        <w:t xml:space="preserve">the </w:t>
      </w:r>
      <w:r w:rsidR="00462C53" w:rsidRPr="005103A1">
        <w:rPr>
          <w:rFonts w:asciiTheme="majorBidi" w:hAnsiTheme="majorBidi" w:cstheme="majorBidi"/>
          <w:color w:val="000000" w:themeColor="text1"/>
        </w:rPr>
        <w:t>country-</w:t>
      </w:r>
      <w:r w:rsidR="00CC548D" w:rsidRPr="005103A1">
        <w:rPr>
          <w:rFonts w:asciiTheme="majorBidi" w:hAnsiTheme="majorBidi" w:cstheme="majorBidi"/>
          <w:color w:val="000000" w:themeColor="text1"/>
        </w:rPr>
        <w:t>level. We carry out the Hausman test, which suggests that fixed</w:t>
      </w:r>
      <w:r w:rsidR="00BC1147" w:rsidRPr="005103A1">
        <w:rPr>
          <w:rFonts w:asciiTheme="majorBidi" w:hAnsiTheme="majorBidi" w:cstheme="majorBidi"/>
          <w:color w:val="000000" w:themeColor="text1"/>
        </w:rPr>
        <w:t>-</w:t>
      </w:r>
      <w:r w:rsidR="00CC548D" w:rsidRPr="005103A1">
        <w:rPr>
          <w:rFonts w:asciiTheme="majorBidi" w:hAnsiTheme="majorBidi" w:cstheme="majorBidi"/>
          <w:color w:val="000000" w:themeColor="text1"/>
        </w:rPr>
        <w:t>effect</w:t>
      </w:r>
      <w:r w:rsidR="00BC1147" w:rsidRPr="005103A1">
        <w:rPr>
          <w:rFonts w:asciiTheme="majorBidi" w:hAnsiTheme="majorBidi" w:cstheme="majorBidi"/>
          <w:color w:val="000000" w:themeColor="text1"/>
        </w:rPr>
        <w:t>s</w:t>
      </w:r>
      <w:r w:rsidR="00CC548D" w:rsidRPr="005103A1">
        <w:rPr>
          <w:rFonts w:asciiTheme="majorBidi" w:hAnsiTheme="majorBidi" w:cstheme="majorBidi"/>
          <w:color w:val="000000" w:themeColor="text1"/>
        </w:rPr>
        <w:t xml:space="preserve"> model is appropriate for our unbalanced panel dataset. </w:t>
      </w:r>
      <w:r w:rsidR="0013333F">
        <w:rPr>
          <w:rFonts w:asciiTheme="majorBidi" w:hAnsiTheme="majorBidi" w:cstheme="majorBidi"/>
          <w:color w:val="000000" w:themeColor="text1"/>
        </w:rPr>
        <w:t>As shown in our conceptual framework (Figure 1), we apply NIT by using three substantive (efficiency) constructs</w:t>
      </w:r>
      <w:r w:rsidR="00195C4F">
        <w:rPr>
          <w:rFonts w:asciiTheme="majorBidi" w:hAnsiTheme="majorBidi" w:cstheme="majorBidi"/>
          <w:color w:val="000000" w:themeColor="text1"/>
        </w:rPr>
        <w:t xml:space="preserve"> </w:t>
      </w:r>
      <w:r w:rsidR="0013333F">
        <w:rPr>
          <w:rFonts w:asciiTheme="majorBidi" w:hAnsiTheme="majorBidi" w:cstheme="majorBidi"/>
          <w:color w:val="000000" w:themeColor="text1"/>
        </w:rPr>
        <w:t>(</w:t>
      </w:r>
      <w:r w:rsidR="00195C4F">
        <w:rPr>
          <w:rFonts w:asciiTheme="majorBidi" w:hAnsiTheme="majorBidi" w:cstheme="majorBidi"/>
          <w:color w:val="000000" w:themeColor="text1"/>
        </w:rPr>
        <w:t xml:space="preserve">GHG, EC and MV) </w:t>
      </w:r>
      <w:r w:rsidR="0013333F">
        <w:rPr>
          <w:rFonts w:asciiTheme="majorBidi" w:hAnsiTheme="majorBidi" w:cstheme="majorBidi"/>
          <w:color w:val="000000" w:themeColor="text1"/>
        </w:rPr>
        <w:t xml:space="preserve">and two symbolic (legitimisation) constructs </w:t>
      </w:r>
      <w:r w:rsidR="00195C4F">
        <w:rPr>
          <w:rFonts w:asciiTheme="majorBidi" w:hAnsiTheme="majorBidi" w:cstheme="majorBidi"/>
          <w:color w:val="000000" w:themeColor="text1"/>
        </w:rPr>
        <w:t>(PCRI and ESG)</w:t>
      </w:r>
      <w:r w:rsidR="0013333F">
        <w:rPr>
          <w:rFonts w:asciiTheme="majorBidi" w:hAnsiTheme="majorBidi" w:cstheme="majorBidi"/>
          <w:color w:val="000000" w:themeColor="text1"/>
        </w:rPr>
        <w:t xml:space="preserve">. </w:t>
      </w:r>
      <w:r w:rsidR="00A25BFC" w:rsidRPr="005103A1">
        <w:rPr>
          <w:rFonts w:asciiTheme="majorBidi" w:hAnsiTheme="majorBidi" w:cstheme="majorBidi"/>
          <w:color w:val="000000" w:themeColor="text1"/>
        </w:rPr>
        <w:t xml:space="preserve">Using </w:t>
      </w:r>
      <w:r w:rsidR="00DC799E">
        <w:rPr>
          <w:rFonts w:asciiTheme="majorBidi" w:hAnsiTheme="majorBidi" w:cstheme="majorBidi"/>
          <w:color w:val="000000" w:themeColor="text1"/>
        </w:rPr>
        <w:t xml:space="preserve">MV </w:t>
      </w:r>
      <w:r w:rsidR="00A25BFC" w:rsidRPr="005103A1">
        <w:rPr>
          <w:rFonts w:asciiTheme="majorBidi" w:hAnsiTheme="majorBidi" w:cstheme="majorBidi"/>
          <w:color w:val="000000" w:themeColor="text1"/>
        </w:rPr>
        <w:t>(</w:t>
      </w:r>
      <w:r w:rsidR="00A25BFC" w:rsidRPr="005103A1">
        <w:rPr>
          <w:rFonts w:asciiTheme="majorBidi" w:hAnsiTheme="majorBidi" w:cstheme="majorBidi"/>
          <w:i/>
          <w:iCs/>
          <w:color w:val="000000" w:themeColor="text1"/>
        </w:rPr>
        <w:t>Q</w:t>
      </w:r>
      <w:r w:rsidR="00A25BFC" w:rsidRPr="005103A1">
        <w:rPr>
          <w:rFonts w:asciiTheme="majorBidi" w:hAnsiTheme="majorBidi" w:cstheme="majorBidi"/>
          <w:color w:val="000000" w:themeColor="text1"/>
        </w:rPr>
        <w:t xml:space="preserve">) as the dependent variable, </w:t>
      </w:r>
      <w:r w:rsidR="004A6E42" w:rsidRPr="005103A1">
        <w:rPr>
          <w:rFonts w:asciiTheme="majorBidi" w:hAnsiTheme="majorBidi" w:cstheme="majorBidi"/>
          <w:color w:val="000000" w:themeColor="text1"/>
        </w:rPr>
        <w:t xml:space="preserve">we estimate the following models to examine </w:t>
      </w:r>
      <w:r w:rsidR="00FF50BB">
        <w:rPr>
          <w:rFonts w:asciiTheme="majorBidi" w:hAnsiTheme="majorBidi" w:cstheme="majorBidi"/>
          <w:color w:val="000000" w:themeColor="text1"/>
        </w:rPr>
        <w:t>how symbolic and substantive</w:t>
      </w:r>
      <w:r w:rsidR="004A6E42" w:rsidRPr="005103A1">
        <w:rPr>
          <w:rFonts w:asciiTheme="majorBidi" w:hAnsiTheme="majorBidi" w:cstheme="majorBidi"/>
          <w:color w:val="000000" w:themeColor="text1"/>
        </w:rPr>
        <w:t xml:space="preserve"> </w:t>
      </w:r>
      <w:r w:rsidR="00530392">
        <w:rPr>
          <w:rFonts w:asciiTheme="majorBidi" w:hAnsiTheme="majorBidi" w:cstheme="majorBidi"/>
          <w:color w:val="000000" w:themeColor="text1"/>
        </w:rPr>
        <w:t>carbon performance (</w:t>
      </w:r>
      <w:r w:rsidR="00491CEA" w:rsidRPr="005103A1">
        <w:rPr>
          <w:rFonts w:asciiTheme="majorBidi" w:hAnsiTheme="majorBidi" w:cstheme="majorBidi"/>
          <w:color w:val="000000" w:themeColor="text1"/>
        </w:rPr>
        <w:t>CP</w:t>
      </w:r>
      <w:r w:rsidR="00530392">
        <w:rPr>
          <w:rFonts w:asciiTheme="majorBidi" w:hAnsiTheme="majorBidi" w:cstheme="majorBidi"/>
          <w:color w:val="000000" w:themeColor="text1"/>
        </w:rPr>
        <w:t>)</w:t>
      </w:r>
      <w:r w:rsidR="004A6E42" w:rsidRPr="005103A1">
        <w:rPr>
          <w:rFonts w:asciiTheme="majorBidi" w:hAnsiTheme="majorBidi" w:cstheme="majorBidi"/>
          <w:color w:val="000000" w:themeColor="text1"/>
        </w:rPr>
        <w:t xml:space="preserve"> </w:t>
      </w:r>
      <w:r w:rsidR="00FF50BB">
        <w:rPr>
          <w:rFonts w:asciiTheme="majorBidi" w:hAnsiTheme="majorBidi" w:cstheme="majorBidi"/>
          <w:color w:val="000000" w:themeColor="text1"/>
        </w:rPr>
        <w:t>measure</w:t>
      </w:r>
      <w:r w:rsidR="005F11D7">
        <w:rPr>
          <w:rFonts w:asciiTheme="majorBidi" w:hAnsiTheme="majorBidi" w:cstheme="majorBidi"/>
          <w:color w:val="000000" w:themeColor="text1"/>
        </w:rPr>
        <w:t>s</w:t>
      </w:r>
      <w:r w:rsidR="00FF50BB">
        <w:rPr>
          <w:rFonts w:asciiTheme="majorBidi" w:hAnsiTheme="majorBidi" w:cstheme="majorBidi"/>
          <w:color w:val="000000" w:themeColor="text1"/>
        </w:rPr>
        <w:t xml:space="preserve"> are related to</w:t>
      </w:r>
      <w:r w:rsidR="004A6E42" w:rsidRPr="005103A1">
        <w:rPr>
          <w:rFonts w:asciiTheme="majorBidi" w:hAnsiTheme="majorBidi" w:cstheme="majorBidi"/>
          <w:color w:val="000000" w:themeColor="text1"/>
        </w:rPr>
        <w:t xml:space="preserve"> </w:t>
      </w:r>
      <w:r w:rsidR="00491CEA" w:rsidRPr="005103A1">
        <w:rPr>
          <w:rFonts w:asciiTheme="majorBidi" w:hAnsiTheme="majorBidi" w:cstheme="majorBidi"/>
          <w:color w:val="000000" w:themeColor="text1"/>
        </w:rPr>
        <w:t>MV</w:t>
      </w:r>
      <w:r w:rsidR="00AA0B3D">
        <w:rPr>
          <w:rFonts w:asciiTheme="majorBidi" w:hAnsiTheme="majorBidi" w:cstheme="majorBidi"/>
          <w:color w:val="000000" w:themeColor="text1"/>
        </w:rPr>
        <w:t xml:space="preserve"> (</w:t>
      </w:r>
      <w:r w:rsidR="00AA0B3D" w:rsidRPr="000D07FF">
        <w:rPr>
          <w:rFonts w:asciiTheme="majorBidi" w:hAnsiTheme="majorBidi" w:cstheme="majorBidi"/>
          <w:i/>
          <w:color w:val="000000" w:themeColor="text1"/>
        </w:rPr>
        <w:t>H1a</w:t>
      </w:r>
      <w:r w:rsidR="00AA0B3D">
        <w:rPr>
          <w:rFonts w:asciiTheme="majorBidi" w:hAnsiTheme="majorBidi" w:cstheme="majorBidi"/>
          <w:color w:val="000000" w:themeColor="text1"/>
        </w:rPr>
        <w:t>)</w:t>
      </w:r>
      <w:r w:rsidR="004A6E42" w:rsidRPr="005103A1">
        <w:rPr>
          <w:rFonts w:asciiTheme="majorBidi" w:hAnsiTheme="majorBidi" w:cstheme="majorBidi"/>
          <w:color w:val="000000" w:themeColor="text1"/>
        </w:rPr>
        <w:t xml:space="preserve">, and to test if this relationship is moderated by the level of </w:t>
      </w:r>
      <w:r w:rsidR="00491CEA" w:rsidRPr="005103A1">
        <w:rPr>
          <w:rFonts w:asciiTheme="majorBidi" w:hAnsiTheme="majorBidi" w:cstheme="majorBidi"/>
          <w:color w:val="000000" w:themeColor="text1"/>
        </w:rPr>
        <w:t>EC</w:t>
      </w:r>
      <w:r w:rsidR="00AA0B3D">
        <w:rPr>
          <w:rFonts w:asciiTheme="majorBidi" w:hAnsiTheme="majorBidi" w:cstheme="majorBidi"/>
          <w:color w:val="000000" w:themeColor="text1"/>
        </w:rPr>
        <w:t xml:space="preserve"> (</w:t>
      </w:r>
      <w:r w:rsidR="00AA0B3D" w:rsidRPr="000D07FF">
        <w:rPr>
          <w:rFonts w:asciiTheme="majorBidi" w:hAnsiTheme="majorBidi" w:cstheme="majorBidi"/>
          <w:i/>
          <w:color w:val="000000" w:themeColor="text1"/>
        </w:rPr>
        <w:t>H1b</w:t>
      </w:r>
      <w:r w:rsidR="00AA0B3D">
        <w:rPr>
          <w:rFonts w:asciiTheme="majorBidi" w:hAnsiTheme="majorBidi" w:cstheme="majorBidi"/>
          <w:color w:val="000000" w:themeColor="text1"/>
        </w:rPr>
        <w:t>)</w:t>
      </w:r>
      <w:r w:rsidR="004A6E42" w:rsidRPr="005103A1">
        <w:rPr>
          <w:rFonts w:asciiTheme="majorBidi" w:hAnsiTheme="majorBidi" w:cstheme="majorBidi"/>
          <w:color w:val="000000" w:themeColor="text1"/>
        </w:rPr>
        <w:t>.</w:t>
      </w:r>
      <w:r w:rsidR="00AA7F9C">
        <w:rPr>
          <w:rFonts w:asciiTheme="majorBidi" w:hAnsiTheme="majorBidi" w:cstheme="majorBidi"/>
          <w:color w:val="000000" w:themeColor="text1"/>
        </w:rPr>
        <w:t xml:space="preserve"> As specified in our conceptual framework, Eq.(1) measures direct relationship between CP and MV, and Eq.(2) estimates the moderating effect of EC on </w:t>
      </w:r>
      <w:r w:rsidR="00704455">
        <w:rPr>
          <w:rFonts w:asciiTheme="majorBidi" w:hAnsiTheme="majorBidi" w:cstheme="majorBidi"/>
          <w:color w:val="000000" w:themeColor="text1"/>
        </w:rPr>
        <w:t xml:space="preserve">the </w:t>
      </w:r>
      <w:r w:rsidR="00AA7F9C">
        <w:rPr>
          <w:rFonts w:asciiTheme="majorBidi" w:hAnsiTheme="majorBidi" w:cstheme="majorBidi"/>
          <w:color w:val="000000" w:themeColor="text1"/>
        </w:rPr>
        <w:t>CP</w:t>
      </w:r>
      <w:r w:rsidR="00E35746">
        <w:rPr>
          <w:rFonts w:asciiTheme="majorBidi" w:hAnsiTheme="majorBidi" w:cstheme="majorBidi"/>
          <w:color w:val="000000" w:themeColor="text1"/>
        </w:rPr>
        <w:t>–</w:t>
      </w:r>
      <w:r w:rsidR="00AA7F9C">
        <w:rPr>
          <w:rFonts w:asciiTheme="majorBidi" w:hAnsiTheme="majorBidi" w:cstheme="majorBidi"/>
          <w:color w:val="000000" w:themeColor="text1"/>
        </w:rPr>
        <w:t xml:space="preserve">MV nexus. </w:t>
      </w:r>
    </w:p>
    <w:p w14:paraId="08C7E5A0" w14:textId="739A318A" w:rsidR="005F36DC" w:rsidRPr="005103A1" w:rsidRDefault="00D92746" w:rsidP="00AB0064">
      <w:pPr>
        <w:spacing w:after="0" w:line="480" w:lineRule="auto"/>
        <w:ind w:left="720"/>
        <w:rPr>
          <w:rFonts w:asciiTheme="majorBidi" w:hAnsiTheme="majorBidi" w:cstheme="majorBidi"/>
        </w:rPr>
      </w:pPr>
      <m:oMath>
        <m:sSub>
          <m:sSubPr>
            <m:ctrlPr>
              <w:rPr>
                <w:rFonts w:ascii="Cambria Math" w:hAnsi="Cambria Math" w:cstheme="majorBidi"/>
                <w:bCs/>
                <w:i/>
              </w:rPr>
            </m:ctrlPr>
          </m:sSubPr>
          <m:e>
            <m:r>
              <w:rPr>
                <w:rFonts w:ascii="Cambria Math" w:hAnsi="Cambria Math" w:cstheme="majorBidi"/>
              </w:rPr>
              <m:t>Q</m:t>
            </m:r>
          </m:e>
          <m:sub>
            <m:r>
              <w:rPr>
                <w:rFonts w:ascii="Cambria Math" w:hAnsi="Cambria Math" w:cstheme="majorBidi"/>
              </w:rPr>
              <m:t>it</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0</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1</m:t>
            </m:r>
          </m:sub>
        </m:sSub>
        <m:r>
          <w:rPr>
            <w:rFonts w:ascii="Cambria Math" w:hAnsi="Cambria Math" w:cstheme="majorBidi"/>
          </w:rPr>
          <m:t>*CP+</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2</m:t>
            </m:r>
          </m:sub>
        </m:sSub>
        <m:r>
          <w:rPr>
            <w:rFonts w:ascii="Cambria Math" w:hAnsi="Cambria Math" w:cstheme="majorBidi"/>
          </w:rPr>
          <m:t>*</m:t>
        </m:r>
        <m:r>
          <m:rPr>
            <m:sty m:val="p"/>
          </m:rPr>
          <w:rPr>
            <w:rFonts w:ascii="Cambria Math" w:hAnsi="Cambria Math" w:cstheme="majorBidi"/>
          </w:rPr>
          <m:t>EC</m:t>
        </m:r>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3</m:t>
            </m:r>
          </m:sub>
        </m:sSub>
        <m:r>
          <w:rPr>
            <w:rFonts w:ascii="Cambria Math" w:hAnsi="Cambria Math" w:cstheme="majorBidi"/>
          </w:rPr>
          <m:t>*</m:t>
        </m:r>
        <m:r>
          <m:rPr>
            <m:sty m:val="p"/>
          </m:rPr>
          <w:rPr>
            <w:rFonts w:ascii="Cambria Math" w:hAnsi="Cambria Math" w:cstheme="majorBidi"/>
          </w:rPr>
          <m:t>B.Size</m:t>
        </m:r>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4</m:t>
            </m:r>
          </m:sub>
        </m:sSub>
        <m:r>
          <w:rPr>
            <w:rFonts w:ascii="Cambria Math" w:hAnsi="Cambria Math" w:cstheme="majorBidi"/>
          </w:rPr>
          <m:t>*</m:t>
        </m:r>
        <m:r>
          <m:rPr>
            <m:sty m:val="p"/>
          </m:rPr>
          <w:rPr>
            <w:rFonts w:ascii="Cambria Math" w:hAnsi="Cambria Math" w:cstheme="majorBidi"/>
          </w:rPr>
          <m:t>Separation</m:t>
        </m:r>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5</m:t>
            </m:r>
          </m:sub>
        </m:sSub>
        <m:r>
          <w:rPr>
            <w:rFonts w:ascii="Cambria Math" w:hAnsi="Cambria Math" w:cstheme="majorBidi"/>
          </w:rPr>
          <m:t>*</m:t>
        </m:r>
        <m:r>
          <m:rPr>
            <m:sty m:val="p"/>
          </m:rPr>
          <w:rPr>
            <w:rFonts w:ascii="Cambria Math" w:hAnsi="Cambria Math" w:cstheme="majorBidi"/>
          </w:rPr>
          <m:t>Independence</m:t>
        </m:r>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6</m:t>
            </m:r>
          </m:sub>
        </m:sSub>
        <m:r>
          <w:rPr>
            <w:rFonts w:ascii="Cambria Math" w:hAnsi="Cambria Math" w:cstheme="majorBidi"/>
          </w:rPr>
          <m:t>*</m:t>
        </m:r>
        <m:r>
          <m:rPr>
            <m:sty m:val="p"/>
          </m:rPr>
          <w:rPr>
            <w:rFonts w:ascii="Cambria Math" w:hAnsi="Cambria Math" w:cstheme="majorBidi"/>
          </w:rPr>
          <m:t>Size</m:t>
        </m:r>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7</m:t>
            </m:r>
          </m:sub>
        </m:sSub>
        <m:r>
          <w:rPr>
            <w:rFonts w:ascii="Cambria Math" w:hAnsi="Cambria Math" w:cstheme="majorBidi"/>
          </w:rPr>
          <m:t>*</m:t>
        </m:r>
        <m:r>
          <m:rPr>
            <m:sty m:val="p"/>
          </m:rPr>
          <w:rPr>
            <w:rFonts w:ascii="Cambria Math" w:hAnsi="Cambria Math" w:cstheme="majorBidi"/>
          </w:rPr>
          <m:t>Profitability</m:t>
        </m:r>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8</m:t>
            </m:r>
          </m:sub>
        </m:sSub>
        <m:r>
          <w:rPr>
            <w:rFonts w:ascii="Cambria Math" w:hAnsi="Cambria Math" w:cstheme="majorBidi"/>
          </w:rPr>
          <m:t>*</m:t>
        </m:r>
        <m:r>
          <m:rPr>
            <m:sty m:val="p"/>
          </m:rPr>
          <w:rPr>
            <w:rFonts w:ascii="Cambria Math" w:hAnsi="Cambria Math" w:cstheme="majorBidi"/>
          </w:rPr>
          <m:t>Debt</m:t>
        </m:r>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9</m:t>
            </m:r>
          </m:sub>
        </m:sSub>
        <m:r>
          <w:rPr>
            <w:rFonts w:ascii="Cambria Math" w:hAnsi="Cambria Math" w:cstheme="majorBidi"/>
          </w:rPr>
          <m:t>*</m:t>
        </m:r>
        <m:r>
          <m:rPr>
            <m:sty m:val="p"/>
          </m:rPr>
          <w:rPr>
            <w:rFonts w:ascii="Cambria Math" w:hAnsi="Cambria Math" w:cstheme="majorBidi"/>
          </w:rPr>
          <m:t>Cash</m:t>
        </m:r>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10</m:t>
            </m:r>
          </m:sub>
        </m:sSub>
        <m:r>
          <w:rPr>
            <w:rFonts w:ascii="Cambria Math" w:hAnsi="Cambria Math" w:cstheme="majorBidi"/>
          </w:rPr>
          <m:t>*</m:t>
        </m:r>
        <m:r>
          <m:rPr>
            <m:sty m:val="p"/>
          </m:rPr>
          <w:rPr>
            <w:rFonts w:ascii="Cambria Math" w:hAnsi="Cambria Math" w:cstheme="majorBidi"/>
          </w:rPr>
          <m:t>Cap_Intensity</m:t>
        </m:r>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11</m:t>
            </m:r>
          </m:sub>
        </m:sSub>
        <m:r>
          <w:rPr>
            <w:rFonts w:ascii="Cambria Math" w:hAnsi="Cambria Math" w:cstheme="majorBidi"/>
          </w:rPr>
          <m:t>*</m:t>
        </m:r>
        <m:r>
          <m:rPr>
            <m:sty m:val="p"/>
          </m:rPr>
          <w:rPr>
            <w:rFonts w:ascii="Cambria Math" w:hAnsi="Cambria Math" w:cstheme="majorBidi"/>
          </w:rPr>
          <m:t>Capex</m:t>
        </m:r>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12</m:t>
            </m:r>
          </m:sub>
        </m:sSub>
        <m:r>
          <w:rPr>
            <w:rFonts w:ascii="Cambria Math" w:hAnsi="Cambria Math" w:cstheme="majorBidi"/>
          </w:rPr>
          <m:t>*</m:t>
        </m:r>
        <m:r>
          <m:rPr>
            <m:sty m:val="p"/>
          </m:rPr>
          <w:rPr>
            <w:rFonts w:ascii="Cambria Math" w:hAnsi="Cambria Math" w:cstheme="majorBidi"/>
          </w:rPr>
          <m:t xml:space="preserve">Mkt2Bk                    </m:t>
        </m:r>
        <m:r>
          <w:rPr>
            <w:rFonts w:ascii="Cambria Math" w:hAnsi="Cambria Math" w:cstheme="majorBidi"/>
          </w:rPr>
          <m:t>(1)</m:t>
        </m:r>
      </m:oMath>
      <w:r w:rsidR="001B5463" w:rsidRPr="005103A1">
        <w:rPr>
          <w:rFonts w:asciiTheme="majorBidi" w:hAnsiTheme="majorBidi" w:cstheme="majorBidi"/>
        </w:rPr>
        <w:t xml:space="preserve"> </w:t>
      </w:r>
    </w:p>
    <w:p w14:paraId="2AFBD627" w14:textId="77777777" w:rsidR="00AB0064" w:rsidRPr="005103A1" w:rsidRDefault="00AB0064" w:rsidP="0067740C">
      <w:pPr>
        <w:spacing w:after="0" w:line="240" w:lineRule="auto"/>
        <w:ind w:left="720"/>
        <w:rPr>
          <w:rFonts w:asciiTheme="majorBidi" w:hAnsiTheme="majorBidi" w:cstheme="majorBidi"/>
        </w:rPr>
      </w:pPr>
    </w:p>
    <w:p w14:paraId="74EA07D3" w14:textId="38AF511B" w:rsidR="00B10B5F" w:rsidRPr="005103A1" w:rsidRDefault="00D92746" w:rsidP="00475017">
      <w:pPr>
        <w:spacing w:after="0" w:line="480" w:lineRule="auto"/>
        <w:ind w:left="720"/>
        <w:rPr>
          <w:rFonts w:asciiTheme="majorBidi" w:hAnsiTheme="majorBidi" w:cstheme="majorBidi"/>
        </w:rPr>
      </w:pPr>
      <m:oMath>
        <m:sSub>
          <m:sSubPr>
            <m:ctrlPr>
              <w:rPr>
                <w:rFonts w:ascii="Cambria Math" w:hAnsi="Cambria Math" w:cstheme="majorBidi"/>
                <w:bCs/>
                <w:i/>
              </w:rPr>
            </m:ctrlPr>
          </m:sSubPr>
          <m:e>
            <m:r>
              <w:rPr>
                <w:rFonts w:ascii="Cambria Math" w:hAnsi="Cambria Math" w:cstheme="majorBidi"/>
              </w:rPr>
              <m:t>Q</m:t>
            </m:r>
          </m:e>
          <m:sub>
            <m:r>
              <w:rPr>
                <w:rFonts w:ascii="Cambria Math" w:hAnsi="Cambria Math" w:cstheme="majorBidi"/>
              </w:rPr>
              <m:t>it</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0</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1</m:t>
            </m:r>
          </m:sub>
        </m:sSub>
        <m:r>
          <w:rPr>
            <w:rFonts w:ascii="Cambria Math" w:hAnsi="Cambria Math" w:cstheme="majorBidi"/>
          </w:rPr>
          <m:t>*(CP*EC)+</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2</m:t>
            </m:r>
          </m:sub>
        </m:sSub>
        <m:r>
          <w:rPr>
            <w:rFonts w:ascii="Cambria Math" w:hAnsi="Cambria Math" w:cstheme="majorBidi"/>
          </w:rPr>
          <m:t>*B.Size+</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3</m:t>
            </m:r>
          </m:sub>
        </m:sSub>
        <m:r>
          <w:rPr>
            <w:rFonts w:ascii="Cambria Math" w:hAnsi="Cambria Math" w:cstheme="majorBidi"/>
          </w:rPr>
          <m:t>*Separation+</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4</m:t>
            </m:r>
          </m:sub>
        </m:sSub>
        <m:r>
          <w:rPr>
            <w:rFonts w:ascii="Cambria Math" w:hAnsi="Cambria Math" w:cstheme="majorBidi"/>
          </w:rPr>
          <m:t>*Independence+</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5</m:t>
            </m:r>
          </m:sub>
        </m:sSub>
        <m:r>
          <w:rPr>
            <w:rFonts w:ascii="Cambria Math" w:hAnsi="Cambria Math" w:cstheme="majorBidi"/>
          </w:rPr>
          <m:t>*Size+</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6</m:t>
            </m:r>
          </m:sub>
        </m:sSub>
        <m:r>
          <w:rPr>
            <w:rFonts w:ascii="Cambria Math" w:hAnsi="Cambria Math" w:cstheme="majorBidi"/>
          </w:rPr>
          <m:t>*Profitability+</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7</m:t>
            </m:r>
          </m:sub>
        </m:sSub>
        <m:r>
          <w:rPr>
            <w:rFonts w:ascii="Cambria Math" w:hAnsi="Cambria Math" w:cstheme="majorBidi"/>
          </w:rPr>
          <m:t>*Debt+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8</m:t>
            </m:r>
          </m:sub>
        </m:sSub>
        <m:r>
          <w:rPr>
            <w:rFonts w:ascii="Cambria Math" w:hAnsi="Cambria Math" w:cstheme="majorBidi"/>
          </w:rPr>
          <m:t>*Cash+</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9</m:t>
            </m:r>
          </m:sub>
        </m:sSub>
        <m:r>
          <w:rPr>
            <w:rFonts w:ascii="Cambria Math" w:hAnsi="Cambria Math" w:cstheme="majorBidi"/>
          </w:rPr>
          <m:t>*Cap_Intensity+</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10</m:t>
            </m:r>
          </m:sub>
        </m:sSub>
        <m:r>
          <w:rPr>
            <w:rFonts w:ascii="Cambria Math" w:hAnsi="Cambria Math" w:cstheme="majorBidi"/>
          </w:rPr>
          <m:t>*Capex+</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11</m:t>
            </m:r>
          </m:sub>
        </m:sSub>
        <m:r>
          <w:rPr>
            <w:rFonts w:ascii="Cambria Math" w:hAnsi="Cambria Math" w:cstheme="majorBidi"/>
          </w:rPr>
          <m:t xml:space="preserve">*Mkt2Bk </m:t>
        </m:r>
        <m:r>
          <m:rPr>
            <m:sty m:val="p"/>
          </m:rPr>
          <w:rPr>
            <w:rFonts w:ascii="Cambria Math" w:hAnsi="Cambria Math" w:cstheme="majorBidi"/>
          </w:rPr>
          <m:t xml:space="preserve">       </m:t>
        </m:r>
        <m:r>
          <w:rPr>
            <w:rFonts w:ascii="Cambria Math" w:hAnsi="Cambria Math" w:cstheme="majorBidi"/>
          </w:rPr>
          <m:t>(2)</m:t>
        </m:r>
      </m:oMath>
      <w:r w:rsidR="00B10B5F" w:rsidRPr="005103A1">
        <w:rPr>
          <w:rFonts w:asciiTheme="majorBidi" w:hAnsiTheme="majorBidi" w:cstheme="majorBidi"/>
        </w:rPr>
        <w:t xml:space="preserve"> </w:t>
      </w:r>
    </w:p>
    <w:p w14:paraId="1497E3CB" w14:textId="77777777" w:rsidR="00475017" w:rsidRPr="005103A1" w:rsidRDefault="00475017" w:rsidP="002D762D">
      <w:pPr>
        <w:spacing w:after="0" w:line="240" w:lineRule="auto"/>
        <w:ind w:firstLine="720"/>
        <w:jc w:val="both"/>
        <w:rPr>
          <w:rFonts w:asciiTheme="majorBidi" w:hAnsiTheme="majorBidi" w:cstheme="majorBidi"/>
          <w:color w:val="000000" w:themeColor="text1"/>
        </w:rPr>
      </w:pPr>
    </w:p>
    <w:p w14:paraId="1FC47082" w14:textId="37CB64A2" w:rsidR="00516CB4" w:rsidRPr="005103A1" w:rsidRDefault="006673FA" w:rsidP="00D063F3">
      <w:pPr>
        <w:spacing w:after="0" w:line="480" w:lineRule="auto"/>
        <w:ind w:firstLine="720"/>
        <w:jc w:val="both"/>
        <w:rPr>
          <w:rFonts w:asciiTheme="majorBidi" w:hAnsiTheme="majorBidi" w:cstheme="majorBidi"/>
          <w:color w:val="000000" w:themeColor="text1"/>
        </w:rPr>
      </w:pPr>
      <w:r w:rsidRPr="005103A1">
        <w:rPr>
          <w:rFonts w:asciiTheme="majorBidi" w:hAnsiTheme="majorBidi" w:cstheme="majorBidi"/>
          <w:color w:val="000000" w:themeColor="text1"/>
        </w:rPr>
        <w:t>In these</w:t>
      </w:r>
      <w:r w:rsidR="00051887" w:rsidRPr="005103A1">
        <w:rPr>
          <w:rFonts w:asciiTheme="majorBidi" w:hAnsiTheme="majorBidi" w:cstheme="majorBidi"/>
          <w:color w:val="000000" w:themeColor="text1"/>
        </w:rPr>
        <w:t xml:space="preserve"> model</w:t>
      </w:r>
      <w:r w:rsidRPr="005103A1">
        <w:rPr>
          <w:rFonts w:asciiTheme="majorBidi" w:hAnsiTheme="majorBidi" w:cstheme="majorBidi"/>
          <w:color w:val="000000" w:themeColor="text1"/>
        </w:rPr>
        <w:t>s</w:t>
      </w:r>
      <w:r w:rsidR="004C3EDC">
        <w:rPr>
          <w:rFonts w:asciiTheme="majorBidi" w:hAnsiTheme="majorBidi" w:cstheme="majorBidi"/>
          <w:color w:val="000000" w:themeColor="text1"/>
        </w:rPr>
        <w:t>, MV</w:t>
      </w:r>
      <w:r w:rsidR="009762AB" w:rsidRPr="005103A1">
        <w:rPr>
          <w:rFonts w:asciiTheme="majorBidi" w:hAnsiTheme="majorBidi" w:cstheme="majorBidi"/>
          <w:color w:val="000000" w:themeColor="text1"/>
        </w:rPr>
        <w:t xml:space="preserve"> </w:t>
      </w:r>
      <w:r w:rsidR="002B1CFD" w:rsidRPr="005103A1">
        <w:rPr>
          <w:rFonts w:asciiTheme="majorBidi" w:hAnsiTheme="majorBidi" w:cstheme="majorBidi"/>
          <w:color w:val="000000" w:themeColor="text1"/>
        </w:rPr>
        <w:t>(</w:t>
      </w:r>
      <w:r w:rsidR="009762AB" w:rsidRPr="005103A1">
        <w:rPr>
          <w:rFonts w:asciiTheme="majorBidi" w:hAnsiTheme="majorBidi" w:cstheme="majorBidi"/>
          <w:i/>
          <w:iCs/>
          <w:color w:val="000000" w:themeColor="text1"/>
        </w:rPr>
        <w:t>Q</w:t>
      </w:r>
      <w:r w:rsidR="002B1CFD" w:rsidRPr="005103A1">
        <w:rPr>
          <w:rFonts w:asciiTheme="majorBidi" w:hAnsiTheme="majorBidi" w:cstheme="majorBidi"/>
          <w:color w:val="000000" w:themeColor="text1"/>
        </w:rPr>
        <w:t xml:space="preserve">) of firm </w:t>
      </w:r>
      <w:r w:rsidR="00051887" w:rsidRPr="005103A1">
        <w:rPr>
          <w:rFonts w:asciiTheme="majorBidi" w:hAnsiTheme="majorBidi" w:cstheme="majorBidi"/>
          <w:i/>
          <w:iCs/>
          <w:color w:val="000000" w:themeColor="text1"/>
        </w:rPr>
        <w:t>i</w:t>
      </w:r>
      <w:r w:rsidR="00051887" w:rsidRPr="005103A1">
        <w:rPr>
          <w:rFonts w:asciiTheme="majorBidi" w:hAnsiTheme="majorBidi" w:cstheme="majorBidi"/>
          <w:color w:val="000000" w:themeColor="text1"/>
        </w:rPr>
        <w:t xml:space="preserve"> in the year </w:t>
      </w:r>
      <w:r w:rsidR="00051887" w:rsidRPr="005103A1">
        <w:rPr>
          <w:rFonts w:asciiTheme="majorBidi" w:hAnsiTheme="majorBidi" w:cstheme="majorBidi"/>
          <w:i/>
          <w:iCs/>
          <w:color w:val="000000" w:themeColor="text1"/>
        </w:rPr>
        <w:t>t</w:t>
      </w:r>
      <w:r w:rsidR="00051887" w:rsidRPr="005103A1">
        <w:rPr>
          <w:rFonts w:asciiTheme="majorBidi" w:hAnsiTheme="majorBidi" w:cstheme="majorBidi"/>
          <w:color w:val="000000" w:themeColor="text1"/>
        </w:rPr>
        <w:t xml:space="preserve"> is a function of </w:t>
      </w:r>
      <w:r w:rsidR="002B1CFD" w:rsidRPr="005103A1">
        <w:rPr>
          <w:rFonts w:asciiTheme="majorBidi" w:hAnsiTheme="majorBidi" w:cstheme="majorBidi"/>
          <w:color w:val="000000" w:themeColor="text1"/>
        </w:rPr>
        <w:t>carbon performance (CP)</w:t>
      </w:r>
      <w:r w:rsidR="00051887" w:rsidRPr="005103A1">
        <w:rPr>
          <w:rFonts w:asciiTheme="majorBidi" w:hAnsiTheme="majorBidi" w:cstheme="majorBidi"/>
          <w:color w:val="000000" w:themeColor="text1"/>
        </w:rPr>
        <w:t xml:space="preserve">, </w:t>
      </w:r>
      <w:r w:rsidR="002B1CFD" w:rsidRPr="005103A1">
        <w:rPr>
          <w:rFonts w:asciiTheme="majorBidi" w:hAnsiTheme="majorBidi" w:cstheme="majorBidi"/>
          <w:color w:val="000000" w:themeColor="text1"/>
        </w:rPr>
        <w:t>level of executive compensation (</w:t>
      </w:r>
      <w:r w:rsidR="002B1CFD" w:rsidRPr="005103A1">
        <w:rPr>
          <w:rFonts w:asciiTheme="majorBidi" w:hAnsiTheme="majorBidi" w:cstheme="majorBidi"/>
          <w:i/>
          <w:iCs/>
          <w:color w:val="000000" w:themeColor="text1"/>
        </w:rPr>
        <w:t>EC</w:t>
      </w:r>
      <w:r w:rsidR="002B1CFD" w:rsidRPr="005103A1">
        <w:rPr>
          <w:rFonts w:asciiTheme="majorBidi" w:hAnsiTheme="majorBidi" w:cstheme="majorBidi"/>
          <w:color w:val="000000" w:themeColor="text1"/>
        </w:rPr>
        <w:t>)</w:t>
      </w:r>
      <w:r w:rsidR="00573318" w:rsidRPr="005103A1">
        <w:rPr>
          <w:rFonts w:asciiTheme="majorBidi" w:hAnsiTheme="majorBidi" w:cstheme="majorBidi"/>
          <w:color w:val="000000" w:themeColor="text1"/>
        </w:rPr>
        <w:t>, firm</w:t>
      </w:r>
      <w:r w:rsidR="00051887" w:rsidRPr="005103A1">
        <w:rPr>
          <w:rFonts w:asciiTheme="majorBidi" w:hAnsiTheme="majorBidi" w:cstheme="majorBidi"/>
          <w:color w:val="000000" w:themeColor="text1"/>
        </w:rPr>
        <w:t xml:space="preserve">-specific </w:t>
      </w:r>
      <w:r w:rsidR="00491CEA" w:rsidRPr="005103A1">
        <w:rPr>
          <w:rFonts w:asciiTheme="majorBidi" w:hAnsiTheme="majorBidi" w:cstheme="majorBidi"/>
          <w:color w:val="000000" w:themeColor="text1"/>
        </w:rPr>
        <w:t>CG</w:t>
      </w:r>
      <w:r w:rsidR="00FA498D" w:rsidRPr="005103A1">
        <w:rPr>
          <w:rFonts w:asciiTheme="majorBidi" w:hAnsiTheme="majorBidi" w:cstheme="majorBidi"/>
          <w:color w:val="000000" w:themeColor="text1"/>
        </w:rPr>
        <w:t xml:space="preserve"> and other firm characteristics as </w:t>
      </w:r>
      <w:r w:rsidR="00051887" w:rsidRPr="005103A1">
        <w:rPr>
          <w:rFonts w:asciiTheme="majorBidi" w:hAnsiTheme="majorBidi" w:cstheme="majorBidi"/>
          <w:color w:val="000000" w:themeColor="text1"/>
        </w:rPr>
        <w:t xml:space="preserve">control variables, and the error term </w:t>
      </w:r>
      <w:r w:rsidR="00ED56A4" w:rsidRPr="005103A1">
        <w:rPr>
          <w:rFonts w:asciiTheme="majorBidi" w:hAnsiTheme="majorBidi" w:cstheme="majorBidi"/>
          <w:i/>
          <w:iCs/>
          <w:color w:val="000000" w:themeColor="text1"/>
        </w:rPr>
        <w:t>ε</w:t>
      </w:r>
      <w:r w:rsidR="00051887" w:rsidRPr="005103A1">
        <w:rPr>
          <w:rFonts w:asciiTheme="majorBidi" w:hAnsiTheme="majorBidi" w:cstheme="majorBidi"/>
          <w:color w:val="000000" w:themeColor="text1"/>
        </w:rPr>
        <w:t xml:space="preserve">. </w:t>
      </w:r>
    </w:p>
    <w:p w14:paraId="3E9D288B" w14:textId="4DABC676" w:rsidR="00475017" w:rsidRPr="005103A1" w:rsidRDefault="00956CA6" w:rsidP="000D07FF">
      <w:pPr>
        <w:spacing w:after="0" w:line="480" w:lineRule="auto"/>
        <w:ind w:firstLine="720"/>
        <w:jc w:val="both"/>
        <w:rPr>
          <w:rFonts w:asciiTheme="majorBidi" w:hAnsiTheme="majorBidi" w:cstheme="majorBidi"/>
          <w:color w:val="000000" w:themeColor="text1"/>
        </w:rPr>
      </w:pPr>
      <w:r w:rsidRPr="005103A1">
        <w:rPr>
          <w:rFonts w:asciiTheme="majorBidi" w:hAnsiTheme="majorBidi" w:cstheme="majorBidi"/>
          <w:color w:val="000000" w:themeColor="text1"/>
        </w:rPr>
        <w:t>We estimate the following models</w:t>
      </w:r>
      <w:r w:rsidR="006E4719" w:rsidRPr="005103A1">
        <w:rPr>
          <w:rFonts w:asciiTheme="majorBidi" w:hAnsiTheme="majorBidi" w:cstheme="majorBidi"/>
          <w:color w:val="000000" w:themeColor="text1"/>
        </w:rPr>
        <w:t xml:space="preserve"> to measure the relationship between</w:t>
      </w:r>
      <w:r w:rsidR="00C83E76" w:rsidRPr="005103A1">
        <w:rPr>
          <w:rFonts w:asciiTheme="majorBidi" w:hAnsiTheme="majorBidi" w:cstheme="majorBidi"/>
          <w:color w:val="000000" w:themeColor="text1"/>
        </w:rPr>
        <w:t xml:space="preserve"> the</w:t>
      </w:r>
      <w:r w:rsidR="00CE789D" w:rsidRPr="005103A1">
        <w:rPr>
          <w:rFonts w:asciiTheme="majorBidi" w:hAnsiTheme="majorBidi" w:cstheme="majorBidi"/>
          <w:color w:val="000000" w:themeColor="text1"/>
        </w:rPr>
        <w:t xml:space="preserve"> level </w:t>
      </w:r>
      <w:r w:rsidR="006E4719" w:rsidRPr="005103A1">
        <w:rPr>
          <w:rFonts w:asciiTheme="majorBidi" w:hAnsiTheme="majorBidi" w:cstheme="majorBidi"/>
          <w:color w:val="000000" w:themeColor="text1"/>
        </w:rPr>
        <w:t>executive compensation (</w:t>
      </w:r>
      <w:r w:rsidR="006E4719" w:rsidRPr="005103A1">
        <w:rPr>
          <w:rFonts w:asciiTheme="majorBidi" w:hAnsiTheme="majorBidi" w:cstheme="majorBidi"/>
          <w:i/>
          <w:iCs/>
          <w:color w:val="000000" w:themeColor="text1"/>
        </w:rPr>
        <w:t>EC</w:t>
      </w:r>
      <w:r w:rsidR="006E4719" w:rsidRPr="005103A1">
        <w:rPr>
          <w:rFonts w:asciiTheme="majorBidi" w:hAnsiTheme="majorBidi" w:cstheme="majorBidi"/>
          <w:color w:val="000000" w:themeColor="text1"/>
        </w:rPr>
        <w:t xml:space="preserve">) and </w:t>
      </w:r>
      <w:r w:rsidR="00530392">
        <w:rPr>
          <w:rFonts w:asciiTheme="majorBidi" w:hAnsiTheme="majorBidi" w:cstheme="majorBidi"/>
          <w:color w:val="000000" w:themeColor="text1"/>
        </w:rPr>
        <w:t xml:space="preserve">two </w:t>
      </w:r>
      <w:r w:rsidR="006E4719" w:rsidRPr="005103A1">
        <w:rPr>
          <w:rFonts w:asciiTheme="majorBidi" w:hAnsiTheme="majorBidi" w:cstheme="majorBidi"/>
          <w:color w:val="000000" w:themeColor="text1"/>
        </w:rPr>
        <w:t>carbon performance (</w:t>
      </w:r>
      <w:r w:rsidR="006E4719" w:rsidRPr="005103A1">
        <w:rPr>
          <w:rFonts w:asciiTheme="majorBidi" w:hAnsiTheme="majorBidi" w:cstheme="majorBidi"/>
          <w:i/>
          <w:iCs/>
          <w:color w:val="000000" w:themeColor="text1"/>
        </w:rPr>
        <w:t>CP</w:t>
      </w:r>
      <w:r w:rsidR="006E4719" w:rsidRPr="005103A1">
        <w:rPr>
          <w:rFonts w:asciiTheme="majorBidi" w:hAnsiTheme="majorBidi" w:cstheme="majorBidi"/>
          <w:color w:val="000000" w:themeColor="text1"/>
        </w:rPr>
        <w:t>)</w:t>
      </w:r>
      <w:r w:rsidR="0013333F">
        <w:rPr>
          <w:rFonts w:asciiTheme="majorBidi" w:hAnsiTheme="majorBidi" w:cstheme="majorBidi"/>
          <w:color w:val="000000" w:themeColor="text1"/>
        </w:rPr>
        <w:t xml:space="preserve"> </w:t>
      </w:r>
      <w:r w:rsidR="00530392">
        <w:rPr>
          <w:rFonts w:asciiTheme="majorBidi" w:hAnsiTheme="majorBidi" w:cstheme="majorBidi"/>
          <w:color w:val="000000" w:themeColor="text1"/>
        </w:rPr>
        <w:t>measures</w:t>
      </w:r>
      <w:r w:rsidR="00005C01">
        <w:rPr>
          <w:rFonts w:asciiTheme="majorBidi" w:hAnsiTheme="majorBidi" w:cstheme="majorBidi"/>
          <w:color w:val="000000" w:themeColor="text1"/>
        </w:rPr>
        <w:t>,</w:t>
      </w:r>
      <w:r w:rsidR="00530392">
        <w:rPr>
          <w:rFonts w:asciiTheme="majorBidi" w:hAnsiTheme="majorBidi" w:cstheme="majorBidi"/>
          <w:color w:val="000000" w:themeColor="text1"/>
        </w:rPr>
        <w:t xml:space="preserve"> such as PCRI and GHG </w:t>
      </w:r>
      <w:r w:rsidR="0013333F">
        <w:rPr>
          <w:rFonts w:asciiTheme="majorBidi" w:hAnsiTheme="majorBidi" w:cstheme="majorBidi"/>
          <w:color w:val="000000" w:themeColor="text1"/>
        </w:rPr>
        <w:t>(</w:t>
      </w:r>
      <w:r w:rsidR="0013333F" w:rsidRPr="000D07FF">
        <w:rPr>
          <w:rFonts w:asciiTheme="majorBidi" w:hAnsiTheme="majorBidi" w:cstheme="majorBidi"/>
          <w:i/>
          <w:color w:val="000000" w:themeColor="text1"/>
        </w:rPr>
        <w:t>H2b</w:t>
      </w:r>
      <w:r w:rsidR="0013333F">
        <w:rPr>
          <w:rFonts w:asciiTheme="majorBidi" w:hAnsiTheme="majorBidi" w:cstheme="majorBidi"/>
          <w:color w:val="000000" w:themeColor="text1"/>
        </w:rPr>
        <w:t>)</w:t>
      </w:r>
      <w:r w:rsidR="00E66BDB" w:rsidRPr="005103A1">
        <w:rPr>
          <w:rFonts w:asciiTheme="majorBidi" w:hAnsiTheme="majorBidi" w:cstheme="majorBidi"/>
          <w:color w:val="000000" w:themeColor="text1"/>
        </w:rPr>
        <w:t>, and to test if this relationship is moderated by the ESG-based compensation policy of a firm</w:t>
      </w:r>
      <w:r w:rsidR="0013333F">
        <w:rPr>
          <w:rFonts w:asciiTheme="majorBidi" w:hAnsiTheme="majorBidi" w:cstheme="majorBidi"/>
          <w:color w:val="000000" w:themeColor="text1"/>
        </w:rPr>
        <w:t xml:space="preserve"> (</w:t>
      </w:r>
      <w:r w:rsidR="0013333F" w:rsidRPr="000D07FF">
        <w:rPr>
          <w:rFonts w:asciiTheme="majorBidi" w:hAnsiTheme="majorBidi" w:cstheme="majorBidi"/>
          <w:i/>
          <w:color w:val="000000" w:themeColor="text1"/>
        </w:rPr>
        <w:t>H2b</w:t>
      </w:r>
      <w:r w:rsidR="0013333F">
        <w:rPr>
          <w:rFonts w:asciiTheme="majorBidi" w:hAnsiTheme="majorBidi" w:cstheme="majorBidi"/>
          <w:color w:val="000000" w:themeColor="text1"/>
        </w:rPr>
        <w:t>)</w:t>
      </w:r>
      <w:r w:rsidR="00AA7F9C">
        <w:rPr>
          <w:rFonts w:asciiTheme="majorBidi" w:hAnsiTheme="majorBidi" w:cstheme="majorBidi"/>
          <w:color w:val="000000" w:themeColor="text1"/>
        </w:rPr>
        <w:t>. In</w:t>
      </w:r>
      <w:r w:rsidR="00005C01">
        <w:rPr>
          <w:rFonts w:asciiTheme="majorBidi" w:hAnsiTheme="majorBidi" w:cstheme="majorBidi"/>
          <w:color w:val="000000" w:themeColor="text1"/>
        </w:rPr>
        <w:t xml:space="preserve"> line</w:t>
      </w:r>
      <w:r w:rsidR="00AA7F9C">
        <w:rPr>
          <w:rFonts w:asciiTheme="majorBidi" w:hAnsiTheme="majorBidi" w:cstheme="majorBidi"/>
          <w:color w:val="000000" w:themeColor="text1"/>
        </w:rPr>
        <w:t xml:space="preserve"> with our conceptual framework, Eq.(3) measures direct relationship between EC and CP, and Eq.(4) estimates the moderating effect of ESG on EC-CP nexus.</w:t>
      </w:r>
    </w:p>
    <w:p w14:paraId="4F1B8EB8" w14:textId="52247F98" w:rsidR="00AB0064" w:rsidRPr="005103A1" w:rsidRDefault="00D92746" w:rsidP="00BE6C23">
      <w:pPr>
        <w:spacing w:after="0" w:line="480" w:lineRule="auto"/>
        <w:ind w:left="720"/>
        <w:rPr>
          <w:rFonts w:asciiTheme="majorBidi" w:hAnsiTheme="majorBidi" w:cstheme="majorBidi"/>
        </w:rPr>
      </w:pPr>
      <m:oMath>
        <m:sSub>
          <m:sSubPr>
            <m:ctrlPr>
              <w:rPr>
                <w:rFonts w:ascii="Cambria Math" w:hAnsi="Cambria Math" w:cstheme="majorBidi"/>
                <w:bCs/>
                <w:i/>
              </w:rPr>
            </m:ctrlPr>
          </m:sSubPr>
          <m:e>
            <m:r>
              <w:rPr>
                <w:rFonts w:ascii="Cambria Math" w:hAnsi="Cambria Math" w:cstheme="majorBidi"/>
              </w:rPr>
              <m:t>CP</m:t>
            </m:r>
          </m:e>
          <m:sub>
            <m:r>
              <w:rPr>
                <w:rFonts w:ascii="Cambria Math" w:hAnsi="Cambria Math" w:cstheme="majorBidi"/>
              </w:rPr>
              <m:t>it</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0</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1</m:t>
            </m:r>
          </m:sub>
        </m:sSub>
        <m:r>
          <w:rPr>
            <w:rFonts w:ascii="Cambria Math" w:hAnsi="Cambria Math" w:cstheme="majorBidi"/>
          </w:rPr>
          <m:t>*EC+</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2</m:t>
            </m:r>
          </m:sub>
        </m:sSub>
        <m:r>
          <w:rPr>
            <w:rFonts w:ascii="Cambria Math" w:hAnsi="Cambria Math" w:cstheme="majorBidi"/>
          </w:rPr>
          <m:t>*</m:t>
        </m:r>
        <m:r>
          <m:rPr>
            <m:sty m:val="p"/>
          </m:rPr>
          <w:rPr>
            <w:rFonts w:ascii="Cambria Math" w:hAnsi="Cambria Math" w:cstheme="majorBidi"/>
          </w:rPr>
          <m:t>ESG</m:t>
        </m:r>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3</m:t>
            </m:r>
          </m:sub>
        </m:sSub>
        <m:r>
          <w:rPr>
            <w:rFonts w:ascii="Cambria Math" w:hAnsi="Cambria Math" w:cstheme="majorBidi"/>
          </w:rPr>
          <m:t>*</m:t>
        </m:r>
        <m:r>
          <m:rPr>
            <m:sty m:val="p"/>
          </m:rPr>
          <w:rPr>
            <w:rFonts w:ascii="Cambria Math" w:hAnsi="Cambria Math" w:cstheme="majorBidi"/>
          </w:rPr>
          <m:t>B.Size</m:t>
        </m:r>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4</m:t>
            </m:r>
          </m:sub>
        </m:sSub>
        <m:r>
          <w:rPr>
            <w:rFonts w:ascii="Cambria Math" w:hAnsi="Cambria Math" w:cstheme="majorBidi"/>
          </w:rPr>
          <m:t>*</m:t>
        </m:r>
        <m:r>
          <m:rPr>
            <m:sty m:val="p"/>
          </m:rPr>
          <w:rPr>
            <w:rFonts w:ascii="Cambria Math" w:hAnsi="Cambria Math" w:cstheme="majorBidi"/>
          </w:rPr>
          <m:t>Separation</m:t>
        </m:r>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5</m:t>
            </m:r>
          </m:sub>
        </m:sSub>
        <m:r>
          <w:rPr>
            <w:rFonts w:ascii="Cambria Math" w:hAnsi="Cambria Math" w:cstheme="majorBidi"/>
          </w:rPr>
          <m:t>*</m:t>
        </m:r>
        <m:r>
          <m:rPr>
            <m:sty m:val="p"/>
          </m:rPr>
          <w:rPr>
            <w:rFonts w:ascii="Cambria Math" w:hAnsi="Cambria Math" w:cstheme="majorBidi"/>
          </w:rPr>
          <m:t>Independence</m:t>
        </m:r>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6</m:t>
            </m:r>
          </m:sub>
        </m:sSub>
        <m:r>
          <w:rPr>
            <w:rFonts w:ascii="Cambria Math" w:hAnsi="Cambria Math" w:cstheme="majorBidi"/>
          </w:rPr>
          <m:t>*CSR+</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7</m:t>
            </m:r>
          </m:sub>
        </m:sSub>
        <m:r>
          <w:rPr>
            <w:rFonts w:ascii="Cambria Math" w:hAnsi="Cambria Math" w:cstheme="majorBidi"/>
          </w:rPr>
          <m:t>*</m:t>
        </m:r>
        <m:r>
          <m:rPr>
            <m:sty m:val="p"/>
          </m:rPr>
          <w:rPr>
            <w:rFonts w:ascii="Cambria Math" w:hAnsi="Cambria Math" w:cstheme="majorBidi"/>
          </w:rPr>
          <m:t>Size</m:t>
        </m:r>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8</m:t>
            </m:r>
          </m:sub>
        </m:sSub>
        <m:r>
          <w:rPr>
            <w:rFonts w:ascii="Cambria Math" w:hAnsi="Cambria Math" w:cstheme="majorBidi"/>
          </w:rPr>
          <m:t>*</m:t>
        </m:r>
        <m:r>
          <m:rPr>
            <m:sty m:val="p"/>
          </m:rPr>
          <w:rPr>
            <w:rFonts w:ascii="Cambria Math" w:hAnsi="Cambria Math" w:cstheme="majorBidi"/>
          </w:rPr>
          <m:t>Profitability</m:t>
        </m:r>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9</m:t>
            </m:r>
          </m:sub>
        </m:sSub>
        <m:r>
          <w:rPr>
            <w:rFonts w:ascii="Cambria Math" w:hAnsi="Cambria Math" w:cstheme="majorBidi"/>
          </w:rPr>
          <m:t>*</m:t>
        </m:r>
        <m:r>
          <m:rPr>
            <m:sty m:val="p"/>
          </m:rPr>
          <w:rPr>
            <w:rFonts w:ascii="Cambria Math" w:hAnsi="Cambria Math" w:cstheme="majorBidi"/>
          </w:rPr>
          <m:t>Debt</m:t>
        </m:r>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10</m:t>
            </m:r>
          </m:sub>
        </m:sSub>
        <m:r>
          <w:rPr>
            <w:rFonts w:ascii="Cambria Math" w:hAnsi="Cambria Math" w:cstheme="majorBidi"/>
          </w:rPr>
          <m:t>*</m:t>
        </m:r>
        <m:r>
          <m:rPr>
            <m:sty m:val="p"/>
          </m:rPr>
          <w:rPr>
            <w:rFonts w:ascii="Cambria Math" w:hAnsi="Cambria Math" w:cstheme="majorBidi"/>
          </w:rPr>
          <m:t>Cash</m:t>
        </m:r>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11</m:t>
            </m:r>
          </m:sub>
        </m:sSub>
        <m: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Cap</m:t>
            </m:r>
            <m:ctrlPr>
              <w:rPr>
                <w:rFonts w:ascii="Cambria Math" w:hAnsi="Cambria Math" w:cstheme="majorBidi"/>
                <w:i/>
              </w:rPr>
            </m:ctrlPr>
          </m:e>
          <m:sub>
            <m:r>
              <m:rPr>
                <m:sty m:val="p"/>
              </m:rPr>
              <w:rPr>
                <w:rFonts w:ascii="Cambria Math" w:hAnsi="Cambria Math" w:cstheme="majorBidi"/>
              </w:rPr>
              <m:t>Intensity</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12</m:t>
            </m:r>
          </m:sub>
        </m:sSub>
        <m:r>
          <w:rPr>
            <w:rFonts w:ascii="Cambria Math" w:hAnsi="Cambria Math" w:cstheme="majorBidi"/>
          </w:rPr>
          <m:t>*</m:t>
        </m:r>
        <m:r>
          <m:rPr>
            <m:sty m:val="p"/>
          </m:rPr>
          <w:rPr>
            <w:rFonts w:ascii="Cambria Math" w:hAnsi="Cambria Math" w:cstheme="majorBidi"/>
          </w:rPr>
          <m:t>Capex</m:t>
        </m:r>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13</m:t>
            </m:r>
          </m:sub>
        </m:sSub>
        <m:r>
          <w:rPr>
            <w:rFonts w:ascii="Cambria Math" w:hAnsi="Cambria Math" w:cstheme="majorBidi"/>
          </w:rPr>
          <m:t>*</m:t>
        </m:r>
        <m:r>
          <m:rPr>
            <m:sty m:val="p"/>
          </m:rPr>
          <w:rPr>
            <w:rFonts w:ascii="Cambria Math" w:hAnsi="Cambria Math" w:cstheme="majorBidi"/>
          </w:rPr>
          <m:t xml:space="preserve">Mkt2Bk+ϵ      </m:t>
        </m:r>
        <m:r>
          <w:rPr>
            <w:rFonts w:ascii="Cambria Math" w:hAnsi="Cambria Math" w:cstheme="majorBidi"/>
          </w:rPr>
          <m:t>(3)</m:t>
        </m:r>
      </m:oMath>
      <w:r w:rsidR="00AB0064" w:rsidRPr="005103A1">
        <w:rPr>
          <w:rFonts w:asciiTheme="majorBidi" w:hAnsiTheme="majorBidi" w:cstheme="majorBidi"/>
        </w:rPr>
        <w:t xml:space="preserve"> </w:t>
      </w:r>
    </w:p>
    <w:p w14:paraId="79085C91" w14:textId="77777777" w:rsidR="00AB0064" w:rsidRPr="005103A1" w:rsidRDefault="00AB0064" w:rsidP="002D762D">
      <w:pPr>
        <w:spacing w:after="0" w:line="240" w:lineRule="auto"/>
        <w:rPr>
          <w:rFonts w:asciiTheme="majorBidi" w:hAnsiTheme="majorBidi" w:cstheme="majorBidi"/>
        </w:rPr>
      </w:pPr>
    </w:p>
    <w:p w14:paraId="6F3F133D" w14:textId="2F47590E" w:rsidR="00AB0064" w:rsidRPr="005103A1" w:rsidRDefault="00D92746" w:rsidP="00BE6C23">
      <w:pPr>
        <w:spacing w:after="0" w:line="480" w:lineRule="auto"/>
        <w:ind w:left="720"/>
        <w:rPr>
          <w:rFonts w:asciiTheme="majorBidi" w:hAnsiTheme="majorBidi" w:cstheme="majorBidi"/>
        </w:rPr>
      </w:pPr>
      <m:oMath>
        <m:sSub>
          <m:sSubPr>
            <m:ctrlPr>
              <w:rPr>
                <w:rFonts w:ascii="Cambria Math" w:hAnsi="Cambria Math" w:cstheme="majorBidi"/>
                <w:bCs/>
                <w:i/>
              </w:rPr>
            </m:ctrlPr>
          </m:sSubPr>
          <m:e>
            <m:r>
              <w:rPr>
                <w:rFonts w:ascii="Cambria Math" w:hAnsi="Cambria Math" w:cstheme="majorBidi"/>
              </w:rPr>
              <m:t>CP</m:t>
            </m:r>
          </m:e>
          <m:sub>
            <m:r>
              <w:rPr>
                <w:rFonts w:ascii="Cambria Math" w:hAnsi="Cambria Math" w:cstheme="majorBidi"/>
              </w:rPr>
              <m:t>it</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0</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1</m:t>
            </m:r>
          </m:sub>
        </m:sSub>
        <m:r>
          <w:rPr>
            <w:rFonts w:ascii="Cambria Math" w:hAnsi="Cambria Math" w:cstheme="majorBidi"/>
          </w:rPr>
          <m:t>*</m:t>
        </m:r>
        <m:d>
          <m:dPr>
            <m:ctrlPr>
              <w:rPr>
                <w:rFonts w:ascii="Cambria Math" w:hAnsi="Cambria Math" w:cstheme="majorBidi"/>
                <w:i/>
              </w:rPr>
            </m:ctrlPr>
          </m:dPr>
          <m:e>
            <m:r>
              <w:rPr>
                <w:rFonts w:ascii="Cambria Math" w:hAnsi="Cambria Math" w:cstheme="majorBidi"/>
              </w:rPr>
              <m:t>EC*ESG</m:t>
            </m:r>
          </m:e>
        </m:d>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2</m:t>
            </m:r>
          </m:sub>
        </m:sSub>
        <m:r>
          <w:rPr>
            <w:rFonts w:ascii="Cambria Math" w:hAnsi="Cambria Math" w:cstheme="majorBidi"/>
          </w:rPr>
          <m:t>*B.Size+</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3</m:t>
            </m:r>
          </m:sub>
        </m:sSub>
        <m:r>
          <w:rPr>
            <w:rFonts w:ascii="Cambria Math" w:hAnsi="Cambria Math" w:cstheme="majorBidi"/>
          </w:rPr>
          <m:t>*Separation+</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4</m:t>
            </m:r>
          </m:sub>
        </m:sSub>
        <m:r>
          <w:rPr>
            <w:rFonts w:ascii="Cambria Math" w:hAnsi="Cambria Math" w:cstheme="majorBidi"/>
          </w:rPr>
          <m:t>*Independence+</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5</m:t>
            </m:r>
          </m:sub>
        </m:sSub>
        <m:r>
          <w:rPr>
            <w:rFonts w:ascii="Cambria Math" w:hAnsi="Cambria Math" w:cstheme="majorBidi"/>
          </w:rPr>
          <m:t>*CSR+</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6</m:t>
            </m:r>
          </m:sub>
        </m:sSub>
        <m:r>
          <w:rPr>
            <w:rFonts w:ascii="Cambria Math" w:hAnsi="Cambria Math" w:cstheme="majorBidi"/>
          </w:rPr>
          <m:t>*Size+</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7</m:t>
            </m:r>
          </m:sub>
        </m:sSub>
        <m:r>
          <w:rPr>
            <w:rFonts w:ascii="Cambria Math" w:hAnsi="Cambria Math" w:cstheme="majorBidi"/>
          </w:rPr>
          <m:t>*Profitability+</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8</m:t>
            </m:r>
          </m:sub>
        </m:sSub>
        <m:r>
          <w:rPr>
            <w:rFonts w:ascii="Cambria Math" w:hAnsi="Cambria Math" w:cstheme="majorBidi"/>
          </w:rPr>
          <m:t>*Debt+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9</m:t>
            </m:r>
          </m:sub>
        </m:sSub>
        <m:r>
          <w:rPr>
            <w:rFonts w:ascii="Cambria Math" w:hAnsi="Cambria Math" w:cstheme="majorBidi"/>
          </w:rPr>
          <m:t>*Cash+</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10</m:t>
            </m:r>
          </m:sub>
        </m:sSub>
        <m:r>
          <w:rPr>
            <w:rFonts w:ascii="Cambria Math" w:hAnsi="Cambria Math" w:cstheme="majorBidi"/>
          </w:rPr>
          <m:t>*Ca</m:t>
        </m:r>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Intensity</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11</m:t>
            </m:r>
          </m:sub>
        </m:sSub>
        <m:r>
          <w:rPr>
            <w:rFonts w:ascii="Cambria Math" w:hAnsi="Cambria Math" w:cstheme="majorBidi"/>
          </w:rPr>
          <m:t>*Capex+</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12</m:t>
            </m:r>
          </m:sub>
        </m:sSub>
        <m:r>
          <w:rPr>
            <w:rFonts w:ascii="Cambria Math" w:hAnsi="Cambria Math" w:cstheme="majorBidi"/>
          </w:rPr>
          <m:t>*Mkt2Bk+</m:t>
        </m:r>
        <m:r>
          <m:rPr>
            <m:sty m:val="p"/>
          </m:rPr>
          <w:rPr>
            <w:rFonts w:ascii="Cambria Math" w:hAnsi="Cambria Math" w:cstheme="majorBidi"/>
          </w:rPr>
          <m:t xml:space="preserve">ϵ </m:t>
        </m:r>
        <m:r>
          <w:rPr>
            <w:rFonts w:ascii="Cambria Math" w:hAnsi="Cambria Math" w:cstheme="majorBidi"/>
          </w:rPr>
          <m:t xml:space="preserve"> </m:t>
        </m:r>
        <m:r>
          <m:rPr>
            <m:sty m:val="p"/>
          </m:rPr>
          <w:rPr>
            <w:rFonts w:ascii="Cambria Math" w:hAnsi="Cambria Math" w:cstheme="majorBidi"/>
          </w:rPr>
          <m:t xml:space="preserve">       </m:t>
        </m:r>
        <m:r>
          <w:rPr>
            <w:rFonts w:ascii="Cambria Math" w:hAnsi="Cambria Math" w:cstheme="majorBidi"/>
          </w:rPr>
          <m:t>(4)</m:t>
        </m:r>
      </m:oMath>
      <w:r w:rsidR="00AB0064" w:rsidRPr="005103A1">
        <w:rPr>
          <w:rFonts w:asciiTheme="majorBidi" w:hAnsiTheme="majorBidi" w:cstheme="majorBidi"/>
        </w:rPr>
        <w:t xml:space="preserve"> </w:t>
      </w:r>
    </w:p>
    <w:p w14:paraId="484D0662" w14:textId="77777777" w:rsidR="003C36BC" w:rsidRPr="005103A1" w:rsidRDefault="003C36BC" w:rsidP="002D762D">
      <w:pPr>
        <w:spacing w:after="0" w:line="240" w:lineRule="auto"/>
        <w:ind w:firstLine="720"/>
        <w:jc w:val="both"/>
        <w:rPr>
          <w:rFonts w:asciiTheme="majorBidi" w:hAnsiTheme="majorBidi" w:cstheme="majorBidi"/>
        </w:rPr>
      </w:pPr>
    </w:p>
    <w:p w14:paraId="0DDABACC" w14:textId="559F9F91" w:rsidR="00CA0E42" w:rsidRPr="005103A1" w:rsidRDefault="003F1486" w:rsidP="0064103E">
      <w:pPr>
        <w:autoSpaceDE w:val="0"/>
        <w:autoSpaceDN w:val="0"/>
        <w:adjustRightInd w:val="0"/>
        <w:spacing w:after="0" w:line="480" w:lineRule="auto"/>
        <w:ind w:firstLine="720"/>
        <w:jc w:val="both"/>
        <w:rPr>
          <w:rFonts w:asciiTheme="majorBidi" w:hAnsiTheme="majorBidi" w:cstheme="majorBidi"/>
          <w:color w:val="000000" w:themeColor="text1"/>
        </w:rPr>
      </w:pPr>
      <w:r w:rsidRPr="005103A1">
        <w:rPr>
          <w:rFonts w:asciiTheme="majorBidi" w:hAnsiTheme="majorBidi" w:cstheme="majorBidi"/>
          <w:color w:val="000000" w:themeColor="text1"/>
        </w:rPr>
        <w:t>In th</w:t>
      </w:r>
      <w:r w:rsidR="00142A56" w:rsidRPr="005103A1">
        <w:rPr>
          <w:rFonts w:asciiTheme="majorBidi" w:hAnsiTheme="majorBidi" w:cstheme="majorBidi"/>
          <w:color w:val="000000" w:themeColor="text1"/>
        </w:rPr>
        <w:t xml:space="preserve">ese </w:t>
      </w:r>
      <w:r w:rsidRPr="005103A1">
        <w:rPr>
          <w:rFonts w:asciiTheme="majorBidi" w:hAnsiTheme="majorBidi" w:cstheme="majorBidi"/>
          <w:color w:val="000000" w:themeColor="text1"/>
        </w:rPr>
        <w:t>model</w:t>
      </w:r>
      <w:r w:rsidR="00142A56" w:rsidRPr="005103A1">
        <w:rPr>
          <w:rFonts w:asciiTheme="majorBidi" w:hAnsiTheme="majorBidi" w:cstheme="majorBidi"/>
          <w:color w:val="000000" w:themeColor="text1"/>
        </w:rPr>
        <w:t>s</w:t>
      </w:r>
      <w:r w:rsidRPr="005103A1">
        <w:rPr>
          <w:rFonts w:asciiTheme="majorBidi" w:hAnsiTheme="majorBidi" w:cstheme="majorBidi"/>
          <w:color w:val="000000" w:themeColor="text1"/>
        </w:rPr>
        <w:t xml:space="preserve">, </w:t>
      </w:r>
      <w:r w:rsidR="007A5F36" w:rsidRPr="005103A1">
        <w:rPr>
          <w:rFonts w:asciiTheme="majorBidi" w:hAnsiTheme="majorBidi" w:cstheme="majorBidi"/>
          <w:color w:val="000000" w:themeColor="text1"/>
        </w:rPr>
        <w:t xml:space="preserve">carbon </w:t>
      </w:r>
      <w:r w:rsidRPr="005103A1">
        <w:rPr>
          <w:rFonts w:asciiTheme="majorBidi" w:hAnsiTheme="majorBidi" w:cstheme="majorBidi"/>
          <w:color w:val="000000" w:themeColor="text1"/>
        </w:rPr>
        <w:t>performance (</w:t>
      </w:r>
      <w:r w:rsidR="007A5F36" w:rsidRPr="005103A1">
        <w:rPr>
          <w:rFonts w:asciiTheme="majorBidi" w:hAnsiTheme="majorBidi" w:cstheme="majorBidi"/>
          <w:i/>
          <w:iCs/>
          <w:color w:val="000000" w:themeColor="text1"/>
        </w:rPr>
        <w:t>C</w:t>
      </w:r>
      <w:r w:rsidRPr="005103A1">
        <w:rPr>
          <w:rFonts w:asciiTheme="majorBidi" w:hAnsiTheme="majorBidi" w:cstheme="majorBidi"/>
          <w:i/>
          <w:iCs/>
          <w:color w:val="000000" w:themeColor="text1"/>
        </w:rPr>
        <w:t>P</w:t>
      </w:r>
      <w:r w:rsidRPr="005103A1">
        <w:rPr>
          <w:rFonts w:asciiTheme="majorBidi" w:hAnsiTheme="majorBidi" w:cstheme="majorBidi"/>
          <w:color w:val="000000" w:themeColor="text1"/>
        </w:rPr>
        <w:t xml:space="preserve">) of firm </w:t>
      </w:r>
      <w:r w:rsidRPr="005103A1">
        <w:rPr>
          <w:rFonts w:asciiTheme="majorBidi" w:hAnsiTheme="majorBidi" w:cstheme="majorBidi"/>
          <w:i/>
          <w:iCs/>
          <w:color w:val="000000" w:themeColor="text1"/>
        </w:rPr>
        <w:t>i</w:t>
      </w:r>
      <w:r w:rsidRPr="005103A1">
        <w:rPr>
          <w:rFonts w:asciiTheme="majorBidi" w:hAnsiTheme="majorBidi" w:cstheme="majorBidi"/>
          <w:color w:val="000000" w:themeColor="text1"/>
        </w:rPr>
        <w:t xml:space="preserve"> in the year </w:t>
      </w:r>
      <w:r w:rsidRPr="005103A1">
        <w:rPr>
          <w:rFonts w:asciiTheme="majorBidi" w:hAnsiTheme="majorBidi" w:cstheme="majorBidi"/>
          <w:i/>
          <w:iCs/>
          <w:color w:val="000000" w:themeColor="text1"/>
        </w:rPr>
        <w:t>t</w:t>
      </w:r>
      <w:r w:rsidRPr="005103A1">
        <w:rPr>
          <w:rFonts w:asciiTheme="majorBidi" w:hAnsiTheme="majorBidi" w:cstheme="majorBidi"/>
          <w:color w:val="000000" w:themeColor="text1"/>
        </w:rPr>
        <w:t xml:space="preserve"> is a function of </w:t>
      </w:r>
      <w:r w:rsidR="007A5F36" w:rsidRPr="005103A1">
        <w:rPr>
          <w:rFonts w:asciiTheme="majorBidi" w:hAnsiTheme="majorBidi" w:cstheme="majorBidi"/>
          <w:color w:val="000000" w:themeColor="text1"/>
        </w:rPr>
        <w:t xml:space="preserve">the </w:t>
      </w:r>
      <w:r w:rsidRPr="005103A1">
        <w:rPr>
          <w:rFonts w:asciiTheme="majorBidi" w:hAnsiTheme="majorBidi" w:cstheme="majorBidi"/>
          <w:color w:val="000000" w:themeColor="text1"/>
        </w:rPr>
        <w:t>level of executive compensation (</w:t>
      </w:r>
      <w:r w:rsidRPr="005103A1">
        <w:rPr>
          <w:rFonts w:asciiTheme="majorBidi" w:hAnsiTheme="majorBidi" w:cstheme="majorBidi"/>
          <w:i/>
          <w:iCs/>
          <w:color w:val="000000" w:themeColor="text1"/>
        </w:rPr>
        <w:t>EC</w:t>
      </w:r>
      <w:r w:rsidRPr="005103A1">
        <w:rPr>
          <w:rFonts w:asciiTheme="majorBidi" w:hAnsiTheme="majorBidi" w:cstheme="majorBidi"/>
          <w:color w:val="000000" w:themeColor="text1"/>
        </w:rPr>
        <w:t xml:space="preserve">), </w:t>
      </w:r>
      <w:r w:rsidR="00D75E95" w:rsidRPr="005103A1">
        <w:rPr>
          <w:rFonts w:asciiTheme="majorBidi" w:hAnsiTheme="majorBidi" w:cstheme="majorBidi"/>
          <w:color w:val="000000" w:themeColor="text1"/>
        </w:rPr>
        <w:t>ESG-based compensation policy (</w:t>
      </w:r>
      <w:r w:rsidR="00D75E95" w:rsidRPr="005103A1">
        <w:rPr>
          <w:rFonts w:asciiTheme="majorBidi" w:hAnsiTheme="majorBidi" w:cstheme="majorBidi"/>
          <w:i/>
          <w:iCs/>
          <w:color w:val="000000" w:themeColor="text1"/>
        </w:rPr>
        <w:t>ESG</w:t>
      </w:r>
      <w:r w:rsidR="00D75E95" w:rsidRPr="005103A1">
        <w:rPr>
          <w:rFonts w:asciiTheme="majorBidi" w:hAnsiTheme="majorBidi" w:cstheme="majorBidi"/>
          <w:color w:val="000000" w:themeColor="text1"/>
        </w:rPr>
        <w:t>)</w:t>
      </w:r>
      <w:r w:rsidR="007A5F36" w:rsidRPr="005103A1">
        <w:rPr>
          <w:rFonts w:asciiTheme="majorBidi" w:hAnsiTheme="majorBidi" w:cstheme="majorBidi"/>
          <w:color w:val="000000" w:themeColor="text1"/>
        </w:rPr>
        <w:t xml:space="preserve">, </w:t>
      </w:r>
      <w:r w:rsidRPr="005103A1">
        <w:rPr>
          <w:rFonts w:asciiTheme="majorBidi" w:hAnsiTheme="majorBidi" w:cstheme="majorBidi"/>
          <w:color w:val="000000" w:themeColor="text1"/>
        </w:rPr>
        <w:t xml:space="preserve">firm-specific control variables, and the error term </w:t>
      </w:r>
      <w:r w:rsidR="00ED56A4" w:rsidRPr="005103A1">
        <w:rPr>
          <w:rFonts w:asciiTheme="majorBidi" w:hAnsiTheme="majorBidi" w:cstheme="majorBidi"/>
          <w:i/>
          <w:iCs/>
          <w:color w:val="000000" w:themeColor="text1"/>
        </w:rPr>
        <w:t>ε</w:t>
      </w:r>
      <w:r w:rsidRPr="005103A1">
        <w:rPr>
          <w:rFonts w:asciiTheme="majorBidi" w:hAnsiTheme="majorBidi" w:cstheme="majorBidi"/>
          <w:color w:val="000000" w:themeColor="text1"/>
        </w:rPr>
        <w:t xml:space="preserve">. </w:t>
      </w:r>
      <w:r w:rsidR="00CA0E42" w:rsidRPr="005103A1">
        <w:rPr>
          <w:rFonts w:asciiTheme="majorBidi" w:hAnsiTheme="majorBidi" w:cstheme="majorBidi"/>
          <w:color w:val="000000" w:themeColor="text1"/>
        </w:rPr>
        <w:t xml:space="preserve">The variables </w:t>
      </w:r>
      <w:r w:rsidR="00784F97" w:rsidRPr="005103A1">
        <w:rPr>
          <w:rFonts w:asciiTheme="majorBidi" w:hAnsiTheme="majorBidi" w:cstheme="majorBidi"/>
          <w:color w:val="000000" w:themeColor="text1"/>
        </w:rPr>
        <w:t>of the</w:t>
      </w:r>
      <w:r w:rsidR="00E14D4D" w:rsidRPr="005103A1">
        <w:rPr>
          <w:rFonts w:asciiTheme="majorBidi" w:hAnsiTheme="majorBidi" w:cstheme="majorBidi"/>
          <w:color w:val="000000" w:themeColor="text1"/>
        </w:rPr>
        <w:t>se</w:t>
      </w:r>
      <w:r w:rsidR="00784F97" w:rsidRPr="005103A1">
        <w:rPr>
          <w:rFonts w:asciiTheme="majorBidi" w:hAnsiTheme="majorBidi" w:cstheme="majorBidi"/>
          <w:color w:val="000000" w:themeColor="text1"/>
        </w:rPr>
        <w:t xml:space="preserve"> empirical </w:t>
      </w:r>
      <w:r w:rsidR="00CA0E42" w:rsidRPr="005103A1">
        <w:rPr>
          <w:rFonts w:asciiTheme="majorBidi" w:hAnsiTheme="majorBidi" w:cstheme="majorBidi"/>
          <w:color w:val="000000" w:themeColor="text1"/>
        </w:rPr>
        <w:t>model</w:t>
      </w:r>
      <w:r w:rsidR="00784F97" w:rsidRPr="005103A1">
        <w:rPr>
          <w:rFonts w:asciiTheme="majorBidi" w:hAnsiTheme="majorBidi" w:cstheme="majorBidi"/>
          <w:color w:val="000000" w:themeColor="text1"/>
        </w:rPr>
        <w:t>s</w:t>
      </w:r>
      <w:r w:rsidR="00CA0E42" w:rsidRPr="005103A1">
        <w:rPr>
          <w:rFonts w:asciiTheme="majorBidi" w:hAnsiTheme="majorBidi" w:cstheme="majorBidi"/>
          <w:color w:val="000000" w:themeColor="text1"/>
        </w:rPr>
        <w:t xml:space="preserve"> are defined as follows:</w:t>
      </w:r>
    </w:p>
    <w:p w14:paraId="4AD62714" w14:textId="77777777" w:rsidR="005434B6" w:rsidRPr="005103A1" w:rsidRDefault="005434B6" w:rsidP="002D762D">
      <w:pPr>
        <w:autoSpaceDE w:val="0"/>
        <w:autoSpaceDN w:val="0"/>
        <w:adjustRightInd w:val="0"/>
        <w:spacing w:after="0" w:line="240" w:lineRule="auto"/>
        <w:ind w:firstLine="720"/>
        <w:jc w:val="both"/>
        <w:rPr>
          <w:rFonts w:asciiTheme="majorBidi" w:hAnsiTheme="majorBidi" w:cstheme="majorBidi"/>
          <w:color w:val="000000" w:themeColor="text1"/>
        </w:rPr>
      </w:pPr>
    </w:p>
    <w:p w14:paraId="0A6EECEA" w14:textId="28B0F0C0" w:rsidR="00671BCE" w:rsidRPr="005103A1" w:rsidRDefault="00671BCE" w:rsidP="0064103E">
      <w:pPr>
        <w:pStyle w:val="ListParagraph"/>
        <w:spacing w:after="0" w:line="480" w:lineRule="auto"/>
        <w:ind w:left="0"/>
        <w:contextualSpacing w:val="0"/>
        <w:jc w:val="both"/>
        <w:rPr>
          <w:rFonts w:asciiTheme="majorBidi" w:hAnsiTheme="majorBidi" w:cstheme="majorBidi"/>
          <w:i/>
        </w:rPr>
      </w:pPr>
      <w:r w:rsidRPr="005103A1">
        <w:rPr>
          <w:rFonts w:asciiTheme="majorBidi" w:hAnsiTheme="majorBidi" w:cstheme="majorBidi"/>
          <w:i/>
        </w:rPr>
        <w:t xml:space="preserve">Carbon performance </w:t>
      </w:r>
      <w:r w:rsidR="00723385" w:rsidRPr="005103A1">
        <w:rPr>
          <w:rFonts w:asciiTheme="majorBidi" w:hAnsiTheme="majorBidi" w:cstheme="majorBidi"/>
          <w:i/>
        </w:rPr>
        <w:t xml:space="preserve">and </w:t>
      </w:r>
      <w:r w:rsidR="00784E11" w:rsidRPr="005103A1">
        <w:rPr>
          <w:rFonts w:asciiTheme="majorBidi" w:hAnsiTheme="majorBidi" w:cstheme="majorBidi"/>
          <w:i/>
        </w:rPr>
        <w:t xml:space="preserve">executive compensation </w:t>
      </w:r>
      <w:r w:rsidRPr="005103A1">
        <w:rPr>
          <w:rFonts w:asciiTheme="majorBidi" w:hAnsiTheme="majorBidi" w:cstheme="majorBidi"/>
          <w:i/>
        </w:rPr>
        <w:t xml:space="preserve">measures </w:t>
      </w:r>
    </w:p>
    <w:p w14:paraId="3CF03AB1" w14:textId="7C32A122" w:rsidR="004F20D9" w:rsidRDefault="0013333F" w:rsidP="0013333F">
      <w:pPr>
        <w:spacing w:after="0" w:line="480"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As shown in our conceptual framework (Figure 1),</w:t>
      </w:r>
      <w:r w:rsidR="00DC12D5">
        <w:rPr>
          <w:rFonts w:asciiTheme="majorBidi" w:hAnsiTheme="majorBidi" w:cstheme="majorBidi"/>
          <w:color w:val="000000" w:themeColor="text1"/>
        </w:rPr>
        <w:t xml:space="preserve"> w</w:t>
      </w:r>
      <w:r w:rsidR="005C42DC" w:rsidRPr="005103A1">
        <w:rPr>
          <w:rFonts w:asciiTheme="majorBidi" w:hAnsiTheme="majorBidi" w:cstheme="majorBidi"/>
        </w:rPr>
        <w:t xml:space="preserve">e use two alternative </w:t>
      </w:r>
      <w:r w:rsidR="004F20D9" w:rsidRPr="005103A1">
        <w:rPr>
          <w:rFonts w:asciiTheme="majorBidi" w:hAnsiTheme="majorBidi" w:cstheme="majorBidi"/>
        </w:rPr>
        <w:t xml:space="preserve">measures </w:t>
      </w:r>
      <w:r w:rsidR="001C7524" w:rsidRPr="005103A1">
        <w:rPr>
          <w:rFonts w:asciiTheme="majorBidi" w:hAnsiTheme="majorBidi" w:cstheme="majorBidi"/>
        </w:rPr>
        <w:t>as</w:t>
      </w:r>
      <w:r w:rsidR="004F20D9" w:rsidRPr="005103A1">
        <w:rPr>
          <w:rFonts w:asciiTheme="majorBidi" w:hAnsiTheme="majorBidi" w:cstheme="majorBidi"/>
        </w:rPr>
        <w:t xml:space="preserve"> overall </w:t>
      </w:r>
      <w:r w:rsidR="00B8082A" w:rsidRPr="005103A1">
        <w:rPr>
          <w:rFonts w:asciiTheme="majorBidi" w:hAnsiTheme="majorBidi" w:cstheme="majorBidi"/>
        </w:rPr>
        <w:t>CP</w:t>
      </w:r>
      <w:r w:rsidR="004F20D9" w:rsidRPr="005103A1">
        <w:rPr>
          <w:rFonts w:asciiTheme="majorBidi" w:hAnsiTheme="majorBidi" w:cstheme="majorBidi"/>
        </w:rPr>
        <w:t xml:space="preserve"> of </w:t>
      </w:r>
      <w:r w:rsidR="004F20D9" w:rsidRPr="005103A1">
        <w:rPr>
          <w:rFonts w:asciiTheme="majorBidi" w:hAnsiTheme="majorBidi" w:cstheme="majorBidi"/>
          <w:color w:val="000000" w:themeColor="text1"/>
        </w:rPr>
        <w:t xml:space="preserve">a firm: </w:t>
      </w:r>
      <w:r w:rsidR="001C7524" w:rsidRPr="005103A1">
        <w:rPr>
          <w:rFonts w:asciiTheme="majorBidi" w:hAnsiTheme="majorBidi" w:cstheme="majorBidi"/>
          <w:color w:val="000000" w:themeColor="text1"/>
        </w:rPr>
        <w:t xml:space="preserve">(i) </w:t>
      </w:r>
      <w:r w:rsidR="00DC12D5">
        <w:rPr>
          <w:rFonts w:asciiTheme="majorBidi" w:hAnsiTheme="majorBidi" w:cstheme="majorBidi"/>
          <w:color w:val="000000" w:themeColor="text1"/>
        </w:rPr>
        <w:t xml:space="preserve">(symbolic) </w:t>
      </w:r>
      <w:r w:rsidR="003A6058" w:rsidRPr="005103A1">
        <w:rPr>
          <w:rFonts w:asciiTheme="majorBidi" w:hAnsiTheme="majorBidi" w:cstheme="majorBidi"/>
        </w:rPr>
        <w:t xml:space="preserve">process-oriented </w:t>
      </w:r>
      <w:r w:rsidR="002C2CED" w:rsidRPr="005103A1">
        <w:rPr>
          <w:rFonts w:asciiTheme="majorBidi" w:hAnsiTheme="majorBidi" w:cstheme="majorBidi"/>
        </w:rPr>
        <w:t>CP</w:t>
      </w:r>
      <w:r w:rsidR="004940B9" w:rsidRPr="005103A1">
        <w:rPr>
          <w:rFonts w:asciiTheme="majorBidi" w:hAnsiTheme="majorBidi" w:cstheme="majorBidi"/>
        </w:rPr>
        <w:t xml:space="preserve"> </w:t>
      </w:r>
      <w:r w:rsidR="008F25F6" w:rsidRPr="005103A1">
        <w:rPr>
          <w:rFonts w:asciiTheme="majorBidi" w:hAnsiTheme="majorBidi" w:cstheme="majorBidi"/>
        </w:rPr>
        <w:t>(</w:t>
      </w:r>
      <w:r w:rsidR="00983C48" w:rsidRPr="005103A1">
        <w:rPr>
          <w:rFonts w:asciiTheme="majorBidi" w:hAnsiTheme="majorBidi" w:cstheme="majorBidi"/>
        </w:rPr>
        <w:t>policies, processes, disclosures and strategic actions</w:t>
      </w:r>
      <w:r w:rsidR="008F25F6" w:rsidRPr="005103A1">
        <w:rPr>
          <w:rFonts w:asciiTheme="majorBidi" w:hAnsiTheme="majorBidi" w:cstheme="majorBidi"/>
        </w:rPr>
        <w:t>)</w:t>
      </w:r>
      <w:r w:rsidR="001C7524" w:rsidRPr="005103A1">
        <w:rPr>
          <w:rFonts w:asciiTheme="majorBidi" w:hAnsiTheme="majorBidi" w:cstheme="majorBidi"/>
        </w:rPr>
        <w:t>;</w:t>
      </w:r>
      <w:r w:rsidR="003A6058" w:rsidRPr="005103A1">
        <w:rPr>
          <w:rFonts w:asciiTheme="majorBidi" w:hAnsiTheme="majorBidi" w:cstheme="majorBidi"/>
        </w:rPr>
        <w:t xml:space="preserve"> and </w:t>
      </w:r>
      <w:r w:rsidR="001C7524" w:rsidRPr="005103A1">
        <w:rPr>
          <w:rFonts w:asciiTheme="majorBidi" w:hAnsiTheme="majorBidi" w:cstheme="majorBidi"/>
        </w:rPr>
        <w:t xml:space="preserve">(ii) </w:t>
      </w:r>
      <w:r w:rsidR="00DC12D5">
        <w:rPr>
          <w:rFonts w:asciiTheme="majorBidi" w:hAnsiTheme="majorBidi" w:cstheme="majorBidi"/>
        </w:rPr>
        <w:t xml:space="preserve">(substantive) </w:t>
      </w:r>
      <w:r w:rsidR="00B961C6" w:rsidRPr="005103A1">
        <w:rPr>
          <w:rFonts w:asciiTheme="majorBidi" w:hAnsiTheme="majorBidi" w:cstheme="majorBidi"/>
        </w:rPr>
        <w:t xml:space="preserve">actual </w:t>
      </w:r>
      <w:r w:rsidR="002C2CED" w:rsidRPr="005103A1">
        <w:rPr>
          <w:rFonts w:asciiTheme="majorBidi" w:hAnsiTheme="majorBidi" w:cstheme="majorBidi"/>
        </w:rPr>
        <w:t>CP</w:t>
      </w:r>
      <w:r w:rsidR="00B961C6" w:rsidRPr="005103A1">
        <w:rPr>
          <w:rFonts w:asciiTheme="majorBidi" w:hAnsiTheme="majorBidi" w:cstheme="majorBidi"/>
        </w:rPr>
        <w:t xml:space="preserve"> (</w:t>
      </w:r>
      <w:r w:rsidR="003A6058" w:rsidRPr="005103A1">
        <w:rPr>
          <w:rFonts w:asciiTheme="majorBidi" w:hAnsiTheme="majorBidi" w:cstheme="majorBidi"/>
        </w:rPr>
        <w:t>actual GHG emissions</w:t>
      </w:r>
      <w:r w:rsidR="00B961C6" w:rsidRPr="005103A1">
        <w:rPr>
          <w:rFonts w:asciiTheme="majorBidi" w:hAnsiTheme="majorBidi" w:cstheme="majorBidi"/>
        </w:rPr>
        <w:t>)</w:t>
      </w:r>
      <w:r w:rsidR="003A6058" w:rsidRPr="005103A1">
        <w:rPr>
          <w:rFonts w:asciiTheme="majorBidi" w:hAnsiTheme="majorBidi" w:cstheme="majorBidi"/>
        </w:rPr>
        <w:t xml:space="preserve">. </w:t>
      </w:r>
      <w:r w:rsidR="004A3714" w:rsidRPr="005103A1">
        <w:rPr>
          <w:rFonts w:asciiTheme="majorBidi" w:hAnsiTheme="majorBidi" w:cstheme="majorBidi"/>
        </w:rPr>
        <w:t xml:space="preserve">Following these </w:t>
      </w:r>
      <w:r w:rsidR="004728B7" w:rsidRPr="005103A1">
        <w:rPr>
          <w:rFonts w:asciiTheme="majorBidi" w:hAnsiTheme="majorBidi" w:cstheme="majorBidi"/>
        </w:rPr>
        <w:t xml:space="preserve">past </w:t>
      </w:r>
      <w:r w:rsidR="004A3714" w:rsidRPr="005103A1">
        <w:rPr>
          <w:rFonts w:asciiTheme="majorBidi" w:hAnsiTheme="majorBidi" w:cstheme="majorBidi"/>
        </w:rPr>
        <w:t>studies</w:t>
      </w:r>
      <w:r w:rsidR="004728B7" w:rsidRPr="005103A1">
        <w:rPr>
          <w:rFonts w:asciiTheme="majorBidi" w:hAnsiTheme="majorBidi" w:cstheme="majorBidi"/>
        </w:rPr>
        <w:t xml:space="preserve"> (Delmas </w:t>
      </w:r>
      <w:r w:rsidR="004728B7" w:rsidRPr="005103A1">
        <w:rPr>
          <w:rFonts w:asciiTheme="majorBidi" w:hAnsiTheme="majorBidi" w:cstheme="majorBidi"/>
          <w:i/>
          <w:iCs/>
        </w:rPr>
        <w:t>et al</w:t>
      </w:r>
      <w:r w:rsidR="004728B7" w:rsidRPr="005103A1">
        <w:rPr>
          <w:rFonts w:asciiTheme="majorBidi" w:hAnsiTheme="majorBidi" w:cstheme="majorBidi"/>
        </w:rPr>
        <w:t>., 2013</w:t>
      </w:r>
      <w:r w:rsidR="00885555" w:rsidRPr="005103A1">
        <w:rPr>
          <w:rFonts w:asciiTheme="majorBidi" w:hAnsiTheme="majorBidi" w:cstheme="majorBidi"/>
        </w:rPr>
        <w:t xml:space="preserve">; </w:t>
      </w:r>
      <w:r w:rsidR="00885555" w:rsidRPr="005103A1">
        <w:rPr>
          <w:rFonts w:asciiTheme="majorBidi" w:hAnsiTheme="majorBidi" w:cstheme="majorBidi"/>
          <w:color w:val="000000" w:themeColor="text1"/>
        </w:rPr>
        <w:t xml:space="preserve">Matsumura </w:t>
      </w:r>
      <w:r w:rsidR="00885555" w:rsidRPr="005103A1">
        <w:rPr>
          <w:rFonts w:asciiTheme="majorBidi" w:hAnsiTheme="majorBidi" w:cstheme="majorBidi"/>
          <w:i/>
          <w:color w:val="000000" w:themeColor="text1"/>
        </w:rPr>
        <w:t>et al.,</w:t>
      </w:r>
      <w:r w:rsidR="00885555" w:rsidRPr="005103A1">
        <w:rPr>
          <w:rFonts w:asciiTheme="majorBidi" w:hAnsiTheme="majorBidi" w:cstheme="majorBidi"/>
          <w:color w:val="000000" w:themeColor="text1"/>
        </w:rPr>
        <w:t xml:space="preserve"> 2014</w:t>
      </w:r>
      <w:r w:rsidR="004728B7" w:rsidRPr="005103A1">
        <w:rPr>
          <w:rFonts w:asciiTheme="majorBidi" w:hAnsiTheme="majorBidi" w:cstheme="majorBidi"/>
        </w:rPr>
        <w:t>)</w:t>
      </w:r>
      <w:r w:rsidR="004A3714" w:rsidRPr="005103A1">
        <w:rPr>
          <w:rFonts w:asciiTheme="majorBidi" w:hAnsiTheme="majorBidi" w:cstheme="majorBidi"/>
        </w:rPr>
        <w:t xml:space="preserve">, we develop and use </w:t>
      </w:r>
      <w:r w:rsidR="002B5971" w:rsidRPr="005103A1">
        <w:rPr>
          <w:rFonts w:asciiTheme="majorBidi" w:hAnsiTheme="majorBidi" w:cstheme="majorBidi"/>
        </w:rPr>
        <w:t>carbon reduction initiatives (</w:t>
      </w:r>
      <w:r w:rsidR="00460ED1" w:rsidRPr="005103A1">
        <w:rPr>
          <w:rFonts w:asciiTheme="majorBidi" w:hAnsiTheme="majorBidi" w:cstheme="majorBidi"/>
          <w:i/>
          <w:iCs/>
        </w:rPr>
        <w:t>P</w:t>
      </w:r>
      <w:r w:rsidR="004A3714" w:rsidRPr="005103A1">
        <w:rPr>
          <w:rFonts w:asciiTheme="majorBidi" w:hAnsiTheme="majorBidi" w:cstheme="majorBidi"/>
          <w:i/>
          <w:iCs/>
        </w:rPr>
        <w:t>CRI</w:t>
      </w:r>
      <w:r w:rsidR="002B5971" w:rsidRPr="005103A1">
        <w:rPr>
          <w:rFonts w:asciiTheme="majorBidi" w:hAnsiTheme="majorBidi" w:cstheme="majorBidi"/>
        </w:rPr>
        <w:t>)</w:t>
      </w:r>
      <w:r w:rsidR="004A3714" w:rsidRPr="005103A1">
        <w:rPr>
          <w:rFonts w:asciiTheme="majorBidi" w:hAnsiTheme="majorBidi" w:cstheme="majorBidi"/>
        </w:rPr>
        <w:t xml:space="preserve"> index as </w:t>
      </w:r>
      <w:r w:rsidR="002B5971" w:rsidRPr="005103A1">
        <w:rPr>
          <w:rFonts w:asciiTheme="majorBidi" w:hAnsiTheme="majorBidi" w:cstheme="majorBidi"/>
        </w:rPr>
        <w:t xml:space="preserve">a measure </w:t>
      </w:r>
      <w:r w:rsidR="001C7524" w:rsidRPr="005103A1">
        <w:rPr>
          <w:rFonts w:asciiTheme="majorBidi" w:hAnsiTheme="majorBidi" w:cstheme="majorBidi"/>
        </w:rPr>
        <w:t xml:space="preserve">for </w:t>
      </w:r>
      <w:r w:rsidR="004A3714" w:rsidRPr="005103A1">
        <w:rPr>
          <w:rFonts w:asciiTheme="majorBidi" w:hAnsiTheme="majorBidi" w:cstheme="majorBidi"/>
        </w:rPr>
        <w:t>process-oriented</w:t>
      </w:r>
      <w:r w:rsidR="00B8082A" w:rsidRPr="005103A1">
        <w:rPr>
          <w:rFonts w:asciiTheme="majorBidi" w:hAnsiTheme="majorBidi" w:cstheme="majorBidi"/>
        </w:rPr>
        <w:t xml:space="preserve"> CP</w:t>
      </w:r>
      <w:r w:rsidR="004A3714" w:rsidRPr="005103A1">
        <w:rPr>
          <w:rFonts w:asciiTheme="majorBidi" w:hAnsiTheme="majorBidi" w:cstheme="majorBidi"/>
        </w:rPr>
        <w:t xml:space="preserve">, </w:t>
      </w:r>
      <w:r w:rsidR="009765DB" w:rsidRPr="005103A1">
        <w:rPr>
          <w:rFonts w:asciiTheme="majorBidi" w:hAnsiTheme="majorBidi" w:cstheme="majorBidi"/>
        </w:rPr>
        <w:t xml:space="preserve">and </w:t>
      </w:r>
      <w:r w:rsidR="004A3714" w:rsidRPr="005103A1">
        <w:rPr>
          <w:rFonts w:asciiTheme="majorBidi" w:hAnsiTheme="majorBidi" w:cstheme="majorBidi"/>
          <w:color w:val="000000" w:themeColor="text1"/>
        </w:rPr>
        <w:t xml:space="preserve">the natural logarithm of total GHG emissions as actual </w:t>
      </w:r>
      <w:r w:rsidR="00B8082A" w:rsidRPr="005103A1">
        <w:rPr>
          <w:rFonts w:asciiTheme="majorBidi" w:hAnsiTheme="majorBidi" w:cstheme="majorBidi"/>
          <w:color w:val="000000" w:themeColor="text1"/>
        </w:rPr>
        <w:t>CP</w:t>
      </w:r>
      <w:r w:rsidR="004A3714" w:rsidRPr="005103A1">
        <w:rPr>
          <w:rFonts w:asciiTheme="majorBidi" w:hAnsiTheme="majorBidi" w:cstheme="majorBidi"/>
          <w:color w:val="000000" w:themeColor="text1"/>
        </w:rPr>
        <w:t xml:space="preserve">. </w:t>
      </w:r>
      <w:r w:rsidR="00460ED1" w:rsidRPr="005103A1">
        <w:rPr>
          <w:rFonts w:asciiTheme="majorBidi" w:hAnsiTheme="majorBidi" w:cstheme="majorBidi"/>
          <w:i/>
          <w:iCs/>
        </w:rPr>
        <w:t>P</w:t>
      </w:r>
      <w:r w:rsidR="00F957CD" w:rsidRPr="005103A1">
        <w:rPr>
          <w:rFonts w:asciiTheme="majorBidi" w:hAnsiTheme="majorBidi" w:cstheme="majorBidi"/>
          <w:i/>
          <w:iCs/>
        </w:rPr>
        <w:t>CRI</w:t>
      </w:r>
      <w:r w:rsidR="00F957CD" w:rsidRPr="005103A1">
        <w:rPr>
          <w:rFonts w:asciiTheme="majorBidi" w:hAnsiTheme="majorBidi" w:cstheme="majorBidi"/>
        </w:rPr>
        <w:t xml:space="preserve"> index </w:t>
      </w:r>
      <w:r w:rsidR="00B51787" w:rsidRPr="005103A1">
        <w:rPr>
          <w:rFonts w:asciiTheme="majorBidi" w:hAnsiTheme="majorBidi" w:cstheme="majorBidi"/>
          <w:color w:val="000000" w:themeColor="text1"/>
        </w:rPr>
        <w:t>represent</w:t>
      </w:r>
      <w:r w:rsidR="00F957CD" w:rsidRPr="005103A1">
        <w:rPr>
          <w:rFonts w:asciiTheme="majorBidi" w:hAnsiTheme="majorBidi" w:cstheme="majorBidi"/>
          <w:color w:val="000000" w:themeColor="text1"/>
        </w:rPr>
        <w:t>s</w:t>
      </w:r>
      <w:r w:rsidR="00B51787" w:rsidRPr="005103A1">
        <w:rPr>
          <w:rFonts w:asciiTheme="majorBidi" w:hAnsiTheme="majorBidi" w:cstheme="majorBidi"/>
          <w:color w:val="000000" w:themeColor="text1"/>
        </w:rPr>
        <w:t xml:space="preserve"> </w:t>
      </w:r>
      <w:r w:rsidR="00BF6BF7" w:rsidRPr="005103A1">
        <w:rPr>
          <w:rFonts w:asciiTheme="majorBidi" w:hAnsiTheme="majorBidi" w:cstheme="majorBidi"/>
          <w:color w:val="000000" w:themeColor="text1"/>
        </w:rPr>
        <w:t xml:space="preserve">21 </w:t>
      </w:r>
      <w:r w:rsidR="00F957CD" w:rsidRPr="005103A1">
        <w:rPr>
          <w:rFonts w:asciiTheme="majorBidi" w:hAnsiTheme="majorBidi" w:cstheme="majorBidi"/>
          <w:color w:val="000000" w:themeColor="text1"/>
        </w:rPr>
        <w:t>firm</w:t>
      </w:r>
      <w:r w:rsidR="00B51787" w:rsidRPr="005103A1">
        <w:rPr>
          <w:rFonts w:asciiTheme="majorBidi" w:hAnsiTheme="majorBidi" w:cstheme="majorBidi"/>
          <w:color w:val="000000" w:themeColor="text1"/>
        </w:rPr>
        <w:t xml:space="preserve">-specific </w:t>
      </w:r>
      <w:r w:rsidR="00BF6BF7" w:rsidRPr="005103A1">
        <w:rPr>
          <w:rFonts w:asciiTheme="majorBidi" w:hAnsiTheme="majorBidi" w:cstheme="majorBidi"/>
          <w:color w:val="000000" w:themeColor="text1"/>
        </w:rPr>
        <w:t xml:space="preserve">carbon reduction </w:t>
      </w:r>
      <w:r w:rsidR="001C7524" w:rsidRPr="005103A1">
        <w:rPr>
          <w:rFonts w:asciiTheme="majorBidi" w:hAnsiTheme="majorBidi" w:cstheme="majorBidi"/>
          <w:color w:val="000000" w:themeColor="text1"/>
        </w:rPr>
        <w:t>initiatives</w:t>
      </w:r>
      <w:r w:rsidR="00B51787" w:rsidRPr="005103A1">
        <w:rPr>
          <w:rFonts w:asciiTheme="majorBidi" w:hAnsiTheme="majorBidi" w:cstheme="majorBidi"/>
          <w:color w:val="000000" w:themeColor="text1"/>
        </w:rPr>
        <w:t xml:space="preserve">, with higher </w:t>
      </w:r>
      <w:r w:rsidR="00460ED1" w:rsidRPr="005103A1">
        <w:rPr>
          <w:rFonts w:asciiTheme="majorBidi" w:hAnsiTheme="majorBidi" w:cstheme="majorBidi"/>
          <w:i/>
          <w:iCs/>
          <w:color w:val="000000" w:themeColor="text1"/>
        </w:rPr>
        <w:t>P</w:t>
      </w:r>
      <w:r w:rsidR="00B51787" w:rsidRPr="005103A1">
        <w:rPr>
          <w:rFonts w:asciiTheme="majorBidi" w:hAnsiTheme="majorBidi" w:cstheme="majorBidi"/>
          <w:i/>
          <w:iCs/>
          <w:color w:val="000000" w:themeColor="text1"/>
        </w:rPr>
        <w:t>CRI</w:t>
      </w:r>
      <w:r w:rsidR="00B51787" w:rsidRPr="005103A1">
        <w:rPr>
          <w:rFonts w:asciiTheme="majorBidi" w:hAnsiTheme="majorBidi" w:cstheme="majorBidi"/>
          <w:color w:val="000000" w:themeColor="text1"/>
        </w:rPr>
        <w:t xml:space="preserve"> indicating greater climate-related activism of a firm. </w:t>
      </w:r>
      <w:r w:rsidR="005B51E3" w:rsidRPr="005103A1">
        <w:rPr>
          <w:rFonts w:asciiTheme="majorBidi" w:hAnsiTheme="majorBidi" w:cstheme="majorBidi"/>
          <w:color w:val="000000" w:themeColor="text1"/>
        </w:rPr>
        <w:t xml:space="preserve">The Appendix contains all 21 </w:t>
      </w:r>
      <w:r w:rsidR="0071564D" w:rsidRPr="005103A1">
        <w:rPr>
          <w:rFonts w:asciiTheme="majorBidi" w:hAnsiTheme="majorBidi" w:cstheme="majorBidi"/>
          <w:color w:val="000000" w:themeColor="text1"/>
        </w:rPr>
        <w:t xml:space="preserve">carbon reduction </w:t>
      </w:r>
      <w:r w:rsidR="005B51E3" w:rsidRPr="005103A1">
        <w:rPr>
          <w:rFonts w:asciiTheme="majorBidi" w:hAnsiTheme="majorBidi" w:cstheme="majorBidi"/>
          <w:color w:val="000000" w:themeColor="text1"/>
        </w:rPr>
        <w:t xml:space="preserve">initiatives and how they were measured. </w:t>
      </w:r>
      <w:r w:rsidR="002D5255" w:rsidRPr="005103A1">
        <w:rPr>
          <w:rFonts w:asciiTheme="majorBidi" w:hAnsiTheme="majorBidi" w:cstheme="majorBidi"/>
        </w:rPr>
        <w:t xml:space="preserve">In order to address the concerns </w:t>
      </w:r>
      <w:r w:rsidR="008865BC" w:rsidRPr="005103A1">
        <w:rPr>
          <w:rFonts w:asciiTheme="majorBidi" w:hAnsiTheme="majorBidi" w:cstheme="majorBidi"/>
        </w:rPr>
        <w:t xml:space="preserve">of </w:t>
      </w:r>
      <w:r w:rsidR="002D5255" w:rsidRPr="005103A1">
        <w:rPr>
          <w:rFonts w:asciiTheme="majorBidi" w:hAnsiTheme="majorBidi" w:cstheme="majorBidi"/>
        </w:rPr>
        <w:t xml:space="preserve">validity of our </w:t>
      </w:r>
      <w:r w:rsidR="002D5255" w:rsidRPr="005103A1">
        <w:rPr>
          <w:rFonts w:asciiTheme="majorBidi" w:hAnsiTheme="majorBidi" w:cstheme="majorBidi"/>
          <w:i/>
        </w:rPr>
        <w:t>PCRI</w:t>
      </w:r>
      <w:r w:rsidR="008865BC" w:rsidRPr="005103A1">
        <w:rPr>
          <w:rFonts w:asciiTheme="majorBidi" w:hAnsiTheme="majorBidi" w:cstheme="majorBidi"/>
        </w:rPr>
        <w:t xml:space="preserve"> variable</w:t>
      </w:r>
      <w:r w:rsidR="002D5255" w:rsidRPr="005103A1">
        <w:rPr>
          <w:rFonts w:asciiTheme="majorBidi" w:hAnsiTheme="majorBidi" w:cstheme="majorBidi"/>
        </w:rPr>
        <w:t>,</w:t>
      </w:r>
      <w:r w:rsidR="002D5255" w:rsidRPr="005103A1">
        <w:rPr>
          <w:rFonts w:asciiTheme="majorBidi" w:hAnsiTheme="majorBidi" w:cstheme="majorBidi"/>
          <w:b/>
        </w:rPr>
        <w:t xml:space="preserve"> </w:t>
      </w:r>
      <w:r w:rsidR="002D5255" w:rsidRPr="005103A1">
        <w:rPr>
          <w:rFonts w:asciiTheme="majorBidi" w:hAnsiTheme="majorBidi" w:cstheme="majorBidi"/>
        </w:rPr>
        <w:t xml:space="preserve">we have </w:t>
      </w:r>
      <w:r w:rsidR="008865BC" w:rsidRPr="005103A1">
        <w:rPr>
          <w:rFonts w:asciiTheme="majorBidi" w:hAnsiTheme="majorBidi" w:cstheme="majorBidi"/>
        </w:rPr>
        <w:t xml:space="preserve">also </w:t>
      </w:r>
      <w:r w:rsidR="002D5255" w:rsidRPr="005103A1">
        <w:rPr>
          <w:rFonts w:asciiTheme="majorBidi" w:hAnsiTheme="majorBidi" w:cstheme="majorBidi"/>
        </w:rPr>
        <w:t xml:space="preserve">estimated Cronbach’s alpha of the individual items of </w:t>
      </w:r>
      <w:r w:rsidR="002D5255" w:rsidRPr="005103A1">
        <w:rPr>
          <w:rFonts w:asciiTheme="majorBidi" w:hAnsiTheme="majorBidi" w:cstheme="majorBidi"/>
          <w:i/>
          <w:iCs/>
        </w:rPr>
        <w:t>PCRI</w:t>
      </w:r>
      <w:r w:rsidR="002D5255" w:rsidRPr="005103A1">
        <w:rPr>
          <w:rFonts w:asciiTheme="majorBidi" w:hAnsiTheme="majorBidi" w:cstheme="majorBidi"/>
        </w:rPr>
        <w:t xml:space="preserve">. The alpha value of 0.8896 indicates that </w:t>
      </w:r>
      <w:r w:rsidR="008865BC" w:rsidRPr="005103A1">
        <w:rPr>
          <w:rFonts w:asciiTheme="majorBidi" w:hAnsiTheme="majorBidi" w:cstheme="majorBidi"/>
        </w:rPr>
        <w:t xml:space="preserve">our instrument is valid in that the individual </w:t>
      </w:r>
      <w:r w:rsidR="002D5255" w:rsidRPr="005103A1">
        <w:rPr>
          <w:rFonts w:asciiTheme="majorBidi" w:hAnsiTheme="majorBidi" w:cstheme="majorBidi"/>
        </w:rPr>
        <w:t xml:space="preserve">items </w:t>
      </w:r>
      <w:r w:rsidR="008865BC" w:rsidRPr="005103A1">
        <w:rPr>
          <w:rFonts w:asciiTheme="majorBidi" w:hAnsiTheme="majorBidi" w:cstheme="majorBidi"/>
        </w:rPr>
        <w:t xml:space="preserve">of </w:t>
      </w:r>
      <w:r w:rsidR="008865BC" w:rsidRPr="005103A1">
        <w:rPr>
          <w:rFonts w:asciiTheme="majorBidi" w:hAnsiTheme="majorBidi" w:cstheme="majorBidi"/>
          <w:i/>
          <w:iCs/>
        </w:rPr>
        <w:t>PCRI</w:t>
      </w:r>
      <w:r w:rsidR="008865BC" w:rsidRPr="005103A1">
        <w:rPr>
          <w:rFonts w:asciiTheme="majorBidi" w:hAnsiTheme="majorBidi" w:cstheme="majorBidi"/>
        </w:rPr>
        <w:t xml:space="preserve"> </w:t>
      </w:r>
      <w:r w:rsidR="002D5255" w:rsidRPr="005103A1">
        <w:rPr>
          <w:rFonts w:asciiTheme="majorBidi" w:hAnsiTheme="majorBidi" w:cstheme="majorBidi"/>
        </w:rPr>
        <w:t>have relatively high</w:t>
      </w:r>
      <w:r w:rsidR="008865BC" w:rsidRPr="005103A1">
        <w:rPr>
          <w:rFonts w:asciiTheme="majorBidi" w:hAnsiTheme="majorBidi" w:cstheme="majorBidi"/>
        </w:rPr>
        <w:t>er</w:t>
      </w:r>
      <w:r w:rsidR="002D5255" w:rsidRPr="005103A1">
        <w:rPr>
          <w:rFonts w:asciiTheme="majorBidi" w:hAnsiTheme="majorBidi" w:cstheme="majorBidi"/>
        </w:rPr>
        <w:t xml:space="preserve"> internal consistency. </w:t>
      </w:r>
      <w:r w:rsidR="00B51787" w:rsidRPr="005103A1">
        <w:rPr>
          <w:rFonts w:asciiTheme="majorBidi" w:hAnsiTheme="majorBidi" w:cstheme="majorBidi"/>
          <w:color w:val="000000" w:themeColor="text1"/>
        </w:rPr>
        <w:t xml:space="preserve">Table 2 describes </w:t>
      </w:r>
      <w:r w:rsidR="00EA743C" w:rsidRPr="005103A1">
        <w:rPr>
          <w:rFonts w:asciiTheme="majorBidi" w:hAnsiTheme="majorBidi" w:cstheme="majorBidi"/>
          <w:color w:val="000000" w:themeColor="text1"/>
        </w:rPr>
        <w:t xml:space="preserve">all </w:t>
      </w:r>
      <w:r w:rsidR="00B51787" w:rsidRPr="005103A1">
        <w:rPr>
          <w:rFonts w:asciiTheme="majorBidi" w:hAnsiTheme="majorBidi" w:cstheme="majorBidi"/>
          <w:color w:val="000000" w:themeColor="text1"/>
        </w:rPr>
        <w:t>the variables</w:t>
      </w:r>
      <w:r w:rsidR="0031002F" w:rsidRPr="005103A1">
        <w:rPr>
          <w:rFonts w:asciiTheme="majorBidi" w:hAnsiTheme="majorBidi" w:cstheme="majorBidi"/>
          <w:color w:val="000000" w:themeColor="text1"/>
        </w:rPr>
        <w:t xml:space="preserve"> contained in</w:t>
      </w:r>
      <w:r w:rsidR="00B51787" w:rsidRPr="005103A1">
        <w:rPr>
          <w:rFonts w:asciiTheme="majorBidi" w:hAnsiTheme="majorBidi" w:cstheme="majorBidi"/>
          <w:color w:val="000000" w:themeColor="text1"/>
        </w:rPr>
        <w:t xml:space="preserve"> </w:t>
      </w:r>
      <w:r w:rsidR="0031002F" w:rsidRPr="005103A1">
        <w:rPr>
          <w:rFonts w:asciiTheme="majorBidi" w:hAnsiTheme="majorBidi" w:cstheme="majorBidi"/>
          <w:color w:val="000000" w:themeColor="text1"/>
        </w:rPr>
        <w:t xml:space="preserve">our </w:t>
      </w:r>
      <w:r w:rsidR="00B51787" w:rsidRPr="005103A1">
        <w:rPr>
          <w:rFonts w:asciiTheme="majorBidi" w:hAnsiTheme="majorBidi" w:cstheme="majorBidi"/>
          <w:color w:val="000000" w:themeColor="text1"/>
        </w:rPr>
        <w:t>empirical model</w:t>
      </w:r>
      <w:r w:rsidR="0031002F" w:rsidRPr="005103A1">
        <w:rPr>
          <w:rFonts w:asciiTheme="majorBidi" w:hAnsiTheme="majorBidi" w:cstheme="majorBidi"/>
          <w:color w:val="000000" w:themeColor="text1"/>
        </w:rPr>
        <w:t>s,</w:t>
      </w:r>
      <w:r w:rsidR="00B51787" w:rsidRPr="005103A1">
        <w:rPr>
          <w:rFonts w:asciiTheme="majorBidi" w:hAnsiTheme="majorBidi" w:cstheme="majorBidi"/>
          <w:color w:val="000000" w:themeColor="text1"/>
        </w:rPr>
        <w:t xml:space="preserve"> including the details of emission-related activities that are used to construct </w:t>
      </w:r>
      <w:r w:rsidR="00460ED1" w:rsidRPr="005103A1">
        <w:rPr>
          <w:rFonts w:asciiTheme="majorBidi" w:hAnsiTheme="majorBidi" w:cstheme="majorBidi"/>
          <w:i/>
          <w:iCs/>
          <w:color w:val="000000" w:themeColor="text1"/>
        </w:rPr>
        <w:t>P</w:t>
      </w:r>
      <w:r w:rsidR="00B51787" w:rsidRPr="005103A1">
        <w:rPr>
          <w:rFonts w:asciiTheme="majorBidi" w:hAnsiTheme="majorBidi" w:cstheme="majorBidi"/>
          <w:i/>
          <w:iCs/>
          <w:color w:val="000000" w:themeColor="text1"/>
        </w:rPr>
        <w:t>CRI</w:t>
      </w:r>
      <w:r w:rsidR="00B51787" w:rsidRPr="005103A1">
        <w:rPr>
          <w:rFonts w:asciiTheme="majorBidi" w:hAnsiTheme="majorBidi" w:cstheme="majorBidi"/>
          <w:color w:val="000000" w:themeColor="text1"/>
        </w:rPr>
        <w:t xml:space="preserve"> index.  </w:t>
      </w:r>
    </w:p>
    <w:p w14:paraId="7978287B" w14:textId="148D90B0" w:rsidR="0040657D" w:rsidRPr="00A20598" w:rsidRDefault="0040657D" w:rsidP="0040657D">
      <w:pPr>
        <w:spacing w:after="0" w:line="480" w:lineRule="auto"/>
        <w:ind w:firstLine="720"/>
        <w:jc w:val="center"/>
        <w:rPr>
          <w:rFonts w:asciiTheme="majorBidi" w:hAnsiTheme="majorBidi" w:cstheme="majorBidi"/>
          <w:color w:val="000000" w:themeColor="text1"/>
        </w:rPr>
      </w:pPr>
      <w:r>
        <w:rPr>
          <w:rFonts w:asciiTheme="majorBidi" w:hAnsiTheme="majorBidi" w:cstheme="majorBidi"/>
          <w:color w:val="000000" w:themeColor="text1"/>
        </w:rPr>
        <w:t>Table 2</w:t>
      </w:r>
      <w:r w:rsidR="00B26417">
        <w:rPr>
          <w:rFonts w:asciiTheme="majorBidi" w:hAnsiTheme="majorBidi" w:cstheme="majorBidi"/>
          <w:color w:val="000000" w:themeColor="text1"/>
        </w:rPr>
        <w:t xml:space="preserve"> Here</w:t>
      </w:r>
    </w:p>
    <w:p w14:paraId="3D0F70FD" w14:textId="77777777" w:rsidR="00740447" w:rsidRPr="005103A1" w:rsidRDefault="00740447" w:rsidP="0071564D">
      <w:pPr>
        <w:spacing w:after="0" w:line="240" w:lineRule="auto"/>
        <w:jc w:val="both"/>
        <w:rPr>
          <w:rFonts w:asciiTheme="majorBidi" w:hAnsiTheme="majorBidi" w:cstheme="majorBidi"/>
          <w:color w:val="000000" w:themeColor="text1"/>
        </w:rPr>
      </w:pPr>
    </w:p>
    <w:p w14:paraId="32E3461A" w14:textId="5B430FC7" w:rsidR="00AD7C90" w:rsidRPr="005103A1" w:rsidRDefault="00723385" w:rsidP="00230F30">
      <w:pPr>
        <w:spacing w:after="0" w:line="480" w:lineRule="auto"/>
        <w:ind w:firstLine="720"/>
        <w:jc w:val="both"/>
        <w:rPr>
          <w:rFonts w:asciiTheme="majorBidi" w:hAnsiTheme="majorBidi" w:cstheme="majorBidi"/>
          <w:color w:val="000000" w:themeColor="text1"/>
        </w:rPr>
      </w:pPr>
      <w:r w:rsidRPr="005103A1">
        <w:rPr>
          <w:rFonts w:asciiTheme="majorBidi" w:hAnsiTheme="majorBidi" w:cstheme="majorBidi"/>
          <w:color w:val="000000" w:themeColor="text1"/>
        </w:rPr>
        <w:t>We u</w:t>
      </w:r>
      <w:r w:rsidR="00C74DCB" w:rsidRPr="005103A1">
        <w:rPr>
          <w:rFonts w:asciiTheme="majorBidi" w:hAnsiTheme="majorBidi" w:cstheme="majorBidi"/>
          <w:color w:val="000000" w:themeColor="text1"/>
        </w:rPr>
        <w:t xml:space="preserve">se two alternative measures of </w:t>
      </w:r>
      <w:r w:rsidR="00B8082A" w:rsidRPr="005103A1">
        <w:rPr>
          <w:rFonts w:asciiTheme="majorBidi" w:hAnsiTheme="majorBidi" w:cstheme="majorBidi"/>
          <w:color w:val="000000" w:themeColor="text1"/>
        </w:rPr>
        <w:t>EC</w:t>
      </w:r>
      <w:r w:rsidR="00460ED1" w:rsidRPr="005103A1">
        <w:rPr>
          <w:rFonts w:asciiTheme="majorBidi" w:hAnsiTheme="majorBidi" w:cstheme="majorBidi"/>
          <w:color w:val="000000" w:themeColor="text1"/>
        </w:rPr>
        <w:t>, namely</w:t>
      </w:r>
      <w:r w:rsidRPr="005103A1">
        <w:rPr>
          <w:rFonts w:asciiTheme="majorBidi" w:hAnsiTheme="majorBidi" w:cstheme="majorBidi"/>
          <w:color w:val="000000" w:themeColor="text1"/>
        </w:rPr>
        <w:t xml:space="preserve"> the natural logarithm of total </w:t>
      </w:r>
      <w:r w:rsidR="00486C97" w:rsidRPr="005103A1">
        <w:rPr>
          <w:rFonts w:asciiTheme="majorBidi" w:hAnsiTheme="majorBidi" w:cstheme="majorBidi"/>
          <w:color w:val="000000" w:themeColor="text1"/>
        </w:rPr>
        <w:t xml:space="preserve">fixed and variable </w:t>
      </w:r>
      <w:r w:rsidRPr="005103A1">
        <w:rPr>
          <w:rFonts w:asciiTheme="majorBidi" w:hAnsiTheme="majorBidi" w:cstheme="majorBidi"/>
          <w:color w:val="000000" w:themeColor="text1"/>
        </w:rPr>
        <w:t>compensation</w:t>
      </w:r>
      <w:r w:rsidR="00486C97" w:rsidRPr="005103A1">
        <w:rPr>
          <w:rFonts w:asciiTheme="majorBidi" w:hAnsiTheme="majorBidi" w:cstheme="majorBidi"/>
          <w:color w:val="000000" w:themeColor="text1"/>
        </w:rPr>
        <w:t>s</w:t>
      </w:r>
      <w:r w:rsidRPr="005103A1">
        <w:rPr>
          <w:rFonts w:asciiTheme="majorBidi" w:hAnsiTheme="majorBidi" w:cstheme="majorBidi"/>
          <w:color w:val="000000" w:themeColor="text1"/>
        </w:rPr>
        <w:t xml:space="preserve"> paid to all senior executives</w:t>
      </w:r>
      <w:r w:rsidR="00230F30" w:rsidRPr="005103A1">
        <w:rPr>
          <w:rStyle w:val="FootnoteReference"/>
          <w:rFonts w:asciiTheme="majorBidi" w:hAnsiTheme="majorBidi" w:cstheme="majorBidi"/>
          <w:color w:val="000000" w:themeColor="text1"/>
        </w:rPr>
        <w:footnoteReference w:id="3"/>
      </w:r>
      <w:r w:rsidR="00486C97" w:rsidRPr="005103A1">
        <w:rPr>
          <w:rFonts w:asciiTheme="majorBidi" w:hAnsiTheme="majorBidi" w:cstheme="majorBidi"/>
          <w:color w:val="000000" w:themeColor="text1"/>
        </w:rPr>
        <w:t xml:space="preserve">, as reported by the </w:t>
      </w:r>
      <w:r w:rsidR="000B6278" w:rsidRPr="005103A1">
        <w:rPr>
          <w:rFonts w:asciiTheme="majorBidi" w:hAnsiTheme="majorBidi" w:cstheme="majorBidi"/>
          <w:color w:val="000000" w:themeColor="text1"/>
        </w:rPr>
        <w:t xml:space="preserve">sampled </w:t>
      </w:r>
      <w:r w:rsidR="00486C97" w:rsidRPr="005103A1">
        <w:rPr>
          <w:rFonts w:asciiTheme="majorBidi" w:hAnsiTheme="majorBidi" w:cstheme="majorBidi"/>
          <w:color w:val="000000" w:themeColor="text1"/>
        </w:rPr>
        <w:t>firm</w:t>
      </w:r>
      <w:r w:rsidR="00FD5B31" w:rsidRPr="005103A1">
        <w:rPr>
          <w:rFonts w:asciiTheme="majorBidi" w:hAnsiTheme="majorBidi" w:cstheme="majorBidi"/>
          <w:color w:val="000000" w:themeColor="text1"/>
        </w:rPr>
        <w:t>s</w:t>
      </w:r>
      <w:r w:rsidR="00BE1D03" w:rsidRPr="005103A1">
        <w:rPr>
          <w:rFonts w:asciiTheme="majorBidi" w:hAnsiTheme="majorBidi" w:cstheme="majorBidi"/>
          <w:color w:val="000000" w:themeColor="text1"/>
        </w:rPr>
        <w:t xml:space="preserve"> (</w:t>
      </w:r>
      <w:r w:rsidR="00BE1D03" w:rsidRPr="005103A1">
        <w:rPr>
          <w:rFonts w:asciiTheme="majorBidi" w:hAnsiTheme="majorBidi" w:cstheme="majorBidi"/>
          <w:i/>
          <w:iCs/>
          <w:color w:val="000000" w:themeColor="text1"/>
        </w:rPr>
        <w:t>EC</w:t>
      </w:r>
      <w:r w:rsidR="00BE1D03" w:rsidRPr="005103A1">
        <w:rPr>
          <w:rFonts w:asciiTheme="majorBidi" w:hAnsiTheme="majorBidi" w:cstheme="majorBidi"/>
          <w:color w:val="000000" w:themeColor="text1"/>
        </w:rPr>
        <w:t>)</w:t>
      </w:r>
      <w:r w:rsidR="00486C97" w:rsidRPr="005103A1">
        <w:rPr>
          <w:rFonts w:asciiTheme="majorBidi" w:hAnsiTheme="majorBidi" w:cstheme="majorBidi"/>
          <w:color w:val="000000" w:themeColor="text1"/>
        </w:rPr>
        <w:t>,</w:t>
      </w:r>
      <w:r w:rsidRPr="005103A1">
        <w:rPr>
          <w:rFonts w:asciiTheme="majorBidi" w:hAnsiTheme="majorBidi" w:cstheme="majorBidi"/>
          <w:color w:val="000000" w:themeColor="text1"/>
        </w:rPr>
        <w:t xml:space="preserve"> and </w:t>
      </w:r>
      <w:r w:rsidR="00E05323" w:rsidRPr="005103A1">
        <w:rPr>
          <w:rFonts w:asciiTheme="majorBidi" w:hAnsiTheme="majorBidi" w:cstheme="majorBidi"/>
          <w:color w:val="000000" w:themeColor="text1"/>
        </w:rPr>
        <w:t>ESG-based compensations policy (</w:t>
      </w:r>
      <w:r w:rsidR="00E05323" w:rsidRPr="005103A1">
        <w:rPr>
          <w:rFonts w:asciiTheme="majorBidi" w:hAnsiTheme="majorBidi" w:cstheme="majorBidi"/>
          <w:i/>
          <w:color w:val="000000" w:themeColor="text1"/>
        </w:rPr>
        <w:t>ESG</w:t>
      </w:r>
      <w:r w:rsidR="00E05323" w:rsidRPr="005103A1">
        <w:rPr>
          <w:rFonts w:asciiTheme="majorBidi" w:hAnsiTheme="majorBidi" w:cstheme="majorBidi"/>
          <w:color w:val="000000" w:themeColor="text1"/>
        </w:rPr>
        <w:t xml:space="preserve">). </w:t>
      </w:r>
      <w:r w:rsidR="00A62234" w:rsidRPr="005103A1">
        <w:rPr>
          <w:rFonts w:asciiTheme="majorBidi" w:hAnsiTheme="majorBidi" w:cstheme="majorBidi"/>
          <w:color w:val="000000" w:themeColor="text1"/>
        </w:rPr>
        <w:t>We also use sustainable compensation policy (</w:t>
      </w:r>
      <w:r w:rsidR="00A62234" w:rsidRPr="005103A1">
        <w:rPr>
          <w:rFonts w:asciiTheme="majorBidi" w:hAnsiTheme="majorBidi" w:cstheme="majorBidi"/>
          <w:i/>
          <w:iCs/>
          <w:color w:val="000000" w:themeColor="text1"/>
        </w:rPr>
        <w:t>ESG</w:t>
      </w:r>
      <w:r w:rsidR="00A62234" w:rsidRPr="005103A1">
        <w:rPr>
          <w:rFonts w:asciiTheme="majorBidi" w:hAnsiTheme="majorBidi" w:cstheme="majorBidi"/>
          <w:color w:val="000000" w:themeColor="text1"/>
        </w:rPr>
        <w:t xml:space="preserve">), which is a dummy variable indicating a firm’s adoption of </w:t>
      </w:r>
      <w:r w:rsidR="002659A2" w:rsidRPr="005103A1">
        <w:rPr>
          <w:rFonts w:asciiTheme="majorBidi" w:hAnsiTheme="majorBidi" w:cstheme="majorBidi"/>
          <w:color w:val="000000" w:themeColor="text1"/>
        </w:rPr>
        <w:t>ESG-</w:t>
      </w:r>
      <w:r w:rsidR="00A62234" w:rsidRPr="005103A1">
        <w:rPr>
          <w:rFonts w:asciiTheme="majorBidi" w:hAnsiTheme="majorBidi" w:cstheme="majorBidi"/>
          <w:color w:val="000000" w:themeColor="text1"/>
        </w:rPr>
        <w:t xml:space="preserve">based compensation policy. </w:t>
      </w:r>
    </w:p>
    <w:p w14:paraId="540522B8" w14:textId="77777777" w:rsidR="00723385" w:rsidRPr="005103A1" w:rsidRDefault="00723385" w:rsidP="0067740C">
      <w:pPr>
        <w:spacing w:after="0" w:line="240" w:lineRule="auto"/>
        <w:ind w:firstLine="720"/>
        <w:jc w:val="both"/>
        <w:rPr>
          <w:rFonts w:asciiTheme="majorBidi" w:hAnsiTheme="majorBidi" w:cstheme="majorBidi"/>
          <w:color w:val="000000" w:themeColor="text1"/>
        </w:rPr>
      </w:pPr>
    </w:p>
    <w:p w14:paraId="6411CD6D" w14:textId="1761FB11" w:rsidR="00B51787" w:rsidRPr="005103A1" w:rsidRDefault="00AD7C90" w:rsidP="0064103E">
      <w:pPr>
        <w:pStyle w:val="ListParagraph"/>
        <w:spacing w:after="0" w:line="480" w:lineRule="auto"/>
        <w:ind w:left="0"/>
        <w:contextualSpacing w:val="0"/>
        <w:jc w:val="both"/>
        <w:rPr>
          <w:rFonts w:asciiTheme="majorBidi" w:hAnsiTheme="majorBidi" w:cstheme="majorBidi"/>
          <w:i/>
        </w:rPr>
      </w:pPr>
      <w:r w:rsidRPr="005103A1">
        <w:rPr>
          <w:rFonts w:asciiTheme="majorBidi" w:hAnsiTheme="majorBidi" w:cstheme="majorBidi"/>
          <w:i/>
        </w:rPr>
        <w:t>Control variables</w:t>
      </w:r>
    </w:p>
    <w:p w14:paraId="4CD00744" w14:textId="06227E5F" w:rsidR="00AD7C90" w:rsidRPr="005103A1" w:rsidRDefault="004F3236" w:rsidP="00E1692B">
      <w:pPr>
        <w:spacing w:after="0" w:line="480" w:lineRule="auto"/>
        <w:jc w:val="both"/>
        <w:rPr>
          <w:rFonts w:asciiTheme="majorBidi" w:hAnsiTheme="majorBidi" w:cstheme="majorBidi"/>
        </w:rPr>
      </w:pPr>
      <w:r>
        <w:rPr>
          <w:rFonts w:asciiTheme="majorBidi" w:hAnsiTheme="majorBidi" w:cstheme="majorBidi"/>
          <w:color w:val="000000" w:themeColor="text1"/>
        </w:rPr>
        <w:tab/>
      </w:r>
      <w:r w:rsidR="00CA0E42" w:rsidRPr="005103A1">
        <w:rPr>
          <w:rFonts w:asciiTheme="majorBidi" w:hAnsiTheme="majorBidi" w:cstheme="majorBidi"/>
          <w:color w:val="000000" w:themeColor="text1"/>
        </w:rPr>
        <w:t xml:space="preserve">We use two sets of control variables capturing </w:t>
      </w:r>
      <w:r w:rsidR="00B8082A" w:rsidRPr="005103A1">
        <w:rPr>
          <w:rFonts w:asciiTheme="majorBidi" w:hAnsiTheme="majorBidi" w:cstheme="majorBidi"/>
          <w:color w:val="000000" w:themeColor="text1"/>
        </w:rPr>
        <w:t>CG</w:t>
      </w:r>
      <w:r w:rsidR="00CA0E42" w:rsidRPr="005103A1">
        <w:rPr>
          <w:rFonts w:asciiTheme="majorBidi" w:hAnsiTheme="majorBidi" w:cstheme="majorBidi"/>
          <w:color w:val="000000" w:themeColor="text1"/>
        </w:rPr>
        <w:t xml:space="preserve"> and other firm characteristics. Following </w:t>
      </w:r>
      <w:r w:rsidR="00DD4620" w:rsidRPr="005103A1">
        <w:rPr>
          <w:rFonts w:asciiTheme="majorBidi" w:hAnsiTheme="majorBidi" w:cstheme="majorBidi"/>
          <w:color w:val="000000" w:themeColor="text1"/>
        </w:rPr>
        <w:t>related literature (Berrone and Gomez-Mejia, 2009)</w:t>
      </w:r>
      <w:r w:rsidR="00CA0E42" w:rsidRPr="005103A1">
        <w:rPr>
          <w:rFonts w:asciiTheme="majorBidi" w:hAnsiTheme="majorBidi" w:cstheme="majorBidi"/>
          <w:color w:val="000000" w:themeColor="text1"/>
        </w:rPr>
        <w:t xml:space="preserve">, we use </w:t>
      </w:r>
      <w:r w:rsidR="002659A2" w:rsidRPr="005103A1">
        <w:rPr>
          <w:rFonts w:asciiTheme="majorBidi" w:hAnsiTheme="majorBidi" w:cstheme="majorBidi"/>
          <w:color w:val="000000" w:themeColor="text1"/>
        </w:rPr>
        <w:t xml:space="preserve">several </w:t>
      </w:r>
      <w:r w:rsidR="006B06DE" w:rsidRPr="005103A1">
        <w:rPr>
          <w:rFonts w:asciiTheme="majorBidi" w:hAnsiTheme="majorBidi" w:cstheme="majorBidi"/>
          <w:color w:val="000000" w:themeColor="text1"/>
        </w:rPr>
        <w:t>CG</w:t>
      </w:r>
      <w:r w:rsidR="00CA0E42" w:rsidRPr="005103A1">
        <w:rPr>
          <w:rFonts w:asciiTheme="majorBidi" w:hAnsiTheme="majorBidi" w:cstheme="majorBidi"/>
          <w:color w:val="000000" w:themeColor="text1"/>
        </w:rPr>
        <w:t xml:space="preserve"> indicators</w:t>
      </w:r>
      <w:r w:rsidR="00FE0ED5" w:rsidRPr="005103A1">
        <w:rPr>
          <w:rFonts w:asciiTheme="majorBidi" w:hAnsiTheme="majorBidi" w:cstheme="majorBidi"/>
          <w:color w:val="000000" w:themeColor="text1"/>
        </w:rPr>
        <w:t>,</w:t>
      </w:r>
      <w:r w:rsidR="00CA0E42" w:rsidRPr="005103A1">
        <w:rPr>
          <w:rFonts w:asciiTheme="majorBidi" w:hAnsiTheme="majorBidi" w:cstheme="majorBidi"/>
          <w:color w:val="000000" w:themeColor="text1"/>
        </w:rPr>
        <w:t xml:space="preserve"> such as </w:t>
      </w:r>
      <w:r w:rsidR="00CA0E42" w:rsidRPr="005103A1">
        <w:rPr>
          <w:rFonts w:asciiTheme="majorBidi" w:hAnsiTheme="majorBidi" w:cstheme="majorBidi"/>
        </w:rPr>
        <w:t xml:space="preserve">board independence, </w:t>
      </w:r>
      <w:r w:rsidR="00CA0E42" w:rsidRPr="005103A1">
        <w:rPr>
          <w:rFonts w:asciiTheme="majorBidi" w:hAnsiTheme="majorBidi" w:cstheme="majorBidi"/>
          <w:color w:val="000000" w:themeColor="text1"/>
        </w:rPr>
        <w:lastRenderedPageBreak/>
        <w:t xml:space="preserve">board size, CEO-chair separation </w:t>
      </w:r>
      <w:r w:rsidR="00AD7C90" w:rsidRPr="005103A1">
        <w:rPr>
          <w:rFonts w:asciiTheme="majorBidi" w:hAnsiTheme="majorBidi" w:cstheme="majorBidi"/>
        </w:rPr>
        <w:t xml:space="preserve">and the presence of CSR committee </w:t>
      </w:r>
      <w:r w:rsidR="00CA0E42" w:rsidRPr="005103A1">
        <w:rPr>
          <w:rFonts w:asciiTheme="majorBidi" w:hAnsiTheme="majorBidi" w:cstheme="majorBidi"/>
          <w:color w:val="000000" w:themeColor="text1"/>
        </w:rPr>
        <w:t>of the board</w:t>
      </w:r>
      <w:r w:rsidR="00AD7C90" w:rsidRPr="005103A1">
        <w:rPr>
          <w:rFonts w:asciiTheme="majorBidi" w:hAnsiTheme="majorBidi" w:cstheme="majorBidi"/>
          <w:color w:val="000000" w:themeColor="text1"/>
        </w:rPr>
        <w:t>.</w:t>
      </w:r>
      <w:r w:rsidR="005E7D80" w:rsidRPr="005103A1">
        <w:rPr>
          <w:rFonts w:asciiTheme="majorBidi" w:hAnsiTheme="majorBidi" w:cstheme="majorBidi"/>
          <w:color w:val="000000" w:themeColor="text1"/>
        </w:rPr>
        <w:t xml:space="preserve"> </w:t>
      </w:r>
      <w:r w:rsidR="00AD7C90" w:rsidRPr="005103A1">
        <w:rPr>
          <w:rFonts w:asciiTheme="majorBidi" w:hAnsiTheme="majorBidi" w:cstheme="majorBidi"/>
          <w:color w:val="000000" w:themeColor="text1"/>
        </w:rPr>
        <w:t xml:space="preserve"> We follow available literature (de Villiers </w:t>
      </w:r>
      <w:r w:rsidR="00AD7C90" w:rsidRPr="005103A1">
        <w:rPr>
          <w:rFonts w:asciiTheme="majorBidi" w:hAnsiTheme="majorBidi" w:cstheme="majorBidi"/>
          <w:i/>
          <w:color w:val="000000" w:themeColor="text1"/>
        </w:rPr>
        <w:t>et al.</w:t>
      </w:r>
      <w:r w:rsidR="00AD7C90" w:rsidRPr="005103A1">
        <w:rPr>
          <w:rFonts w:asciiTheme="majorBidi" w:hAnsiTheme="majorBidi" w:cstheme="majorBidi"/>
          <w:color w:val="000000" w:themeColor="text1"/>
        </w:rPr>
        <w:t>,</w:t>
      </w:r>
      <w:r w:rsidR="00AD7C90" w:rsidRPr="005103A1">
        <w:rPr>
          <w:rFonts w:asciiTheme="majorBidi" w:hAnsiTheme="majorBidi" w:cstheme="majorBidi"/>
        </w:rPr>
        <w:t xml:space="preserve"> 2011)</w:t>
      </w:r>
      <w:r w:rsidR="00AD7C90" w:rsidRPr="005103A1">
        <w:rPr>
          <w:rFonts w:asciiTheme="majorBidi" w:hAnsiTheme="majorBidi" w:cstheme="majorBidi"/>
          <w:color w:val="000000" w:themeColor="text1"/>
        </w:rPr>
        <w:t xml:space="preserve">, in using </w:t>
      </w:r>
      <w:r w:rsidR="005E7D80" w:rsidRPr="005103A1">
        <w:rPr>
          <w:rFonts w:asciiTheme="majorBidi" w:hAnsiTheme="majorBidi" w:cstheme="majorBidi"/>
          <w:color w:val="000000" w:themeColor="text1"/>
        </w:rPr>
        <w:t>several f</w:t>
      </w:r>
      <w:r w:rsidR="00AD7C90" w:rsidRPr="005103A1">
        <w:rPr>
          <w:rFonts w:asciiTheme="majorBidi" w:hAnsiTheme="majorBidi" w:cstheme="majorBidi"/>
          <w:color w:val="000000" w:themeColor="text1"/>
        </w:rPr>
        <w:t xml:space="preserve">irm characteristics as control variables. These include, firm size, </w:t>
      </w:r>
      <w:r w:rsidR="005E7D80" w:rsidRPr="005103A1">
        <w:rPr>
          <w:rFonts w:asciiTheme="majorBidi" w:hAnsiTheme="majorBidi" w:cstheme="majorBidi"/>
          <w:color w:val="000000" w:themeColor="text1"/>
        </w:rPr>
        <w:t xml:space="preserve">profitability, </w:t>
      </w:r>
      <w:r w:rsidR="00AD7C90" w:rsidRPr="005103A1">
        <w:rPr>
          <w:rFonts w:asciiTheme="majorBidi" w:hAnsiTheme="majorBidi" w:cstheme="majorBidi"/>
        </w:rPr>
        <w:t xml:space="preserve">slack, </w:t>
      </w:r>
      <w:r w:rsidR="00AD7C90" w:rsidRPr="005103A1">
        <w:rPr>
          <w:rFonts w:asciiTheme="majorBidi" w:hAnsiTheme="majorBidi" w:cstheme="majorBidi"/>
          <w:color w:val="000000" w:themeColor="text1"/>
        </w:rPr>
        <w:t xml:space="preserve">leverage, capital intensity, capital expenditure and </w:t>
      </w:r>
      <w:r w:rsidR="00AD7C90" w:rsidRPr="005103A1">
        <w:rPr>
          <w:rFonts w:asciiTheme="majorBidi" w:hAnsiTheme="majorBidi" w:cstheme="majorBidi"/>
        </w:rPr>
        <w:t xml:space="preserve">the ratio of market to book value of equity. </w:t>
      </w:r>
      <w:r w:rsidR="00E1692B">
        <w:rPr>
          <w:rFonts w:asciiTheme="majorBidi" w:hAnsiTheme="majorBidi" w:cstheme="majorBidi"/>
        </w:rPr>
        <w:t>We do not explain the details of these control variables to conserve space.</w:t>
      </w:r>
    </w:p>
    <w:p w14:paraId="5DFFA793" w14:textId="77777777" w:rsidR="0040657D" w:rsidRDefault="0040657D" w:rsidP="0064103E">
      <w:pPr>
        <w:pStyle w:val="ListParagraph"/>
        <w:spacing w:after="0" w:line="480" w:lineRule="auto"/>
        <w:ind w:left="0"/>
        <w:contextualSpacing w:val="0"/>
        <w:jc w:val="both"/>
        <w:rPr>
          <w:rFonts w:asciiTheme="majorBidi" w:hAnsiTheme="majorBidi" w:cstheme="majorBidi"/>
          <w:b/>
        </w:rPr>
      </w:pPr>
    </w:p>
    <w:p w14:paraId="31C10105" w14:textId="45620FA9" w:rsidR="00812CAE" w:rsidRPr="00FB3918" w:rsidRDefault="00BE001B" w:rsidP="0064103E">
      <w:pPr>
        <w:pStyle w:val="ListParagraph"/>
        <w:spacing w:after="0" w:line="480" w:lineRule="auto"/>
        <w:ind w:left="0"/>
        <w:contextualSpacing w:val="0"/>
        <w:jc w:val="both"/>
        <w:rPr>
          <w:rFonts w:asciiTheme="majorBidi" w:hAnsiTheme="majorBidi" w:cstheme="majorBidi"/>
          <w:b/>
        </w:rPr>
      </w:pPr>
      <w:r w:rsidRPr="00FB3918">
        <w:rPr>
          <w:rFonts w:asciiTheme="majorBidi" w:hAnsiTheme="majorBidi" w:cstheme="majorBidi"/>
          <w:b/>
        </w:rPr>
        <w:t>Empirical results</w:t>
      </w:r>
    </w:p>
    <w:p w14:paraId="5450E652" w14:textId="286BF938" w:rsidR="00777F47" w:rsidRPr="005103A1" w:rsidRDefault="00777F47" w:rsidP="0064103E">
      <w:pPr>
        <w:pStyle w:val="ListParagraph"/>
        <w:spacing w:after="0" w:line="480" w:lineRule="auto"/>
        <w:ind w:left="0"/>
        <w:contextualSpacing w:val="0"/>
        <w:jc w:val="both"/>
        <w:rPr>
          <w:rFonts w:asciiTheme="majorBidi" w:hAnsiTheme="majorBidi" w:cstheme="majorBidi"/>
          <w:i/>
          <w:color w:val="000000" w:themeColor="text1"/>
        </w:rPr>
      </w:pPr>
      <w:r w:rsidRPr="005103A1">
        <w:rPr>
          <w:rFonts w:asciiTheme="majorBidi" w:hAnsiTheme="majorBidi" w:cstheme="majorBidi"/>
          <w:i/>
          <w:color w:val="000000" w:themeColor="text1"/>
        </w:rPr>
        <w:t xml:space="preserve">Descriptive statistics and univariate analysis </w:t>
      </w:r>
    </w:p>
    <w:p w14:paraId="36E2129E" w14:textId="33CCA2CC" w:rsidR="00C37B59" w:rsidRDefault="004F3236" w:rsidP="0064103E">
      <w:pPr>
        <w:spacing w:after="0" w:line="480" w:lineRule="auto"/>
        <w:jc w:val="both"/>
        <w:rPr>
          <w:rFonts w:asciiTheme="majorBidi" w:hAnsiTheme="majorBidi" w:cstheme="majorBidi"/>
          <w:color w:val="000000" w:themeColor="text1"/>
        </w:rPr>
      </w:pPr>
      <w:r>
        <w:rPr>
          <w:rFonts w:asciiTheme="majorBidi" w:hAnsiTheme="majorBidi" w:cstheme="majorBidi"/>
          <w:color w:val="000000" w:themeColor="text1"/>
        </w:rPr>
        <w:tab/>
      </w:r>
      <w:r w:rsidR="00777F47" w:rsidRPr="005103A1">
        <w:rPr>
          <w:rFonts w:asciiTheme="majorBidi" w:hAnsiTheme="majorBidi" w:cstheme="majorBidi"/>
          <w:color w:val="000000" w:themeColor="text1"/>
        </w:rPr>
        <w:t xml:space="preserve">Table 3 shows descriptive statistics of </w:t>
      </w:r>
      <w:r w:rsidR="00C30AD3" w:rsidRPr="005103A1">
        <w:rPr>
          <w:rFonts w:asciiTheme="majorBidi" w:hAnsiTheme="majorBidi" w:cstheme="majorBidi"/>
          <w:color w:val="000000" w:themeColor="text1"/>
        </w:rPr>
        <w:t>all variables</w:t>
      </w:r>
      <w:r w:rsidR="00777F47" w:rsidRPr="005103A1">
        <w:rPr>
          <w:rFonts w:asciiTheme="majorBidi" w:hAnsiTheme="majorBidi" w:cstheme="majorBidi"/>
          <w:color w:val="000000" w:themeColor="text1"/>
        </w:rPr>
        <w:t xml:space="preserve">. </w:t>
      </w:r>
      <w:r w:rsidR="00CF68D3" w:rsidRPr="005103A1">
        <w:rPr>
          <w:rFonts w:asciiTheme="majorBidi" w:hAnsiTheme="majorBidi" w:cstheme="majorBidi"/>
          <w:color w:val="000000" w:themeColor="text1"/>
        </w:rPr>
        <w:t>It shows that t</w:t>
      </w:r>
      <w:r w:rsidR="00777F47" w:rsidRPr="005103A1">
        <w:rPr>
          <w:rFonts w:asciiTheme="majorBidi" w:hAnsiTheme="majorBidi" w:cstheme="majorBidi"/>
          <w:color w:val="000000" w:themeColor="text1"/>
        </w:rPr>
        <w:t xml:space="preserve">he </w:t>
      </w:r>
      <w:r w:rsidR="005A05A4" w:rsidRPr="005103A1">
        <w:rPr>
          <w:rFonts w:asciiTheme="majorBidi" w:hAnsiTheme="majorBidi" w:cstheme="majorBidi"/>
          <w:i/>
          <w:iCs/>
          <w:color w:val="000000" w:themeColor="text1"/>
        </w:rPr>
        <w:t>P</w:t>
      </w:r>
      <w:r w:rsidR="00777F47" w:rsidRPr="005103A1">
        <w:rPr>
          <w:rFonts w:asciiTheme="majorBidi" w:hAnsiTheme="majorBidi" w:cstheme="majorBidi"/>
          <w:i/>
          <w:iCs/>
          <w:color w:val="000000" w:themeColor="text1"/>
        </w:rPr>
        <w:t>CRI</w:t>
      </w:r>
      <w:r w:rsidR="00777F47" w:rsidRPr="005103A1">
        <w:rPr>
          <w:rFonts w:asciiTheme="majorBidi" w:hAnsiTheme="majorBidi" w:cstheme="majorBidi"/>
          <w:color w:val="000000" w:themeColor="text1"/>
        </w:rPr>
        <w:t xml:space="preserve"> index </w:t>
      </w:r>
      <w:r w:rsidR="00C30AD3" w:rsidRPr="005103A1">
        <w:rPr>
          <w:rFonts w:asciiTheme="majorBidi" w:hAnsiTheme="majorBidi" w:cstheme="majorBidi"/>
          <w:color w:val="000000" w:themeColor="text1"/>
        </w:rPr>
        <w:t>values range from 0 to 20</w:t>
      </w:r>
      <w:r w:rsidR="00777F47" w:rsidRPr="005103A1">
        <w:rPr>
          <w:rFonts w:asciiTheme="majorBidi" w:hAnsiTheme="majorBidi" w:cstheme="majorBidi"/>
          <w:color w:val="000000" w:themeColor="text1"/>
        </w:rPr>
        <w:t xml:space="preserve">, with a mean value of </w:t>
      </w:r>
      <w:r w:rsidR="00C30AD3" w:rsidRPr="005103A1">
        <w:rPr>
          <w:rFonts w:asciiTheme="majorBidi" w:hAnsiTheme="majorBidi" w:cstheme="majorBidi"/>
          <w:color w:val="000000" w:themeColor="text1"/>
        </w:rPr>
        <w:t>7.72</w:t>
      </w:r>
      <w:r w:rsidR="00777F47" w:rsidRPr="005103A1">
        <w:rPr>
          <w:rFonts w:asciiTheme="majorBidi" w:hAnsiTheme="majorBidi" w:cstheme="majorBidi"/>
          <w:color w:val="000000" w:themeColor="text1"/>
        </w:rPr>
        <w:t xml:space="preserve"> and a</w:t>
      </w:r>
      <w:r w:rsidR="00C30AD3" w:rsidRPr="005103A1">
        <w:rPr>
          <w:rFonts w:asciiTheme="majorBidi" w:hAnsiTheme="majorBidi" w:cstheme="majorBidi"/>
          <w:color w:val="000000" w:themeColor="text1"/>
        </w:rPr>
        <w:t xml:space="preserve"> standard deviation of 4.94</w:t>
      </w:r>
      <w:r w:rsidR="00777F47" w:rsidRPr="005103A1">
        <w:rPr>
          <w:rFonts w:asciiTheme="majorBidi" w:hAnsiTheme="majorBidi" w:cstheme="majorBidi"/>
          <w:color w:val="000000" w:themeColor="text1"/>
        </w:rPr>
        <w:t xml:space="preserve">. </w:t>
      </w:r>
      <w:r w:rsidR="002659A2" w:rsidRPr="005103A1">
        <w:rPr>
          <w:rFonts w:asciiTheme="majorBidi" w:hAnsiTheme="majorBidi" w:cstheme="majorBidi"/>
          <w:color w:val="000000" w:themeColor="text1"/>
        </w:rPr>
        <w:t xml:space="preserve">In addition, </w:t>
      </w:r>
      <w:r w:rsidR="002659A2" w:rsidRPr="005103A1">
        <w:rPr>
          <w:rFonts w:asciiTheme="majorBidi" w:hAnsiTheme="majorBidi" w:cstheme="majorBidi"/>
          <w:i/>
          <w:iCs/>
          <w:color w:val="000000" w:themeColor="text1"/>
        </w:rPr>
        <w:t>GHG</w:t>
      </w:r>
      <w:r w:rsidR="002659A2" w:rsidRPr="005103A1">
        <w:rPr>
          <w:rFonts w:asciiTheme="majorBidi" w:hAnsiTheme="majorBidi" w:cstheme="majorBidi"/>
          <w:color w:val="000000" w:themeColor="text1"/>
        </w:rPr>
        <w:t xml:space="preserve"> emission</w:t>
      </w:r>
      <w:r w:rsidR="00625A25" w:rsidRPr="005103A1">
        <w:rPr>
          <w:rFonts w:asciiTheme="majorBidi" w:hAnsiTheme="majorBidi" w:cstheme="majorBidi"/>
          <w:color w:val="000000" w:themeColor="text1"/>
        </w:rPr>
        <w:t xml:space="preserve"> values range from 4.38 to 19.29, with the mean value of 12.88, and a standard deviation of 2.47. </w:t>
      </w:r>
      <w:r w:rsidR="00777F47" w:rsidRPr="005103A1">
        <w:rPr>
          <w:rFonts w:asciiTheme="majorBidi" w:hAnsiTheme="majorBidi" w:cstheme="majorBidi"/>
          <w:color w:val="000000" w:themeColor="text1"/>
        </w:rPr>
        <w:t xml:space="preserve">It is also evident that </w:t>
      </w:r>
      <w:r w:rsidR="00625A25" w:rsidRPr="005103A1">
        <w:rPr>
          <w:rFonts w:asciiTheme="majorBidi" w:hAnsiTheme="majorBidi" w:cstheme="majorBidi"/>
          <w:color w:val="000000" w:themeColor="text1"/>
        </w:rPr>
        <w:t xml:space="preserve">the mean value of Tobin’s </w:t>
      </w:r>
      <w:r w:rsidR="00625A25" w:rsidRPr="005103A1">
        <w:rPr>
          <w:rFonts w:asciiTheme="majorBidi" w:hAnsiTheme="majorBidi" w:cstheme="majorBidi"/>
          <w:i/>
          <w:iCs/>
          <w:color w:val="000000" w:themeColor="text1"/>
        </w:rPr>
        <w:t>Q</w:t>
      </w:r>
      <w:r w:rsidR="00625A25" w:rsidRPr="005103A1">
        <w:rPr>
          <w:rFonts w:asciiTheme="majorBidi" w:hAnsiTheme="majorBidi" w:cstheme="majorBidi"/>
          <w:color w:val="000000" w:themeColor="text1"/>
        </w:rPr>
        <w:t xml:space="preserve"> is 1.53, with a standard deviation of 0.88. </w:t>
      </w:r>
      <w:r w:rsidR="00777F47" w:rsidRPr="005103A1">
        <w:rPr>
          <w:rFonts w:asciiTheme="majorBidi" w:hAnsiTheme="majorBidi" w:cstheme="majorBidi"/>
          <w:color w:val="000000" w:themeColor="text1"/>
        </w:rPr>
        <w:t xml:space="preserve">Table 3 also shows that the proportion of independent directors in the sample firms </w:t>
      </w:r>
      <w:r w:rsidR="00625A25" w:rsidRPr="005103A1">
        <w:rPr>
          <w:rFonts w:asciiTheme="majorBidi" w:hAnsiTheme="majorBidi" w:cstheme="majorBidi"/>
          <w:color w:val="000000" w:themeColor="text1"/>
        </w:rPr>
        <w:t xml:space="preserve">are </w:t>
      </w:r>
      <w:r w:rsidR="00777F47" w:rsidRPr="005103A1">
        <w:rPr>
          <w:rFonts w:asciiTheme="majorBidi" w:hAnsiTheme="majorBidi" w:cstheme="majorBidi"/>
          <w:color w:val="000000" w:themeColor="text1"/>
        </w:rPr>
        <w:t>around 5</w:t>
      </w:r>
      <w:r w:rsidR="00625A25" w:rsidRPr="005103A1">
        <w:rPr>
          <w:rFonts w:asciiTheme="majorBidi" w:hAnsiTheme="majorBidi" w:cstheme="majorBidi"/>
          <w:color w:val="000000" w:themeColor="text1"/>
        </w:rPr>
        <w:t>1</w:t>
      </w:r>
      <w:r w:rsidR="00777F47" w:rsidRPr="005103A1">
        <w:rPr>
          <w:rFonts w:asciiTheme="majorBidi" w:hAnsiTheme="majorBidi" w:cstheme="majorBidi"/>
          <w:color w:val="000000" w:themeColor="text1"/>
        </w:rPr>
        <w:t xml:space="preserve"> percent</w:t>
      </w:r>
      <w:r w:rsidR="00625A25" w:rsidRPr="005103A1">
        <w:rPr>
          <w:rFonts w:asciiTheme="majorBidi" w:hAnsiTheme="majorBidi" w:cstheme="majorBidi"/>
          <w:color w:val="000000" w:themeColor="text1"/>
        </w:rPr>
        <w:t xml:space="preserve">. </w:t>
      </w:r>
      <w:r w:rsidR="00777F47" w:rsidRPr="005103A1">
        <w:rPr>
          <w:rFonts w:asciiTheme="majorBidi" w:hAnsiTheme="majorBidi" w:cstheme="majorBidi"/>
          <w:color w:val="000000" w:themeColor="text1"/>
        </w:rPr>
        <w:t xml:space="preserve">In addition, </w:t>
      </w:r>
      <w:r w:rsidR="00625A25" w:rsidRPr="005103A1">
        <w:rPr>
          <w:rFonts w:asciiTheme="majorBidi" w:hAnsiTheme="majorBidi" w:cstheme="majorBidi"/>
          <w:color w:val="000000" w:themeColor="text1"/>
        </w:rPr>
        <w:t>around 32</w:t>
      </w:r>
      <w:r w:rsidR="00777F47" w:rsidRPr="005103A1">
        <w:rPr>
          <w:rFonts w:asciiTheme="majorBidi" w:hAnsiTheme="majorBidi" w:cstheme="majorBidi"/>
          <w:color w:val="000000" w:themeColor="text1"/>
        </w:rPr>
        <w:t xml:space="preserve"> percent </w:t>
      </w:r>
      <w:r w:rsidR="00AA0245" w:rsidRPr="005103A1">
        <w:rPr>
          <w:rFonts w:asciiTheme="majorBidi" w:hAnsiTheme="majorBidi" w:cstheme="majorBidi"/>
          <w:color w:val="000000" w:themeColor="text1"/>
        </w:rPr>
        <w:t xml:space="preserve">of </w:t>
      </w:r>
      <w:r w:rsidR="00777F47" w:rsidRPr="005103A1">
        <w:rPr>
          <w:rFonts w:asciiTheme="majorBidi" w:hAnsiTheme="majorBidi" w:cstheme="majorBidi"/>
          <w:color w:val="000000" w:themeColor="text1"/>
        </w:rPr>
        <w:t xml:space="preserve">firms have adopted </w:t>
      </w:r>
      <w:r w:rsidR="00625A25" w:rsidRPr="005103A1">
        <w:rPr>
          <w:rFonts w:asciiTheme="majorBidi" w:hAnsiTheme="majorBidi" w:cstheme="majorBidi"/>
          <w:color w:val="000000" w:themeColor="text1"/>
        </w:rPr>
        <w:t xml:space="preserve">sustainable </w:t>
      </w:r>
      <w:r w:rsidR="00777F47" w:rsidRPr="005103A1">
        <w:rPr>
          <w:rFonts w:asciiTheme="majorBidi" w:hAnsiTheme="majorBidi" w:cstheme="majorBidi"/>
          <w:color w:val="000000" w:themeColor="text1"/>
        </w:rPr>
        <w:t xml:space="preserve">compensation policy.  </w:t>
      </w:r>
      <w:r w:rsidR="00C37B59" w:rsidRPr="005103A1">
        <w:rPr>
          <w:rFonts w:asciiTheme="majorBidi" w:hAnsiTheme="majorBidi" w:cstheme="majorBidi"/>
          <w:color w:val="000000" w:themeColor="text1"/>
        </w:rPr>
        <w:t xml:space="preserve">Table 4 shows bivariate correlations among the variables. It is evident that both </w:t>
      </w:r>
      <w:r w:rsidR="005B1911" w:rsidRPr="005103A1">
        <w:rPr>
          <w:rFonts w:asciiTheme="majorBidi" w:hAnsiTheme="majorBidi" w:cstheme="majorBidi"/>
          <w:i/>
          <w:iCs/>
          <w:color w:val="000000" w:themeColor="text1"/>
        </w:rPr>
        <w:t>P</w:t>
      </w:r>
      <w:r w:rsidR="00C37B59" w:rsidRPr="005103A1">
        <w:rPr>
          <w:rFonts w:asciiTheme="majorBidi" w:hAnsiTheme="majorBidi" w:cstheme="majorBidi"/>
          <w:i/>
          <w:iCs/>
          <w:color w:val="000000" w:themeColor="text1"/>
        </w:rPr>
        <w:t xml:space="preserve">CRI </w:t>
      </w:r>
      <w:r w:rsidR="00C37B59" w:rsidRPr="005103A1">
        <w:rPr>
          <w:rFonts w:asciiTheme="majorBidi" w:hAnsiTheme="majorBidi" w:cstheme="majorBidi"/>
          <w:color w:val="000000" w:themeColor="text1"/>
        </w:rPr>
        <w:t xml:space="preserve">and </w:t>
      </w:r>
      <w:r w:rsidR="00C37B59" w:rsidRPr="005103A1">
        <w:rPr>
          <w:rFonts w:asciiTheme="majorBidi" w:hAnsiTheme="majorBidi" w:cstheme="majorBidi"/>
          <w:i/>
          <w:iCs/>
          <w:color w:val="000000" w:themeColor="text1"/>
        </w:rPr>
        <w:t>GHG</w:t>
      </w:r>
      <w:r w:rsidR="00C37B59" w:rsidRPr="005103A1">
        <w:rPr>
          <w:rFonts w:asciiTheme="majorBidi" w:hAnsiTheme="majorBidi" w:cstheme="majorBidi"/>
          <w:color w:val="000000" w:themeColor="text1"/>
        </w:rPr>
        <w:t xml:space="preserve"> have weak negative relationship</w:t>
      </w:r>
      <w:r w:rsidR="00F1773F" w:rsidRPr="005103A1">
        <w:rPr>
          <w:rFonts w:asciiTheme="majorBidi" w:hAnsiTheme="majorBidi" w:cstheme="majorBidi"/>
          <w:color w:val="000000" w:themeColor="text1"/>
        </w:rPr>
        <w:t>s</w:t>
      </w:r>
      <w:r w:rsidR="00C37B59" w:rsidRPr="005103A1">
        <w:rPr>
          <w:rFonts w:asciiTheme="majorBidi" w:hAnsiTheme="majorBidi" w:cstheme="majorBidi"/>
          <w:color w:val="000000" w:themeColor="text1"/>
        </w:rPr>
        <w:t xml:space="preserve"> with </w:t>
      </w:r>
      <w:r w:rsidR="00D0607E" w:rsidRPr="005103A1">
        <w:rPr>
          <w:rFonts w:asciiTheme="majorBidi" w:hAnsiTheme="majorBidi" w:cstheme="majorBidi"/>
          <w:color w:val="000000" w:themeColor="text1"/>
        </w:rPr>
        <w:t>MV</w:t>
      </w:r>
      <w:r w:rsidR="00C37B59" w:rsidRPr="005103A1">
        <w:rPr>
          <w:rFonts w:asciiTheme="majorBidi" w:hAnsiTheme="majorBidi" w:cstheme="majorBidi"/>
          <w:color w:val="000000" w:themeColor="text1"/>
        </w:rPr>
        <w:t xml:space="preserve">, and positive relationship with the level of </w:t>
      </w:r>
      <w:r w:rsidR="00D0607E" w:rsidRPr="005103A1">
        <w:rPr>
          <w:rFonts w:asciiTheme="majorBidi" w:hAnsiTheme="majorBidi" w:cstheme="majorBidi"/>
          <w:color w:val="000000" w:themeColor="text1"/>
        </w:rPr>
        <w:t>EC</w:t>
      </w:r>
      <w:r w:rsidR="00C37B59" w:rsidRPr="005103A1">
        <w:rPr>
          <w:rFonts w:asciiTheme="majorBidi" w:hAnsiTheme="majorBidi" w:cstheme="majorBidi"/>
          <w:color w:val="000000" w:themeColor="text1"/>
        </w:rPr>
        <w:t xml:space="preserve">. In addition, ESG-based policy has a positive relationship with </w:t>
      </w:r>
      <w:r w:rsidR="005B1911" w:rsidRPr="005103A1">
        <w:rPr>
          <w:rFonts w:asciiTheme="majorBidi" w:hAnsiTheme="majorBidi" w:cstheme="majorBidi"/>
          <w:i/>
          <w:iCs/>
          <w:color w:val="000000" w:themeColor="text1"/>
        </w:rPr>
        <w:t>P</w:t>
      </w:r>
      <w:r w:rsidR="00C37B59" w:rsidRPr="005103A1">
        <w:rPr>
          <w:rFonts w:asciiTheme="majorBidi" w:hAnsiTheme="majorBidi" w:cstheme="majorBidi"/>
          <w:i/>
          <w:iCs/>
          <w:color w:val="000000" w:themeColor="text1"/>
        </w:rPr>
        <w:t>CRI</w:t>
      </w:r>
      <w:r w:rsidR="00C37B59" w:rsidRPr="005103A1">
        <w:rPr>
          <w:rFonts w:asciiTheme="majorBidi" w:hAnsiTheme="majorBidi" w:cstheme="majorBidi"/>
          <w:color w:val="000000" w:themeColor="text1"/>
        </w:rPr>
        <w:t xml:space="preserve">. </w:t>
      </w:r>
      <w:r w:rsidR="00850CE2" w:rsidRPr="005103A1">
        <w:rPr>
          <w:rFonts w:asciiTheme="majorBidi" w:hAnsiTheme="majorBidi" w:cstheme="majorBidi"/>
          <w:color w:val="000000" w:themeColor="text1"/>
        </w:rPr>
        <w:t xml:space="preserve">Overall, these are </w:t>
      </w:r>
      <w:r w:rsidR="005E08B9" w:rsidRPr="005103A1">
        <w:rPr>
          <w:rFonts w:asciiTheme="majorBidi" w:hAnsiTheme="majorBidi" w:cstheme="majorBidi"/>
          <w:color w:val="000000" w:themeColor="text1"/>
        </w:rPr>
        <w:t xml:space="preserve">broadly consistent with </w:t>
      </w:r>
      <w:r w:rsidR="005E08B9" w:rsidRPr="005103A1">
        <w:rPr>
          <w:rFonts w:asciiTheme="majorBidi" w:hAnsiTheme="majorBidi" w:cstheme="majorBidi"/>
          <w:i/>
          <w:iCs/>
          <w:color w:val="000000" w:themeColor="text1"/>
        </w:rPr>
        <w:t>H2a</w:t>
      </w:r>
      <w:r w:rsidR="005E08B9" w:rsidRPr="005103A1">
        <w:rPr>
          <w:rFonts w:asciiTheme="majorBidi" w:hAnsiTheme="majorBidi" w:cstheme="majorBidi"/>
          <w:color w:val="000000" w:themeColor="text1"/>
        </w:rPr>
        <w:t>, although a</w:t>
      </w:r>
      <w:r w:rsidR="00850CE2" w:rsidRPr="005103A1">
        <w:rPr>
          <w:rFonts w:asciiTheme="majorBidi" w:hAnsiTheme="majorBidi" w:cstheme="majorBidi"/>
          <w:color w:val="000000" w:themeColor="text1"/>
        </w:rPr>
        <w:t xml:space="preserve"> weak negative relationship between </w:t>
      </w:r>
      <w:r w:rsidR="00832A75" w:rsidRPr="005103A1">
        <w:rPr>
          <w:rFonts w:asciiTheme="majorBidi" w:hAnsiTheme="majorBidi" w:cstheme="majorBidi"/>
          <w:i/>
          <w:color w:val="000000" w:themeColor="text1"/>
        </w:rPr>
        <w:t>PCRI</w:t>
      </w:r>
      <w:r w:rsidR="005E08B9" w:rsidRPr="005103A1">
        <w:rPr>
          <w:rFonts w:asciiTheme="majorBidi" w:hAnsiTheme="majorBidi" w:cstheme="majorBidi"/>
          <w:color w:val="000000" w:themeColor="text1"/>
        </w:rPr>
        <w:t xml:space="preserve"> </w:t>
      </w:r>
      <w:r w:rsidR="00850CE2" w:rsidRPr="005103A1">
        <w:rPr>
          <w:rFonts w:asciiTheme="majorBidi" w:hAnsiTheme="majorBidi" w:cstheme="majorBidi"/>
          <w:color w:val="000000" w:themeColor="text1"/>
        </w:rPr>
        <w:t xml:space="preserve">and </w:t>
      </w:r>
      <w:r w:rsidR="00EA743C" w:rsidRPr="005103A1">
        <w:rPr>
          <w:rFonts w:asciiTheme="majorBidi" w:hAnsiTheme="majorBidi" w:cstheme="majorBidi"/>
          <w:color w:val="000000" w:themeColor="text1"/>
        </w:rPr>
        <w:t>MV</w:t>
      </w:r>
      <w:r w:rsidR="003E33FC" w:rsidRPr="005103A1">
        <w:rPr>
          <w:rFonts w:asciiTheme="majorBidi" w:hAnsiTheme="majorBidi" w:cstheme="majorBidi"/>
          <w:color w:val="000000" w:themeColor="text1"/>
        </w:rPr>
        <w:t xml:space="preserve"> seems to be contrary to</w:t>
      </w:r>
      <w:r w:rsidR="005E08B9" w:rsidRPr="005103A1">
        <w:rPr>
          <w:rFonts w:asciiTheme="majorBidi" w:hAnsiTheme="majorBidi" w:cstheme="majorBidi"/>
          <w:color w:val="000000" w:themeColor="text1"/>
        </w:rPr>
        <w:t xml:space="preserve"> our </w:t>
      </w:r>
      <w:r w:rsidR="005E08B9" w:rsidRPr="005103A1">
        <w:rPr>
          <w:rFonts w:asciiTheme="majorBidi" w:hAnsiTheme="majorBidi" w:cstheme="majorBidi"/>
          <w:i/>
          <w:iCs/>
          <w:color w:val="000000" w:themeColor="text1"/>
        </w:rPr>
        <w:t>H1a</w:t>
      </w:r>
      <w:r w:rsidR="00AA0245" w:rsidRPr="005103A1">
        <w:rPr>
          <w:rFonts w:asciiTheme="majorBidi" w:hAnsiTheme="majorBidi" w:cstheme="majorBidi"/>
          <w:i/>
          <w:iCs/>
          <w:color w:val="000000" w:themeColor="text1"/>
        </w:rPr>
        <w:t xml:space="preserve"> </w:t>
      </w:r>
      <w:r w:rsidR="00AA0245" w:rsidRPr="005103A1">
        <w:rPr>
          <w:rFonts w:asciiTheme="majorBidi" w:hAnsiTheme="majorBidi" w:cstheme="majorBidi"/>
          <w:color w:val="000000" w:themeColor="text1"/>
        </w:rPr>
        <w:t>expectations</w:t>
      </w:r>
      <w:r w:rsidR="005E08B9" w:rsidRPr="005103A1">
        <w:rPr>
          <w:rFonts w:asciiTheme="majorBidi" w:hAnsiTheme="majorBidi" w:cstheme="majorBidi"/>
          <w:color w:val="000000" w:themeColor="text1"/>
        </w:rPr>
        <w:t>. However, it is important to undertake multivariate analysis before drawing a statistical inference about this relationship.</w:t>
      </w:r>
      <w:r w:rsidR="000B7BA9" w:rsidRPr="005103A1">
        <w:rPr>
          <w:rFonts w:asciiTheme="majorBidi" w:hAnsiTheme="majorBidi" w:cstheme="majorBidi"/>
          <w:color w:val="000000" w:themeColor="text1"/>
        </w:rPr>
        <w:t xml:space="preserve"> </w:t>
      </w:r>
      <w:r w:rsidR="00F45B42" w:rsidRPr="005103A1">
        <w:rPr>
          <w:rFonts w:asciiTheme="majorBidi" w:hAnsiTheme="majorBidi" w:cstheme="majorBidi"/>
          <w:color w:val="000000" w:themeColor="text1"/>
        </w:rPr>
        <w:t>Table 4 also shows that the correlation coefficients among the independen</w:t>
      </w:r>
      <w:r w:rsidR="00BE689A" w:rsidRPr="005103A1">
        <w:rPr>
          <w:rFonts w:asciiTheme="majorBidi" w:hAnsiTheme="majorBidi" w:cstheme="majorBidi"/>
          <w:color w:val="000000" w:themeColor="text1"/>
        </w:rPr>
        <w:t>t variables are reasonably low</w:t>
      </w:r>
      <w:r w:rsidR="00F45B42" w:rsidRPr="005103A1">
        <w:rPr>
          <w:rFonts w:asciiTheme="majorBidi" w:hAnsiTheme="majorBidi" w:cstheme="majorBidi"/>
          <w:color w:val="000000" w:themeColor="text1"/>
        </w:rPr>
        <w:t xml:space="preserve">, suggesting that we do not seem to have </w:t>
      </w:r>
      <w:r w:rsidR="00B241EA" w:rsidRPr="005103A1">
        <w:rPr>
          <w:rFonts w:asciiTheme="majorBidi" w:hAnsiTheme="majorBidi" w:cstheme="majorBidi"/>
          <w:color w:val="000000" w:themeColor="text1"/>
        </w:rPr>
        <w:t xml:space="preserve">any serious </w:t>
      </w:r>
      <w:r w:rsidR="00F45B42" w:rsidRPr="005103A1">
        <w:rPr>
          <w:rFonts w:asciiTheme="majorBidi" w:hAnsiTheme="majorBidi" w:cstheme="majorBidi"/>
          <w:color w:val="000000" w:themeColor="text1"/>
        </w:rPr>
        <w:t xml:space="preserve">multicollinearity problems. </w:t>
      </w:r>
    </w:p>
    <w:p w14:paraId="20FD618C" w14:textId="43EA310E" w:rsidR="00192AA1" w:rsidRDefault="0040657D" w:rsidP="006757F3">
      <w:pPr>
        <w:spacing w:after="0" w:line="480" w:lineRule="auto"/>
        <w:jc w:val="center"/>
        <w:rPr>
          <w:rFonts w:asciiTheme="majorBidi" w:hAnsiTheme="majorBidi" w:cstheme="majorBidi"/>
          <w:color w:val="000000" w:themeColor="text1"/>
        </w:rPr>
      </w:pPr>
      <w:r>
        <w:rPr>
          <w:rFonts w:asciiTheme="majorBidi" w:hAnsiTheme="majorBidi" w:cstheme="majorBidi"/>
          <w:color w:val="000000" w:themeColor="text1"/>
        </w:rPr>
        <w:t>Tables 3 &amp; 4</w:t>
      </w:r>
      <w:r w:rsidR="00B26417">
        <w:rPr>
          <w:rFonts w:asciiTheme="majorBidi" w:hAnsiTheme="majorBidi" w:cstheme="majorBidi"/>
          <w:color w:val="000000" w:themeColor="text1"/>
        </w:rPr>
        <w:t xml:space="preserve"> Here</w:t>
      </w:r>
    </w:p>
    <w:p w14:paraId="65BFFCFA" w14:textId="44CD872B" w:rsidR="00777F47" w:rsidRPr="005103A1" w:rsidRDefault="00777F47" w:rsidP="0064103E">
      <w:pPr>
        <w:pStyle w:val="ListParagraph"/>
        <w:spacing w:after="0" w:line="480" w:lineRule="auto"/>
        <w:ind w:left="0"/>
        <w:contextualSpacing w:val="0"/>
        <w:jc w:val="both"/>
        <w:rPr>
          <w:rFonts w:asciiTheme="majorBidi" w:hAnsiTheme="majorBidi" w:cstheme="majorBidi"/>
          <w:i/>
          <w:color w:val="000000" w:themeColor="text1"/>
        </w:rPr>
      </w:pPr>
      <w:r w:rsidRPr="005103A1">
        <w:rPr>
          <w:rFonts w:asciiTheme="majorBidi" w:hAnsiTheme="majorBidi" w:cstheme="majorBidi"/>
          <w:i/>
          <w:color w:val="000000" w:themeColor="text1"/>
        </w:rPr>
        <w:t xml:space="preserve">Multivariate results and discussion </w:t>
      </w:r>
    </w:p>
    <w:p w14:paraId="62266511" w14:textId="18066A94" w:rsidR="00636701" w:rsidRPr="005103A1" w:rsidRDefault="00835C32" w:rsidP="0064103E">
      <w:pPr>
        <w:pStyle w:val="ListParagraph"/>
        <w:spacing w:after="0" w:line="480" w:lineRule="auto"/>
        <w:ind w:left="0"/>
        <w:contextualSpacing w:val="0"/>
        <w:jc w:val="both"/>
        <w:rPr>
          <w:rFonts w:asciiTheme="majorBidi" w:hAnsiTheme="majorBidi" w:cstheme="majorBidi"/>
          <w:color w:val="000000" w:themeColor="text1"/>
        </w:rPr>
      </w:pPr>
      <w:r w:rsidRPr="005103A1">
        <w:rPr>
          <w:rFonts w:asciiTheme="majorBidi" w:hAnsiTheme="majorBidi" w:cstheme="majorBidi"/>
          <w:i/>
          <w:color w:val="000000" w:themeColor="text1"/>
        </w:rPr>
        <w:tab/>
      </w:r>
      <w:r w:rsidR="005B6CF0" w:rsidRPr="005103A1">
        <w:rPr>
          <w:rFonts w:asciiTheme="majorBidi" w:hAnsiTheme="majorBidi" w:cstheme="majorBidi"/>
          <w:i/>
          <w:color w:val="000000" w:themeColor="text1"/>
        </w:rPr>
        <w:t xml:space="preserve">Carbon performance and </w:t>
      </w:r>
      <w:r w:rsidR="0009027A" w:rsidRPr="005103A1">
        <w:rPr>
          <w:rFonts w:asciiTheme="majorBidi" w:hAnsiTheme="majorBidi" w:cstheme="majorBidi"/>
          <w:i/>
          <w:color w:val="000000" w:themeColor="text1"/>
        </w:rPr>
        <w:t>market</w:t>
      </w:r>
      <w:r w:rsidR="005B6CF0" w:rsidRPr="005103A1">
        <w:rPr>
          <w:rFonts w:asciiTheme="majorBidi" w:hAnsiTheme="majorBidi" w:cstheme="majorBidi"/>
          <w:i/>
          <w:color w:val="000000" w:themeColor="text1"/>
        </w:rPr>
        <w:t xml:space="preserve"> valu</w:t>
      </w:r>
      <w:r w:rsidR="0009027A" w:rsidRPr="005103A1">
        <w:rPr>
          <w:rFonts w:asciiTheme="majorBidi" w:hAnsiTheme="majorBidi" w:cstheme="majorBidi"/>
          <w:i/>
          <w:color w:val="000000" w:themeColor="text1"/>
        </w:rPr>
        <w:t>e</w:t>
      </w:r>
      <w:r w:rsidR="00DA6DAD" w:rsidRPr="005103A1">
        <w:rPr>
          <w:rFonts w:asciiTheme="majorBidi" w:hAnsiTheme="majorBidi" w:cstheme="majorBidi"/>
          <w:i/>
          <w:color w:val="000000" w:themeColor="text1"/>
        </w:rPr>
        <w:t>.</w:t>
      </w:r>
      <w:r w:rsidR="00DA6DAD" w:rsidRPr="005103A1">
        <w:rPr>
          <w:rFonts w:asciiTheme="majorBidi" w:hAnsiTheme="majorBidi" w:cstheme="majorBidi"/>
          <w:color w:val="000000" w:themeColor="text1"/>
        </w:rPr>
        <w:t xml:space="preserve"> </w:t>
      </w:r>
      <w:r w:rsidR="007D26F3" w:rsidRPr="005103A1">
        <w:rPr>
          <w:rFonts w:asciiTheme="majorBidi" w:hAnsiTheme="majorBidi" w:cstheme="majorBidi"/>
          <w:color w:val="000000" w:themeColor="text1"/>
        </w:rPr>
        <w:t xml:space="preserve">Table 5 shows </w:t>
      </w:r>
      <w:r w:rsidR="00F1773F" w:rsidRPr="005103A1">
        <w:rPr>
          <w:rFonts w:asciiTheme="majorBidi" w:hAnsiTheme="majorBidi" w:cstheme="majorBidi"/>
          <w:color w:val="000000" w:themeColor="text1"/>
        </w:rPr>
        <w:t xml:space="preserve">estimation results of </w:t>
      </w:r>
      <w:r w:rsidR="007D26F3" w:rsidRPr="005103A1">
        <w:rPr>
          <w:rFonts w:asciiTheme="majorBidi" w:hAnsiTheme="majorBidi" w:cstheme="majorBidi"/>
          <w:color w:val="000000" w:themeColor="text1"/>
        </w:rPr>
        <w:t>fixed</w:t>
      </w:r>
      <w:r w:rsidR="0009027A" w:rsidRPr="005103A1">
        <w:rPr>
          <w:rFonts w:asciiTheme="majorBidi" w:hAnsiTheme="majorBidi" w:cstheme="majorBidi"/>
          <w:color w:val="000000" w:themeColor="text1"/>
        </w:rPr>
        <w:t>-</w:t>
      </w:r>
      <w:r w:rsidR="007D26F3" w:rsidRPr="005103A1">
        <w:rPr>
          <w:rFonts w:asciiTheme="majorBidi" w:hAnsiTheme="majorBidi" w:cstheme="majorBidi"/>
          <w:color w:val="000000" w:themeColor="text1"/>
        </w:rPr>
        <w:t>effect</w:t>
      </w:r>
      <w:r w:rsidR="0009027A" w:rsidRPr="005103A1">
        <w:rPr>
          <w:rFonts w:asciiTheme="majorBidi" w:hAnsiTheme="majorBidi" w:cstheme="majorBidi"/>
          <w:color w:val="000000" w:themeColor="text1"/>
        </w:rPr>
        <w:t>s</w:t>
      </w:r>
      <w:r w:rsidR="001D1FA4" w:rsidRPr="005103A1">
        <w:rPr>
          <w:rFonts w:asciiTheme="majorBidi" w:hAnsiTheme="majorBidi" w:cstheme="majorBidi"/>
          <w:color w:val="000000" w:themeColor="text1"/>
        </w:rPr>
        <w:t xml:space="preserve"> regression</w:t>
      </w:r>
      <w:r w:rsidR="007D26F3" w:rsidRPr="005103A1">
        <w:rPr>
          <w:rFonts w:asciiTheme="majorBidi" w:hAnsiTheme="majorBidi" w:cstheme="majorBidi"/>
          <w:color w:val="000000" w:themeColor="text1"/>
        </w:rPr>
        <w:t xml:space="preserve"> of </w:t>
      </w:r>
      <w:r w:rsidR="00D0607E" w:rsidRPr="005103A1">
        <w:rPr>
          <w:rFonts w:asciiTheme="majorBidi" w:hAnsiTheme="majorBidi" w:cstheme="majorBidi"/>
          <w:color w:val="000000" w:themeColor="text1"/>
        </w:rPr>
        <w:t>MV</w:t>
      </w:r>
      <w:r w:rsidR="007D26F3" w:rsidRPr="005103A1">
        <w:rPr>
          <w:rFonts w:asciiTheme="majorBidi" w:hAnsiTheme="majorBidi" w:cstheme="majorBidi"/>
          <w:color w:val="000000" w:themeColor="text1"/>
        </w:rPr>
        <w:t xml:space="preserve"> (Tobin’</w:t>
      </w:r>
      <w:r w:rsidR="0026293F" w:rsidRPr="005103A1">
        <w:rPr>
          <w:rFonts w:asciiTheme="majorBidi" w:hAnsiTheme="majorBidi" w:cstheme="majorBidi"/>
          <w:color w:val="000000" w:themeColor="text1"/>
        </w:rPr>
        <w:t xml:space="preserve">s </w:t>
      </w:r>
      <w:r w:rsidR="0026293F" w:rsidRPr="005103A1">
        <w:rPr>
          <w:rFonts w:asciiTheme="majorBidi" w:hAnsiTheme="majorBidi" w:cstheme="majorBidi"/>
          <w:i/>
          <w:iCs/>
          <w:color w:val="000000" w:themeColor="text1"/>
        </w:rPr>
        <w:t>Q</w:t>
      </w:r>
      <w:r w:rsidR="0026293F" w:rsidRPr="005103A1">
        <w:rPr>
          <w:rFonts w:asciiTheme="majorBidi" w:hAnsiTheme="majorBidi" w:cstheme="majorBidi"/>
          <w:color w:val="000000" w:themeColor="text1"/>
        </w:rPr>
        <w:t xml:space="preserve">) against </w:t>
      </w:r>
      <w:r w:rsidR="00127F41">
        <w:rPr>
          <w:rFonts w:asciiTheme="majorBidi" w:hAnsiTheme="majorBidi" w:cstheme="majorBidi"/>
          <w:color w:val="000000" w:themeColor="text1"/>
        </w:rPr>
        <w:t>a symbolic carbon performance (PCRI), two substantive</w:t>
      </w:r>
      <w:r w:rsidR="00A460D4">
        <w:rPr>
          <w:rFonts w:asciiTheme="majorBidi" w:hAnsiTheme="majorBidi" w:cstheme="majorBidi"/>
          <w:color w:val="000000" w:themeColor="text1"/>
        </w:rPr>
        <w:t xml:space="preserve"> measures - actual</w:t>
      </w:r>
      <w:r w:rsidR="00127F41">
        <w:rPr>
          <w:rFonts w:asciiTheme="majorBidi" w:hAnsiTheme="majorBidi" w:cstheme="majorBidi"/>
          <w:color w:val="000000" w:themeColor="text1"/>
        </w:rPr>
        <w:t xml:space="preserve"> carbon performance (GHG) and incentive (EC) measures, </w:t>
      </w:r>
      <w:r w:rsidR="0026293F" w:rsidRPr="005103A1">
        <w:rPr>
          <w:rFonts w:asciiTheme="majorBidi" w:hAnsiTheme="majorBidi" w:cstheme="majorBidi"/>
          <w:color w:val="000000" w:themeColor="text1"/>
        </w:rPr>
        <w:t xml:space="preserve">and other </w:t>
      </w:r>
      <w:r w:rsidR="00127F41">
        <w:rPr>
          <w:rFonts w:asciiTheme="majorBidi" w:hAnsiTheme="majorBidi" w:cstheme="majorBidi"/>
          <w:color w:val="000000" w:themeColor="text1"/>
        </w:rPr>
        <w:t>governance and financial</w:t>
      </w:r>
      <w:r w:rsidR="0026293F" w:rsidRPr="005103A1">
        <w:rPr>
          <w:rFonts w:asciiTheme="majorBidi" w:hAnsiTheme="majorBidi" w:cstheme="majorBidi"/>
          <w:color w:val="000000" w:themeColor="text1"/>
        </w:rPr>
        <w:t xml:space="preserve"> control </w:t>
      </w:r>
      <w:r w:rsidR="0026293F" w:rsidRPr="005103A1">
        <w:rPr>
          <w:rFonts w:asciiTheme="majorBidi" w:hAnsiTheme="majorBidi" w:cstheme="majorBidi"/>
          <w:color w:val="000000" w:themeColor="text1"/>
        </w:rPr>
        <w:lastRenderedPageBreak/>
        <w:t xml:space="preserve">variables. Column 1 shows </w:t>
      </w:r>
      <w:r w:rsidR="001D1FA4" w:rsidRPr="005103A1">
        <w:rPr>
          <w:rFonts w:asciiTheme="majorBidi" w:hAnsiTheme="majorBidi" w:cstheme="majorBidi"/>
          <w:color w:val="000000" w:themeColor="text1"/>
        </w:rPr>
        <w:t>the estimated</w:t>
      </w:r>
      <w:r w:rsidR="00E25B22" w:rsidRPr="005103A1">
        <w:rPr>
          <w:rFonts w:asciiTheme="majorBidi" w:hAnsiTheme="majorBidi" w:cstheme="majorBidi"/>
          <w:color w:val="000000" w:themeColor="text1"/>
        </w:rPr>
        <w:t xml:space="preserve"> results for Eq.(1) with </w:t>
      </w:r>
      <w:r w:rsidR="0026293F" w:rsidRPr="005103A1">
        <w:rPr>
          <w:rFonts w:asciiTheme="majorBidi" w:hAnsiTheme="majorBidi" w:cstheme="majorBidi"/>
          <w:color w:val="000000" w:themeColor="text1"/>
        </w:rPr>
        <w:t>carbon reduction initiatives (</w:t>
      </w:r>
      <w:r w:rsidR="00341885" w:rsidRPr="005103A1">
        <w:rPr>
          <w:rFonts w:asciiTheme="majorBidi" w:hAnsiTheme="majorBidi" w:cstheme="majorBidi"/>
          <w:i/>
          <w:iCs/>
          <w:color w:val="000000" w:themeColor="text1"/>
        </w:rPr>
        <w:t>P</w:t>
      </w:r>
      <w:r w:rsidR="00DE5061" w:rsidRPr="005103A1">
        <w:rPr>
          <w:rFonts w:asciiTheme="majorBidi" w:hAnsiTheme="majorBidi" w:cstheme="majorBidi"/>
          <w:i/>
          <w:iCs/>
          <w:color w:val="000000" w:themeColor="text1"/>
        </w:rPr>
        <w:t>CRI</w:t>
      </w:r>
      <w:r w:rsidR="00DE5061" w:rsidRPr="005103A1">
        <w:rPr>
          <w:rFonts w:asciiTheme="majorBidi" w:hAnsiTheme="majorBidi" w:cstheme="majorBidi"/>
          <w:color w:val="000000" w:themeColor="text1"/>
        </w:rPr>
        <w:t xml:space="preserve">) and </w:t>
      </w:r>
      <w:r w:rsidR="0026293F" w:rsidRPr="005103A1">
        <w:rPr>
          <w:rFonts w:asciiTheme="majorBidi" w:hAnsiTheme="majorBidi" w:cstheme="majorBidi"/>
          <w:color w:val="000000" w:themeColor="text1"/>
        </w:rPr>
        <w:t>executive compensation (</w:t>
      </w:r>
      <w:r w:rsidR="0026293F" w:rsidRPr="005103A1">
        <w:rPr>
          <w:rFonts w:asciiTheme="majorBidi" w:hAnsiTheme="majorBidi" w:cstheme="majorBidi"/>
          <w:i/>
          <w:iCs/>
          <w:color w:val="000000" w:themeColor="text1"/>
        </w:rPr>
        <w:t>E</w:t>
      </w:r>
      <w:r w:rsidR="00F1773F" w:rsidRPr="005103A1">
        <w:rPr>
          <w:rFonts w:asciiTheme="majorBidi" w:hAnsiTheme="majorBidi" w:cstheme="majorBidi"/>
          <w:i/>
          <w:iCs/>
          <w:color w:val="000000" w:themeColor="text1"/>
        </w:rPr>
        <w:t>C</w:t>
      </w:r>
      <w:r w:rsidR="0026293F" w:rsidRPr="005103A1">
        <w:rPr>
          <w:rFonts w:asciiTheme="majorBidi" w:hAnsiTheme="majorBidi" w:cstheme="majorBidi"/>
          <w:color w:val="000000" w:themeColor="text1"/>
        </w:rPr>
        <w:t xml:space="preserve">) </w:t>
      </w:r>
      <w:r w:rsidR="007353DD" w:rsidRPr="005103A1">
        <w:rPr>
          <w:rFonts w:asciiTheme="majorBidi" w:hAnsiTheme="majorBidi" w:cstheme="majorBidi"/>
          <w:color w:val="000000" w:themeColor="text1"/>
        </w:rPr>
        <w:t xml:space="preserve">as the main test variables, together with all control variables. It is evident that both </w:t>
      </w:r>
      <w:r w:rsidR="007353DD" w:rsidRPr="005103A1">
        <w:rPr>
          <w:rFonts w:asciiTheme="majorBidi" w:hAnsiTheme="majorBidi" w:cstheme="majorBidi"/>
          <w:i/>
          <w:iCs/>
          <w:color w:val="000000" w:themeColor="text1"/>
        </w:rPr>
        <w:t>PCRI</w:t>
      </w:r>
      <w:r w:rsidR="007353DD" w:rsidRPr="005103A1">
        <w:rPr>
          <w:rFonts w:asciiTheme="majorBidi" w:hAnsiTheme="majorBidi" w:cstheme="majorBidi"/>
          <w:color w:val="000000" w:themeColor="text1"/>
        </w:rPr>
        <w:t xml:space="preserve"> and </w:t>
      </w:r>
      <w:r w:rsidR="007353DD" w:rsidRPr="005103A1">
        <w:rPr>
          <w:rFonts w:asciiTheme="majorBidi" w:hAnsiTheme="majorBidi" w:cstheme="majorBidi"/>
          <w:i/>
          <w:iCs/>
          <w:color w:val="000000" w:themeColor="text1"/>
        </w:rPr>
        <w:t>EC</w:t>
      </w:r>
      <w:r w:rsidR="007353DD" w:rsidRPr="005103A1">
        <w:rPr>
          <w:rFonts w:asciiTheme="majorBidi" w:hAnsiTheme="majorBidi" w:cstheme="majorBidi"/>
          <w:color w:val="000000" w:themeColor="text1"/>
        </w:rPr>
        <w:t xml:space="preserve"> </w:t>
      </w:r>
      <w:r w:rsidR="0026293F" w:rsidRPr="005103A1">
        <w:rPr>
          <w:rFonts w:asciiTheme="majorBidi" w:hAnsiTheme="majorBidi" w:cstheme="majorBidi"/>
          <w:color w:val="000000" w:themeColor="text1"/>
        </w:rPr>
        <w:t>have statistically si</w:t>
      </w:r>
      <w:r w:rsidR="00B528C8" w:rsidRPr="005103A1">
        <w:rPr>
          <w:rFonts w:asciiTheme="majorBidi" w:hAnsiTheme="majorBidi" w:cstheme="majorBidi"/>
          <w:color w:val="000000" w:themeColor="text1"/>
        </w:rPr>
        <w:t>gnificant positive relationship</w:t>
      </w:r>
      <w:r w:rsidR="0026293F" w:rsidRPr="005103A1">
        <w:rPr>
          <w:rFonts w:asciiTheme="majorBidi" w:hAnsiTheme="majorBidi" w:cstheme="majorBidi"/>
          <w:color w:val="000000" w:themeColor="text1"/>
        </w:rPr>
        <w:t xml:space="preserve"> with</w:t>
      </w:r>
      <w:r w:rsidR="00D0607E" w:rsidRPr="005103A1">
        <w:rPr>
          <w:rFonts w:asciiTheme="majorBidi" w:hAnsiTheme="majorBidi" w:cstheme="majorBidi"/>
          <w:color w:val="000000" w:themeColor="text1"/>
        </w:rPr>
        <w:t xml:space="preserve"> MV</w:t>
      </w:r>
      <w:r w:rsidR="001D7EFE" w:rsidRPr="005103A1">
        <w:rPr>
          <w:rFonts w:asciiTheme="majorBidi" w:hAnsiTheme="majorBidi" w:cstheme="majorBidi"/>
          <w:color w:val="000000" w:themeColor="text1"/>
        </w:rPr>
        <w:t>, as expected</w:t>
      </w:r>
      <w:r w:rsidR="00610113" w:rsidRPr="005103A1">
        <w:rPr>
          <w:rFonts w:asciiTheme="majorBidi" w:hAnsiTheme="majorBidi" w:cstheme="majorBidi"/>
          <w:color w:val="000000" w:themeColor="text1"/>
        </w:rPr>
        <w:t>. Column</w:t>
      </w:r>
      <w:r w:rsidR="0026293F" w:rsidRPr="005103A1">
        <w:rPr>
          <w:rFonts w:asciiTheme="majorBidi" w:hAnsiTheme="majorBidi" w:cstheme="majorBidi"/>
          <w:color w:val="000000" w:themeColor="text1"/>
        </w:rPr>
        <w:t xml:space="preserve"> 2 </w:t>
      </w:r>
      <w:r w:rsidR="00ED4497" w:rsidRPr="005103A1">
        <w:rPr>
          <w:rFonts w:asciiTheme="majorBidi" w:hAnsiTheme="majorBidi" w:cstheme="majorBidi"/>
          <w:color w:val="000000" w:themeColor="text1"/>
        </w:rPr>
        <w:t>show</w:t>
      </w:r>
      <w:r w:rsidR="00611C89" w:rsidRPr="005103A1">
        <w:rPr>
          <w:rFonts w:asciiTheme="majorBidi" w:hAnsiTheme="majorBidi" w:cstheme="majorBidi"/>
          <w:color w:val="000000" w:themeColor="text1"/>
        </w:rPr>
        <w:t>s</w:t>
      </w:r>
      <w:r w:rsidR="00610113" w:rsidRPr="005103A1">
        <w:rPr>
          <w:rFonts w:asciiTheme="majorBidi" w:hAnsiTheme="majorBidi" w:cstheme="majorBidi"/>
          <w:color w:val="000000" w:themeColor="text1"/>
        </w:rPr>
        <w:t xml:space="preserve"> the estimated</w:t>
      </w:r>
      <w:r w:rsidR="00ED4497" w:rsidRPr="005103A1">
        <w:rPr>
          <w:rFonts w:asciiTheme="majorBidi" w:hAnsiTheme="majorBidi" w:cstheme="majorBidi"/>
          <w:color w:val="000000" w:themeColor="text1"/>
        </w:rPr>
        <w:t xml:space="preserve"> </w:t>
      </w:r>
      <w:r w:rsidR="0026293F" w:rsidRPr="005103A1">
        <w:rPr>
          <w:rFonts w:asciiTheme="majorBidi" w:hAnsiTheme="majorBidi" w:cstheme="majorBidi"/>
          <w:color w:val="000000" w:themeColor="text1"/>
        </w:rPr>
        <w:t xml:space="preserve">results </w:t>
      </w:r>
      <w:r w:rsidR="00C75DF8" w:rsidRPr="005103A1">
        <w:rPr>
          <w:rFonts w:asciiTheme="majorBidi" w:hAnsiTheme="majorBidi" w:cstheme="majorBidi"/>
          <w:color w:val="000000" w:themeColor="text1"/>
        </w:rPr>
        <w:t>for</w:t>
      </w:r>
      <w:r w:rsidR="00ED4497" w:rsidRPr="005103A1">
        <w:rPr>
          <w:rFonts w:asciiTheme="majorBidi" w:hAnsiTheme="majorBidi" w:cstheme="majorBidi"/>
          <w:color w:val="000000" w:themeColor="text1"/>
        </w:rPr>
        <w:t xml:space="preserve"> Eq.(2) with the </w:t>
      </w:r>
      <w:r w:rsidR="00611C89" w:rsidRPr="005103A1">
        <w:rPr>
          <w:rFonts w:asciiTheme="majorBidi" w:hAnsiTheme="majorBidi" w:cstheme="majorBidi"/>
          <w:color w:val="000000" w:themeColor="text1"/>
        </w:rPr>
        <w:t xml:space="preserve">interaction between </w:t>
      </w:r>
      <w:r w:rsidR="00611C89" w:rsidRPr="005103A1">
        <w:rPr>
          <w:rFonts w:asciiTheme="majorBidi" w:hAnsiTheme="majorBidi" w:cstheme="majorBidi"/>
          <w:i/>
          <w:iCs/>
          <w:color w:val="000000" w:themeColor="text1"/>
        </w:rPr>
        <w:t>PCRI</w:t>
      </w:r>
      <w:r w:rsidR="00611C89" w:rsidRPr="005103A1">
        <w:rPr>
          <w:rFonts w:asciiTheme="majorBidi" w:hAnsiTheme="majorBidi" w:cstheme="majorBidi"/>
          <w:color w:val="000000" w:themeColor="text1"/>
        </w:rPr>
        <w:t xml:space="preserve"> and </w:t>
      </w:r>
      <w:r w:rsidR="00611C89" w:rsidRPr="005103A1">
        <w:rPr>
          <w:rFonts w:asciiTheme="majorBidi" w:hAnsiTheme="majorBidi" w:cstheme="majorBidi"/>
          <w:i/>
          <w:iCs/>
          <w:color w:val="000000" w:themeColor="text1"/>
        </w:rPr>
        <w:t>EC</w:t>
      </w:r>
      <w:r w:rsidR="00D63D78" w:rsidRPr="005103A1">
        <w:rPr>
          <w:rFonts w:asciiTheme="majorBidi" w:hAnsiTheme="majorBidi" w:cstheme="majorBidi"/>
          <w:color w:val="000000" w:themeColor="text1"/>
        </w:rPr>
        <w:t xml:space="preserve"> (</w:t>
      </w:r>
      <w:r w:rsidR="00D63D78" w:rsidRPr="005103A1">
        <w:rPr>
          <w:rFonts w:asciiTheme="majorBidi" w:hAnsiTheme="majorBidi" w:cstheme="majorBidi"/>
          <w:i/>
          <w:iCs/>
          <w:color w:val="000000" w:themeColor="text1"/>
        </w:rPr>
        <w:t>PCRI*EC</w:t>
      </w:r>
      <w:r w:rsidR="00D63D78" w:rsidRPr="005103A1">
        <w:rPr>
          <w:rFonts w:asciiTheme="majorBidi" w:hAnsiTheme="majorBidi" w:cstheme="majorBidi"/>
          <w:color w:val="000000" w:themeColor="text1"/>
        </w:rPr>
        <w:t>)</w:t>
      </w:r>
      <w:r w:rsidR="00505C22">
        <w:rPr>
          <w:rFonts w:asciiTheme="majorBidi" w:hAnsiTheme="majorBidi" w:cstheme="majorBidi"/>
          <w:color w:val="000000" w:themeColor="text1"/>
        </w:rPr>
        <w:t>,</w:t>
      </w:r>
      <w:r w:rsidR="00611C89" w:rsidRPr="005103A1">
        <w:rPr>
          <w:rFonts w:asciiTheme="majorBidi" w:hAnsiTheme="majorBidi" w:cstheme="majorBidi"/>
          <w:color w:val="000000" w:themeColor="text1"/>
        </w:rPr>
        <w:t xml:space="preserve"> as the test variable, </w:t>
      </w:r>
      <w:r w:rsidR="007353DD" w:rsidRPr="005103A1">
        <w:rPr>
          <w:rFonts w:asciiTheme="majorBidi" w:hAnsiTheme="majorBidi" w:cstheme="majorBidi"/>
          <w:color w:val="000000" w:themeColor="text1"/>
        </w:rPr>
        <w:t xml:space="preserve">along </w:t>
      </w:r>
      <w:r w:rsidR="00611C89" w:rsidRPr="005103A1">
        <w:rPr>
          <w:rFonts w:asciiTheme="majorBidi" w:hAnsiTheme="majorBidi" w:cstheme="majorBidi"/>
          <w:color w:val="000000" w:themeColor="text1"/>
        </w:rPr>
        <w:t xml:space="preserve">with all </w:t>
      </w:r>
      <w:r w:rsidR="00CF1851" w:rsidRPr="005103A1">
        <w:rPr>
          <w:rFonts w:asciiTheme="majorBidi" w:hAnsiTheme="majorBidi" w:cstheme="majorBidi"/>
          <w:color w:val="000000" w:themeColor="text1"/>
        </w:rPr>
        <w:t xml:space="preserve">the </w:t>
      </w:r>
      <w:r w:rsidR="00611C89" w:rsidRPr="005103A1">
        <w:rPr>
          <w:rFonts w:asciiTheme="majorBidi" w:hAnsiTheme="majorBidi" w:cstheme="majorBidi"/>
          <w:color w:val="000000" w:themeColor="text1"/>
        </w:rPr>
        <w:t xml:space="preserve">other control variables. </w:t>
      </w:r>
      <w:r w:rsidR="00ED4497" w:rsidRPr="005103A1">
        <w:rPr>
          <w:rFonts w:asciiTheme="majorBidi" w:hAnsiTheme="majorBidi" w:cstheme="majorBidi"/>
          <w:color w:val="000000" w:themeColor="text1"/>
        </w:rPr>
        <w:t xml:space="preserve">It is evident that </w:t>
      </w:r>
      <w:r w:rsidR="00ED4497" w:rsidRPr="005103A1">
        <w:rPr>
          <w:rFonts w:asciiTheme="majorBidi" w:hAnsiTheme="majorBidi" w:cstheme="majorBidi"/>
          <w:i/>
          <w:color w:val="000000" w:themeColor="text1"/>
        </w:rPr>
        <w:t>PCRI</w:t>
      </w:r>
      <w:r w:rsidR="00611C89" w:rsidRPr="005103A1">
        <w:rPr>
          <w:rFonts w:asciiTheme="majorBidi" w:hAnsiTheme="majorBidi" w:cstheme="majorBidi"/>
          <w:i/>
          <w:color w:val="000000" w:themeColor="text1"/>
        </w:rPr>
        <w:t>*EC</w:t>
      </w:r>
      <w:r w:rsidR="00611C89" w:rsidRPr="005103A1">
        <w:rPr>
          <w:rFonts w:asciiTheme="majorBidi" w:hAnsiTheme="majorBidi" w:cstheme="majorBidi"/>
          <w:color w:val="000000" w:themeColor="text1"/>
        </w:rPr>
        <w:t xml:space="preserve"> </w:t>
      </w:r>
      <w:r w:rsidR="00ED4497" w:rsidRPr="005103A1">
        <w:rPr>
          <w:rFonts w:asciiTheme="majorBidi" w:hAnsiTheme="majorBidi" w:cstheme="majorBidi"/>
          <w:color w:val="000000" w:themeColor="text1"/>
        </w:rPr>
        <w:t xml:space="preserve">has a positive relationship with </w:t>
      </w:r>
      <w:r w:rsidR="001744B3" w:rsidRPr="005103A1">
        <w:rPr>
          <w:rFonts w:asciiTheme="majorBidi" w:hAnsiTheme="majorBidi" w:cstheme="majorBidi"/>
          <w:color w:val="000000" w:themeColor="text1"/>
        </w:rPr>
        <w:t>MV</w:t>
      </w:r>
      <w:r w:rsidR="00611C89" w:rsidRPr="005103A1">
        <w:rPr>
          <w:rFonts w:asciiTheme="majorBidi" w:hAnsiTheme="majorBidi" w:cstheme="majorBidi"/>
          <w:color w:val="000000" w:themeColor="text1"/>
        </w:rPr>
        <w:t xml:space="preserve"> (</w:t>
      </w:r>
      <w:r w:rsidR="00ED4497" w:rsidRPr="005103A1">
        <w:rPr>
          <w:rFonts w:asciiTheme="majorBidi" w:hAnsiTheme="majorBidi" w:cstheme="majorBidi"/>
          <w:i/>
          <w:iCs/>
          <w:color w:val="000000" w:themeColor="text1"/>
        </w:rPr>
        <w:t>Q</w:t>
      </w:r>
      <w:r w:rsidR="00611C89" w:rsidRPr="005103A1">
        <w:rPr>
          <w:rFonts w:asciiTheme="majorBidi" w:hAnsiTheme="majorBidi" w:cstheme="majorBidi"/>
          <w:color w:val="000000" w:themeColor="text1"/>
        </w:rPr>
        <w:t>)</w:t>
      </w:r>
      <w:r w:rsidR="00ED4497" w:rsidRPr="005103A1">
        <w:rPr>
          <w:rFonts w:asciiTheme="majorBidi" w:hAnsiTheme="majorBidi" w:cstheme="majorBidi"/>
          <w:color w:val="000000" w:themeColor="text1"/>
        </w:rPr>
        <w:t xml:space="preserve">. Columns </w:t>
      </w:r>
      <w:r w:rsidR="00611C89" w:rsidRPr="005103A1">
        <w:rPr>
          <w:rFonts w:asciiTheme="majorBidi" w:hAnsiTheme="majorBidi" w:cstheme="majorBidi"/>
          <w:color w:val="000000" w:themeColor="text1"/>
        </w:rPr>
        <w:t xml:space="preserve">3 </w:t>
      </w:r>
      <w:r w:rsidR="00636701" w:rsidRPr="005103A1">
        <w:rPr>
          <w:rFonts w:asciiTheme="majorBidi" w:hAnsiTheme="majorBidi" w:cstheme="majorBidi"/>
          <w:color w:val="000000" w:themeColor="text1"/>
        </w:rPr>
        <w:t>show</w:t>
      </w:r>
      <w:r w:rsidR="00611C89" w:rsidRPr="005103A1">
        <w:rPr>
          <w:rFonts w:asciiTheme="majorBidi" w:hAnsiTheme="majorBidi" w:cstheme="majorBidi"/>
          <w:color w:val="000000" w:themeColor="text1"/>
        </w:rPr>
        <w:t>s</w:t>
      </w:r>
      <w:r w:rsidR="00636701" w:rsidRPr="005103A1">
        <w:rPr>
          <w:rFonts w:asciiTheme="majorBidi" w:hAnsiTheme="majorBidi" w:cstheme="majorBidi"/>
          <w:color w:val="000000" w:themeColor="text1"/>
        </w:rPr>
        <w:t xml:space="preserve"> </w:t>
      </w:r>
      <w:r w:rsidR="00ED4497" w:rsidRPr="005103A1">
        <w:rPr>
          <w:rFonts w:asciiTheme="majorBidi" w:hAnsiTheme="majorBidi" w:cstheme="majorBidi"/>
          <w:color w:val="000000" w:themeColor="text1"/>
        </w:rPr>
        <w:t xml:space="preserve">estimation results for </w:t>
      </w:r>
      <w:proofErr w:type="gramStart"/>
      <w:r w:rsidR="00611C89" w:rsidRPr="005103A1">
        <w:rPr>
          <w:rFonts w:asciiTheme="majorBidi" w:hAnsiTheme="majorBidi" w:cstheme="majorBidi"/>
          <w:color w:val="000000" w:themeColor="text1"/>
        </w:rPr>
        <w:t>Eq.(</w:t>
      </w:r>
      <w:proofErr w:type="gramEnd"/>
      <w:r w:rsidR="00611C89" w:rsidRPr="005103A1">
        <w:rPr>
          <w:rFonts w:asciiTheme="majorBidi" w:hAnsiTheme="majorBidi" w:cstheme="majorBidi"/>
          <w:color w:val="000000" w:themeColor="text1"/>
        </w:rPr>
        <w:t xml:space="preserve">1) by replacing </w:t>
      </w:r>
      <w:r w:rsidR="007353DD" w:rsidRPr="005103A1">
        <w:rPr>
          <w:rFonts w:asciiTheme="majorBidi" w:hAnsiTheme="majorBidi" w:cstheme="majorBidi"/>
          <w:i/>
          <w:iCs/>
          <w:color w:val="000000" w:themeColor="text1"/>
        </w:rPr>
        <w:t>PCRI</w:t>
      </w:r>
      <w:r w:rsidR="007353DD" w:rsidRPr="005103A1">
        <w:rPr>
          <w:rFonts w:asciiTheme="majorBidi" w:hAnsiTheme="majorBidi" w:cstheme="majorBidi"/>
          <w:color w:val="000000" w:themeColor="text1"/>
        </w:rPr>
        <w:t xml:space="preserve"> with </w:t>
      </w:r>
      <w:r w:rsidR="007353DD" w:rsidRPr="005103A1">
        <w:rPr>
          <w:rFonts w:asciiTheme="majorBidi" w:hAnsiTheme="majorBidi" w:cstheme="majorBidi"/>
          <w:i/>
          <w:iCs/>
          <w:color w:val="000000" w:themeColor="text1"/>
        </w:rPr>
        <w:t>GHG</w:t>
      </w:r>
      <w:r w:rsidR="007353DD" w:rsidRPr="005103A1">
        <w:rPr>
          <w:rFonts w:asciiTheme="majorBidi" w:hAnsiTheme="majorBidi" w:cstheme="majorBidi"/>
          <w:color w:val="000000" w:themeColor="text1"/>
        </w:rPr>
        <w:t xml:space="preserve"> as the main test variabl</w:t>
      </w:r>
      <w:r w:rsidR="00187175" w:rsidRPr="005103A1">
        <w:rPr>
          <w:rFonts w:asciiTheme="majorBidi" w:hAnsiTheme="majorBidi" w:cstheme="majorBidi"/>
          <w:color w:val="000000" w:themeColor="text1"/>
        </w:rPr>
        <w:t>e, and column 4 shows estimated results for</w:t>
      </w:r>
      <w:r w:rsidR="007353DD" w:rsidRPr="005103A1">
        <w:rPr>
          <w:rFonts w:asciiTheme="majorBidi" w:hAnsiTheme="majorBidi" w:cstheme="majorBidi"/>
          <w:color w:val="000000" w:themeColor="text1"/>
        </w:rPr>
        <w:t xml:space="preserve"> Eq.(2) with </w:t>
      </w:r>
      <w:r w:rsidR="00D63D78" w:rsidRPr="005103A1">
        <w:rPr>
          <w:rFonts w:asciiTheme="majorBidi" w:hAnsiTheme="majorBidi" w:cstheme="majorBidi"/>
          <w:color w:val="000000" w:themeColor="text1"/>
        </w:rPr>
        <w:t xml:space="preserve">the interaction between </w:t>
      </w:r>
      <w:r w:rsidR="00D63D78" w:rsidRPr="005103A1">
        <w:rPr>
          <w:rFonts w:asciiTheme="majorBidi" w:hAnsiTheme="majorBidi" w:cstheme="majorBidi"/>
          <w:i/>
          <w:iCs/>
          <w:color w:val="000000" w:themeColor="text1"/>
        </w:rPr>
        <w:t>GHG</w:t>
      </w:r>
      <w:r w:rsidR="00D63D78" w:rsidRPr="005103A1">
        <w:rPr>
          <w:rFonts w:asciiTheme="majorBidi" w:hAnsiTheme="majorBidi" w:cstheme="majorBidi"/>
          <w:color w:val="000000" w:themeColor="text1"/>
        </w:rPr>
        <w:t xml:space="preserve"> and </w:t>
      </w:r>
      <w:r w:rsidR="00D63D78" w:rsidRPr="005103A1">
        <w:rPr>
          <w:rFonts w:asciiTheme="majorBidi" w:hAnsiTheme="majorBidi" w:cstheme="majorBidi"/>
          <w:i/>
          <w:iCs/>
          <w:color w:val="000000" w:themeColor="text1"/>
        </w:rPr>
        <w:t>EC</w:t>
      </w:r>
      <w:r w:rsidR="00D63D78" w:rsidRPr="005103A1">
        <w:rPr>
          <w:rFonts w:asciiTheme="majorBidi" w:hAnsiTheme="majorBidi" w:cstheme="majorBidi"/>
          <w:color w:val="000000" w:themeColor="text1"/>
        </w:rPr>
        <w:t xml:space="preserve"> (</w:t>
      </w:r>
      <w:r w:rsidR="007353DD" w:rsidRPr="005103A1">
        <w:rPr>
          <w:rFonts w:asciiTheme="majorBidi" w:hAnsiTheme="majorBidi" w:cstheme="majorBidi"/>
          <w:i/>
          <w:iCs/>
          <w:color w:val="000000" w:themeColor="text1"/>
        </w:rPr>
        <w:t>GHG*EC</w:t>
      </w:r>
      <w:r w:rsidR="00D63D78" w:rsidRPr="005103A1">
        <w:rPr>
          <w:rFonts w:asciiTheme="majorBidi" w:hAnsiTheme="majorBidi" w:cstheme="majorBidi"/>
          <w:color w:val="000000" w:themeColor="text1"/>
        </w:rPr>
        <w:t>)</w:t>
      </w:r>
      <w:r w:rsidR="00505C22">
        <w:rPr>
          <w:rFonts w:asciiTheme="majorBidi" w:hAnsiTheme="majorBidi" w:cstheme="majorBidi"/>
          <w:color w:val="000000" w:themeColor="text1"/>
        </w:rPr>
        <w:t>,</w:t>
      </w:r>
      <w:r w:rsidR="007353DD" w:rsidRPr="005103A1">
        <w:rPr>
          <w:rFonts w:asciiTheme="majorBidi" w:hAnsiTheme="majorBidi" w:cstheme="majorBidi"/>
          <w:color w:val="000000" w:themeColor="text1"/>
        </w:rPr>
        <w:t xml:space="preserve"> as the explanatory variable. </w:t>
      </w:r>
      <w:r w:rsidR="00010B58" w:rsidRPr="005103A1">
        <w:rPr>
          <w:rFonts w:asciiTheme="majorBidi" w:hAnsiTheme="majorBidi" w:cstheme="majorBidi"/>
          <w:color w:val="000000" w:themeColor="text1"/>
        </w:rPr>
        <w:t xml:space="preserve">It is shown that </w:t>
      </w:r>
      <w:r w:rsidR="007353DD" w:rsidRPr="005103A1">
        <w:rPr>
          <w:rFonts w:asciiTheme="majorBidi" w:hAnsiTheme="majorBidi" w:cstheme="majorBidi"/>
          <w:color w:val="000000" w:themeColor="text1"/>
        </w:rPr>
        <w:t xml:space="preserve">both </w:t>
      </w:r>
      <w:r w:rsidR="007353DD" w:rsidRPr="005103A1">
        <w:rPr>
          <w:rFonts w:asciiTheme="majorBidi" w:hAnsiTheme="majorBidi" w:cstheme="majorBidi"/>
          <w:i/>
          <w:iCs/>
          <w:color w:val="000000" w:themeColor="text1"/>
        </w:rPr>
        <w:t>GHG</w:t>
      </w:r>
      <w:r w:rsidR="007353DD" w:rsidRPr="005103A1">
        <w:rPr>
          <w:rFonts w:asciiTheme="majorBidi" w:hAnsiTheme="majorBidi" w:cstheme="majorBidi"/>
          <w:color w:val="000000" w:themeColor="text1"/>
        </w:rPr>
        <w:t xml:space="preserve"> and </w:t>
      </w:r>
      <w:r w:rsidR="007353DD" w:rsidRPr="005103A1">
        <w:rPr>
          <w:rFonts w:asciiTheme="majorBidi" w:hAnsiTheme="majorBidi" w:cstheme="majorBidi"/>
          <w:i/>
          <w:iCs/>
          <w:color w:val="000000" w:themeColor="text1"/>
        </w:rPr>
        <w:t>GHG*EC</w:t>
      </w:r>
      <w:r w:rsidR="007353DD" w:rsidRPr="005103A1">
        <w:rPr>
          <w:rFonts w:asciiTheme="majorBidi" w:hAnsiTheme="majorBidi" w:cstheme="majorBidi"/>
          <w:color w:val="000000" w:themeColor="text1"/>
        </w:rPr>
        <w:t xml:space="preserve"> are </w:t>
      </w:r>
      <w:r w:rsidR="003A39F9" w:rsidRPr="005103A1">
        <w:rPr>
          <w:rFonts w:asciiTheme="majorBidi" w:hAnsiTheme="majorBidi" w:cstheme="majorBidi"/>
          <w:color w:val="000000" w:themeColor="text1"/>
        </w:rPr>
        <w:t>statistically insignificant or inconclusive</w:t>
      </w:r>
      <w:r w:rsidR="001D7EFE" w:rsidRPr="005103A1">
        <w:rPr>
          <w:rFonts w:asciiTheme="majorBidi" w:hAnsiTheme="majorBidi" w:cstheme="majorBidi"/>
          <w:color w:val="000000" w:themeColor="text1"/>
        </w:rPr>
        <w:t xml:space="preserve">, although </w:t>
      </w:r>
      <w:r w:rsidR="001D7EFE" w:rsidRPr="005103A1">
        <w:rPr>
          <w:rFonts w:asciiTheme="majorBidi" w:hAnsiTheme="majorBidi" w:cstheme="majorBidi"/>
          <w:i/>
          <w:color w:val="000000" w:themeColor="text1"/>
        </w:rPr>
        <w:t>E</w:t>
      </w:r>
      <w:r w:rsidR="00F1773F" w:rsidRPr="005103A1">
        <w:rPr>
          <w:rFonts w:asciiTheme="majorBidi" w:hAnsiTheme="majorBidi" w:cstheme="majorBidi"/>
          <w:i/>
          <w:color w:val="000000" w:themeColor="text1"/>
        </w:rPr>
        <w:t>C</w:t>
      </w:r>
      <w:r w:rsidR="00010B58" w:rsidRPr="005103A1">
        <w:rPr>
          <w:rFonts w:asciiTheme="majorBidi" w:hAnsiTheme="majorBidi" w:cstheme="majorBidi"/>
          <w:color w:val="000000" w:themeColor="text1"/>
        </w:rPr>
        <w:t xml:space="preserve"> </w:t>
      </w:r>
      <w:r w:rsidR="001D7EFE" w:rsidRPr="005103A1">
        <w:rPr>
          <w:rFonts w:asciiTheme="majorBidi" w:hAnsiTheme="majorBidi" w:cstheme="majorBidi"/>
          <w:color w:val="000000" w:themeColor="text1"/>
        </w:rPr>
        <w:t>remain</w:t>
      </w:r>
      <w:r w:rsidR="00010B58" w:rsidRPr="005103A1">
        <w:rPr>
          <w:rFonts w:asciiTheme="majorBidi" w:hAnsiTheme="majorBidi" w:cstheme="majorBidi"/>
          <w:color w:val="000000" w:themeColor="text1"/>
        </w:rPr>
        <w:t>s</w:t>
      </w:r>
      <w:r w:rsidR="001D7EFE" w:rsidRPr="005103A1">
        <w:rPr>
          <w:rFonts w:asciiTheme="majorBidi" w:hAnsiTheme="majorBidi" w:cstheme="majorBidi"/>
          <w:color w:val="000000" w:themeColor="text1"/>
        </w:rPr>
        <w:t xml:space="preserve"> statistically significant and positive</w:t>
      </w:r>
      <w:r w:rsidR="00AD2022" w:rsidRPr="005103A1">
        <w:rPr>
          <w:rFonts w:asciiTheme="majorBidi" w:hAnsiTheme="majorBidi" w:cstheme="majorBidi"/>
          <w:color w:val="000000" w:themeColor="text1"/>
        </w:rPr>
        <w:t>,</w:t>
      </w:r>
      <w:r w:rsidR="001D7EFE" w:rsidRPr="005103A1">
        <w:rPr>
          <w:rFonts w:asciiTheme="majorBidi" w:hAnsiTheme="majorBidi" w:cstheme="majorBidi"/>
          <w:color w:val="000000" w:themeColor="text1"/>
        </w:rPr>
        <w:t xml:space="preserve"> as </w:t>
      </w:r>
      <w:r w:rsidR="00010B58" w:rsidRPr="005103A1">
        <w:rPr>
          <w:rFonts w:asciiTheme="majorBidi" w:hAnsiTheme="majorBidi" w:cstheme="majorBidi"/>
          <w:color w:val="000000" w:themeColor="text1"/>
        </w:rPr>
        <w:t>a standalone variable</w:t>
      </w:r>
      <w:r w:rsidR="00636701" w:rsidRPr="005103A1">
        <w:rPr>
          <w:rFonts w:asciiTheme="majorBidi" w:hAnsiTheme="majorBidi" w:cstheme="majorBidi"/>
          <w:color w:val="000000" w:themeColor="text1"/>
        </w:rPr>
        <w:t>.</w:t>
      </w:r>
      <w:r w:rsidR="00415DBF">
        <w:rPr>
          <w:rFonts w:asciiTheme="majorBidi" w:hAnsiTheme="majorBidi" w:cstheme="majorBidi"/>
          <w:color w:val="000000" w:themeColor="text1"/>
        </w:rPr>
        <w:t xml:space="preserve"> </w:t>
      </w:r>
    </w:p>
    <w:p w14:paraId="2A0D9396" w14:textId="740B7B6A" w:rsidR="00192AA1" w:rsidRPr="0040657D" w:rsidRDefault="0040657D" w:rsidP="0040657D">
      <w:pPr>
        <w:spacing w:after="0" w:line="240" w:lineRule="auto"/>
        <w:jc w:val="center"/>
        <w:rPr>
          <w:rFonts w:ascii="Times New Roman" w:hAnsi="Times New Roman" w:cs="Times New Roman"/>
          <w:iCs/>
        </w:rPr>
      </w:pPr>
      <w:r w:rsidRPr="0040657D">
        <w:rPr>
          <w:rFonts w:ascii="Times New Roman" w:hAnsi="Times New Roman" w:cs="Times New Roman"/>
          <w:iCs/>
        </w:rPr>
        <w:t>Table 5</w:t>
      </w:r>
      <w:r w:rsidR="00B26417">
        <w:rPr>
          <w:rFonts w:ascii="Times New Roman" w:hAnsi="Times New Roman" w:cs="Times New Roman"/>
          <w:iCs/>
        </w:rPr>
        <w:t xml:space="preserve"> Here</w:t>
      </w:r>
    </w:p>
    <w:p w14:paraId="7840A0B1" w14:textId="77777777" w:rsidR="0040657D" w:rsidRDefault="0040657D" w:rsidP="0040657D">
      <w:pPr>
        <w:spacing w:after="0" w:line="240" w:lineRule="auto"/>
        <w:jc w:val="center"/>
        <w:rPr>
          <w:rFonts w:ascii="Times New Roman" w:hAnsi="Times New Roman" w:cs="Times New Roman"/>
          <w:i/>
        </w:rPr>
      </w:pPr>
    </w:p>
    <w:p w14:paraId="540F8475" w14:textId="03F78CD4" w:rsidR="00212830" w:rsidRDefault="00380ABE" w:rsidP="00671A51">
      <w:pPr>
        <w:spacing w:after="0" w:line="480" w:lineRule="auto"/>
        <w:ind w:firstLine="720"/>
        <w:jc w:val="both"/>
        <w:rPr>
          <w:rFonts w:asciiTheme="majorBidi" w:hAnsiTheme="majorBidi" w:cstheme="majorBidi"/>
        </w:rPr>
      </w:pPr>
      <w:r w:rsidRPr="005103A1">
        <w:rPr>
          <w:rFonts w:asciiTheme="majorBidi" w:hAnsiTheme="majorBidi" w:cstheme="majorBidi"/>
          <w:color w:val="000000" w:themeColor="text1"/>
        </w:rPr>
        <w:t xml:space="preserve">Altogether, </w:t>
      </w:r>
      <w:r w:rsidR="00AD2022" w:rsidRPr="005103A1">
        <w:rPr>
          <w:rFonts w:asciiTheme="majorBidi" w:hAnsiTheme="majorBidi" w:cstheme="majorBidi"/>
          <w:color w:val="000000" w:themeColor="text1"/>
        </w:rPr>
        <w:t>our estimated</w:t>
      </w:r>
      <w:r w:rsidR="004223D4" w:rsidRPr="005103A1">
        <w:rPr>
          <w:rFonts w:asciiTheme="majorBidi" w:hAnsiTheme="majorBidi" w:cstheme="majorBidi"/>
          <w:color w:val="000000" w:themeColor="text1"/>
        </w:rPr>
        <w:t xml:space="preserve"> </w:t>
      </w:r>
      <w:r w:rsidRPr="005103A1">
        <w:rPr>
          <w:rFonts w:asciiTheme="majorBidi" w:hAnsiTheme="majorBidi" w:cstheme="majorBidi"/>
          <w:color w:val="000000" w:themeColor="text1"/>
        </w:rPr>
        <w:t xml:space="preserve">results </w:t>
      </w:r>
      <w:r w:rsidR="00731141">
        <w:rPr>
          <w:rFonts w:asciiTheme="majorBidi" w:hAnsiTheme="majorBidi" w:cstheme="majorBidi"/>
          <w:color w:val="000000" w:themeColor="text1"/>
        </w:rPr>
        <w:t xml:space="preserve">(shown in columns 1 and 3) </w:t>
      </w:r>
      <w:r w:rsidR="00AD2022" w:rsidRPr="005103A1">
        <w:rPr>
          <w:rFonts w:asciiTheme="majorBidi" w:hAnsiTheme="majorBidi" w:cstheme="majorBidi"/>
          <w:color w:val="000000" w:themeColor="text1"/>
        </w:rPr>
        <w:t>offer support for</w:t>
      </w:r>
      <w:r w:rsidRPr="005103A1">
        <w:rPr>
          <w:rFonts w:asciiTheme="majorBidi" w:hAnsiTheme="majorBidi" w:cstheme="majorBidi"/>
          <w:color w:val="000000" w:themeColor="text1"/>
        </w:rPr>
        <w:t xml:space="preserve"> </w:t>
      </w:r>
      <w:r w:rsidRPr="005103A1">
        <w:rPr>
          <w:rFonts w:asciiTheme="majorBidi" w:hAnsiTheme="majorBidi" w:cstheme="majorBidi"/>
          <w:i/>
          <w:iCs/>
          <w:color w:val="000000" w:themeColor="text1"/>
        </w:rPr>
        <w:t>H1a</w:t>
      </w:r>
      <w:r w:rsidR="004223D4" w:rsidRPr="005103A1">
        <w:rPr>
          <w:rFonts w:asciiTheme="majorBidi" w:hAnsiTheme="majorBidi" w:cstheme="majorBidi"/>
          <w:color w:val="000000" w:themeColor="text1"/>
        </w:rPr>
        <w:t xml:space="preserve"> in that </w:t>
      </w:r>
      <w:r w:rsidR="001744B3" w:rsidRPr="005103A1">
        <w:rPr>
          <w:rFonts w:asciiTheme="majorBidi" w:hAnsiTheme="majorBidi" w:cstheme="majorBidi"/>
          <w:color w:val="000000" w:themeColor="text1"/>
        </w:rPr>
        <w:t>CP</w:t>
      </w:r>
      <w:r w:rsidR="004223D4" w:rsidRPr="005103A1">
        <w:rPr>
          <w:rFonts w:asciiTheme="majorBidi" w:hAnsiTheme="majorBidi" w:cstheme="majorBidi"/>
          <w:color w:val="000000" w:themeColor="text1"/>
        </w:rPr>
        <w:t xml:space="preserve"> has a positive relationship with </w:t>
      </w:r>
      <w:r w:rsidR="001744B3" w:rsidRPr="005103A1">
        <w:rPr>
          <w:rFonts w:asciiTheme="majorBidi" w:hAnsiTheme="majorBidi" w:cstheme="majorBidi"/>
          <w:color w:val="000000" w:themeColor="text1"/>
        </w:rPr>
        <w:t>MV</w:t>
      </w:r>
      <w:r w:rsidR="00010B58" w:rsidRPr="005103A1">
        <w:rPr>
          <w:rFonts w:asciiTheme="majorBidi" w:hAnsiTheme="majorBidi" w:cstheme="majorBidi"/>
          <w:color w:val="000000" w:themeColor="text1"/>
        </w:rPr>
        <w:t xml:space="preserve"> of a firm, </w:t>
      </w:r>
      <w:r w:rsidR="004223D4" w:rsidRPr="005103A1">
        <w:rPr>
          <w:rFonts w:asciiTheme="majorBidi" w:hAnsiTheme="majorBidi" w:cstheme="majorBidi"/>
          <w:color w:val="000000" w:themeColor="text1"/>
        </w:rPr>
        <w:t xml:space="preserve">and that this relationship is greater for </w:t>
      </w:r>
      <w:r w:rsidR="00864EFA">
        <w:rPr>
          <w:rFonts w:asciiTheme="majorBidi" w:hAnsiTheme="majorBidi" w:cstheme="majorBidi"/>
          <w:color w:val="000000" w:themeColor="text1"/>
        </w:rPr>
        <w:t xml:space="preserve">(symbolic) </w:t>
      </w:r>
      <w:r w:rsidR="004223D4" w:rsidRPr="005103A1">
        <w:rPr>
          <w:rFonts w:asciiTheme="majorBidi" w:hAnsiTheme="majorBidi" w:cstheme="majorBidi"/>
          <w:color w:val="000000" w:themeColor="text1"/>
        </w:rPr>
        <w:t xml:space="preserve">process-oriented rather than </w:t>
      </w:r>
      <w:r w:rsidR="00864EFA">
        <w:rPr>
          <w:rFonts w:asciiTheme="majorBidi" w:hAnsiTheme="majorBidi" w:cstheme="majorBidi"/>
          <w:color w:val="000000" w:themeColor="text1"/>
        </w:rPr>
        <w:t xml:space="preserve">(substantive) </w:t>
      </w:r>
      <w:r w:rsidR="004223D4" w:rsidRPr="005103A1">
        <w:rPr>
          <w:rFonts w:asciiTheme="majorBidi" w:hAnsiTheme="majorBidi" w:cstheme="majorBidi"/>
          <w:color w:val="000000" w:themeColor="text1"/>
        </w:rPr>
        <w:t xml:space="preserve">actual </w:t>
      </w:r>
      <w:r w:rsidR="001744B3" w:rsidRPr="005103A1">
        <w:rPr>
          <w:rFonts w:asciiTheme="majorBidi" w:hAnsiTheme="majorBidi" w:cstheme="majorBidi"/>
          <w:color w:val="000000" w:themeColor="text1"/>
        </w:rPr>
        <w:t>CP</w:t>
      </w:r>
      <w:r w:rsidR="0014487E" w:rsidRPr="005103A1">
        <w:rPr>
          <w:rFonts w:asciiTheme="majorBidi" w:hAnsiTheme="majorBidi" w:cstheme="majorBidi"/>
          <w:color w:val="000000" w:themeColor="text1"/>
        </w:rPr>
        <w:t xml:space="preserve"> (</w:t>
      </w:r>
      <w:r w:rsidR="004223D4" w:rsidRPr="005103A1">
        <w:rPr>
          <w:rFonts w:asciiTheme="majorBidi" w:hAnsiTheme="majorBidi" w:cstheme="majorBidi"/>
          <w:color w:val="000000" w:themeColor="text1"/>
        </w:rPr>
        <w:t>reduced GHG emissions</w:t>
      </w:r>
      <w:r w:rsidR="0014487E" w:rsidRPr="005103A1">
        <w:rPr>
          <w:rFonts w:asciiTheme="majorBidi" w:hAnsiTheme="majorBidi" w:cstheme="majorBidi"/>
          <w:color w:val="000000" w:themeColor="text1"/>
        </w:rPr>
        <w:t>)</w:t>
      </w:r>
      <w:r w:rsidR="004223D4" w:rsidRPr="005103A1">
        <w:rPr>
          <w:rFonts w:asciiTheme="majorBidi" w:hAnsiTheme="majorBidi" w:cstheme="majorBidi"/>
          <w:color w:val="000000" w:themeColor="text1"/>
        </w:rPr>
        <w:t xml:space="preserve">. </w:t>
      </w:r>
      <w:r w:rsidR="00212830">
        <w:rPr>
          <w:rFonts w:asciiTheme="majorBidi" w:hAnsiTheme="majorBidi" w:cstheme="majorBidi"/>
        </w:rPr>
        <w:t xml:space="preserve">Our </w:t>
      </w:r>
      <w:r w:rsidR="00212830">
        <w:rPr>
          <w:rFonts w:asciiTheme="majorBidi" w:hAnsiTheme="majorBidi" w:cstheme="majorBidi"/>
          <w:color w:val="000000" w:themeColor="text1"/>
        </w:rPr>
        <w:t xml:space="preserve">evidence indicates that there seems to be no market-specific incentive for firms to improve substantive carbon performance in the form of reduced GHG emissions, as firms can focus on improving symbolic process-oriented carbon performance to enhance market value. </w:t>
      </w:r>
      <w:r w:rsidR="00BE1B35" w:rsidRPr="005103A1">
        <w:rPr>
          <w:rFonts w:asciiTheme="majorBidi" w:hAnsiTheme="majorBidi" w:cstheme="majorBidi"/>
        </w:rPr>
        <w:t xml:space="preserve">This </w:t>
      </w:r>
      <w:r w:rsidR="0063127A" w:rsidRPr="005103A1">
        <w:rPr>
          <w:rFonts w:asciiTheme="majorBidi" w:hAnsiTheme="majorBidi" w:cstheme="majorBidi"/>
        </w:rPr>
        <w:t xml:space="preserve">evidence is consistent with the </w:t>
      </w:r>
      <w:r w:rsidR="00B95275" w:rsidRPr="005103A1">
        <w:rPr>
          <w:rFonts w:asciiTheme="majorBidi" w:hAnsiTheme="majorBidi" w:cstheme="majorBidi"/>
        </w:rPr>
        <w:t xml:space="preserve">legitimisation </w:t>
      </w:r>
      <w:r w:rsidR="0063127A" w:rsidRPr="005103A1">
        <w:rPr>
          <w:rFonts w:asciiTheme="majorBidi" w:hAnsiTheme="majorBidi" w:cstheme="majorBidi"/>
        </w:rPr>
        <w:t xml:space="preserve">aspect of </w:t>
      </w:r>
      <w:r w:rsidR="008523DA" w:rsidRPr="005103A1">
        <w:rPr>
          <w:rFonts w:asciiTheme="majorBidi" w:hAnsiTheme="majorBidi" w:cstheme="majorBidi"/>
        </w:rPr>
        <w:t>NIT</w:t>
      </w:r>
      <w:r w:rsidR="0063127A" w:rsidRPr="005103A1">
        <w:rPr>
          <w:rFonts w:asciiTheme="majorBidi" w:hAnsiTheme="majorBidi" w:cstheme="majorBidi"/>
        </w:rPr>
        <w:t xml:space="preserve"> in that firms, driven by organisational self-interest and active agency (</w:t>
      </w:r>
      <w:r w:rsidR="008523DA" w:rsidRPr="005103A1">
        <w:rPr>
          <w:rFonts w:asciiTheme="majorBidi" w:hAnsiTheme="majorBidi" w:cstheme="majorBidi"/>
        </w:rPr>
        <w:t>Scott, 2001</w:t>
      </w:r>
      <w:r w:rsidR="0063127A" w:rsidRPr="005103A1">
        <w:rPr>
          <w:rFonts w:asciiTheme="majorBidi" w:hAnsiTheme="majorBidi" w:cstheme="majorBidi"/>
        </w:rPr>
        <w:t>), tend to</w:t>
      </w:r>
      <w:r w:rsidR="00060AAA" w:rsidRPr="005103A1">
        <w:rPr>
          <w:rFonts w:asciiTheme="majorBidi" w:hAnsiTheme="majorBidi" w:cstheme="majorBidi"/>
        </w:rPr>
        <w:t xml:space="preserve"> </w:t>
      </w:r>
      <w:r w:rsidR="003D0ED8">
        <w:rPr>
          <w:rFonts w:asciiTheme="majorBidi" w:hAnsiTheme="majorBidi" w:cstheme="majorBidi"/>
        </w:rPr>
        <w:t>seek</w:t>
      </w:r>
      <w:r w:rsidR="00060AAA" w:rsidRPr="005103A1">
        <w:rPr>
          <w:rFonts w:asciiTheme="majorBidi" w:hAnsiTheme="majorBidi" w:cstheme="majorBidi"/>
        </w:rPr>
        <w:t xml:space="preserve"> corporate legitimacy by engaging in </w:t>
      </w:r>
      <w:r w:rsidR="00BE1B35" w:rsidRPr="005103A1">
        <w:rPr>
          <w:rFonts w:asciiTheme="majorBidi" w:hAnsiTheme="majorBidi" w:cstheme="majorBidi"/>
        </w:rPr>
        <w:t>symbolic demonstration of climate related activities</w:t>
      </w:r>
      <w:r w:rsidR="00045872" w:rsidRPr="005103A1">
        <w:rPr>
          <w:rFonts w:asciiTheme="majorBidi" w:hAnsiTheme="majorBidi" w:cstheme="majorBidi"/>
        </w:rPr>
        <w:t xml:space="preserve"> (such as process-oriented </w:t>
      </w:r>
      <w:r w:rsidR="001744B3" w:rsidRPr="005103A1">
        <w:rPr>
          <w:rFonts w:asciiTheme="majorBidi" w:hAnsiTheme="majorBidi" w:cstheme="majorBidi"/>
        </w:rPr>
        <w:t>CP</w:t>
      </w:r>
      <w:r w:rsidR="00045872" w:rsidRPr="005103A1">
        <w:rPr>
          <w:rFonts w:asciiTheme="majorBidi" w:hAnsiTheme="majorBidi" w:cstheme="majorBidi"/>
        </w:rPr>
        <w:t>)</w:t>
      </w:r>
      <w:r w:rsidR="00BE1B35" w:rsidRPr="005103A1">
        <w:rPr>
          <w:rFonts w:asciiTheme="majorBidi" w:hAnsiTheme="majorBidi" w:cstheme="majorBidi"/>
        </w:rPr>
        <w:t xml:space="preserve">, </w:t>
      </w:r>
      <w:r w:rsidR="00842F6E" w:rsidRPr="005103A1">
        <w:rPr>
          <w:rFonts w:asciiTheme="majorBidi" w:hAnsiTheme="majorBidi" w:cstheme="majorBidi"/>
        </w:rPr>
        <w:t>that can easily be communicated to the investors</w:t>
      </w:r>
      <w:r w:rsidR="002752FF" w:rsidRPr="005103A1">
        <w:rPr>
          <w:rFonts w:asciiTheme="majorBidi" w:hAnsiTheme="majorBidi" w:cstheme="majorBidi"/>
        </w:rPr>
        <w:t>, rating agencies</w:t>
      </w:r>
      <w:r w:rsidR="00842F6E" w:rsidRPr="005103A1">
        <w:rPr>
          <w:rFonts w:asciiTheme="majorBidi" w:hAnsiTheme="majorBidi" w:cstheme="majorBidi"/>
        </w:rPr>
        <w:t xml:space="preserve"> and markets</w:t>
      </w:r>
      <w:r w:rsidR="00045872" w:rsidRPr="005103A1">
        <w:rPr>
          <w:rFonts w:asciiTheme="majorBidi" w:hAnsiTheme="majorBidi" w:cstheme="majorBidi"/>
        </w:rPr>
        <w:t xml:space="preserve">, leading to an improved </w:t>
      </w:r>
      <w:r w:rsidR="001744B3" w:rsidRPr="005103A1">
        <w:rPr>
          <w:rFonts w:asciiTheme="majorBidi" w:hAnsiTheme="majorBidi" w:cstheme="majorBidi"/>
        </w:rPr>
        <w:t>MV</w:t>
      </w:r>
      <w:r w:rsidR="00045872" w:rsidRPr="005103A1">
        <w:rPr>
          <w:rFonts w:asciiTheme="majorBidi" w:hAnsiTheme="majorBidi" w:cstheme="majorBidi"/>
        </w:rPr>
        <w:t>.</w:t>
      </w:r>
      <w:r w:rsidR="00842F6E" w:rsidRPr="005103A1">
        <w:rPr>
          <w:rFonts w:asciiTheme="majorBidi" w:hAnsiTheme="majorBidi" w:cstheme="majorBidi"/>
        </w:rPr>
        <w:t xml:space="preserve"> </w:t>
      </w:r>
      <w:r w:rsidR="00B95A9F" w:rsidRPr="005103A1">
        <w:rPr>
          <w:rFonts w:asciiTheme="majorBidi" w:hAnsiTheme="majorBidi" w:cstheme="majorBidi"/>
          <w:color w:val="000000" w:themeColor="text1"/>
        </w:rPr>
        <w:t xml:space="preserve">Our evidence supports the findings </w:t>
      </w:r>
      <w:r w:rsidR="00B95A9F" w:rsidRPr="005103A1">
        <w:rPr>
          <w:rFonts w:asciiTheme="majorBidi" w:hAnsiTheme="majorBidi" w:cstheme="majorBidi"/>
        </w:rPr>
        <w:t xml:space="preserve">of Delmas </w:t>
      </w:r>
      <w:r w:rsidR="00B95A9F" w:rsidRPr="005103A1">
        <w:rPr>
          <w:rFonts w:asciiTheme="majorBidi" w:hAnsiTheme="majorBidi" w:cstheme="majorBidi"/>
          <w:i/>
        </w:rPr>
        <w:t>et al.</w:t>
      </w:r>
      <w:r w:rsidR="00B95A9F" w:rsidRPr="005103A1">
        <w:rPr>
          <w:rFonts w:asciiTheme="majorBidi" w:hAnsiTheme="majorBidi" w:cstheme="majorBidi"/>
        </w:rPr>
        <w:t xml:space="preserve"> (2013), </w:t>
      </w:r>
      <w:r w:rsidR="00CB21AD" w:rsidRPr="005103A1">
        <w:rPr>
          <w:rFonts w:asciiTheme="majorBidi" w:hAnsiTheme="majorBidi" w:cstheme="majorBidi"/>
        </w:rPr>
        <w:t>although they use</w:t>
      </w:r>
      <w:r w:rsidR="00925174" w:rsidRPr="005103A1">
        <w:rPr>
          <w:rFonts w:asciiTheme="majorBidi" w:hAnsiTheme="majorBidi" w:cstheme="majorBidi"/>
        </w:rPr>
        <w:t>d</w:t>
      </w:r>
      <w:r w:rsidR="00CB21AD" w:rsidRPr="005103A1">
        <w:rPr>
          <w:rFonts w:asciiTheme="majorBidi" w:hAnsiTheme="majorBidi" w:cstheme="majorBidi"/>
        </w:rPr>
        <w:t xml:space="preserve"> old dataset (covering</w:t>
      </w:r>
      <w:r w:rsidR="00C370A4" w:rsidRPr="005103A1">
        <w:rPr>
          <w:rFonts w:asciiTheme="majorBidi" w:hAnsiTheme="majorBidi" w:cstheme="majorBidi"/>
        </w:rPr>
        <w:t xml:space="preserve"> </w:t>
      </w:r>
      <w:r w:rsidR="00CB21AD" w:rsidRPr="005103A1">
        <w:rPr>
          <w:rFonts w:asciiTheme="majorBidi" w:hAnsiTheme="majorBidi" w:cstheme="majorBidi"/>
        </w:rPr>
        <w:t>2004-2007</w:t>
      </w:r>
      <w:r w:rsidR="00C370A4" w:rsidRPr="005103A1">
        <w:rPr>
          <w:rFonts w:asciiTheme="majorBidi" w:hAnsiTheme="majorBidi" w:cstheme="majorBidi"/>
        </w:rPr>
        <w:t xml:space="preserve"> period</w:t>
      </w:r>
      <w:r w:rsidR="00CB21AD" w:rsidRPr="005103A1">
        <w:rPr>
          <w:rFonts w:asciiTheme="majorBidi" w:hAnsiTheme="majorBidi" w:cstheme="majorBidi"/>
        </w:rPr>
        <w:t xml:space="preserve">) </w:t>
      </w:r>
      <w:r w:rsidR="00135A62" w:rsidRPr="005103A1">
        <w:rPr>
          <w:rFonts w:asciiTheme="majorBidi" w:hAnsiTheme="majorBidi" w:cstheme="majorBidi"/>
        </w:rPr>
        <w:t xml:space="preserve">relating to </w:t>
      </w:r>
      <w:r w:rsidR="00CB21AD" w:rsidRPr="005103A1">
        <w:rPr>
          <w:rFonts w:asciiTheme="majorBidi" w:hAnsiTheme="majorBidi" w:cstheme="majorBidi"/>
        </w:rPr>
        <w:t xml:space="preserve">environmental </w:t>
      </w:r>
      <w:r w:rsidR="00925174" w:rsidRPr="005103A1">
        <w:rPr>
          <w:rFonts w:asciiTheme="majorBidi" w:hAnsiTheme="majorBidi" w:cstheme="majorBidi"/>
        </w:rPr>
        <w:t xml:space="preserve">performance-based </w:t>
      </w:r>
      <w:r w:rsidR="00CB21AD" w:rsidRPr="005103A1">
        <w:rPr>
          <w:rFonts w:asciiTheme="majorBidi" w:hAnsiTheme="majorBidi" w:cstheme="majorBidi"/>
        </w:rPr>
        <w:t>rating</w:t>
      </w:r>
      <w:r w:rsidR="00925174" w:rsidRPr="005103A1">
        <w:rPr>
          <w:rFonts w:asciiTheme="majorBidi" w:hAnsiTheme="majorBidi" w:cstheme="majorBidi"/>
        </w:rPr>
        <w:t>s</w:t>
      </w:r>
      <w:r w:rsidR="00CB21AD" w:rsidRPr="005103A1">
        <w:rPr>
          <w:rFonts w:asciiTheme="majorBidi" w:hAnsiTheme="majorBidi" w:cstheme="majorBidi"/>
        </w:rPr>
        <w:t xml:space="preserve"> of US firms. </w:t>
      </w:r>
      <w:r w:rsidR="00E82DED" w:rsidRPr="005103A1">
        <w:rPr>
          <w:rFonts w:asciiTheme="majorBidi" w:hAnsiTheme="majorBidi" w:cstheme="majorBidi"/>
        </w:rPr>
        <w:t xml:space="preserve">Our results also suggest that the European stock markets do not seem to </w:t>
      </w:r>
      <w:r w:rsidR="00534EB0">
        <w:rPr>
          <w:rFonts w:asciiTheme="majorBidi" w:hAnsiTheme="majorBidi" w:cstheme="majorBidi"/>
        </w:rPr>
        <w:t>undervalue</w:t>
      </w:r>
      <w:r w:rsidR="00E82DED" w:rsidRPr="005103A1">
        <w:rPr>
          <w:rFonts w:asciiTheme="majorBidi" w:hAnsiTheme="majorBidi" w:cstheme="majorBidi"/>
        </w:rPr>
        <w:t xml:space="preserve"> firms for </w:t>
      </w:r>
      <w:r w:rsidR="00D56C68">
        <w:rPr>
          <w:rFonts w:asciiTheme="majorBidi" w:hAnsiTheme="majorBidi" w:cstheme="majorBidi"/>
        </w:rPr>
        <w:t>engaging in</w:t>
      </w:r>
      <w:r w:rsidR="00E82DED" w:rsidRPr="005103A1">
        <w:rPr>
          <w:rFonts w:asciiTheme="majorBidi" w:hAnsiTheme="majorBidi" w:cstheme="majorBidi"/>
        </w:rPr>
        <w:t xml:space="preserve"> excessive GHG emissions, a finding that contradicts </w:t>
      </w:r>
      <w:r w:rsidR="00B20C2A" w:rsidRPr="005103A1">
        <w:rPr>
          <w:rFonts w:asciiTheme="majorBidi" w:hAnsiTheme="majorBidi" w:cstheme="majorBidi"/>
          <w:color w:val="000000" w:themeColor="text1"/>
        </w:rPr>
        <w:t xml:space="preserve">the results of </w:t>
      </w:r>
      <w:r w:rsidR="00066F1F" w:rsidRPr="005103A1">
        <w:rPr>
          <w:rFonts w:asciiTheme="majorBidi" w:hAnsiTheme="majorBidi" w:cstheme="majorBidi"/>
          <w:color w:val="000000" w:themeColor="text1"/>
        </w:rPr>
        <w:t xml:space="preserve">other US-based </w:t>
      </w:r>
      <w:r w:rsidR="00E82DED" w:rsidRPr="005103A1">
        <w:rPr>
          <w:rFonts w:asciiTheme="majorBidi" w:hAnsiTheme="majorBidi" w:cstheme="majorBidi"/>
          <w:color w:val="000000" w:themeColor="text1"/>
        </w:rPr>
        <w:t xml:space="preserve">studies (Matsumura </w:t>
      </w:r>
      <w:r w:rsidR="00E82DED" w:rsidRPr="005103A1">
        <w:rPr>
          <w:rFonts w:asciiTheme="majorBidi" w:hAnsiTheme="majorBidi" w:cstheme="majorBidi"/>
          <w:i/>
          <w:color w:val="000000" w:themeColor="text1"/>
        </w:rPr>
        <w:t>et al.</w:t>
      </w:r>
      <w:r w:rsidR="00E82DED" w:rsidRPr="005103A1">
        <w:rPr>
          <w:rFonts w:asciiTheme="majorBidi" w:hAnsiTheme="majorBidi" w:cstheme="majorBidi"/>
          <w:color w:val="000000" w:themeColor="text1"/>
        </w:rPr>
        <w:t xml:space="preserve">, 2014; </w:t>
      </w:r>
      <w:r w:rsidR="00E82DED" w:rsidRPr="005103A1">
        <w:rPr>
          <w:rFonts w:asciiTheme="majorBidi" w:hAnsiTheme="majorBidi" w:cstheme="majorBidi"/>
        </w:rPr>
        <w:t xml:space="preserve">Busch and Hoffmann, 2011) that show an inverse relationship between GHG emissions and </w:t>
      </w:r>
      <w:r w:rsidR="001A1FF7" w:rsidRPr="005103A1">
        <w:rPr>
          <w:rFonts w:asciiTheme="majorBidi" w:hAnsiTheme="majorBidi" w:cstheme="majorBidi"/>
        </w:rPr>
        <w:t>MV</w:t>
      </w:r>
      <w:r w:rsidR="004B77F6" w:rsidRPr="005103A1">
        <w:rPr>
          <w:rFonts w:asciiTheme="majorBidi" w:hAnsiTheme="majorBidi" w:cstheme="majorBidi"/>
        </w:rPr>
        <w:t xml:space="preserve"> by using </w:t>
      </w:r>
      <w:r w:rsidR="008C3617" w:rsidRPr="005103A1">
        <w:rPr>
          <w:rFonts w:asciiTheme="majorBidi" w:hAnsiTheme="majorBidi" w:cstheme="majorBidi"/>
        </w:rPr>
        <w:t xml:space="preserve">either cross-sectional </w:t>
      </w:r>
      <w:r w:rsidR="008C3617" w:rsidRPr="005103A1">
        <w:rPr>
          <w:rFonts w:asciiTheme="majorBidi" w:hAnsiTheme="majorBidi" w:cstheme="majorBidi"/>
        </w:rPr>
        <w:lastRenderedPageBreak/>
        <w:t>data of 2007 or panel data over a</w:t>
      </w:r>
      <w:r w:rsidR="009C32C5" w:rsidRPr="005103A1">
        <w:rPr>
          <w:rFonts w:asciiTheme="majorBidi" w:hAnsiTheme="majorBidi" w:cstheme="majorBidi"/>
        </w:rPr>
        <w:t xml:space="preserve"> relatively</w:t>
      </w:r>
      <w:r w:rsidR="008C3617" w:rsidRPr="005103A1">
        <w:rPr>
          <w:rFonts w:asciiTheme="majorBidi" w:hAnsiTheme="majorBidi" w:cstheme="majorBidi"/>
        </w:rPr>
        <w:t xml:space="preserve"> short time (2006-2008)</w:t>
      </w:r>
      <w:r w:rsidR="00367A3E" w:rsidRPr="005103A1">
        <w:rPr>
          <w:rFonts w:asciiTheme="majorBidi" w:hAnsiTheme="majorBidi" w:cstheme="majorBidi"/>
        </w:rPr>
        <w:t>.</w:t>
      </w:r>
      <w:r w:rsidR="00E82DED" w:rsidRPr="005103A1">
        <w:rPr>
          <w:rFonts w:asciiTheme="majorBidi" w:hAnsiTheme="majorBidi" w:cstheme="majorBidi"/>
        </w:rPr>
        <w:t xml:space="preserve"> </w:t>
      </w:r>
      <w:r w:rsidR="00513CF7" w:rsidRPr="005103A1">
        <w:rPr>
          <w:rFonts w:asciiTheme="majorBidi" w:hAnsiTheme="majorBidi" w:cstheme="majorBidi"/>
        </w:rPr>
        <w:t xml:space="preserve">Therefore, as the legitimisation </w:t>
      </w:r>
      <w:r w:rsidR="002D12FD" w:rsidRPr="005103A1">
        <w:rPr>
          <w:rFonts w:asciiTheme="majorBidi" w:hAnsiTheme="majorBidi" w:cstheme="majorBidi"/>
        </w:rPr>
        <w:t xml:space="preserve">aspect of </w:t>
      </w:r>
      <w:r w:rsidR="00925174" w:rsidRPr="005103A1">
        <w:rPr>
          <w:rFonts w:asciiTheme="majorBidi" w:hAnsiTheme="majorBidi" w:cstheme="majorBidi"/>
        </w:rPr>
        <w:t>NIT</w:t>
      </w:r>
      <w:r w:rsidR="002D12FD" w:rsidRPr="005103A1">
        <w:rPr>
          <w:rFonts w:asciiTheme="majorBidi" w:hAnsiTheme="majorBidi" w:cstheme="majorBidi"/>
        </w:rPr>
        <w:t xml:space="preserve"> suggests, </w:t>
      </w:r>
      <w:r w:rsidR="00923CA5" w:rsidRPr="005103A1">
        <w:rPr>
          <w:rFonts w:asciiTheme="majorBidi" w:hAnsiTheme="majorBidi" w:cstheme="majorBidi"/>
        </w:rPr>
        <w:t xml:space="preserve">firms might </w:t>
      </w:r>
      <w:r w:rsidR="002D12FD" w:rsidRPr="005103A1">
        <w:rPr>
          <w:rFonts w:asciiTheme="majorBidi" w:hAnsiTheme="majorBidi" w:cstheme="majorBidi"/>
        </w:rPr>
        <w:t xml:space="preserve">be more inclined to engage in </w:t>
      </w:r>
      <w:r w:rsidR="00923CA5" w:rsidRPr="005103A1">
        <w:rPr>
          <w:rFonts w:asciiTheme="majorBidi" w:hAnsiTheme="majorBidi" w:cstheme="majorBidi"/>
        </w:rPr>
        <w:t>climate related activi</w:t>
      </w:r>
      <w:r w:rsidR="002D12FD" w:rsidRPr="005103A1">
        <w:rPr>
          <w:rFonts w:asciiTheme="majorBidi" w:hAnsiTheme="majorBidi" w:cstheme="majorBidi"/>
        </w:rPr>
        <w:t>ties</w:t>
      </w:r>
      <w:r w:rsidR="00923CA5" w:rsidRPr="005103A1">
        <w:rPr>
          <w:rFonts w:asciiTheme="majorBidi" w:hAnsiTheme="majorBidi" w:cstheme="majorBidi"/>
        </w:rPr>
        <w:t xml:space="preserve"> through strategic and operational initiatives in the forms of policies, processes and management practices, without undertaking substantial commitments to reduce actual GHG emissions. </w:t>
      </w:r>
    </w:p>
    <w:p w14:paraId="1B52BEFD" w14:textId="76875C47" w:rsidR="00923CA5" w:rsidRPr="00B7376E" w:rsidRDefault="003E2CA1" w:rsidP="00B7376E">
      <w:pPr>
        <w:spacing w:after="0" w:line="480" w:lineRule="auto"/>
        <w:ind w:firstLine="720"/>
        <w:jc w:val="both"/>
        <w:rPr>
          <w:rFonts w:asciiTheme="majorBidi" w:hAnsiTheme="majorBidi" w:cstheme="majorBidi"/>
          <w:i/>
          <w:iCs/>
          <w:color w:val="000000" w:themeColor="text1"/>
        </w:rPr>
      </w:pPr>
      <w:r>
        <w:rPr>
          <w:rFonts w:asciiTheme="majorBidi" w:hAnsiTheme="majorBidi" w:cstheme="majorBidi"/>
          <w:color w:val="000000" w:themeColor="text1"/>
        </w:rPr>
        <w:t>Moreover, o</w:t>
      </w:r>
      <w:r w:rsidR="00671A51" w:rsidRPr="005103A1">
        <w:rPr>
          <w:rFonts w:asciiTheme="majorBidi" w:hAnsiTheme="majorBidi" w:cstheme="majorBidi"/>
          <w:color w:val="000000" w:themeColor="text1"/>
        </w:rPr>
        <w:t xml:space="preserve">ur results </w:t>
      </w:r>
      <w:r>
        <w:rPr>
          <w:rFonts w:asciiTheme="majorBidi" w:hAnsiTheme="majorBidi" w:cstheme="majorBidi"/>
          <w:color w:val="000000" w:themeColor="text1"/>
        </w:rPr>
        <w:t>(shown in columns 2 and 4</w:t>
      </w:r>
      <w:r w:rsidR="00865309">
        <w:rPr>
          <w:rFonts w:asciiTheme="majorBidi" w:hAnsiTheme="majorBidi" w:cstheme="majorBidi"/>
          <w:color w:val="000000" w:themeColor="text1"/>
        </w:rPr>
        <w:t xml:space="preserve"> of Table 5</w:t>
      </w:r>
      <w:r>
        <w:rPr>
          <w:rFonts w:asciiTheme="majorBidi" w:hAnsiTheme="majorBidi" w:cstheme="majorBidi"/>
          <w:color w:val="000000" w:themeColor="text1"/>
        </w:rPr>
        <w:t xml:space="preserve">) </w:t>
      </w:r>
      <w:r w:rsidR="00671A51">
        <w:rPr>
          <w:rFonts w:asciiTheme="majorBidi" w:hAnsiTheme="majorBidi" w:cstheme="majorBidi"/>
          <w:color w:val="000000" w:themeColor="text1"/>
        </w:rPr>
        <w:t>suggest that the substantive incentive-based mechanism</w:t>
      </w:r>
      <w:r w:rsidR="0055600D">
        <w:rPr>
          <w:rFonts w:asciiTheme="majorBidi" w:hAnsiTheme="majorBidi" w:cstheme="majorBidi"/>
          <w:color w:val="000000" w:themeColor="text1"/>
        </w:rPr>
        <w:t>s,</w:t>
      </w:r>
      <w:r w:rsidR="00671A51">
        <w:rPr>
          <w:rFonts w:asciiTheme="majorBidi" w:hAnsiTheme="majorBidi" w:cstheme="majorBidi"/>
          <w:color w:val="000000" w:themeColor="text1"/>
        </w:rPr>
        <w:t xml:space="preserve"> such as the level </w:t>
      </w:r>
      <w:r w:rsidR="00671A51" w:rsidRPr="0049058D">
        <w:rPr>
          <w:rFonts w:asciiTheme="majorBidi" w:hAnsiTheme="majorBidi" w:cstheme="majorBidi"/>
          <w:i/>
          <w:iCs/>
          <w:color w:val="000000" w:themeColor="text1"/>
        </w:rPr>
        <w:t>EC</w:t>
      </w:r>
      <w:r w:rsidR="00671A51">
        <w:rPr>
          <w:rFonts w:asciiTheme="majorBidi" w:hAnsiTheme="majorBidi" w:cstheme="majorBidi"/>
          <w:color w:val="000000" w:themeColor="text1"/>
        </w:rPr>
        <w:t xml:space="preserve"> positively moderate t</w:t>
      </w:r>
      <w:r w:rsidR="00671A51" w:rsidRPr="005103A1">
        <w:rPr>
          <w:rFonts w:asciiTheme="majorBidi" w:hAnsiTheme="majorBidi" w:cstheme="majorBidi"/>
          <w:color w:val="000000" w:themeColor="text1"/>
        </w:rPr>
        <w:t xml:space="preserve">he </w:t>
      </w:r>
      <w:r w:rsidR="00671A51">
        <w:rPr>
          <w:rFonts w:asciiTheme="majorBidi" w:hAnsiTheme="majorBidi" w:cstheme="majorBidi"/>
          <w:color w:val="000000" w:themeColor="text1"/>
        </w:rPr>
        <w:t xml:space="preserve">relationship </w:t>
      </w:r>
      <w:r w:rsidR="00671A51" w:rsidRPr="005103A1">
        <w:rPr>
          <w:rFonts w:asciiTheme="majorBidi" w:hAnsiTheme="majorBidi" w:cstheme="majorBidi"/>
          <w:color w:val="000000" w:themeColor="text1"/>
        </w:rPr>
        <w:t xml:space="preserve">between </w:t>
      </w:r>
      <w:r w:rsidR="00671A51" w:rsidRPr="0049058D">
        <w:rPr>
          <w:rFonts w:asciiTheme="majorBidi" w:hAnsiTheme="majorBidi" w:cstheme="majorBidi"/>
          <w:i/>
          <w:iCs/>
          <w:color w:val="000000" w:themeColor="text1"/>
        </w:rPr>
        <w:t>PCRI</w:t>
      </w:r>
      <w:r w:rsidR="00671A51" w:rsidRPr="005103A1">
        <w:rPr>
          <w:rFonts w:asciiTheme="majorBidi" w:hAnsiTheme="majorBidi" w:cstheme="majorBidi"/>
          <w:color w:val="000000" w:themeColor="text1"/>
        </w:rPr>
        <w:t xml:space="preserve"> and </w:t>
      </w:r>
      <w:r w:rsidR="00671A51" w:rsidRPr="0049058D">
        <w:rPr>
          <w:rFonts w:asciiTheme="majorBidi" w:hAnsiTheme="majorBidi" w:cstheme="majorBidi"/>
          <w:i/>
          <w:iCs/>
          <w:color w:val="000000" w:themeColor="text1"/>
        </w:rPr>
        <w:t>MV</w:t>
      </w:r>
      <w:r w:rsidR="00671A51" w:rsidRPr="005103A1">
        <w:rPr>
          <w:rFonts w:asciiTheme="majorBidi" w:hAnsiTheme="majorBidi" w:cstheme="majorBidi"/>
          <w:color w:val="000000" w:themeColor="text1"/>
        </w:rPr>
        <w:t xml:space="preserve">, </w:t>
      </w:r>
      <w:r w:rsidR="00671A51">
        <w:rPr>
          <w:rFonts w:asciiTheme="majorBidi" w:hAnsiTheme="majorBidi" w:cstheme="majorBidi"/>
          <w:color w:val="000000" w:themeColor="text1"/>
        </w:rPr>
        <w:t xml:space="preserve">but this moderating effect does not hold for </w:t>
      </w:r>
      <w:r w:rsidR="00286374">
        <w:rPr>
          <w:rFonts w:asciiTheme="majorBidi" w:hAnsiTheme="majorBidi" w:cstheme="majorBidi"/>
          <w:color w:val="000000" w:themeColor="text1"/>
        </w:rPr>
        <w:t xml:space="preserve">the </w:t>
      </w:r>
      <w:r w:rsidR="00671A51" w:rsidRPr="0049058D">
        <w:rPr>
          <w:rFonts w:asciiTheme="majorBidi" w:hAnsiTheme="majorBidi" w:cstheme="majorBidi"/>
          <w:i/>
          <w:iCs/>
          <w:color w:val="000000" w:themeColor="text1"/>
        </w:rPr>
        <w:t>GHG</w:t>
      </w:r>
      <w:r w:rsidR="00B7376E">
        <w:rPr>
          <w:rFonts w:asciiTheme="majorBidi" w:hAnsiTheme="majorBidi" w:cstheme="majorBidi"/>
          <w:i/>
          <w:iCs/>
          <w:color w:val="000000" w:themeColor="text1"/>
        </w:rPr>
        <w:t>–</w:t>
      </w:r>
      <w:r w:rsidR="00671A51" w:rsidRPr="0049058D">
        <w:rPr>
          <w:rFonts w:asciiTheme="majorBidi" w:hAnsiTheme="majorBidi" w:cstheme="majorBidi"/>
          <w:i/>
          <w:iCs/>
          <w:color w:val="000000" w:themeColor="text1"/>
        </w:rPr>
        <w:t>MV</w:t>
      </w:r>
      <w:r w:rsidR="00671A51">
        <w:rPr>
          <w:rFonts w:asciiTheme="majorBidi" w:hAnsiTheme="majorBidi" w:cstheme="majorBidi"/>
          <w:color w:val="000000" w:themeColor="text1"/>
        </w:rPr>
        <w:t xml:space="preserve"> </w:t>
      </w:r>
      <w:r w:rsidR="00286374">
        <w:rPr>
          <w:rFonts w:asciiTheme="majorBidi" w:hAnsiTheme="majorBidi" w:cstheme="majorBidi"/>
          <w:color w:val="000000" w:themeColor="text1"/>
        </w:rPr>
        <w:t>relationship</w:t>
      </w:r>
      <w:r w:rsidR="00671A51">
        <w:rPr>
          <w:rFonts w:asciiTheme="majorBidi" w:hAnsiTheme="majorBidi" w:cstheme="majorBidi"/>
          <w:color w:val="000000" w:themeColor="text1"/>
        </w:rPr>
        <w:t xml:space="preserve">. </w:t>
      </w:r>
      <w:r w:rsidR="00212830" w:rsidRPr="005103A1">
        <w:rPr>
          <w:rFonts w:asciiTheme="majorBidi" w:hAnsiTheme="majorBidi" w:cstheme="majorBidi"/>
          <w:color w:val="000000" w:themeColor="text1"/>
        </w:rPr>
        <w:t>Th</w:t>
      </w:r>
      <w:r w:rsidR="00A27EF4">
        <w:rPr>
          <w:rFonts w:asciiTheme="majorBidi" w:hAnsiTheme="majorBidi" w:cstheme="majorBidi"/>
          <w:color w:val="000000" w:themeColor="text1"/>
        </w:rPr>
        <w:t xml:space="preserve">is </w:t>
      </w:r>
      <w:r w:rsidR="00286374">
        <w:rPr>
          <w:rFonts w:asciiTheme="majorBidi" w:hAnsiTheme="majorBidi" w:cstheme="majorBidi"/>
          <w:color w:val="000000" w:themeColor="text1"/>
        </w:rPr>
        <w:t xml:space="preserve">evidence </w:t>
      </w:r>
      <w:r w:rsidR="00A27EF4">
        <w:rPr>
          <w:rFonts w:asciiTheme="majorBidi" w:hAnsiTheme="majorBidi" w:cstheme="majorBidi"/>
          <w:color w:val="000000" w:themeColor="text1"/>
        </w:rPr>
        <w:t>is</w:t>
      </w:r>
      <w:r>
        <w:rPr>
          <w:rFonts w:asciiTheme="majorBidi" w:hAnsiTheme="majorBidi" w:cstheme="majorBidi"/>
          <w:color w:val="000000" w:themeColor="text1"/>
        </w:rPr>
        <w:t xml:space="preserve"> </w:t>
      </w:r>
      <w:r w:rsidR="004C6E9C">
        <w:rPr>
          <w:rFonts w:asciiTheme="majorBidi" w:hAnsiTheme="majorBidi" w:cstheme="majorBidi"/>
          <w:color w:val="000000" w:themeColor="text1"/>
        </w:rPr>
        <w:t xml:space="preserve">also </w:t>
      </w:r>
      <w:r>
        <w:rPr>
          <w:rFonts w:asciiTheme="majorBidi" w:hAnsiTheme="majorBidi" w:cstheme="majorBidi"/>
          <w:color w:val="000000" w:themeColor="text1"/>
        </w:rPr>
        <w:t xml:space="preserve">consistent with the </w:t>
      </w:r>
      <w:r w:rsidRPr="005103A1">
        <w:rPr>
          <w:rFonts w:asciiTheme="majorBidi" w:hAnsiTheme="majorBidi" w:cstheme="majorBidi"/>
        </w:rPr>
        <w:t>legitimisation aspect of NIT</w:t>
      </w:r>
      <w:r>
        <w:rPr>
          <w:rFonts w:asciiTheme="majorBidi" w:hAnsiTheme="majorBidi" w:cstheme="majorBidi"/>
        </w:rPr>
        <w:t xml:space="preserve"> as explained earlier, and </w:t>
      </w:r>
      <w:r w:rsidR="004C6E9C">
        <w:rPr>
          <w:rFonts w:asciiTheme="majorBidi" w:hAnsiTheme="majorBidi" w:cstheme="majorBidi"/>
          <w:color w:val="000000" w:themeColor="text1"/>
        </w:rPr>
        <w:t>thus</w:t>
      </w:r>
      <w:r w:rsidR="00212830" w:rsidRPr="005103A1">
        <w:rPr>
          <w:rFonts w:asciiTheme="majorBidi" w:hAnsiTheme="majorBidi" w:cstheme="majorBidi"/>
          <w:color w:val="000000" w:themeColor="text1"/>
        </w:rPr>
        <w:t xml:space="preserve"> provide</w:t>
      </w:r>
      <w:r w:rsidR="00A27EF4">
        <w:rPr>
          <w:rFonts w:asciiTheme="majorBidi" w:hAnsiTheme="majorBidi" w:cstheme="majorBidi"/>
          <w:color w:val="000000" w:themeColor="text1"/>
        </w:rPr>
        <w:t>s</w:t>
      </w:r>
      <w:r w:rsidR="00212830" w:rsidRPr="005103A1">
        <w:rPr>
          <w:rFonts w:asciiTheme="majorBidi" w:hAnsiTheme="majorBidi" w:cstheme="majorBidi"/>
          <w:color w:val="000000" w:themeColor="text1"/>
        </w:rPr>
        <w:t xml:space="preserve"> </w:t>
      </w:r>
      <w:r w:rsidR="004C6E9C">
        <w:rPr>
          <w:rFonts w:asciiTheme="majorBidi" w:hAnsiTheme="majorBidi" w:cstheme="majorBidi"/>
          <w:color w:val="000000" w:themeColor="text1"/>
        </w:rPr>
        <w:t xml:space="preserve">further </w:t>
      </w:r>
      <w:r w:rsidR="00212830" w:rsidRPr="005103A1">
        <w:rPr>
          <w:rFonts w:asciiTheme="majorBidi" w:hAnsiTheme="majorBidi" w:cstheme="majorBidi"/>
          <w:color w:val="000000" w:themeColor="text1"/>
        </w:rPr>
        <w:t xml:space="preserve">support for </w:t>
      </w:r>
      <w:r w:rsidR="00212830" w:rsidRPr="005103A1">
        <w:rPr>
          <w:rFonts w:asciiTheme="majorBidi" w:hAnsiTheme="majorBidi" w:cstheme="majorBidi"/>
          <w:i/>
          <w:iCs/>
          <w:color w:val="000000" w:themeColor="text1"/>
        </w:rPr>
        <w:t>H1b</w:t>
      </w:r>
      <w:r w:rsidR="00212830" w:rsidRPr="005103A1">
        <w:rPr>
          <w:rFonts w:asciiTheme="majorBidi" w:hAnsiTheme="majorBidi" w:cstheme="majorBidi"/>
          <w:color w:val="000000" w:themeColor="text1"/>
        </w:rPr>
        <w:t xml:space="preserve"> in that </w:t>
      </w:r>
      <w:r w:rsidR="00212830" w:rsidRPr="0049058D">
        <w:rPr>
          <w:rFonts w:asciiTheme="majorBidi" w:hAnsiTheme="majorBidi" w:cstheme="majorBidi"/>
          <w:i/>
          <w:iCs/>
          <w:color w:val="000000" w:themeColor="text1"/>
        </w:rPr>
        <w:t>EC</w:t>
      </w:r>
      <w:r w:rsidR="00212830" w:rsidRPr="005103A1">
        <w:rPr>
          <w:rFonts w:asciiTheme="majorBidi" w:hAnsiTheme="majorBidi" w:cstheme="majorBidi"/>
          <w:color w:val="000000" w:themeColor="text1"/>
        </w:rPr>
        <w:t xml:space="preserve"> reinforces positive association between </w:t>
      </w:r>
      <w:r w:rsidR="00212830" w:rsidRPr="0049058D">
        <w:rPr>
          <w:rFonts w:asciiTheme="majorBidi" w:hAnsiTheme="majorBidi" w:cstheme="majorBidi"/>
          <w:i/>
          <w:iCs/>
          <w:color w:val="000000" w:themeColor="text1"/>
        </w:rPr>
        <w:t>CP</w:t>
      </w:r>
      <w:r w:rsidR="00212830" w:rsidRPr="005103A1">
        <w:rPr>
          <w:rFonts w:asciiTheme="majorBidi" w:hAnsiTheme="majorBidi" w:cstheme="majorBidi"/>
          <w:color w:val="000000" w:themeColor="text1"/>
        </w:rPr>
        <w:t xml:space="preserve"> and </w:t>
      </w:r>
      <w:r w:rsidR="00212830" w:rsidRPr="0049058D">
        <w:rPr>
          <w:rFonts w:asciiTheme="majorBidi" w:hAnsiTheme="majorBidi" w:cstheme="majorBidi"/>
          <w:i/>
          <w:iCs/>
          <w:color w:val="000000" w:themeColor="text1"/>
        </w:rPr>
        <w:t>MV</w:t>
      </w:r>
      <w:r w:rsidR="00212830" w:rsidRPr="005103A1">
        <w:rPr>
          <w:rFonts w:asciiTheme="majorBidi" w:hAnsiTheme="majorBidi" w:cstheme="majorBidi"/>
          <w:color w:val="000000" w:themeColor="text1"/>
        </w:rPr>
        <w:t>, and this moderating effect is greater for process-oriented, rather than actual CP.</w:t>
      </w:r>
      <w:r w:rsidR="0049058D">
        <w:rPr>
          <w:rFonts w:asciiTheme="majorBidi" w:hAnsiTheme="majorBidi" w:cstheme="majorBidi"/>
          <w:color w:val="000000" w:themeColor="text1"/>
        </w:rPr>
        <w:t xml:space="preserve"> </w:t>
      </w:r>
      <w:r w:rsidR="000F6357">
        <w:rPr>
          <w:rFonts w:asciiTheme="majorBidi" w:hAnsiTheme="majorBidi" w:cstheme="majorBidi"/>
        </w:rPr>
        <w:t xml:space="preserve">This evidence </w:t>
      </w:r>
      <w:r w:rsidR="00923CA5" w:rsidRPr="005103A1">
        <w:rPr>
          <w:rFonts w:asciiTheme="majorBidi" w:hAnsiTheme="majorBidi" w:cstheme="majorBidi"/>
          <w:color w:val="000000" w:themeColor="text1"/>
        </w:rPr>
        <w:t>also partly corroborate</w:t>
      </w:r>
      <w:r w:rsidR="000F6357">
        <w:rPr>
          <w:rFonts w:asciiTheme="majorBidi" w:hAnsiTheme="majorBidi" w:cstheme="majorBidi"/>
          <w:color w:val="000000" w:themeColor="text1"/>
        </w:rPr>
        <w:t>s</w:t>
      </w:r>
      <w:r w:rsidR="00923CA5" w:rsidRPr="005103A1">
        <w:rPr>
          <w:rFonts w:asciiTheme="majorBidi" w:hAnsiTheme="majorBidi" w:cstheme="majorBidi"/>
          <w:color w:val="000000" w:themeColor="text1"/>
        </w:rPr>
        <w:t xml:space="preserve"> Ntim and Soobaroyen (2013), who find that </w:t>
      </w:r>
      <w:r w:rsidR="00CD0327" w:rsidRPr="005103A1">
        <w:rPr>
          <w:rFonts w:asciiTheme="majorBidi" w:hAnsiTheme="majorBidi" w:cstheme="majorBidi"/>
          <w:color w:val="000000" w:themeColor="text1"/>
        </w:rPr>
        <w:t>CG</w:t>
      </w:r>
      <w:r w:rsidR="00923CA5" w:rsidRPr="005103A1">
        <w:rPr>
          <w:rFonts w:asciiTheme="majorBidi" w:hAnsiTheme="majorBidi" w:cstheme="majorBidi"/>
          <w:color w:val="000000" w:themeColor="text1"/>
        </w:rPr>
        <w:t xml:space="preserve"> reinforces the relationship between CSR and </w:t>
      </w:r>
      <w:r w:rsidR="00CD0327" w:rsidRPr="005103A1">
        <w:rPr>
          <w:rFonts w:asciiTheme="majorBidi" w:hAnsiTheme="majorBidi" w:cstheme="majorBidi"/>
          <w:color w:val="000000" w:themeColor="text1"/>
        </w:rPr>
        <w:t>MV</w:t>
      </w:r>
      <w:r w:rsidR="00923CA5" w:rsidRPr="005103A1">
        <w:rPr>
          <w:rFonts w:asciiTheme="majorBidi" w:hAnsiTheme="majorBidi" w:cstheme="majorBidi"/>
          <w:color w:val="000000" w:themeColor="text1"/>
        </w:rPr>
        <w:t xml:space="preserve">. Among the control variables, board independence and CEO-chair separation have inverse associations with </w:t>
      </w:r>
      <w:r w:rsidR="00CD0327" w:rsidRPr="005103A1">
        <w:rPr>
          <w:rFonts w:asciiTheme="majorBidi" w:hAnsiTheme="majorBidi" w:cstheme="majorBidi"/>
          <w:color w:val="000000" w:themeColor="text1"/>
        </w:rPr>
        <w:t>MV</w:t>
      </w:r>
      <w:r w:rsidR="00923CA5" w:rsidRPr="005103A1">
        <w:rPr>
          <w:rFonts w:asciiTheme="majorBidi" w:hAnsiTheme="majorBidi" w:cstheme="majorBidi"/>
          <w:color w:val="000000" w:themeColor="text1"/>
        </w:rPr>
        <w:t xml:space="preserve">, whereas profitability, </w:t>
      </w:r>
      <w:r w:rsidR="00A02CDC" w:rsidRPr="005103A1">
        <w:rPr>
          <w:rFonts w:asciiTheme="majorBidi" w:hAnsiTheme="majorBidi" w:cstheme="majorBidi"/>
          <w:color w:val="000000" w:themeColor="text1"/>
        </w:rPr>
        <w:t xml:space="preserve">market to book value of equity </w:t>
      </w:r>
      <w:r w:rsidR="00923CA5" w:rsidRPr="005103A1">
        <w:rPr>
          <w:rFonts w:asciiTheme="majorBidi" w:hAnsiTheme="majorBidi" w:cstheme="majorBidi"/>
          <w:color w:val="000000" w:themeColor="text1"/>
        </w:rPr>
        <w:t>(</w:t>
      </w:r>
      <w:r w:rsidR="00923CA5" w:rsidRPr="005103A1">
        <w:rPr>
          <w:rFonts w:asciiTheme="majorBidi" w:hAnsiTheme="majorBidi" w:cstheme="majorBidi"/>
          <w:i/>
          <w:color w:val="000000" w:themeColor="text1"/>
        </w:rPr>
        <w:t>M</w:t>
      </w:r>
      <w:r w:rsidR="00165DB8" w:rsidRPr="005103A1">
        <w:rPr>
          <w:rFonts w:asciiTheme="majorBidi" w:hAnsiTheme="majorBidi" w:cstheme="majorBidi"/>
          <w:i/>
          <w:color w:val="000000" w:themeColor="text1"/>
        </w:rPr>
        <w:t>arket2book</w:t>
      </w:r>
      <w:r w:rsidR="00923CA5" w:rsidRPr="005103A1">
        <w:rPr>
          <w:rFonts w:asciiTheme="majorBidi" w:hAnsiTheme="majorBidi" w:cstheme="majorBidi"/>
          <w:color w:val="000000" w:themeColor="text1"/>
        </w:rPr>
        <w:t xml:space="preserve">) and capital intensity have positive relationships with </w:t>
      </w:r>
      <w:r w:rsidR="00CD0327" w:rsidRPr="005103A1">
        <w:rPr>
          <w:rFonts w:asciiTheme="majorBidi" w:hAnsiTheme="majorBidi" w:cstheme="majorBidi"/>
          <w:color w:val="000000" w:themeColor="text1"/>
        </w:rPr>
        <w:t>MV</w:t>
      </w:r>
      <w:r w:rsidR="00923CA5" w:rsidRPr="005103A1">
        <w:rPr>
          <w:rFonts w:asciiTheme="majorBidi" w:hAnsiTheme="majorBidi" w:cstheme="majorBidi"/>
          <w:color w:val="000000" w:themeColor="text1"/>
        </w:rPr>
        <w:t>.</w:t>
      </w:r>
    </w:p>
    <w:p w14:paraId="5DC8563A" w14:textId="2CF68065" w:rsidR="00777F47" w:rsidRPr="005103A1" w:rsidRDefault="00835C32" w:rsidP="0064103E">
      <w:pPr>
        <w:pStyle w:val="ListParagraph"/>
        <w:spacing w:after="0" w:line="480" w:lineRule="auto"/>
        <w:ind w:left="0"/>
        <w:contextualSpacing w:val="0"/>
        <w:jc w:val="both"/>
        <w:rPr>
          <w:rFonts w:asciiTheme="majorBidi" w:hAnsiTheme="majorBidi" w:cstheme="majorBidi"/>
          <w:color w:val="000000" w:themeColor="text1"/>
        </w:rPr>
      </w:pPr>
      <w:r w:rsidRPr="005103A1">
        <w:rPr>
          <w:rFonts w:asciiTheme="majorBidi" w:hAnsiTheme="majorBidi" w:cstheme="majorBidi"/>
          <w:i/>
          <w:color w:val="000000" w:themeColor="text1"/>
        </w:rPr>
        <w:tab/>
      </w:r>
      <w:r w:rsidR="00F1773F" w:rsidRPr="005103A1">
        <w:rPr>
          <w:rFonts w:asciiTheme="majorBidi" w:hAnsiTheme="majorBidi" w:cstheme="majorBidi"/>
          <w:i/>
          <w:color w:val="000000" w:themeColor="text1"/>
        </w:rPr>
        <w:t>Executive compensation and c</w:t>
      </w:r>
      <w:r w:rsidR="005B6CF0" w:rsidRPr="005103A1">
        <w:rPr>
          <w:rFonts w:asciiTheme="majorBidi" w:hAnsiTheme="majorBidi" w:cstheme="majorBidi"/>
          <w:i/>
          <w:color w:val="000000" w:themeColor="text1"/>
        </w:rPr>
        <w:t>arbon performance</w:t>
      </w:r>
      <w:r w:rsidR="00DA6DAD" w:rsidRPr="005103A1">
        <w:rPr>
          <w:rFonts w:asciiTheme="majorBidi" w:hAnsiTheme="majorBidi" w:cstheme="majorBidi"/>
          <w:i/>
          <w:color w:val="000000" w:themeColor="text1"/>
        </w:rPr>
        <w:t>.</w:t>
      </w:r>
      <w:r w:rsidR="00DA6DAD" w:rsidRPr="005103A1">
        <w:rPr>
          <w:rFonts w:asciiTheme="majorBidi" w:hAnsiTheme="majorBidi" w:cstheme="majorBidi"/>
          <w:color w:val="000000" w:themeColor="text1"/>
        </w:rPr>
        <w:t xml:space="preserve"> </w:t>
      </w:r>
      <w:r w:rsidR="007D26F3" w:rsidRPr="005103A1">
        <w:rPr>
          <w:rFonts w:asciiTheme="majorBidi" w:hAnsiTheme="majorBidi" w:cstheme="majorBidi"/>
          <w:color w:val="000000" w:themeColor="text1"/>
        </w:rPr>
        <w:t>Table 6 shows</w:t>
      </w:r>
      <w:r w:rsidR="00F1773F" w:rsidRPr="005103A1">
        <w:rPr>
          <w:rFonts w:asciiTheme="majorBidi" w:hAnsiTheme="majorBidi" w:cstheme="majorBidi"/>
          <w:color w:val="000000" w:themeColor="text1"/>
        </w:rPr>
        <w:t xml:space="preserve"> estimation results </w:t>
      </w:r>
      <w:r w:rsidR="007D26F3" w:rsidRPr="005103A1">
        <w:rPr>
          <w:rFonts w:asciiTheme="majorBidi" w:hAnsiTheme="majorBidi" w:cstheme="majorBidi"/>
          <w:color w:val="000000" w:themeColor="text1"/>
        </w:rPr>
        <w:t>of carbon reduction initiatives (</w:t>
      </w:r>
      <w:r w:rsidR="0009027A" w:rsidRPr="005103A1">
        <w:rPr>
          <w:rFonts w:asciiTheme="majorBidi" w:hAnsiTheme="majorBidi" w:cstheme="majorBidi"/>
          <w:i/>
          <w:iCs/>
          <w:color w:val="000000" w:themeColor="text1"/>
        </w:rPr>
        <w:t>P</w:t>
      </w:r>
      <w:r w:rsidR="007D26F3" w:rsidRPr="005103A1">
        <w:rPr>
          <w:rFonts w:asciiTheme="majorBidi" w:hAnsiTheme="majorBidi" w:cstheme="majorBidi"/>
          <w:i/>
          <w:iCs/>
          <w:color w:val="000000" w:themeColor="text1"/>
        </w:rPr>
        <w:t>CRI</w:t>
      </w:r>
      <w:r w:rsidR="007D26F3" w:rsidRPr="005103A1">
        <w:rPr>
          <w:rFonts w:asciiTheme="majorBidi" w:hAnsiTheme="majorBidi" w:cstheme="majorBidi"/>
          <w:color w:val="000000" w:themeColor="text1"/>
        </w:rPr>
        <w:t xml:space="preserve">) and </w:t>
      </w:r>
      <w:r w:rsidR="007D26F3" w:rsidRPr="005103A1">
        <w:rPr>
          <w:rFonts w:asciiTheme="majorBidi" w:hAnsiTheme="majorBidi" w:cstheme="majorBidi"/>
          <w:i/>
          <w:iCs/>
          <w:color w:val="000000" w:themeColor="text1"/>
        </w:rPr>
        <w:t>GHG</w:t>
      </w:r>
      <w:r w:rsidR="007D26F3" w:rsidRPr="005103A1">
        <w:rPr>
          <w:rFonts w:asciiTheme="majorBidi" w:hAnsiTheme="majorBidi" w:cstheme="majorBidi"/>
          <w:color w:val="000000" w:themeColor="text1"/>
        </w:rPr>
        <w:t xml:space="preserve"> emissions (</w:t>
      </w:r>
      <w:r w:rsidR="007D26F3" w:rsidRPr="005103A1">
        <w:rPr>
          <w:rFonts w:asciiTheme="majorBidi" w:hAnsiTheme="majorBidi" w:cstheme="majorBidi"/>
          <w:i/>
          <w:iCs/>
          <w:color w:val="000000" w:themeColor="text1"/>
        </w:rPr>
        <w:t>GHG</w:t>
      </w:r>
      <w:r w:rsidR="007D26F3" w:rsidRPr="005103A1">
        <w:rPr>
          <w:rFonts w:asciiTheme="majorBidi" w:hAnsiTheme="majorBidi" w:cstheme="majorBidi"/>
          <w:color w:val="000000" w:themeColor="text1"/>
        </w:rPr>
        <w:t xml:space="preserve">) against </w:t>
      </w:r>
      <w:r w:rsidR="00CD0327" w:rsidRPr="0049058D">
        <w:rPr>
          <w:rFonts w:asciiTheme="majorBidi" w:hAnsiTheme="majorBidi" w:cstheme="majorBidi"/>
          <w:i/>
          <w:iCs/>
          <w:color w:val="000000" w:themeColor="text1"/>
        </w:rPr>
        <w:t>EC</w:t>
      </w:r>
      <w:r w:rsidR="007D26F3" w:rsidRPr="005103A1">
        <w:rPr>
          <w:rFonts w:asciiTheme="majorBidi" w:hAnsiTheme="majorBidi" w:cstheme="majorBidi"/>
          <w:color w:val="000000" w:themeColor="text1"/>
        </w:rPr>
        <w:t xml:space="preserve"> </w:t>
      </w:r>
      <w:r w:rsidR="003A04C1" w:rsidRPr="005103A1">
        <w:rPr>
          <w:rFonts w:asciiTheme="majorBidi" w:hAnsiTheme="majorBidi" w:cstheme="majorBidi"/>
          <w:color w:val="000000" w:themeColor="text1"/>
        </w:rPr>
        <w:t xml:space="preserve">and other control variables. Column 1 </w:t>
      </w:r>
      <w:r w:rsidR="003453C7" w:rsidRPr="005103A1">
        <w:rPr>
          <w:rFonts w:asciiTheme="majorBidi" w:hAnsiTheme="majorBidi" w:cstheme="majorBidi"/>
          <w:color w:val="000000" w:themeColor="text1"/>
        </w:rPr>
        <w:t>show</w:t>
      </w:r>
      <w:r w:rsidR="005B0082" w:rsidRPr="005103A1">
        <w:rPr>
          <w:rFonts w:asciiTheme="majorBidi" w:hAnsiTheme="majorBidi" w:cstheme="majorBidi"/>
          <w:color w:val="000000" w:themeColor="text1"/>
        </w:rPr>
        <w:t>s</w:t>
      </w:r>
      <w:r w:rsidR="003A04C1" w:rsidRPr="005103A1">
        <w:rPr>
          <w:rFonts w:asciiTheme="majorBidi" w:hAnsiTheme="majorBidi" w:cstheme="majorBidi"/>
          <w:color w:val="000000" w:themeColor="text1"/>
        </w:rPr>
        <w:t xml:space="preserve"> </w:t>
      </w:r>
      <w:r w:rsidR="003E0E68" w:rsidRPr="005103A1">
        <w:rPr>
          <w:rFonts w:asciiTheme="majorBidi" w:hAnsiTheme="majorBidi" w:cstheme="majorBidi"/>
          <w:color w:val="000000" w:themeColor="text1"/>
        </w:rPr>
        <w:t xml:space="preserve">estimation results of Eq.(3) with </w:t>
      </w:r>
      <w:r w:rsidR="003E0E68" w:rsidRPr="005103A1">
        <w:rPr>
          <w:rFonts w:asciiTheme="majorBidi" w:hAnsiTheme="majorBidi" w:cstheme="majorBidi"/>
          <w:i/>
          <w:iCs/>
          <w:color w:val="000000" w:themeColor="text1"/>
        </w:rPr>
        <w:t xml:space="preserve">PCRI </w:t>
      </w:r>
      <w:r w:rsidR="003E0E68" w:rsidRPr="005103A1">
        <w:rPr>
          <w:rFonts w:asciiTheme="majorBidi" w:hAnsiTheme="majorBidi" w:cstheme="majorBidi"/>
          <w:color w:val="000000" w:themeColor="text1"/>
        </w:rPr>
        <w:t xml:space="preserve">as the dependent variable and </w:t>
      </w:r>
      <w:r w:rsidR="003A04C1" w:rsidRPr="005103A1">
        <w:rPr>
          <w:rFonts w:asciiTheme="majorBidi" w:hAnsiTheme="majorBidi" w:cstheme="majorBidi"/>
          <w:color w:val="000000" w:themeColor="text1"/>
        </w:rPr>
        <w:t>the level of executive compensation</w:t>
      </w:r>
      <w:r w:rsidR="003E0E68" w:rsidRPr="005103A1">
        <w:rPr>
          <w:rFonts w:asciiTheme="majorBidi" w:hAnsiTheme="majorBidi" w:cstheme="majorBidi"/>
          <w:color w:val="000000" w:themeColor="text1"/>
        </w:rPr>
        <w:t xml:space="preserve"> (</w:t>
      </w:r>
      <w:r w:rsidR="003E0E68" w:rsidRPr="005103A1">
        <w:rPr>
          <w:rFonts w:asciiTheme="majorBidi" w:hAnsiTheme="majorBidi" w:cstheme="majorBidi"/>
          <w:i/>
          <w:iCs/>
          <w:color w:val="000000" w:themeColor="text1"/>
        </w:rPr>
        <w:t>EC</w:t>
      </w:r>
      <w:r w:rsidR="003E0E68" w:rsidRPr="005103A1">
        <w:rPr>
          <w:rFonts w:asciiTheme="majorBidi" w:hAnsiTheme="majorBidi" w:cstheme="majorBidi"/>
          <w:color w:val="000000" w:themeColor="text1"/>
        </w:rPr>
        <w:t>)</w:t>
      </w:r>
      <w:r w:rsidR="003A04C1" w:rsidRPr="005103A1">
        <w:rPr>
          <w:rFonts w:asciiTheme="majorBidi" w:hAnsiTheme="majorBidi" w:cstheme="majorBidi"/>
          <w:color w:val="000000" w:themeColor="text1"/>
        </w:rPr>
        <w:t xml:space="preserve"> and ESG-based compensation policy </w:t>
      </w:r>
      <w:r w:rsidR="003E0E68" w:rsidRPr="005103A1">
        <w:rPr>
          <w:rFonts w:asciiTheme="majorBidi" w:hAnsiTheme="majorBidi" w:cstheme="majorBidi"/>
          <w:color w:val="000000" w:themeColor="text1"/>
        </w:rPr>
        <w:t>(</w:t>
      </w:r>
      <w:r w:rsidR="003E0E68" w:rsidRPr="005103A1">
        <w:rPr>
          <w:rFonts w:asciiTheme="majorBidi" w:hAnsiTheme="majorBidi" w:cstheme="majorBidi"/>
          <w:i/>
          <w:iCs/>
          <w:color w:val="000000" w:themeColor="text1"/>
        </w:rPr>
        <w:t>ESG</w:t>
      </w:r>
      <w:r w:rsidR="003E0E68" w:rsidRPr="005103A1">
        <w:rPr>
          <w:rFonts w:asciiTheme="majorBidi" w:hAnsiTheme="majorBidi" w:cstheme="majorBidi"/>
          <w:color w:val="000000" w:themeColor="text1"/>
        </w:rPr>
        <w:t xml:space="preserve">) as the main test variables. It is evident that both </w:t>
      </w:r>
      <w:r w:rsidR="003E0E68" w:rsidRPr="005103A1">
        <w:rPr>
          <w:rFonts w:asciiTheme="majorBidi" w:hAnsiTheme="majorBidi" w:cstheme="majorBidi"/>
          <w:i/>
          <w:iCs/>
          <w:color w:val="000000" w:themeColor="text1"/>
        </w:rPr>
        <w:t>EC</w:t>
      </w:r>
      <w:r w:rsidR="003E0E68" w:rsidRPr="005103A1">
        <w:rPr>
          <w:rFonts w:asciiTheme="majorBidi" w:hAnsiTheme="majorBidi" w:cstheme="majorBidi"/>
          <w:color w:val="000000" w:themeColor="text1"/>
        </w:rPr>
        <w:t xml:space="preserve"> and </w:t>
      </w:r>
      <w:r w:rsidR="003E0E68" w:rsidRPr="005103A1">
        <w:rPr>
          <w:rFonts w:asciiTheme="majorBidi" w:hAnsiTheme="majorBidi" w:cstheme="majorBidi"/>
          <w:i/>
          <w:iCs/>
          <w:color w:val="000000" w:themeColor="text1"/>
        </w:rPr>
        <w:t>ESG</w:t>
      </w:r>
      <w:r w:rsidR="003E0E68" w:rsidRPr="005103A1">
        <w:rPr>
          <w:rFonts w:asciiTheme="majorBidi" w:hAnsiTheme="majorBidi" w:cstheme="majorBidi"/>
          <w:color w:val="000000" w:themeColor="text1"/>
        </w:rPr>
        <w:t xml:space="preserve"> </w:t>
      </w:r>
      <w:r w:rsidR="003A04C1" w:rsidRPr="005103A1">
        <w:rPr>
          <w:rFonts w:asciiTheme="majorBidi" w:hAnsiTheme="majorBidi" w:cstheme="majorBidi"/>
          <w:color w:val="000000" w:themeColor="text1"/>
        </w:rPr>
        <w:t xml:space="preserve">have positive relationships with </w:t>
      </w:r>
      <w:r w:rsidR="0009027A" w:rsidRPr="005103A1">
        <w:rPr>
          <w:rFonts w:asciiTheme="majorBidi" w:hAnsiTheme="majorBidi" w:cstheme="majorBidi"/>
          <w:i/>
          <w:iCs/>
          <w:color w:val="000000" w:themeColor="text1"/>
        </w:rPr>
        <w:t>P</w:t>
      </w:r>
      <w:r w:rsidR="003A04C1" w:rsidRPr="005103A1">
        <w:rPr>
          <w:rFonts w:asciiTheme="majorBidi" w:hAnsiTheme="majorBidi" w:cstheme="majorBidi"/>
          <w:i/>
          <w:iCs/>
          <w:color w:val="000000" w:themeColor="text1"/>
        </w:rPr>
        <w:t>CRI</w:t>
      </w:r>
      <w:r w:rsidR="003D1A16">
        <w:rPr>
          <w:rFonts w:asciiTheme="majorBidi" w:hAnsiTheme="majorBidi" w:cstheme="majorBidi"/>
          <w:i/>
          <w:iCs/>
          <w:color w:val="000000" w:themeColor="text1"/>
        </w:rPr>
        <w:t xml:space="preserve">, </w:t>
      </w:r>
      <w:r w:rsidR="003D1A16" w:rsidRPr="003D1A16">
        <w:rPr>
          <w:rFonts w:asciiTheme="majorBidi" w:hAnsiTheme="majorBidi" w:cstheme="majorBidi"/>
          <w:color w:val="000000" w:themeColor="text1"/>
        </w:rPr>
        <w:t>as expected</w:t>
      </w:r>
      <w:r w:rsidR="0060701C" w:rsidRPr="005103A1">
        <w:rPr>
          <w:rFonts w:asciiTheme="majorBidi" w:hAnsiTheme="majorBidi" w:cstheme="majorBidi"/>
          <w:color w:val="000000" w:themeColor="text1"/>
        </w:rPr>
        <w:t xml:space="preserve">. </w:t>
      </w:r>
      <w:r w:rsidR="00B03D90" w:rsidRPr="005103A1">
        <w:rPr>
          <w:rFonts w:asciiTheme="majorBidi" w:hAnsiTheme="majorBidi" w:cstheme="majorBidi"/>
          <w:color w:val="000000" w:themeColor="text1"/>
        </w:rPr>
        <w:t>C</w:t>
      </w:r>
      <w:r w:rsidR="00123865" w:rsidRPr="005103A1">
        <w:rPr>
          <w:rFonts w:asciiTheme="majorBidi" w:hAnsiTheme="majorBidi" w:cstheme="majorBidi"/>
          <w:color w:val="000000" w:themeColor="text1"/>
        </w:rPr>
        <w:t>olumn</w:t>
      </w:r>
      <w:r w:rsidR="0084730C" w:rsidRPr="005103A1">
        <w:rPr>
          <w:rFonts w:asciiTheme="majorBidi" w:hAnsiTheme="majorBidi" w:cstheme="majorBidi"/>
          <w:color w:val="000000" w:themeColor="text1"/>
        </w:rPr>
        <w:t xml:space="preserve"> </w:t>
      </w:r>
      <w:r w:rsidR="003453C7" w:rsidRPr="005103A1">
        <w:rPr>
          <w:rFonts w:asciiTheme="majorBidi" w:hAnsiTheme="majorBidi" w:cstheme="majorBidi"/>
          <w:color w:val="000000" w:themeColor="text1"/>
        </w:rPr>
        <w:t>2 show</w:t>
      </w:r>
      <w:r w:rsidR="003E0E68" w:rsidRPr="005103A1">
        <w:rPr>
          <w:rFonts w:asciiTheme="majorBidi" w:hAnsiTheme="majorBidi" w:cstheme="majorBidi"/>
          <w:color w:val="000000" w:themeColor="text1"/>
        </w:rPr>
        <w:t>s</w:t>
      </w:r>
      <w:r w:rsidR="00BD759C" w:rsidRPr="005103A1">
        <w:rPr>
          <w:rFonts w:asciiTheme="majorBidi" w:hAnsiTheme="majorBidi" w:cstheme="majorBidi"/>
          <w:color w:val="000000" w:themeColor="text1"/>
        </w:rPr>
        <w:t xml:space="preserve"> </w:t>
      </w:r>
      <w:r w:rsidR="003E0E68" w:rsidRPr="005103A1">
        <w:rPr>
          <w:rFonts w:asciiTheme="majorBidi" w:hAnsiTheme="majorBidi" w:cstheme="majorBidi"/>
          <w:color w:val="000000" w:themeColor="text1"/>
        </w:rPr>
        <w:t xml:space="preserve">specification results of Eq.(4) with </w:t>
      </w:r>
      <w:r w:rsidR="003E0E68" w:rsidRPr="005103A1">
        <w:rPr>
          <w:rFonts w:asciiTheme="majorBidi" w:hAnsiTheme="majorBidi" w:cstheme="majorBidi"/>
          <w:i/>
          <w:iCs/>
          <w:color w:val="000000" w:themeColor="text1"/>
        </w:rPr>
        <w:t>PCRI</w:t>
      </w:r>
      <w:r w:rsidR="003E0E68" w:rsidRPr="005103A1">
        <w:rPr>
          <w:rFonts w:asciiTheme="majorBidi" w:hAnsiTheme="majorBidi" w:cstheme="majorBidi"/>
          <w:color w:val="000000" w:themeColor="text1"/>
        </w:rPr>
        <w:t xml:space="preserve"> as the dependent variable and the interaction between </w:t>
      </w:r>
      <w:r w:rsidR="003E0E68" w:rsidRPr="005103A1">
        <w:rPr>
          <w:rFonts w:asciiTheme="majorBidi" w:hAnsiTheme="majorBidi" w:cstheme="majorBidi"/>
          <w:i/>
          <w:iCs/>
          <w:color w:val="000000" w:themeColor="text1"/>
        </w:rPr>
        <w:t>EC</w:t>
      </w:r>
      <w:r w:rsidR="003E0E68" w:rsidRPr="005103A1">
        <w:rPr>
          <w:rFonts w:asciiTheme="majorBidi" w:hAnsiTheme="majorBidi" w:cstheme="majorBidi"/>
          <w:color w:val="000000" w:themeColor="text1"/>
        </w:rPr>
        <w:t xml:space="preserve"> and </w:t>
      </w:r>
      <w:r w:rsidR="003E0E68" w:rsidRPr="005103A1">
        <w:rPr>
          <w:rFonts w:asciiTheme="majorBidi" w:hAnsiTheme="majorBidi" w:cstheme="majorBidi"/>
          <w:i/>
          <w:iCs/>
          <w:color w:val="000000" w:themeColor="text1"/>
        </w:rPr>
        <w:t>ESG</w:t>
      </w:r>
      <w:r w:rsidR="003E0E68" w:rsidRPr="005103A1">
        <w:rPr>
          <w:rFonts w:asciiTheme="majorBidi" w:hAnsiTheme="majorBidi" w:cstheme="majorBidi"/>
          <w:color w:val="000000" w:themeColor="text1"/>
        </w:rPr>
        <w:t xml:space="preserve"> </w:t>
      </w:r>
      <w:r w:rsidR="00165DB8" w:rsidRPr="005103A1">
        <w:rPr>
          <w:rFonts w:asciiTheme="majorBidi" w:hAnsiTheme="majorBidi" w:cstheme="majorBidi"/>
          <w:color w:val="000000" w:themeColor="text1"/>
        </w:rPr>
        <w:t>(</w:t>
      </w:r>
      <w:r w:rsidR="00165DB8" w:rsidRPr="005103A1">
        <w:rPr>
          <w:rFonts w:asciiTheme="majorBidi" w:hAnsiTheme="majorBidi" w:cstheme="majorBidi"/>
          <w:i/>
          <w:iCs/>
          <w:color w:val="000000" w:themeColor="text1"/>
        </w:rPr>
        <w:t>EC*ESG</w:t>
      </w:r>
      <w:r w:rsidR="00165DB8" w:rsidRPr="005103A1">
        <w:rPr>
          <w:rFonts w:asciiTheme="majorBidi" w:hAnsiTheme="majorBidi" w:cstheme="majorBidi"/>
          <w:color w:val="000000" w:themeColor="text1"/>
        </w:rPr>
        <w:t xml:space="preserve">) </w:t>
      </w:r>
      <w:r w:rsidR="003E0E68" w:rsidRPr="005103A1">
        <w:rPr>
          <w:rFonts w:asciiTheme="majorBidi" w:hAnsiTheme="majorBidi" w:cstheme="majorBidi"/>
          <w:color w:val="000000" w:themeColor="text1"/>
        </w:rPr>
        <w:t xml:space="preserve">as the test variables. It is shown that </w:t>
      </w:r>
      <w:r w:rsidR="003E0E68" w:rsidRPr="005103A1">
        <w:rPr>
          <w:rFonts w:asciiTheme="majorBidi" w:hAnsiTheme="majorBidi" w:cstheme="majorBidi"/>
          <w:i/>
          <w:iCs/>
          <w:color w:val="000000" w:themeColor="text1"/>
        </w:rPr>
        <w:t>EC*ESG</w:t>
      </w:r>
      <w:r w:rsidR="003E0E68" w:rsidRPr="005103A1">
        <w:rPr>
          <w:rFonts w:asciiTheme="majorBidi" w:hAnsiTheme="majorBidi" w:cstheme="majorBidi"/>
          <w:color w:val="000000" w:themeColor="text1"/>
        </w:rPr>
        <w:t xml:space="preserve"> has a</w:t>
      </w:r>
      <w:r w:rsidR="00BD759C" w:rsidRPr="005103A1">
        <w:rPr>
          <w:rFonts w:asciiTheme="majorBidi" w:hAnsiTheme="majorBidi" w:cstheme="majorBidi"/>
          <w:color w:val="000000" w:themeColor="text1"/>
        </w:rPr>
        <w:t xml:space="preserve"> positive relationship </w:t>
      </w:r>
      <w:r w:rsidR="003E0E68" w:rsidRPr="005103A1">
        <w:rPr>
          <w:rFonts w:asciiTheme="majorBidi" w:hAnsiTheme="majorBidi" w:cstheme="majorBidi"/>
          <w:color w:val="000000" w:themeColor="text1"/>
        </w:rPr>
        <w:t xml:space="preserve">with </w:t>
      </w:r>
      <w:r w:rsidR="00BD759C" w:rsidRPr="005103A1">
        <w:rPr>
          <w:rFonts w:asciiTheme="majorBidi" w:hAnsiTheme="majorBidi" w:cstheme="majorBidi"/>
          <w:i/>
          <w:iCs/>
          <w:color w:val="000000" w:themeColor="text1"/>
        </w:rPr>
        <w:t>PCRI</w:t>
      </w:r>
      <w:r w:rsidR="003453C7" w:rsidRPr="005103A1">
        <w:rPr>
          <w:rFonts w:asciiTheme="majorBidi" w:hAnsiTheme="majorBidi" w:cstheme="majorBidi"/>
          <w:color w:val="000000" w:themeColor="text1"/>
        </w:rPr>
        <w:t xml:space="preserve">. However, </w:t>
      </w:r>
      <w:r w:rsidR="0084730C" w:rsidRPr="005103A1">
        <w:rPr>
          <w:rFonts w:asciiTheme="majorBidi" w:hAnsiTheme="majorBidi" w:cstheme="majorBidi"/>
          <w:color w:val="000000" w:themeColor="text1"/>
        </w:rPr>
        <w:t xml:space="preserve">as columns </w:t>
      </w:r>
      <w:r w:rsidR="003E0E68" w:rsidRPr="005103A1">
        <w:rPr>
          <w:rFonts w:asciiTheme="majorBidi" w:hAnsiTheme="majorBidi" w:cstheme="majorBidi"/>
          <w:color w:val="000000" w:themeColor="text1"/>
        </w:rPr>
        <w:t>3</w:t>
      </w:r>
      <w:r w:rsidR="0084730C" w:rsidRPr="005103A1">
        <w:rPr>
          <w:rFonts w:asciiTheme="majorBidi" w:hAnsiTheme="majorBidi" w:cstheme="majorBidi"/>
          <w:color w:val="000000" w:themeColor="text1"/>
        </w:rPr>
        <w:t xml:space="preserve"> </w:t>
      </w:r>
      <w:r w:rsidR="00E641CC" w:rsidRPr="005103A1">
        <w:rPr>
          <w:rFonts w:asciiTheme="majorBidi" w:hAnsiTheme="majorBidi" w:cstheme="majorBidi"/>
          <w:color w:val="000000" w:themeColor="text1"/>
        </w:rPr>
        <w:t xml:space="preserve">and </w:t>
      </w:r>
      <w:r w:rsidR="003E0E68" w:rsidRPr="005103A1">
        <w:rPr>
          <w:rFonts w:asciiTheme="majorBidi" w:hAnsiTheme="majorBidi" w:cstheme="majorBidi"/>
          <w:color w:val="000000" w:themeColor="text1"/>
        </w:rPr>
        <w:t>4</w:t>
      </w:r>
      <w:r w:rsidR="0084730C" w:rsidRPr="005103A1">
        <w:rPr>
          <w:rFonts w:asciiTheme="majorBidi" w:hAnsiTheme="majorBidi" w:cstheme="majorBidi"/>
          <w:color w:val="000000" w:themeColor="text1"/>
        </w:rPr>
        <w:t xml:space="preserve"> show, </w:t>
      </w:r>
      <w:r w:rsidR="003453C7" w:rsidRPr="005103A1">
        <w:rPr>
          <w:rFonts w:asciiTheme="majorBidi" w:hAnsiTheme="majorBidi" w:cstheme="majorBidi"/>
          <w:color w:val="000000" w:themeColor="text1"/>
        </w:rPr>
        <w:t xml:space="preserve">both </w:t>
      </w:r>
      <w:r w:rsidR="0060701C" w:rsidRPr="005103A1">
        <w:rPr>
          <w:rFonts w:asciiTheme="majorBidi" w:hAnsiTheme="majorBidi" w:cstheme="majorBidi"/>
          <w:color w:val="000000" w:themeColor="text1"/>
        </w:rPr>
        <w:t xml:space="preserve">the level of </w:t>
      </w:r>
      <w:r w:rsidR="00046D27">
        <w:rPr>
          <w:rFonts w:asciiTheme="majorBidi" w:hAnsiTheme="majorBidi" w:cstheme="majorBidi"/>
          <w:color w:val="000000" w:themeColor="text1"/>
        </w:rPr>
        <w:t>EC</w:t>
      </w:r>
      <w:r w:rsidR="003453C7" w:rsidRPr="005103A1">
        <w:rPr>
          <w:rFonts w:asciiTheme="majorBidi" w:hAnsiTheme="majorBidi" w:cstheme="majorBidi"/>
          <w:color w:val="000000" w:themeColor="text1"/>
        </w:rPr>
        <w:t xml:space="preserve"> </w:t>
      </w:r>
      <w:r w:rsidR="0060701C" w:rsidRPr="005103A1">
        <w:rPr>
          <w:rFonts w:asciiTheme="majorBidi" w:hAnsiTheme="majorBidi" w:cstheme="majorBidi"/>
          <w:color w:val="000000" w:themeColor="text1"/>
        </w:rPr>
        <w:t xml:space="preserve">and </w:t>
      </w:r>
      <w:r w:rsidR="0060701C" w:rsidRPr="005103A1">
        <w:rPr>
          <w:rFonts w:asciiTheme="majorBidi" w:hAnsiTheme="majorBidi" w:cstheme="majorBidi"/>
          <w:i/>
          <w:iCs/>
          <w:color w:val="000000" w:themeColor="text1"/>
        </w:rPr>
        <w:t>ESG</w:t>
      </w:r>
      <w:r w:rsidR="0060701C" w:rsidRPr="005103A1">
        <w:rPr>
          <w:rFonts w:asciiTheme="majorBidi" w:hAnsiTheme="majorBidi" w:cstheme="majorBidi"/>
          <w:color w:val="000000" w:themeColor="text1"/>
        </w:rPr>
        <w:t>-based compensation policy</w:t>
      </w:r>
      <w:r w:rsidR="00123865" w:rsidRPr="005103A1">
        <w:rPr>
          <w:rFonts w:asciiTheme="majorBidi" w:hAnsiTheme="majorBidi" w:cstheme="majorBidi"/>
          <w:color w:val="000000" w:themeColor="text1"/>
        </w:rPr>
        <w:t>,</w:t>
      </w:r>
      <w:r w:rsidR="0060701C" w:rsidRPr="005103A1">
        <w:rPr>
          <w:rFonts w:asciiTheme="majorBidi" w:hAnsiTheme="majorBidi" w:cstheme="majorBidi"/>
          <w:color w:val="000000" w:themeColor="text1"/>
        </w:rPr>
        <w:t xml:space="preserve"> </w:t>
      </w:r>
      <w:r w:rsidR="003E0E68" w:rsidRPr="005103A1">
        <w:rPr>
          <w:rFonts w:asciiTheme="majorBidi" w:hAnsiTheme="majorBidi" w:cstheme="majorBidi"/>
          <w:color w:val="000000" w:themeColor="text1"/>
        </w:rPr>
        <w:t xml:space="preserve">as well as their interaction </w:t>
      </w:r>
      <w:r w:rsidR="003453C7" w:rsidRPr="005103A1">
        <w:rPr>
          <w:rFonts w:asciiTheme="majorBidi" w:hAnsiTheme="majorBidi" w:cstheme="majorBidi"/>
          <w:color w:val="000000" w:themeColor="text1"/>
        </w:rPr>
        <w:t>have</w:t>
      </w:r>
      <w:r w:rsidR="00243157" w:rsidRPr="005103A1">
        <w:rPr>
          <w:rFonts w:asciiTheme="majorBidi" w:hAnsiTheme="majorBidi" w:cstheme="majorBidi"/>
          <w:color w:val="000000" w:themeColor="text1"/>
        </w:rPr>
        <w:t xml:space="preserve"> statistically</w:t>
      </w:r>
      <w:r w:rsidR="003453C7" w:rsidRPr="005103A1">
        <w:rPr>
          <w:rFonts w:asciiTheme="majorBidi" w:hAnsiTheme="majorBidi" w:cstheme="majorBidi"/>
          <w:color w:val="000000" w:themeColor="text1"/>
        </w:rPr>
        <w:t xml:space="preserve"> insignificant relationship</w:t>
      </w:r>
      <w:r w:rsidR="00243157" w:rsidRPr="005103A1">
        <w:rPr>
          <w:rFonts w:asciiTheme="majorBidi" w:hAnsiTheme="majorBidi" w:cstheme="majorBidi"/>
          <w:color w:val="000000" w:themeColor="text1"/>
        </w:rPr>
        <w:t>s</w:t>
      </w:r>
      <w:r w:rsidR="003453C7" w:rsidRPr="005103A1">
        <w:rPr>
          <w:rFonts w:asciiTheme="majorBidi" w:hAnsiTheme="majorBidi" w:cstheme="majorBidi"/>
          <w:color w:val="000000" w:themeColor="text1"/>
        </w:rPr>
        <w:t xml:space="preserve"> with </w:t>
      </w:r>
      <w:r w:rsidR="003453C7" w:rsidRPr="005103A1">
        <w:rPr>
          <w:rFonts w:asciiTheme="majorBidi" w:hAnsiTheme="majorBidi" w:cstheme="majorBidi"/>
          <w:i/>
          <w:iCs/>
          <w:color w:val="000000" w:themeColor="text1"/>
        </w:rPr>
        <w:t>GHG</w:t>
      </w:r>
      <w:r w:rsidR="003453C7" w:rsidRPr="005103A1">
        <w:rPr>
          <w:rFonts w:asciiTheme="majorBidi" w:hAnsiTheme="majorBidi" w:cstheme="majorBidi"/>
          <w:color w:val="000000" w:themeColor="text1"/>
        </w:rPr>
        <w:t xml:space="preserve"> emissions. </w:t>
      </w:r>
    </w:p>
    <w:p w14:paraId="06B3A155" w14:textId="6ECAF967" w:rsidR="00192AA1" w:rsidRPr="0040657D" w:rsidRDefault="0040657D" w:rsidP="0040657D">
      <w:pPr>
        <w:spacing w:after="0" w:line="240" w:lineRule="auto"/>
        <w:jc w:val="center"/>
        <w:rPr>
          <w:rFonts w:ascii="Times New Roman" w:hAnsi="Times New Roman" w:cs="Times New Roman"/>
          <w:iCs/>
        </w:rPr>
      </w:pPr>
      <w:r w:rsidRPr="0040657D">
        <w:rPr>
          <w:rFonts w:ascii="Times New Roman" w:hAnsi="Times New Roman" w:cs="Times New Roman"/>
          <w:iCs/>
        </w:rPr>
        <w:t xml:space="preserve">Table </w:t>
      </w:r>
      <w:r>
        <w:rPr>
          <w:rFonts w:ascii="Times New Roman" w:hAnsi="Times New Roman" w:cs="Times New Roman"/>
          <w:iCs/>
        </w:rPr>
        <w:t>6</w:t>
      </w:r>
      <w:r w:rsidR="00B26417">
        <w:rPr>
          <w:rFonts w:ascii="Times New Roman" w:hAnsi="Times New Roman" w:cs="Times New Roman"/>
          <w:iCs/>
        </w:rPr>
        <w:t xml:space="preserve"> Here</w:t>
      </w:r>
    </w:p>
    <w:p w14:paraId="7BA1342E" w14:textId="77777777" w:rsidR="0040657D" w:rsidRDefault="0040657D" w:rsidP="00192AA1">
      <w:pPr>
        <w:spacing w:after="0" w:line="240" w:lineRule="auto"/>
        <w:jc w:val="both"/>
        <w:rPr>
          <w:rFonts w:ascii="Times New Roman" w:hAnsi="Times New Roman" w:cs="Times New Roman"/>
          <w:i/>
        </w:rPr>
      </w:pPr>
    </w:p>
    <w:p w14:paraId="69A0D26C" w14:textId="07A85DBD" w:rsidR="00430073" w:rsidRPr="0041748C" w:rsidRDefault="00495C6A" w:rsidP="0041748C">
      <w:pPr>
        <w:spacing w:after="0" w:line="480" w:lineRule="auto"/>
        <w:ind w:firstLine="720"/>
        <w:jc w:val="both"/>
        <w:rPr>
          <w:rFonts w:asciiTheme="majorBidi" w:hAnsiTheme="majorBidi" w:cstheme="majorBidi"/>
          <w:color w:val="000000" w:themeColor="text1"/>
        </w:rPr>
      </w:pPr>
      <w:r w:rsidRPr="005103A1">
        <w:rPr>
          <w:rFonts w:asciiTheme="majorBidi" w:hAnsiTheme="majorBidi" w:cstheme="majorBidi"/>
          <w:color w:val="000000" w:themeColor="text1"/>
        </w:rPr>
        <w:t>Taken</w:t>
      </w:r>
      <w:r w:rsidR="00123865" w:rsidRPr="005103A1">
        <w:rPr>
          <w:rFonts w:asciiTheme="majorBidi" w:hAnsiTheme="majorBidi" w:cstheme="majorBidi"/>
          <w:color w:val="000000" w:themeColor="text1"/>
        </w:rPr>
        <w:t xml:space="preserve"> together, these results offer support for</w:t>
      </w:r>
      <w:r w:rsidRPr="005103A1">
        <w:rPr>
          <w:rFonts w:asciiTheme="majorBidi" w:hAnsiTheme="majorBidi" w:cstheme="majorBidi"/>
          <w:color w:val="000000" w:themeColor="text1"/>
        </w:rPr>
        <w:t xml:space="preserve"> </w:t>
      </w:r>
      <w:r w:rsidRPr="005103A1">
        <w:rPr>
          <w:rFonts w:asciiTheme="majorBidi" w:hAnsiTheme="majorBidi" w:cstheme="majorBidi"/>
          <w:i/>
          <w:iCs/>
          <w:color w:val="000000" w:themeColor="text1"/>
        </w:rPr>
        <w:t>H2a</w:t>
      </w:r>
      <w:r w:rsidRPr="005103A1">
        <w:rPr>
          <w:rFonts w:asciiTheme="majorBidi" w:hAnsiTheme="majorBidi" w:cstheme="majorBidi"/>
          <w:color w:val="000000" w:themeColor="text1"/>
        </w:rPr>
        <w:t xml:space="preserve"> and </w:t>
      </w:r>
      <w:r w:rsidRPr="005103A1">
        <w:rPr>
          <w:rFonts w:asciiTheme="majorBidi" w:hAnsiTheme="majorBidi" w:cstheme="majorBidi"/>
          <w:i/>
          <w:iCs/>
          <w:color w:val="000000" w:themeColor="text1"/>
        </w:rPr>
        <w:t>H2b</w:t>
      </w:r>
      <w:r w:rsidRPr="005103A1">
        <w:rPr>
          <w:rFonts w:asciiTheme="majorBidi" w:hAnsiTheme="majorBidi" w:cstheme="majorBidi"/>
          <w:color w:val="000000" w:themeColor="text1"/>
        </w:rPr>
        <w:t xml:space="preserve"> in that </w:t>
      </w:r>
      <w:r w:rsidR="00CD0327" w:rsidRPr="005103A1">
        <w:rPr>
          <w:rFonts w:asciiTheme="majorBidi" w:hAnsiTheme="majorBidi" w:cstheme="majorBidi"/>
          <w:color w:val="000000" w:themeColor="text1"/>
        </w:rPr>
        <w:t>EC</w:t>
      </w:r>
      <w:r w:rsidRPr="005103A1">
        <w:rPr>
          <w:rFonts w:asciiTheme="majorBidi" w:hAnsiTheme="majorBidi" w:cstheme="majorBidi"/>
          <w:color w:val="000000" w:themeColor="text1"/>
        </w:rPr>
        <w:t xml:space="preserve"> is positively associated with </w:t>
      </w:r>
      <w:r w:rsidR="001060E6">
        <w:rPr>
          <w:rFonts w:asciiTheme="majorBidi" w:hAnsiTheme="majorBidi" w:cstheme="majorBidi"/>
          <w:color w:val="000000" w:themeColor="text1"/>
        </w:rPr>
        <w:t xml:space="preserve">(symbolic) </w:t>
      </w:r>
      <w:r w:rsidRPr="005103A1">
        <w:rPr>
          <w:rFonts w:asciiTheme="majorBidi" w:hAnsiTheme="majorBidi" w:cstheme="majorBidi"/>
          <w:color w:val="000000" w:themeColor="text1"/>
        </w:rPr>
        <w:t>process-oriented, rather than</w:t>
      </w:r>
      <w:r w:rsidR="001060E6">
        <w:rPr>
          <w:rFonts w:asciiTheme="majorBidi" w:hAnsiTheme="majorBidi" w:cstheme="majorBidi"/>
          <w:color w:val="000000" w:themeColor="text1"/>
        </w:rPr>
        <w:t xml:space="preserve"> (substantive)</w:t>
      </w:r>
      <w:r w:rsidRPr="005103A1">
        <w:rPr>
          <w:rFonts w:asciiTheme="majorBidi" w:hAnsiTheme="majorBidi" w:cstheme="majorBidi"/>
          <w:color w:val="000000" w:themeColor="text1"/>
        </w:rPr>
        <w:t xml:space="preserve"> actu</w:t>
      </w:r>
      <w:r w:rsidR="00123865" w:rsidRPr="005103A1">
        <w:rPr>
          <w:rFonts w:asciiTheme="majorBidi" w:hAnsiTheme="majorBidi" w:cstheme="majorBidi"/>
          <w:color w:val="000000" w:themeColor="text1"/>
        </w:rPr>
        <w:t xml:space="preserve">al </w:t>
      </w:r>
      <w:r w:rsidR="00CD0327" w:rsidRPr="005103A1">
        <w:rPr>
          <w:rFonts w:asciiTheme="majorBidi" w:hAnsiTheme="majorBidi" w:cstheme="majorBidi"/>
          <w:color w:val="000000" w:themeColor="text1"/>
        </w:rPr>
        <w:t>CP</w:t>
      </w:r>
      <w:r w:rsidR="00123865" w:rsidRPr="005103A1">
        <w:rPr>
          <w:rFonts w:asciiTheme="majorBidi" w:hAnsiTheme="majorBidi" w:cstheme="majorBidi"/>
          <w:color w:val="000000" w:themeColor="text1"/>
        </w:rPr>
        <w:t>, and that</w:t>
      </w:r>
      <w:r w:rsidRPr="005103A1">
        <w:rPr>
          <w:rFonts w:asciiTheme="majorBidi" w:hAnsiTheme="majorBidi" w:cstheme="majorBidi"/>
          <w:color w:val="000000" w:themeColor="text1"/>
        </w:rPr>
        <w:t xml:space="preserve"> </w:t>
      </w:r>
      <w:r w:rsidR="001060E6">
        <w:rPr>
          <w:rFonts w:asciiTheme="majorBidi" w:hAnsiTheme="majorBidi" w:cstheme="majorBidi"/>
          <w:color w:val="000000" w:themeColor="text1"/>
        </w:rPr>
        <w:t xml:space="preserve">a symbolic </w:t>
      </w:r>
      <w:r w:rsidRPr="005103A1">
        <w:rPr>
          <w:rFonts w:asciiTheme="majorBidi" w:hAnsiTheme="majorBidi" w:cstheme="majorBidi"/>
          <w:i/>
          <w:iCs/>
          <w:color w:val="000000" w:themeColor="text1"/>
        </w:rPr>
        <w:t>ESG</w:t>
      </w:r>
      <w:r w:rsidRPr="005103A1">
        <w:rPr>
          <w:rFonts w:asciiTheme="majorBidi" w:hAnsiTheme="majorBidi" w:cstheme="majorBidi"/>
          <w:color w:val="000000" w:themeColor="text1"/>
        </w:rPr>
        <w:t xml:space="preserve">-based </w:t>
      </w:r>
      <w:r w:rsidR="00773978" w:rsidRPr="005103A1">
        <w:rPr>
          <w:rFonts w:asciiTheme="majorBidi" w:hAnsiTheme="majorBidi" w:cstheme="majorBidi"/>
          <w:color w:val="000000" w:themeColor="text1"/>
        </w:rPr>
        <w:t xml:space="preserve">sustainable </w:t>
      </w:r>
      <w:r w:rsidRPr="005103A1">
        <w:rPr>
          <w:rFonts w:asciiTheme="majorBidi" w:hAnsiTheme="majorBidi" w:cstheme="majorBidi"/>
          <w:color w:val="000000" w:themeColor="text1"/>
        </w:rPr>
        <w:lastRenderedPageBreak/>
        <w:t>compensation policy</w:t>
      </w:r>
      <w:r w:rsidR="004D7FA7" w:rsidRPr="005103A1">
        <w:rPr>
          <w:rFonts w:asciiTheme="majorBidi" w:hAnsiTheme="majorBidi" w:cstheme="majorBidi"/>
          <w:color w:val="000000" w:themeColor="text1"/>
        </w:rPr>
        <w:t xml:space="preserve"> tends to moderate </w:t>
      </w:r>
      <w:r w:rsidR="00773978" w:rsidRPr="005103A1">
        <w:rPr>
          <w:rFonts w:asciiTheme="majorBidi" w:hAnsiTheme="majorBidi" w:cstheme="majorBidi"/>
          <w:color w:val="000000" w:themeColor="text1"/>
        </w:rPr>
        <w:t xml:space="preserve">the </w:t>
      </w:r>
      <w:r w:rsidR="003907FA" w:rsidRPr="005103A1">
        <w:rPr>
          <w:rFonts w:asciiTheme="majorBidi" w:hAnsiTheme="majorBidi" w:cstheme="majorBidi"/>
          <w:i/>
          <w:iCs/>
          <w:color w:val="000000" w:themeColor="text1"/>
        </w:rPr>
        <w:t>EC</w:t>
      </w:r>
      <w:r w:rsidR="0061502A">
        <w:rPr>
          <w:rFonts w:asciiTheme="majorBidi" w:hAnsiTheme="majorBidi" w:cstheme="majorBidi"/>
          <w:color w:val="000000" w:themeColor="text1"/>
        </w:rPr>
        <w:t>–</w:t>
      </w:r>
      <w:r w:rsidR="003907FA" w:rsidRPr="005103A1">
        <w:rPr>
          <w:rFonts w:asciiTheme="majorBidi" w:hAnsiTheme="majorBidi" w:cstheme="majorBidi"/>
          <w:i/>
          <w:iCs/>
          <w:color w:val="000000" w:themeColor="text1"/>
        </w:rPr>
        <w:t>P</w:t>
      </w:r>
      <w:r w:rsidR="00173EDE" w:rsidRPr="005103A1">
        <w:rPr>
          <w:rFonts w:asciiTheme="majorBidi" w:hAnsiTheme="majorBidi" w:cstheme="majorBidi"/>
          <w:i/>
          <w:iCs/>
          <w:color w:val="000000" w:themeColor="text1"/>
        </w:rPr>
        <w:t>CRI</w:t>
      </w:r>
      <w:r w:rsidR="00173EDE" w:rsidRPr="005103A1">
        <w:rPr>
          <w:rFonts w:asciiTheme="majorBidi" w:hAnsiTheme="majorBidi" w:cstheme="majorBidi"/>
          <w:color w:val="000000" w:themeColor="text1"/>
        </w:rPr>
        <w:t xml:space="preserve"> </w:t>
      </w:r>
      <w:r w:rsidR="004D7FA7" w:rsidRPr="005103A1">
        <w:rPr>
          <w:rFonts w:asciiTheme="majorBidi" w:hAnsiTheme="majorBidi" w:cstheme="majorBidi"/>
          <w:color w:val="000000" w:themeColor="text1"/>
        </w:rPr>
        <w:t>relationship</w:t>
      </w:r>
      <w:r w:rsidR="003D1A16">
        <w:rPr>
          <w:rFonts w:asciiTheme="majorBidi" w:hAnsiTheme="majorBidi" w:cstheme="majorBidi"/>
          <w:color w:val="000000" w:themeColor="text1"/>
        </w:rPr>
        <w:t xml:space="preserve"> (rather than </w:t>
      </w:r>
      <w:r w:rsidR="003D1A16" w:rsidRPr="003D1A16">
        <w:rPr>
          <w:rFonts w:asciiTheme="majorBidi" w:hAnsiTheme="majorBidi" w:cstheme="majorBidi"/>
          <w:i/>
          <w:iCs/>
          <w:color w:val="000000" w:themeColor="text1"/>
        </w:rPr>
        <w:t>EC</w:t>
      </w:r>
      <w:r w:rsidR="0041748C">
        <w:rPr>
          <w:rFonts w:asciiTheme="majorBidi" w:hAnsiTheme="majorBidi" w:cstheme="majorBidi"/>
          <w:i/>
          <w:iCs/>
          <w:color w:val="000000" w:themeColor="text1"/>
        </w:rPr>
        <w:t>–</w:t>
      </w:r>
      <w:r w:rsidR="003D1A16" w:rsidRPr="003D1A16">
        <w:rPr>
          <w:rFonts w:asciiTheme="majorBidi" w:hAnsiTheme="majorBidi" w:cstheme="majorBidi"/>
          <w:i/>
          <w:iCs/>
          <w:color w:val="000000" w:themeColor="text1"/>
        </w:rPr>
        <w:t>GHG</w:t>
      </w:r>
      <w:r w:rsidR="003D1A16">
        <w:rPr>
          <w:rFonts w:asciiTheme="majorBidi" w:hAnsiTheme="majorBidi" w:cstheme="majorBidi"/>
          <w:color w:val="000000" w:themeColor="text1"/>
        </w:rPr>
        <w:t xml:space="preserve"> relationship)</w:t>
      </w:r>
      <w:r w:rsidRPr="005103A1">
        <w:rPr>
          <w:rFonts w:asciiTheme="majorBidi" w:hAnsiTheme="majorBidi" w:cstheme="majorBidi"/>
          <w:color w:val="000000" w:themeColor="text1"/>
        </w:rPr>
        <w:t>.</w:t>
      </w:r>
      <w:r w:rsidR="007C0A71" w:rsidRPr="005103A1">
        <w:rPr>
          <w:rFonts w:asciiTheme="majorBidi" w:hAnsiTheme="majorBidi" w:cstheme="majorBidi"/>
          <w:color w:val="000000" w:themeColor="text1"/>
        </w:rPr>
        <w:t xml:space="preserve"> </w:t>
      </w:r>
      <w:r w:rsidR="003D1A16">
        <w:rPr>
          <w:rFonts w:asciiTheme="majorBidi" w:hAnsiTheme="majorBidi" w:cstheme="majorBidi"/>
          <w:color w:val="000000" w:themeColor="text1"/>
        </w:rPr>
        <w:t xml:space="preserve">This evidence is consistent with the legitimisation aspect of NIT in that the </w:t>
      </w:r>
      <w:r w:rsidR="00977A25">
        <w:rPr>
          <w:rFonts w:asciiTheme="majorBidi" w:hAnsiTheme="majorBidi" w:cstheme="majorBidi"/>
          <w:color w:val="000000" w:themeColor="text1"/>
        </w:rPr>
        <w:t>market</w:t>
      </w:r>
      <w:r w:rsidR="007361A3">
        <w:rPr>
          <w:rFonts w:asciiTheme="majorBidi" w:hAnsiTheme="majorBidi" w:cstheme="majorBidi"/>
          <w:color w:val="000000" w:themeColor="text1"/>
        </w:rPr>
        <w:t>-</w:t>
      </w:r>
      <w:r w:rsidR="00977A25">
        <w:rPr>
          <w:rFonts w:asciiTheme="majorBidi" w:hAnsiTheme="majorBidi" w:cstheme="majorBidi"/>
          <w:color w:val="000000" w:themeColor="text1"/>
        </w:rPr>
        <w:t>oriented incentive</w:t>
      </w:r>
      <w:r w:rsidR="00031A0A">
        <w:rPr>
          <w:rFonts w:asciiTheme="majorBidi" w:hAnsiTheme="majorBidi" w:cstheme="majorBidi"/>
          <w:color w:val="000000" w:themeColor="text1"/>
        </w:rPr>
        <w:t>-</w:t>
      </w:r>
      <w:r w:rsidR="00977A25">
        <w:rPr>
          <w:rFonts w:asciiTheme="majorBidi" w:hAnsiTheme="majorBidi" w:cstheme="majorBidi"/>
          <w:color w:val="000000" w:themeColor="text1"/>
        </w:rPr>
        <w:t>based mechanism</w:t>
      </w:r>
      <w:r w:rsidR="007361A3">
        <w:rPr>
          <w:rFonts w:asciiTheme="majorBidi" w:hAnsiTheme="majorBidi" w:cstheme="majorBidi"/>
          <w:color w:val="000000" w:themeColor="text1"/>
        </w:rPr>
        <w:t>s,</w:t>
      </w:r>
      <w:r w:rsidR="00977A25">
        <w:rPr>
          <w:rFonts w:asciiTheme="majorBidi" w:hAnsiTheme="majorBidi" w:cstheme="majorBidi"/>
          <w:color w:val="000000" w:themeColor="text1"/>
        </w:rPr>
        <w:t xml:space="preserve"> such as the</w:t>
      </w:r>
      <w:r w:rsidR="003D1A16">
        <w:rPr>
          <w:rFonts w:asciiTheme="majorBidi" w:hAnsiTheme="majorBidi" w:cstheme="majorBidi"/>
          <w:color w:val="000000" w:themeColor="text1"/>
        </w:rPr>
        <w:t xml:space="preserve"> level of EC </w:t>
      </w:r>
      <w:r w:rsidR="00977A25">
        <w:rPr>
          <w:rFonts w:asciiTheme="majorBidi" w:hAnsiTheme="majorBidi" w:cstheme="majorBidi"/>
          <w:color w:val="000000" w:themeColor="text1"/>
        </w:rPr>
        <w:t>is likely to enhance the symbolic aspect of carbon performance, but does not improve actual carbon performance. Moreover, a symbolic ESG-based compensation policy tends to moderate positively the relationship between EC and PCRI, but this moderating effect does not hold for EC</w:t>
      </w:r>
      <w:r w:rsidR="0041748C">
        <w:rPr>
          <w:rFonts w:asciiTheme="majorBidi" w:hAnsiTheme="majorBidi" w:cstheme="majorBidi"/>
          <w:color w:val="000000" w:themeColor="text1"/>
        </w:rPr>
        <w:t>–</w:t>
      </w:r>
      <w:r w:rsidR="00977A25">
        <w:rPr>
          <w:rFonts w:asciiTheme="majorBidi" w:hAnsiTheme="majorBidi" w:cstheme="majorBidi"/>
          <w:color w:val="000000" w:themeColor="text1"/>
        </w:rPr>
        <w:t xml:space="preserve">GHG relationship. </w:t>
      </w:r>
      <w:r w:rsidR="009946D2" w:rsidRPr="005103A1">
        <w:rPr>
          <w:rFonts w:asciiTheme="majorBidi" w:hAnsiTheme="majorBidi" w:cstheme="majorBidi"/>
          <w:color w:val="000000" w:themeColor="text1"/>
        </w:rPr>
        <w:t xml:space="preserve">These results partly corroborate </w:t>
      </w:r>
      <w:r w:rsidR="00F1773F" w:rsidRPr="005103A1">
        <w:rPr>
          <w:rFonts w:asciiTheme="majorBidi" w:hAnsiTheme="majorBidi" w:cstheme="majorBidi"/>
          <w:color w:val="000000" w:themeColor="text1"/>
        </w:rPr>
        <w:t xml:space="preserve">several </w:t>
      </w:r>
      <w:r w:rsidR="000E5938" w:rsidRPr="005103A1">
        <w:rPr>
          <w:rFonts w:asciiTheme="majorBidi" w:hAnsiTheme="majorBidi" w:cstheme="majorBidi"/>
          <w:color w:val="000000" w:themeColor="text1"/>
        </w:rPr>
        <w:t>recent studies (Berrone and Gomez-Mejia, 2009</w:t>
      </w:r>
      <w:r w:rsidR="00A128E7" w:rsidRPr="005103A1">
        <w:rPr>
          <w:rFonts w:asciiTheme="majorBidi" w:hAnsiTheme="majorBidi" w:cstheme="majorBidi"/>
          <w:color w:val="000000" w:themeColor="text1"/>
        </w:rPr>
        <w:t>; Mahoney and Thorn, 2006</w:t>
      </w:r>
      <w:r w:rsidR="000E5938" w:rsidRPr="005103A1">
        <w:rPr>
          <w:rFonts w:asciiTheme="majorBidi" w:hAnsiTheme="majorBidi" w:cstheme="majorBidi"/>
          <w:color w:val="000000" w:themeColor="text1"/>
        </w:rPr>
        <w:t xml:space="preserve">) </w:t>
      </w:r>
      <w:r w:rsidR="009946D2" w:rsidRPr="005103A1">
        <w:rPr>
          <w:rFonts w:asciiTheme="majorBidi" w:hAnsiTheme="majorBidi" w:cstheme="majorBidi"/>
          <w:color w:val="000000" w:themeColor="text1"/>
        </w:rPr>
        <w:t xml:space="preserve">that </w:t>
      </w:r>
      <w:r w:rsidR="000E5938" w:rsidRPr="005103A1">
        <w:rPr>
          <w:rFonts w:asciiTheme="majorBidi" w:hAnsiTheme="majorBidi" w:cstheme="majorBidi"/>
          <w:color w:val="000000" w:themeColor="text1"/>
        </w:rPr>
        <w:t xml:space="preserve">find </w:t>
      </w:r>
      <w:r w:rsidR="009946D2" w:rsidRPr="005103A1">
        <w:rPr>
          <w:rFonts w:asciiTheme="majorBidi" w:hAnsiTheme="majorBidi" w:cstheme="majorBidi"/>
          <w:color w:val="000000" w:themeColor="text1"/>
        </w:rPr>
        <w:t xml:space="preserve">a positive relationship between </w:t>
      </w:r>
      <w:r w:rsidR="00CD0327" w:rsidRPr="005103A1">
        <w:rPr>
          <w:rFonts w:asciiTheme="majorBidi" w:hAnsiTheme="majorBidi" w:cstheme="majorBidi"/>
          <w:color w:val="000000" w:themeColor="text1"/>
        </w:rPr>
        <w:t>EC</w:t>
      </w:r>
      <w:r w:rsidR="00773978" w:rsidRPr="005103A1">
        <w:rPr>
          <w:rFonts w:asciiTheme="majorBidi" w:hAnsiTheme="majorBidi" w:cstheme="majorBidi"/>
          <w:color w:val="000000" w:themeColor="text1"/>
        </w:rPr>
        <w:t xml:space="preserve"> and CSR performance</w:t>
      </w:r>
      <w:r w:rsidR="00221D08" w:rsidRPr="005103A1">
        <w:rPr>
          <w:rFonts w:asciiTheme="majorBidi" w:hAnsiTheme="majorBidi" w:cstheme="majorBidi"/>
          <w:color w:val="000000" w:themeColor="text1"/>
        </w:rPr>
        <w:t xml:space="preserve"> in the US and Canada</w:t>
      </w:r>
      <w:r w:rsidR="00F0191B" w:rsidRPr="005103A1">
        <w:rPr>
          <w:rFonts w:asciiTheme="majorBidi" w:hAnsiTheme="majorBidi" w:cstheme="majorBidi"/>
          <w:color w:val="000000" w:themeColor="text1"/>
        </w:rPr>
        <w:t>, alt</w:t>
      </w:r>
      <w:r w:rsidR="00EE3655" w:rsidRPr="005103A1">
        <w:rPr>
          <w:rFonts w:asciiTheme="majorBidi" w:hAnsiTheme="majorBidi" w:cstheme="majorBidi"/>
          <w:color w:val="000000" w:themeColor="text1"/>
        </w:rPr>
        <w:t>hough they did not use carbon related measures</w:t>
      </w:r>
      <w:r w:rsidR="009946D2" w:rsidRPr="005103A1">
        <w:rPr>
          <w:rFonts w:asciiTheme="majorBidi" w:hAnsiTheme="majorBidi" w:cstheme="majorBidi"/>
          <w:color w:val="000000" w:themeColor="text1"/>
        </w:rPr>
        <w:t xml:space="preserve">. </w:t>
      </w:r>
      <w:r w:rsidR="00080E18" w:rsidRPr="005103A1">
        <w:rPr>
          <w:rFonts w:asciiTheme="majorBidi" w:hAnsiTheme="majorBidi" w:cstheme="majorBidi"/>
          <w:color w:val="000000" w:themeColor="text1"/>
        </w:rPr>
        <w:t xml:space="preserve">Our evidence on moderating effect is consistent with </w:t>
      </w:r>
      <w:r w:rsidR="00430073" w:rsidRPr="005103A1">
        <w:rPr>
          <w:rFonts w:asciiTheme="majorBidi" w:hAnsiTheme="majorBidi" w:cstheme="majorBidi"/>
          <w:color w:val="000000" w:themeColor="text1"/>
        </w:rPr>
        <w:t xml:space="preserve">the findings of </w:t>
      </w:r>
      <w:r w:rsidR="00430073" w:rsidRPr="005103A1">
        <w:rPr>
          <w:rFonts w:asciiTheme="majorBidi" w:hAnsiTheme="majorBidi" w:cstheme="majorBidi"/>
          <w:lang w:val="en-US"/>
        </w:rPr>
        <w:t xml:space="preserve">Cordeiro and Sarkis (2008), who </w:t>
      </w:r>
      <w:r w:rsidR="00EE3655" w:rsidRPr="005103A1">
        <w:rPr>
          <w:rFonts w:asciiTheme="majorBidi" w:hAnsiTheme="majorBidi" w:cstheme="majorBidi"/>
          <w:lang w:val="en-US"/>
        </w:rPr>
        <w:t xml:space="preserve">examine US firms and </w:t>
      </w:r>
      <w:r w:rsidR="00430073" w:rsidRPr="005103A1">
        <w:rPr>
          <w:rFonts w:asciiTheme="majorBidi" w:hAnsiTheme="majorBidi" w:cstheme="majorBidi"/>
          <w:lang w:val="en-US"/>
        </w:rPr>
        <w:t xml:space="preserve">find a positive relationship between environmental performance and CEO compensation only among firms that adopt environmental performance-based </w:t>
      </w:r>
      <w:r w:rsidR="00185268" w:rsidRPr="005103A1">
        <w:rPr>
          <w:rFonts w:asciiTheme="majorBidi" w:hAnsiTheme="majorBidi" w:cstheme="majorBidi"/>
          <w:lang w:val="en-US"/>
        </w:rPr>
        <w:t xml:space="preserve">compensation policy. </w:t>
      </w:r>
      <w:r w:rsidR="00EE3655" w:rsidRPr="005103A1">
        <w:rPr>
          <w:rFonts w:asciiTheme="majorBidi" w:hAnsiTheme="majorBidi" w:cstheme="majorBidi"/>
          <w:lang w:val="en-US"/>
        </w:rPr>
        <w:t xml:space="preserve">Nonetheless, they use </w:t>
      </w:r>
      <w:r w:rsidR="00EB50AA" w:rsidRPr="005103A1">
        <w:rPr>
          <w:rFonts w:asciiTheme="majorBidi" w:hAnsiTheme="majorBidi" w:cstheme="majorBidi"/>
          <w:lang w:val="en-US"/>
        </w:rPr>
        <w:t xml:space="preserve">cross-sectional data of 1996 and </w:t>
      </w:r>
      <w:r w:rsidR="00EE3655" w:rsidRPr="005103A1">
        <w:rPr>
          <w:rFonts w:asciiTheme="majorBidi" w:hAnsiTheme="majorBidi" w:cstheme="majorBidi"/>
          <w:lang w:val="en-US"/>
        </w:rPr>
        <w:t>ordinary least square regressions to examine</w:t>
      </w:r>
      <w:r w:rsidR="00EB50AA" w:rsidRPr="005103A1">
        <w:rPr>
          <w:rFonts w:asciiTheme="majorBidi" w:hAnsiTheme="majorBidi" w:cstheme="majorBidi"/>
          <w:lang w:val="en-US"/>
        </w:rPr>
        <w:t xml:space="preserve"> environmental performance</w:t>
      </w:r>
      <w:r w:rsidR="00342405" w:rsidRPr="005103A1">
        <w:rPr>
          <w:rFonts w:asciiTheme="majorBidi" w:hAnsiTheme="majorBidi" w:cstheme="majorBidi"/>
          <w:lang w:val="en-US"/>
        </w:rPr>
        <w:t>,</w:t>
      </w:r>
      <w:r w:rsidR="00EB50AA" w:rsidRPr="005103A1">
        <w:rPr>
          <w:rFonts w:asciiTheme="majorBidi" w:hAnsiTheme="majorBidi" w:cstheme="majorBidi"/>
          <w:lang w:val="en-US"/>
        </w:rPr>
        <w:t xml:space="preserve"> as a determinant of CEO compensation, rather than vice-versa.</w:t>
      </w:r>
      <w:r w:rsidR="00EE3655" w:rsidRPr="005103A1">
        <w:rPr>
          <w:rFonts w:asciiTheme="majorBidi" w:hAnsiTheme="majorBidi" w:cstheme="majorBidi"/>
          <w:lang w:val="en-US"/>
        </w:rPr>
        <w:t xml:space="preserve"> </w:t>
      </w:r>
    </w:p>
    <w:p w14:paraId="59B573E4" w14:textId="565526EB" w:rsidR="00B13CFD" w:rsidRPr="005103A1" w:rsidRDefault="00773978" w:rsidP="0064103E">
      <w:pPr>
        <w:spacing w:after="0" w:line="480" w:lineRule="auto"/>
        <w:ind w:firstLine="720"/>
        <w:jc w:val="both"/>
        <w:rPr>
          <w:rFonts w:asciiTheme="majorBidi" w:hAnsiTheme="majorBidi" w:cstheme="majorBidi"/>
          <w:lang w:val="en-US"/>
        </w:rPr>
      </w:pPr>
      <w:r w:rsidRPr="005103A1">
        <w:rPr>
          <w:rFonts w:asciiTheme="majorBidi" w:hAnsiTheme="majorBidi" w:cstheme="majorBidi"/>
          <w:color w:val="000000" w:themeColor="text1"/>
        </w:rPr>
        <w:t>O</w:t>
      </w:r>
      <w:r w:rsidR="000E5938" w:rsidRPr="005103A1">
        <w:rPr>
          <w:rFonts w:asciiTheme="majorBidi" w:hAnsiTheme="majorBidi" w:cstheme="majorBidi"/>
          <w:color w:val="000000" w:themeColor="text1"/>
        </w:rPr>
        <w:t xml:space="preserve">ur estimation results </w:t>
      </w:r>
      <w:r w:rsidR="0047215D" w:rsidRPr="005103A1">
        <w:rPr>
          <w:rFonts w:asciiTheme="majorBidi" w:hAnsiTheme="majorBidi" w:cstheme="majorBidi"/>
          <w:color w:val="000000" w:themeColor="text1"/>
        </w:rPr>
        <w:t xml:space="preserve">further </w:t>
      </w:r>
      <w:r w:rsidR="000E5938" w:rsidRPr="005103A1">
        <w:rPr>
          <w:rFonts w:asciiTheme="majorBidi" w:hAnsiTheme="majorBidi" w:cstheme="majorBidi"/>
          <w:color w:val="000000" w:themeColor="text1"/>
        </w:rPr>
        <w:t xml:space="preserve">suggest that an increase in </w:t>
      </w:r>
      <w:r w:rsidR="00CD0327" w:rsidRPr="005103A1">
        <w:rPr>
          <w:rFonts w:asciiTheme="majorBidi" w:hAnsiTheme="majorBidi" w:cstheme="majorBidi"/>
          <w:color w:val="000000" w:themeColor="text1"/>
        </w:rPr>
        <w:t>EC</w:t>
      </w:r>
      <w:r w:rsidR="000E5938" w:rsidRPr="005103A1">
        <w:rPr>
          <w:rFonts w:asciiTheme="majorBidi" w:hAnsiTheme="majorBidi" w:cstheme="majorBidi"/>
          <w:color w:val="000000" w:themeColor="text1"/>
        </w:rPr>
        <w:t xml:space="preserve"> or an adoption of ESG-based compensation policy do</w:t>
      </w:r>
      <w:r w:rsidR="00320AA0" w:rsidRPr="005103A1">
        <w:rPr>
          <w:rFonts w:asciiTheme="majorBidi" w:hAnsiTheme="majorBidi" w:cstheme="majorBidi"/>
          <w:color w:val="000000" w:themeColor="text1"/>
        </w:rPr>
        <w:t>es</w:t>
      </w:r>
      <w:r w:rsidR="000E5938" w:rsidRPr="005103A1">
        <w:rPr>
          <w:rFonts w:asciiTheme="majorBidi" w:hAnsiTheme="majorBidi" w:cstheme="majorBidi"/>
          <w:color w:val="000000" w:themeColor="text1"/>
        </w:rPr>
        <w:t xml:space="preserve"> not necessarily improve subsequent actual </w:t>
      </w:r>
      <w:r w:rsidR="00CD0327" w:rsidRPr="005103A1">
        <w:rPr>
          <w:rFonts w:asciiTheme="majorBidi" w:hAnsiTheme="majorBidi" w:cstheme="majorBidi"/>
          <w:color w:val="000000" w:themeColor="text1"/>
        </w:rPr>
        <w:t>CP</w:t>
      </w:r>
      <w:r w:rsidR="000E5938" w:rsidRPr="005103A1">
        <w:rPr>
          <w:rFonts w:asciiTheme="majorBidi" w:hAnsiTheme="majorBidi" w:cstheme="majorBidi"/>
          <w:color w:val="000000" w:themeColor="text1"/>
        </w:rPr>
        <w:t xml:space="preserve"> in the form o</w:t>
      </w:r>
      <w:r w:rsidR="00F1773F" w:rsidRPr="005103A1">
        <w:rPr>
          <w:rFonts w:asciiTheme="majorBidi" w:hAnsiTheme="majorBidi" w:cstheme="majorBidi"/>
          <w:color w:val="000000" w:themeColor="text1"/>
        </w:rPr>
        <w:t>f</w:t>
      </w:r>
      <w:r w:rsidR="000E5938" w:rsidRPr="005103A1">
        <w:rPr>
          <w:rFonts w:asciiTheme="majorBidi" w:hAnsiTheme="majorBidi" w:cstheme="majorBidi"/>
          <w:color w:val="000000" w:themeColor="text1"/>
        </w:rPr>
        <w:t xml:space="preserve"> reduced GHG emissions. </w:t>
      </w:r>
      <w:r w:rsidR="0047215D" w:rsidRPr="005103A1">
        <w:rPr>
          <w:rFonts w:asciiTheme="majorBidi" w:hAnsiTheme="majorBidi" w:cstheme="majorBidi"/>
          <w:color w:val="000000" w:themeColor="text1"/>
        </w:rPr>
        <w:t xml:space="preserve">This is consistent with the arguments of </w:t>
      </w:r>
      <w:r w:rsidR="00B13CFD" w:rsidRPr="005103A1">
        <w:rPr>
          <w:rFonts w:asciiTheme="majorBidi" w:hAnsiTheme="majorBidi" w:cstheme="majorBidi"/>
          <w:color w:val="000000" w:themeColor="text1"/>
        </w:rPr>
        <w:t>C</w:t>
      </w:r>
      <w:proofErr w:type="spellStart"/>
      <w:r w:rsidR="00B13CFD" w:rsidRPr="005103A1">
        <w:rPr>
          <w:rFonts w:asciiTheme="majorBidi" w:hAnsiTheme="majorBidi" w:cstheme="majorBidi"/>
          <w:lang w:val="en-US"/>
        </w:rPr>
        <w:t>ordeiro</w:t>
      </w:r>
      <w:proofErr w:type="spellEnd"/>
      <w:r w:rsidR="00B13CFD" w:rsidRPr="005103A1">
        <w:rPr>
          <w:rFonts w:asciiTheme="majorBidi" w:hAnsiTheme="majorBidi" w:cstheme="majorBidi"/>
          <w:lang w:val="en-US"/>
        </w:rPr>
        <w:t xml:space="preserve"> and Sarkis (2008) </w:t>
      </w:r>
      <w:r w:rsidR="0047215D" w:rsidRPr="005103A1">
        <w:rPr>
          <w:rFonts w:asciiTheme="majorBidi" w:hAnsiTheme="majorBidi" w:cstheme="majorBidi"/>
          <w:lang w:val="en-US"/>
        </w:rPr>
        <w:t xml:space="preserve">that </w:t>
      </w:r>
      <w:r w:rsidR="00B13CFD" w:rsidRPr="005103A1">
        <w:rPr>
          <w:rFonts w:asciiTheme="majorBidi" w:hAnsiTheme="majorBidi" w:cstheme="majorBidi"/>
          <w:lang w:val="en-US"/>
        </w:rPr>
        <w:t>corporate boards might use sustainable compensation contracts</w:t>
      </w:r>
      <w:r w:rsidR="00342405" w:rsidRPr="005103A1">
        <w:rPr>
          <w:rFonts w:asciiTheme="majorBidi" w:hAnsiTheme="majorBidi" w:cstheme="majorBidi"/>
          <w:lang w:val="en-US"/>
        </w:rPr>
        <w:t>,</w:t>
      </w:r>
      <w:r w:rsidR="00B13CFD" w:rsidRPr="005103A1">
        <w:rPr>
          <w:rFonts w:asciiTheme="majorBidi" w:hAnsiTheme="majorBidi" w:cstheme="majorBidi"/>
          <w:lang w:val="en-US"/>
        </w:rPr>
        <w:t xml:space="preserve"> as a symbolic rather than s</w:t>
      </w:r>
      <w:r w:rsidR="00342405" w:rsidRPr="005103A1">
        <w:rPr>
          <w:rFonts w:asciiTheme="majorBidi" w:hAnsiTheme="majorBidi" w:cstheme="majorBidi"/>
          <w:lang w:val="en-US"/>
        </w:rPr>
        <w:t xml:space="preserve">ubstantive management practices </w:t>
      </w:r>
      <w:r w:rsidR="00B13CFD" w:rsidRPr="005103A1">
        <w:rPr>
          <w:rFonts w:asciiTheme="majorBidi" w:hAnsiTheme="majorBidi" w:cstheme="majorBidi"/>
          <w:lang w:val="en-US"/>
        </w:rPr>
        <w:t xml:space="preserve">to enhance </w:t>
      </w:r>
      <w:proofErr w:type="spellStart"/>
      <w:r w:rsidR="00B13CFD" w:rsidRPr="005103A1">
        <w:rPr>
          <w:rFonts w:asciiTheme="majorBidi" w:hAnsiTheme="majorBidi" w:cstheme="majorBidi"/>
          <w:lang w:val="en-US"/>
        </w:rPr>
        <w:t>organisational</w:t>
      </w:r>
      <w:proofErr w:type="spellEnd"/>
      <w:r w:rsidR="00B13CFD" w:rsidRPr="005103A1">
        <w:rPr>
          <w:rFonts w:asciiTheme="majorBidi" w:hAnsiTheme="majorBidi" w:cstheme="majorBidi"/>
          <w:lang w:val="en-US"/>
        </w:rPr>
        <w:t xml:space="preserve"> legitimacy. </w:t>
      </w:r>
      <w:r w:rsidR="00404FD8" w:rsidRPr="005103A1">
        <w:rPr>
          <w:rFonts w:asciiTheme="majorBidi" w:hAnsiTheme="majorBidi" w:cstheme="majorBidi"/>
          <w:color w:val="000000" w:themeColor="text1"/>
        </w:rPr>
        <w:t>One likely reason is that there seems to</w:t>
      </w:r>
      <w:r w:rsidR="00925174" w:rsidRPr="005103A1">
        <w:rPr>
          <w:rFonts w:asciiTheme="majorBidi" w:hAnsiTheme="majorBidi" w:cstheme="majorBidi"/>
          <w:color w:val="000000" w:themeColor="text1"/>
        </w:rPr>
        <w:t xml:space="preserve"> be</w:t>
      </w:r>
      <w:r w:rsidR="00404FD8" w:rsidRPr="005103A1">
        <w:rPr>
          <w:rFonts w:asciiTheme="majorBidi" w:hAnsiTheme="majorBidi" w:cstheme="majorBidi"/>
          <w:color w:val="000000" w:themeColor="text1"/>
        </w:rPr>
        <w:t xml:space="preserve"> a lack of structured guidance in the design and adoption of </w:t>
      </w:r>
      <w:r w:rsidR="00925174" w:rsidRPr="005103A1">
        <w:rPr>
          <w:rFonts w:asciiTheme="majorBidi" w:hAnsiTheme="majorBidi" w:cstheme="majorBidi"/>
          <w:color w:val="000000" w:themeColor="text1"/>
        </w:rPr>
        <w:t xml:space="preserve">ESG-based </w:t>
      </w:r>
      <w:r w:rsidR="00404FD8" w:rsidRPr="005103A1">
        <w:rPr>
          <w:rFonts w:asciiTheme="majorBidi" w:hAnsiTheme="majorBidi" w:cstheme="majorBidi"/>
          <w:color w:val="000000" w:themeColor="text1"/>
        </w:rPr>
        <w:t xml:space="preserve">sustainable compensation policies through which firm-specific emission reduction targets can be set, gradual progress towards the target can be monitored, and non-compliance (compliance) can be </w:t>
      </w:r>
      <w:r w:rsidR="00534EB0">
        <w:rPr>
          <w:rFonts w:asciiTheme="majorBidi" w:hAnsiTheme="majorBidi" w:cstheme="majorBidi"/>
          <w:color w:val="000000" w:themeColor="text1"/>
        </w:rPr>
        <w:t>undervalued</w:t>
      </w:r>
      <w:r w:rsidR="00404FD8" w:rsidRPr="005103A1">
        <w:rPr>
          <w:rFonts w:asciiTheme="majorBidi" w:hAnsiTheme="majorBidi" w:cstheme="majorBidi"/>
          <w:color w:val="000000" w:themeColor="text1"/>
        </w:rPr>
        <w:t xml:space="preserve"> (rewarded).  </w:t>
      </w:r>
    </w:p>
    <w:p w14:paraId="2A2DF9E7" w14:textId="10E02A04" w:rsidR="0026479F" w:rsidRPr="005103A1" w:rsidRDefault="00FE0ED5" w:rsidP="00925174">
      <w:pPr>
        <w:spacing w:after="0" w:line="480" w:lineRule="auto"/>
        <w:ind w:firstLine="720"/>
        <w:jc w:val="both"/>
        <w:rPr>
          <w:rFonts w:asciiTheme="majorBidi" w:hAnsiTheme="majorBidi" w:cstheme="majorBidi"/>
          <w:color w:val="000000" w:themeColor="text1"/>
        </w:rPr>
      </w:pPr>
      <w:r w:rsidRPr="005103A1">
        <w:rPr>
          <w:rFonts w:asciiTheme="majorBidi" w:hAnsiTheme="majorBidi" w:cstheme="majorBidi"/>
          <w:color w:val="000000" w:themeColor="text1"/>
        </w:rPr>
        <w:t>Together</w:t>
      </w:r>
      <w:r w:rsidR="00B13CFD" w:rsidRPr="005103A1">
        <w:rPr>
          <w:rFonts w:asciiTheme="majorBidi" w:hAnsiTheme="majorBidi" w:cstheme="majorBidi"/>
          <w:color w:val="000000" w:themeColor="text1"/>
        </w:rPr>
        <w:t>, o</w:t>
      </w:r>
      <w:r w:rsidR="00203813" w:rsidRPr="005103A1">
        <w:rPr>
          <w:rFonts w:asciiTheme="majorBidi" w:hAnsiTheme="majorBidi" w:cstheme="majorBidi"/>
          <w:color w:val="000000" w:themeColor="text1"/>
        </w:rPr>
        <w:t xml:space="preserve">ur results are consistent with the </w:t>
      </w:r>
      <w:r w:rsidR="00272718" w:rsidRPr="005103A1">
        <w:rPr>
          <w:rFonts w:asciiTheme="majorBidi" w:hAnsiTheme="majorBidi" w:cstheme="majorBidi"/>
          <w:color w:val="000000" w:themeColor="text1"/>
        </w:rPr>
        <w:t xml:space="preserve">legitimisation aspects </w:t>
      </w:r>
      <w:r w:rsidR="00203813" w:rsidRPr="005103A1">
        <w:rPr>
          <w:rFonts w:asciiTheme="majorBidi" w:hAnsiTheme="majorBidi" w:cstheme="majorBidi"/>
          <w:color w:val="000000" w:themeColor="text1"/>
        </w:rPr>
        <w:t xml:space="preserve">of </w:t>
      </w:r>
      <w:r w:rsidR="00925174" w:rsidRPr="005103A1">
        <w:rPr>
          <w:rFonts w:asciiTheme="majorBidi" w:hAnsiTheme="majorBidi" w:cstheme="majorBidi"/>
          <w:color w:val="000000" w:themeColor="text1"/>
        </w:rPr>
        <w:t>NIT</w:t>
      </w:r>
      <w:r w:rsidR="00BD759C" w:rsidRPr="005103A1">
        <w:rPr>
          <w:rFonts w:asciiTheme="majorBidi" w:hAnsiTheme="majorBidi" w:cstheme="majorBidi"/>
          <w:color w:val="000000" w:themeColor="text1"/>
        </w:rPr>
        <w:t xml:space="preserve"> </w:t>
      </w:r>
      <w:r w:rsidR="00203813" w:rsidRPr="005103A1">
        <w:rPr>
          <w:rFonts w:asciiTheme="majorBidi" w:hAnsiTheme="majorBidi" w:cstheme="majorBidi"/>
          <w:color w:val="000000" w:themeColor="text1"/>
        </w:rPr>
        <w:t>in that corporate executives</w:t>
      </w:r>
      <w:r w:rsidR="00BC74C0" w:rsidRPr="005103A1">
        <w:rPr>
          <w:rFonts w:asciiTheme="majorBidi" w:hAnsiTheme="majorBidi" w:cstheme="majorBidi"/>
          <w:color w:val="000000" w:themeColor="text1"/>
        </w:rPr>
        <w:t>’</w:t>
      </w:r>
      <w:r w:rsidR="00203813" w:rsidRPr="005103A1">
        <w:rPr>
          <w:rFonts w:asciiTheme="majorBidi" w:hAnsiTheme="majorBidi" w:cstheme="majorBidi"/>
          <w:color w:val="000000" w:themeColor="text1"/>
        </w:rPr>
        <w:t xml:space="preserve"> engagement in climate related projects are driven by </w:t>
      </w:r>
      <w:r w:rsidR="00BC74C0" w:rsidRPr="005103A1">
        <w:rPr>
          <w:rFonts w:asciiTheme="majorBidi" w:hAnsiTheme="majorBidi" w:cstheme="majorBidi"/>
          <w:color w:val="000000" w:themeColor="text1"/>
        </w:rPr>
        <w:t xml:space="preserve">economic motives, and that </w:t>
      </w:r>
      <w:r w:rsidR="00203813" w:rsidRPr="005103A1">
        <w:rPr>
          <w:rFonts w:asciiTheme="majorBidi" w:hAnsiTheme="majorBidi" w:cstheme="majorBidi"/>
          <w:color w:val="000000" w:themeColor="text1"/>
        </w:rPr>
        <w:t xml:space="preserve">incentive-based mechanisms </w:t>
      </w:r>
      <w:r w:rsidR="00BC74C0" w:rsidRPr="005103A1">
        <w:rPr>
          <w:rFonts w:asciiTheme="majorBidi" w:hAnsiTheme="majorBidi" w:cstheme="majorBidi"/>
          <w:color w:val="000000" w:themeColor="text1"/>
        </w:rPr>
        <w:t xml:space="preserve">enhance process-oriented, rather than actual </w:t>
      </w:r>
      <w:r w:rsidR="00CD0327" w:rsidRPr="005103A1">
        <w:rPr>
          <w:rFonts w:asciiTheme="majorBidi" w:hAnsiTheme="majorBidi" w:cstheme="majorBidi"/>
          <w:color w:val="000000" w:themeColor="text1"/>
        </w:rPr>
        <w:t>CP</w:t>
      </w:r>
      <w:r w:rsidR="00BC74C0" w:rsidRPr="005103A1">
        <w:rPr>
          <w:rFonts w:asciiTheme="majorBidi" w:hAnsiTheme="majorBidi" w:cstheme="majorBidi"/>
          <w:color w:val="000000" w:themeColor="text1"/>
        </w:rPr>
        <w:t>, since the former</w:t>
      </w:r>
      <w:r w:rsidR="00D9280A" w:rsidRPr="005103A1">
        <w:rPr>
          <w:rFonts w:asciiTheme="majorBidi" w:hAnsiTheme="majorBidi" w:cstheme="majorBidi"/>
          <w:color w:val="000000" w:themeColor="text1"/>
        </w:rPr>
        <w:t xml:space="preserve"> can lead to </w:t>
      </w:r>
      <w:r w:rsidR="00203813" w:rsidRPr="005103A1">
        <w:rPr>
          <w:rFonts w:asciiTheme="majorBidi" w:hAnsiTheme="majorBidi" w:cstheme="majorBidi"/>
          <w:color w:val="000000" w:themeColor="text1"/>
        </w:rPr>
        <w:t xml:space="preserve">greater legitimacy and </w:t>
      </w:r>
      <w:r w:rsidR="00D9280A" w:rsidRPr="005103A1">
        <w:rPr>
          <w:rFonts w:asciiTheme="majorBidi" w:hAnsiTheme="majorBidi" w:cstheme="majorBidi"/>
          <w:color w:val="000000" w:themeColor="text1"/>
        </w:rPr>
        <w:t xml:space="preserve">improved </w:t>
      </w:r>
      <w:r w:rsidR="00CD0327" w:rsidRPr="005103A1">
        <w:rPr>
          <w:rFonts w:asciiTheme="majorBidi" w:hAnsiTheme="majorBidi" w:cstheme="majorBidi"/>
          <w:color w:val="000000" w:themeColor="text1"/>
        </w:rPr>
        <w:t>MV</w:t>
      </w:r>
      <w:r w:rsidR="00203813" w:rsidRPr="005103A1">
        <w:rPr>
          <w:rFonts w:asciiTheme="majorBidi" w:hAnsiTheme="majorBidi" w:cstheme="majorBidi"/>
          <w:color w:val="000000" w:themeColor="text1"/>
        </w:rPr>
        <w:t>.</w:t>
      </w:r>
      <w:r w:rsidR="00251C11" w:rsidRPr="005103A1">
        <w:rPr>
          <w:rFonts w:asciiTheme="majorBidi" w:hAnsiTheme="majorBidi" w:cstheme="majorBidi"/>
          <w:color w:val="000000" w:themeColor="text1"/>
        </w:rPr>
        <w:t xml:space="preserve"> </w:t>
      </w:r>
      <w:r w:rsidR="00B13CFD" w:rsidRPr="005103A1">
        <w:rPr>
          <w:rFonts w:asciiTheme="majorBidi" w:hAnsiTheme="majorBidi" w:cstheme="majorBidi"/>
          <w:color w:val="000000" w:themeColor="text1"/>
        </w:rPr>
        <w:t>Thus, this evidence validates</w:t>
      </w:r>
      <w:r w:rsidR="00251C11" w:rsidRPr="005103A1">
        <w:rPr>
          <w:rFonts w:asciiTheme="majorBidi" w:hAnsiTheme="majorBidi" w:cstheme="majorBidi"/>
          <w:color w:val="000000" w:themeColor="text1"/>
        </w:rPr>
        <w:t xml:space="preserve"> the significance of </w:t>
      </w:r>
      <w:r w:rsidR="00EE13A8" w:rsidRPr="005103A1">
        <w:rPr>
          <w:rFonts w:asciiTheme="majorBidi" w:hAnsiTheme="majorBidi" w:cstheme="majorBidi"/>
          <w:color w:val="000000" w:themeColor="text1"/>
        </w:rPr>
        <w:t xml:space="preserve">the legitimation/moral view </w:t>
      </w:r>
      <w:r w:rsidR="00EE13A8" w:rsidRPr="005103A1">
        <w:rPr>
          <w:rFonts w:asciiTheme="majorBidi" w:hAnsiTheme="majorBidi" w:cstheme="majorBidi"/>
          <w:color w:val="000000" w:themeColor="text1"/>
        </w:rPr>
        <w:lastRenderedPageBreak/>
        <w:t xml:space="preserve">of </w:t>
      </w:r>
      <w:r w:rsidR="00CF2331" w:rsidRPr="005103A1">
        <w:rPr>
          <w:rFonts w:asciiTheme="majorBidi" w:hAnsiTheme="majorBidi" w:cstheme="majorBidi"/>
          <w:color w:val="000000" w:themeColor="text1"/>
        </w:rPr>
        <w:t>NIT</w:t>
      </w:r>
      <w:r w:rsidR="006E0C82" w:rsidRPr="005103A1">
        <w:rPr>
          <w:rFonts w:asciiTheme="majorBidi" w:hAnsiTheme="majorBidi" w:cstheme="majorBidi"/>
          <w:color w:val="000000" w:themeColor="text1"/>
        </w:rPr>
        <w:t xml:space="preserve"> </w:t>
      </w:r>
      <w:r w:rsidR="00251C11" w:rsidRPr="005103A1">
        <w:rPr>
          <w:rFonts w:asciiTheme="majorBidi" w:hAnsiTheme="majorBidi" w:cstheme="majorBidi"/>
          <w:color w:val="000000" w:themeColor="text1"/>
        </w:rPr>
        <w:t xml:space="preserve">in explaining the </w:t>
      </w:r>
      <w:r w:rsidR="008E7970">
        <w:rPr>
          <w:rFonts w:asciiTheme="majorBidi" w:hAnsiTheme="majorBidi" w:cstheme="majorBidi"/>
          <w:color w:val="000000" w:themeColor="text1"/>
        </w:rPr>
        <w:t xml:space="preserve">direct and moderating </w:t>
      </w:r>
      <w:r w:rsidR="00251C11" w:rsidRPr="005103A1">
        <w:rPr>
          <w:rFonts w:asciiTheme="majorBidi" w:hAnsiTheme="majorBidi" w:cstheme="majorBidi"/>
          <w:color w:val="000000" w:themeColor="text1"/>
        </w:rPr>
        <w:t xml:space="preserve">relationships among </w:t>
      </w:r>
      <w:r w:rsidR="00CD0327" w:rsidRPr="005103A1">
        <w:rPr>
          <w:rFonts w:asciiTheme="majorBidi" w:hAnsiTheme="majorBidi" w:cstheme="majorBidi"/>
          <w:color w:val="000000" w:themeColor="text1"/>
        </w:rPr>
        <w:t>EC</w:t>
      </w:r>
      <w:r w:rsidR="00251C11" w:rsidRPr="005103A1">
        <w:rPr>
          <w:rFonts w:asciiTheme="majorBidi" w:hAnsiTheme="majorBidi" w:cstheme="majorBidi"/>
          <w:color w:val="000000" w:themeColor="text1"/>
        </w:rPr>
        <w:t xml:space="preserve">, </w:t>
      </w:r>
      <w:r w:rsidR="008E7970">
        <w:rPr>
          <w:rFonts w:asciiTheme="majorBidi" w:hAnsiTheme="majorBidi" w:cstheme="majorBidi"/>
          <w:color w:val="000000" w:themeColor="text1"/>
        </w:rPr>
        <w:t xml:space="preserve">ESG, </w:t>
      </w:r>
      <w:r w:rsidR="00CD0327" w:rsidRPr="005103A1">
        <w:rPr>
          <w:rFonts w:asciiTheme="majorBidi" w:hAnsiTheme="majorBidi" w:cstheme="majorBidi"/>
          <w:color w:val="000000" w:themeColor="text1"/>
        </w:rPr>
        <w:t>CP</w:t>
      </w:r>
      <w:r w:rsidR="00251C11" w:rsidRPr="005103A1">
        <w:rPr>
          <w:rFonts w:asciiTheme="majorBidi" w:hAnsiTheme="majorBidi" w:cstheme="majorBidi"/>
          <w:color w:val="000000" w:themeColor="text1"/>
        </w:rPr>
        <w:t xml:space="preserve"> and </w:t>
      </w:r>
      <w:r w:rsidR="00CD0327" w:rsidRPr="005103A1">
        <w:rPr>
          <w:rFonts w:asciiTheme="majorBidi" w:hAnsiTheme="majorBidi" w:cstheme="majorBidi"/>
          <w:color w:val="000000" w:themeColor="text1"/>
        </w:rPr>
        <w:t>MV</w:t>
      </w:r>
      <w:r w:rsidR="006E085D">
        <w:rPr>
          <w:rFonts w:asciiTheme="majorBidi" w:hAnsiTheme="majorBidi" w:cstheme="majorBidi"/>
          <w:color w:val="000000" w:themeColor="text1"/>
        </w:rPr>
        <w:t xml:space="preserve"> compared with the substantive/efficiency perspective of NIT</w:t>
      </w:r>
      <w:r w:rsidR="00251C11" w:rsidRPr="005103A1">
        <w:rPr>
          <w:rFonts w:asciiTheme="majorBidi" w:hAnsiTheme="majorBidi" w:cstheme="majorBidi"/>
          <w:color w:val="000000" w:themeColor="text1"/>
        </w:rPr>
        <w:t xml:space="preserve">. </w:t>
      </w:r>
      <w:r w:rsidR="00DE1A48" w:rsidRPr="005103A1">
        <w:rPr>
          <w:rFonts w:asciiTheme="majorBidi" w:hAnsiTheme="majorBidi" w:cstheme="majorBidi"/>
          <w:color w:val="000000" w:themeColor="text1"/>
        </w:rPr>
        <w:t xml:space="preserve">We, therefore, </w:t>
      </w:r>
      <w:r w:rsidR="00BD759C" w:rsidRPr="005103A1">
        <w:rPr>
          <w:rFonts w:asciiTheme="majorBidi" w:hAnsiTheme="majorBidi" w:cstheme="majorBidi"/>
          <w:color w:val="000000" w:themeColor="text1"/>
        </w:rPr>
        <w:t xml:space="preserve">argue that </w:t>
      </w:r>
      <w:r w:rsidR="00E90703">
        <w:rPr>
          <w:rFonts w:asciiTheme="majorBidi" w:hAnsiTheme="majorBidi" w:cstheme="majorBidi"/>
          <w:color w:val="000000" w:themeColor="text1"/>
        </w:rPr>
        <w:t xml:space="preserve">our </w:t>
      </w:r>
      <w:r w:rsidR="004D497E" w:rsidRPr="005103A1">
        <w:rPr>
          <w:rFonts w:asciiTheme="majorBidi" w:hAnsiTheme="majorBidi" w:cstheme="majorBidi"/>
          <w:color w:val="000000" w:themeColor="text1"/>
        </w:rPr>
        <w:t>NIT</w:t>
      </w:r>
      <w:r w:rsidR="00DE1A48" w:rsidRPr="005103A1">
        <w:rPr>
          <w:rFonts w:asciiTheme="majorBidi" w:hAnsiTheme="majorBidi" w:cstheme="majorBidi"/>
          <w:color w:val="000000" w:themeColor="text1"/>
        </w:rPr>
        <w:t xml:space="preserve"> </w:t>
      </w:r>
      <w:r w:rsidR="00E90703">
        <w:rPr>
          <w:rFonts w:asciiTheme="majorBidi" w:hAnsiTheme="majorBidi" w:cstheme="majorBidi"/>
          <w:color w:val="000000" w:themeColor="text1"/>
        </w:rPr>
        <w:t xml:space="preserve">framework </w:t>
      </w:r>
      <w:r w:rsidR="00DE1A48" w:rsidRPr="005103A1">
        <w:rPr>
          <w:rFonts w:asciiTheme="majorBidi" w:hAnsiTheme="majorBidi" w:cstheme="majorBidi"/>
          <w:color w:val="000000" w:themeColor="text1"/>
        </w:rPr>
        <w:t xml:space="preserve">is appropriate in </w:t>
      </w:r>
      <w:r w:rsidR="00E90703">
        <w:rPr>
          <w:rFonts w:asciiTheme="majorBidi" w:hAnsiTheme="majorBidi" w:cstheme="majorBidi"/>
          <w:color w:val="000000" w:themeColor="text1"/>
        </w:rPr>
        <w:t>testing</w:t>
      </w:r>
      <w:r w:rsidR="00DE1A48" w:rsidRPr="005103A1">
        <w:rPr>
          <w:rFonts w:asciiTheme="majorBidi" w:hAnsiTheme="majorBidi" w:cstheme="majorBidi"/>
          <w:color w:val="000000" w:themeColor="text1"/>
        </w:rPr>
        <w:t xml:space="preserve"> the effect</w:t>
      </w:r>
      <w:r w:rsidR="001060E6">
        <w:rPr>
          <w:rFonts w:asciiTheme="majorBidi" w:hAnsiTheme="majorBidi" w:cstheme="majorBidi"/>
          <w:color w:val="000000" w:themeColor="text1"/>
        </w:rPr>
        <w:t>s</w:t>
      </w:r>
      <w:r w:rsidR="00DE1A48" w:rsidRPr="005103A1">
        <w:rPr>
          <w:rFonts w:asciiTheme="majorBidi" w:hAnsiTheme="majorBidi" w:cstheme="majorBidi"/>
          <w:color w:val="000000" w:themeColor="text1"/>
        </w:rPr>
        <w:t xml:space="preserve"> of </w:t>
      </w:r>
      <w:r w:rsidR="008E7970">
        <w:rPr>
          <w:rFonts w:asciiTheme="majorBidi" w:hAnsiTheme="majorBidi" w:cstheme="majorBidi"/>
          <w:color w:val="000000" w:themeColor="text1"/>
        </w:rPr>
        <w:t xml:space="preserve">(i) process oriented and actual CP on MV and (ii) </w:t>
      </w:r>
      <w:r w:rsidR="00CD0327" w:rsidRPr="005103A1">
        <w:rPr>
          <w:rFonts w:asciiTheme="majorBidi" w:hAnsiTheme="majorBidi" w:cstheme="majorBidi"/>
          <w:color w:val="000000" w:themeColor="text1"/>
        </w:rPr>
        <w:t>EC</w:t>
      </w:r>
      <w:r w:rsidR="001060E6">
        <w:rPr>
          <w:rFonts w:asciiTheme="majorBidi" w:hAnsiTheme="majorBidi" w:cstheme="majorBidi"/>
          <w:color w:val="000000" w:themeColor="text1"/>
        </w:rPr>
        <w:t xml:space="preserve"> and ESG-based compensation policy </w:t>
      </w:r>
      <w:r w:rsidR="00DE1A48" w:rsidRPr="005103A1">
        <w:rPr>
          <w:rFonts w:asciiTheme="majorBidi" w:hAnsiTheme="majorBidi" w:cstheme="majorBidi"/>
          <w:color w:val="000000" w:themeColor="text1"/>
        </w:rPr>
        <w:t xml:space="preserve">on </w:t>
      </w:r>
      <w:r w:rsidR="008E7970">
        <w:rPr>
          <w:rFonts w:asciiTheme="majorBidi" w:hAnsiTheme="majorBidi" w:cstheme="majorBidi"/>
          <w:color w:val="000000" w:themeColor="text1"/>
        </w:rPr>
        <w:t xml:space="preserve">CP </w:t>
      </w:r>
      <w:r w:rsidR="0075003D" w:rsidRPr="005103A1">
        <w:rPr>
          <w:rFonts w:asciiTheme="majorBidi" w:hAnsiTheme="majorBidi" w:cstheme="majorBidi"/>
          <w:color w:val="000000" w:themeColor="text1"/>
        </w:rPr>
        <w:t>of a firm.</w:t>
      </w:r>
      <w:r w:rsidR="00DE1A48" w:rsidRPr="005103A1">
        <w:rPr>
          <w:rFonts w:asciiTheme="majorBidi" w:hAnsiTheme="majorBidi" w:cstheme="majorBidi"/>
          <w:color w:val="000000" w:themeColor="text1"/>
        </w:rPr>
        <w:t xml:space="preserve"> </w:t>
      </w:r>
      <w:r w:rsidR="0026479F" w:rsidRPr="005103A1">
        <w:rPr>
          <w:rFonts w:asciiTheme="majorBidi" w:hAnsiTheme="majorBidi" w:cstheme="majorBidi"/>
          <w:color w:val="000000" w:themeColor="text1"/>
        </w:rPr>
        <w:t xml:space="preserve">Among the other </w:t>
      </w:r>
      <w:r w:rsidR="00CD0327" w:rsidRPr="005103A1">
        <w:rPr>
          <w:rFonts w:asciiTheme="majorBidi" w:hAnsiTheme="majorBidi" w:cstheme="majorBidi"/>
          <w:color w:val="000000" w:themeColor="text1"/>
        </w:rPr>
        <w:t>CG</w:t>
      </w:r>
      <w:r w:rsidR="0026479F" w:rsidRPr="005103A1">
        <w:rPr>
          <w:rFonts w:asciiTheme="majorBidi" w:hAnsiTheme="majorBidi" w:cstheme="majorBidi"/>
          <w:color w:val="000000" w:themeColor="text1"/>
        </w:rPr>
        <w:t xml:space="preserve"> variables, the presence of CSR committee shows positive relationship with </w:t>
      </w:r>
      <w:r w:rsidR="000A7DA2" w:rsidRPr="005103A1">
        <w:rPr>
          <w:rFonts w:asciiTheme="majorBidi" w:hAnsiTheme="majorBidi" w:cstheme="majorBidi"/>
          <w:i/>
          <w:iCs/>
          <w:color w:val="000000" w:themeColor="text1"/>
        </w:rPr>
        <w:t>P</w:t>
      </w:r>
      <w:r w:rsidR="0026479F" w:rsidRPr="005103A1">
        <w:rPr>
          <w:rFonts w:asciiTheme="majorBidi" w:hAnsiTheme="majorBidi" w:cstheme="majorBidi"/>
          <w:i/>
          <w:iCs/>
          <w:color w:val="000000" w:themeColor="text1"/>
        </w:rPr>
        <w:t>CRI</w:t>
      </w:r>
      <w:r w:rsidR="0026479F" w:rsidRPr="005103A1">
        <w:rPr>
          <w:rFonts w:asciiTheme="majorBidi" w:hAnsiTheme="majorBidi" w:cstheme="majorBidi"/>
          <w:color w:val="000000" w:themeColor="text1"/>
        </w:rPr>
        <w:t>.</w:t>
      </w:r>
      <w:r w:rsidR="006A61F0" w:rsidRPr="005103A1">
        <w:rPr>
          <w:rFonts w:asciiTheme="majorBidi" w:hAnsiTheme="majorBidi" w:cstheme="majorBidi"/>
          <w:color w:val="000000" w:themeColor="text1"/>
        </w:rPr>
        <w:t xml:space="preserve"> </w:t>
      </w:r>
      <w:r w:rsidR="0026479F" w:rsidRPr="005103A1">
        <w:rPr>
          <w:rFonts w:asciiTheme="majorBidi" w:hAnsiTheme="majorBidi" w:cstheme="majorBidi"/>
          <w:color w:val="000000" w:themeColor="text1"/>
        </w:rPr>
        <w:t>In addition, firm size show</w:t>
      </w:r>
      <w:r w:rsidR="004B24B1" w:rsidRPr="005103A1">
        <w:rPr>
          <w:rFonts w:asciiTheme="majorBidi" w:hAnsiTheme="majorBidi" w:cstheme="majorBidi"/>
          <w:color w:val="000000" w:themeColor="text1"/>
        </w:rPr>
        <w:t>s a</w:t>
      </w:r>
      <w:r w:rsidR="0026479F" w:rsidRPr="005103A1">
        <w:rPr>
          <w:rFonts w:asciiTheme="majorBidi" w:hAnsiTheme="majorBidi" w:cstheme="majorBidi"/>
          <w:color w:val="000000" w:themeColor="text1"/>
        </w:rPr>
        <w:t xml:space="preserve"> positive relationship with </w:t>
      </w:r>
      <w:r w:rsidR="000A7DA2" w:rsidRPr="005103A1">
        <w:rPr>
          <w:rFonts w:asciiTheme="majorBidi" w:hAnsiTheme="majorBidi" w:cstheme="majorBidi"/>
          <w:i/>
          <w:iCs/>
          <w:color w:val="000000" w:themeColor="text1"/>
        </w:rPr>
        <w:t>P</w:t>
      </w:r>
      <w:r w:rsidR="0026479F" w:rsidRPr="005103A1">
        <w:rPr>
          <w:rFonts w:asciiTheme="majorBidi" w:hAnsiTheme="majorBidi" w:cstheme="majorBidi"/>
          <w:i/>
          <w:iCs/>
          <w:color w:val="000000" w:themeColor="text1"/>
        </w:rPr>
        <w:t>CRI</w:t>
      </w:r>
      <w:r w:rsidR="004B24B1" w:rsidRPr="005103A1">
        <w:rPr>
          <w:rFonts w:asciiTheme="majorBidi" w:hAnsiTheme="majorBidi" w:cstheme="majorBidi"/>
          <w:i/>
          <w:iCs/>
          <w:color w:val="000000" w:themeColor="text1"/>
        </w:rPr>
        <w:t xml:space="preserve"> </w:t>
      </w:r>
      <w:r w:rsidR="004B24B1" w:rsidRPr="005103A1">
        <w:rPr>
          <w:rFonts w:asciiTheme="majorBidi" w:hAnsiTheme="majorBidi" w:cstheme="majorBidi"/>
          <w:color w:val="000000" w:themeColor="text1"/>
        </w:rPr>
        <w:t xml:space="preserve">and GHG. </w:t>
      </w:r>
      <w:r w:rsidR="003503B7" w:rsidRPr="005103A1">
        <w:rPr>
          <w:rFonts w:asciiTheme="majorBidi" w:hAnsiTheme="majorBidi" w:cstheme="majorBidi"/>
          <w:color w:val="000000" w:themeColor="text1"/>
        </w:rPr>
        <w:t xml:space="preserve">Moreover, </w:t>
      </w:r>
      <w:r w:rsidR="004B24B1" w:rsidRPr="005103A1">
        <w:rPr>
          <w:rFonts w:asciiTheme="majorBidi" w:hAnsiTheme="majorBidi" w:cstheme="majorBidi"/>
          <w:color w:val="000000" w:themeColor="text1"/>
        </w:rPr>
        <w:t xml:space="preserve">capital intensity </w:t>
      </w:r>
      <w:r w:rsidR="00C30CFF" w:rsidRPr="005103A1">
        <w:rPr>
          <w:rFonts w:asciiTheme="majorBidi" w:hAnsiTheme="majorBidi" w:cstheme="majorBidi"/>
          <w:color w:val="000000" w:themeColor="text1"/>
        </w:rPr>
        <w:t>has a positive relationship</w:t>
      </w:r>
      <w:r w:rsidR="00A742B0" w:rsidRPr="005103A1">
        <w:rPr>
          <w:rFonts w:asciiTheme="majorBidi" w:hAnsiTheme="majorBidi" w:cstheme="majorBidi"/>
          <w:color w:val="000000" w:themeColor="text1"/>
        </w:rPr>
        <w:t xml:space="preserve"> with GHG emissions</w:t>
      </w:r>
      <w:r w:rsidR="00C30CFF" w:rsidRPr="005103A1">
        <w:rPr>
          <w:rFonts w:asciiTheme="majorBidi" w:hAnsiTheme="majorBidi" w:cstheme="majorBidi"/>
          <w:color w:val="000000" w:themeColor="text1"/>
        </w:rPr>
        <w:t>, whilst</w:t>
      </w:r>
      <w:r w:rsidR="004B24B1" w:rsidRPr="005103A1">
        <w:rPr>
          <w:rFonts w:asciiTheme="majorBidi" w:hAnsiTheme="majorBidi" w:cstheme="majorBidi"/>
          <w:color w:val="000000" w:themeColor="text1"/>
        </w:rPr>
        <w:t xml:space="preserve"> </w:t>
      </w:r>
      <w:r w:rsidR="003503B7" w:rsidRPr="005103A1">
        <w:rPr>
          <w:rFonts w:asciiTheme="majorBidi" w:hAnsiTheme="majorBidi" w:cstheme="majorBidi"/>
          <w:color w:val="000000" w:themeColor="text1"/>
        </w:rPr>
        <w:t xml:space="preserve">capital expenditure </w:t>
      </w:r>
      <w:r w:rsidR="004B24B1" w:rsidRPr="005103A1">
        <w:rPr>
          <w:rFonts w:asciiTheme="majorBidi" w:hAnsiTheme="majorBidi" w:cstheme="majorBidi"/>
          <w:color w:val="000000" w:themeColor="text1"/>
        </w:rPr>
        <w:t xml:space="preserve">has a negative relationship with GHG emissions. </w:t>
      </w:r>
      <w:r w:rsidR="0026479F" w:rsidRPr="005103A1">
        <w:rPr>
          <w:rFonts w:asciiTheme="majorBidi" w:hAnsiTheme="majorBidi" w:cstheme="majorBidi"/>
          <w:color w:val="000000" w:themeColor="text1"/>
        </w:rPr>
        <w:t xml:space="preserve">   </w:t>
      </w:r>
    </w:p>
    <w:p w14:paraId="40D8EBC8" w14:textId="77777777" w:rsidR="002D4956" w:rsidRPr="005103A1" w:rsidRDefault="002D4956" w:rsidP="002D762D">
      <w:pPr>
        <w:spacing w:after="0" w:line="240" w:lineRule="auto"/>
        <w:ind w:firstLine="720"/>
        <w:jc w:val="both"/>
        <w:rPr>
          <w:rFonts w:asciiTheme="majorBidi" w:hAnsiTheme="majorBidi" w:cstheme="majorBidi"/>
          <w:color w:val="000000" w:themeColor="text1"/>
        </w:rPr>
      </w:pPr>
    </w:p>
    <w:p w14:paraId="246758C1" w14:textId="7E64B8FF" w:rsidR="00E05323" w:rsidRPr="005103A1" w:rsidRDefault="00E05323" w:rsidP="0064103E">
      <w:pPr>
        <w:pStyle w:val="ListParagraph"/>
        <w:spacing w:after="0" w:line="480" w:lineRule="auto"/>
        <w:ind w:left="0"/>
        <w:contextualSpacing w:val="0"/>
        <w:jc w:val="both"/>
        <w:rPr>
          <w:rFonts w:asciiTheme="majorBidi" w:hAnsiTheme="majorBidi" w:cstheme="majorBidi"/>
          <w:i/>
        </w:rPr>
      </w:pPr>
      <w:r w:rsidRPr="005103A1">
        <w:rPr>
          <w:rFonts w:asciiTheme="majorBidi" w:hAnsiTheme="majorBidi" w:cstheme="majorBidi"/>
          <w:i/>
        </w:rPr>
        <w:t>Robustness tests</w:t>
      </w:r>
    </w:p>
    <w:p w14:paraId="34B836D3" w14:textId="49336C9B" w:rsidR="00E05323" w:rsidRPr="000A1A92" w:rsidRDefault="004F3236" w:rsidP="0064103E">
      <w:pPr>
        <w:spacing w:after="0" w:line="480" w:lineRule="auto"/>
        <w:jc w:val="both"/>
        <w:rPr>
          <w:rFonts w:asciiTheme="majorBidi" w:hAnsiTheme="majorBidi" w:cstheme="majorBidi"/>
        </w:rPr>
      </w:pPr>
      <w:r>
        <w:rPr>
          <w:rFonts w:asciiTheme="majorBidi" w:hAnsiTheme="majorBidi" w:cstheme="majorBidi"/>
          <w:color w:val="000000" w:themeColor="text1"/>
        </w:rPr>
        <w:tab/>
      </w:r>
      <w:r w:rsidR="005F6EF6" w:rsidRPr="005103A1">
        <w:rPr>
          <w:rFonts w:asciiTheme="majorBidi" w:hAnsiTheme="majorBidi" w:cstheme="majorBidi"/>
          <w:color w:val="000000" w:themeColor="text1"/>
        </w:rPr>
        <w:t xml:space="preserve">We perform a number of robustness tests. </w:t>
      </w:r>
      <w:r w:rsidR="005F6EF6" w:rsidRPr="005103A1">
        <w:rPr>
          <w:rFonts w:asciiTheme="majorBidi" w:hAnsiTheme="majorBidi" w:cstheme="majorBidi"/>
          <w:iCs/>
          <w:color w:val="000000" w:themeColor="text1"/>
        </w:rPr>
        <w:t>First</w:t>
      </w:r>
      <w:r w:rsidR="005F6EF6" w:rsidRPr="005103A1">
        <w:rPr>
          <w:rFonts w:asciiTheme="majorBidi" w:hAnsiTheme="majorBidi" w:cstheme="majorBidi"/>
          <w:color w:val="000000" w:themeColor="text1"/>
        </w:rPr>
        <w:t xml:space="preserve">, </w:t>
      </w:r>
      <w:r w:rsidR="00FC2B8A" w:rsidRPr="005103A1">
        <w:rPr>
          <w:rFonts w:asciiTheme="majorBidi" w:hAnsiTheme="majorBidi" w:cstheme="majorBidi"/>
          <w:color w:val="000000" w:themeColor="text1"/>
        </w:rPr>
        <w:t>to a</w:t>
      </w:r>
      <w:r w:rsidR="00E05323" w:rsidRPr="005103A1">
        <w:rPr>
          <w:rFonts w:asciiTheme="majorBidi" w:hAnsiTheme="majorBidi" w:cstheme="majorBidi"/>
        </w:rPr>
        <w:t xml:space="preserve">ddress </w:t>
      </w:r>
      <w:r w:rsidR="00E05323" w:rsidRPr="005103A1">
        <w:rPr>
          <w:rFonts w:asciiTheme="majorBidi" w:hAnsiTheme="majorBidi" w:cstheme="majorBidi"/>
          <w:color w:val="000000" w:themeColor="text1"/>
        </w:rPr>
        <w:t xml:space="preserve">the </w:t>
      </w:r>
      <w:r w:rsidR="00E05323" w:rsidRPr="005103A1">
        <w:rPr>
          <w:rFonts w:asciiTheme="majorBidi" w:hAnsiTheme="majorBidi" w:cstheme="majorBidi"/>
        </w:rPr>
        <w:t>concerns about potential endogeneity and reverse causality</w:t>
      </w:r>
      <w:r w:rsidR="00AC15A1" w:rsidRPr="005103A1">
        <w:rPr>
          <w:rFonts w:asciiTheme="majorBidi" w:hAnsiTheme="majorBidi" w:cstheme="majorBidi"/>
        </w:rPr>
        <w:t xml:space="preserve"> among </w:t>
      </w:r>
      <w:r w:rsidR="007F663B" w:rsidRPr="005103A1">
        <w:rPr>
          <w:rFonts w:asciiTheme="majorBidi" w:hAnsiTheme="majorBidi" w:cstheme="majorBidi"/>
        </w:rPr>
        <w:t>EC</w:t>
      </w:r>
      <w:r w:rsidR="007B16B2" w:rsidRPr="005103A1">
        <w:rPr>
          <w:rFonts w:asciiTheme="majorBidi" w:hAnsiTheme="majorBidi" w:cstheme="majorBidi"/>
        </w:rPr>
        <w:t>,</w:t>
      </w:r>
      <w:r w:rsidR="00AC15A1" w:rsidRPr="005103A1">
        <w:rPr>
          <w:rFonts w:asciiTheme="majorBidi" w:hAnsiTheme="majorBidi" w:cstheme="majorBidi"/>
        </w:rPr>
        <w:t xml:space="preserve"> </w:t>
      </w:r>
      <w:r w:rsidR="007F663B" w:rsidRPr="005103A1">
        <w:rPr>
          <w:rFonts w:asciiTheme="majorBidi" w:hAnsiTheme="majorBidi" w:cstheme="majorBidi"/>
        </w:rPr>
        <w:t>CP</w:t>
      </w:r>
      <w:r w:rsidR="00AC15A1" w:rsidRPr="005103A1">
        <w:rPr>
          <w:rFonts w:asciiTheme="majorBidi" w:hAnsiTheme="majorBidi" w:cstheme="majorBidi"/>
        </w:rPr>
        <w:t xml:space="preserve"> and </w:t>
      </w:r>
      <w:r w:rsidR="007F663B" w:rsidRPr="005103A1">
        <w:rPr>
          <w:rFonts w:asciiTheme="majorBidi" w:hAnsiTheme="majorBidi" w:cstheme="majorBidi"/>
        </w:rPr>
        <w:t>MV</w:t>
      </w:r>
      <w:r w:rsidR="00E05323" w:rsidRPr="005103A1">
        <w:rPr>
          <w:rFonts w:asciiTheme="majorBidi" w:hAnsiTheme="majorBidi" w:cstheme="majorBidi"/>
        </w:rPr>
        <w:t xml:space="preserve">, we </w:t>
      </w:r>
      <w:r w:rsidR="007B16B2" w:rsidRPr="005103A1">
        <w:rPr>
          <w:rFonts w:asciiTheme="majorBidi" w:hAnsiTheme="majorBidi" w:cstheme="majorBidi"/>
        </w:rPr>
        <w:t xml:space="preserve">estimate </w:t>
      </w:r>
      <w:proofErr w:type="spellStart"/>
      <w:r w:rsidR="007B16B2" w:rsidRPr="005103A1">
        <w:rPr>
          <w:rFonts w:asciiTheme="majorBidi" w:hAnsiTheme="majorBidi" w:cstheme="majorBidi"/>
        </w:rPr>
        <w:t>Eqs</w:t>
      </w:r>
      <w:proofErr w:type="spellEnd"/>
      <w:r w:rsidR="007B16B2" w:rsidRPr="005103A1">
        <w:rPr>
          <w:rFonts w:asciiTheme="majorBidi" w:hAnsiTheme="majorBidi" w:cstheme="majorBidi"/>
        </w:rPr>
        <w:t>.</w:t>
      </w:r>
      <w:r w:rsidR="00AC15A1" w:rsidRPr="005103A1">
        <w:rPr>
          <w:rFonts w:asciiTheme="majorBidi" w:hAnsiTheme="majorBidi" w:cstheme="majorBidi"/>
        </w:rPr>
        <w:t>(1</w:t>
      </w:r>
      <w:r w:rsidR="005C5B46" w:rsidRPr="005103A1">
        <w:rPr>
          <w:rFonts w:asciiTheme="majorBidi" w:hAnsiTheme="majorBidi" w:cstheme="majorBidi"/>
        </w:rPr>
        <w:t>)</w:t>
      </w:r>
      <w:r w:rsidR="000E6D1A">
        <w:rPr>
          <w:rFonts w:asciiTheme="majorBidi" w:hAnsiTheme="majorBidi" w:cstheme="majorBidi"/>
        </w:rPr>
        <w:t>–</w:t>
      </w:r>
      <w:r w:rsidR="005C5B46" w:rsidRPr="005103A1">
        <w:rPr>
          <w:rFonts w:asciiTheme="majorBidi" w:hAnsiTheme="majorBidi" w:cstheme="majorBidi"/>
        </w:rPr>
        <w:t>(</w:t>
      </w:r>
      <w:r w:rsidR="00B24318" w:rsidRPr="005103A1">
        <w:rPr>
          <w:rFonts w:asciiTheme="majorBidi" w:hAnsiTheme="majorBidi" w:cstheme="majorBidi"/>
        </w:rPr>
        <w:t>4</w:t>
      </w:r>
      <w:r w:rsidR="00AC15A1" w:rsidRPr="005103A1">
        <w:rPr>
          <w:rFonts w:asciiTheme="majorBidi" w:hAnsiTheme="majorBidi" w:cstheme="majorBidi"/>
        </w:rPr>
        <w:t>)</w:t>
      </w:r>
      <w:r w:rsidR="005F6EF6" w:rsidRPr="005103A1">
        <w:rPr>
          <w:rFonts w:asciiTheme="majorBidi" w:hAnsiTheme="majorBidi" w:cstheme="majorBidi"/>
        </w:rPr>
        <w:t xml:space="preserve"> by using </w:t>
      </w:r>
      <w:r w:rsidR="00E05323" w:rsidRPr="005103A1">
        <w:rPr>
          <w:rFonts w:asciiTheme="majorBidi" w:hAnsiTheme="majorBidi" w:cstheme="majorBidi"/>
        </w:rPr>
        <w:t>dynamic two-step syste</w:t>
      </w:r>
      <w:r w:rsidR="00B878AD" w:rsidRPr="005103A1">
        <w:rPr>
          <w:rFonts w:asciiTheme="majorBidi" w:hAnsiTheme="majorBidi" w:cstheme="majorBidi"/>
        </w:rPr>
        <w:t>m generalis</w:t>
      </w:r>
      <w:r w:rsidR="00E05323" w:rsidRPr="005103A1">
        <w:rPr>
          <w:rFonts w:asciiTheme="majorBidi" w:hAnsiTheme="majorBidi" w:cstheme="majorBidi"/>
        </w:rPr>
        <w:t xml:space="preserve">ed method of moments (GMM) panel data estimator, as proposed by Arellano and Bond (1991) and Blundell and Bond (1998) with </w:t>
      </w:r>
      <w:proofErr w:type="spellStart"/>
      <w:r w:rsidR="00E05323" w:rsidRPr="005103A1">
        <w:rPr>
          <w:rFonts w:asciiTheme="majorBidi" w:hAnsiTheme="majorBidi" w:cstheme="majorBidi"/>
        </w:rPr>
        <w:t>Windmeijer’s</w:t>
      </w:r>
      <w:proofErr w:type="spellEnd"/>
      <w:r w:rsidR="00E05323" w:rsidRPr="005103A1">
        <w:rPr>
          <w:rFonts w:asciiTheme="majorBidi" w:hAnsiTheme="majorBidi" w:cstheme="majorBidi"/>
        </w:rPr>
        <w:t xml:space="preserve"> (2005) finite sample correction and heteroskedasticity-adjusted s</w:t>
      </w:r>
      <w:r w:rsidR="00AC15A1" w:rsidRPr="005103A1">
        <w:rPr>
          <w:rFonts w:asciiTheme="majorBidi" w:hAnsiTheme="majorBidi" w:cstheme="majorBidi"/>
        </w:rPr>
        <w:t>tandard errors.</w:t>
      </w:r>
      <w:r w:rsidR="005F6EF6" w:rsidRPr="005103A1">
        <w:rPr>
          <w:rFonts w:asciiTheme="majorBidi" w:hAnsiTheme="majorBidi" w:cstheme="majorBidi"/>
        </w:rPr>
        <w:t xml:space="preserve"> </w:t>
      </w:r>
      <w:r w:rsidR="00E07E4D" w:rsidRPr="005103A1">
        <w:rPr>
          <w:rFonts w:asciiTheme="majorBidi" w:hAnsiTheme="majorBidi" w:cstheme="majorBidi"/>
        </w:rPr>
        <w:t>We</w:t>
      </w:r>
      <w:r w:rsidR="00835C32" w:rsidRPr="005103A1">
        <w:rPr>
          <w:rFonts w:asciiTheme="majorBidi" w:hAnsiTheme="majorBidi" w:cstheme="majorBidi"/>
        </w:rPr>
        <w:t xml:space="preserve"> have</w:t>
      </w:r>
      <w:r w:rsidR="00E07E4D" w:rsidRPr="005103A1">
        <w:rPr>
          <w:rFonts w:asciiTheme="majorBidi" w:hAnsiTheme="majorBidi" w:cstheme="majorBidi"/>
        </w:rPr>
        <w:t xml:space="preserve"> also added country dummies in all </w:t>
      </w:r>
      <w:r w:rsidR="00835C32" w:rsidRPr="005103A1">
        <w:rPr>
          <w:rFonts w:asciiTheme="majorBidi" w:hAnsiTheme="majorBidi" w:cstheme="majorBidi"/>
        </w:rPr>
        <w:t xml:space="preserve">our models </w:t>
      </w:r>
      <w:r w:rsidR="00E07E4D" w:rsidRPr="005103A1">
        <w:rPr>
          <w:rFonts w:asciiTheme="majorBidi" w:hAnsiTheme="majorBidi" w:cstheme="majorBidi"/>
        </w:rPr>
        <w:t>to control for county-</w:t>
      </w:r>
      <w:r w:rsidR="007F2156" w:rsidRPr="005103A1">
        <w:rPr>
          <w:rFonts w:asciiTheme="majorBidi" w:hAnsiTheme="majorBidi" w:cstheme="majorBidi"/>
        </w:rPr>
        <w:t xml:space="preserve">level </w:t>
      </w:r>
      <w:r w:rsidR="00E07E4D" w:rsidRPr="005103A1">
        <w:rPr>
          <w:rFonts w:asciiTheme="majorBidi" w:hAnsiTheme="majorBidi" w:cstheme="majorBidi"/>
        </w:rPr>
        <w:t>fixed</w:t>
      </w:r>
      <w:r w:rsidR="0053390A" w:rsidRPr="005103A1">
        <w:rPr>
          <w:rFonts w:asciiTheme="majorBidi" w:hAnsiTheme="majorBidi" w:cstheme="majorBidi"/>
        </w:rPr>
        <w:t>-</w:t>
      </w:r>
      <w:r w:rsidR="00E07E4D" w:rsidRPr="005103A1">
        <w:rPr>
          <w:rFonts w:asciiTheme="majorBidi" w:hAnsiTheme="majorBidi" w:cstheme="majorBidi"/>
        </w:rPr>
        <w:t xml:space="preserve">effects. </w:t>
      </w:r>
      <w:r w:rsidR="00746F3D" w:rsidRPr="005103A1">
        <w:rPr>
          <w:rFonts w:asciiTheme="majorBidi" w:hAnsiTheme="majorBidi" w:cstheme="majorBidi"/>
        </w:rPr>
        <w:t xml:space="preserve">In our GMM regression of </w:t>
      </w:r>
      <w:r w:rsidR="001371D7" w:rsidRPr="005103A1">
        <w:rPr>
          <w:rFonts w:asciiTheme="majorBidi" w:hAnsiTheme="majorBidi" w:cstheme="majorBidi"/>
        </w:rPr>
        <w:t>CP</w:t>
      </w:r>
      <w:r w:rsidR="00746F3D" w:rsidRPr="005103A1">
        <w:rPr>
          <w:rFonts w:asciiTheme="majorBidi" w:hAnsiTheme="majorBidi" w:cstheme="majorBidi"/>
        </w:rPr>
        <w:t xml:space="preserve"> (</w:t>
      </w:r>
      <w:r w:rsidR="00746F3D" w:rsidRPr="005103A1">
        <w:rPr>
          <w:rFonts w:asciiTheme="majorBidi" w:hAnsiTheme="majorBidi" w:cstheme="majorBidi"/>
          <w:i/>
          <w:iCs/>
        </w:rPr>
        <w:t>GHG</w:t>
      </w:r>
      <w:r w:rsidR="00746F3D" w:rsidRPr="005103A1">
        <w:rPr>
          <w:rFonts w:asciiTheme="majorBidi" w:hAnsiTheme="majorBidi" w:cstheme="majorBidi"/>
        </w:rPr>
        <w:t xml:space="preserve"> and </w:t>
      </w:r>
      <w:r w:rsidR="00746F3D" w:rsidRPr="005103A1">
        <w:rPr>
          <w:rFonts w:asciiTheme="majorBidi" w:hAnsiTheme="majorBidi" w:cstheme="majorBidi"/>
          <w:i/>
          <w:iCs/>
        </w:rPr>
        <w:t>PCRI</w:t>
      </w:r>
      <w:r w:rsidR="00746F3D" w:rsidRPr="005103A1">
        <w:rPr>
          <w:rFonts w:asciiTheme="majorBidi" w:hAnsiTheme="majorBidi" w:cstheme="majorBidi"/>
        </w:rPr>
        <w:t xml:space="preserve">), we use </w:t>
      </w:r>
      <w:r w:rsidR="00746F3D" w:rsidRPr="005103A1">
        <w:rPr>
          <w:rFonts w:asciiTheme="majorBidi" w:hAnsiTheme="majorBidi" w:cstheme="majorBidi"/>
          <w:i/>
          <w:iCs/>
        </w:rPr>
        <w:t xml:space="preserve">EC </w:t>
      </w:r>
      <w:r w:rsidR="00746F3D" w:rsidRPr="005103A1">
        <w:rPr>
          <w:rFonts w:asciiTheme="majorBidi" w:hAnsiTheme="majorBidi" w:cstheme="majorBidi"/>
        </w:rPr>
        <w:t>as an endogenous variable, the specification o</w:t>
      </w:r>
      <w:r w:rsidR="00046D27">
        <w:rPr>
          <w:rFonts w:asciiTheme="majorBidi" w:hAnsiTheme="majorBidi" w:cstheme="majorBidi"/>
        </w:rPr>
        <w:t>f MV</w:t>
      </w:r>
      <w:r w:rsidR="00746F3D" w:rsidRPr="005103A1">
        <w:rPr>
          <w:rFonts w:asciiTheme="majorBidi" w:hAnsiTheme="majorBidi" w:cstheme="majorBidi"/>
        </w:rPr>
        <w:t xml:space="preserve"> (</w:t>
      </w:r>
      <w:r w:rsidR="00746F3D" w:rsidRPr="005103A1">
        <w:rPr>
          <w:rFonts w:asciiTheme="majorBidi" w:hAnsiTheme="majorBidi" w:cstheme="majorBidi"/>
          <w:i/>
          <w:iCs/>
        </w:rPr>
        <w:t>Q</w:t>
      </w:r>
      <w:r w:rsidR="00746F3D" w:rsidRPr="005103A1">
        <w:rPr>
          <w:rFonts w:asciiTheme="majorBidi" w:hAnsiTheme="majorBidi" w:cstheme="majorBidi"/>
        </w:rPr>
        <w:t xml:space="preserve">) includes </w:t>
      </w:r>
      <w:r w:rsidR="001371D7" w:rsidRPr="005103A1">
        <w:rPr>
          <w:rFonts w:asciiTheme="majorBidi" w:hAnsiTheme="majorBidi" w:cstheme="majorBidi"/>
        </w:rPr>
        <w:t>CP</w:t>
      </w:r>
      <w:r w:rsidR="00746F3D" w:rsidRPr="005103A1">
        <w:rPr>
          <w:rFonts w:asciiTheme="majorBidi" w:hAnsiTheme="majorBidi" w:cstheme="majorBidi"/>
        </w:rPr>
        <w:t xml:space="preserve"> (</w:t>
      </w:r>
      <w:r w:rsidR="00746F3D" w:rsidRPr="005103A1">
        <w:rPr>
          <w:rFonts w:asciiTheme="majorBidi" w:hAnsiTheme="majorBidi" w:cstheme="majorBidi"/>
          <w:i/>
          <w:iCs/>
        </w:rPr>
        <w:t>GHG</w:t>
      </w:r>
      <w:r w:rsidR="00746F3D" w:rsidRPr="005103A1">
        <w:rPr>
          <w:rFonts w:asciiTheme="majorBidi" w:hAnsiTheme="majorBidi" w:cstheme="majorBidi"/>
        </w:rPr>
        <w:t xml:space="preserve"> or </w:t>
      </w:r>
      <w:r w:rsidR="00746F3D" w:rsidRPr="005103A1">
        <w:rPr>
          <w:rFonts w:asciiTheme="majorBidi" w:hAnsiTheme="majorBidi" w:cstheme="majorBidi"/>
          <w:i/>
          <w:iCs/>
        </w:rPr>
        <w:t>PCRI</w:t>
      </w:r>
      <w:r w:rsidR="00746F3D" w:rsidRPr="005103A1">
        <w:rPr>
          <w:rFonts w:asciiTheme="majorBidi" w:hAnsiTheme="majorBidi" w:cstheme="majorBidi"/>
        </w:rPr>
        <w:t xml:space="preserve">) as an endogenous variable. In all specifications, </w:t>
      </w:r>
      <w:r w:rsidR="00211C26" w:rsidRPr="005103A1">
        <w:rPr>
          <w:rFonts w:asciiTheme="majorBidi" w:hAnsiTheme="majorBidi" w:cstheme="majorBidi"/>
        </w:rPr>
        <w:t xml:space="preserve">the </w:t>
      </w:r>
      <w:r w:rsidR="00746F3D" w:rsidRPr="005103A1">
        <w:rPr>
          <w:rFonts w:asciiTheme="majorBidi" w:hAnsiTheme="majorBidi" w:cstheme="majorBidi"/>
        </w:rPr>
        <w:t xml:space="preserve">first lags of all independent variables are used as instruments. The validity of the instruments is tested using Hansen </w:t>
      </w:r>
      <w:r w:rsidR="00746F3D" w:rsidRPr="005103A1">
        <w:rPr>
          <w:rFonts w:asciiTheme="majorBidi" w:hAnsiTheme="majorBidi" w:cstheme="majorBidi"/>
          <w:i/>
          <w:iCs/>
        </w:rPr>
        <w:t xml:space="preserve">J </w:t>
      </w:r>
      <w:r w:rsidR="00746F3D" w:rsidRPr="005103A1">
        <w:rPr>
          <w:rFonts w:asciiTheme="majorBidi" w:hAnsiTheme="majorBidi" w:cstheme="majorBidi"/>
        </w:rPr>
        <w:t xml:space="preserve">statistic of over-identifying restrictions and Arellano-Bond test of the absence of serial autocorrelation. </w:t>
      </w:r>
      <w:r w:rsidR="005F6EF6" w:rsidRPr="005103A1">
        <w:rPr>
          <w:rFonts w:asciiTheme="majorBidi" w:hAnsiTheme="majorBidi" w:cstheme="majorBidi"/>
        </w:rPr>
        <w:t xml:space="preserve">The estimation results shown in Tables 7 and 8 suggest </w:t>
      </w:r>
      <w:r w:rsidR="005F6EF6" w:rsidRPr="005103A1">
        <w:rPr>
          <w:rFonts w:asciiTheme="majorBidi" w:hAnsiTheme="majorBidi" w:cstheme="majorBidi"/>
          <w:color w:val="000000" w:themeColor="text1"/>
        </w:rPr>
        <w:t>no significant difference with the reported findings.</w:t>
      </w:r>
      <w:r w:rsidR="00D8252A" w:rsidRPr="005103A1">
        <w:rPr>
          <w:rFonts w:asciiTheme="majorBidi" w:hAnsiTheme="majorBidi" w:cstheme="majorBidi"/>
          <w:color w:val="000000" w:themeColor="text1"/>
        </w:rPr>
        <w:t xml:space="preserve"> </w:t>
      </w:r>
      <w:r w:rsidR="00D8252A" w:rsidRPr="005103A1">
        <w:rPr>
          <w:rFonts w:asciiTheme="majorBidi" w:hAnsiTheme="majorBidi" w:cstheme="majorBidi"/>
          <w:iCs/>
          <w:color w:val="000000" w:themeColor="text1"/>
        </w:rPr>
        <w:t>Second</w:t>
      </w:r>
      <w:r w:rsidR="00D8252A" w:rsidRPr="005103A1">
        <w:rPr>
          <w:rFonts w:asciiTheme="majorBidi" w:hAnsiTheme="majorBidi" w:cstheme="majorBidi"/>
          <w:color w:val="000000" w:themeColor="text1"/>
        </w:rPr>
        <w:t xml:space="preserve">, we estimate </w:t>
      </w:r>
      <w:proofErr w:type="spellStart"/>
      <w:r w:rsidR="00D8252A" w:rsidRPr="005103A1">
        <w:rPr>
          <w:rFonts w:asciiTheme="majorBidi" w:hAnsiTheme="majorBidi" w:cstheme="majorBidi"/>
          <w:color w:val="000000" w:themeColor="text1"/>
        </w:rPr>
        <w:t>Eqs</w:t>
      </w:r>
      <w:proofErr w:type="spellEnd"/>
      <w:r w:rsidR="00D8252A" w:rsidRPr="005103A1">
        <w:rPr>
          <w:rFonts w:asciiTheme="majorBidi" w:hAnsiTheme="majorBidi" w:cstheme="majorBidi"/>
          <w:color w:val="000000" w:themeColor="text1"/>
        </w:rPr>
        <w:t>.(3</w:t>
      </w:r>
      <w:r w:rsidR="00B24318" w:rsidRPr="005103A1">
        <w:rPr>
          <w:rFonts w:asciiTheme="majorBidi" w:hAnsiTheme="majorBidi" w:cstheme="majorBidi"/>
          <w:color w:val="000000" w:themeColor="text1"/>
        </w:rPr>
        <w:t>-4</w:t>
      </w:r>
      <w:r w:rsidR="00D8252A" w:rsidRPr="005103A1">
        <w:rPr>
          <w:rFonts w:asciiTheme="majorBidi" w:hAnsiTheme="majorBidi" w:cstheme="majorBidi"/>
          <w:color w:val="000000" w:themeColor="text1"/>
        </w:rPr>
        <w:t xml:space="preserve">) by replacing </w:t>
      </w:r>
      <w:r w:rsidR="001371D7" w:rsidRPr="005103A1">
        <w:rPr>
          <w:rFonts w:asciiTheme="majorBidi" w:hAnsiTheme="majorBidi" w:cstheme="majorBidi"/>
          <w:color w:val="000000" w:themeColor="text1"/>
        </w:rPr>
        <w:t>EC</w:t>
      </w:r>
      <w:r w:rsidR="00D8252A" w:rsidRPr="005103A1">
        <w:rPr>
          <w:rFonts w:asciiTheme="majorBidi" w:hAnsiTheme="majorBidi" w:cstheme="majorBidi"/>
          <w:color w:val="000000" w:themeColor="text1"/>
        </w:rPr>
        <w:t xml:space="preserve"> </w:t>
      </w:r>
      <w:r w:rsidR="00FB0BCE" w:rsidRPr="005103A1">
        <w:rPr>
          <w:rFonts w:asciiTheme="majorBidi" w:hAnsiTheme="majorBidi" w:cstheme="majorBidi"/>
          <w:color w:val="000000" w:themeColor="text1"/>
        </w:rPr>
        <w:t>variable</w:t>
      </w:r>
      <w:r w:rsidR="00D8252A" w:rsidRPr="005103A1">
        <w:rPr>
          <w:rFonts w:asciiTheme="majorBidi" w:hAnsiTheme="majorBidi" w:cstheme="majorBidi"/>
          <w:color w:val="000000" w:themeColor="text1"/>
        </w:rPr>
        <w:t xml:space="preserve"> with </w:t>
      </w:r>
      <w:r w:rsidR="00FB0BCE" w:rsidRPr="005103A1">
        <w:rPr>
          <w:rFonts w:asciiTheme="majorBidi" w:hAnsiTheme="majorBidi" w:cstheme="majorBidi"/>
          <w:color w:val="000000" w:themeColor="text1"/>
        </w:rPr>
        <w:t xml:space="preserve">its </w:t>
      </w:r>
      <w:r w:rsidR="00D8252A" w:rsidRPr="005103A1">
        <w:rPr>
          <w:rFonts w:asciiTheme="majorBidi" w:hAnsiTheme="majorBidi" w:cstheme="majorBidi"/>
          <w:color w:val="000000" w:themeColor="text1"/>
        </w:rPr>
        <w:t>first lag, and find no significant qualitative difference between the estimation results (not reported) and the reported findings.</w:t>
      </w:r>
      <w:r w:rsidR="00B36C47" w:rsidRPr="005103A1">
        <w:rPr>
          <w:rFonts w:asciiTheme="majorBidi" w:hAnsiTheme="majorBidi" w:cstheme="majorBidi"/>
          <w:color w:val="000000" w:themeColor="text1"/>
        </w:rPr>
        <w:t xml:space="preserve"> Finally, to assess the sensitivity of our results to country-level factors, we include country-level macro-economic</w:t>
      </w:r>
      <w:r w:rsidR="00796760" w:rsidRPr="005103A1">
        <w:rPr>
          <w:rFonts w:asciiTheme="majorBidi" w:hAnsiTheme="majorBidi" w:cstheme="majorBidi"/>
          <w:color w:val="000000" w:themeColor="text1"/>
        </w:rPr>
        <w:t xml:space="preserve"> factors</w:t>
      </w:r>
      <w:r w:rsidR="00FE0ED5" w:rsidRPr="005103A1">
        <w:rPr>
          <w:rFonts w:asciiTheme="majorBidi" w:hAnsiTheme="majorBidi" w:cstheme="majorBidi"/>
          <w:color w:val="000000" w:themeColor="text1"/>
        </w:rPr>
        <w:t>,</w:t>
      </w:r>
      <w:r w:rsidR="00796760" w:rsidRPr="005103A1">
        <w:rPr>
          <w:rFonts w:asciiTheme="majorBidi" w:hAnsiTheme="majorBidi" w:cstheme="majorBidi"/>
          <w:color w:val="000000" w:themeColor="text1"/>
        </w:rPr>
        <w:t xml:space="preserve"> such as GDP per capita </w:t>
      </w:r>
      <w:r w:rsidR="00B36C47" w:rsidRPr="005103A1">
        <w:rPr>
          <w:rFonts w:asciiTheme="majorBidi" w:hAnsiTheme="majorBidi" w:cstheme="majorBidi"/>
          <w:color w:val="000000" w:themeColor="text1"/>
        </w:rPr>
        <w:t>and inflation rate</w:t>
      </w:r>
      <w:r w:rsidR="00796760" w:rsidRPr="005103A1">
        <w:rPr>
          <w:rFonts w:asciiTheme="majorBidi" w:hAnsiTheme="majorBidi" w:cstheme="majorBidi"/>
          <w:color w:val="000000" w:themeColor="text1"/>
        </w:rPr>
        <w:t>,</w:t>
      </w:r>
      <w:r w:rsidR="00B36C47" w:rsidRPr="005103A1">
        <w:rPr>
          <w:rFonts w:asciiTheme="majorBidi" w:hAnsiTheme="majorBidi" w:cstheme="majorBidi"/>
          <w:color w:val="000000" w:themeColor="text1"/>
        </w:rPr>
        <w:t xml:space="preserve"> and </w:t>
      </w:r>
      <w:r w:rsidR="001939E9" w:rsidRPr="005103A1">
        <w:rPr>
          <w:rFonts w:asciiTheme="majorBidi" w:hAnsiTheme="majorBidi" w:cstheme="majorBidi"/>
          <w:color w:val="000000" w:themeColor="text1"/>
        </w:rPr>
        <w:t xml:space="preserve">an index </w:t>
      </w:r>
      <w:r w:rsidR="0041591C" w:rsidRPr="005103A1">
        <w:rPr>
          <w:rFonts w:asciiTheme="majorBidi" w:hAnsiTheme="majorBidi" w:cstheme="majorBidi"/>
          <w:color w:val="000000" w:themeColor="text1"/>
        </w:rPr>
        <w:t xml:space="preserve">of </w:t>
      </w:r>
      <w:r w:rsidR="00796760" w:rsidRPr="005103A1">
        <w:rPr>
          <w:rFonts w:asciiTheme="majorBidi" w:hAnsiTheme="majorBidi" w:cstheme="majorBidi"/>
          <w:color w:val="000000" w:themeColor="text1"/>
        </w:rPr>
        <w:t xml:space="preserve">country-specific </w:t>
      </w:r>
      <w:r w:rsidR="00B36C47" w:rsidRPr="005103A1">
        <w:rPr>
          <w:rFonts w:asciiTheme="majorBidi" w:hAnsiTheme="majorBidi" w:cstheme="majorBidi"/>
          <w:color w:val="000000" w:themeColor="text1"/>
        </w:rPr>
        <w:t xml:space="preserve">governance </w:t>
      </w:r>
      <w:r w:rsidR="00796760" w:rsidRPr="005103A1">
        <w:rPr>
          <w:rFonts w:asciiTheme="majorBidi" w:hAnsiTheme="majorBidi" w:cstheme="majorBidi"/>
          <w:color w:val="000000" w:themeColor="text1"/>
        </w:rPr>
        <w:t xml:space="preserve">indicator </w:t>
      </w:r>
      <w:r w:rsidR="0041591C" w:rsidRPr="005103A1">
        <w:rPr>
          <w:rFonts w:asciiTheme="majorBidi" w:hAnsiTheme="majorBidi" w:cstheme="majorBidi"/>
          <w:color w:val="000000" w:themeColor="text1"/>
        </w:rPr>
        <w:t>(</w:t>
      </w:r>
      <w:r w:rsidR="00626081" w:rsidRPr="005103A1">
        <w:rPr>
          <w:rFonts w:asciiTheme="majorBidi" w:hAnsiTheme="majorBidi" w:cstheme="majorBidi"/>
          <w:color w:val="000000" w:themeColor="text1"/>
        </w:rPr>
        <w:t xml:space="preserve">covering control of corruption, government effectiveness, political stability, regulatory quality, rule of law, voice and accountability) </w:t>
      </w:r>
      <w:r w:rsidR="00B36C47" w:rsidRPr="005103A1">
        <w:rPr>
          <w:rFonts w:asciiTheme="majorBidi" w:hAnsiTheme="majorBidi" w:cstheme="majorBidi"/>
          <w:color w:val="000000" w:themeColor="text1"/>
        </w:rPr>
        <w:t>in the regression model. The results</w:t>
      </w:r>
      <w:r w:rsidR="00626081" w:rsidRPr="005103A1">
        <w:rPr>
          <w:rFonts w:asciiTheme="majorBidi" w:hAnsiTheme="majorBidi" w:cstheme="majorBidi"/>
          <w:color w:val="000000" w:themeColor="text1"/>
        </w:rPr>
        <w:t xml:space="preserve"> (</w:t>
      </w:r>
      <w:r w:rsidR="0053390A" w:rsidRPr="005103A1">
        <w:rPr>
          <w:rFonts w:asciiTheme="majorBidi" w:hAnsiTheme="majorBidi" w:cstheme="majorBidi"/>
          <w:color w:val="000000" w:themeColor="text1"/>
        </w:rPr>
        <w:t xml:space="preserve">for brevity, </w:t>
      </w:r>
      <w:r w:rsidR="00626081" w:rsidRPr="005103A1">
        <w:rPr>
          <w:rFonts w:asciiTheme="majorBidi" w:hAnsiTheme="majorBidi" w:cstheme="majorBidi"/>
          <w:color w:val="000000" w:themeColor="text1"/>
        </w:rPr>
        <w:t>not reported</w:t>
      </w:r>
      <w:r w:rsidR="0053390A" w:rsidRPr="005103A1">
        <w:rPr>
          <w:rFonts w:asciiTheme="majorBidi" w:hAnsiTheme="majorBidi" w:cstheme="majorBidi"/>
          <w:color w:val="000000" w:themeColor="text1"/>
        </w:rPr>
        <w:t xml:space="preserve">, but </w:t>
      </w:r>
      <w:r w:rsidR="0053390A" w:rsidRPr="005103A1">
        <w:rPr>
          <w:rFonts w:asciiTheme="majorBidi" w:hAnsiTheme="majorBidi" w:cstheme="majorBidi"/>
          <w:color w:val="000000" w:themeColor="text1"/>
        </w:rPr>
        <w:lastRenderedPageBreak/>
        <w:t>available on request</w:t>
      </w:r>
      <w:r w:rsidR="00626081" w:rsidRPr="005103A1">
        <w:rPr>
          <w:rFonts w:asciiTheme="majorBidi" w:hAnsiTheme="majorBidi" w:cstheme="majorBidi"/>
          <w:color w:val="000000" w:themeColor="text1"/>
        </w:rPr>
        <w:t xml:space="preserve">) </w:t>
      </w:r>
      <w:r w:rsidR="00B36C47" w:rsidRPr="005103A1">
        <w:rPr>
          <w:rFonts w:asciiTheme="majorBidi" w:hAnsiTheme="majorBidi" w:cstheme="majorBidi"/>
          <w:color w:val="000000" w:themeColor="text1"/>
        </w:rPr>
        <w:t xml:space="preserve">indicate that our evidence is largely robust to </w:t>
      </w:r>
      <w:r w:rsidR="00165DB8" w:rsidRPr="005103A1">
        <w:rPr>
          <w:rFonts w:asciiTheme="majorBidi" w:hAnsiTheme="majorBidi" w:cstheme="majorBidi"/>
          <w:color w:val="000000" w:themeColor="text1"/>
        </w:rPr>
        <w:t xml:space="preserve">the </w:t>
      </w:r>
      <w:r w:rsidR="00B36C47" w:rsidRPr="005103A1">
        <w:rPr>
          <w:rFonts w:asciiTheme="majorBidi" w:hAnsiTheme="majorBidi" w:cstheme="majorBidi"/>
          <w:color w:val="000000" w:themeColor="text1"/>
        </w:rPr>
        <w:t xml:space="preserve">inclusion of </w:t>
      </w:r>
      <w:r w:rsidR="00BA0A04" w:rsidRPr="005103A1">
        <w:rPr>
          <w:rFonts w:asciiTheme="majorBidi" w:hAnsiTheme="majorBidi" w:cstheme="majorBidi"/>
          <w:color w:val="000000" w:themeColor="text1"/>
        </w:rPr>
        <w:t xml:space="preserve">these </w:t>
      </w:r>
      <w:r w:rsidR="00B36C47" w:rsidRPr="005103A1">
        <w:rPr>
          <w:rFonts w:asciiTheme="majorBidi" w:hAnsiTheme="majorBidi" w:cstheme="majorBidi"/>
          <w:color w:val="000000" w:themeColor="text1"/>
        </w:rPr>
        <w:t xml:space="preserve">country-level control variables. </w:t>
      </w:r>
    </w:p>
    <w:p w14:paraId="53C398AB" w14:textId="26EE4807" w:rsidR="0040657D" w:rsidRPr="0040657D" w:rsidRDefault="0040657D" w:rsidP="0040657D">
      <w:pPr>
        <w:spacing w:after="0" w:line="240" w:lineRule="auto"/>
        <w:jc w:val="center"/>
        <w:rPr>
          <w:rFonts w:ascii="Times New Roman" w:hAnsi="Times New Roman" w:cs="Times New Roman"/>
          <w:iCs/>
        </w:rPr>
      </w:pPr>
      <w:r w:rsidRPr="0040657D">
        <w:rPr>
          <w:rFonts w:ascii="Times New Roman" w:hAnsi="Times New Roman" w:cs="Times New Roman"/>
          <w:iCs/>
        </w:rPr>
        <w:t>Table</w:t>
      </w:r>
      <w:r>
        <w:rPr>
          <w:rFonts w:ascii="Times New Roman" w:hAnsi="Times New Roman" w:cs="Times New Roman"/>
          <w:iCs/>
        </w:rPr>
        <w:t>s</w:t>
      </w:r>
      <w:r w:rsidRPr="0040657D">
        <w:rPr>
          <w:rFonts w:ascii="Times New Roman" w:hAnsi="Times New Roman" w:cs="Times New Roman"/>
          <w:iCs/>
        </w:rPr>
        <w:t xml:space="preserve"> </w:t>
      </w:r>
      <w:r>
        <w:rPr>
          <w:rFonts w:ascii="Times New Roman" w:hAnsi="Times New Roman" w:cs="Times New Roman"/>
          <w:iCs/>
        </w:rPr>
        <w:t>7&amp;8</w:t>
      </w:r>
      <w:r w:rsidR="00B26417">
        <w:rPr>
          <w:rFonts w:ascii="Times New Roman" w:hAnsi="Times New Roman" w:cs="Times New Roman"/>
          <w:iCs/>
        </w:rPr>
        <w:t xml:space="preserve"> Here</w:t>
      </w:r>
    </w:p>
    <w:p w14:paraId="3FCA41CB" w14:textId="77777777" w:rsidR="00192AA1" w:rsidRDefault="00192AA1" w:rsidP="00192AA1">
      <w:pPr>
        <w:spacing w:after="0" w:line="240" w:lineRule="auto"/>
        <w:rPr>
          <w:rFonts w:ascii="Times New Roman" w:hAnsi="Times New Roman" w:cs="Times New Roman"/>
          <w:i/>
        </w:rPr>
      </w:pPr>
    </w:p>
    <w:p w14:paraId="3FFFAF52" w14:textId="4D4AD83F" w:rsidR="002D4956" w:rsidRPr="00FB3918" w:rsidRDefault="002D4956" w:rsidP="0064103E">
      <w:pPr>
        <w:pStyle w:val="ListParagraph"/>
        <w:spacing w:after="0" w:line="480" w:lineRule="auto"/>
        <w:ind w:left="0"/>
        <w:contextualSpacing w:val="0"/>
        <w:jc w:val="both"/>
        <w:rPr>
          <w:rFonts w:asciiTheme="majorBidi" w:hAnsiTheme="majorBidi" w:cstheme="majorBidi"/>
          <w:b/>
        </w:rPr>
      </w:pPr>
      <w:r w:rsidRPr="00FB3918">
        <w:rPr>
          <w:rFonts w:asciiTheme="majorBidi" w:hAnsiTheme="majorBidi" w:cstheme="majorBidi"/>
          <w:b/>
          <w:color w:val="000000" w:themeColor="text1"/>
        </w:rPr>
        <w:t>Conclusion</w:t>
      </w:r>
    </w:p>
    <w:p w14:paraId="4249BD39" w14:textId="3867FF51" w:rsidR="008660F6" w:rsidRPr="005103A1" w:rsidRDefault="004F3236" w:rsidP="00B564FA">
      <w:pPr>
        <w:spacing w:after="0" w:line="480" w:lineRule="auto"/>
        <w:jc w:val="both"/>
        <w:rPr>
          <w:rFonts w:asciiTheme="majorBidi" w:hAnsiTheme="majorBidi" w:cstheme="majorBidi"/>
          <w:color w:val="000000" w:themeColor="text1"/>
        </w:rPr>
      </w:pPr>
      <w:r>
        <w:rPr>
          <w:rFonts w:asciiTheme="majorBidi" w:hAnsiTheme="majorBidi" w:cstheme="majorBidi"/>
          <w:color w:val="000000" w:themeColor="text1"/>
        </w:rPr>
        <w:tab/>
      </w:r>
      <w:r w:rsidR="008948C7" w:rsidRPr="005103A1">
        <w:rPr>
          <w:rFonts w:asciiTheme="majorBidi" w:hAnsiTheme="majorBidi" w:cstheme="majorBidi"/>
          <w:color w:val="000000" w:themeColor="text1"/>
        </w:rPr>
        <w:t xml:space="preserve">The past </w:t>
      </w:r>
      <w:r w:rsidR="00760413" w:rsidRPr="005103A1">
        <w:rPr>
          <w:rFonts w:asciiTheme="majorBidi" w:hAnsiTheme="majorBidi" w:cstheme="majorBidi"/>
          <w:color w:val="000000" w:themeColor="text1"/>
        </w:rPr>
        <w:t>30 years</w:t>
      </w:r>
      <w:r w:rsidR="008948C7" w:rsidRPr="005103A1">
        <w:rPr>
          <w:rFonts w:asciiTheme="majorBidi" w:hAnsiTheme="majorBidi" w:cstheme="majorBidi"/>
          <w:color w:val="000000" w:themeColor="text1"/>
        </w:rPr>
        <w:t xml:space="preserve"> have witnessed increasing interests in the environmental effects of corporate activities and particularly their impact on climate change and global warming</w:t>
      </w:r>
      <w:r w:rsidR="00760413" w:rsidRPr="005103A1">
        <w:rPr>
          <w:rFonts w:asciiTheme="majorBidi" w:hAnsiTheme="majorBidi" w:cstheme="majorBidi"/>
          <w:color w:val="000000" w:themeColor="text1"/>
        </w:rPr>
        <w:t xml:space="preserve">. </w:t>
      </w:r>
      <w:r w:rsidR="00221180" w:rsidRPr="005103A1">
        <w:rPr>
          <w:rFonts w:asciiTheme="majorBidi" w:hAnsiTheme="majorBidi" w:cstheme="majorBidi"/>
          <w:color w:val="000000" w:themeColor="text1"/>
        </w:rPr>
        <w:t>I</w:t>
      </w:r>
      <w:r w:rsidR="00590F77" w:rsidRPr="005103A1">
        <w:rPr>
          <w:rFonts w:asciiTheme="majorBidi" w:hAnsiTheme="majorBidi" w:cstheme="majorBidi"/>
          <w:color w:val="000000" w:themeColor="text1"/>
        </w:rPr>
        <w:t xml:space="preserve">n this paper, we have </w:t>
      </w:r>
      <w:r w:rsidR="009D460B" w:rsidRPr="005103A1">
        <w:rPr>
          <w:rFonts w:asciiTheme="majorBidi" w:hAnsiTheme="majorBidi" w:cstheme="majorBidi"/>
          <w:color w:val="000000" w:themeColor="text1"/>
        </w:rPr>
        <w:t xml:space="preserve">sought to address this lacuna in the extant empirical literature by </w:t>
      </w:r>
      <w:r w:rsidR="00590F77" w:rsidRPr="005103A1">
        <w:rPr>
          <w:rFonts w:asciiTheme="majorBidi" w:hAnsiTheme="majorBidi" w:cstheme="majorBidi"/>
          <w:color w:val="000000" w:themeColor="text1"/>
        </w:rPr>
        <w:t>examin</w:t>
      </w:r>
      <w:r w:rsidR="009D460B" w:rsidRPr="005103A1">
        <w:rPr>
          <w:rFonts w:asciiTheme="majorBidi" w:hAnsiTheme="majorBidi" w:cstheme="majorBidi"/>
          <w:color w:val="000000" w:themeColor="text1"/>
        </w:rPr>
        <w:t>ing</w:t>
      </w:r>
      <w:r w:rsidR="00590F77" w:rsidRPr="005103A1">
        <w:rPr>
          <w:rFonts w:asciiTheme="majorBidi" w:hAnsiTheme="majorBidi" w:cstheme="majorBidi"/>
          <w:color w:val="000000" w:themeColor="text1"/>
        </w:rPr>
        <w:t xml:space="preserve"> the </w:t>
      </w:r>
      <w:r w:rsidR="00C667D4" w:rsidRPr="005103A1">
        <w:rPr>
          <w:rFonts w:asciiTheme="majorBidi" w:hAnsiTheme="majorBidi" w:cstheme="majorBidi"/>
          <w:color w:val="000000" w:themeColor="text1"/>
        </w:rPr>
        <w:t xml:space="preserve">interrelationships among </w:t>
      </w:r>
      <w:r w:rsidR="007B1760">
        <w:rPr>
          <w:rFonts w:asciiTheme="majorBidi" w:hAnsiTheme="majorBidi" w:cstheme="majorBidi"/>
          <w:color w:val="000000" w:themeColor="text1"/>
        </w:rPr>
        <w:t>executive compensation (</w:t>
      </w:r>
      <w:r w:rsidR="00962F89" w:rsidRPr="005103A1">
        <w:rPr>
          <w:rFonts w:asciiTheme="majorBidi" w:hAnsiTheme="majorBidi" w:cstheme="majorBidi"/>
          <w:color w:val="000000" w:themeColor="text1"/>
        </w:rPr>
        <w:t>EC</w:t>
      </w:r>
      <w:r w:rsidR="007B1760">
        <w:rPr>
          <w:rFonts w:asciiTheme="majorBidi" w:hAnsiTheme="majorBidi" w:cstheme="majorBidi"/>
          <w:color w:val="000000" w:themeColor="text1"/>
        </w:rPr>
        <w:t>)</w:t>
      </w:r>
      <w:r w:rsidR="00C667D4" w:rsidRPr="005103A1">
        <w:rPr>
          <w:rFonts w:asciiTheme="majorBidi" w:hAnsiTheme="majorBidi" w:cstheme="majorBidi"/>
          <w:color w:val="000000" w:themeColor="text1"/>
        </w:rPr>
        <w:t xml:space="preserve">, </w:t>
      </w:r>
      <w:r w:rsidR="00590F77" w:rsidRPr="005103A1">
        <w:rPr>
          <w:rFonts w:asciiTheme="majorBidi" w:hAnsiTheme="majorBidi" w:cstheme="majorBidi"/>
          <w:color w:val="000000" w:themeColor="text1"/>
        </w:rPr>
        <w:t>ESG-based sustainabl</w:t>
      </w:r>
      <w:r w:rsidR="001D0192" w:rsidRPr="005103A1">
        <w:rPr>
          <w:rFonts w:asciiTheme="majorBidi" w:hAnsiTheme="majorBidi" w:cstheme="majorBidi"/>
          <w:color w:val="000000" w:themeColor="text1"/>
        </w:rPr>
        <w:t>e</w:t>
      </w:r>
      <w:r w:rsidR="00590F77" w:rsidRPr="005103A1">
        <w:rPr>
          <w:rFonts w:asciiTheme="majorBidi" w:hAnsiTheme="majorBidi" w:cstheme="majorBidi"/>
          <w:color w:val="000000" w:themeColor="text1"/>
        </w:rPr>
        <w:t xml:space="preserve"> compensation policy, </w:t>
      </w:r>
      <w:r w:rsidR="007B1760">
        <w:rPr>
          <w:rFonts w:asciiTheme="majorBidi" w:hAnsiTheme="majorBidi" w:cstheme="majorBidi"/>
          <w:color w:val="000000" w:themeColor="text1"/>
        </w:rPr>
        <w:t>carbon performance (</w:t>
      </w:r>
      <w:r w:rsidR="00962F89" w:rsidRPr="005103A1">
        <w:rPr>
          <w:rFonts w:asciiTheme="majorBidi" w:hAnsiTheme="majorBidi" w:cstheme="majorBidi"/>
          <w:color w:val="000000" w:themeColor="text1"/>
        </w:rPr>
        <w:t>CP</w:t>
      </w:r>
      <w:r w:rsidR="007B1760">
        <w:rPr>
          <w:rFonts w:asciiTheme="majorBidi" w:hAnsiTheme="majorBidi" w:cstheme="majorBidi"/>
          <w:color w:val="000000" w:themeColor="text1"/>
        </w:rPr>
        <w:t>)</w:t>
      </w:r>
      <w:r w:rsidR="00C667D4" w:rsidRPr="005103A1">
        <w:rPr>
          <w:rFonts w:asciiTheme="majorBidi" w:hAnsiTheme="majorBidi" w:cstheme="majorBidi"/>
          <w:color w:val="000000" w:themeColor="text1"/>
        </w:rPr>
        <w:t xml:space="preserve"> and </w:t>
      </w:r>
      <w:r w:rsidR="007B1760">
        <w:rPr>
          <w:rFonts w:asciiTheme="majorBidi" w:hAnsiTheme="majorBidi" w:cstheme="majorBidi"/>
          <w:color w:val="000000" w:themeColor="text1"/>
        </w:rPr>
        <w:t>market value (</w:t>
      </w:r>
      <w:r w:rsidR="00962F89" w:rsidRPr="005103A1">
        <w:rPr>
          <w:rFonts w:asciiTheme="majorBidi" w:hAnsiTheme="majorBidi" w:cstheme="majorBidi"/>
          <w:color w:val="000000" w:themeColor="text1"/>
        </w:rPr>
        <w:t>MV</w:t>
      </w:r>
      <w:r w:rsidR="007B1760">
        <w:rPr>
          <w:rFonts w:asciiTheme="majorBidi" w:hAnsiTheme="majorBidi" w:cstheme="majorBidi"/>
          <w:color w:val="000000" w:themeColor="text1"/>
        </w:rPr>
        <w:t>)</w:t>
      </w:r>
      <w:r w:rsidR="00590F77" w:rsidRPr="005103A1">
        <w:rPr>
          <w:rFonts w:asciiTheme="majorBidi" w:hAnsiTheme="majorBidi" w:cstheme="majorBidi"/>
          <w:color w:val="000000" w:themeColor="text1"/>
        </w:rPr>
        <w:t>. U</w:t>
      </w:r>
      <w:r w:rsidR="00C667D4" w:rsidRPr="005103A1">
        <w:rPr>
          <w:rFonts w:asciiTheme="majorBidi" w:hAnsiTheme="majorBidi" w:cstheme="majorBidi"/>
          <w:color w:val="000000" w:themeColor="text1"/>
        </w:rPr>
        <w:t>s</w:t>
      </w:r>
      <w:r w:rsidR="00590F77" w:rsidRPr="005103A1">
        <w:rPr>
          <w:rFonts w:asciiTheme="majorBidi" w:hAnsiTheme="majorBidi" w:cstheme="majorBidi"/>
          <w:color w:val="000000" w:themeColor="text1"/>
        </w:rPr>
        <w:t>ing</w:t>
      </w:r>
      <w:r w:rsidR="00C667D4" w:rsidRPr="005103A1">
        <w:rPr>
          <w:rFonts w:asciiTheme="majorBidi" w:hAnsiTheme="majorBidi" w:cstheme="majorBidi"/>
          <w:color w:val="000000" w:themeColor="text1"/>
        </w:rPr>
        <w:t xml:space="preserve"> </w:t>
      </w:r>
      <w:r w:rsidR="00932CAD" w:rsidRPr="005103A1">
        <w:rPr>
          <w:rFonts w:asciiTheme="majorBidi" w:hAnsiTheme="majorBidi" w:cstheme="majorBidi"/>
          <w:color w:val="000000" w:themeColor="text1"/>
        </w:rPr>
        <w:t>firm</w:t>
      </w:r>
      <w:r w:rsidR="00150FCB" w:rsidRPr="005103A1">
        <w:rPr>
          <w:rFonts w:asciiTheme="majorBidi" w:hAnsiTheme="majorBidi" w:cstheme="majorBidi"/>
          <w:color w:val="000000" w:themeColor="text1"/>
        </w:rPr>
        <w:t xml:space="preserve"> fixed-</w:t>
      </w:r>
      <w:r w:rsidR="00932CAD" w:rsidRPr="005103A1">
        <w:rPr>
          <w:rFonts w:asciiTheme="majorBidi" w:hAnsiTheme="majorBidi" w:cstheme="majorBidi"/>
          <w:color w:val="000000" w:themeColor="text1"/>
        </w:rPr>
        <w:t>effect</w:t>
      </w:r>
      <w:r w:rsidR="00590F77" w:rsidRPr="005103A1">
        <w:rPr>
          <w:rFonts w:asciiTheme="majorBidi" w:hAnsiTheme="majorBidi" w:cstheme="majorBidi"/>
          <w:color w:val="000000" w:themeColor="text1"/>
        </w:rPr>
        <w:t>s</w:t>
      </w:r>
      <w:r w:rsidR="00932CAD" w:rsidRPr="005103A1">
        <w:rPr>
          <w:rFonts w:asciiTheme="majorBidi" w:hAnsiTheme="majorBidi" w:cstheme="majorBidi"/>
          <w:color w:val="000000" w:themeColor="text1"/>
        </w:rPr>
        <w:t xml:space="preserve"> model</w:t>
      </w:r>
      <w:r w:rsidR="003D7089">
        <w:rPr>
          <w:rFonts w:asciiTheme="majorBidi" w:hAnsiTheme="majorBidi" w:cstheme="majorBidi"/>
          <w:color w:val="000000" w:themeColor="text1"/>
        </w:rPr>
        <w:t>s</w:t>
      </w:r>
      <w:r w:rsidR="00932CAD" w:rsidRPr="005103A1">
        <w:rPr>
          <w:rFonts w:asciiTheme="majorBidi" w:hAnsiTheme="majorBidi" w:cstheme="majorBidi"/>
          <w:color w:val="000000" w:themeColor="text1"/>
        </w:rPr>
        <w:t xml:space="preserve"> </w:t>
      </w:r>
      <w:r w:rsidR="00C667D4" w:rsidRPr="005103A1">
        <w:rPr>
          <w:rFonts w:asciiTheme="majorBidi" w:hAnsiTheme="majorBidi" w:cstheme="majorBidi"/>
          <w:color w:val="000000" w:themeColor="text1"/>
        </w:rPr>
        <w:t xml:space="preserve">to analyse </w:t>
      </w:r>
      <w:r w:rsidR="00932CAD" w:rsidRPr="005103A1">
        <w:rPr>
          <w:rFonts w:asciiTheme="majorBidi" w:hAnsiTheme="majorBidi" w:cstheme="majorBidi"/>
          <w:color w:val="000000" w:themeColor="text1"/>
        </w:rPr>
        <w:t>an unbalanced pa</w:t>
      </w:r>
      <w:r w:rsidR="00150FCB" w:rsidRPr="005103A1">
        <w:rPr>
          <w:rFonts w:asciiTheme="majorBidi" w:hAnsiTheme="majorBidi" w:cstheme="majorBidi"/>
          <w:color w:val="000000" w:themeColor="text1"/>
        </w:rPr>
        <w:t>nel dataset of</w:t>
      </w:r>
      <w:r w:rsidR="00932CAD" w:rsidRPr="005103A1">
        <w:rPr>
          <w:rFonts w:asciiTheme="majorBidi" w:hAnsiTheme="majorBidi" w:cstheme="majorBidi"/>
          <w:color w:val="000000" w:themeColor="text1"/>
        </w:rPr>
        <w:t xml:space="preserve"> 4,379</w:t>
      </w:r>
      <w:r w:rsidR="00C667D4" w:rsidRPr="005103A1">
        <w:rPr>
          <w:rFonts w:asciiTheme="majorBidi" w:hAnsiTheme="majorBidi" w:cstheme="majorBidi"/>
          <w:color w:val="000000" w:themeColor="text1"/>
        </w:rPr>
        <w:t xml:space="preserve"> </w:t>
      </w:r>
      <w:r w:rsidR="00244838" w:rsidRPr="005103A1">
        <w:rPr>
          <w:rFonts w:asciiTheme="majorBidi" w:hAnsiTheme="majorBidi" w:cstheme="majorBidi"/>
          <w:color w:val="000000" w:themeColor="text1"/>
        </w:rPr>
        <w:t xml:space="preserve">listed </w:t>
      </w:r>
      <w:r w:rsidR="00C667D4" w:rsidRPr="005103A1">
        <w:rPr>
          <w:rFonts w:asciiTheme="majorBidi" w:hAnsiTheme="majorBidi" w:cstheme="majorBidi"/>
          <w:color w:val="000000" w:themeColor="text1"/>
        </w:rPr>
        <w:t xml:space="preserve">firm-year observations </w:t>
      </w:r>
      <w:r w:rsidR="00DE603A" w:rsidRPr="005103A1">
        <w:rPr>
          <w:rFonts w:asciiTheme="majorBidi" w:hAnsiTheme="majorBidi" w:cstheme="majorBidi"/>
          <w:color w:val="000000" w:themeColor="text1"/>
        </w:rPr>
        <w:t xml:space="preserve">from </w:t>
      </w:r>
      <w:r w:rsidR="00590F77" w:rsidRPr="005103A1">
        <w:rPr>
          <w:rFonts w:asciiTheme="majorBidi" w:hAnsiTheme="majorBidi" w:cstheme="majorBidi"/>
          <w:color w:val="000000" w:themeColor="text1"/>
        </w:rPr>
        <w:t>13 industrialised</w:t>
      </w:r>
      <w:r w:rsidR="00337ECE" w:rsidRPr="005103A1">
        <w:rPr>
          <w:rFonts w:asciiTheme="majorBidi" w:hAnsiTheme="majorBidi" w:cstheme="majorBidi"/>
          <w:color w:val="000000" w:themeColor="text1"/>
        </w:rPr>
        <w:t xml:space="preserve"> European </w:t>
      </w:r>
      <w:r w:rsidR="00244838" w:rsidRPr="005103A1">
        <w:rPr>
          <w:rFonts w:asciiTheme="majorBidi" w:hAnsiTheme="majorBidi" w:cstheme="majorBidi"/>
          <w:color w:val="000000" w:themeColor="text1"/>
        </w:rPr>
        <w:t>countries</w:t>
      </w:r>
      <w:r w:rsidR="009D460B" w:rsidRPr="005103A1">
        <w:rPr>
          <w:rFonts w:asciiTheme="majorBidi" w:hAnsiTheme="majorBidi" w:cstheme="majorBidi"/>
          <w:color w:val="000000" w:themeColor="text1"/>
        </w:rPr>
        <w:t>,</w:t>
      </w:r>
      <w:r w:rsidR="00244838" w:rsidRPr="005103A1">
        <w:rPr>
          <w:rFonts w:asciiTheme="majorBidi" w:hAnsiTheme="majorBidi" w:cstheme="majorBidi"/>
          <w:color w:val="000000" w:themeColor="text1"/>
        </w:rPr>
        <w:t xml:space="preserve"> </w:t>
      </w:r>
      <w:r w:rsidR="00C667D4" w:rsidRPr="005103A1">
        <w:rPr>
          <w:rFonts w:asciiTheme="majorBidi" w:hAnsiTheme="majorBidi" w:cstheme="majorBidi"/>
          <w:color w:val="000000" w:themeColor="text1"/>
        </w:rPr>
        <w:t>covering a period of</w:t>
      </w:r>
      <w:r w:rsidR="00337ECE" w:rsidRPr="005103A1">
        <w:rPr>
          <w:rFonts w:asciiTheme="majorBidi" w:hAnsiTheme="majorBidi" w:cstheme="majorBidi"/>
          <w:color w:val="000000" w:themeColor="text1"/>
        </w:rPr>
        <w:t xml:space="preserve"> 15</w:t>
      </w:r>
      <w:r w:rsidR="00932CAD" w:rsidRPr="005103A1">
        <w:rPr>
          <w:rFonts w:asciiTheme="majorBidi" w:hAnsiTheme="majorBidi" w:cstheme="majorBidi"/>
          <w:color w:val="000000" w:themeColor="text1"/>
        </w:rPr>
        <w:t xml:space="preserve"> years (2002-2016</w:t>
      </w:r>
      <w:r w:rsidR="00C667D4" w:rsidRPr="005103A1">
        <w:rPr>
          <w:rFonts w:asciiTheme="majorBidi" w:hAnsiTheme="majorBidi" w:cstheme="majorBidi"/>
          <w:color w:val="000000" w:themeColor="text1"/>
        </w:rPr>
        <w:t>)</w:t>
      </w:r>
      <w:r w:rsidR="00CA26B3">
        <w:rPr>
          <w:rFonts w:asciiTheme="majorBidi" w:hAnsiTheme="majorBidi" w:cstheme="majorBidi"/>
          <w:color w:val="000000" w:themeColor="text1"/>
        </w:rPr>
        <w:t xml:space="preserve"> within a multi-dimensional neo-institutional theory (NIT)</w:t>
      </w:r>
      <w:r w:rsidR="00D506B6">
        <w:rPr>
          <w:rFonts w:asciiTheme="majorBidi" w:hAnsiTheme="majorBidi" w:cstheme="majorBidi"/>
          <w:color w:val="000000" w:themeColor="text1"/>
        </w:rPr>
        <w:t xml:space="preserve"> framework</w:t>
      </w:r>
      <w:r w:rsidR="00590F77" w:rsidRPr="005103A1">
        <w:rPr>
          <w:rFonts w:asciiTheme="majorBidi" w:hAnsiTheme="majorBidi" w:cstheme="majorBidi"/>
          <w:color w:val="000000" w:themeColor="text1"/>
        </w:rPr>
        <w:t>,</w:t>
      </w:r>
      <w:r w:rsidR="00C667D4" w:rsidRPr="005103A1">
        <w:rPr>
          <w:rFonts w:asciiTheme="majorBidi" w:hAnsiTheme="majorBidi" w:cstheme="majorBidi"/>
          <w:color w:val="000000" w:themeColor="text1"/>
        </w:rPr>
        <w:t xml:space="preserve"> </w:t>
      </w:r>
      <w:r w:rsidR="00590F77" w:rsidRPr="005103A1">
        <w:rPr>
          <w:rFonts w:asciiTheme="majorBidi" w:hAnsiTheme="majorBidi" w:cstheme="majorBidi"/>
          <w:color w:val="000000" w:themeColor="text1"/>
        </w:rPr>
        <w:t>o</w:t>
      </w:r>
      <w:r w:rsidR="002F2DB5" w:rsidRPr="005103A1">
        <w:rPr>
          <w:rFonts w:asciiTheme="majorBidi" w:hAnsiTheme="majorBidi" w:cstheme="majorBidi"/>
          <w:color w:val="000000" w:themeColor="text1"/>
        </w:rPr>
        <w:t>ur estimat</w:t>
      </w:r>
      <w:r w:rsidR="00590F77" w:rsidRPr="005103A1">
        <w:rPr>
          <w:rFonts w:asciiTheme="majorBidi" w:hAnsiTheme="majorBidi" w:cstheme="majorBidi"/>
          <w:color w:val="000000" w:themeColor="text1"/>
        </w:rPr>
        <w:t>ed</w:t>
      </w:r>
      <w:r w:rsidR="002F2DB5" w:rsidRPr="005103A1">
        <w:rPr>
          <w:rFonts w:asciiTheme="majorBidi" w:hAnsiTheme="majorBidi" w:cstheme="majorBidi"/>
          <w:color w:val="000000" w:themeColor="text1"/>
        </w:rPr>
        <w:t xml:space="preserve"> results extend</w:t>
      </w:r>
      <w:r w:rsidR="00E66E0F" w:rsidRPr="005103A1">
        <w:rPr>
          <w:rFonts w:asciiTheme="majorBidi" w:hAnsiTheme="majorBidi" w:cstheme="majorBidi"/>
          <w:color w:val="000000" w:themeColor="text1"/>
        </w:rPr>
        <w:t>, as well as provide</w:t>
      </w:r>
      <w:r w:rsidR="002F2DB5" w:rsidRPr="005103A1">
        <w:rPr>
          <w:rFonts w:asciiTheme="majorBidi" w:hAnsiTheme="majorBidi" w:cstheme="majorBidi"/>
          <w:color w:val="000000" w:themeColor="text1"/>
        </w:rPr>
        <w:t xml:space="preserve"> a number of new contributions to the existing</w:t>
      </w:r>
      <w:r w:rsidR="008660F6" w:rsidRPr="005103A1">
        <w:rPr>
          <w:rFonts w:asciiTheme="majorBidi" w:hAnsiTheme="majorBidi" w:cstheme="majorBidi"/>
          <w:color w:val="000000" w:themeColor="text1"/>
        </w:rPr>
        <w:t xml:space="preserve"> literature</w:t>
      </w:r>
      <w:r w:rsidR="00590F77" w:rsidRPr="005103A1">
        <w:rPr>
          <w:rFonts w:asciiTheme="majorBidi" w:hAnsiTheme="majorBidi" w:cstheme="majorBidi"/>
          <w:color w:val="000000" w:themeColor="text1"/>
        </w:rPr>
        <w:t>, as follows</w:t>
      </w:r>
      <w:r w:rsidR="008660F6" w:rsidRPr="005103A1">
        <w:rPr>
          <w:rFonts w:asciiTheme="majorBidi" w:hAnsiTheme="majorBidi" w:cstheme="majorBidi"/>
          <w:color w:val="000000" w:themeColor="text1"/>
        </w:rPr>
        <w:t xml:space="preserve">. </w:t>
      </w:r>
    </w:p>
    <w:p w14:paraId="1D3EF045" w14:textId="5431FA95" w:rsidR="00AB4406" w:rsidRPr="005103A1" w:rsidRDefault="00EB110E" w:rsidP="00D01AE7">
      <w:pPr>
        <w:spacing w:after="0" w:line="480" w:lineRule="auto"/>
        <w:ind w:firstLine="720"/>
        <w:jc w:val="both"/>
        <w:rPr>
          <w:rFonts w:asciiTheme="majorBidi" w:hAnsiTheme="majorBidi" w:cstheme="majorBidi"/>
          <w:color w:val="000000" w:themeColor="text1"/>
        </w:rPr>
      </w:pPr>
      <w:r w:rsidRPr="005103A1">
        <w:rPr>
          <w:rFonts w:asciiTheme="majorBidi" w:hAnsiTheme="majorBidi" w:cstheme="majorBidi"/>
          <w:color w:val="000000" w:themeColor="text1"/>
        </w:rPr>
        <w:t xml:space="preserve">First, </w:t>
      </w:r>
      <w:r w:rsidR="00E66E0F" w:rsidRPr="005103A1">
        <w:rPr>
          <w:rFonts w:asciiTheme="majorBidi" w:hAnsiTheme="majorBidi" w:cstheme="majorBidi"/>
          <w:color w:val="000000" w:themeColor="text1"/>
        </w:rPr>
        <w:t>our results</w:t>
      </w:r>
      <w:r w:rsidR="00C435A3" w:rsidRPr="005103A1">
        <w:rPr>
          <w:rFonts w:asciiTheme="majorBidi" w:hAnsiTheme="majorBidi" w:cstheme="majorBidi"/>
          <w:color w:val="000000" w:themeColor="text1"/>
        </w:rPr>
        <w:t xml:space="preserve"> contribute to existing literature by</w:t>
      </w:r>
      <w:r w:rsidR="00E66E0F" w:rsidRPr="005103A1">
        <w:rPr>
          <w:rFonts w:asciiTheme="majorBidi" w:hAnsiTheme="majorBidi" w:cstheme="majorBidi"/>
          <w:color w:val="000000" w:themeColor="text1"/>
        </w:rPr>
        <w:t xml:space="preserve"> </w:t>
      </w:r>
      <w:r w:rsidR="00670E35" w:rsidRPr="005103A1">
        <w:rPr>
          <w:rFonts w:asciiTheme="majorBidi" w:hAnsiTheme="majorBidi" w:cstheme="majorBidi"/>
          <w:color w:val="000000" w:themeColor="text1"/>
        </w:rPr>
        <w:t>suggest</w:t>
      </w:r>
      <w:r w:rsidR="00C435A3" w:rsidRPr="005103A1">
        <w:rPr>
          <w:rFonts w:asciiTheme="majorBidi" w:hAnsiTheme="majorBidi" w:cstheme="majorBidi"/>
          <w:color w:val="000000" w:themeColor="text1"/>
        </w:rPr>
        <w:t>ing</w:t>
      </w:r>
      <w:r w:rsidR="00670E35" w:rsidRPr="005103A1">
        <w:rPr>
          <w:rFonts w:asciiTheme="majorBidi" w:hAnsiTheme="majorBidi" w:cstheme="majorBidi"/>
          <w:color w:val="000000" w:themeColor="text1"/>
        </w:rPr>
        <w:t xml:space="preserve"> that </w:t>
      </w:r>
      <w:r w:rsidR="00787800">
        <w:rPr>
          <w:rFonts w:asciiTheme="majorBidi" w:hAnsiTheme="majorBidi" w:cstheme="majorBidi"/>
          <w:color w:val="000000" w:themeColor="text1"/>
        </w:rPr>
        <w:t xml:space="preserve">(symbolic) </w:t>
      </w:r>
      <w:r w:rsidR="00670E35" w:rsidRPr="005103A1">
        <w:rPr>
          <w:rFonts w:asciiTheme="majorBidi" w:hAnsiTheme="majorBidi" w:cstheme="majorBidi"/>
          <w:color w:val="000000" w:themeColor="text1"/>
        </w:rPr>
        <w:t>process-oriented</w:t>
      </w:r>
      <w:r w:rsidR="00244838" w:rsidRPr="005103A1">
        <w:rPr>
          <w:rFonts w:asciiTheme="majorBidi" w:hAnsiTheme="majorBidi" w:cstheme="majorBidi"/>
          <w:color w:val="000000" w:themeColor="text1"/>
        </w:rPr>
        <w:t xml:space="preserve"> carbon reduction initiatives</w:t>
      </w:r>
      <w:r w:rsidR="00670E35" w:rsidRPr="005103A1">
        <w:rPr>
          <w:rFonts w:asciiTheme="majorBidi" w:hAnsiTheme="majorBidi" w:cstheme="majorBidi"/>
          <w:color w:val="000000" w:themeColor="text1"/>
        </w:rPr>
        <w:t xml:space="preserve"> rather than an actual</w:t>
      </w:r>
      <w:r w:rsidR="00787800">
        <w:rPr>
          <w:rFonts w:asciiTheme="majorBidi" w:hAnsiTheme="majorBidi" w:cstheme="majorBidi"/>
          <w:color w:val="000000" w:themeColor="text1"/>
        </w:rPr>
        <w:t xml:space="preserve"> (substantive)</w:t>
      </w:r>
      <w:r w:rsidR="00670E35" w:rsidRPr="005103A1">
        <w:rPr>
          <w:rFonts w:asciiTheme="majorBidi" w:hAnsiTheme="majorBidi" w:cstheme="majorBidi"/>
          <w:color w:val="000000" w:themeColor="text1"/>
        </w:rPr>
        <w:t xml:space="preserve"> </w:t>
      </w:r>
      <w:r w:rsidR="00962F89" w:rsidRPr="005103A1">
        <w:rPr>
          <w:rFonts w:asciiTheme="majorBidi" w:hAnsiTheme="majorBidi" w:cstheme="majorBidi"/>
          <w:color w:val="000000" w:themeColor="text1"/>
        </w:rPr>
        <w:t>CP</w:t>
      </w:r>
      <w:r w:rsidR="00670E35" w:rsidRPr="005103A1">
        <w:rPr>
          <w:rFonts w:asciiTheme="majorBidi" w:hAnsiTheme="majorBidi" w:cstheme="majorBidi"/>
          <w:color w:val="000000" w:themeColor="text1"/>
        </w:rPr>
        <w:t xml:space="preserve"> (reduced GHG emissions), is positively associated </w:t>
      </w:r>
      <w:r w:rsidR="00E66E0F" w:rsidRPr="005103A1">
        <w:rPr>
          <w:rFonts w:asciiTheme="majorBidi" w:hAnsiTheme="majorBidi" w:cstheme="majorBidi"/>
          <w:color w:val="000000" w:themeColor="text1"/>
        </w:rPr>
        <w:t xml:space="preserve">with </w:t>
      </w:r>
      <w:r w:rsidR="00454E6D" w:rsidRPr="005103A1">
        <w:rPr>
          <w:rFonts w:asciiTheme="majorBidi" w:hAnsiTheme="majorBidi" w:cstheme="majorBidi"/>
          <w:color w:val="000000" w:themeColor="text1"/>
        </w:rPr>
        <w:t>MV</w:t>
      </w:r>
      <w:r w:rsidR="00BD4D0F" w:rsidRPr="005103A1">
        <w:rPr>
          <w:rFonts w:asciiTheme="majorBidi" w:hAnsiTheme="majorBidi" w:cstheme="majorBidi"/>
          <w:color w:val="000000" w:themeColor="text1"/>
        </w:rPr>
        <w:t xml:space="preserve">, and this relationship is moderated by the level of </w:t>
      </w:r>
      <w:r w:rsidR="00962F89" w:rsidRPr="005103A1">
        <w:rPr>
          <w:rFonts w:asciiTheme="majorBidi" w:hAnsiTheme="majorBidi" w:cstheme="majorBidi"/>
          <w:color w:val="000000" w:themeColor="text1"/>
        </w:rPr>
        <w:t>EC</w:t>
      </w:r>
      <w:r w:rsidR="00670E35" w:rsidRPr="005103A1">
        <w:rPr>
          <w:rFonts w:asciiTheme="majorBidi" w:hAnsiTheme="majorBidi" w:cstheme="majorBidi"/>
          <w:color w:val="000000" w:themeColor="text1"/>
        </w:rPr>
        <w:t>.</w:t>
      </w:r>
      <w:r w:rsidR="00903A05" w:rsidRPr="005103A1">
        <w:rPr>
          <w:rFonts w:asciiTheme="majorBidi" w:hAnsiTheme="majorBidi" w:cstheme="majorBidi"/>
          <w:color w:val="000000" w:themeColor="text1"/>
        </w:rPr>
        <w:t xml:space="preserve"> </w:t>
      </w:r>
      <w:r w:rsidR="005152AD" w:rsidRPr="005103A1">
        <w:rPr>
          <w:rFonts w:asciiTheme="majorBidi" w:hAnsiTheme="majorBidi" w:cstheme="majorBidi"/>
          <w:color w:val="000000" w:themeColor="text1"/>
        </w:rPr>
        <w:t xml:space="preserve">Second, </w:t>
      </w:r>
      <w:r w:rsidR="00C435A3" w:rsidRPr="005103A1">
        <w:rPr>
          <w:rFonts w:asciiTheme="majorBidi" w:hAnsiTheme="majorBidi" w:cstheme="majorBidi"/>
          <w:color w:val="000000" w:themeColor="text1"/>
        </w:rPr>
        <w:t xml:space="preserve">we show that </w:t>
      </w:r>
      <w:r w:rsidR="00962F89" w:rsidRPr="005103A1">
        <w:rPr>
          <w:rFonts w:asciiTheme="majorBidi" w:hAnsiTheme="majorBidi" w:cstheme="majorBidi"/>
          <w:color w:val="000000" w:themeColor="text1"/>
        </w:rPr>
        <w:t>EC</w:t>
      </w:r>
      <w:r w:rsidR="00B26EA9" w:rsidRPr="005103A1">
        <w:rPr>
          <w:rFonts w:asciiTheme="majorBidi" w:hAnsiTheme="majorBidi" w:cstheme="majorBidi"/>
          <w:color w:val="000000" w:themeColor="text1"/>
        </w:rPr>
        <w:t xml:space="preserve"> has a positive relationship with process-oriented</w:t>
      </w:r>
      <w:r w:rsidR="000A4D4D" w:rsidRPr="005103A1">
        <w:rPr>
          <w:rFonts w:asciiTheme="majorBidi" w:hAnsiTheme="majorBidi" w:cstheme="majorBidi"/>
          <w:color w:val="000000" w:themeColor="text1"/>
        </w:rPr>
        <w:t xml:space="preserve"> </w:t>
      </w:r>
      <w:r w:rsidR="00962F89" w:rsidRPr="005103A1">
        <w:rPr>
          <w:rFonts w:asciiTheme="majorBidi" w:hAnsiTheme="majorBidi" w:cstheme="majorBidi"/>
          <w:color w:val="000000" w:themeColor="text1"/>
        </w:rPr>
        <w:t>CP</w:t>
      </w:r>
      <w:r w:rsidR="00BD4D0F" w:rsidRPr="005103A1">
        <w:rPr>
          <w:rFonts w:asciiTheme="majorBidi" w:hAnsiTheme="majorBidi" w:cstheme="majorBidi"/>
          <w:color w:val="000000" w:themeColor="text1"/>
        </w:rPr>
        <w:t>, and this relationship is reinforced for firms that adopt ESG-based compensation policy</w:t>
      </w:r>
      <w:r w:rsidR="003D615A" w:rsidRPr="005103A1">
        <w:rPr>
          <w:rFonts w:asciiTheme="majorBidi" w:hAnsiTheme="majorBidi" w:cstheme="majorBidi"/>
          <w:color w:val="000000" w:themeColor="text1"/>
        </w:rPr>
        <w:t>.</w:t>
      </w:r>
      <w:r w:rsidR="00B26EA9" w:rsidRPr="005103A1">
        <w:rPr>
          <w:rFonts w:asciiTheme="majorBidi" w:hAnsiTheme="majorBidi" w:cstheme="majorBidi"/>
          <w:color w:val="000000" w:themeColor="text1"/>
        </w:rPr>
        <w:t xml:space="preserve"> </w:t>
      </w:r>
      <w:r w:rsidR="007E1D57" w:rsidRPr="005103A1">
        <w:rPr>
          <w:rFonts w:asciiTheme="majorBidi" w:hAnsiTheme="majorBidi" w:cstheme="majorBidi"/>
          <w:color w:val="000000" w:themeColor="text1"/>
        </w:rPr>
        <w:t xml:space="preserve">Third, </w:t>
      </w:r>
      <w:r w:rsidR="000A4D4D" w:rsidRPr="005103A1">
        <w:rPr>
          <w:rFonts w:asciiTheme="majorBidi" w:hAnsiTheme="majorBidi" w:cstheme="majorBidi"/>
          <w:color w:val="000000" w:themeColor="text1"/>
        </w:rPr>
        <w:t xml:space="preserve">our results suggest that </w:t>
      </w:r>
      <w:r w:rsidR="00F1500C" w:rsidRPr="005103A1">
        <w:rPr>
          <w:rFonts w:asciiTheme="majorBidi" w:hAnsiTheme="majorBidi" w:cstheme="majorBidi"/>
          <w:color w:val="000000" w:themeColor="text1"/>
        </w:rPr>
        <w:t xml:space="preserve">the level of </w:t>
      </w:r>
      <w:r w:rsidR="00962F89" w:rsidRPr="005103A1">
        <w:rPr>
          <w:rFonts w:asciiTheme="majorBidi" w:hAnsiTheme="majorBidi" w:cstheme="majorBidi"/>
          <w:color w:val="000000" w:themeColor="text1"/>
        </w:rPr>
        <w:t>EC</w:t>
      </w:r>
      <w:r w:rsidR="00F1500C" w:rsidRPr="005103A1">
        <w:rPr>
          <w:rFonts w:asciiTheme="majorBidi" w:hAnsiTheme="majorBidi" w:cstheme="majorBidi"/>
          <w:color w:val="000000" w:themeColor="text1"/>
        </w:rPr>
        <w:t xml:space="preserve"> and </w:t>
      </w:r>
      <w:r w:rsidR="000A4D4D" w:rsidRPr="005103A1">
        <w:rPr>
          <w:rFonts w:asciiTheme="majorBidi" w:hAnsiTheme="majorBidi" w:cstheme="majorBidi"/>
          <w:color w:val="000000" w:themeColor="text1"/>
        </w:rPr>
        <w:t xml:space="preserve">ESG-based compensation policy do not </w:t>
      </w:r>
      <w:r w:rsidR="00F1500C" w:rsidRPr="005103A1">
        <w:rPr>
          <w:rFonts w:asciiTheme="majorBidi" w:hAnsiTheme="majorBidi" w:cstheme="majorBidi"/>
          <w:color w:val="000000" w:themeColor="text1"/>
        </w:rPr>
        <w:t xml:space="preserve">seem to have statistically significant relationship with </w:t>
      </w:r>
      <w:r w:rsidR="00FA6857" w:rsidRPr="005103A1">
        <w:rPr>
          <w:rFonts w:asciiTheme="majorBidi" w:hAnsiTheme="majorBidi" w:cstheme="majorBidi"/>
          <w:color w:val="000000" w:themeColor="text1"/>
        </w:rPr>
        <w:t>actual reductions in GHG emissions.</w:t>
      </w:r>
      <w:r w:rsidR="002C2AD3" w:rsidRPr="005103A1">
        <w:rPr>
          <w:rFonts w:asciiTheme="majorBidi" w:hAnsiTheme="majorBidi" w:cstheme="majorBidi"/>
          <w:color w:val="000000" w:themeColor="text1"/>
        </w:rPr>
        <w:t xml:space="preserve"> </w:t>
      </w:r>
      <w:r w:rsidR="004449BC">
        <w:rPr>
          <w:rFonts w:asciiTheme="majorBidi" w:hAnsiTheme="majorBidi" w:cstheme="majorBidi"/>
          <w:color w:val="000000" w:themeColor="text1"/>
        </w:rPr>
        <w:t>Fourth, unlike other studies, we provide evidence of a direct relationship between CP and MV</w:t>
      </w:r>
      <w:r w:rsidR="007B1760">
        <w:rPr>
          <w:rFonts w:asciiTheme="majorBidi" w:hAnsiTheme="majorBidi" w:cstheme="majorBidi"/>
          <w:color w:val="000000" w:themeColor="text1"/>
        </w:rPr>
        <w:t>;</w:t>
      </w:r>
      <w:r w:rsidR="004449BC">
        <w:rPr>
          <w:rFonts w:asciiTheme="majorBidi" w:hAnsiTheme="majorBidi" w:cstheme="majorBidi"/>
          <w:color w:val="000000" w:themeColor="text1"/>
        </w:rPr>
        <w:t xml:space="preserve"> and between EC and CP, and show how these relationships </w:t>
      </w:r>
      <w:r w:rsidR="00041B3B">
        <w:rPr>
          <w:rFonts w:asciiTheme="majorBidi" w:hAnsiTheme="majorBidi" w:cstheme="majorBidi"/>
          <w:color w:val="000000" w:themeColor="text1"/>
        </w:rPr>
        <w:t>are m</w:t>
      </w:r>
      <w:r w:rsidR="004449BC">
        <w:rPr>
          <w:rFonts w:asciiTheme="majorBidi" w:hAnsiTheme="majorBidi" w:cstheme="majorBidi"/>
          <w:color w:val="000000" w:themeColor="text1"/>
        </w:rPr>
        <w:t>oderated by EC and ESG</w:t>
      </w:r>
      <w:r w:rsidR="0046396B">
        <w:rPr>
          <w:rFonts w:asciiTheme="majorBidi" w:hAnsiTheme="majorBidi" w:cstheme="majorBidi"/>
          <w:color w:val="000000" w:themeColor="text1"/>
        </w:rPr>
        <w:t xml:space="preserve"> policy</w:t>
      </w:r>
      <w:r w:rsidR="004449BC">
        <w:rPr>
          <w:rFonts w:asciiTheme="majorBidi" w:hAnsiTheme="majorBidi" w:cstheme="majorBidi"/>
          <w:color w:val="000000" w:themeColor="text1"/>
        </w:rPr>
        <w:t xml:space="preserve">, respectively. </w:t>
      </w:r>
      <w:r w:rsidR="00787800">
        <w:rPr>
          <w:rFonts w:asciiTheme="majorBidi" w:hAnsiTheme="majorBidi" w:cstheme="majorBidi"/>
          <w:color w:val="000000" w:themeColor="text1"/>
        </w:rPr>
        <w:t xml:space="preserve">We are among the first to </w:t>
      </w:r>
      <w:r w:rsidR="007B1760">
        <w:rPr>
          <w:rFonts w:asciiTheme="majorBidi" w:hAnsiTheme="majorBidi" w:cstheme="majorBidi"/>
          <w:color w:val="000000" w:themeColor="text1"/>
        </w:rPr>
        <w:t>utilise</w:t>
      </w:r>
      <w:r w:rsidR="00787800">
        <w:rPr>
          <w:rFonts w:asciiTheme="majorBidi" w:hAnsiTheme="majorBidi" w:cstheme="majorBidi"/>
          <w:color w:val="000000" w:themeColor="text1"/>
        </w:rPr>
        <w:t xml:space="preserve"> NIT to explain </w:t>
      </w:r>
      <w:r w:rsidR="008E7970">
        <w:rPr>
          <w:rFonts w:asciiTheme="majorBidi" w:hAnsiTheme="majorBidi" w:cstheme="majorBidi"/>
          <w:color w:val="000000" w:themeColor="text1"/>
        </w:rPr>
        <w:t xml:space="preserve">the </w:t>
      </w:r>
      <w:r w:rsidR="00787800">
        <w:rPr>
          <w:rFonts w:asciiTheme="majorBidi" w:hAnsiTheme="majorBidi" w:cstheme="majorBidi"/>
          <w:color w:val="000000" w:themeColor="text1"/>
        </w:rPr>
        <w:t>complex interrelationships among symbolic and substantive aspects of carbon performance</w:t>
      </w:r>
      <w:r w:rsidR="007B1760">
        <w:rPr>
          <w:rFonts w:asciiTheme="majorBidi" w:hAnsiTheme="majorBidi" w:cstheme="majorBidi"/>
          <w:color w:val="000000" w:themeColor="text1"/>
        </w:rPr>
        <w:t>,</w:t>
      </w:r>
      <w:r w:rsidR="00787800">
        <w:rPr>
          <w:rFonts w:asciiTheme="majorBidi" w:hAnsiTheme="majorBidi" w:cstheme="majorBidi"/>
          <w:color w:val="000000" w:themeColor="text1"/>
        </w:rPr>
        <w:t xml:space="preserve"> as well as incentives and market value measures. </w:t>
      </w:r>
      <w:r w:rsidR="002C2AD3" w:rsidRPr="005103A1">
        <w:rPr>
          <w:rFonts w:asciiTheme="majorBidi" w:hAnsiTheme="majorBidi" w:cstheme="majorBidi"/>
          <w:color w:val="000000" w:themeColor="text1"/>
        </w:rPr>
        <w:t>O</w:t>
      </w:r>
      <w:r w:rsidR="00AB4406" w:rsidRPr="005103A1">
        <w:rPr>
          <w:rFonts w:asciiTheme="majorBidi" w:hAnsiTheme="majorBidi" w:cstheme="majorBidi"/>
          <w:color w:val="000000" w:themeColor="text1"/>
        </w:rPr>
        <w:t>ur results</w:t>
      </w:r>
      <w:r w:rsidR="002A12D7" w:rsidRPr="005103A1">
        <w:rPr>
          <w:rFonts w:asciiTheme="majorBidi" w:hAnsiTheme="majorBidi" w:cstheme="majorBidi"/>
          <w:color w:val="000000" w:themeColor="text1"/>
        </w:rPr>
        <w:t xml:space="preserve"> offer empirical</w:t>
      </w:r>
      <w:r w:rsidR="001D0192" w:rsidRPr="005103A1">
        <w:rPr>
          <w:rFonts w:asciiTheme="majorBidi" w:hAnsiTheme="majorBidi" w:cstheme="majorBidi"/>
          <w:color w:val="000000" w:themeColor="text1"/>
        </w:rPr>
        <w:t xml:space="preserve"> support</w:t>
      </w:r>
      <w:r w:rsidR="002A12D7" w:rsidRPr="005103A1">
        <w:rPr>
          <w:rFonts w:asciiTheme="majorBidi" w:hAnsiTheme="majorBidi" w:cstheme="majorBidi"/>
          <w:color w:val="000000" w:themeColor="text1"/>
        </w:rPr>
        <w:t xml:space="preserve"> for</w:t>
      </w:r>
      <w:r w:rsidR="00B65296" w:rsidRPr="005103A1">
        <w:rPr>
          <w:rFonts w:asciiTheme="majorBidi" w:hAnsiTheme="majorBidi" w:cstheme="majorBidi"/>
          <w:color w:val="000000" w:themeColor="text1"/>
        </w:rPr>
        <w:t xml:space="preserve"> </w:t>
      </w:r>
      <w:r w:rsidR="0008407D" w:rsidRPr="005103A1">
        <w:rPr>
          <w:rFonts w:asciiTheme="majorBidi" w:hAnsiTheme="majorBidi" w:cstheme="majorBidi"/>
          <w:color w:val="000000" w:themeColor="text1"/>
        </w:rPr>
        <w:t xml:space="preserve">the </w:t>
      </w:r>
      <w:r w:rsidR="002A12D7" w:rsidRPr="005103A1">
        <w:rPr>
          <w:rFonts w:asciiTheme="majorBidi" w:hAnsiTheme="majorBidi" w:cstheme="majorBidi"/>
          <w:color w:val="000000" w:themeColor="text1"/>
        </w:rPr>
        <w:t>legitimation/</w:t>
      </w:r>
      <w:r w:rsidR="00F72198">
        <w:rPr>
          <w:rFonts w:asciiTheme="majorBidi" w:hAnsiTheme="majorBidi" w:cstheme="majorBidi"/>
          <w:color w:val="000000" w:themeColor="text1"/>
        </w:rPr>
        <w:t>social</w:t>
      </w:r>
      <w:r w:rsidR="002A12D7" w:rsidRPr="005103A1">
        <w:rPr>
          <w:rFonts w:asciiTheme="majorBidi" w:hAnsiTheme="majorBidi" w:cstheme="majorBidi"/>
          <w:color w:val="000000" w:themeColor="text1"/>
        </w:rPr>
        <w:t xml:space="preserve"> </w:t>
      </w:r>
      <w:r w:rsidR="0008407D" w:rsidRPr="005103A1">
        <w:rPr>
          <w:rFonts w:asciiTheme="majorBidi" w:hAnsiTheme="majorBidi" w:cstheme="majorBidi"/>
          <w:color w:val="000000" w:themeColor="text1"/>
        </w:rPr>
        <w:t xml:space="preserve">view of </w:t>
      </w:r>
      <w:r w:rsidR="005E7359" w:rsidRPr="005103A1">
        <w:rPr>
          <w:rFonts w:asciiTheme="majorBidi" w:hAnsiTheme="majorBidi" w:cstheme="majorBidi"/>
          <w:color w:val="000000" w:themeColor="text1"/>
        </w:rPr>
        <w:t>NIT</w:t>
      </w:r>
      <w:r w:rsidR="003E18D9" w:rsidRPr="005103A1">
        <w:rPr>
          <w:rFonts w:asciiTheme="majorBidi" w:hAnsiTheme="majorBidi" w:cstheme="majorBidi"/>
          <w:color w:val="000000" w:themeColor="text1"/>
        </w:rPr>
        <w:t xml:space="preserve"> </w:t>
      </w:r>
      <w:r w:rsidR="005C19A4" w:rsidRPr="005103A1">
        <w:rPr>
          <w:rFonts w:asciiTheme="majorBidi" w:hAnsiTheme="majorBidi" w:cstheme="majorBidi"/>
          <w:color w:val="000000" w:themeColor="text1"/>
        </w:rPr>
        <w:t xml:space="preserve">in that </w:t>
      </w:r>
      <w:r w:rsidR="00CB75B8" w:rsidRPr="005103A1">
        <w:rPr>
          <w:rFonts w:asciiTheme="majorBidi" w:hAnsiTheme="majorBidi" w:cstheme="majorBidi"/>
          <w:color w:val="000000" w:themeColor="text1"/>
        </w:rPr>
        <w:t xml:space="preserve">firms </w:t>
      </w:r>
      <w:r w:rsidR="002A12D7" w:rsidRPr="005103A1">
        <w:rPr>
          <w:rFonts w:asciiTheme="majorBidi" w:hAnsiTheme="majorBidi" w:cstheme="majorBidi"/>
          <w:color w:val="000000" w:themeColor="text1"/>
        </w:rPr>
        <w:t xml:space="preserve">appear to </w:t>
      </w:r>
      <w:r w:rsidR="004320A0" w:rsidRPr="005103A1">
        <w:rPr>
          <w:rFonts w:asciiTheme="majorBidi" w:hAnsiTheme="majorBidi" w:cstheme="majorBidi"/>
          <w:color w:val="000000" w:themeColor="text1"/>
        </w:rPr>
        <w:t xml:space="preserve">symbolically </w:t>
      </w:r>
      <w:r w:rsidR="00CB75B8" w:rsidRPr="005103A1">
        <w:rPr>
          <w:rFonts w:asciiTheme="majorBidi" w:hAnsiTheme="majorBidi" w:cstheme="majorBidi"/>
          <w:color w:val="000000" w:themeColor="text1"/>
        </w:rPr>
        <w:t>focus on</w:t>
      </w:r>
      <w:r w:rsidR="00B65296" w:rsidRPr="005103A1">
        <w:rPr>
          <w:rFonts w:asciiTheme="majorBidi" w:hAnsiTheme="majorBidi" w:cstheme="majorBidi"/>
          <w:color w:val="000000" w:themeColor="text1"/>
        </w:rPr>
        <w:t xml:space="preserve"> </w:t>
      </w:r>
      <w:r w:rsidR="004320A0" w:rsidRPr="005103A1">
        <w:rPr>
          <w:rFonts w:asciiTheme="majorBidi" w:hAnsiTheme="majorBidi" w:cstheme="majorBidi"/>
          <w:color w:val="000000" w:themeColor="text1"/>
        </w:rPr>
        <w:t xml:space="preserve">process-oriented </w:t>
      </w:r>
      <w:r w:rsidR="00B65296" w:rsidRPr="005103A1">
        <w:rPr>
          <w:rFonts w:asciiTheme="majorBidi" w:hAnsiTheme="majorBidi" w:cstheme="majorBidi"/>
          <w:color w:val="000000" w:themeColor="text1"/>
        </w:rPr>
        <w:t xml:space="preserve">carbon reduction initiatives </w:t>
      </w:r>
      <w:r w:rsidR="004320A0" w:rsidRPr="005103A1">
        <w:rPr>
          <w:rFonts w:asciiTheme="majorBidi" w:hAnsiTheme="majorBidi" w:cstheme="majorBidi"/>
          <w:color w:val="000000" w:themeColor="text1"/>
        </w:rPr>
        <w:t xml:space="preserve">in order </w:t>
      </w:r>
      <w:r w:rsidR="00B65296" w:rsidRPr="005103A1">
        <w:rPr>
          <w:rFonts w:asciiTheme="majorBidi" w:hAnsiTheme="majorBidi" w:cstheme="majorBidi"/>
          <w:color w:val="000000" w:themeColor="text1"/>
        </w:rPr>
        <w:t>to enhance corporate legitimacy and improve investors’ perceptions</w:t>
      </w:r>
      <w:r w:rsidR="004320A0" w:rsidRPr="005103A1">
        <w:rPr>
          <w:rFonts w:asciiTheme="majorBidi" w:hAnsiTheme="majorBidi" w:cstheme="majorBidi"/>
          <w:color w:val="000000" w:themeColor="text1"/>
        </w:rPr>
        <w:t xml:space="preserve"> rather than implement</w:t>
      </w:r>
      <w:r w:rsidR="00C435A3" w:rsidRPr="005103A1">
        <w:rPr>
          <w:rFonts w:asciiTheme="majorBidi" w:hAnsiTheme="majorBidi" w:cstheme="majorBidi"/>
          <w:color w:val="000000" w:themeColor="text1"/>
        </w:rPr>
        <w:t>ing</w:t>
      </w:r>
      <w:r w:rsidR="004320A0" w:rsidRPr="005103A1">
        <w:rPr>
          <w:rFonts w:asciiTheme="majorBidi" w:hAnsiTheme="majorBidi" w:cstheme="majorBidi"/>
          <w:color w:val="000000" w:themeColor="text1"/>
        </w:rPr>
        <w:t xml:space="preserve"> substantive carbon reduction initiatives that can bring about </w:t>
      </w:r>
      <w:r w:rsidR="00F95353" w:rsidRPr="005103A1">
        <w:rPr>
          <w:rFonts w:asciiTheme="majorBidi" w:hAnsiTheme="majorBidi" w:cstheme="majorBidi"/>
          <w:color w:val="000000" w:themeColor="text1"/>
        </w:rPr>
        <w:lastRenderedPageBreak/>
        <w:t xml:space="preserve">significant improvement </w:t>
      </w:r>
      <w:r w:rsidR="00C435A3" w:rsidRPr="005103A1">
        <w:rPr>
          <w:rFonts w:asciiTheme="majorBidi" w:hAnsiTheme="majorBidi" w:cstheme="majorBidi"/>
          <w:color w:val="000000" w:themeColor="text1"/>
        </w:rPr>
        <w:t xml:space="preserve">in </w:t>
      </w:r>
      <w:r w:rsidR="00F95353" w:rsidRPr="005103A1">
        <w:rPr>
          <w:rFonts w:asciiTheme="majorBidi" w:hAnsiTheme="majorBidi" w:cstheme="majorBidi"/>
          <w:color w:val="000000" w:themeColor="text1"/>
        </w:rPr>
        <w:t xml:space="preserve">actual </w:t>
      </w:r>
      <w:r w:rsidR="00454E6D" w:rsidRPr="005103A1">
        <w:rPr>
          <w:rFonts w:asciiTheme="majorBidi" w:hAnsiTheme="majorBidi" w:cstheme="majorBidi"/>
          <w:color w:val="000000" w:themeColor="text1"/>
        </w:rPr>
        <w:t>CP</w:t>
      </w:r>
      <w:r w:rsidR="00F95353" w:rsidRPr="005103A1">
        <w:rPr>
          <w:rFonts w:asciiTheme="majorBidi" w:hAnsiTheme="majorBidi" w:cstheme="majorBidi"/>
          <w:color w:val="000000" w:themeColor="text1"/>
        </w:rPr>
        <w:t xml:space="preserve">. </w:t>
      </w:r>
      <w:r w:rsidR="007B1760">
        <w:rPr>
          <w:rFonts w:asciiTheme="majorBidi" w:hAnsiTheme="majorBidi" w:cstheme="majorBidi"/>
          <w:color w:val="000000" w:themeColor="text1"/>
        </w:rPr>
        <w:t>By contrast, we find limited evidence supporting the efficiency/economic view of NIT that firms may engage in substantive environmental management that can increase their efficiency by reducing carbon emissions and costs.</w:t>
      </w:r>
    </w:p>
    <w:p w14:paraId="5B2F89B4" w14:textId="0E36E70D" w:rsidR="002A12D7" w:rsidRPr="005103A1" w:rsidRDefault="00A3612E" w:rsidP="0064103E">
      <w:pPr>
        <w:spacing w:after="0" w:line="480" w:lineRule="auto"/>
        <w:ind w:firstLine="720"/>
        <w:jc w:val="both"/>
        <w:rPr>
          <w:rFonts w:asciiTheme="majorBidi" w:hAnsiTheme="majorBidi" w:cstheme="majorBidi"/>
          <w:lang w:val="en-US"/>
        </w:rPr>
      </w:pPr>
      <w:r w:rsidRPr="005103A1">
        <w:rPr>
          <w:rFonts w:asciiTheme="majorBidi" w:hAnsiTheme="majorBidi" w:cstheme="majorBidi"/>
          <w:color w:val="000000" w:themeColor="text1"/>
        </w:rPr>
        <w:t xml:space="preserve">Our findings have a number of policy implications. First, </w:t>
      </w:r>
      <w:r w:rsidR="00262982" w:rsidRPr="005103A1">
        <w:rPr>
          <w:rFonts w:asciiTheme="majorBidi" w:hAnsiTheme="majorBidi" w:cstheme="majorBidi"/>
          <w:color w:val="000000" w:themeColor="text1"/>
        </w:rPr>
        <w:t>o</w:t>
      </w:r>
      <w:r w:rsidR="00262982" w:rsidRPr="005103A1">
        <w:rPr>
          <w:rFonts w:asciiTheme="majorBidi" w:hAnsiTheme="majorBidi" w:cstheme="majorBidi"/>
        </w:rPr>
        <w:t xml:space="preserve">ur evidence suggests that firms might focus on demonstrating superior process-oriented carbon reduction initiatives to improve </w:t>
      </w:r>
      <w:r w:rsidR="00262982" w:rsidRPr="005103A1">
        <w:rPr>
          <w:rFonts w:asciiTheme="majorBidi" w:hAnsiTheme="majorBidi" w:cstheme="majorBidi"/>
          <w:color w:val="000000" w:themeColor="text1"/>
        </w:rPr>
        <w:t>environmental legitimacy and</w:t>
      </w:r>
      <w:r w:rsidR="00454E6D" w:rsidRPr="005103A1">
        <w:rPr>
          <w:rFonts w:asciiTheme="majorBidi" w:hAnsiTheme="majorBidi" w:cstheme="majorBidi"/>
        </w:rPr>
        <w:t xml:space="preserve"> </w:t>
      </w:r>
      <w:proofErr w:type="gramStart"/>
      <w:r w:rsidR="00454E6D" w:rsidRPr="005103A1">
        <w:rPr>
          <w:rFonts w:asciiTheme="majorBidi" w:hAnsiTheme="majorBidi" w:cstheme="majorBidi"/>
        </w:rPr>
        <w:t>MV</w:t>
      </w:r>
      <w:r w:rsidR="00262982" w:rsidRPr="005103A1">
        <w:rPr>
          <w:rFonts w:asciiTheme="majorBidi" w:hAnsiTheme="majorBidi" w:cstheme="majorBidi"/>
        </w:rPr>
        <w:t>,</w:t>
      </w:r>
      <w:r w:rsidR="00031A0A">
        <w:rPr>
          <w:rFonts w:asciiTheme="majorBidi" w:hAnsiTheme="majorBidi" w:cstheme="majorBidi"/>
        </w:rPr>
        <w:t xml:space="preserve"> </w:t>
      </w:r>
      <w:r w:rsidR="004370AC" w:rsidRPr="005103A1">
        <w:rPr>
          <w:rFonts w:asciiTheme="majorBidi" w:hAnsiTheme="majorBidi" w:cstheme="majorBidi"/>
        </w:rPr>
        <w:t>but</w:t>
      </w:r>
      <w:proofErr w:type="gramEnd"/>
      <w:r w:rsidR="004370AC" w:rsidRPr="005103A1">
        <w:rPr>
          <w:rFonts w:asciiTheme="majorBidi" w:hAnsiTheme="majorBidi" w:cstheme="majorBidi"/>
        </w:rPr>
        <w:t xml:space="preserve"> </w:t>
      </w:r>
      <w:r w:rsidR="004C3FD5">
        <w:rPr>
          <w:rFonts w:asciiTheme="majorBidi" w:hAnsiTheme="majorBidi" w:cstheme="majorBidi"/>
        </w:rPr>
        <w:t>may</w:t>
      </w:r>
      <w:r w:rsidR="004370AC" w:rsidRPr="005103A1">
        <w:rPr>
          <w:rFonts w:asciiTheme="majorBidi" w:hAnsiTheme="majorBidi" w:cstheme="majorBidi"/>
        </w:rPr>
        <w:t xml:space="preserve"> not be</w:t>
      </w:r>
      <w:r w:rsidR="004D457D">
        <w:rPr>
          <w:rFonts w:asciiTheme="majorBidi" w:hAnsiTheme="majorBidi" w:cstheme="majorBidi"/>
        </w:rPr>
        <w:t xml:space="preserve"> necessarily</w:t>
      </w:r>
      <w:r w:rsidR="004370AC" w:rsidRPr="005103A1">
        <w:rPr>
          <w:rFonts w:asciiTheme="majorBidi" w:hAnsiTheme="majorBidi" w:cstheme="majorBidi"/>
        </w:rPr>
        <w:t xml:space="preserve"> </w:t>
      </w:r>
      <w:r w:rsidR="00534EB0">
        <w:rPr>
          <w:rFonts w:asciiTheme="majorBidi" w:hAnsiTheme="majorBidi" w:cstheme="majorBidi"/>
        </w:rPr>
        <w:t>undervalued</w:t>
      </w:r>
      <w:r w:rsidR="004370AC" w:rsidRPr="005103A1">
        <w:rPr>
          <w:rFonts w:asciiTheme="majorBidi" w:hAnsiTheme="majorBidi" w:cstheme="majorBidi"/>
        </w:rPr>
        <w:t xml:space="preserve"> for engaging in increased</w:t>
      </w:r>
      <w:r w:rsidR="00262982" w:rsidRPr="005103A1">
        <w:rPr>
          <w:rFonts w:asciiTheme="majorBidi" w:hAnsiTheme="majorBidi" w:cstheme="majorBidi"/>
        </w:rPr>
        <w:t xml:space="preserve"> </w:t>
      </w:r>
      <w:r w:rsidR="00610FA6">
        <w:rPr>
          <w:rFonts w:asciiTheme="majorBidi" w:hAnsiTheme="majorBidi" w:cstheme="majorBidi"/>
        </w:rPr>
        <w:t xml:space="preserve">actual </w:t>
      </w:r>
      <w:r w:rsidR="00262982" w:rsidRPr="005103A1">
        <w:rPr>
          <w:rFonts w:asciiTheme="majorBidi" w:hAnsiTheme="majorBidi" w:cstheme="majorBidi"/>
        </w:rPr>
        <w:t>GHG emissions. Therefore</w:t>
      </w:r>
      <w:r w:rsidR="0082359D" w:rsidRPr="005103A1">
        <w:rPr>
          <w:rFonts w:asciiTheme="majorBidi" w:hAnsiTheme="majorBidi" w:cstheme="majorBidi"/>
          <w:color w:val="000000" w:themeColor="text1"/>
        </w:rPr>
        <w:t xml:space="preserve">, </w:t>
      </w:r>
      <w:r w:rsidR="00F50AA4" w:rsidRPr="005103A1">
        <w:rPr>
          <w:rFonts w:asciiTheme="majorBidi" w:hAnsiTheme="majorBidi" w:cstheme="majorBidi"/>
          <w:color w:val="000000" w:themeColor="text1"/>
        </w:rPr>
        <w:t>policymakers and long-term in</w:t>
      </w:r>
      <w:r w:rsidR="00914D51" w:rsidRPr="005103A1">
        <w:rPr>
          <w:rFonts w:asciiTheme="majorBidi" w:hAnsiTheme="majorBidi" w:cstheme="majorBidi"/>
          <w:color w:val="000000" w:themeColor="text1"/>
        </w:rPr>
        <w:t>s</w:t>
      </w:r>
      <w:r w:rsidR="00F50AA4" w:rsidRPr="005103A1">
        <w:rPr>
          <w:rFonts w:asciiTheme="majorBidi" w:hAnsiTheme="majorBidi" w:cstheme="majorBidi"/>
          <w:color w:val="000000" w:themeColor="text1"/>
        </w:rPr>
        <w:t>t</w:t>
      </w:r>
      <w:r w:rsidR="00914D51" w:rsidRPr="005103A1">
        <w:rPr>
          <w:rFonts w:asciiTheme="majorBidi" w:hAnsiTheme="majorBidi" w:cstheme="majorBidi"/>
          <w:color w:val="000000" w:themeColor="text1"/>
        </w:rPr>
        <w:t>itu</w:t>
      </w:r>
      <w:r w:rsidR="00F50AA4" w:rsidRPr="005103A1">
        <w:rPr>
          <w:rFonts w:asciiTheme="majorBidi" w:hAnsiTheme="majorBidi" w:cstheme="majorBidi"/>
          <w:color w:val="000000" w:themeColor="text1"/>
        </w:rPr>
        <w:t xml:space="preserve">tional investors need to be proactive in creating awareness among investors about the </w:t>
      </w:r>
      <w:r w:rsidR="00EC6712" w:rsidRPr="005103A1">
        <w:rPr>
          <w:rFonts w:asciiTheme="majorBidi" w:hAnsiTheme="majorBidi" w:cstheme="majorBidi"/>
          <w:color w:val="000000" w:themeColor="text1"/>
        </w:rPr>
        <w:t xml:space="preserve">disastrous consequences of </w:t>
      </w:r>
      <w:r w:rsidR="00F50AA4" w:rsidRPr="005103A1">
        <w:rPr>
          <w:rFonts w:asciiTheme="majorBidi" w:hAnsiTheme="majorBidi" w:cstheme="majorBidi"/>
          <w:color w:val="000000" w:themeColor="text1"/>
        </w:rPr>
        <w:t>climate change</w:t>
      </w:r>
      <w:r w:rsidR="00EC6712" w:rsidRPr="005103A1">
        <w:rPr>
          <w:rFonts w:asciiTheme="majorBidi" w:hAnsiTheme="majorBidi" w:cstheme="majorBidi"/>
          <w:color w:val="000000" w:themeColor="text1"/>
        </w:rPr>
        <w:t xml:space="preserve"> and promoting greater disclosures of GHG emissions of a firm. </w:t>
      </w:r>
      <w:r w:rsidR="00077910">
        <w:rPr>
          <w:rFonts w:asciiTheme="majorBidi" w:hAnsiTheme="majorBidi" w:cstheme="majorBidi"/>
          <w:color w:val="000000" w:themeColor="text1"/>
        </w:rPr>
        <w:t>Moreover</w:t>
      </w:r>
      <w:r w:rsidR="00FE1ACF">
        <w:rPr>
          <w:rFonts w:asciiTheme="majorBidi" w:hAnsiTheme="majorBidi" w:cstheme="majorBidi"/>
          <w:color w:val="000000" w:themeColor="text1"/>
        </w:rPr>
        <w:t>, fund managers, analysts, and rating agencies ought to use not just the symbolic ESG indicators</w:t>
      </w:r>
      <w:r w:rsidR="0085785F">
        <w:rPr>
          <w:rFonts w:asciiTheme="majorBidi" w:hAnsiTheme="majorBidi" w:cstheme="majorBidi"/>
          <w:color w:val="000000" w:themeColor="text1"/>
        </w:rPr>
        <w:t>,</w:t>
      </w:r>
      <w:r w:rsidR="00FE1ACF">
        <w:rPr>
          <w:rFonts w:asciiTheme="majorBidi" w:hAnsiTheme="majorBidi" w:cstheme="majorBidi"/>
          <w:color w:val="000000" w:themeColor="text1"/>
        </w:rPr>
        <w:t xml:space="preserve"> but a</w:t>
      </w:r>
      <w:r w:rsidR="00A54BF7">
        <w:rPr>
          <w:rFonts w:asciiTheme="majorBidi" w:hAnsiTheme="majorBidi" w:cstheme="majorBidi"/>
          <w:color w:val="000000" w:themeColor="text1"/>
        </w:rPr>
        <w:t>lso</w:t>
      </w:r>
      <w:r w:rsidR="00FE1ACF">
        <w:rPr>
          <w:rFonts w:asciiTheme="majorBidi" w:hAnsiTheme="majorBidi" w:cstheme="majorBidi"/>
          <w:color w:val="000000" w:themeColor="text1"/>
        </w:rPr>
        <w:t xml:space="preserve"> measurable account of substantive GHG emissions to rate companies and advise market participants accordingly. </w:t>
      </w:r>
      <w:r w:rsidR="00EC6712" w:rsidRPr="005103A1">
        <w:rPr>
          <w:rFonts w:asciiTheme="majorBidi" w:hAnsiTheme="majorBidi" w:cstheme="majorBidi"/>
          <w:color w:val="000000" w:themeColor="text1"/>
        </w:rPr>
        <w:t>This is likely to</w:t>
      </w:r>
      <w:r w:rsidR="00914D51" w:rsidRPr="005103A1">
        <w:rPr>
          <w:rFonts w:asciiTheme="majorBidi" w:hAnsiTheme="majorBidi" w:cstheme="majorBidi"/>
          <w:color w:val="000000" w:themeColor="text1"/>
        </w:rPr>
        <w:t xml:space="preserve"> help shareholders to make well-</w:t>
      </w:r>
      <w:r w:rsidR="00EC6712" w:rsidRPr="005103A1">
        <w:rPr>
          <w:rFonts w:asciiTheme="majorBidi" w:hAnsiTheme="majorBidi" w:cstheme="majorBidi"/>
          <w:color w:val="000000" w:themeColor="text1"/>
        </w:rPr>
        <w:t xml:space="preserve">informed investment decisions after </w:t>
      </w:r>
      <w:proofErr w:type="gramStart"/>
      <w:r w:rsidR="008833BF">
        <w:rPr>
          <w:rFonts w:asciiTheme="majorBidi" w:hAnsiTheme="majorBidi" w:cstheme="majorBidi"/>
          <w:color w:val="000000" w:themeColor="text1"/>
        </w:rPr>
        <w:t xml:space="preserve">evaluating </w:t>
      </w:r>
      <w:r w:rsidR="00EC6712" w:rsidRPr="005103A1">
        <w:rPr>
          <w:rFonts w:asciiTheme="majorBidi" w:hAnsiTheme="majorBidi" w:cstheme="majorBidi"/>
          <w:color w:val="000000" w:themeColor="text1"/>
        </w:rPr>
        <w:t xml:space="preserve"> the</w:t>
      </w:r>
      <w:proofErr w:type="gramEnd"/>
      <w:r w:rsidR="00EC6712" w:rsidRPr="005103A1">
        <w:rPr>
          <w:rFonts w:asciiTheme="majorBidi" w:hAnsiTheme="majorBidi" w:cstheme="majorBidi"/>
          <w:color w:val="000000" w:themeColor="text1"/>
        </w:rPr>
        <w:t xml:space="preserve"> climate related risks of a firm. </w:t>
      </w:r>
      <w:r w:rsidR="00262982" w:rsidRPr="005103A1">
        <w:rPr>
          <w:rFonts w:asciiTheme="majorBidi" w:hAnsiTheme="majorBidi" w:cstheme="majorBidi"/>
          <w:color w:val="000000" w:themeColor="text1"/>
        </w:rPr>
        <w:t xml:space="preserve">Second, </w:t>
      </w:r>
      <w:r w:rsidR="00175512" w:rsidRPr="005103A1">
        <w:rPr>
          <w:rFonts w:asciiTheme="majorBidi" w:hAnsiTheme="majorBidi" w:cstheme="majorBidi"/>
          <w:color w:val="000000" w:themeColor="text1"/>
        </w:rPr>
        <w:t xml:space="preserve">incentive-based </w:t>
      </w:r>
      <w:r w:rsidR="00A54BF7">
        <w:rPr>
          <w:rFonts w:asciiTheme="majorBidi" w:hAnsiTheme="majorBidi" w:cstheme="majorBidi"/>
          <w:color w:val="000000" w:themeColor="text1"/>
        </w:rPr>
        <w:t>governance</w:t>
      </w:r>
      <w:r w:rsidR="00262982" w:rsidRPr="005103A1">
        <w:rPr>
          <w:rFonts w:asciiTheme="majorBidi" w:hAnsiTheme="majorBidi" w:cstheme="majorBidi"/>
          <w:color w:val="000000" w:themeColor="text1"/>
        </w:rPr>
        <w:t xml:space="preserve"> </w:t>
      </w:r>
      <w:r w:rsidR="00175512" w:rsidRPr="005103A1">
        <w:rPr>
          <w:rFonts w:asciiTheme="majorBidi" w:hAnsiTheme="majorBidi" w:cstheme="majorBidi"/>
          <w:color w:val="000000" w:themeColor="text1"/>
        </w:rPr>
        <w:t xml:space="preserve">mechanisms </w:t>
      </w:r>
      <w:r w:rsidR="000A4D4D" w:rsidRPr="005103A1">
        <w:rPr>
          <w:rFonts w:asciiTheme="majorBidi" w:hAnsiTheme="majorBidi" w:cstheme="majorBidi"/>
          <w:color w:val="000000" w:themeColor="text1"/>
        </w:rPr>
        <w:t xml:space="preserve">do not </w:t>
      </w:r>
      <w:r w:rsidR="004370AC" w:rsidRPr="005103A1">
        <w:rPr>
          <w:rFonts w:asciiTheme="majorBidi" w:hAnsiTheme="majorBidi" w:cstheme="majorBidi"/>
          <w:color w:val="000000" w:themeColor="text1"/>
        </w:rPr>
        <w:t xml:space="preserve">seem to </w:t>
      </w:r>
      <w:r w:rsidR="00971DBE" w:rsidRPr="005103A1">
        <w:rPr>
          <w:rFonts w:asciiTheme="majorBidi" w:hAnsiTheme="majorBidi" w:cstheme="majorBidi"/>
          <w:color w:val="000000" w:themeColor="text1"/>
        </w:rPr>
        <w:t xml:space="preserve">moderate self-serving motives of </w:t>
      </w:r>
      <w:r w:rsidR="00262982" w:rsidRPr="005103A1">
        <w:rPr>
          <w:rFonts w:asciiTheme="majorBidi" w:hAnsiTheme="majorBidi" w:cstheme="majorBidi"/>
          <w:color w:val="000000" w:themeColor="text1"/>
        </w:rPr>
        <w:t xml:space="preserve">powerful executives, and </w:t>
      </w:r>
      <w:r w:rsidR="00AB4406" w:rsidRPr="005103A1">
        <w:rPr>
          <w:rFonts w:asciiTheme="majorBidi" w:hAnsiTheme="majorBidi" w:cstheme="majorBidi"/>
          <w:color w:val="000000" w:themeColor="text1"/>
        </w:rPr>
        <w:t xml:space="preserve">incentivise </w:t>
      </w:r>
      <w:r w:rsidR="00262982" w:rsidRPr="005103A1">
        <w:rPr>
          <w:rFonts w:asciiTheme="majorBidi" w:hAnsiTheme="majorBidi" w:cstheme="majorBidi"/>
          <w:color w:val="000000" w:themeColor="text1"/>
        </w:rPr>
        <w:t xml:space="preserve">them </w:t>
      </w:r>
      <w:r w:rsidR="000A4D4D" w:rsidRPr="005103A1">
        <w:rPr>
          <w:rFonts w:asciiTheme="majorBidi" w:hAnsiTheme="majorBidi" w:cstheme="majorBidi"/>
          <w:color w:val="000000" w:themeColor="text1"/>
        </w:rPr>
        <w:t xml:space="preserve">to reduce GHG emissions of a firm. </w:t>
      </w:r>
      <w:proofErr w:type="gramStart"/>
      <w:r w:rsidR="00AB4406" w:rsidRPr="005103A1">
        <w:rPr>
          <w:rFonts w:asciiTheme="majorBidi" w:hAnsiTheme="majorBidi" w:cstheme="majorBidi"/>
          <w:color w:val="000000" w:themeColor="text1"/>
        </w:rPr>
        <w:t xml:space="preserve">In particular, </w:t>
      </w:r>
      <w:r w:rsidR="000A4D4D" w:rsidRPr="005103A1">
        <w:rPr>
          <w:rFonts w:asciiTheme="majorBidi" w:hAnsiTheme="majorBidi" w:cstheme="majorBidi"/>
          <w:lang w:val="en-US"/>
        </w:rPr>
        <w:t>a</w:t>
      </w:r>
      <w:proofErr w:type="gramEnd"/>
      <w:r w:rsidR="000A4D4D" w:rsidRPr="005103A1">
        <w:rPr>
          <w:rFonts w:asciiTheme="majorBidi" w:hAnsiTheme="majorBidi" w:cstheme="majorBidi"/>
          <w:lang w:val="en-US"/>
        </w:rPr>
        <w:t xml:space="preserve"> symbolic adoption of ESG-based compensation policy </w:t>
      </w:r>
      <w:r w:rsidR="004225BB" w:rsidRPr="005103A1">
        <w:rPr>
          <w:rFonts w:asciiTheme="majorBidi" w:hAnsiTheme="majorBidi" w:cstheme="majorBidi"/>
          <w:lang w:val="en-US"/>
        </w:rPr>
        <w:t>seems</w:t>
      </w:r>
      <w:r w:rsidR="00262982" w:rsidRPr="005103A1">
        <w:rPr>
          <w:rFonts w:asciiTheme="majorBidi" w:hAnsiTheme="majorBidi" w:cstheme="majorBidi"/>
          <w:lang w:val="en-US"/>
        </w:rPr>
        <w:t xml:space="preserve"> unlikely to improve actual </w:t>
      </w:r>
      <w:r w:rsidR="00AD5B48" w:rsidRPr="005103A1">
        <w:rPr>
          <w:rFonts w:asciiTheme="majorBidi" w:hAnsiTheme="majorBidi" w:cstheme="majorBidi"/>
          <w:lang w:val="en-US"/>
        </w:rPr>
        <w:t>CP</w:t>
      </w:r>
      <w:r w:rsidR="000A4D4D" w:rsidRPr="005103A1">
        <w:rPr>
          <w:rFonts w:asciiTheme="majorBidi" w:hAnsiTheme="majorBidi" w:cstheme="majorBidi"/>
          <w:lang w:val="en-US"/>
        </w:rPr>
        <w:t>.</w:t>
      </w:r>
      <w:r w:rsidR="003D7C97" w:rsidRPr="005103A1">
        <w:rPr>
          <w:rFonts w:asciiTheme="majorBidi" w:hAnsiTheme="majorBidi" w:cstheme="majorBidi"/>
          <w:lang w:val="en-US"/>
        </w:rPr>
        <w:t xml:space="preserve"> Therefore, regulators ought to design explicit guidelines </w:t>
      </w:r>
      <w:r w:rsidR="00B90899" w:rsidRPr="005103A1">
        <w:rPr>
          <w:rFonts w:asciiTheme="majorBidi" w:hAnsiTheme="majorBidi" w:cstheme="majorBidi"/>
          <w:lang w:val="en-US"/>
        </w:rPr>
        <w:t xml:space="preserve">on sustainable compensation policy with </w:t>
      </w:r>
      <w:r w:rsidR="003D7C97" w:rsidRPr="005103A1">
        <w:rPr>
          <w:rFonts w:asciiTheme="majorBidi" w:hAnsiTheme="majorBidi" w:cstheme="majorBidi"/>
          <w:lang w:val="en-US"/>
        </w:rPr>
        <w:t xml:space="preserve">mandatory </w:t>
      </w:r>
      <w:r w:rsidR="00B90899" w:rsidRPr="005103A1">
        <w:rPr>
          <w:rFonts w:asciiTheme="majorBidi" w:hAnsiTheme="majorBidi" w:cstheme="majorBidi"/>
          <w:lang w:val="en-US"/>
        </w:rPr>
        <w:t xml:space="preserve">GHG </w:t>
      </w:r>
      <w:r w:rsidR="003D7C97" w:rsidRPr="005103A1">
        <w:rPr>
          <w:rFonts w:asciiTheme="majorBidi" w:hAnsiTheme="majorBidi" w:cstheme="majorBidi"/>
          <w:lang w:val="en-US"/>
        </w:rPr>
        <w:t>emission reduction</w:t>
      </w:r>
      <w:r w:rsidR="00B90899" w:rsidRPr="005103A1">
        <w:rPr>
          <w:rFonts w:asciiTheme="majorBidi" w:hAnsiTheme="majorBidi" w:cstheme="majorBidi"/>
          <w:lang w:val="en-US"/>
        </w:rPr>
        <w:t xml:space="preserve"> targets together with appropriate enforcement mechanisms to detect and p</w:t>
      </w:r>
      <w:r w:rsidR="00534EB0">
        <w:rPr>
          <w:rFonts w:asciiTheme="majorBidi" w:hAnsiTheme="majorBidi" w:cstheme="majorBidi"/>
          <w:lang w:val="en-US"/>
        </w:rPr>
        <w:t>unish</w:t>
      </w:r>
      <w:r w:rsidR="00B90899" w:rsidRPr="005103A1">
        <w:rPr>
          <w:rFonts w:asciiTheme="majorBidi" w:hAnsiTheme="majorBidi" w:cstheme="majorBidi"/>
          <w:lang w:val="en-US"/>
        </w:rPr>
        <w:t xml:space="preserve"> non-compliance.</w:t>
      </w:r>
      <w:r w:rsidR="001F3C3B">
        <w:rPr>
          <w:rFonts w:asciiTheme="majorBidi" w:hAnsiTheme="majorBidi" w:cstheme="majorBidi"/>
          <w:lang w:val="en-US"/>
        </w:rPr>
        <w:t xml:space="preserve"> Third, </w:t>
      </w:r>
      <w:r w:rsidR="001F3C3B">
        <w:rPr>
          <w:rFonts w:asciiTheme="majorBidi" w:hAnsiTheme="majorBidi" w:cstheme="majorBidi"/>
          <w:color w:val="000000" w:themeColor="text1"/>
        </w:rPr>
        <w:t>voluntary regulatory initiatives and firm</w:t>
      </w:r>
      <w:r w:rsidR="00CD42A8">
        <w:rPr>
          <w:rFonts w:asciiTheme="majorBidi" w:hAnsiTheme="majorBidi" w:cstheme="majorBidi"/>
          <w:color w:val="000000" w:themeColor="text1"/>
        </w:rPr>
        <w:t>-</w:t>
      </w:r>
      <w:r w:rsidR="001F3C3B">
        <w:rPr>
          <w:rFonts w:asciiTheme="majorBidi" w:hAnsiTheme="majorBidi" w:cstheme="majorBidi"/>
          <w:color w:val="000000" w:themeColor="text1"/>
        </w:rPr>
        <w:t>level managerial commitment do not seem to be enough, give</w:t>
      </w:r>
      <w:r w:rsidR="00785B7D">
        <w:rPr>
          <w:rFonts w:asciiTheme="majorBidi" w:hAnsiTheme="majorBidi" w:cstheme="majorBidi"/>
          <w:color w:val="000000" w:themeColor="text1"/>
        </w:rPr>
        <w:t>n</w:t>
      </w:r>
      <w:r w:rsidR="001F3C3B">
        <w:rPr>
          <w:rFonts w:asciiTheme="majorBidi" w:hAnsiTheme="majorBidi" w:cstheme="majorBidi"/>
          <w:color w:val="000000" w:themeColor="text1"/>
        </w:rPr>
        <w:t xml:space="preserve"> that </w:t>
      </w:r>
      <w:r w:rsidR="001F3C3B">
        <w:rPr>
          <w:rFonts w:asciiTheme="majorBidi" w:hAnsiTheme="majorBidi" w:cstheme="majorBidi"/>
          <w:lang w:val="en-US"/>
        </w:rPr>
        <w:t xml:space="preserve">carbon abatement projects require significant financial commitment over a long period of time. </w:t>
      </w:r>
      <w:proofErr w:type="gramStart"/>
      <w:r w:rsidR="005F5DDA" w:rsidRPr="005103A1">
        <w:rPr>
          <w:rFonts w:asciiTheme="majorBidi" w:hAnsiTheme="majorBidi" w:cstheme="majorBidi"/>
        </w:rPr>
        <w:t>Therefore</w:t>
      </w:r>
      <w:proofErr w:type="gramEnd"/>
      <w:r w:rsidR="005F5DDA" w:rsidRPr="005103A1">
        <w:rPr>
          <w:rFonts w:asciiTheme="majorBidi" w:hAnsiTheme="majorBidi" w:cstheme="majorBidi"/>
        </w:rPr>
        <w:t xml:space="preserve"> </w:t>
      </w:r>
      <w:r w:rsidR="005F5DDA" w:rsidRPr="005103A1">
        <w:rPr>
          <w:rFonts w:asciiTheme="majorBidi" w:hAnsiTheme="majorBidi" w:cstheme="majorBidi"/>
          <w:color w:val="000000" w:themeColor="text1"/>
        </w:rPr>
        <w:t xml:space="preserve">and to be effective, specific enforceable CP targets at global, national and corporate level will have to be set. </w:t>
      </w:r>
      <w:r w:rsidR="001F3C3B">
        <w:rPr>
          <w:rFonts w:asciiTheme="majorBidi" w:hAnsiTheme="majorBidi" w:cstheme="majorBidi"/>
          <w:color w:val="000000" w:themeColor="text1"/>
        </w:rPr>
        <w:t xml:space="preserve">  </w:t>
      </w:r>
    </w:p>
    <w:p w14:paraId="129436E0" w14:textId="54DA6307" w:rsidR="00E66E0F" w:rsidRPr="005103A1" w:rsidRDefault="002A12D7" w:rsidP="0064103E">
      <w:pPr>
        <w:spacing w:after="0" w:line="480" w:lineRule="auto"/>
        <w:ind w:firstLine="720"/>
        <w:jc w:val="both"/>
        <w:rPr>
          <w:rFonts w:asciiTheme="majorBidi" w:hAnsiTheme="majorBidi" w:cstheme="majorBidi"/>
          <w:color w:val="000000" w:themeColor="text1"/>
        </w:rPr>
      </w:pPr>
      <w:proofErr w:type="gramStart"/>
      <w:r w:rsidRPr="005103A1">
        <w:rPr>
          <w:rFonts w:asciiTheme="majorBidi" w:hAnsiTheme="majorBidi" w:cstheme="majorBidi"/>
          <w:lang w:val="en-US"/>
        </w:rPr>
        <w:t>Finally</w:t>
      </w:r>
      <w:proofErr w:type="gramEnd"/>
      <w:r w:rsidRPr="005103A1">
        <w:rPr>
          <w:rFonts w:asciiTheme="majorBidi" w:hAnsiTheme="majorBidi" w:cstheme="majorBidi"/>
          <w:lang w:val="en-US"/>
        </w:rPr>
        <w:t xml:space="preserve"> and although our findings are robust and important, their limitations need to be explicitly acknowledged. First, </w:t>
      </w:r>
      <w:r w:rsidR="007B4E48">
        <w:rPr>
          <w:rFonts w:asciiTheme="majorBidi" w:hAnsiTheme="majorBidi" w:cstheme="majorBidi"/>
          <w:lang w:val="en-US"/>
        </w:rPr>
        <w:t>we</w:t>
      </w:r>
      <w:r w:rsidR="002646B7" w:rsidRPr="005103A1">
        <w:rPr>
          <w:rFonts w:asciiTheme="majorBidi" w:hAnsiTheme="majorBidi" w:cstheme="majorBidi"/>
          <w:lang w:val="en-US"/>
        </w:rPr>
        <w:t xml:space="preserve"> consider </w:t>
      </w:r>
      <w:r w:rsidR="002646B7" w:rsidRPr="005103A1">
        <w:rPr>
          <w:rFonts w:asciiTheme="majorBidi" w:hAnsiTheme="majorBidi" w:cstheme="majorBidi"/>
        </w:rPr>
        <w:t xml:space="preserve">process-oriented </w:t>
      </w:r>
      <w:r w:rsidR="00AD5B48" w:rsidRPr="005103A1">
        <w:rPr>
          <w:rFonts w:asciiTheme="majorBidi" w:hAnsiTheme="majorBidi" w:cstheme="majorBidi"/>
        </w:rPr>
        <w:t>CP</w:t>
      </w:r>
      <w:r w:rsidR="002646B7" w:rsidRPr="005103A1">
        <w:rPr>
          <w:rFonts w:asciiTheme="majorBidi" w:hAnsiTheme="majorBidi" w:cstheme="majorBidi"/>
        </w:rPr>
        <w:t xml:space="preserve"> (</w:t>
      </w:r>
      <w:r w:rsidR="002646B7" w:rsidRPr="005103A1">
        <w:rPr>
          <w:rFonts w:asciiTheme="majorBidi" w:hAnsiTheme="majorBidi" w:cstheme="majorBidi"/>
          <w:i/>
          <w:iCs/>
        </w:rPr>
        <w:t>PCRI</w:t>
      </w:r>
      <w:r w:rsidR="002646B7" w:rsidRPr="005103A1">
        <w:rPr>
          <w:rFonts w:asciiTheme="majorBidi" w:hAnsiTheme="majorBidi" w:cstheme="majorBidi"/>
        </w:rPr>
        <w:t xml:space="preserve">) as a symbolic measure and GHG emissions as a substantive measure of </w:t>
      </w:r>
      <w:r w:rsidR="00AD5B48" w:rsidRPr="005103A1">
        <w:rPr>
          <w:rFonts w:asciiTheme="majorBidi" w:hAnsiTheme="majorBidi" w:cstheme="majorBidi"/>
        </w:rPr>
        <w:t>CP</w:t>
      </w:r>
      <w:r w:rsidR="002646B7" w:rsidRPr="005103A1">
        <w:rPr>
          <w:rFonts w:asciiTheme="majorBidi" w:hAnsiTheme="majorBidi" w:cstheme="majorBidi"/>
        </w:rPr>
        <w:t xml:space="preserve">, but do not examine the relationship between these two variables. Therefore, </w:t>
      </w:r>
      <w:r w:rsidR="00EC6712" w:rsidRPr="005103A1">
        <w:rPr>
          <w:rFonts w:asciiTheme="majorBidi" w:hAnsiTheme="majorBidi" w:cstheme="majorBidi"/>
        </w:rPr>
        <w:t xml:space="preserve">future </w:t>
      </w:r>
      <w:r w:rsidR="002646B7" w:rsidRPr="005103A1">
        <w:rPr>
          <w:rFonts w:asciiTheme="majorBidi" w:hAnsiTheme="majorBidi" w:cstheme="majorBidi"/>
          <w:lang w:val="en-US"/>
        </w:rPr>
        <w:t xml:space="preserve">research </w:t>
      </w:r>
      <w:r w:rsidR="00EC6712" w:rsidRPr="005103A1">
        <w:rPr>
          <w:rFonts w:asciiTheme="majorBidi" w:hAnsiTheme="majorBidi" w:cstheme="majorBidi"/>
          <w:lang w:val="en-US"/>
        </w:rPr>
        <w:t xml:space="preserve">can </w:t>
      </w:r>
      <w:r w:rsidR="002646B7" w:rsidRPr="005103A1">
        <w:rPr>
          <w:rFonts w:asciiTheme="majorBidi" w:hAnsiTheme="majorBidi" w:cstheme="majorBidi"/>
        </w:rPr>
        <w:t xml:space="preserve">examine the impact of PCRI on actual </w:t>
      </w:r>
      <w:r w:rsidR="00AD5B48" w:rsidRPr="005103A1">
        <w:rPr>
          <w:rFonts w:asciiTheme="majorBidi" w:hAnsiTheme="majorBidi" w:cstheme="majorBidi"/>
        </w:rPr>
        <w:t>CP</w:t>
      </w:r>
      <w:r w:rsidR="002646B7" w:rsidRPr="005103A1">
        <w:rPr>
          <w:rFonts w:asciiTheme="majorBidi" w:hAnsiTheme="majorBidi" w:cstheme="majorBidi"/>
        </w:rPr>
        <w:t xml:space="preserve"> (GHG emissions). Second, </w:t>
      </w:r>
      <w:r w:rsidR="00497401" w:rsidRPr="005103A1">
        <w:rPr>
          <w:rFonts w:asciiTheme="majorBidi" w:hAnsiTheme="majorBidi" w:cstheme="majorBidi"/>
          <w:lang w:val="en-US"/>
        </w:rPr>
        <w:t xml:space="preserve">our measures for </w:t>
      </w:r>
      <w:r w:rsidR="00AD5B48" w:rsidRPr="005103A1">
        <w:rPr>
          <w:rFonts w:asciiTheme="majorBidi" w:hAnsiTheme="majorBidi" w:cstheme="majorBidi"/>
          <w:lang w:val="en-US"/>
        </w:rPr>
        <w:t>EC</w:t>
      </w:r>
      <w:r w:rsidR="00497401" w:rsidRPr="005103A1">
        <w:rPr>
          <w:rFonts w:asciiTheme="majorBidi" w:hAnsiTheme="majorBidi" w:cstheme="majorBidi"/>
          <w:lang w:val="en-US"/>
        </w:rPr>
        <w:t xml:space="preserve">, ESG-based compensation policy, </w:t>
      </w:r>
      <w:r w:rsidR="00AD5B48" w:rsidRPr="005103A1">
        <w:rPr>
          <w:rFonts w:asciiTheme="majorBidi" w:hAnsiTheme="majorBidi" w:cstheme="majorBidi"/>
          <w:lang w:val="en-US"/>
        </w:rPr>
        <w:t>CP</w:t>
      </w:r>
      <w:r w:rsidR="00497401" w:rsidRPr="005103A1">
        <w:rPr>
          <w:rFonts w:asciiTheme="majorBidi" w:hAnsiTheme="majorBidi" w:cstheme="majorBidi"/>
          <w:lang w:val="en-US"/>
        </w:rPr>
        <w:t xml:space="preserve"> and </w:t>
      </w:r>
      <w:r w:rsidR="00AD5B48" w:rsidRPr="005103A1">
        <w:rPr>
          <w:rFonts w:asciiTheme="majorBidi" w:hAnsiTheme="majorBidi" w:cstheme="majorBidi"/>
          <w:lang w:val="en-US"/>
        </w:rPr>
        <w:t>MV</w:t>
      </w:r>
      <w:r w:rsidR="00497401" w:rsidRPr="005103A1">
        <w:rPr>
          <w:rFonts w:asciiTheme="majorBidi" w:hAnsiTheme="majorBidi" w:cstheme="majorBidi"/>
          <w:lang w:val="en-US"/>
        </w:rPr>
        <w:t xml:space="preserve"> may or may not reflect actual practice. In this case, future </w:t>
      </w:r>
      <w:r w:rsidR="00497401" w:rsidRPr="005103A1">
        <w:rPr>
          <w:rFonts w:asciiTheme="majorBidi" w:hAnsiTheme="majorBidi" w:cstheme="majorBidi"/>
          <w:lang w:val="en-US"/>
        </w:rPr>
        <w:lastRenderedPageBreak/>
        <w:t>studies may offer new insights by conducting in-depth case</w:t>
      </w:r>
      <w:r w:rsidR="00AE5D25" w:rsidRPr="005103A1">
        <w:rPr>
          <w:rFonts w:asciiTheme="majorBidi" w:hAnsiTheme="majorBidi" w:cstheme="majorBidi"/>
          <w:lang w:val="en-US"/>
        </w:rPr>
        <w:t xml:space="preserve"> studies and interviews with</w:t>
      </w:r>
      <w:r w:rsidR="00497401" w:rsidRPr="005103A1">
        <w:rPr>
          <w:rFonts w:asciiTheme="majorBidi" w:hAnsiTheme="majorBidi" w:cstheme="majorBidi"/>
          <w:lang w:val="en-US"/>
        </w:rPr>
        <w:t xml:space="preserve"> various stakeholders</w:t>
      </w:r>
      <w:r w:rsidR="0094487D" w:rsidRPr="005103A1">
        <w:rPr>
          <w:rFonts w:asciiTheme="majorBidi" w:hAnsiTheme="majorBidi" w:cstheme="majorBidi"/>
          <w:lang w:val="en-US"/>
        </w:rPr>
        <w:t xml:space="preserve"> (</w:t>
      </w:r>
      <w:r w:rsidR="00497401" w:rsidRPr="005103A1">
        <w:rPr>
          <w:rFonts w:asciiTheme="majorBidi" w:hAnsiTheme="majorBidi" w:cstheme="majorBidi"/>
          <w:lang w:val="en-US"/>
        </w:rPr>
        <w:t>managers, shareholders and regulators</w:t>
      </w:r>
      <w:r w:rsidR="0094487D" w:rsidRPr="005103A1">
        <w:rPr>
          <w:rFonts w:asciiTheme="majorBidi" w:hAnsiTheme="majorBidi" w:cstheme="majorBidi"/>
          <w:lang w:val="en-US"/>
        </w:rPr>
        <w:t>)</w:t>
      </w:r>
      <w:r w:rsidR="00497401" w:rsidRPr="005103A1">
        <w:rPr>
          <w:rFonts w:asciiTheme="majorBidi" w:hAnsiTheme="majorBidi" w:cstheme="majorBidi"/>
          <w:lang w:val="en-US"/>
        </w:rPr>
        <w:t xml:space="preserve"> about their views regarding these issues. Similarly, </w:t>
      </w:r>
      <w:r w:rsidR="00FC22E5" w:rsidRPr="005103A1">
        <w:rPr>
          <w:rFonts w:asciiTheme="majorBidi" w:hAnsiTheme="majorBidi" w:cstheme="majorBidi"/>
          <w:lang w:val="en-US"/>
        </w:rPr>
        <w:t>due to lack of data, the</w:t>
      </w:r>
      <w:r w:rsidR="00497401" w:rsidRPr="005103A1">
        <w:rPr>
          <w:rFonts w:asciiTheme="majorBidi" w:hAnsiTheme="majorBidi" w:cstheme="majorBidi"/>
          <w:lang w:val="en-US"/>
        </w:rPr>
        <w:t xml:space="preserve"> number of variables used, especially</w:t>
      </w:r>
      <w:r w:rsidR="00FC22E5" w:rsidRPr="005103A1">
        <w:rPr>
          <w:rFonts w:asciiTheme="majorBidi" w:hAnsiTheme="majorBidi" w:cstheme="majorBidi"/>
          <w:lang w:val="en-US"/>
        </w:rPr>
        <w:t xml:space="preserve"> governance ones could have been expanded to include</w:t>
      </w:r>
      <w:r w:rsidR="00497401" w:rsidRPr="005103A1">
        <w:rPr>
          <w:rFonts w:asciiTheme="majorBidi" w:hAnsiTheme="majorBidi" w:cstheme="majorBidi"/>
          <w:lang w:val="en-US"/>
        </w:rPr>
        <w:t xml:space="preserve"> others</w:t>
      </w:r>
      <w:r w:rsidR="0094487D" w:rsidRPr="005103A1">
        <w:rPr>
          <w:rFonts w:asciiTheme="majorBidi" w:hAnsiTheme="majorBidi" w:cstheme="majorBidi"/>
          <w:lang w:val="en-US"/>
        </w:rPr>
        <w:t xml:space="preserve"> (</w:t>
      </w:r>
      <w:r w:rsidR="00E76577">
        <w:rPr>
          <w:rFonts w:asciiTheme="majorBidi" w:hAnsiTheme="majorBidi" w:cstheme="majorBidi"/>
          <w:lang w:val="en-US"/>
        </w:rPr>
        <w:t xml:space="preserve">institutional </w:t>
      </w:r>
      <w:r w:rsidR="00497401" w:rsidRPr="005103A1">
        <w:rPr>
          <w:rFonts w:asciiTheme="majorBidi" w:hAnsiTheme="majorBidi" w:cstheme="majorBidi"/>
          <w:lang w:val="en-US"/>
        </w:rPr>
        <w:t>ow</w:t>
      </w:r>
      <w:r w:rsidR="009A676F" w:rsidRPr="005103A1">
        <w:rPr>
          <w:rFonts w:asciiTheme="majorBidi" w:hAnsiTheme="majorBidi" w:cstheme="majorBidi"/>
          <w:lang w:val="en-US"/>
        </w:rPr>
        <w:t>ners</w:t>
      </w:r>
      <w:r w:rsidR="00E76577">
        <w:rPr>
          <w:rFonts w:asciiTheme="majorBidi" w:hAnsiTheme="majorBidi" w:cstheme="majorBidi"/>
          <w:lang w:val="en-US"/>
        </w:rPr>
        <w:t>,</w:t>
      </w:r>
      <w:r w:rsidR="003F562C" w:rsidRPr="005103A1">
        <w:rPr>
          <w:rFonts w:asciiTheme="majorBidi" w:hAnsiTheme="majorBidi" w:cstheme="majorBidi"/>
          <w:lang w:val="en-US"/>
        </w:rPr>
        <w:t xml:space="preserve"> </w:t>
      </w:r>
      <w:r w:rsidR="00497401" w:rsidRPr="005103A1">
        <w:rPr>
          <w:rFonts w:asciiTheme="majorBidi" w:hAnsiTheme="majorBidi" w:cstheme="majorBidi"/>
          <w:lang w:val="en-US"/>
        </w:rPr>
        <w:t>analysts and external auditors</w:t>
      </w:r>
      <w:r w:rsidR="0094487D" w:rsidRPr="005103A1">
        <w:rPr>
          <w:rFonts w:asciiTheme="majorBidi" w:hAnsiTheme="majorBidi" w:cstheme="majorBidi"/>
          <w:lang w:val="en-US"/>
        </w:rPr>
        <w:t>)</w:t>
      </w:r>
      <w:r w:rsidR="00497401" w:rsidRPr="005103A1">
        <w:rPr>
          <w:rFonts w:asciiTheme="majorBidi" w:hAnsiTheme="majorBidi" w:cstheme="majorBidi"/>
          <w:lang w:val="en-US"/>
        </w:rPr>
        <w:t xml:space="preserve"> who play roles in measuring and monitoring carbon emissions. Future studies may, therefore, enhance </w:t>
      </w:r>
      <w:r w:rsidR="00FC22E5" w:rsidRPr="005103A1">
        <w:rPr>
          <w:rFonts w:asciiTheme="majorBidi" w:hAnsiTheme="majorBidi" w:cstheme="majorBidi"/>
          <w:lang w:val="en-US"/>
        </w:rPr>
        <w:t xml:space="preserve">their insights by incorporating these variables into their models. Finally, our study focuses on firms listed in </w:t>
      </w:r>
      <w:proofErr w:type="spellStart"/>
      <w:r w:rsidR="00FC22E5" w:rsidRPr="005103A1">
        <w:rPr>
          <w:rFonts w:asciiTheme="majorBidi" w:hAnsiTheme="majorBidi" w:cstheme="majorBidi"/>
          <w:lang w:val="en-US"/>
        </w:rPr>
        <w:t>industrialised</w:t>
      </w:r>
      <w:proofErr w:type="spellEnd"/>
      <w:r w:rsidR="00FC22E5" w:rsidRPr="005103A1">
        <w:rPr>
          <w:rFonts w:asciiTheme="majorBidi" w:hAnsiTheme="majorBidi" w:cstheme="majorBidi"/>
          <w:lang w:val="en-US"/>
        </w:rPr>
        <w:t xml:space="preserve"> European countries, future studies can, therefore, replicate our study by extending our analyses to other countries, which may have different institutional, regulatory and cultural contexts. </w:t>
      </w:r>
    </w:p>
    <w:p w14:paraId="5B09DE81" w14:textId="77777777" w:rsidR="00654599" w:rsidRPr="00F2461F" w:rsidRDefault="00654599" w:rsidP="00E66E0F">
      <w:pPr>
        <w:spacing w:after="0" w:line="360" w:lineRule="auto"/>
        <w:rPr>
          <w:rFonts w:ascii="Times New Roman" w:hAnsi="Times New Roman" w:cs="Times New Roman"/>
          <w:color w:val="000000" w:themeColor="text1"/>
        </w:rPr>
      </w:pPr>
    </w:p>
    <w:p w14:paraId="23C49E62" w14:textId="4DE4997F" w:rsidR="00456A3B" w:rsidRPr="005103A1" w:rsidRDefault="00D0519E" w:rsidP="001A59FC">
      <w:pPr>
        <w:rPr>
          <w:rFonts w:asciiTheme="majorBidi" w:hAnsiTheme="majorBidi" w:cstheme="majorBidi"/>
          <w:b/>
          <w:color w:val="000000" w:themeColor="text1"/>
        </w:rPr>
      </w:pPr>
      <w:r w:rsidRPr="00F2461F">
        <w:rPr>
          <w:rFonts w:ascii="Times New Roman" w:hAnsi="Times New Roman" w:cs="Times New Roman"/>
          <w:color w:val="000000" w:themeColor="text1"/>
        </w:rPr>
        <w:br w:type="page"/>
      </w:r>
      <w:bookmarkStart w:id="3" w:name="_Hlk504422581"/>
      <w:r w:rsidRPr="005103A1">
        <w:rPr>
          <w:rFonts w:asciiTheme="majorBidi" w:hAnsiTheme="majorBidi" w:cstheme="majorBidi"/>
          <w:b/>
          <w:color w:val="000000" w:themeColor="text1"/>
        </w:rPr>
        <w:lastRenderedPageBreak/>
        <w:t>References</w:t>
      </w:r>
    </w:p>
    <w:bookmarkEnd w:id="3"/>
    <w:p w14:paraId="3C2AB55A" w14:textId="68EA71C0" w:rsidR="00693483" w:rsidRPr="005103A1" w:rsidRDefault="00693483" w:rsidP="000B468E">
      <w:pPr>
        <w:spacing w:after="0" w:line="240" w:lineRule="auto"/>
        <w:ind w:left="288" w:hanging="288"/>
        <w:jc w:val="both"/>
        <w:rPr>
          <w:rFonts w:asciiTheme="majorBidi" w:hAnsiTheme="majorBidi" w:cstheme="majorBidi"/>
        </w:rPr>
      </w:pPr>
      <w:r w:rsidRPr="005103A1">
        <w:rPr>
          <w:rFonts w:asciiTheme="majorBidi" w:hAnsiTheme="majorBidi" w:cstheme="majorBidi"/>
        </w:rPr>
        <w:t xml:space="preserve">Aguilera, R.V., D.E. Rupp, C. Williams and J. </w:t>
      </w:r>
      <w:proofErr w:type="spellStart"/>
      <w:r w:rsidRPr="005103A1">
        <w:rPr>
          <w:rFonts w:asciiTheme="majorBidi" w:hAnsiTheme="majorBidi" w:cstheme="majorBidi"/>
        </w:rPr>
        <w:t>Granapathi</w:t>
      </w:r>
      <w:proofErr w:type="spellEnd"/>
      <w:r w:rsidRPr="005103A1">
        <w:rPr>
          <w:rFonts w:asciiTheme="majorBidi" w:hAnsiTheme="majorBidi" w:cstheme="majorBidi"/>
        </w:rPr>
        <w:t xml:space="preserve"> (2007). ‘Putting the s back in corporate social responsibility: A multilevel theory of social change in organizations’, </w:t>
      </w:r>
      <w:r w:rsidRPr="005103A1">
        <w:rPr>
          <w:rFonts w:asciiTheme="majorBidi" w:hAnsiTheme="majorBidi" w:cstheme="majorBidi"/>
          <w:i/>
          <w:iCs/>
        </w:rPr>
        <w:t>Academy of Management Review,</w:t>
      </w:r>
      <w:r w:rsidRPr="005103A1">
        <w:rPr>
          <w:rFonts w:asciiTheme="majorBidi" w:hAnsiTheme="majorBidi" w:cstheme="majorBidi"/>
        </w:rPr>
        <w:t xml:space="preserve"> </w:t>
      </w:r>
      <w:r w:rsidRPr="005103A1">
        <w:rPr>
          <w:rFonts w:asciiTheme="majorBidi" w:hAnsiTheme="majorBidi" w:cstheme="majorBidi"/>
          <w:b/>
        </w:rPr>
        <w:t>32</w:t>
      </w:r>
      <w:r w:rsidRPr="005103A1">
        <w:rPr>
          <w:rFonts w:asciiTheme="majorBidi" w:hAnsiTheme="majorBidi" w:cstheme="majorBidi"/>
        </w:rPr>
        <w:t>, pp.836–863.</w:t>
      </w:r>
    </w:p>
    <w:p w14:paraId="4D7C1F8D" w14:textId="051AC5B2" w:rsidR="00693483" w:rsidRPr="005103A1" w:rsidRDefault="00693483" w:rsidP="000B468E">
      <w:pPr>
        <w:spacing w:after="0" w:line="240" w:lineRule="auto"/>
        <w:ind w:left="288" w:hanging="288"/>
        <w:jc w:val="both"/>
        <w:rPr>
          <w:rFonts w:asciiTheme="majorBidi" w:hAnsiTheme="majorBidi" w:cstheme="majorBidi"/>
        </w:rPr>
      </w:pPr>
      <w:r w:rsidRPr="005103A1">
        <w:rPr>
          <w:rFonts w:asciiTheme="majorBidi" w:hAnsiTheme="majorBidi" w:cstheme="majorBidi"/>
        </w:rPr>
        <w:t xml:space="preserve">Aguilera, R.V. (2005). ‘Corporate governance and director accountability: An institutional comparative perspective’, </w:t>
      </w:r>
      <w:r w:rsidRPr="005103A1">
        <w:rPr>
          <w:rFonts w:asciiTheme="majorBidi" w:hAnsiTheme="majorBidi" w:cstheme="majorBidi"/>
          <w:i/>
          <w:iCs/>
        </w:rPr>
        <w:t>British Journal of Management</w:t>
      </w:r>
      <w:r w:rsidRPr="005103A1">
        <w:rPr>
          <w:rFonts w:asciiTheme="majorBidi" w:hAnsiTheme="majorBidi" w:cstheme="majorBidi"/>
        </w:rPr>
        <w:t xml:space="preserve">, </w:t>
      </w:r>
      <w:r w:rsidRPr="005103A1">
        <w:rPr>
          <w:rFonts w:asciiTheme="majorBidi" w:hAnsiTheme="majorBidi" w:cstheme="majorBidi"/>
          <w:b/>
        </w:rPr>
        <w:t>16</w:t>
      </w:r>
      <w:r w:rsidRPr="005103A1">
        <w:rPr>
          <w:rFonts w:asciiTheme="majorBidi" w:hAnsiTheme="majorBidi" w:cstheme="majorBidi"/>
        </w:rPr>
        <w:t>, pp.s39–s53.</w:t>
      </w:r>
    </w:p>
    <w:p w14:paraId="2DD3469B" w14:textId="4A0124AC" w:rsidR="00693483" w:rsidRPr="005103A1" w:rsidRDefault="00693483" w:rsidP="00A332BF">
      <w:pPr>
        <w:spacing w:after="0" w:line="240" w:lineRule="auto"/>
        <w:ind w:left="288" w:hanging="288"/>
        <w:jc w:val="both"/>
        <w:rPr>
          <w:rFonts w:asciiTheme="majorBidi" w:hAnsiTheme="majorBidi" w:cstheme="majorBidi"/>
        </w:rPr>
      </w:pPr>
      <w:r w:rsidRPr="005103A1">
        <w:rPr>
          <w:rFonts w:asciiTheme="majorBidi" w:hAnsiTheme="majorBidi" w:cstheme="majorBidi"/>
        </w:rPr>
        <w:t xml:space="preserve">Akhtar, P., Z. Khan, J.G. </w:t>
      </w:r>
      <w:proofErr w:type="spellStart"/>
      <w:r w:rsidRPr="005103A1">
        <w:rPr>
          <w:rFonts w:asciiTheme="majorBidi" w:hAnsiTheme="majorBidi" w:cstheme="majorBidi"/>
        </w:rPr>
        <w:t>Frynas</w:t>
      </w:r>
      <w:proofErr w:type="spellEnd"/>
      <w:r w:rsidRPr="005103A1">
        <w:rPr>
          <w:rFonts w:asciiTheme="majorBidi" w:hAnsiTheme="majorBidi" w:cstheme="majorBidi"/>
        </w:rPr>
        <w:t xml:space="preserve">, Y.K. </w:t>
      </w:r>
      <w:proofErr w:type="spellStart"/>
      <w:r w:rsidRPr="005103A1">
        <w:rPr>
          <w:rFonts w:asciiTheme="majorBidi" w:hAnsiTheme="majorBidi" w:cstheme="majorBidi"/>
        </w:rPr>
        <w:t>Tse</w:t>
      </w:r>
      <w:proofErr w:type="spellEnd"/>
      <w:r w:rsidRPr="005103A1">
        <w:rPr>
          <w:rFonts w:asciiTheme="majorBidi" w:hAnsiTheme="majorBidi" w:cstheme="majorBidi"/>
        </w:rPr>
        <w:t xml:space="preserve"> and R.R. Nicholson (2018). ‘Essential micro-foundations for contemporary business operations: Top management tangible competencies, relationship-based business networks and environmental sustainability’, </w:t>
      </w:r>
      <w:r w:rsidRPr="005103A1">
        <w:rPr>
          <w:rFonts w:asciiTheme="majorBidi" w:hAnsiTheme="majorBidi" w:cstheme="majorBidi"/>
          <w:i/>
        </w:rPr>
        <w:t>British Journal of Management</w:t>
      </w:r>
      <w:r w:rsidRPr="005103A1">
        <w:rPr>
          <w:rFonts w:asciiTheme="majorBidi" w:hAnsiTheme="majorBidi" w:cstheme="majorBidi"/>
        </w:rPr>
        <w:t xml:space="preserve">, </w:t>
      </w:r>
      <w:r w:rsidRPr="005103A1">
        <w:rPr>
          <w:rFonts w:asciiTheme="majorBidi" w:hAnsiTheme="majorBidi" w:cstheme="majorBidi"/>
          <w:b/>
        </w:rPr>
        <w:t>29</w:t>
      </w:r>
      <w:r w:rsidRPr="005103A1">
        <w:rPr>
          <w:rFonts w:asciiTheme="majorBidi" w:hAnsiTheme="majorBidi" w:cstheme="majorBidi"/>
        </w:rPr>
        <w:t>, pp.43–62.</w:t>
      </w:r>
    </w:p>
    <w:p w14:paraId="1D486EBE" w14:textId="2EDE26A9" w:rsidR="00693483" w:rsidRPr="005103A1" w:rsidRDefault="00693483" w:rsidP="006E2FFE">
      <w:pPr>
        <w:spacing w:after="0" w:line="240" w:lineRule="auto"/>
        <w:ind w:left="288" w:hanging="288"/>
        <w:jc w:val="both"/>
        <w:rPr>
          <w:rFonts w:asciiTheme="majorBidi" w:hAnsiTheme="majorBidi" w:cstheme="majorBidi"/>
        </w:rPr>
      </w:pPr>
      <w:r w:rsidRPr="005103A1">
        <w:rPr>
          <w:rFonts w:asciiTheme="majorBidi" w:hAnsiTheme="majorBidi" w:cstheme="majorBidi"/>
        </w:rPr>
        <w:t>Arellano, M. and S. Bond (1991). ‘Some tests of specification for panel data: Monte Carlo evidence and an application to employment equations</w:t>
      </w:r>
      <w:r w:rsidR="0091096F" w:rsidRPr="005103A1">
        <w:rPr>
          <w:rFonts w:asciiTheme="majorBidi" w:hAnsiTheme="majorBidi" w:cstheme="majorBidi"/>
        </w:rPr>
        <w:t>’</w:t>
      </w:r>
      <w:r w:rsidRPr="005103A1">
        <w:rPr>
          <w:rFonts w:asciiTheme="majorBidi" w:hAnsiTheme="majorBidi" w:cstheme="majorBidi"/>
        </w:rPr>
        <w:t xml:space="preserve">, </w:t>
      </w:r>
      <w:r w:rsidRPr="005103A1">
        <w:rPr>
          <w:rFonts w:asciiTheme="majorBidi" w:hAnsiTheme="majorBidi" w:cstheme="majorBidi"/>
          <w:i/>
          <w:iCs/>
        </w:rPr>
        <w:t>Review of Economic Studies,</w:t>
      </w:r>
      <w:r w:rsidRPr="005103A1">
        <w:rPr>
          <w:rFonts w:asciiTheme="majorBidi" w:hAnsiTheme="majorBidi" w:cstheme="majorBidi"/>
        </w:rPr>
        <w:t xml:space="preserve"> </w:t>
      </w:r>
      <w:r w:rsidRPr="005103A1">
        <w:rPr>
          <w:rFonts w:asciiTheme="majorBidi" w:hAnsiTheme="majorBidi" w:cstheme="majorBidi"/>
          <w:b/>
        </w:rPr>
        <w:t>58</w:t>
      </w:r>
      <w:r w:rsidR="00AD2F35" w:rsidRPr="005103A1">
        <w:rPr>
          <w:rFonts w:asciiTheme="majorBidi" w:hAnsiTheme="majorBidi" w:cstheme="majorBidi"/>
        </w:rPr>
        <w:t>, pp.</w:t>
      </w:r>
      <w:r w:rsidRPr="005103A1">
        <w:rPr>
          <w:rFonts w:asciiTheme="majorBidi" w:hAnsiTheme="majorBidi" w:cstheme="majorBidi"/>
        </w:rPr>
        <w:t>277 – 297.</w:t>
      </w:r>
    </w:p>
    <w:p w14:paraId="7ECD3EF8" w14:textId="34556E8B" w:rsidR="00693483" w:rsidRPr="005103A1" w:rsidRDefault="0091096F" w:rsidP="00583F56">
      <w:pPr>
        <w:spacing w:after="0" w:line="240" w:lineRule="auto"/>
        <w:ind w:left="288" w:hanging="288"/>
        <w:jc w:val="both"/>
        <w:rPr>
          <w:rFonts w:asciiTheme="majorBidi" w:hAnsiTheme="majorBidi" w:cstheme="majorBidi"/>
        </w:rPr>
      </w:pPr>
      <w:r w:rsidRPr="00291DEF">
        <w:rPr>
          <w:rFonts w:asciiTheme="majorBidi" w:hAnsiTheme="majorBidi" w:cstheme="majorBidi"/>
        </w:rPr>
        <w:t xml:space="preserve">Arena, C., G. </w:t>
      </w:r>
      <w:proofErr w:type="spellStart"/>
      <w:r w:rsidRPr="00291DEF">
        <w:rPr>
          <w:rFonts w:asciiTheme="majorBidi" w:hAnsiTheme="majorBidi" w:cstheme="majorBidi"/>
        </w:rPr>
        <w:t>Michelon</w:t>
      </w:r>
      <w:proofErr w:type="spellEnd"/>
      <w:r w:rsidR="00693483" w:rsidRPr="003E076C">
        <w:rPr>
          <w:rFonts w:asciiTheme="majorBidi" w:hAnsiTheme="majorBidi" w:cstheme="majorBidi"/>
        </w:rPr>
        <w:t xml:space="preserve"> and </w:t>
      </w:r>
      <w:r w:rsidRPr="005103A1">
        <w:rPr>
          <w:rFonts w:asciiTheme="majorBidi" w:hAnsiTheme="majorBidi" w:cstheme="majorBidi"/>
        </w:rPr>
        <w:t xml:space="preserve">G. </w:t>
      </w:r>
      <w:proofErr w:type="spellStart"/>
      <w:r w:rsidR="00693483" w:rsidRPr="005103A1">
        <w:rPr>
          <w:rFonts w:asciiTheme="majorBidi" w:hAnsiTheme="majorBidi" w:cstheme="majorBidi"/>
        </w:rPr>
        <w:t>Trojanowski</w:t>
      </w:r>
      <w:proofErr w:type="spellEnd"/>
      <w:r w:rsidR="00693483" w:rsidRPr="005103A1">
        <w:rPr>
          <w:rFonts w:asciiTheme="majorBidi" w:hAnsiTheme="majorBidi" w:cstheme="majorBidi"/>
        </w:rPr>
        <w:t xml:space="preserve"> (2018). Big egos can be green: A study of CEO hubris and environmental innovation, </w:t>
      </w:r>
      <w:r w:rsidR="00693483" w:rsidRPr="005103A1">
        <w:rPr>
          <w:rFonts w:asciiTheme="majorBidi" w:hAnsiTheme="majorBidi" w:cstheme="majorBidi"/>
          <w:i/>
          <w:iCs/>
        </w:rPr>
        <w:t>British Journal of Management</w:t>
      </w:r>
      <w:r w:rsidR="00693483" w:rsidRPr="005103A1">
        <w:rPr>
          <w:rFonts w:asciiTheme="majorBidi" w:hAnsiTheme="majorBidi" w:cstheme="majorBidi"/>
        </w:rPr>
        <w:t xml:space="preserve">, </w:t>
      </w:r>
      <w:r w:rsidR="00693483" w:rsidRPr="005103A1">
        <w:rPr>
          <w:rFonts w:asciiTheme="majorBidi" w:hAnsiTheme="majorBidi" w:cstheme="majorBidi"/>
          <w:b/>
          <w:bCs/>
        </w:rPr>
        <w:t>29</w:t>
      </w:r>
      <w:r w:rsidR="00693483" w:rsidRPr="005103A1">
        <w:rPr>
          <w:rFonts w:asciiTheme="majorBidi" w:hAnsiTheme="majorBidi" w:cstheme="majorBidi"/>
        </w:rPr>
        <w:t>,</w:t>
      </w:r>
      <w:r w:rsidR="00AD2F35" w:rsidRPr="005103A1">
        <w:rPr>
          <w:rFonts w:asciiTheme="majorBidi" w:hAnsiTheme="majorBidi" w:cstheme="majorBidi"/>
        </w:rPr>
        <w:t xml:space="preserve"> pp.</w:t>
      </w:r>
      <w:r w:rsidR="00693483" w:rsidRPr="005103A1">
        <w:rPr>
          <w:rFonts w:asciiTheme="majorBidi" w:hAnsiTheme="majorBidi" w:cstheme="majorBidi"/>
        </w:rPr>
        <w:t>316–336.</w:t>
      </w:r>
    </w:p>
    <w:p w14:paraId="22F5A908" w14:textId="27444097" w:rsidR="00693483" w:rsidRPr="005103A1" w:rsidRDefault="00693483" w:rsidP="006E2FFE">
      <w:pPr>
        <w:spacing w:after="0" w:line="240" w:lineRule="auto"/>
        <w:ind w:left="288" w:hanging="288"/>
        <w:jc w:val="both"/>
        <w:rPr>
          <w:rFonts w:asciiTheme="majorBidi" w:hAnsiTheme="majorBidi" w:cstheme="majorBidi"/>
        </w:rPr>
      </w:pPr>
      <w:proofErr w:type="spellStart"/>
      <w:r w:rsidRPr="005103A1">
        <w:rPr>
          <w:rFonts w:asciiTheme="majorBidi" w:hAnsiTheme="majorBidi" w:cstheme="majorBidi"/>
        </w:rPr>
        <w:t>Ashforth</w:t>
      </w:r>
      <w:proofErr w:type="spellEnd"/>
      <w:r w:rsidRPr="005103A1">
        <w:rPr>
          <w:rFonts w:asciiTheme="majorBidi" w:hAnsiTheme="majorBidi" w:cstheme="majorBidi"/>
        </w:rPr>
        <w:t xml:space="preserve">, B.E. and </w:t>
      </w:r>
      <w:r w:rsidR="0091096F" w:rsidRPr="005103A1">
        <w:rPr>
          <w:rFonts w:asciiTheme="majorBidi" w:hAnsiTheme="majorBidi" w:cstheme="majorBidi"/>
        </w:rPr>
        <w:t>B.W Gibbs</w:t>
      </w:r>
      <w:r w:rsidRPr="005103A1">
        <w:rPr>
          <w:rFonts w:asciiTheme="majorBidi" w:hAnsiTheme="majorBidi" w:cstheme="majorBidi"/>
        </w:rPr>
        <w:t xml:space="preserve"> (1990). ‘The double-edge of organizational legitimation’, </w:t>
      </w:r>
      <w:r w:rsidRPr="005103A1">
        <w:rPr>
          <w:rFonts w:asciiTheme="majorBidi" w:hAnsiTheme="majorBidi" w:cstheme="majorBidi"/>
          <w:i/>
          <w:iCs/>
        </w:rPr>
        <w:t>Organization Science</w:t>
      </w:r>
      <w:r w:rsidRPr="005103A1">
        <w:rPr>
          <w:rFonts w:asciiTheme="majorBidi" w:hAnsiTheme="majorBidi" w:cstheme="majorBidi"/>
          <w:b/>
          <w:bCs/>
        </w:rPr>
        <w:t>, 1</w:t>
      </w:r>
      <w:r w:rsidRPr="005103A1">
        <w:rPr>
          <w:rFonts w:asciiTheme="majorBidi" w:hAnsiTheme="majorBidi" w:cstheme="majorBidi"/>
        </w:rPr>
        <w:t>, pp.177-193.</w:t>
      </w:r>
    </w:p>
    <w:p w14:paraId="456251FA" w14:textId="77777777" w:rsidR="00693483" w:rsidRPr="005103A1" w:rsidRDefault="00693483" w:rsidP="006E2FFE">
      <w:pPr>
        <w:spacing w:after="0" w:line="240" w:lineRule="auto"/>
        <w:ind w:left="288" w:hanging="288"/>
        <w:jc w:val="both"/>
        <w:rPr>
          <w:rFonts w:asciiTheme="majorBidi" w:hAnsiTheme="majorBidi" w:cstheme="majorBidi"/>
        </w:rPr>
      </w:pPr>
      <w:proofErr w:type="spellStart"/>
      <w:r w:rsidRPr="00291DEF">
        <w:rPr>
          <w:rFonts w:asciiTheme="majorBidi" w:hAnsiTheme="majorBidi" w:cstheme="majorBidi"/>
        </w:rPr>
        <w:t>Baboukardo</w:t>
      </w:r>
      <w:proofErr w:type="spellEnd"/>
      <w:r w:rsidRPr="00291DEF">
        <w:rPr>
          <w:rFonts w:asciiTheme="majorBidi" w:hAnsiTheme="majorBidi" w:cstheme="majorBidi"/>
        </w:rPr>
        <w:t>, D. (2018). ‘T</w:t>
      </w:r>
      <w:r w:rsidRPr="003E076C">
        <w:rPr>
          <w:rFonts w:asciiTheme="majorBidi" w:hAnsiTheme="majorBidi" w:cstheme="majorBidi"/>
        </w:rPr>
        <w:t xml:space="preserve">he valuation relevance of environmental performance revisited: The moderating role of environmental provisions’, </w:t>
      </w:r>
      <w:r w:rsidRPr="005103A1">
        <w:rPr>
          <w:rFonts w:asciiTheme="majorBidi" w:hAnsiTheme="majorBidi" w:cstheme="majorBidi"/>
          <w:i/>
          <w:iCs/>
        </w:rPr>
        <w:t>British Accounting Review</w:t>
      </w:r>
      <w:r w:rsidRPr="005103A1">
        <w:rPr>
          <w:rFonts w:asciiTheme="majorBidi" w:hAnsiTheme="majorBidi" w:cstheme="majorBidi"/>
        </w:rPr>
        <w:t xml:space="preserve">, </w:t>
      </w:r>
      <w:r w:rsidRPr="005103A1">
        <w:rPr>
          <w:rFonts w:asciiTheme="majorBidi" w:hAnsiTheme="majorBidi" w:cstheme="majorBidi"/>
          <w:b/>
          <w:bCs/>
        </w:rPr>
        <w:t>50</w:t>
      </w:r>
      <w:r w:rsidRPr="005103A1">
        <w:rPr>
          <w:rFonts w:asciiTheme="majorBidi" w:hAnsiTheme="majorBidi" w:cstheme="majorBidi"/>
        </w:rPr>
        <w:t>, pp.32-47.</w:t>
      </w:r>
    </w:p>
    <w:p w14:paraId="67EFB4E4" w14:textId="0AA8F4BA" w:rsidR="00693483" w:rsidRPr="005103A1" w:rsidRDefault="00693483" w:rsidP="00583F56">
      <w:pPr>
        <w:spacing w:after="0" w:line="240" w:lineRule="auto"/>
        <w:ind w:left="288" w:hanging="288"/>
        <w:jc w:val="both"/>
        <w:rPr>
          <w:rFonts w:asciiTheme="majorBidi" w:hAnsiTheme="majorBidi" w:cstheme="majorBidi"/>
        </w:rPr>
      </w:pPr>
      <w:proofErr w:type="spellStart"/>
      <w:r w:rsidRPr="00291DEF">
        <w:rPr>
          <w:rFonts w:asciiTheme="majorBidi" w:hAnsiTheme="majorBidi" w:cstheme="majorBidi"/>
        </w:rPr>
        <w:t>Bernardi</w:t>
      </w:r>
      <w:proofErr w:type="spellEnd"/>
      <w:r w:rsidRPr="00291DEF">
        <w:rPr>
          <w:rFonts w:asciiTheme="majorBidi" w:hAnsiTheme="majorBidi" w:cstheme="majorBidi"/>
        </w:rPr>
        <w:t xml:space="preserve">, C. and </w:t>
      </w:r>
      <w:r w:rsidR="0091096F" w:rsidRPr="003E076C">
        <w:rPr>
          <w:rFonts w:asciiTheme="majorBidi" w:hAnsiTheme="majorBidi" w:cstheme="majorBidi"/>
        </w:rPr>
        <w:t>A.W. Stark</w:t>
      </w:r>
      <w:r w:rsidRPr="005103A1">
        <w:rPr>
          <w:rFonts w:asciiTheme="majorBidi" w:hAnsiTheme="majorBidi" w:cstheme="majorBidi"/>
        </w:rPr>
        <w:t xml:space="preserve"> (2018). ‘Environmental, social and governance disclosure, integrated reporting, and the accuracy of analyst forecasts’, </w:t>
      </w:r>
      <w:r w:rsidRPr="005103A1">
        <w:rPr>
          <w:rFonts w:asciiTheme="majorBidi" w:hAnsiTheme="majorBidi" w:cstheme="majorBidi"/>
          <w:i/>
          <w:iCs/>
        </w:rPr>
        <w:t>British Accounting Review</w:t>
      </w:r>
      <w:r w:rsidRPr="005103A1">
        <w:rPr>
          <w:rFonts w:asciiTheme="majorBidi" w:hAnsiTheme="majorBidi" w:cstheme="majorBidi"/>
        </w:rPr>
        <w:t xml:space="preserve">, </w:t>
      </w:r>
      <w:r w:rsidRPr="005103A1">
        <w:rPr>
          <w:rFonts w:asciiTheme="majorBidi" w:hAnsiTheme="majorBidi" w:cstheme="majorBidi"/>
          <w:b/>
          <w:bCs/>
        </w:rPr>
        <w:t>50</w:t>
      </w:r>
      <w:r w:rsidRPr="005103A1">
        <w:rPr>
          <w:rFonts w:asciiTheme="majorBidi" w:hAnsiTheme="majorBidi" w:cstheme="majorBidi"/>
        </w:rPr>
        <w:t>, 16-31.</w:t>
      </w:r>
    </w:p>
    <w:p w14:paraId="71FB7D32" w14:textId="0F50E9D9" w:rsidR="00693483" w:rsidRPr="005103A1" w:rsidRDefault="00693483" w:rsidP="000B468E">
      <w:pPr>
        <w:spacing w:after="0" w:line="240" w:lineRule="auto"/>
        <w:ind w:left="288" w:hanging="288"/>
        <w:jc w:val="both"/>
        <w:rPr>
          <w:rFonts w:asciiTheme="majorBidi" w:hAnsiTheme="majorBidi" w:cstheme="majorBidi"/>
        </w:rPr>
      </w:pPr>
      <w:r w:rsidRPr="005103A1">
        <w:rPr>
          <w:rFonts w:asciiTheme="majorBidi" w:hAnsiTheme="majorBidi" w:cstheme="majorBidi"/>
        </w:rPr>
        <w:t xml:space="preserve">Berrone, P. and L. Gomez-Mejia (2009). ‘Environmental performance and executive compensation: an integrated agency-institutional perspective’, </w:t>
      </w:r>
      <w:r w:rsidRPr="005103A1">
        <w:rPr>
          <w:rFonts w:asciiTheme="majorBidi" w:hAnsiTheme="majorBidi" w:cstheme="majorBidi"/>
          <w:i/>
          <w:iCs/>
        </w:rPr>
        <w:t>Academy of Management Journal</w:t>
      </w:r>
      <w:r w:rsidRPr="005103A1">
        <w:rPr>
          <w:rFonts w:asciiTheme="majorBidi" w:hAnsiTheme="majorBidi" w:cstheme="majorBidi"/>
        </w:rPr>
        <w:t xml:space="preserve">, </w:t>
      </w:r>
      <w:r w:rsidRPr="005103A1">
        <w:rPr>
          <w:rFonts w:asciiTheme="majorBidi" w:hAnsiTheme="majorBidi" w:cstheme="majorBidi"/>
          <w:b/>
        </w:rPr>
        <w:t>52</w:t>
      </w:r>
      <w:r w:rsidR="00AD2F35" w:rsidRPr="005103A1">
        <w:rPr>
          <w:rFonts w:asciiTheme="majorBidi" w:hAnsiTheme="majorBidi" w:cstheme="majorBidi"/>
        </w:rPr>
        <w:t>, pp.</w:t>
      </w:r>
      <w:r w:rsidRPr="005103A1">
        <w:rPr>
          <w:rFonts w:asciiTheme="majorBidi" w:hAnsiTheme="majorBidi" w:cstheme="majorBidi"/>
        </w:rPr>
        <w:t>103–126.</w:t>
      </w:r>
    </w:p>
    <w:p w14:paraId="2FD547A1" w14:textId="28E8C2F0" w:rsidR="004B23CC" w:rsidRDefault="00693483" w:rsidP="004B23CC">
      <w:pPr>
        <w:spacing w:after="0" w:line="240" w:lineRule="auto"/>
        <w:ind w:left="288" w:hanging="288"/>
        <w:jc w:val="both"/>
        <w:rPr>
          <w:rFonts w:asciiTheme="majorBidi" w:hAnsiTheme="majorBidi" w:cstheme="majorBidi"/>
        </w:rPr>
      </w:pPr>
      <w:r w:rsidRPr="005103A1">
        <w:rPr>
          <w:rFonts w:asciiTheme="majorBidi" w:hAnsiTheme="majorBidi" w:cstheme="majorBidi"/>
        </w:rPr>
        <w:t xml:space="preserve">Blundell, R.W. and S.R. Bond (1998). ‘Initial conditions and moment restrictions in dynamic panel data models’, </w:t>
      </w:r>
      <w:r w:rsidRPr="005103A1">
        <w:rPr>
          <w:rFonts w:asciiTheme="majorBidi" w:hAnsiTheme="majorBidi" w:cstheme="majorBidi"/>
          <w:i/>
          <w:iCs/>
        </w:rPr>
        <w:t>Journal of Econometrics</w:t>
      </w:r>
      <w:r w:rsidRPr="005103A1">
        <w:rPr>
          <w:rFonts w:asciiTheme="majorBidi" w:hAnsiTheme="majorBidi" w:cstheme="majorBidi"/>
        </w:rPr>
        <w:t xml:space="preserve">, </w:t>
      </w:r>
      <w:r w:rsidRPr="005103A1">
        <w:rPr>
          <w:rFonts w:asciiTheme="majorBidi" w:hAnsiTheme="majorBidi" w:cstheme="majorBidi"/>
          <w:b/>
        </w:rPr>
        <w:t>87</w:t>
      </w:r>
      <w:r w:rsidRPr="005103A1">
        <w:rPr>
          <w:rFonts w:asciiTheme="majorBidi" w:hAnsiTheme="majorBidi" w:cstheme="majorBidi"/>
        </w:rPr>
        <w:t>, pp. 115–143.</w:t>
      </w:r>
    </w:p>
    <w:p w14:paraId="3641E3E8" w14:textId="77777777" w:rsidR="000839DB" w:rsidRPr="005103A1" w:rsidRDefault="000839DB" w:rsidP="000839DB">
      <w:pPr>
        <w:spacing w:after="0" w:line="240" w:lineRule="auto"/>
        <w:ind w:left="288" w:hanging="288"/>
        <w:jc w:val="both"/>
        <w:rPr>
          <w:rFonts w:asciiTheme="majorBidi" w:hAnsiTheme="majorBidi" w:cstheme="majorBidi"/>
        </w:rPr>
      </w:pPr>
      <w:r w:rsidRPr="005103A1">
        <w:rPr>
          <w:rFonts w:asciiTheme="majorBidi" w:hAnsiTheme="majorBidi" w:cstheme="majorBidi"/>
        </w:rPr>
        <w:t>Bold</w:t>
      </w:r>
      <w:r>
        <w:rPr>
          <w:rFonts w:asciiTheme="majorBidi" w:hAnsiTheme="majorBidi" w:cstheme="majorBidi"/>
        </w:rPr>
        <w:t>, F.</w:t>
      </w:r>
      <w:r w:rsidRPr="005103A1">
        <w:rPr>
          <w:rFonts w:asciiTheme="majorBidi" w:hAnsiTheme="majorBidi" w:cstheme="majorBidi"/>
        </w:rPr>
        <w:t xml:space="preserve"> (2016). ‘Shareholder rights directive: Policy brief’. Accessed date: 30 June 2017. </w:t>
      </w:r>
      <w:hyperlink r:id="rId11" w:history="1">
        <w:r w:rsidRPr="005103A1">
          <w:rPr>
            <w:rStyle w:val="Hyperlink"/>
            <w:rFonts w:asciiTheme="majorBidi" w:hAnsiTheme="majorBidi" w:cstheme="majorBidi"/>
          </w:rPr>
          <w:t>http://www.purposeofcorporation.org/documents/briefing-shareholder-rights-directive.pdf</w:t>
        </w:r>
      </w:hyperlink>
      <w:r w:rsidRPr="005103A1">
        <w:rPr>
          <w:rFonts w:asciiTheme="majorBidi" w:hAnsiTheme="majorBidi" w:cstheme="majorBidi"/>
        </w:rPr>
        <w:t xml:space="preserve"> </w:t>
      </w:r>
    </w:p>
    <w:p w14:paraId="57CB77BD" w14:textId="43E9B181" w:rsidR="004B23CC" w:rsidRPr="005103A1" w:rsidRDefault="004B23CC" w:rsidP="004B23CC">
      <w:pPr>
        <w:spacing w:after="0" w:line="240" w:lineRule="auto"/>
        <w:ind w:left="288" w:hanging="288"/>
        <w:jc w:val="both"/>
        <w:rPr>
          <w:rFonts w:asciiTheme="majorBidi" w:hAnsiTheme="majorBidi" w:cstheme="majorBidi"/>
        </w:rPr>
      </w:pPr>
      <w:r w:rsidRPr="00291DEF">
        <w:rPr>
          <w:rFonts w:asciiTheme="majorBidi" w:hAnsiTheme="majorBidi" w:cstheme="majorBidi"/>
        </w:rPr>
        <w:t xml:space="preserve">Brooks, C. and </w:t>
      </w:r>
      <w:r w:rsidR="00360F6F" w:rsidRPr="003E076C">
        <w:rPr>
          <w:rFonts w:asciiTheme="majorBidi" w:hAnsiTheme="majorBidi" w:cstheme="majorBidi"/>
        </w:rPr>
        <w:t xml:space="preserve">L. </w:t>
      </w:r>
      <w:proofErr w:type="spellStart"/>
      <w:r w:rsidR="00360F6F" w:rsidRPr="003E076C">
        <w:rPr>
          <w:rFonts w:asciiTheme="majorBidi" w:hAnsiTheme="majorBidi" w:cstheme="majorBidi"/>
        </w:rPr>
        <w:t>Schopohl</w:t>
      </w:r>
      <w:proofErr w:type="spellEnd"/>
      <w:r w:rsidRPr="005103A1">
        <w:rPr>
          <w:rFonts w:asciiTheme="majorBidi" w:hAnsiTheme="majorBidi" w:cstheme="majorBidi"/>
        </w:rPr>
        <w:t xml:space="preserve"> (2019). Special issue: Green accounting and finance. </w:t>
      </w:r>
      <w:r w:rsidRPr="005103A1">
        <w:rPr>
          <w:rFonts w:asciiTheme="majorBidi" w:hAnsiTheme="majorBidi" w:cstheme="majorBidi"/>
          <w:i/>
          <w:iCs/>
        </w:rPr>
        <w:t>British Accounting Review</w:t>
      </w:r>
      <w:r w:rsidRPr="005103A1">
        <w:rPr>
          <w:rFonts w:asciiTheme="majorBidi" w:hAnsiTheme="majorBidi" w:cstheme="majorBidi"/>
        </w:rPr>
        <w:t xml:space="preserve">, Available at: </w:t>
      </w:r>
      <w:hyperlink r:id="rId12" w:history="1">
        <w:r w:rsidRPr="003E076C">
          <w:rPr>
            <w:rStyle w:val="Hyperlink"/>
            <w:rFonts w:asciiTheme="majorBidi" w:hAnsiTheme="majorBidi" w:cstheme="majorBidi"/>
          </w:rPr>
          <w:t>https://www.journals.elsevier.com/the-british-accounting-review/call-for-papers/s</w:t>
        </w:r>
        <w:r w:rsidRPr="005103A1">
          <w:rPr>
            <w:rStyle w:val="Hyperlink"/>
            <w:rFonts w:asciiTheme="majorBidi" w:hAnsiTheme="majorBidi" w:cstheme="majorBidi"/>
          </w:rPr>
          <w:t>pecial-issue-green-accounting-and-finance</w:t>
        </w:r>
      </w:hyperlink>
      <w:r w:rsidRPr="00291DEF">
        <w:rPr>
          <w:rFonts w:asciiTheme="majorBidi" w:hAnsiTheme="majorBidi" w:cstheme="majorBidi"/>
        </w:rPr>
        <w:t>. Accessed on 19 January 2019.</w:t>
      </w:r>
    </w:p>
    <w:p w14:paraId="6672502D" w14:textId="495B92A5" w:rsidR="00693483" w:rsidRPr="005103A1" w:rsidRDefault="00693483" w:rsidP="000B468E">
      <w:pPr>
        <w:spacing w:after="0" w:line="240" w:lineRule="auto"/>
        <w:ind w:left="288" w:hanging="288"/>
        <w:jc w:val="both"/>
        <w:rPr>
          <w:rFonts w:asciiTheme="majorBidi" w:hAnsiTheme="majorBidi" w:cstheme="majorBidi"/>
        </w:rPr>
      </w:pPr>
      <w:r w:rsidRPr="005103A1">
        <w:rPr>
          <w:rFonts w:asciiTheme="majorBidi" w:hAnsiTheme="majorBidi" w:cstheme="majorBidi"/>
        </w:rPr>
        <w:t xml:space="preserve">Busch, T. and V.H. Hoffmann (2011). ‘How hot is your bottom line? Linking carbon and financial performance’, </w:t>
      </w:r>
      <w:r w:rsidRPr="005103A1">
        <w:rPr>
          <w:rFonts w:asciiTheme="majorBidi" w:hAnsiTheme="majorBidi" w:cstheme="majorBidi"/>
          <w:i/>
          <w:iCs/>
        </w:rPr>
        <w:t>Business &amp; Society,</w:t>
      </w:r>
      <w:r w:rsidRPr="005103A1">
        <w:rPr>
          <w:rFonts w:asciiTheme="majorBidi" w:hAnsiTheme="majorBidi" w:cstheme="majorBidi"/>
        </w:rPr>
        <w:t xml:space="preserve"> </w:t>
      </w:r>
      <w:r w:rsidRPr="005103A1">
        <w:rPr>
          <w:rFonts w:asciiTheme="majorBidi" w:hAnsiTheme="majorBidi" w:cstheme="majorBidi"/>
          <w:b/>
        </w:rPr>
        <w:t>50</w:t>
      </w:r>
      <w:r w:rsidR="00AD2F35" w:rsidRPr="005103A1">
        <w:rPr>
          <w:rFonts w:asciiTheme="majorBidi" w:hAnsiTheme="majorBidi" w:cstheme="majorBidi"/>
        </w:rPr>
        <w:t>, pp.</w:t>
      </w:r>
      <w:r w:rsidRPr="005103A1">
        <w:rPr>
          <w:rFonts w:asciiTheme="majorBidi" w:hAnsiTheme="majorBidi" w:cstheme="majorBidi"/>
        </w:rPr>
        <w:t>233–265.</w:t>
      </w:r>
    </w:p>
    <w:p w14:paraId="4A7AB67F" w14:textId="6A3B11B8" w:rsidR="00693483" w:rsidRPr="005103A1" w:rsidRDefault="00693483" w:rsidP="00583F56">
      <w:pPr>
        <w:spacing w:after="0" w:line="240" w:lineRule="auto"/>
        <w:ind w:left="288" w:hanging="288"/>
        <w:jc w:val="both"/>
        <w:rPr>
          <w:rFonts w:asciiTheme="majorBidi" w:hAnsiTheme="majorBidi" w:cstheme="majorBidi"/>
        </w:rPr>
      </w:pPr>
      <w:r w:rsidRPr="005103A1">
        <w:rPr>
          <w:rFonts w:asciiTheme="majorBidi" w:hAnsiTheme="majorBidi" w:cstheme="majorBidi"/>
        </w:rPr>
        <w:t xml:space="preserve">Campbell, K., D. Johnston, S.E. </w:t>
      </w:r>
      <w:proofErr w:type="spellStart"/>
      <w:r w:rsidRPr="005103A1">
        <w:rPr>
          <w:rFonts w:asciiTheme="majorBidi" w:hAnsiTheme="majorBidi" w:cstheme="majorBidi"/>
        </w:rPr>
        <w:t>Sefcik</w:t>
      </w:r>
      <w:proofErr w:type="spellEnd"/>
      <w:r w:rsidRPr="005103A1">
        <w:rPr>
          <w:rFonts w:asciiTheme="majorBidi" w:hAnsiTheme="majorBidi" w:cstheme="majorBidi"/>
        </w:rPr>
        <w:t xml:space="preserve"> and N.S. </w:t>
      </w:r>
      <w:proofErr w:type="spellStart"/>
      <w:r w:rsidRPr="005103A1">
        <w:rPr>
          <w:rFonts w:asciiTheme="majorBidi" w:hAnsiTheme="majorBidi" w:cstheme="majorBidi"/>
        </w:rPr>
        <w:t>Soderstrom</w:t>
      </w:r>
      <w:proofErr w:type="spellEnd"/>
      <w:r w:rsidRPr="005103A1">
        <w:rPr>
          <w:rFonts w:asciiTheme="majorBidi" w:hAnsiTheme="majorBidi" w:cstheme="majorBidi"/>
        </w:rPr>
        <w:t xml:space="preserve"> (2007). ‘Executive compensation and nonfinancial risk: An empirical examination’, </w:t>
      </w:r>
      <w:r w:rsidRPr="005103A1">
        <w:rPr>
          <w:rFonts w:asciiTheme="majorBidi" w:hAnsiTheme="majorBidi" w:cstheme="majorBidi"/>
          <w:i/>
          <w:iCs/>
        </w:rPr>
        <w:t>Journal of Accounting and Public Policy,</w:t>
      </w:r>
      <w:r w:rsidRPr="005103A1">
        <w:rPr>
          <w:rFonts w:asciiTheme="majorBidi" w:hAnsiTheme="majorBidi" w:cstheme="majorBidi"/>
        </w:rPr>
        <w:t xml:space="preserve"> </w:t>
      </w:r>
      <w:r w:rsidRPr="005103A1">
        <w:rPr>
          <w:rFonts w:asciiTheme="majorBidi" w:hAnsiTheme="majorBidi" w:cstheme="majorBidi"/>
          <w:b/>
        </w:rPr>
        <w:t>26</w:t>
      </w:r>
      <w:r w:rsidRPr="005103A1">
        <w:rPr>
          <w:rFonts w:asciiTheme="majorBidi" w:hAnsiTheme="majorBidi" w:cstheme="majorBidi"/>
        </w:rPr>
        <w:t>, pp.436–462.</w:t>
      </w:r>
    </w:p>
    <w:p w14:paraId="60B81268" w14:textId="77777777" w:rsidR="00693483" w:rsidRPr="005103A1" w:rsidRDefault="00693483" w:rsidP="00583F56">
      <w:pPr>
        <w:spacing w:after="0" w:line="240" w:lineRule="auto"/>
        <w:ind w:left="288" w:hanging="288"/>
        <w:jc w:val="both"/>
        <w:rPr>
          <w:rFonts w:asciiTheme="majorBidi" w:hAnsiTheme="majorBidi" w:cstheme="majorBidi"/>
        </w:rPr>
      </w:pPr>
      <w:r w:rsidRPr="00291DEF">
        <w:rPr>
          <w:rFonts w:asciiTheme="majorBidi" w:hAnsiTheme="majorBidi" w:cstheme="majorBidi"/>
        </w:rPr>
        <w:t xml:space="preserve">Chahine, S. and M. </w:t>
      </w:r>
      <w:proofErr w:type="spellStart"/>
      <w:r w:rsidRPr="00291DEF">
        <w:rPr>
          <w:rFonts w:asciiTheme="majorBidi" w:hAnsiTheme="majorBidi" w:cstheme="majorBidi"/>
        </w:rPr>
        <w:t>Goergen</w:t>
      </w:r>
      <w:proofErr w:type="spellEnd"/>
      <w:r w:rsidRPr="00291DEF">
        <w:rPr>
          <w:rFonts w:asciiTheme="majorBidi" w:hAnsiTheme="majorBidi" w:cstheme="majorBidi"/>
        </w:rPr>
        <w:t xml:space="preserve">, M. (2014). </w:t>
      </w:r>
      <w:hyperlink r:id="rId13" w:history="1">
        <w:r w:rsidRPr="003E076C">
          <w:rPr>
            <w:rStyle w:val="Hyperlink"/>
            <w:rFonts w:asciiTheme="majorBidi" w:hAnsiTheme="majorBidi" w:cstheme="majorBidi"/>
          </w:rPr>
          <w:t>Top management ties wit</w:t>
        </w:r>
        <w:r w:rsidRPr="005103A1">
          <w:rPr>
            <w:rStyle w:val="Hyperlink"/>
            <w:rFonts w:asciiTheme="majorBidi" w:hAnsiTheme="majorBidi" w:cstheme="majorBidi"/>
          </w:rPr>
          <w:t>h board members: How they affect pay–performance sensitivity and IPO performance</w:t>
        </w:r>
      </w:hyperlink>
      <w:r w:rsidRPr="00291DEF">
        <w:rPr>
          <w:rFonts w:asciiTheme="majorBidi" w:hAnsiTheme="majorBidi" w:cstheme="majorBidi"/>
        </w:rPr>
        <w:t xml:space="preserve">?’, </w:t>
      </w:r>
      <w:r w:rsidRPr="003E076C">
        <w:rPr>
          <w:rFonts w:asciiTheme="majorBidi" w:hAnsiTheme="majorBidi" w:cstheme="majorBidi"/>
          <w:i/>
          <w:iCs/>
        </w:rPr>
        <w:t>Journal of Corporate Finance</w:t>
      </w:r>
      <w:r w:rsidRPr="005103A1">
        <w:rPr>
          <w:rFonts w:asciiTheme="majorBidi" w:hAnsiTheme="majorBidi" w:cstheme="majorBidi"/>
        </w:rPr>
        <w:t xml:space="preserve">, </w:t>
      </w:r>
      <w:r w:rsidRPr="005103A1">
        <w:rPr>
          <w:rFonts w:asciiTheme="majorBidi" w:hAnsiTheme="majorBidi" w:cstheme="majorBidi"/>
          <w:b/>
          <w:bCs/>
        </w:rPr>
        <w:t>27</w:t>
      </w:r>
      <w:r w:rsidRPr="005103A1">
        <w:rPr>
          <w:rFonts w:asciiTheme="majorBidi" w:hAnsiTheme="majorBidi" w:cstheme="majorBidi"/>
        </w:rPr>
        <w:t>, pp.99-115.</w:t>
      </w:r>
    </w:p>
    <w:p w14:paraId="10A70BAE" w14:textId="2D47CB99" w:rsidR="00693483" w:rsidRPr="005103A1" w:rsidRDefault="00693483" w:rsidP="000B468E">
      <w:pPr>
        <w:spacing w:after="0" w:line="240" w:lineRule="auto"/>
        <w:ind w:left="288" w:hanging="288"/>
        <w:jc w:val="both"/>
        <w:rPr>
          <w:rFonts w:asciiTheme="majorBidi" w:hAnsiTheme="majorBidi" w:cstheme="majorBidi"/>
        </w:rPr>
      </w:pPr>
      <w:r w:rsidRPr="005103A1">
        <w:rPr>
          <w:rFonts w:asciiTheme="majorBidi" w:hAnsiTheme="majorBidi" w:cstheme="majorBidi"/>
          <w:lang w:val="en-US"/>
        </w:rPr>
        <w:t xml:space="preserve">Chang, L., W. Li. and X. Lu (2015). ‘Government engagement, environmental policy, and environmental performance: Evidence from the most polluting Chinese listed firms’, </w:t>
      </w:r>
      <w:r w:rsidRPr="005103A1">
        <w:rPr>
          <w:rFonts w:asciiTheme="majorBidi" w:hAnsiTheme="majorBidi" w:cstheme="majorBidi"/>
          <w:i/>
          <w:iCs/>
          <w:lang w:val="en-US"/>
        </w:rPr>
        <w:t>Business Strategy and the Environment</w:t>
      </w:r>
      <w:r w:rsidRPr="005103A1">
        <w:rPr>
          <w:rFonts w:asciiTheme="majorBidi" w:hAnsiTheme="majorBidi" w:cstheme="majorBidi"/>
          <w:lang w:val="en-US"/>
        </w:rPr>
        <w:t xml:space="preserve">, </w:t>
      </w:r>
      <w:r w:rsidRPr="005103A1">
        <w:rPr>
          <w:rFonts w:asciiTheme="majorBidi" w:hAnsiTheme="majorBidi" w:cstheme="majorBidi"/>
          <w:b/>
          <w:lang w:val="en-US"/>
        </w:rPr>
        <w:t>24</w:t>
      </w:r>
      <w:r w:rsidRPr="005103A1">
        <w:rPr>
          <w:rFonts w:asciiTheme="majorBidi" w:hAnsiTheme="majorBidi" w:cstheme="majorBidi"/>
          <w:lang w:val="en-US"/>
        </w:rPr>
        <w:t>, pp.1</w:t>
      </w:r>
      <w:r w:rsidRPr="005103A1">
        <w:rPr>
          <w:rFonts w:asciiTheme="majorBidi" w:eastAsia="AdvTTcbb99584+20" w:hAnsiTheme="majorBidi" w:cstheme="majorBidi"/>
          <w:lang w:val="en-US"/>
        </w:rPr>
        <w:t>–</w:t>
      </w:r>
      <w:r w:rsidRPr="005103A1">
        <w:rPr>
          <w:rFonts w:asciiTheme="majorBidi" w:hAnsiTheme="majorBidi" w:cstheme="majorBidi"/>
          <w:lang w:val="en-US"/>
        </w:rPr>
        <w:t>19</w:t>
      </w:r>
    </w:p>
    <w:p w14:paraId="7377DB43" w14:textId="2D458FD5" w:rsidR="00693483" w:rsidRPr="005103A1" w:rsidRDefault="00693483" w:rsidP="000B468E">
      <w:pPr>
        <w:spacing w:after="0" w:line="240" w:lineRule="auto"/>
        <w:ind w:left="288" w:hanging="288"/>
        <w:jc w:val="both"/>
        <w:rPr>
          <w:rFonts w:asciiTheme="majorBidi" w:hAnsiTheme="majorBidi" w:cstheme="majorBidi"/>
        </w:rPr>
      </w:pPr>
      <w:r w:rsidRPr="005103A1">
        <w:rPr>
          <w:rFonts w:asciiTheme="majorBidi" w:hAnsiTheme="majorBidi" w:cstheme="majorBidi"/>
          <w:lang w:val="en-US"/>
        </w:rPr>
        <w:t xml:space="preserve">Clarkson, P.M., Y. Li, M. </w:t>
      </w:r>
      <w:proofErr w:type="spellStart"/>
      <w:r w:rsidRPr="005103A1">
        <w:rPr>
          <w:rFonts w:asciiTheme="majorBidi" w:hAnsiTheme="majorBidi" w:cstheme="majorBidi"/>
          <w:lang w:val="en-US"/>
        </w:rPr>
        <w:t>Pinnuck</w:t>
      </w:r>
      <w:proofErr w:type="spellEnd"/>
      <w:r w:rsidRPr="005103A1">
        <w:rPr>
          <w:rFonts w:asciiTheme="majorBidi" w:hAnsiTheme="majorBidi" w:cstheme="majorBidi"/>
          <w:lang w:val="en-US"/>
        </w:rPr>
        <w:t xml:space="preserve"> and G.D. Richardson (2015). ‘The valuation relevance of greenhouse gas emissions under the European Union carbon emissions trading scheme’, </w:t>
      </w:r>
      <w:r w:rsidRPr="005103A1">
        <w:rPr>
          <w:rFonts w:asciiTheme="majorBidi" w:hAnsiTheme="majorBidi" w:cstheme="majorBidi"/>
          <w:i/>
          <w:iCs/>
          <w:lang w:val="en-US"/>
        </w:rPr>
        <w:t>European Accounting Review,</w:t>
      </w:r>
      <w:r w:rsidRPr="005103A1">
        <w:rPr>
          <w:rFonts w:asciiTheme="majorBidi" w:hAnsiTheme="majorBidi" w:cstheme="majorBidi"/>
          <w:lang w:val="en-US"/>
        </w:rPr>
        <w:t xml:space="preserve"> </w:t>
      </w:r>
      <w:r w:rsidRPr="005103A1">
        <w:rPr>
          <w:rFonts w:asciiTheme="majorBidi" w:hAnsiTheme="majorBidi" w:cstheme="majorBidi"/>
          <w:b/>
          <w:lang w:val="en-US"/>
        </w:rPr>
        <w:t>24</w:t>
      </w:r>
      <w:r w:rsidRPr="005103A1">
        <w:rPr>
          <w:rFonts w:asciiTheme="majorBidi" w:hAnsiTheme="majorBidi" w:cstheme="majorBidi"/>
          <w:lang w:val="en-US"/>
        </w:rPr>
        <w:t>, pp.551-580.</w:t>
      </w:r>
    </w:p>
    <w:p w14:paraId="58239D5D" w14:textId="77777777" w:rsidR="00693483" w:rsidRPr="005103A1" w:rsidRDefault="00693483" w:rsidP="00693483">
      <w:pPr>
        <w:spacing w:after="0" w:line="240" w:lineRule="auto"/>
        <w:ind w:left="288" w:hanging="288"/>
        <w:jc w:val="both"/>
        <w:rPr>
          <w:rFonts w:asciiTheme="majorBidi" w:hAnsiTheme="majorBidi" w:cstheme="majorBidi"/>
        </w:rPr>
      </w:pPr>
      <w:r w:rsidRPr="00291DEF">
        <w:rPr>
          <w:rFonts w:asciiTheme="majorBidi" w:hAnsiTheme="majorBidi" w:cstheme="majorBidi"/>
        </w:rPr>
        <w:t xml:space="preserve">Climate Bonds Initiatives (CBI) (2019). Green bonds. Available at: </w:t>
      </w:r>
      <w:hyperlink r:id="rId14" w:history="1">
        <w:r w:rsidRPr="003E076C">
          <w:rPr>
            <w:rStyle w:val="Hyperlink"/>
            <w:rFonts w:asciiTheme="majorBidi" w:hAnsiTheme="majorBidi" w:cstheme="majorBidi"/>
          </w:rPr>
          <w:t>https://www.climatebonds.net/about</w:t>
        </w:r>
      </w:hyperlink>
      <w:r w:rsidRPr="00291DEF">
        <w:rPr>
          <w:rFonts w:asciiTheme="majorBidi" w:hAnsiTheme="majorBidi" w:cstheme="majorBidi"/>
        </w:rPr>
        <w:t>, Accessed on 19 January 2019.</w:t>
      </w:r>
    </w:p>
    <w:p w14:paraId="2C9E6759" w14:textId="13EF8A7F" w:rsidR="009B3381" w:rsidRPr="005103A1" w:rsidRDefault="009B3381" w:rsidP="009B3381">
      <w:pPr>
        <w:spacing w:after="0" w:line="240" w:lineRule="auto"/>
        <w:ind w:left="288" w:hanging="288"/>
        <w:jc w:val="both"/>
        <w:rPr>
          <w:rFonts w:asciiTheme="majorBidi" w:hAnsiTheme="majorBidi" w:cstheme="majorBidi"/>
          <w:lang w:val="en-US"/>
        </w:rPr>
      </w:pPr>
      <w:r w:rsidRPr="005103A1">
        <w:rPr>
          <w:rFonts w:asciiTheme="majorBidi" w:hAnsiTheme="majorBidi" w:cstheme="majorBidi"/>
          <w:lang w:val="en-US"/>
        </w:rPr>
        <w:t>Combined Code (2016). ‘</w:t>
      </w:r>
      <w:r w:rsidRPr="005103A1">
        <w:rPr>
          <w:rFonts w:asciiTheme="majorBidi" w:hAnsiTheme="majorBidi" w:cstheme="majorBidi"/>
          <w:i/>
          <w:iCs/>
          <w:lang w:val="en-US"/>
        </w:rPr>
        <w:t>The combined code on corporate governance’</w:t>
      </w:r>
      <w:r w:rsidRPr="005103A1">
        <w:rPr>
          <w:rFonts w:asciiTheme="majorBidi" w:hAnsiTheme="majorBidi" w:cstheme="majorBidi"/>
          <w:lang w:val="en-US"/>
        </w:rPr>
        <w:t>, London: Financial Reporting Council.</w:t>
      </w:r>
    </w:p>
    <w:p w14:paraId="6958D4B8" w14:textId="60ABA6FC" w:rsidR="00693483" w:rsidRPr="005103A1" w:rsidRDefault="00693483" w:rsidP="000B468E">
      <w:pPr>
        <w:spacing w:after="0" w:line="240" w:lineRule="auto"/>
        <w:ind w:left="288" w:hanging="288"/>
        <w:jc w:val="both"/>
        <w:rPr>
          <w:rFonts w:asciiTheme="majorBidi" w:hAnsiTheme="majorBidi" w:cstheme="majorBidi"/>
        </w:rPr>
      </w:pPr>
      <w:r w:rsidRPr="005103A1">
        <w:rPr>
          <w:rFonts w:asciiTheme="majorBidi" w:hAnsiTheme="majorBidi" w:cstheme="majorBidi"/>
        </w:rPr>
        <w:t xml:space="preserve">Cong, Y. and M. Freedman (2011). ‘Corporate governance and environmental performance and disclosures’, </w:t>
      </w:r>
      <w:r w:rsidRPr="005103A1">
        <w:rPr>
          <w:rFonts w:asciiTheme="majorBidi" w:hAnsiTheme="majorBidi" w:cstheme="majorBidi"/>
          <w:i/>
        </w:rPr>
        <w:t>Advances in Accounting, incorporating Advances in International Accounting</w:t>
      </w:r>
      <w:r w:rsidRPr="005103A1">
        <w:rPr>
          <w:rFonts w:asciiTheme="majorBidi" w:hAnsiTheme="majorBidi" w:cstheme="majorBidi"/>
        </w:rPr>
        <w:t xml:space="preserve">, </w:t>
      </w:r>
      <w:r w:rsidRPr="005103A1">
        <w:rPr>
          <w:rFonts w:asciiTheme="majorBidi" w:hAnsiTheme="majorBidi" w:cstheme="majorBidi"/>
          <w:b/>
        </w:rPr>
        <w:t>27</w:t>
      </w:r>
      <w:r w:rsidRPr="005103A1">
        <w:rPr>
          <w:rFonts w:asciiTheme="majorBidi" w:hAnsiTheme="majorBidi" w:cstheme="majorBidi"/>
        </w:rPr>
        <w:t>, pp.223–232</w:t>
      </w:r>
    </w:p>
    <w:p w14:paraId="0FE5922E" w14:textId="7A2E65FD" w:rsidR="00693483" w:rsidRPr="005103A1" w:rsidRDefault="00693483" w:rsidP="00726FE4">
      <w:pPr>
        <w:spacing w:after="0" w:line="240" w:lineRule="auto"/>
        <w:ind w:left="288" w:hanging="288"/>
        <w:jc w:val="both"/>
        <w:rPr>
          <w:rFonts w:asciiTheme="majorBidi" w:hAnsiTheme="majorBidi" w:cstheme="majorBidi"/>
        </w:rPr>
      </w:pPr>
      <w:r w:rsidRPr="005103A1">
        <w:rPr>
          <w:rFonts w:asciiTheme="majorBidi" w:hAnsiTheme="majorBidi" w:cstheme="majorBidi"/>
        </w:rPr>
        <w:lastRenderedPageBreak/>
        <w:t xml:space="preserve">Cordeiro, J.J. and J. Sarkis (2008). ‘Does explicit contracting effectively link CEO compensation to environmental performance?’ </w:t>
      </w:r>
      <w:r w:rsidRPr="005103A1">
        <w:rPr>
          <w:rFonts w:asciiTheme="majorBidi" w:hAnsiTheme="majorBidi" w:cstheme="majorBidi"/>
          <w:i/>
          <w:iCs/>
        </w:rPr>
        <w:t>Business Strategy and the Environment</w:t>
      </w:r>
      <w:r w:rsidRPr="005103A1">
        <w:rPr>
          <w:rFonts w:asciiTheme="majorBidi" w:hAnsiTheme="majorBidi" w:cstheme="majorBidi"/>
        </w:rPr>
        <w:t xml:space="preserve">, </w:t>
      </w:r>
      <w:r w:rsidRPr="005103A1">
        <w:rPr>
          <w:rFonts w:asciiTheme="majorBidi" w:hAnsiTheme="majorBidi" w:cstheme="majorBidi"/>
          <w:b/>
        </w:rPr>
        <w:t>17</w:t>
      </w:r>
      <w:r w:rsidRPr="005103A1">
        <w:rPr>
          <w:rFonts w:asciiTheme="majorBidi" w:hAnsiTheme="majorBidi" w:cstheme="majorBidi"/>
        </w:rPr>
        <w:t>, pp.304-317.</w:t>
      </w:r>
    </w:p>
    <w:p w14:paraId="7525A16F" w14:textId="146DAF36" w:rsidR="00693483" w:rsidRPr="005103A1" w:rsidRDefault="007705C5" w:rsidP="00726FE4">
      <w:pPr>
        <w:spacing w:after="0" w:line="240" w:lineRule="auto"/>
        <w:ind w:left="288" w:hanging="288"/>
        <w:jc w:val="both"/>
        <w:rPr>
          <w:rFonts w:asciiTheme="majorBidi" w:hAnsiTheme="majorBidi" w:cstheme="majorBidi"/>
        </w:rPr>
      </w:pPr>
      <w:r w:rsidRPr="00291DEF">
        <w:rPr>
          <w:rFonts w:asciiTheme="majorBidi" w:hAnsiTheme="majorBidi" w:cstheme="majorBidi"/>
        </w:rPr>
        <w:t xml:space="preserve">Core, J.E., R.W. </w:t>
      </w:r>
      <w:proofErr w:type="spellStart"/>
      <w:r w:rsidRPr="00291DEF">
        <w:rPr>
          <w:rFonts w:asciiTheme="majorBidi" w:hAnsiTheme="majorBidi" w:cstheme="majorBidi"/>
        </w:rPr>
        <w:t>Holthausen</w:t>
      </w:r>
      <w:proofErr w:type="spellEnd"/>
      <w:r w:rsidR="00693483" w:rsidRPr="003E076C">
        <w:rPr>
          <w:rFonts w:asciiTheme="majorBidi" w:hAnsiTheme="majorBidi" w:cstheme="majorBidi"/>
        </w:rPr>
        <w:t xml:space="preserve"> </w:t>
      </w:r>
      <w:r w:rsidRPr="005103A1">
        <w:rPr>
          <w:rFonts w:asciiTheme="majorBidi" w:hAnsiTheme="majorBidi" w:cstheme="majorBidi"/>
        </w:rPr>
        <w:t xml:space="preserve">and D.F. </w:t>
      </w:r>
      <w:proofErr w:type="spellStart"/>
      <w:r w:rsidRPr="005103A1">
        <w:rPr>
          <w:rFonts w:asciiTheme="majorBidi" w:hAnsiTheme="majorBidi" w:cstheme="majorBidi"/>
        </w:rPr>
        <w:t>Larcker</w:t>
      </w:r>
      <w:proofErr w:type="spellEnd"/>
      <w:r w:rsidRPr="005103A1">
        <w:rPr>
          <w:rFonts w:asciiTheme="majorBidi" w:hAnsiTheme="majorBidi" w:cstheme="majorBidi"/>
        </w:rPr>
        <w:t>, (</w:t>
      </w:r>
      <w:r w:rsidR="00693483" w:rsidRPr="005103A1">
        <w:rPr>
          <w:rFonts w:asciiTheme="majorBidi" w:hAnsiTheme="majorBidi" w:cstheme="majorBidi"/>
        </w:rPr>
        <w:t>1999</w:t>
      </w:r>
      <w:r w:rsidRPr="005103A1">
        <w:rPr>
          <w:rFonts w:asciiTheme="majorBidi" w:hAnsiTheme="majorBidi" w:cstheme="majorBidi"/>
        </w:rPr>
        <w:t>)</w:t>
      </w:r>
      <w:r w:rsidR="00693483" w:rsidRPr="005103A1">
        <w:rPr>
          <w:rFonts w:asciiTheme="majorBidi" w:hAnsiTheme="majorBidi" w:cstheme="majorBidi"/>
        </w:rPr>
        <w:t xml:space="preserve">. </w:t>
      </w:r>
      <w:r w:rsidR="007C6CF2" w:rsidRPr="005103A1">
        <w:rPr>
          <w:rFonts w:asciiTheme="majorBidi" w:hAnsiTheme="majorBidi" w:cstheme="majorBidi"/>
        </w:rPr>
        <w:t>‘</w:t>
      </w:r>
      <w:r w:rsidR="00693483" w:rsidRPr="005103A1">
        <w:rPr>
          <w:rFonts w:asciiTheme="majorBidi" w:hAnsiTheme="majorBidi" w:cstheme="majorBidi"/>
        </w:rPr>
        <w:t>Corporate governance, chief executive officer compensat</w:t>
      </w:r>
      <w:r w:rsidR="007C6CF2" w:rsidRPr="005103A1">
        <w:rPr>
          <w:rFonts w:asciiTheme="majorBidi" w:hAnsiTheme="majorBidi" w:cstheme="majorBidi"/>
        </w:rPr>
        <w:t>ion, and firm performance’,</w:t>
      </w:r>
      <w:r w:rsidR="00693483" w:rsidRPr="005103A1">
        <w:rPr>
          <w:rFonts w:asciiTheme="majorBidi" w:hAnsiTheme="majorBidi" w:cstheme="majorBidi"/>
        </w:rPr>
        <w:t xml:space="preserve"> </w:t>
      </w:r>
      <w:r w:rsidR="00693483" w:rsidRPr="005103A1">
        <w:rPr>
          <w:rFonts w:asciiTheme="majorBidi" w:hAnsiTheme="majorBidi" w:cstheme="majorBidi"/>
          <w:i/>
        </w:rPr>
        <w:t>Journal of Financial Economics</w:t>
      </w:r>
      <w:r w:rsidR="00693483" w:rsidRPr="005103A1">
        <w:rPr>
          <w:rFonts w:asciiTheme="majorBidi" w:hAnsiTheme="majorBidi" w:cstheme="majorBidi"/>
        </w:rPr>
        <w:t xml:space="preserve">, </w:t>
      </w:r>
      <w:r w:rsidR="00693483" w:rsidRPr="005103A1">
        <w:rPr>
          <w:rFonts w:asciiTheme="majorBidi" w:hAnsiTheme="majorBidi" w:cstheme="majorBidi"/>
          <w:b/>
          <w:bCs/>
        </w:rPr>
        <w:t>51</w:t>
      </w:r>
      <w:r w:rsidR="00693483" w:rsidRPr="005103A1">
        <w:rPr>
          <w:rFonts w:asciiTheme="majorBidi" w:hAnsiTheme="majorBidi" w:cstheme="majorBidi"/>
        </w:rPr>
        <w:t xml:space="preserve">(3), </w:t>
      </w:r>
      <w:r w:rsidR="006A516D" w:rsidRPr="005103A1">
        <w:rPr>
          <w:rFonts w:asciiTheme="majorBidi" w:hAnsiTheme="majorBidi" w:cstheme="majorBidi"/>
        </w:rPr>
        <w:t>pp</w:t>
      </w:r>
      <w:r w:rsidR="00693483" w:rsidRPr="005103A1">
        <w:rPr>
          <w:rFonts w:asciiTheme="majorBidi" w:hAnsiTheme="majorBidi" w:cstheme="majorBidi"/>
        </w:rPr>
        <w:t>.371-406.</w:t>
      </w:r>
    </w:p>
    <w:p w14:paraId="3FAF1E67" w14:textId="1222BDB3" w:rsidR="00693483" w:rsidRPr="005103A1" w:rsidRDefault="00693483" w:rsidP="000B468E">
      <w:pPr>
        <w:spacing w:after="0" w:line="240" w:lineRule="auto"/>
        <w:ind w:left="288" w:hanging="288"/>
        <w:jc w:val="both"/>
        <w:rPr>
          <w:rFonts w:asciiTheme="majorBidi" w:hAnsiTheme="majorBidi" w:cstheme="majorBidi"/>
        </w:rPr>
      </w:pPr>
      <w:r w:rsidRPr="005103A1">
        <w:rPr>
          <w:rFonts w:asciiTheme="majorBidi" w:hAnsiTheme="majorBidi" w:cstheme="majorBidi"/>
        </w:rPr>
        <w:t xml:space="preserve">de Villiers, C., V. </w:t>
      </w:r>
      <w:proofErr w:type="spellStart"/>
      <w:r w:rsidRPr="005103A1">
        <w:rPr>
          <w:rFonts w:asciiTheme="majorBidi" w:hAnsiTheme="majorBidi" w:cstheme="majorBidi"/>
        </w:rPr>
        <w:t>Naiker</w:t>
      </w:r>
      <w:proofErr w:type="spellEnd"/>
      <w:r w:rsidRPr="005103A1">
        <w:rPr>
          <w:rFonts w:asciiTheme="majorBidi" w:hAnsiTheme="majorBidi" w:cstheme="majorBidi"/>
        </w:rPr>
        <w:t xml:space="preserve"> and C.J. van </w:t>
      </w:r>
      <w:proofErr w:type="spellStart"/>
      <w:r w:rsidRPr="005103A1">
        <w:rPr>
          <w:rFonts w:asciiTheme="majorBidi" w:hAnsiTheme="majorBidi" w:cstheme="majorBidi"/>
        </w:rPr>
        <w:t>Staden</w:t>
      </w:r>
      <w:proofErr w:type="spellEnd"/>
      <w:r w:rsidRPr="005103A1">
        <w:rPr>
          <w:rFonts w:asciiTheme="majorBidi" w:hAnsiTheme="majorBidi" w:cstheme="majorBidi"/>
        </w:rPr>
        <w:t xml:space="preserve"> (2011). ‘The effect of board characteristics on firm environmental performance’, </w:t>
      </w:r>
      <w:r w:rsidRPr="005103A1">
        <w:rPr>
          <w:rFonts w:asciiTheme="majorBidi" w:hAnsiTheme="majorBidi" w:cstheme="majorBidi"/>
          <w:i/>
          <w:iCs/>
        </w:rPr>
        <w:t>Journal of Management</w:t>
      </w:r>
      <w:r w:rsidRPr="005103A1">
        <w:rPr>
          <w:rFonts w:asciiTheme="majorBidi" w:hAnsiTheme="majorBidi" w:cstheme="majorBidi"/>
        </w:rPr>
        <w:t xml:space="preserve">, </w:t>
      </w:r>
      <w:r w:rsidRPr="005103A1">
        <w:rPr>
          <w:rFonts w:asciiTheme="majorBidi" w:hAnsiTheme="majorBidi" w:cstheme="majorBidi"/>
          <w:b/>
          <w:bCs/>
        </w:rPr>
        <w:t>37</w:t>
      </w:r>
      <w:r w:rsidRPr="005103A1">
        <w:rPr>
          <w:rFonts w:asciiTheme="majorBidi" w:hAnsiTheme="majorBidi" w:cstheme="majorBidi"/>
        </w:rPr>
        <w:t>, pp.1636–1663.</w:t>
      </w:r>
    </w:p>
    <w:p w14:paraId="3C2E31A8" w14:textId="1130C147" w:rsidR="00693483" w:rsidRPr="005103A1" w:rsidRDefault="00693483" w:rsidP="000B468E">
      <w:pPr>
        <w:spacing w:after="0" w:line="240" w:lineRule="auto"/>
        <w:ind w:left="288" w:hanging="288"/>
        <w:jc w:val="both"/>
        <w:rPr>
          <w:rFonts w:asciiTheme="majorBidi" w:hAnsiTheme="majorBidi" w:cstheme="majorBidi"/>
        </w:rPr>
      </w:pPr>
      <w:proofErr w:type="spellStart"/>
      <w:r w:rsidRPr="005103A1">
        <w:rPr>
          <w:rFonts w:asciiTheme="majorBidi" w:hAnsiTheme="majorBidi" w:cstheme="majorBidi"/>
        </w:rPr>
        <w:t>Delbeke</w:t>
      </w:r>
      <w:proofErr w:type="spellEnd"/>
      <w:r w:rsidRPr="005103A1">
        <w:rPr>
          <w:rFonts w:asciiTheme="majorBidi" w:hAnsiTheme="majorBidi" w:cstheme="majorBidi"/>
        </w:rPr>
        <w:t xml:space="preserve">, J. and P. </w:t>
      </w:r>
      <w:r w:rsidR="00360F6F" w:rsidRPr="005103A1">
        <w:rPr>
          <w:rFonts w:asciiTheme="majorBidi" w:hAnsiTheme="majorBidi" w:cstheme="majorBidi"/>
        </w:rPr>
        <w:t>Vis (2016). ‘EU climate policy e</w:t>
      </w:r>
      <w:r w:rsidRPr="005103A1">
        <w:rPr>
          <w:rFonts w:asciiTheme="majorBidi" w:hAnsiTheme="majorBidi" w:cstheme="majorBidi"/>
        </w:rPr>
        <w:t xml:space="preserve">xplained’, European Union.  Accessed date: 29 June 2017. </w:t>
      </w:r>
      <w:hyperlink r:id="rId15" w:history="1">
        <w:r w:rsidRPr="005103A1">
          <w:rPr>
            <w:rStyle w:val="Hyperlink"/>
            <w:rFonts w:asciiTheme="majorBidi" w:hAnsiTheme="majorBidi" w:cstheme="majorBidi"/>
          </w:rPr>
          <w:t>https://ec.europa.eu/clima/sites/clima/files/eu_climate_policy_explained_en.pdf</w:t>
        </w:r>
      </w:hyperlink>
      <w:r w:rsidRPr="005103A1">
        <w:rPr>
          <w:rFonts w:asciiTheme="majorBidi" w:hAnsiTheme="majorBidi" w:cstheme="majorBidi"/>
        </w:rPr>
        <w:t xml:space="preserve">  </w:t>
      </w:r>
    </w:p>
    <w:p w14:paraId="5333C482" w14:textId="3F45B5F9" w:rsidR="00693483" w:rsidRPr="005103A1" w:rsidRDefault="00693483" w:rsidP="000B468E">
      <w:pPr>
        <w:spacing w:after="0" w:line="240" w:lineRule="auto"/>
        <w:ind w:left="288" w:hanging="288"/>
        <w:jc w:val="both"/>
        <w:rPr>
          <w:rFonts w:asciiTheme="majorBidi" w:hAnsiTheme="majorBidi" w:cstheme="majorBidi"/>
        </w:rPr>
      </w:pPr>
      <w:r w:rsidRPr="005103A1">
        <w:rPr>
          <w:rFonts w:asciiTheme="majorBidi" w:hAnsiTheme="majorBidi" w:cstheme="majorBidi"/>
        </w:rPr>
        <w:t xml:space="preserve">Delmas, M.A., D. Etzion and N. Nairn-Birch (2013). ‘Triangulating environmental performance: What do corporate social responsibility ratings really capture?’ </w:t>
      </w:r>
      <w:r w:rsidRPr="005103A1">
        <w:rPr>
          <w:rFonts w:asciiTheme="majorBidi" w:hAnsiTheme="majorBidi" w:cstheme="majorBidi"/>
          <w:i/>
        </w:rPr>
        <w:t>Academy of Management Perspectives</w:t>
      </w:r>
      <w:r w:rsidRPr="005103A1">
        <w:rPr>
          <w:rFonts w:asciiTheme="majorBidi" w:hAnsiTheme="majorBidi" w:cstheme="majorBidi"/>
        </w:rPr>
        <w:t xml:space="preserve">, </w:t>
      </w:r>
      <w:r w:rsidRPr="005103A1">
        <w:rPr>
          <w:rFonts w:asciiTheme="majorBidi" w:hAnsiTheme="majorBidi" w:cstheme="majorBidi"/>
          <w:b/>
        </w:rPr>
        <w:t>27</w:t>
      </w:r>
      <w:r w:rsidRPr="005103A1">
        <w:rPr>
          <w:rFonts w:asciiTheme="majorBidi" w:hAnsiTheme="majorBidi" w:cstheme="majorBidi"/>
        </w:rPr>
        <w:t>, pp.255-267.</w:t>
      </w:r>
    </w:p>
    <w:p w14:paraId="04069E33" w14:textId="77777777" w:rsidR="00693483" w:rsidRPr="005103A1" w:rsidRDefault="00693483" w:rsidP="000B468E">
      <w:pPr>
        <w:spacing w:after="0" w:line="240" w:lineRule="auto"/>
        <w:ind w:left="288" w:hanging="288"/>
        <w:jc w:val="both"/>
        <w:rPr>
          <w:rFonts w:asciiTheme="majorBidi" w:hAnsiTheme="majorBidi" w:cstheme="majorBidi"/>
        </w:rPr>
      </w:pPr>
      <w:r w:rsidRPr="005103A1">
        <w:rPr>
          <w:rFonts w:asciiTheme="majorBidi" w:hAnsiTheme="majorBidi" w:cstheme="majorBidi"/>
        </w:rPr>
        <w:t xml:space="preserve">DiMaggio, P. J. and W.W. Powell (1983). ‘The iron cage revisited: Institutional isomorphism and collective rationality in organizational fields’, </w:t>
      </w:r>
      <w:r w:rsidRPr="005103A1">
        <w:rPr>
          <w:rFonts w:asciiTheme="majorBidi" w:hAnsiTheme="majorBidi" w:cstheme="majorBidi"/>
          <w:i/>
        </w:rPr>
        <w:t>American Sociological Review</w:t>
      </w:r>
      <w:r w:rsidRPr="005103A1">
        <w:rPr>
          <w:rFonts w:asciiTheme="majorBidi" w:hAnsiTheme="majorBidi" w:cstheme="majorBidi"/>
        </w:rPr>
        <w:t xml:space="preserve">, </w:t>
      </w:r>
      <w:r w:rsidRPr="005103A1">
        <w:rPr>
          <w:rFonts w:asciiTheme="majorBidi" w:hAnsiTheme="majorBidi" w:cstheme="majorBidi"/>
          <w:b/>
        </w:rPr>
        <w:t>48</w:t>
      </w:r>
      <w:r w:rsidRPr="005103A1">
        <w:rPr>
          <w:rFonts w:asciiTheme="majorBidi" w:hAnsiTheme="majorBidi" w:cstheme="majorBidi"/>
        </w:rPr>
        <w:t>, 147-160.</w:t>
      </w:r>
    </w:p>
    <w:p w14:paraId="163933C9" w14:textId="02DFDE01" w:rsidR="007705C5" w:rsidRPr="005103A1" w:rsidRDefault="007705C5" w:rsidP="000B468E">
      <w:pPr>
        <w:spacing w:after="0" w:line="240" w:lineRule="auto"/>
        <w:ind w:left="288" w:hanging="288"/>
        <w:jc w:val="both"/>
        <w:rPr>
          <w:rFonts w:asciiTheme="majorBidi" w:hAnsiTheme="majorBidi" w:cstheme="majorBidi"/>
        </w:rPr>
      </w:pPr>
      <w:r w:rsidRPr="00291DEF">
        <w:rPr>
          <w:rFonts w:asciiTheme="majorBidi" w:hAnsiTheme="majorBidi" w:cstheme="majorBidi"/>
        </w:rPr>
        <w:t>Elmagrhi, M.H., C.G. Ntim, Y</w:t>
      </w:r>
      <w:r w:rsidRPr="003E076C">
        <w:rPr>
          <w:rFonts w:asciiTheme="majorBidi" w:hAnsiTheme="majorBidi" w:cstheme="majorBidi"/>
        </w:rPr>
        <w:t xml:space="preserve">. </w:t>
      </w:r>
      <w:r w:rsidR="007808F2" w:rsidRPr="005103A1">
        <w:rPr>
          <w:rFonts w:asciiTheme="majorBidi" w:hAnsiTheme="majorBidi" w:cstheme="majorBidi"/>
        </w:rPr>
        <w:t>Wang</w:t>
      </w:r>
      <w:r w:rsidRPr="005103A1">
        <w:rPr>
          <w:rFonts w:asciiTheme="majorBidi" w:hAnsiTheme="majorBidi" w:cstheme="majorBidi"/>
        </w:rPr>
        <w:t xml:space="preserve"> and A. Zalata (2019). ‘Corporate governance disclosure index–executive pay nexus: The moderating effect of governance mechanisms’, </w:t>
      </w:r>
      <w:r w:rsidRPr="005103A1">
        <w:rPr>
          <w:rFonts w:asciiTheme="majorBidi" w:hAnsiTheme="majorBidi" w:cstheme="majorBidi"/>
          <w:i/>
          <w:iCs/>
        </w:rPr>
        <w:t>European Management Review</w:t>
      </w:r>
      <w:r w:rsidRPr="005103A1">
        <w:rPr>
          <w:rFonts w:asciiTheme="majorBidi" w:hAnsiTheme="majorBidi" w:cstheme="majorBidi"/>
        </w:rPr>
        <w:t>, Forthcoming.</w:t>
      </w:r>
    </w:p>
    <w:p w14:paraId="64675D63" w14:textId="77777777" w:rsidR="00693483" w:rsidRPr="005103A1" w:rsidRDefault="00693483" w:rsidP="000B468E">
      <w:pPr>
        <w:spacing w:after="0" w:line="240" w:lineRule="auto"/>
        <w:ind w:left="288" w:hanging="288"/>
        <w:jc w:val="both"/>
        <w:rPr>
          <w:rFonts w:asciiTheme="majorBidi" w:hAnsiTheme="majorBidi" w:cstheme="majorBidi"/>
        </w:rPr>
      </w:pPr>
      <w:r w:rsidRPr="005103A1">
        <w:rPr>
          <w:rFonts w:asciiTheme="majorBidi" w:hAnsiTheme="majorBidi" w:cstheme="majorBidi"/>
        </w:rPr>
        <w:t>EU Council (2017). ‘</w:t>
      </w:r>
      <w:r w:rsidRPr="005103A1">
        <w:rPr>
          <w:rFonts w:asciiTheme="majorBidi" w:hAnsiTheme="majorBidi" w:cstheme="majorBidi"/>
          <w:i/>
          <w:iCs/>
        </w:rPr>
        <w:t>Shareholders' rights in EU companies: Council formal adoption’</w:t>
      </w:r>
      <w:r w:rsidRPr="005103A1">
        <w:rPr>
          <w:rFonts w:asciiTheme="majorBidi" w:hAnsiTheme="majorBidi" w:cstheme="majorBidi"/>
        </w:rPr>
        <w:t xml:space="preserve">, Press release no. 173/17, Council of the EU, Brussels, Belgium. Accessed date: 30 June 2017. </w:t>
      </w:r>
      <w:hyperlink r:id="rId16" w:history="1">
        <w:r w:rsidRPr="005103A1">
          <w:rPr>
            <w:rStyle w:val="Hyperlink"/>
            <w:rFonts w:asciiTheme="majorBidi" w:hAnsiTheme="majorBidi" w:cstheme="majorBidi"/>
          </w:rPr>
          <w:t>http://www.consilium.europa.eu/en/press/press-releases/2017/04/03-shareholder-rights-eu-companies/</w:t>
        </w:r>
      </w:hyperlink>
      <w:r w:rsidRPr="005103A1">
        <w:rPr>
          <w:rFonts w:asciiTheme="majorBidi" w:hAnsiTheme="majorBidi" w:cstheme="majorBidi"/>
        </w:rPr>
        <w:t xml:space="preserve"> </w:t>
      </w:r>
    </w:p>
    <w:p w14:paraId="6C768A1C" w14:textId="77777777" w:rsidR="00693483" w:rsidRPr="005103A1" w:rsidRDefault="00693483" w:rsidP="000B468E">
      <w:pPr>
        <w:spacing w:after="0" w:line="240" w:lineRule="auto"/>
        <w:ind w:left="288" w:hanging="288"/>
        <w:jc w:val="both"/>
        <w:rPr>
          <w:rFonts w:asciiTheme="majorBidi" w:hAnsiTheme="majorBidi" w:cstheme="majorBidi"/>
        </w:rPr>
      </w:pPr>
      <w:proofErr w:type="spellStart"/>
      <w:r w:rsidRPr="005103A1">
        <w:rPr>
          <w:rFonts w:asciiTheme="majorBidi" w:hAnsiTheme="majorBidi" w:cstheme="majorBidi"/>
          <w:lang w:val="fr-FR"/>
        </w:rPr>
        <w:t>European</w:t>
      </w:r>
      <w:proofErr w:type="spellEnd"/>
      <w:r w:rsidRPr="005103A1">
        <w:rPr>
          <w:rFonts w:asciiTheme="majorBidi" w:hAnsiTheme="majorBidi" w:cstheme="majorBidi"/>
          <w:lang w:val="fr-FR"/>
        </w:rPr>
        <w:t xml:space="preserve"> Commission (2015). ‘EU ETS </w:t>
      </w:r>
      <w:proofErr w:type="spellStart"/>
      <w:r w:rsidRPr="005103A1">
        <w:rPr>
          <w:rFonts w:asciiTheme="majorBidi" w:hAnsiTheme="majorBidi" w:cstheme="majorBidi"/>
          <w:lang w:val="fr-FR"/>
        </w:rPr>
        <w:t>Handbook</w:t>
      </w:r>
      <w:proofErr w:type="spellEnd"/>
      <w:r w:rsidRPr="005103A1">
        <w:rPr>
          <w:rFonts w:asciiTheme="majorBidi" w:hAnsiTheme="majorBidi" w:cstheme="majorBidi"/>
          <w:lang w:val="fr-FR"/>
        </w:rPr>
        <w:t xml:space="preserve">’, </w:t>
      </w:r>
      <w:proofErr w:type="spellStart"/>
      <w:r w:rsidRPr="005103A1">
        <w:rPr>
          <w:rFonts w:asciiTheme="majorBidi" w:hAnsiTheme="majorBidi" w:cstheme="majorBidi"/>
          <w:lang w:val="fr-FR"/>
        </w:rPr>
        <w:t>Climate</w:t>
      </w:r>
      <w:proofErr w:type="spellEnd"/>
      <w:r w:rsidRPr="005103A1">
        <w:rPr>
          <w:rFonts w:asciiTheme="majorBidi" w:hAnsiTheme="majorBidi" w:cstheme="majorBidi"/>
          <w:lang w:val="fr-FR"/>
        </w:rPr>
        <w:t xml:space="preserve"> Action, Brussels, Belgium. </w:t>
      </w:r>
      <w:r w:rsidRPr="005103A1">
        <w:rPr>
          <w:rFonts w:asciiTheme="majorBidi" w:hAnsiTheme="majorBidi" w:cstheme="majorBidi"/>
        </w:rPr>
        <w:t xml:space="preserve">Accessed date: 29 June 2017.  </w:t>
      </w:r>
      <w:hyperlink r:id="rId17" w:history="1">
        <w:r w:rsidRPr="005103A1">
          <w:rPr>
            <w:rStyle w:val="Hyperlink"/>
            <w:rFonts w:asciiTheme="majorBidi" w:hAnsiTheme="majorBidi" w:cstheme="majorBidi"/>
          </w:rPr>
          <w:t>https://ec.europa.eu/clima/sites/clima/files/docs/ets_handbook_en.pdf</w:t>
        </w:r>
      </w:hyperlink>
      <w:r w:rsidRPr="005103A1">
        <w:rPr>
          <w:rFonts w:asciiTheme="majorBidi" w:hAnsiTheme="majorBidi" w:cstheme="majorBidi"/>
        </w:rPr>
        <w:t xml:space="preserve">  </w:t>
      </w:r>
    </w:p>
    <w:p w14:paraId="1A9D4AA3" w14:textId="0A2A7074" w:rsidR="00693483" w:rsidRPr="005103A1" w:rsidRDefault="00693483" w:rsidP="000B468E">
      <w:pPr>
        <w:spacing w:after="0" w:line="240" w:lineRule="auto"/>
        <w:ind w:left="288" w:hanging="288"/>
        <w:jc w:val="both"/>
        <w:rPr>
          <w:rFonts w:asciiTheme="majorBidi" w:hAnsiTheme="majorBidi" w:cstheme="majorBidi"/>
        </w:rPr>
      </w:pPr>
      <w:r w:rsidRPr="005103A1">
        <w:rPr>
          <w:rFonts w:asciiTheme="majorBidi" w:hAnsiTheme="majorBidi" w:cstheme="majorBidi"/>
        </w:rPr>
        <w:t>European Commission (</w:t>
      </w:r>
      <w:r w:rsidR="009A2254" w:rsidRPr="005103A1">
        <w:rPr>
          <w:rFonts w:asciiTheme="majorBidi" w:hAnsiTheme="majorBidi" w:cstheme="majorBidi"/>
        </w:rPr>
        <w:t>2016</w:t>
      </w:r>
      <w:r w:rsidR="009A2254" w:rsidRPr="005103A1">
        <w:rPr>
          <w:rFonts w:asciiTheme="majorBidi" w:hAnsiTheme="majorBidi" w:cstheme="majorBidi"/>
          <w:i/>
          <w:iCs/>
        </w:rPr>
        <w:t>). ‘Implementing the Paris agreement - p</w:t>
      </w:r>
      <w:r w:rsidRPr="005103A1">
        <w:rPr>
          <w:rFonts w:asciiTheme="majorBidi" w:hAnsiTheme="majorBidi" w:cstheme="majorBidi"/>
          <w:i/>
          <w:iCs/>
        </w:rPr>
        <w:t>rogress of th</w:t>
      </w:r>
      <w:r w:rsidR="00866921" w:rsidRPr="005103A1">
        <w:rPr>
          <w:rFonts w:asciiTheme="majorBidi" w:hAnsiTheme="majorBidi" w:cstheme="majorBidi"/>
          <w:i/>
          <w:iCs/>
        </w:rPr>
        <w:t>e EU towards the at least -40% t</w:t>
      </w:r>
      <w:r w:rsidRPr="005103A1">
        <w:rPr>
          <w:rFonts w:asciiTheme="majorBidi" w:hAnsiTheme="majorBidi" w:cstheme="majorBidi"/>
          <w:i/>
          <w:iCs/>
        </w:rPr>
        <w:t>arget</w:t>
      </w:r>
      <w:r w:rsidRPr="005103A1">
        <w:rPr>
          <w:rFonts w:asciiTheme="majorBidi" w:hAnsiTheme="majorBidi" w:cstheme="majorBidi"/>
        </w:rPr>
        <w:t xml:space="preserve">’, Climate Action, Brussels, Belgium. Accessed date: 29 June 2017. </w:t>
      </w:r>
      <w:hyperlink r:id="rId18" w:history="1">
        <w:r w:rsidRPr="005103A1">
          <w:rPr>
            <w:rStyle w:val="Hyperlink"/>
            <w:rFonts w:asciiTheme="majorBidi" w:hAnsiTheme="majorBidi" w:cstheme="majorBidi"/>
          </w:rPr>
          <w:t>https://ec.europa.eu/clima/sites/clima/files/eu_progress_report_2016_en.pdf</w:t>
        </w:r>
      </w:hyperlink>
      <w:r w:rsidRPr="005103A1">
        <w:rPr>
          <w:rFonts w:asciiTheme="majorBidi" w:hAnsiTheme="majorBidi" w:cstheme="majorBidi"/>
        </w:rPr>
        <w:t xml:space="preserve">  </w:t>
      </w:r>
    </w:p>
    <w:p w14:paraId="3687C656" w14:textId="7062D617" w:rsidR="00693483" w:rsidRPr="005103A1" w:rsidRDefault="00693483" w:rsidP="00583F56">
      <w:pPr>
        <w:spacing w:after="0" w:line="240" w:lineRule="auto"/>
        <w:ind w:left="288" w:hanging="288"/>
        <w:jc w:val="both"/>
        <w:rPr>
          <w:rFonts w:asciiTheme="majorBidi" w:hAnsiTheme="majorBidi" w:cstheme="majorBidi"/>
        </w:rPr>
      </w:pPr>
      <w:r w:rsidRPr="005103A1">
        <w:rPr>
          <w:rFonts w:asciiTheme="majorBidi" w:hAnsiTheme="majorBidi" w:cstheme="majorBidi"/>
          <w:lang w:val="es-ES"/>
        </w:rPr>
        <w:t>Gallego-</w:t>
      </w:r>
      <w:proofErr w:type="spellStart"/>
      <w:r w:rsidRPr="005103A1">
        <w:rPr>
          <w:rFonts w:asciiTheme="majorBidi" w:hAnsiTheme="majorBidi" w:cstheme="majorBidi"/>
          <w:lang w:val="es-ES"/>
        </w:rPr>
        <w:t>Alvarez</w:t>
      </w:r>
      <w:proofErr w:type="spellEnd"/>
      <w:r w:rsidRPr="005103A1">
        <w:rPr>
          <w:rFonts w:asciiTheme="majorBidi" w:hAnsiTheme="majorBidi" w:cstheme="majorBidi"/>
          <w:lang w:val="es-ES"/>
        </w:rPr>
        <w:t xml:space="preserve">, I., L. Segura and J. Martínez-Ferrero (2015). </w:t>
      </w:r>
      <w:r w:rsidRPr="005103A1">
        <w:rPr>
          <w:rFonts w:asciiTheme="majorBidi" w:hAnsiTheme="majorBidi" w:cstheme="majorBidi"/>
        </w:rPr>
        <w:t xml:space="preserve">‘Carbon emission reduction: the impact on the financial and operational performance of international companies’, </w:t>
      </w:r>
      <w:r w:rsidRPr="005103A1">
        <w:rPr>
          <w:rFonts w:asciiTheme="majorBidi" w:hAnsiTheme="majorBidi" w:cstheme="majorBidi"/>
          <w:i/>
          <w:iCs/>
        </w:rPr>
        <w:t>Journal of Cleaner Production</w:t>
      </w:r>
      <w:r w:rsidRPr="005103A1">
        <w:rPr>
          <w:rFonts w:asciiTheme="majorBidi" w:hAnsiTheme="majorBidi" w:cstheme="majorBidi"/>
        </w:rPr>
        <w:t xml:space="preserve">, </w:t>
      </w:r>
      <w:r w:rsidRPr="005103A1">
        <w:rPr>
          <w:rFonts w:asciiTheme="majorBidi" w:hAnsiTheme="majorBidi" w:cstheme="majorBidi"/>
          <w:b/>
        </w:rPr>
        <w:t>103</w:t>
      </w:r>
      <w:r w:rsidRPr="005103A1">
        <w:rPr>
          <w:rFonts w:asciiTheme="majorBidi" w:hAnsiTheme="majorBidi" w:cstheme="majorBidi"/>
        </w:rPr>
        <w:t>, pp.149-159.</w:t>
      </w:r>
    </w:p>
    <w:p w14:paraId="11D09102" w14:textId="22C25496" w:rsidR="00693483" w:rsidRPr="005103A1" w:rsidRDefault="00693483" w:rsidP="00583F56">
      <w:pPr>
        <w:spacing w:after="0" w:line="240" w:lineRule="auto"/>
        <w:ind w:left="288" w:hanging="288"/>
        <w:jc w:val="both"/>
        <w:rPr>
          <w:rFonts w:asciiTheme="majorBidi" w:hAnsiTheme="majorBidi" w:cstheme="majorBidi"/>
        </w:rPr>
      </w:pPr>
      <w:proofErr w:type="spellStart"/>
      <w:r w:rsidRPr="00291DEF">
        <w:rPr>
          <w:rFonts w:asciiTheme="majorBidi" w:hAnsiTheme="majorBidi" w:cstheme="majorBidi"/>
        </w:rPr>
        <w:t>Goergen</w:t>
      </w:r>
      <w:proofErr w:type="spellEnd"/>
      <w:r w:rsidRPr="00291DEF">
        <w:rPr>
          <w:rFonts w:asciiTheme="majorBidi" w:hAnsiTheme="majorBidi" w:cstheme="majorBidi"/>
        </w:rPr>
        <w:t xml:space="preserve">, M. and </w:t>
      </w:r>
      <w:r w:rsidR="008D036D" w:rsidRPr="003E076C">
        <w:rPr>
          <w:rFonts w:asciiTheme="majorBidi" w:hAnsiTheme="majorBidi" w:cstheme="majorBidi"/>
        </w:rPr>
        <w:t xml:space="preserve">L. </w:t>
      </w:r>
      <w:proofErr w:type="spellStart"/>
      <w:r w:rsidRPr="005103A1">
        <w:rPr>
          <w:rFonts w:asciiTheme="majorBidi" w:hAnsiTheme="majorBidi" w:cstheme="majorBidi"/>
        </w:rPr>
        <w:t>Renneboog</w:t>
      </w:r>
      <w:proofErr w:type="spellEnd"/>
      <w:r w:rsidRPr="005103A1">
        <w:rPr>
          <w:rFonts w:asciiTheme="majorBidi" w:hAnsiTheme="majorBidi" w:cstheme="majorBidi"/>
        </w:rPr>
        <w:t xml:space="preserve"> (2011). ‘Managerial compensation’, </w:t>
      </w:r>
      <w:r w:rsidRPr="005103A1">
        <w:rPr>
          <w:rFonts w:asciiTheme="majorBidi" w:hAnsiTheme="majorBidi" w:cstheme="majorBidi"/>
          <w:i/>
          <w:iCs/>
        </w:rPr>
        <w:t>Journal of Corporate Finance</w:t>
      </w:r>
      <w:r w:rsidRPr="005103A1">
        <w:rPr>
          <w:rFonts w:asciiTheme="majorBidi" w:hAnsiTheme="majorBidi" w:cstheme="majorBidi"/>
        </w:rPr>
        <w:t xml:space="preserve">, </w:t>
      </w:r>
      <w:r w:rsidRPr="005103A1">
        <w:rPr>
          <w:rFonts w:asciiTheme="majorBidi" w:hAnsiTheme="majorBidi" w:cstheme="majorBidi"/>
          <w:b/>
          <w:bCs/>
        </w:rPr>
        <w:t>17</w:t>
      </w:r>
      <w:r w:rsidRPr="005103A1">
        <w:rPr>
          <w:rFonts w:asciiTheme="majorBidi" w:hAnsiTheme="majorBidi" w:cstheme="majorBidi"/>
        </w:rPr>
        <w:t>(4), pp.1068-1077.</w:t>
      </w:r>
    </w:p>
    <w:p w14:paraId="0957C34F" w14:textId="77777777" w:rsidR="00693483" w:rsidRPr="005103A1" w:rsidRDefault="00693483" w:rsidP="00693483">
      <w:pPr>
        <w:spacing w:after="0" w:line="240" w:lineRule="auto"/>
        <w:ind w:left="288" w:hanging="288"/>
        <w:jc w:val="both"/>
        <w:rPr>
          <w:rFonts w:asciiTheme="majorBidi" w:hAnsiTheme="majorBidi" w:cstheme="majorBidi"/>
        </w:rPr>
      </w:pPr>
      <w:r w:rsidRPr="00291DEF">
        <w:rPr>
          <w:rFonts w:asciiTheme="majorBidi" w:hAnsiTheme="majorBidi" w:cstheme="majorBidi"/>
        </w:rPr>
        <w:t xml:space="preserve">Green Bonds Database (GBD) (2019). Green bonds. Available at: </w:t>
      </w:r>
      <w:hyperlink r:id="rId19" w:history="1">
        <w:r w:rsidRPr="003E076C">
          <w:rPr>
            <w:rStyle w:val="Hyperlink"/>
            <w:rFonts w:asciiTheme="majorBidi" w:hAnsiTheme="majorBidi" w:cstheme="majorBidi"/>
          </w:rPr>
          <w:t>https://www.bonddata.org/</w:t>
        </w:r>
      </w:hyperlink>
      <w:r w:rsidRPr="00291DEF">
        <w:rPr>
          <w:rFonts w:asciiTheme="majorBidi" w:hAnsiTheme="majorBidi" w:cstheme="majorBidi"/>
        </w:rPr>
        <w:t>. Accessed on 19 January 2019.</w:t>
      </w:r>
    </w:p>
    <w:p w14:paraId="7C89B329" w14:textId="79347C88" w:rsidR="009B3381" w:rsidRPr="005103A1" w:rsidRDefault="009B3381" w:rsidP="009B3381">
      <w:pPr>
        <w:spacing w:after="0" w:line="240" w:lineRule="auto"/>
        <w:ind w:left="288" w:hanging="288"/>
        <w:jc w:val="both"/>
        <w:rPr>
          <w:rFonts w:asciiTheme="majorBidi" w:hAnsiTheme="majorBidi" w:cstheme="majorBidi"/>
          <w:lang w:val="en-US"/>
        </w:rPr>
      </w:pPr>
      <w:proofErr w:type="spellStart"/>
      <w:r w:rsidRPr="005103A1">
        <w:rPr>
          <w:rFonts w:asciiTheme="majorBidi" w:hAnsiTheme="majorBidi" w:cstheme="majorBidi"/>
          <w:lang w:val="en-US"/>
        </w:rPr>
        <w:t>Greenbury</w:t>
      </w:r>
      <w:proofErr w:type="spellEnd"/>
      <w:r w:rsidRPr="005103A1">
        <w:rPr>
          <w:rFonts w:asciiTheme="majorBidi" w:hAnsiTheme="majorBidi" w:cstheme="majorBidi"/>
          <w:lang w:val="en-US"/>
        </w:rPr>
        <w:t xml:space="preserve"> Report (1995). ‘</w:t>
      </w:r>
      <w:r w:rsidRPr="005103A1">
        <w:rPr>
          <w:rFonts w:asciiTheme="majorBidi" w:hAnsiTheme="majorBidi" w:cstheme="majorBidi"/>
          <w:i/>
          <w:iCs/>
          <w:lang w:val="en-US"/>
        </w:rPr>
        <w:t>Directors</w:t>
      </w:r>
      <w:r w:rsidRPr="005103A1">
        <w:rPr>
          <w:rFonts w:asciiTheme="majorBidi" w:eastAsia="AdvTTcbb99584+20" w:hAnsiTheme="majorBidi" w:cstheme="majorBidi"/>
          <w:i/>
          <w:iCs/>
          <w:lang w:val="en-US"/>
        </w:rPr>
        <w:t xml:space="preserve">’ </w:t>
      </w:r>
      <w:r w:rsidRPr="005103A1">
        <w:rPr>
          <w:rFonts w:asciiTheme="majorBidi" w:hAnsiTheme="majorBidi" w:cstheme="majorBidi"/>
          <w:i/>
          <w:iCs/>
          <w:lang w:val="en-US"/>
        </w:rPr>
        <w:t>remuneration</w:t>
      </w:r>
      <w:r w:rsidRPr="005103A1">
        <w:rPr>
          <w:rFonts w:asciiTheme="majorBidi" w:hAnsiTheme="majorBidi" w:cstheme="majorBidi"/>
          <w:lang w:val="en-US"/>
        </w:rPr>
        <w:t>’, Confederation of British Industries, London: GEE Publishing Ltd.</w:t>
      </w:r>
    </w:p>
    <w:p w14:paraId="06EC6F6A" w14:textId="5915940A" w:rsidR="00693483" w:rsidRPr="005103A1" w:rsidRDefault="00693483" w:rsidP="006E2FFE">
      <w:pPr>
        <w:spacing w:after="0" w:line="240" w:lineRule="auto"/>
        <w:ind w:left="288" w:hanging="288"/>
        <w:jc w:val="both"/>
        <w:rPr>
          <w:rFonts w:asciiTheme="majorBidi" w:hAnsiTheme="majorBidi" w:cstheme="majorBidi"/>
        </w:rPr>
      </w:pPr>
      <w:r w:rsidRPr="005103A1">
        <w:rPr>
          <w:rFonts w:asciiTheme="majorBidi" w:hAnsiTheme="majorBidi" w:cstheme="majorBidi"/>
        </w:rPr>
        <w:t xml:space="preserve">Haque, F. (2017). ‘The effects of board characteristics and sustainable compensation policy on carbon performance of UK firms’, </w:t>
      </w:r>
      <w:r w:rsidRPr="005103A1">
        <w:rPr>
          <w:rFonts w:asciiTheme="majorBidi" w:hAnsiTheme="majorBidi" w:cstheme="majorBidi"/>
          <w:i/>
          <w:iCs/>
        </w:rPr>
        <w:t>British Accounting Review</w:t>
      </w:r>
      <w:r w:rsidRPr="005103A1">
        <w:rPr>
          <w:rFonts w:asciiTheme="majorBidi" w:hAnsiTheme="majorBidi" w:cstheme="majorBidi"/>
        </w:rPr>
        <w:t xml:space="preserve">, </w:t>
      </w:r>
      <w:r w:rsidRPr="005103A1">
        <w:rPr>
          <w:rFonts w:asciiTheme="majorBidi" w:hAnsiTheme="majorBidi" w:cstheme="majorBidi"/>
          <w:b/>
        </w:rPr>
        <w:t>49</w:t>
      </w:r>
      <w:r w:rsidRPr="005103A1">
        <w:rPr>
          <w:rFonts w:asciiTheme="majorBidi" w:hAnsiTheme="majorBidi" w:cstheme="majorBidi"/>
        </w:rPr>
        <w:t xml:space="preserve">, </w:t>
      </w:r>
      <w:r w:rsidR="00AD2F35" w:rsidRPr="005103A1">
        <w:rPr>
          <w:rFonts w:asciiTheme="majorBidi" w:hAnsiTheme="majorBidi" w:cstheme="majorBidi"/>
        </w:rPr>
        <w:t>pp.</w:t>
      </w:r>
      <w:r w:rsidRPr="005103A1">
        <w:rPr>
          <w:rFonts w:asciiTheme="majorBidi" w:hAnsiTheme="majorBidi" w:cstheme="majorBidi"/>
        </w:rPr>
        <w:t>347–364.</w:t>
      </w:r>
    </w:p>
    <w:p w14:paraId="377AF473" w14:textId="77777777" w:rsidR="00693483" w:rsidRPr="005103A1" w:rsidRDefault="00693483" w:rsidP="006E2FFE">
      <w:pPr>
        <w:spacing w:after="0" w:line="240" w:lineRule="auto"/>
        <w:ind w:left="288" w:hanging="288"/>
        <w:jc w:val="both"/>
        <w:rPr>
          <w:rFonts w:asciiTheme="majorBidi" w:hAnsiTheme="majorBidi" w:cstheme="majorBidi"/>
        </w:rPr>
      </w:pPr>
      <w:r w:rsidRPr="00291DEF">
        <w:rPr>
          <w:rFonts w:asciiTheme="majorBidi" w:hAnsiTheme="majorBidi" w:cstheme="majorBidi"/>
        </w:rPr>
        <w:t>Haque, F. and C.G. Ntim (2018). ‘Envi</w:t>
      </w:r>
      <w:r w:rsidRPr="003E076C">
        <w:rPr>
          <w:rFonts w:asciiTheme="majorBidi" w:hAnsiTheme="majorBidi" w:cstheme="majorBidi"/>
        </w:rPr>
        <w:t xml:space="preserve">ronmental </w:t>
      </w:r>
      <w:r w:rsidRPr="005103A1">
        <w:rPr>
          <w:rFonts w:asciiTheme="majorBidi" w:hAnsiTheme="majorBidi" w:cstheme="majorBidi"/>
        </w:rPr>
        <w:t xml:space="preserve">policy, sustainable development, governance mechanisms and environmental performance’, </w:t>
      </w:r>
      <w:r w:rsidRPr="005103A1">
        <w:rPr>
          <w:rFonts w:asciiTheme="majorBidi" w:hAnsiTheme="majorBidi" w:cstheme="majorBidi"/>
          <w:i/>
          <w:iCs/>
        </w:rPr>
        <w:t>Business Strategy and the Environment</w:t>
      </w:r>
      <w:r w:rsidRPr="005103A1">
        <w:rPr>
          <w:rFonts w:asciiTheme="majorBidi" w:hAnsiTheme="majorBidi" w:cstheme="majorBidi"/>
        </w:rPr>
        <w:t xml:space="preserve">, </w:t>
      </w:r>
      <w:r w:rsidRPr="005103A1">
        <w:rPr>
          <w:rFonts w:asciiTheme="majorBidi" w:hAnsiTheme="majorBidi" w:cstheme="majorBidi"/>
          <w:b/>
          <w:bCs/>
        </w:rPr>
        <w:t>27</w:t>
      </w:r>
      <w:r w:rsidRPr="005103A1">
        <w:rPr>
          <w:rFonts w:asciiTheme="majorBidi" w:hAnsiTheme="majorBidi" w:cstheme="majorBidi"/>
        </w:rPr>
        <w:t>, pp.415–435</w:t>
      </w:r>
    </w:p>
    <w:p w14:paraId="7E74D996" w14:textId="7278FB2A" w:rsidR="00073724" w:rsidRPr="005103A1" w:rsidRDefault="00693483" w:rsidP="000B468E">
      <w:pPr>
        <w:spacing w:after="0" w:line="240" w:lineRule="auto"/>
        <w:ind w:left="288" w:hanging="288"/>
        <w:jc w:val="both"/>
        <w:rPr>
          <w:rStyle w:val="Hyperlink"/>
          <w:rFonts w:asciiTheme="majorBidi" w:hAnsiTheme="majorBidi" w:cstheme="majorBidi"/>
        </w:rPr>
      </w:pPr>
      <w:r w:rsidRPr="005103A1">
        <w:rPr>
          <w:rFonts w:asciiTheme="majorBidi" w:hAnsiTheme="majorBidi" w:cstheme="majorBidi"/>
        </w:rPr>
        <w:t xml:space="preserve">Heaps, T. A.A. (2015). ‘Corporations are going green by linking executive pay to energy and emissions targets’, Newsweek, 4th June 2015. Accessed date: 15 September 2015. </w:t>
      </w:r>
      <w:hyperlink r:id="rId20" w:history="1">
        <w:r w:rsidRPr="005103A1">
          <w:rPr>
            <w:rStyle w:val="Hyperlink"/>
            <w:rFonts w:asciiTheme="majorBidi" w:hAnsiTheme="majorBidi" w:cstheme="majorBidi"/>
          </w:rPr>
          <w:t>http://www.newsweek.com/corporations-are-going-green-linking-executive-pay-energy-and-emissions-338708</w:t>
        </w:r>
      </w:hyperlink>
      <w:r w:rsidR="00073724" w:rsidRPr="005103A1">
        <w:rPr>
          <w:rStyle w:val="Hyperlink"/>
          <w:rFonts w:asciiTheme="majorBidi" w:hAnsiTheme="majorBidi" w:cstheme="majorBidi"/>
        </w:rPr>
        <w:t>.</w:t>
      </w:r>
    </w:p>
    <w:p w14:paraId="0300A970" w14:textId="797A0FB9" w:rsidR="00693483" w:rsidRPr="005103A1" w:rsidRDefault="00073724" w:rsidP="00073724">
      <w:pPr>
        <w:spacing w:after="0" w:line="240" w:lineRule="auto"/>
        <w:ind w:left="288" w:hanging="288"/>
        <w:jc w:val="both"/>
        <w:rPr>
          <w:rFonts w:asciiTheme="majorBidi" w:hAnsiTheme="majorBidi" w:cstheme="majorBidi"/>
          <w:lang w:val="en-US"/>
        </w:rPr>
      </w:pPr>
      <w:r w:rsidRPr="005103A1">
        <w:rPr>
          <w:rFonts w:asciiTheme="majorBidi" w:hAnsiTheme="majorBidi" w:cstheme="majorBidi"/>
          <w:lang w:val="en-US"/>
        </w:rPr>
        <w:t>Higgs Report (2003). ‘</w:t>
      </w:r>
      <w:r w:rsidRPr="005103A1">
        <w:rPr>
          <w:rFonts w:asciiTheme="majorBidi" w:hAnsiTheme="majorBidi" w:cstheme="majorBidi"/>
          <w:i/>
          <w:iCs/>
          <w:lang w:val="en-US"/>
        </w:rPr>
        <w:t>Review of the role and effectiveness of non-executive directors’</w:t>
      </w:r>
      <w:r w:rsidRPr="005103A1">
        <w:rPr>
          <w:rFonts w:asciiTheme="majorBidi" w:hAnsiTheme="majorBidi" w:cstheme="majorBidi"/>
          <w:lang w:val="en-US"/>
        </w:rPr>
        <w:t>, London: UK Department of Trade and Industry.</w:t>
      </w:r>
      <w:r w:rsidR="00693483" w:rsidRPr="005103A1">
        <w:rPr>
          <w:rFonts w:asciiTheme="majorBidi" w:hAnsiTheme="majorBidi" w:cstheme="majorBidi"/>
        </w:rPr>
        <w:t xml:space="preserve"> </w:t>
      </w:r>
    </w:p>
    <w:p w14:paraId="4B70D001" w14:textId="208FA05A" w:rsidR="00693483" w:rsidRPr="005103A1" w:rsidRDefault="00693483" w:rsidP="000B468E">
      <w:pPr>
        <w:spacing w:after="0" w:line="240" w:lineRule="auto"/>
        <w:ind w:left="288" w:hanging="288"/>
        <w:jc w:val="both"/>
        <w:rPr>
          <w:rFonts w:asciiTheme="majorBidi" w:hAnsiTheme="majorBidi" w:cstheme="majorBidi"/>
        </w:rPr>
      </w:pPr>
      <w:r w:rsidRPr="005103A1">
        <w:rPr>
          <w:rFonts w:asciiTheme="majorBidi" w:hAnsiTheme="majorBidi" w:cstheme="majorBidi"/>
        </w:rPr>
        <w:t xml:space="preserve">IFC (2015). </w:t>
      </w:r>
      <w:r w:rsidR="009A2254" w:rsidRPr="005103A1">
        <w:rPr>
          <w:rFonts w:asciiTheme="majorBidi" w:hAnsiTheme="majorBidi" w:cstheme="majorBidi"/>
          <w:i/>
          <w:iCs/>
        </w:rPr>
        <w:t>A guide to corporate governance p</w:t>
      </w:r>
      <w:r w:rsidRPr="005103A1">
        <w:rPr>
          <w:rFonts w:asciiTheme="majorBidi" w:hAnsiTheme="majorBidi" w:cstheme="majorBidi"/>
          <w:i/>
          <w:iCs/>
        </w:rPr>
        <w:t xml:space="preserve">ractices in the European Union, </w:t>
      </w:r>
      <w:r w:rsidRPr="005103A1">
        <w:rPr>
          <w:rFonts w:asciiTheme="majorBidi" w:hAnsiTheme="majorBidi" w:cstheme="majorBidi"/>
        </w:rPr>
        <w:t xml:space="preserve">Washington, DC: </w:t>
      </w:r>
      <w:r w:rsidRPr="005103A1">
        <w:rPr>
          <w:rFonts w:asciiTheme="majorBidi" w:hAnsiTheme="majorBidi" w:cstheme="majorBidi"/>
          <w:iCs/>
        </w:rPr>
        <w:t>International Finance</w:t>
      </w:r>
      <w:r w:rsidRPr="005103A1">
        <w:rPr>
          <w:rFonts w:asciiTheme="majorBidi" w:hAnsiTheme="majorBidi" w:cstheme="majorBidi"/>
        </w:rPr>
        <w:t xml:space="preserve"> Corporation.</w:t>
      </w:r>
    </w:p>
    <w:p w14:paraId="41E8978C" w14:textId="54645DA3" w:rsidR="00693483" w:rsidRPr="005103A1" w:rsidRDefault="00693483" w:rsidP="000B468E">
      <w:pPr>
        <w:spacing w:after="0" w:line="240" w:lineRule="auto"/>
        <w:ind w:left="288" w:hanging="288"/>
        <w:jc w:val="both"/>
        <w:rPr>
          <w:rFonts w:asciiTheme="majorBidi" w:hAnsiTheme="majorBidi" w:cstheme="majorBidi"/>
        </w:rPr>
      </w:pPr>
      <w:r w:rsidRPr="005103A1">
        <w:rPr>
          <w:rFonts w:asciiTheme="majorBidi" w:hAnsiTheme="majorBidi" w:cstheme="majorBidi"/>
        </w:rPr>
        <w:t xml:space="preserve">Ji, Y.-Y. (2015). ‘Top management team pay structure and corporate social performance’, </w:t>
      </w:r>
      <w:r w:rsidRPr="005103A1">
        <w:rPr>
          <w:rFonts w:asciiTheme="majorBidi" w:hAnsiTheme="majorBidi" w:cstheme="majorBidi"/>
          <w:i/>
        </w:rPr>
        <w:t>Journal of General Management</w:t>
      </w:r>
      <w:r w:rsidRPr="005103A1">
        <w:rPr>
          <w:rFonts w:asciiTheme="majorBidi" w:hAnsiTheme="majorBidi" w:cstheme="majorBidi"/>
        </w:rPr>
        <w:t xml:space="preserve">, </w:t>
      </w:r>
      <w:r w:rsidRPr="005103A1">
        <w:rPr>
          <w:rFonts w:asciiTheme="majorBidi" w:hAnsiTheme="majorBidi" w:cstheme="majorBidi"/>
          <w:b/>
        </w:rPr>
        <w:t>40</w:t>
      </w:r>
      <w:r w:rsidRPr="005103A1">
        <w:rPr>
          <w:rFonts w:asciiTheme="majorBidi" w:hAnsiTheme="majorBidi" w:cstheme="majorBidi"/>
        </w:rPr>
        <w:t xml:space="preserve">, pp.3-20. </w:t>
      </w:r>
    </w:p>
    <w:p w14:paraId="130AB6E5" w14:textId="5ABA25AA" w:rsidR="00693483" w:rsidRPr="005103A1" w:rsidRDefault="00693483" w:rsidP="000B468E">
      <w:pPr>
        <w:spacing w:after="0" w:line="240" w:lineRule="auto"/>
        <w:ind w:left="288" w:hanging="288"/>
        <w:jc w:val="both"/>
        <w:rPr>
          <w:rFonts w:asciiTheme="majorBidi" w:hAnsiTheme="majorBidi" w:cstheme="majorBidi"/>
        </w:rPr>
      </w:pPr>
      <w:r w:rsidRPr="005103A1">
        <w:rPr>
          <w:rFonts w:asciiTheme="majorBidi" w:hAnsiTheme="majorBidi" w:cstheme="majorBidi"/>
        </w:rPr>
        <w:t xml:space="preserve">Kim, Y.-B., H.T. An and J.D. Kim (2015). ‘The effect of carbon risk on the cost of equity capital’, </w:t>
      </w:r>
      <w:r w:rsidRPr="005103A1">
        <w:rPr>
          <w:rFonts w:asciiTheme="majorBidi" w:hAnsiTheme="majorBidi" w:cstheme="majorBidi"/>
          <w:i/>
          <w:iCs/>
        </w:rPr>
        <w:t>Journal of Cleaner Production</w:t>
      </w:r>
      <w:r w:rsidRPr="005103A1">
        <w:rPr>
          <w:rFonts w:asciiTheme="majorBidi" w:hAnsiTheme="majorBidi" w:cstheme="majorBidi"/>
        </w:rPr>
        <w:t xml:space="preserve">, </w:t>
      </w:r>
      <w:r w:rsidRPr="005103A1">
        <w:rPr>
          <w:rFonts w:asciiTheme="majorBidi" w:hAnsiTheme="majorBidi" w:cstheme="majorBidi"/>
          <w:b/>
        </w:rPr>
        <w:t>93</w:t>
      </w:r>
      <w:r w:rsidRPr="005103A1">
        <w:rPr>
          <w:rFonts w:asciiTheme="majorBidi" w:hAnsiTheme="majorBidi" w:cstheme="majorBidi"/>
        </w:rPr>
        <w:t>, pp.279-287.</w:t>
      </w:r>
    </w:p>
    <w:p w14:paraId="1D172B49" w14:textId="63070F60" w:rsidR="00693483" w:rsidRPr="005103A1" w:rsidRDefault="00693483" w:rsidP="000B468E">
      <w:pPr>
        <w:spacing w:after="0" w:line="240" w:lineRule="auto"/>
        <w:ind w:left="288" w:hanging="288"/>
        <w:jc w:val="both"/>
        <w:rPr>
          <w:rFonts w:asciiTheme="majorBidi" w:hAnsiTheme="majorBidi" w:cstheme="majorBidi"/>
        </w:rPr>
      </w:pPr>
      <w:proofErr w:type="spellStart"/>
      <w:r w:rsidRPr="005103A1">
        <w:rPr>
          <w:rFonts w:asciiTheme="majorBidi" w:hAnsiTheme="majorBidi" w:cstheme="majorBidi"/>
        </w:rPr>
        <w:lastRenderedPageBreak/>
        <w:t>Lattemann</w:t>
      </w:r>
      <w:proofErr w:type="spellEnd"/>
      <w:r w:rsidRPr="005103A1">
        <w:rPr>
          <w:rFonts w:asciiTheme="majorBidi" w:hAnsiTheme="majorBidi" w:cstheme="majorBidi"/>
        </w:rPr>
        <w:t xml:space="preserve">, C., M. </w:t>
      </w:r>
      <w:proofErr w:type="spellStart"/>
      <w:r w:rsidRPr="005103A1">
        <w:rPr>
          <w:rFonts w:asciiTheme="majorBidi" w:hAnsiTheme="majorBidi" w:cstheme="majorBidi"/>
        </w:rPr>
        <w:t>Fetscherin</w:t>
      </w:r>
      <w:proofErr w:type="spellEnd"/>
      <w:r w:rsidRPr="005103A1">
        <w:rPr>
          <w:rFonts w:asciiTheme="majorBidi" w:hAnsiTheme="majorBidi" w:cstheme="majorBidi"/>
        </w:rPr>
        <w:t xml:space="preserve">, I. Alon, S. Li and A.M Schneider (2009). ‘CSR communication intensity in Chinese and Indian multinational companies’, </w:t>
      </w:r>
      <w:r w:rsidRPr="005103A1">
        <w:rPr>
          <w:rFonts w:asciiTheme="majorBidi" w:hAnsiTheme="majorBidi" w:cstheme="majorBidi"/>
          <w:i/>
          <w:iCs/>
        </w:rPr>
        <w:t>Corporate Governance: An International Review</w:t>
      </w:r>
      <w:r w:rsidRPr="005103A1">
        <w:rPr>
          <w:rFonts w:asciiTheme="majorBidi" w:hAnsiTheme="majorBidi" w:cstheme="majorBidi"/>
        </w:rPr>
        <w:t xml:space="preserve">, </w:t>
      </w:r>
      <w:r w:rsidRPr="005103A1">
        <w:rPr>
          <w:rFonts w:asciiTheme="majorBidi" w:hAnsiTheme="majorBidi" w:cstheme="majorBidi"/>
          <w:b/>
        </w:rPr>
        <w:t>17</w:t>
      </w:r>
      <w:r w:rsidRPr="005103A1">
        <w:rPr>
          <w:rFonts w:asciiTheme="majorBidi" w:hAnsiTheme="majorBidi" w:cstheme="majorBidi"/>
        </w:rPr>
        <w:t>, pp.426–442.</w:t>
      </w:r>
    </w:p>
    <w:p w14:paraId="1CE45CEC" w14:textId="292D0ADC" w:rsidR="00693483" w:rsidRPr="005103A1" w:rsidRDefault="00693483" w:rsidP="00583F56">
      <w:pPr>
        <w:spacing w:after="0" w:line="240" w:lineRule="auto"/>
        <w:ind w:left="288" w:hanging="288"/>
        <w:jc w:val="both"/>
        <w:rPr>
          <w:rFonts w:asciiTheme="majorBidi" w:hAnsiTheme="majorBidi" w:cstheme="majorBidi"/>
        </w:rPr>
      </w:pPr>
      <w:proofErr w:type="spellStart"/>
      <w:r w:rsidRPr="00291DEF">
        <w:rPr>
          <w:rFonts w:asciiTheme="majorBidi" w:hAnsiTheme="majorBidi" w:cstheme="majorBidi"/>
        </w:rPr>
        <w:t>Lins</w:t>
      </w:r>
      <w:proofErr w:type="spellEnd"/>
      <w:r w:rsidRPr="00291DEF">
        <w:rPr>
          <w:rFonts w:asciiTheme="majorBidi" w:hAnsiTheme="majorBidi" w:cstheme="majorBidi"/>
        </w:rPr>
        <w:t xml:space="preserve">, K.V., </w:t>
      </w:r>
      <w:r w:rsidR="004537A8" w:rsidRPr="003E076C">
        <w:rPr>
          <w:rFonts w:asciiTheme="majorBidi" w:hAnsiTheme="majorBidi" w:cstheme="majorBidi"/>
        </w:rPr>
        <w:t xml:space="preserve">H. </w:t>
      </w:r>
      <w:proofErr w:type="spellStart"/>
      <w:r w:rsidRPr="005103A1">
        <w:rPr>
          <w:rFonts w:asciiTheme="majorBidi" w:hAnsiTheme="majorBidi" w:cstheme="majorBidi"/>
        </w:rPr>
        <w:t>Servaes</w:t>
      </w:r>
      <w:proofErr w:type="spellEnd"/>
      <w:r w:rsidRPr="005103A1">
        <w:rPr>
          <w:rFonts w:asciiTheme="majorBidi" w:hAnsiTheme="majorBidi" w:cstheme="majorBidi"/>
        </w:rPr>
        <w:t xml:space="preserve">, and </w:t>
      </w:r>
      <w:r w:rsidR="004537A8" w:rsidRPr="005103A1">
        <w:rPr>
          <w:rFonts w:asciiTheme="majorBidi" w:hAnsiTheme="majorBidi" w:cstheme="majorBidi"/>
        </w:rPr>
        <w:t xml:space="preserve">A. </w:t>
      </w:r>
      <w:r w:rsidRPr="005103A1">
        <w:rPr>
          <w:rFonts w:asciiTheme="majorBidi" w:hAnsiTheme="majorBidi" w:cstheme="majorBidi"/>
        </w:rPr>
        <w:t xml:space="preserve">Tamayo (2017). ‘Social capital, trust, and ﬁrm performance: The value of corporate social responsibility during the ﬁnancial crisis’, </w:t>
      </w:r>
      <w:r w:rsidRPr="005103A1">
        <w:rPr>
          <w:rFonts w:asciiTheme="majorBidi" w:hAnsiTheme="majorBidi" w:cstheme="majorBidi"/>
          <w:i/>
          <w:iCs/>
        </w:rPr>
        <w:t>Journal of Finance</w:t>
      </w:r>
      <w:r w:rsidRPr="005103A1">
        <w:rPr>
          <w:rFonts w:asciiTheme="majorBidi" w:hAnsiTheme="majorBidi" w:cstheme="majorBidi"/>
        </w:rPr>
        <w:t xml:space="preserve">, </w:t>
      </w:r>
      <w:r w:rsidRPr="005103A1">
        <w:rPr>
          <w:rFonts w:asciiTheme="majorBidi" w:hAnsiTheme="majorBidi" w:cstheme="majorBidi"/>
          <w:b/>
          <w:bCs/>
        </w:rPr>
        <w:t>72</w:t>
      </w:r>
      <w:r w:rsidRPr="005103A1">
        <w:rPr>
          <w:rFonts w:asciiTheme="majorBidi" w:hAnsiTheme="majorBidi" w:cstheme="majorBidi"/>
        </w:rPr>
        <w:t>(4), pp.1785–1824.</w:t>
      </w:r>
    </w:p>
    <w:p w14:paraId="7FCD958F" w14:textId="77777777" w:rsidR="00693483" w:rsidRPr="005103A1" w:rsidRDefault="00693483" w:rsidP="00583F56">
      <w:pPr>
        <w:spacing w:after="0" w:line="240" w:lineRule="auto"/>
        <w:ind w:left="288" w:hanging="288"/>
        <w:jc w:val="both"/>
        <w:rPr>
          <w:rFonts w:asciiTheme="majorBidi" w:hAnsiTheme="majorBidi" w:cstheme="majorBidi"/>
        </w:rPr>
      </w:pPr>
      <w:r w:rsidRPr="005103A1">
        <w:rPr>
          <w:rFonts w:asciiTheme="majorBidi" w:hAnsiTheme="majorBidi" w:cstheme="majorBidi"/>
        </w:rPr>
        <w:t xml:space="preserve">Maas, K. (2018) Do corporate social performance targets in executive compensation contribute to corporate social performance? </w:t>
      </w:r>
      <w:r w:rsidRPr="005103A1">
        <w:rPr>
          <w:rFonts w:asciiTheme="majorBidi" w:hAnsiTheme="majorBidi" w:cstheme="majorBidi"/>
          <w:i/>
          <w:iCs/>
        </w:rPr>
        <w:t>Journal of Business Ethics</w:t>
      </w:r>
      <w:r w:rsidRPr="005103A1">
        <w:rPr>
          <w:rFonts w:asciiTheme="majorBidi" w:hAnsiTheme="majorBidi" w:cstheme="majorBidi"/>
        </w:rPr>
        <w:t xml:space="preserve">, </w:t>
      </w:r>
      <w:r w:rsidRPr="005103A1">
        <w:rPr>
          <w:rFonts w:asciiTheme="majorBidi" w:hAnsiTheme="majorBidi" w:cstheme="majorBidi"/>
          <w:b/>
          <w:bCs/>
        </w:rPr>
        <w:t>148</w:t>
      </w:r>
      <w:r w:rsidRPr="005103A1">
        <w:rPr>
          <w:rFonts w:asciiTheme="majorBidi" w:hAnsiTheme="majorBidi" w:cstheme="majorBidi"/>
        </w:rPr>
        <w:t>, pp.573–585.</w:t>
      </w:r>
    </w:p>
    <w:p w14:paraId="0CEF8843" w14:textId="4D698D00" w:rsidR="00693483" w:rsidRPr="005103A1" w:rsidRDefault="00693483" w:rsidP="000B468E">
      <w:pPr>
        <w:spacing w:after="0" w:line="240" w:lineRule="auto"/>
        <w:ind w:left="288" w:hanging="288"/>
        <w:jc w:val="both"/>
        <w:rPr>
          <w:rFonts w:asciiTheme="majorBidi" w:hAnsiTheme="majorBidi" w:cstheme="majorBidi"/>
        </w:rPr>
      </w:pPr>
      <w:r w:rsidRPr="005103A1">
        <w:rPr>
          <w:rFonts w:asciiTheme="majorBidi" w:hAnsiTheme="majorBidi" w:cstheme="majorBidi"/>
        </w:rPr>
        <w:t>Mahoney, L.S. and L.</w:t>
      </w:r>
      <w:r w:rsidR="004537A8" w:rsidRPr="005103A1">
        <w:rPr>
          <w:rFonts w:asciiTheme="majorBidi" w:hAnsiTheme="majorBidi" w:cstheme="majorBidi"/>
        </w:rPr>
        <w:t xml:space="preserve"> </w:t>
      </w:r>
      <w:r w:rsidRPr="005103A1">
        <w:rPr>
          <w:rFonts w:asciiTheme="majorBidi" w:hAnsiTheme="majorBidi" w:cstheme="majorBidi"/>
        </w:rPr>
        <w:t xml:space="preserve">Thorn (2006). ‘An examination of the structure of executive compensation and corporate social responsibility: A Canadian investigation’, </w:t>
      </w:r>
      <w:r w:rsidRPr="005103A1">
        <w:rPr>
          <w:rFonts w:asciiTheme="majorBidi" w:hAnsiTheme="majorBidi" w:cstheme="majorBidi"/>
          <w:i/>
          <w:iCs/>
        </w:rPr>
        <w:t>Journal of Business Ethics,</w:t>
      </w:r>
      <w:r w:rsidRPr="005103A1">
        <w:rPr>
          <w:rFonts w:asciiTheme="majorBidi" w:hAnsiTheme="majorBidi" w:cstheme="majorBidi"/>
        </w:rPr>
        <w:t xml:space="preserve"> </w:t>
      </w:r>
      <w:r w:rsidRPr="005103A1">
        <w:rPr>
          <w:rFonts w:asciiTheme="majorBidi" w:hAnsiTheme="majorBidi" w:cstheme="majorBidi"/>
          <w:b/>
        </w:rPr>
        <w:t>69</w:t>
      </w:r>
      <w:r w:rsidRPr="005103A1">
        <w:rPr>
          <w:rFonts w:asciiTheme="majorBidi" w:hAnsiTheme="majorBidi" w:cstheme="majorBidi"/>
        </w:rPr>
        <w:t>, pp.149-162.</w:t>
      </w:r>
    </w:p>
    <w:p w14:paraId="5C4B28D0" w14:textId="77777777" w:rsidR="00693483" w:rsidRPr="005103A1" w:rsidRDefault="00693483" w:rsidP="000B468E">
      <w:pPr>
        <w:spacing w:after="0" w:line="240" w:lineRule="auto"/>
        <w:ind w:left="288" w:hanging="288"/>
        <w:jc w:val="both"/>
        <w:rPr>
          <w:rFonts w:asciiTheme="majorBidi" w:hAnsiTheme="majorBidi" w:cstheme="majorBidi"/>
        </w:rPr>
      </w:pPr>
      <w:r w:rsidRPr="005103A1">
        <w:rPr>
          <w:rFonts w:asciiTheme="majorBidi" w:hAnsiTheme="majorBidi" w:cstheme="majorBidi"/>
        </w:rPr>
        <w:t xml:space="preserve">Mangena, M., V. Tauringana and E. </w:t>
      </w:r>
      <w:proofErr w:type="spellStart"/>
      <w:r w:rsidRPr="005103A1">
        <w:rPr>
          <w:rFonts w:asciiTheme="majorBidi" w:hAnsiTheme="majorBidi" w:cstheme="majorBidi"/>
        </w:rPr>
        <w:t>Chamisa</w:t>
      </w:r>
      <w:proofErr w:type="spellEnd"/>
      <w:r w:rsidRPr="005103A1">
        <w:rPr>
          <w:rFonts w:asciiTheme="majorBidi" w:hAnsiTheme="majorBidi" w:cstheme="majorBidi"/>
        </w:rPr>
        <w:t xml:space="preserve"> (2012). ‘Corporate boards, ownership structure and firm performance in an environment of severe political and economic crisis’, </w:t>
      </w:r>
      <w:r w:rsidRPr="005103A1">
        <w:rPr>
          <w:rFonts w:asciiTheme="majorBidi" w:hAnsiTheme="majorBidi" w:cstheme="majorBidi"/>
          <w:i/>
          <w:iCs/>
        </w:rPr>
        <w:t>British Journal of Management</w:t>
      </w:r>
      <w:r w:rsidRPr="005103A1">
        <w:rPr>
          <w:rFonts w:asciiTheme="majorBidi" w:hAnsiTheme="majorBidi" w:cstheme="majorBidi"/>
        </w:rPr>
        <w:t xml:space="preserve">, </w:t>
      </w:r>
      <w:r w:rsidRPr="005103A1">
        <w:rPr>
          <w:rFonts w:asciiTheme="majorBidi" w:hAnsiTheme="majorBidi" w:cstheme="majorBidi"/>
          <w:b/>
        </w:rPr>
        <w:t>23</w:t>
      </w:r>
      <w:r w:rsidRPr="005103A1">
        <w:rPr>
          <w:rFonts w:asciiTheme="majorBidi" w:hAnsiTheme="majorBidi" w:cstheme="majorBidi"/>
        </w:rPr>
        <w:t>, pp. s23–s41.</w:t>
      </w:r>
    </w:p>
    <w:p w14:paraId="4A698F6D" w14:textId="023A7A25" w:rsidR="00693483" w:rsidRPr="005103A1" w:rsidRDefault="00693483" w:rsidP="000B468E">
      <w:pPr>
        <w:spacing w:after="0" w:line="240" w:lineRule="auto"/>
        <w:ind w:left="288" w:hanging="288"/>
        <w:jc w:val="both"/>
        <w:rPr>
          <w:rFonts w:asciiTheme="majorBidi" w:hAnsiTheme="majorBidi" w:cstheme="majorBidi"/>
        </w:rPr>
      </w:pPr>
      <w:r w:rsidRPr="005103A1">
        <w:rPr>
          <w:rFonts w:asciiTheme="majorBidi" w:hAnsiTheme="majorBidi" w:cstheme="majorBidi"/>
        </w:rPr>
        <w:t xml:space="preserve">Matsumura, E. M., R. Prakash and S.C. </w:t>
      </w:r>
      <w:proofErr w:type="spellStart"/>
      <w:r w:rsidRPr="005103A1">
        <w:rPr>
          <w:rFonts w:asciiTheme="majorBidi" w:hAnsiTheme="majorBidi" w:cstheme="majorBidi"/>
        </w:rPr>
        <w:t>Vera-Mu˜noz</w:t>
      </w:r>
      <w:proofErr w:type="spellEnd"/>
      <w:r w:rsidRPr="005103A1">
        <w:rPr>
          <w:rFonts w:asciiTheme="majorBidi" w:hAnsiTheme="majorBidi" w:cstheme="majorBidi"/>
        </w:rPr>
        <w:t xml:space="preserve"> (2014). ‘Firm-value effects of carbon emissions and Carbon Disclosures’, </w:t>
      </w:r>
      <w:r w:rsidRPr="005103A1">
        <w:rPr>
          <w:rFonts w:asciiTheme="majorBidi" w:hAnsiTheme="majorBidi" w:cstheme="majorBidi"/>
          <w:i/>
          <w:iCs/>
        </w:rPr>
        <w:t>Accounting Review</w:t>
      </w:r>
      <w:r w:rsidRPr="005103A1">
        <w:rPr>
          <w:rFonts w:asciiTheme="majorBidi" w:hAnsiTheme="majorBidi" w:cstheme="majorBidi"/>
        </w:rPr>
        <w:t xml:space="preserve">, </w:t>
      </w:r>
      <w:r w:rsidRPr="005103A1">
        <w:rPr>
          <w:rFonts w:asciiTheme="majorBidi" w:hAnsiTheme="majorBidi" w:cstheme="majorBidi"/>
          <w:b/>
        </w:rPr>
        <w:t>89</w:t>
      </w:r>
      <w:r w:rsidRPr="005103A1">
        <w:rPr>
          <w:rFonts w:asciiTheme="majorBidi" w:hAnsiTheme="majorBidi" w:cstheme="majorBidi"/>
        </w:rPr>
        <w:t>, pp.695-724.</w:t>
      </w:r>
    </w:p>
    <w:p w14:paraId="4EB01699" w14:textId="38A70EEE" w:rsidR="00693483" w:rsidRPr="005103A1" w:rsidRDefault="00693483" w:rsidP="00583F56">
      <w:pPr>
        <w:spacing w:after="0" w:line="240" w:lineRule="auto"/>
        <w:ind w:left="288" w:hanging="288"/>
        <w:jc w:val="both"/>
        <w:rPr>
          <w:rFonts w:asciiTheme="majorBidi" w:hAnsiTheme="majorBidi" w:cstheme="majorBidi"/>
        </w:rPr>
      </w:pPr>
      <w:proofErr w:type="spellStart"/>
      <w:r w:rsidRPr="00291DEF">
        <w:rPr>
          <w:rFonts w:asciiTheme="majorBidi" w:hAnsiTheme="majorBidi" w:cstheme="majorBidi"/>
        </w:rPr>
        <w:t>Mazouz</w:t>
      </w:r>
      <w:proofErr w:type="spellEnd"/>
      <w:r w:rsidRPr="00291DEF">
        <w:rPr>
          <w:rFonts w:asciiTheme="majorBidi" w:hAnsiTheme="majorBidi" w:cstheme="majorBidi"/>
        </w:rPr>
        <w:t xml:space="preserve">, K. and </w:t>
      </w:r>
      <w:r w:rsidR="004537A8" w:rsidRPr="003E076C">
        <w:rPr>
          <w:rFonts w:asciiTheme="majorBidi" w:hAnsiTheme="majorBidi" w:cstheme="majorBidi"/>
        </w:rPr>
        <w:t xml:space="preserve">Y. </w:t>
      </w:r>
      <w:r w:rsidRPr="005103A1">
        <w:rPr>
          <w:rFonts w:asciiTheme="majorBidi" w:hAnsiTheme="majorBidi" w:cstheme="majorBidi"/>
        </w:rPr>
        <w:t xml:space="preserve">Zhao (2019). ‘CEO incentives, takeover protection and corporate innovation’, </w:t>
      </w:r>
      <w:r w:rsidRPr="005103A1">
        <w:rPr>
          <w:rFonts w:asciiTheme="majorBidi" w:hAnsiTheme="majorBidi" w:cstheme="majorBidi"/>
          <w:i/>
          <w:iCs/>
        </w:rPr>
        <w:t>British Journal of Management</w:t>
      </w:r>
      <w:r w:rsidRPr="005103A1">
        <w:rPr>
          <w:rFonts w:asciiTheme="majorBidi" w:hAnsiTheme="majorBidi" w:cstheme="majorBidi"/>
        </w:rPr>
        <w:t>, Forthcoming.</w:t>
      </w:r>
    </w:p>
    <w:p w14:paraId="545FC8CB" w14:textId="186C7DF7" w:rsidR="00693483" w:rsidRPr="005103A1" w:rsidRDefault="00693483" w:rsidP="000B468E">
      <w:pPr>
        <w:spacing w:after="0" w:line="240" w:lineRule="auto"/>
        <w:ind w:left="288" w:hanging="288"/>
        <w:jc w:val="both"/>
        <w:rPr>
          <w:rFonts w:asciiTheme="majorBidi" w:hAnsiTheme="majorBidi" w:cstheme="majorBidi"/>
        </w:rPr>
      </w:pPr>
      <w:r w:rsidRPr="005103A1">
        <w:rPr>
          <w:rFonts w:asciiTheme="majorBidi" w:hAnsiTheme="majorBidi" w:cstheme="majorBidi"/>
          <w:lang w:val="pt-PT"/>
        </w:rPr>
        <w:t xml:space="preserve">Melis, A., S. Gaia and S. Carta (2015). </w:t>
      </w:r>
      <w:r w:rsidRPr="005103A1">
        <w:rPr>
          <w:rFonts w:asciiTheme="majorBidi" w:hAnsiTheme="majorBidi" w:cstheme="majorBidi"/>
        </w:rPr>
        <w:t xml:space="preserve">‘Directors' remuneration: A comparison of Italian and UK non-financial listed firms' disclosure’, </w:t>
      </w:r>
      <w:r w:rsidRPr="005103A1">
        <w:rPr>
          <w:rFonts w:asciiTheme="majorBidi" w:hAnsiTheme="majorBidi" w:cstheme="majorBidi"/>
          <w:i/>
          <w:iCs/>
        </w:rPr>
        <w:t>British Accounting Review</w:t>
      </w:r>
      <w:r w:rsidRPr="005103A1">
        <w:rPr>
          <w:rFonts w:asciiTheme="majorBidi" w:hAnsiTheme="majorBidi" w:cstheme="majorBidi"/>
        </w:rPr>
        <w:t xml:space="preserve">, </w:t>
      </w:r>
      <w:r w:rsidRPr="005103A1">
        <w:rPr>
          <w:rFonts w:asciiTheme="majorBidi" w:hAnsiTheme="majorBidi" w:cstheme="majorBidi"/>
          <w:b/>
        </w:rPr>
        <w:t>47</w:t>
      </w:r>
      <w:r w:rsidRPr="005103A1">
        <w:rPr>
          <w:rFonts w:asciiTheme="majorBidi" w:hAnsiTheme="majorBidi" w:cstheme="majorBidi"/>
        </w:rPr>
        <w:t>, pp.66-84.</w:t>
      </w:r>
    </w:p>
    <w:p w14:paraId="79A6EC15" w14:textId="1B177897" w:rsidR="00693483" w:rsidRPr="005103A1" w:rsidRDefault="00693483" w:rsidP="00583F56">
      <w:pPr>
        <w:spacing w:after="0" w:line="240" w:lineRule="auto"/>
        <w:ind w:left="288" w:hanging="288"/>
        <w:jc w:val="both"/>
        <w:rPr>
          <w:rFonts w:asciiTheme="majorBidi" w:hAnsiTheme="majorBidi" w:cstheme="majorBidi"/>
        </w:rPr>
      </w:pPr>
      <w:r w:rsidRPr="00291DEF">
        <w:rPr>
          <w:rFonts w:asciiTheme="majorBidi" w:hAnsiTheme="majorBidi" w:cstheme="majorBidi"/>
        </w:rPr>
        <w:t xml:space="preserve">Meyer, J. and </w:t>
      </w:r>
      <w:r w:rsidR="004537A8" w:rsidRPr="003E076C">
        <w:rPr>
          <w:rFonts w:asciiTheme="majorBidi" w:hAnsiTheme="majorBidi" w:cstheme="majorBidi"/>
        </w:rPr>
        <w:t xml:space="preserve">B. </w:t>
      </w:r>
      <w:r w:rsidRPr="005103A1">
        <w:rPr>
          <w:rFonts w:asciiTheme="majorBidi" w:hAnsiTheme="majorBidi" w:cstheme="majorBidi"/>
        </w:rPr>
        <w:t xml:space="preserve">Rowan (1977). ‘Institutionalized organizations: Formal structure as myth and ceremony’, </w:t>
      </w:r>
      <w:r w:rsidRPr="005103A1">
        <w:rPr>
          <w:rFonts w:asciiTheme="majorBidi" w:hAnsiTheme="majorBidi" w:cstheme="majorBidi"/>
          <w:i/>
          <w:iCs/>
        </w:rPr>
        <w:t>American Journal of Sociology</w:t>
      </w:r>
      <w:r w:rsidRPr="005103A1">
        <w:rPr>
          <w:rFonts w:asciiTheme="majorBidi" w:hAnsiTheme="majorBidi" w:cstheme="majorBidi"/>
        </w:rPr>
        <w:t xml:space="preserve">, </w:t>
      </w:r>
      <w:r w:rsidRPr="005103A1">
        <w:rPr>
          <w:rFonts w:asciiTheme="majorBidi" w:hAnsiTheme="majorBidi" w:cstheme="majorBidi"/>
          <w:b/>
          <w:bCs/>
        </w:rPr>
        <w:t>83</w:t>
      </w:r>
      <w:r w:rsidRPr="005103A1">
        <w:rPr>
          <w:rFonts w:asciiTheme="majorBidi" w:hAnsiTheme="majorBidi" w:cstheme="majorBidi"/>
        </w:rPr>
        <w:t>, pp.340-363.</w:t>
      </w:r>
    </w:p>
    <w:p w14:paraId="38BE8B37" w14:textId="77777777" w:rsidR="00693483" w:rsidRPr="005103A1" w:rsidRDefault="00693483" w:rsidP="00583F56">
      <w:pPr>
        <w:spacing w:after="0" w:line="240" w:lineRule="auto"/>
        <w:ind w:left="288" w:hanging="288"/>
        <w:jc w:val="both"/>
        <w:rPr>
          <w:rFonts w:asciiTheme="majorBidi" w:hAnsiTheme="majorBidi" w:cstheme="majorBidi"/>
        </w:rPr>
      </w:pPr>
      <w:r w:rsidRPr="005103A1">
        <w:rPr>
          <w:rFonts w:asciiTheme="majorBidi" w:hAnsiTheme="majorBidi" w:cstheme="majorBidi"/>
        </w:rPr>
        <w:t xml:space="preserve">North, D. C. (1991). Institutions. </w:t>
      </w:r>
      <w:r w:rsidRPr="005103A1">
        <w:rPr>
          <w:rFonts w:asciiTheme="majorBidi" w:hAnsiTheme="majorBidi" w:cstheme="majorBidi"/>
          <w:i/>
          <w:iCs/>
        </w:rPr>
        <w:t>Journal of Economic Perspectives</w:t>
      </w:r>
      <w:r w:rsidRPr="005103A1">
        <w:rPr>
          <w:rFonts w:asciiTheme="majorBidi" w:hAnsiTheme="majorBidi" w:cstheme="majorBidi"/>
        </w:rPr>
        <w:t xml:space="preserve">, </w:t>
      </w:r>
      <w:r w:rsidRPr="005103A1">
        <w:rPr>
          <w:rFonts w:asciiTheme="majorBidi" w:hAnsiTheme="majorBidi" w:cstheme="majorBidi"/>
          <w:b/>
          <w:bCs/>
        </w:rPr>
        <w:t>5</w:t>
      </w:r>
      <w:r w:rsidRPr="005103A1">
        <w:rPr>
          <w:rFonts w:asciiTheme="majorBidi" w:hAnsiTheme="majorBidi" w:cstheme="majorBidi"/>
        </w:rPr>
        <w:t>(1), pp.97-112.</w:t>
      </w:r>
    </w:p>
    <w:p w14:paraId="00EFA090" w14:textId="39F8AD68" w:rsidR="00693483" w:rsidRPr="005103A1" w:rsidRDefault="00693483" w:rsidP="000B468E">
      <w:pPr>
        <w:spacing w:after="0" w:line="240" w:lineRule="auto"/>
        <w:ind w:left="288" w:hanging="288"/>
        <w:jc w:val="both"/>
        <w:rPr>
          <w:rFonts w:asciiTheme="majorBidi" w:hAnsiTheme="majorBidi" w:cstheme="majorBidi"/>
        </w:rPr>
      </w:pPr>
      <w:r w:rsidRPr="005103A1">
        <w:rPr>
          <w:rFonts w:asciiTheme="majorBidi" w:hAnsiTheme="majorBidi" w:cstheme="majorBidi"/>
        </w:rPr>
        <w:t xml:space="preserve">Ntim, C.G. (2016). ‘Corporate governance, corporate health accounting, and firm value: The case of HIV/AIDS disclosures in Sub-Saharan Africa’, </w:t>
      </w:r>
      <w:r w:rsidRPr="005103A1">
        <w:rPr>
          <w:rFonts w:asciiTheme="majorBidi" w:hAnsiTheme="majorBidi" w:cstheme="majorBidi"/>
          <w:i/>
          <w:iCs/>
        </w:rPr>
        <w:t>International Journal of Accounting,</w:t>
      </w:r>
      <w:r w:rsidRPr="005103A1">
        <w:rPr>
          <w:rFonts w:asciiTheme="majorBidi" w:hAnsiTheme="majorBidi" w:cstheme="majorBidi"/>
        </w:rPr>
        <w:t xml:space="preserve"> </w:t>
      </w:r>
      <w:r w:rsidRPr="005103A1">
        <w:rPr>
          <w:rFonts w:asciiTheme="majorBidi" w:hAnsiTheme="majorBidi" w:cstheme="majorBidi"/>
          <w:b/>
        </w:rPr>
        <w:t>51</w:t>
      </w:r>
      <w:r w:rsidRPr="005103A1">
        <w:rPr>
          <w:rFonts w:asciiTheme="majorBidi" w:hAnsiTheme="majorBidi" w:cstheme="majorBidi"/>
        </w:rPr>
        <w:t>, pp.155–216.</w:t>
      </w:r>
    </w:p>
    <w:p w14:paraId="03EF7727" w14:textId="5BC38F3E" w:rsidR="00693483" w:rsidRPr="005103A1" w:rsidRDefault="00693483" w:rsidP="000B468E">
      <w:pPr>
        <w:spacing w:after="0" w:line="240" w:lineRule="auto"/>
        <w:ind w:left="288" w:hanging="288"/>
        <w:jc w:val="both"/>
        <w:rPr>
          <w:rFonts w:asciiTheme="majorBidi" w:hAnsiTheme="majorBidi" w:cstheme="majorBidi"/>
        </w:rPr>
      </w:pPr>
      <w:r w:rsidRPr="005103A1">
        <w:rPr>
          <w:rFonts w:asciiTheme="majorBidi" w:hAnsiTheme="majorBidi" w:cstheme="majorBidi"/>
        </w:rPr>
        <w:t xml:space="preserve">Ntim, C.G., and T. Soobaroyen (2013). ‘Corporate governance and performance in socially responsible corporations: New empirical insights from a neo-institutional framework’, </w:t>
      </w:r>
      <w:r w:rsidRPr="005103A1">
        <w:rPr>
          <w:rFonts w:asciiTheme="majorBidi" w:hAnsiTheme="majorBidi" w:cstheme="majorBidi"/>
          <w:i/>
          <w:iCs/>
        </w:rPr>
        <w:t xml:space="preserve">Corporate Governance: An International Review, </w:t>
      </w:r>
      <w:r w:rsidRPr="005103A1">
        <w:rPr>
          <w:rFonts w:asciiTheme="majorBidi" w:hAnsiTheme="majorBidi" w:cstheme="majorBidi"/>
          <w:b/>
        </w:rPr>
        <w:t>21</w:t>
      </w:r>
      <w:r w:rsidRPr="005103A1">
        <w:rPr>
          <w:rFonts w:asciiTheme="majorBidi" w:hAnsiTheme="majorBidi" w:cstheme="majorBidi"/>
        </w:rPr>
        <w:t>, pp.468–494.</w:t>
      </w:r>
    </w:p>
    <w:p w14:paraId="7114D05C" w14:textId="77777777" w:rsidR="004537A8" w:rsidRPr="005103A1" w:rsidRDefault="004537A8" w:rsidP="004537A8">
      <w:pPr>
        <w:spacing w:after="0" w:line="240" w:lineRule="auto"/>
        <w:ind w:left="288" w:hanging="288"/>
        <w:jc w:val="both"/>
        <w:rPr>
          <w:rFonts w:asciiTheme="majorBidi" w:hAnsiTheme="majorBidi" w:cstheme="majorBidi"/>
        </w:rPr>
      </w:pPr>
      <w:r w:rsidRPr="005103A1">
        <w:rPr>
          <w:rFonts w:asciiTheme="majorBidi" w:hAnsiTheme="majorBidi" w:cstheme="majorBidi"/>
        </w:rPr>
        <w:t xml:space="preserve">Ntim, C.G., S. </w:t>
      </w:r>
      <w:proofErr w:type="spellStart"/>
      <w:r w:rsidRPr="005103A1">
        <w:rPr>
          <w:rFonts w:asciiTheme="majorBidi" w:hAnsiTheme="majorBidi" w:cstheme="majorBidi"/>
        </w:rPr>
        <w:t>Lindop</w:t>
      </w:r>
      <w:proofErr w:type="spellEnd"/>
      <w:r w:rsidRPr="005103A1">
        <w:rPr>
          <w:rFonts w:asciiTheme="majorBidi" w:hAnsiTheme="majorBidi" w:cstheme="majorBidi"/>
        </w:rPr>
        <w:t xml:space="preserve">, D.A. Thomas, H. Abdou and K.K. Opong (2019). ‘Executive pay and performance: The moderating effect of CEO power and governance structure’, </w:t>
      </w:r>
      <w:r w:rsidRPr="005103A1">
        <w:rPr>
          <w:rFonts w:asciiTheme="majorBidi" w:hAnsiTheme="majorBidi" w:cstheme="majorBidi"/>
          <w:i/>
          <w:iCs/>
        </w:rPr>
        <w:t>International Journal of Human Resource Management</w:t>
      </w:r>
      <w:r w:rsidRPr="005103A1">
        <w:rPr>
          <w:rFonts w:asciiTheme="majorBidi" w:hAnsiTheme="majorBidi" w:cstheme="majorBidi"/>
        </w:rPr>
        <w:t>, Forthcoming.</w:t>
      </w:r>
    </w:p>
    <w:p w14:paraId="5C86038F" w14:textId="785B2A3E" w:rsidR="00693483" w:rsidRPr="005103A1" w:rsidRDefault="00693483" w:rsidP="000B468E">
      <w:pPr>
        <w:spacing w:after="0" w:line="240" w:lineRule="auto"/>
        <w:ind w:left="288" w:hanging="288"/>
        <w:jc w:val="both"/>
        <w:rPr>
          <w:rFonts w:asciiTheme="majorBidi" w:hAnsiTheme="majorBidi" w:cstheme="majorBidi"/>
        </w:rPr>
      </w:pPr>
      <w:r w:rsidRPr="005103A1">
        <w:rPr>
          <w:rFonts w:asciiTheme="majorBidi" w:hAnsiTheme="majorBidi" w:cstheme="majorBidi"/>
        </w:rPr>
        <w:t>Ogden, S. and R. Watson (2012). ‘</w:t>
      </w:r>
      <w:proofErr w:type="gramStart"/>
      <w:r w:rsidRPr="005103A1">
        <w:rPr>
          <w:rFonts w:asciiTheme="majorBidi" w:hAnsiTheme="majorBidi" w:cstheme="majorBidi"/>
        </w:rPr>
        <w:t>Remuneration committees,</w:t>
      </w:r>
      <w:proofErr w:type="gramEnd"/>
      <w:r w:rsidRPr="005103A1">
        <w:rPr>
          <w:rFonts w:asciiTheme="majorBidi" w:hAnsiTheme="majorBidi" w:cstheme="majorBidi"/>
        </w:rPr>
        <w:t xml:space="preserve"> pay consultants and the determination of executive directors’ pay’, </w:t>
      </w:r>
      <w:r w:rsidRPr="005103A1">
        <w:rPr>
          <w:rFonts w:asciiTheme="majorBidi" w:hAnsiTheme="majorBidi" w:cstheme="majorBidi"/>
          <w:i/>
          <w:iCs/>
        </w:rPr>
        <w:t>British Journal of Management</w:t>
      </w:r>
      <w:r w:rsidRPr="005103A1">
        <w:rPr>
          <w:rFonts w:asciiTheme="majorBidi" w:hAnsiTheme="majorBidi" w:cstheme="majorBidi"/>
        </w:rPr>
        <w:t xml:space="preserve">, </w:t>
      </w:r>
      <w:r w:rsidRPr="005103A1">
        <w:rPr>
          <w:rFonts w:asciiTheme="majorBidi" w:hAnsiTheme="majorBidi" w:cstheme="majorBidi"/>
          <w:b/>
        </w:rPr>
        <w:t>23</w:t>
      </w:r>
      <w:r w:rsidRPr="005103A1">
        <w:rPr>
          <w:rFonts w:asciiTheme="majorBidi" w:hAnsiTheme="majorBidi" w:cstheme="majorBidi"/>
        </w:rPr>
        <w:t>, pp.502–517.</w:t>
      </w:r>
    </w:p>
    <w:p w14:paraId="546F9DBE" w14:textId="77777777" w:rsidR="004537A8" w:rsidRPr="005103A1" w:rsidRDefault="004537A8" w:rsidP="004537A8">
      <w:pPr>
        <w:spacing w:after="0" w:line="240" w:lineRule="auto"/>
        <w:ind w:left="288" w:hanging="288"/>
        <w:jc w:val="both"/>
        <w:rPr>
          <w:rFonts w:asciiTheme="majorBidi" w:hAnsiTheme="majorBidi" w:cstheme="majorBidi"/>
        </w:rPr>
      </w:pPr>
      <w:r w:rsidRPr="005103A1">
        <w:rPr>
          <w:rFonts w:asciiTheme="majorBidi" w:hAnsiTheme="majorBidi" w:cstheme="majorBidi"/>
        </w:rPr>
        <w:t>Ortiz-de-</w:t>
      </w:r>
      <w:proofErr w:type="spellStart"/>
      <w:r w:rsidRPr="005103A1">
        <w:rPr>
          <w:rFonts w:asciiTheme="majorBidi" w:hAnsiTheme="majorBidi" w:cstheme="majorBidi"/>
        </w:rPr>
        <w:t>Mandojana</w:t>
      </w:r>
      <w:proofErr w:type="spellEnd"/>
      <w:r w:rsidRPr="005103A1">
        <w:rPr>
          <w:rFonts w:asciiTheme="majorBidi" w:hAnsiTheme="majorBidi" w:cstheme="majorBidi"/>
        </w:rPr>
        <w:t xml:space="preserve">, N., P. Bansal, and J.A. </w:t>
      </w:r>
      <w:proofErr w:type="spellStart"/>
      <w:r w:rsidRPr="005103A1">
        <w:rPr>
          <w:rFonts w:asciiTheme="majorBidi" w:hAnsiTheme="majorBidi" w:cstheme="majorBidi"/>
        </w:rPr>
        <w:t>Arag´on</w:t>
      </w:r>
      <w:proofErr w:type="spellEnd"/>
      <w:r w:rsidRPr="005103A1">
        <w:rPr>
          <w:rFonts w:asciiTheme="majorBidi" w:hAnsiTheme="majorBidi" w:cstheme="majorBidi"/>
        </w:rPr>
        <w:t xml:space="preserve">-Correa (2019). ‘Older and wiser: How CEOs’ time perspective influences long-term investments in environmentally responsible technologies’, </w:t>
      </w:r>
      <w:r w:rsidRPr="005103A1">
        <w:rPr>
          <w:rFonts w:asciiTheme="majorBidi" w:hAnsiTheme="majorBidi" w:cstheme="majorBidi"/>
          <w:i/>
          <w:iCs/>
        </w:rPr>
        <w:t>British Journal of Management</w:t>
      </w:r>
      <w:r w:rsidRPr="005103A1">
        <w:rPr>
          <w:rFonts w:asciiTheme="majorBidi" w:hAnsiTheme="majorBidi" w:cstheme="majorBidi"/>
        </w:rPr>
        <w:t xml:space="preserve">, Forthcoming. </w:t>
      </w:r>
    </w:p>
    <w:p w14:paraId="4E2DF7E0" w14:textId="77777777" w:rsidR="004537A8" w:rsidRPr="005103A1" w:rsidRDefault="004537A8" w:rsidP="004537A8">
      <w:pPr>
        <w:spacing w:after="0" w:line="240" w:lineRule="auto"/>
        <w:ind w:left="288" w:hanging="288"/>
        <w:jc w:val="both"/>
        <w:rPr>
          <w:rFonts w:asciiTheme="majorBidi" w:hAnsiTheme="majorBidi" w:cstheme="majorBidi"/>
        </w:rPr>
      </w:pPr>
      <w:r w:rsidRPr="005103A1">
        <w:rPr>
          <w:rFonts w:asciiTheme="majorBidi" w:hAnsiTheme="majorBidi" w:cstheme="majorBidi"/>
        </w:rPr>
        <w:t>Powell, W.P. and P.J. DiMaggio (1991). ‘</w:t>
      </w:r>
      <w:r w:rsidRPr="005103A1">
        <w:rPr>
          <w:rFonts w:asciiTheme="majorBidi" w:hAnsiTheme="majorBidi" w:cstheme="majorBidi"/>
          <w:i/>
          <w:iCs/>
        </w:rPr>
        <w:t>The new institutionalism in organizational analysis’</w:t>
      </w:r>
      <w:r w:rsidRPr="005103A1">
        <w:rPr>
          <w:rFonts w:asciiTheme="majorBidi" w:hAnsiTheme="majorBidi" w:cstheme="majorBidi"/>
        </w:rPr>
        <w:t>, Chicago: The University of Chicago Press.</w:t>
      </w:r>
    </w:p>
    <w:p w14:paraId="7A596787" w14:textId="7092BACE" w:rsidR="00693483" w:rsidRPr="005103A1" w:rsidRDefault="00693483" w:rsidP="00583F56">
      <w:pPr>
        <w:spacing w:after="0" w:line="240" w:lineRule="auto"/>
        <w:ind w:left="288" w:hanging="288"/>
        <w:jc w:val="both"/>
        <w:rPr>
          <w:rFonts w:asciiTheme="majorBidi" w:hAnsiTheme="majorBidi" w:cstheme="majorBidi"/>
        </w:rPr>
      </w:pPr>
      <w:r w:rsidRPr="00291DEF">
        <w:rPr>
          <w:rFonts w:asciiTheme="majorBidi" w:hAnsiTheme="majorBidi" w:cstheme="majorBidi"/>
        </w:rPr>
        <w:t xml:space="preserve">Qian, W. and </w:t>
      </w:r>
      <w:r w:rsidR="004537A8" w:rsidRPr="003E076C">
        <w:rPr>
          <w:rFonts w:asciiTheme="majorBidi" w:hAnsiTheme="majorBidi" w:cstheme="majorBidi"/>
        </w:rPr>
        <w:t xml:space="preserve">S. </w:t>
      </w:r>
      <w:proofErr w:type="spellStart"/>
      <w:r w:rsidRPr="005103A1">
        <w:rPr>
          <w:rFonts w:asciiTheme="majorBidi" w:hAnsiTheme="majorBidi" w:cstheme="majorBidi"/>
        </w:rPr>
        <w:t>Schaltegger</w:t>
      </w:r>
      <w:proofErr w:type="spellEnd"/>
      <w:r w:rsidRPr="005103A1">
        <w:rPr>
          <w:rFonts w:asciiTheme="majorBidi" w:hAnsiTheme="majorBidi" w:cstheme="majorBidi"/>
        </w:rPr>
        <w:t xml:space="preserve"> (2018). ‘Revisiting carbon disclosure and performance: Legitimacy and management views’, </w:t>
      </w:r>
      <w:r w:rsidRPr="005103A1">
        <w:rPr>
          <w:rFonts w:asciiTheme="majorBidi" w:hAnsiTheme="majorBidi" w:cstheme="majorBidi"/>
          <w:i/>
          <w:iCs/>
        </w:rPr>
        <w:t>British Accounting Review</w:t>
      </w:r>
      <w:r w:rsidRPr="005103A1">
        <w:rPr>
          <w:rFonts w:asciiTheme="majorBidi" w:hAnsiTheme="majorBidi" w:cstheme="majorBidi"/>
          <w:b/>
          <w:bCs/>
        </w:rPr>
        <w:t>, 49</w:t>
      </w:r>
      <w:r w:rsidRPr="005103A1">
        <w:rPr>
          <w:rFonts w:asciiTheme="majorBidi" w:hAnsiTheme="majorBidi" w:cstheme="majorBidi"/>
        </w:rPr>
        <w:t xml:space="preserve">, </w:t>
      </w:r>
      <w:r w:rsidR="00AD2F35" w:rsidRPr="005103A1">
        <w:rPr>
          <w:rFonts w:asciiTheme="majorBidi" w:hAnsiTheme="majorBidi" w:cstheme="majorBidi"/>
        </w:rPr>
        <w:t>pp.</w:t>
      </w:r>
      <w:r w:rsidRPr="005103A1">
        <w:rPr>
          <w:rFonts w:asciiTheme="majorBidi" w:hAnsiTheme="majorBidi" w:cstheme="majorBidi"/>
        </w:rPr>
        <w:t>365-379.</w:t>
      </w:r>
    </w:p>
    <w:p w14:paraId="52E59FCD" w14:textId="5C707BDE" w:rsidR="00693483" w:rsidRPr="005103A1" w:rsidRDefault="00693483" w:rsidP="006E2FFE">
      <w:pPr>
        <w:spacing w:after="0" w:line="240" w:lineRule="auto"/>
        <w:ind w:left="288" w:hanging="288"/>
        <w:jc w:val="both"/>
        <w:rPr>
          <w:rFonts w:asciiTheme="majorBidi" w:hAnsiTheme="majorBidi" w:cstheme="majorBidi"/>
        </w:rPr>
      </w:pPr>
      <w:proofErr w:type="spellStart"/>
      <w:r w:rsidRPr="005103A1">
        <w:rPr>
          <w:rFonts w:asciiTheme="majorBidi" w:hAnsiTheme="majorBidi" w:cstheme="majorBidi"/>
        </w:rPr>
        <w:t>Qiu</w:t>
      </w:r>
      <w:proofErr w:type="spellEnd"/>
      <w:r w:rsidRPr="005103A1">
        <w:rPr>
          <w:rFonts w:asciiTheme="majorBidi" w:hAnsiTheme="majorBidi" w:cstheme="majorBidi"/>
        </w:rPr>
        <w:t xml:space="preserve">, Y., A. Shaukat and R. </w:t>
      </w:r>
      <w:proofErr w:type="spellStart"/>
      <w:r w:rsidRPr="005103A1">
        <w:rPr>
          <w:rFonts w:asciiTheme="majorBidi" w:hAnsiTheme="majorBidi" w:cstheme="majorBidi"/>
        </w:rPr>
        <w:t>Tharyan</w:t>
      </w:r>
      <w:proofErr w:type="spellEnd"/>
      <w:r w:rsidRPr="005103A1">
        <w:rPr>
          <w:rFonts w:asciiTheme="majorBidi" w:hAnsiTheme="majorBidi" w:cstheme="majorBidi"/>
        </w:rPr>
        <w:t xml:space="preserve"> (2016). ‘Environmental and social disclosures: Link with corporate financial performance’, </w:t>
      </w:r>
      <w:r w:rsidRPr="005103A1">
        <w:rPr>
          <w:rFonts w:asciiTheme="majorBidi" w:hAnsiTheme="majorBidi" w:cstheme="majorBidi"/>
          <w:i/>
          <w:iCs/>
        </w:rPr>
        <w:t>British Accounting Review</w:t>
      </w:r>
      <w:r w:rsidRPr="005103A1">
        <w:rPr>
          <w:rFonts w:asciiTheme="majorBidi" w:hAnsiTheme="majorBidi" w:cstheme="majorBidi"/>
        </w:rPr>
        <w:t xml:space="preserve">, </w:t>
      </w:r>
      <w:r w:rsidRPr="005103A1">
        <w:rPr>
          <w:rFonts w:asciiTheme="majorBidi" w:hAnsiTheme="majorBidi" w:cstheme="majorBidi"/>
          <w:b/>
        </w:rPr>
        <w:t>48</w:t>
      </w:r>
      <w:r w:rsidRPr="005103A1">
        <w:rPr>
          <w:rFonts w:asciiTheme="majorBidi" w:hAnsiTheme="majorBidi" w:cstheme="majorBidi"/>
        </w:rPr>
        <w:t>, pp.102-116.</w:t>
      </w:r>
    </w:p>
    <w:p w14:paraId="4E305BC1" w14:textId="677F0752" w:rsidR="00693483" w:rsidRPr="005103A1" w:rsidRDefault="00693483" w:rsidP="00583F56">
      <w:pPr>
        <w:spacing w:after="0" w:line="240" w:lineRule="auto"/>
        <w:ind w:left="288" w:hanging="288"/>
        <w:jc w:val="both"/>
        <w:rPr>
          <w:rFonts w:asciiTheme="majorBidi" w:hAnsiTheme="majorBidi" w:cstheme="majorBidi"/>
        </w:rPr>
      </w:pPr>
      <w:r w:rsidRPr="00291DEF">
        <w:rPr>
          <w:rFonts w:asciiTheme="majorBidi" w:hAnsiTheme="majorBidi" w:cstheme="majorBidi"/>
        </w:rPr>
        <w:t xml:space="preserve">Sarhan, A.A., C.G. Ntim and </w:t>
      </w:r>
      <w:r w:rsidR="004537A8" w:rsidRPr="003E076C">
        <w:rPr>
          <w:rFonts w:asciiTheme="majorBidi" w:hAnsiTheme="majorBidi" w:cstheme="majorBidi"/>
        </w:rPr>
        <w:t xml:space="preserve">B. </w:t>
      </w:r>
      <w:r w:rsidRPr="005103A1">
        <w:rPr>
          <w:rFonts w:asciiTheme="majorBidi" w:hAnsiTheme="majorBidi" w:cstheme="majorBidi"/>
        </w:rPr>
        <w:t>Al</w:t>
      </w:r>
      <w:r w:rsidR="006369F2" w:rsidRPr="005103A1">
        <w:rPr>
          <w:rFonts w:asciiTheme="majorBidi" w:hAnsiTheme="majorBidi" w:cstheme="majorBidi"/>
        </w:rPr>
        <w:t>-Najjar (2019). ‘Corporate board diversity, corporate governance, corporate p</w:t>
      </w:r>
      <w:r w:rsidRPr="005103A1">
        <w:rPr>
          <w:rFonts w:asciiTheme="majorBidi" w:hAnsiTheme="majorBidi" w:cstheme="majorBidi"/>
        </w:rPr>
        <w:t>erformance and</w:t>
      </w:r>
      <w:r w:rsidR="006369F2" w:rsidRPr="005103A1">
        <w:rPr>
          <w:rFonts w:asciiTheme="majorBidi" w:hAnsiTheme="majorBidi" w:cstheme="majorBidi"/>
        </w:rPr>
        <w:t xml:space="preserve"> e</w:t>
      </w:r>
      <w:r w:rsidRPr="005103A1">
        <w:rPr>
          <w:rFonts w:asciiTheme="majorBidi" w:hAnsiTheme="majorBidi" w:cstheme="majorBidi"/>
        </w:rPr>
        <w:t xml:space="preserve">xecutive Pay’, </w:t>
      </w:r>
      <w:r w:rsidRPr="005103A1">
        <w:rPr>
          <w:rFonts w:asciiTheme="majorBidi" w:hAnsiTheme="majorBidi" w:cstheme="majorBidi"/>
          <w:i/>
          <w:iCs/>
        </w:rPr>
        <w:t>International Journal of Finance and Economics</w:t>
      </w:r>
      <w:r w:rsidRPr="005103A1">
        <w:rPr>
          <w:rFonts w:asciiTheme="majorBidi" w:hAnsiTheme="majorBidi" w:cstheme="majorBidi"/>
        </w:rPr>
        <w:t>, Forthcoming.</w:t>
      </w:r>
    </w:p>
    <w:p w14:paraId="2B1B2B49" w14:textId="77777777" w:rsidR="00693483" w:rsidRPr="005103A1" w:rsidRDefault="00693483" w:rsidP="00583F56">
      <w:pPr>
        <w:spacing w:after="0" w:line="240" w:lineRule="auto"/>
        <w:ind w:left="288" w:hanging="288"/>
        <w:jc w:val="both"/>
        <w:rPr>
          <w:rFonts w:asciiTheme="majorBidi" w:hAnsiTheme="majorBidi" w:cstheme="majorBidi"/>
        </w:rPr>
      </w:pPr>
      <w:r w:rsidRPr="005103A1">
        <w:rPr>
          <w:rFonts w:asciiTheme="majorBidi" w:hAnsiTheme="majorBidi" w:cstheme="majorBidi"/>
        </w:rPr>
        <w:t>Scott, W.R. (2001). ‘</w:t>
      </w:r>
      <w:r w:rsidRPr="005103A1">
        <w:rPr>
          <w:rFonts w:asciiTheme="majorBidi" w:hAnsiTheme="majorBidi" w:cstheme="majorBidi"/>
          <w:i/>
          <w:iCs/>
        </w:rPr>
        <w:t>Institutions and organizations’</w:t>
      </w:r>
      <w:r w:rsidRPr="005103A1">
        <w:rPr>
          <w:rFonts w:asciiTheme="majorBidi" w:hAnsiTheme="majorBidi" w:cstheme="majorBidi"/>
        </w:rPr>
        <w:t>, 2nd eds. Thousand Oaks, CA: Sage.</w:t>
      </w:r>
    </w:p>
    <w:p w14:paraId="77DAE90C" w14:textId="77777777" w:rsidR="004537A8" w:rsidRPr="005103A1" w:rsidRDefault="004537A8" w:rsidP="004537A8">
      <w:pPr>
        <w:spacing w:after="0" w:line="240" w:lineRule="auto"/>
        <w:ind w:left="288" w:hanging="288"/>
        <w:jc w:val="both"/>
        <w:rPr>
          <w:rFonts w:asciiTheme="majorBidi" w:hAnsiTheme="majorBidi" w:cstheme="majorBidi"/>
        </w:rPr>
      </w:pPr>
      <w:r w:rsidRPr="005103A1">
        <w:rPr>
          <w:rFonts w:asciiTheme="majorBidi" w:hAnsiTheme="majorBidi" w:cstheme="majorBidi"/>
        </w:rPr>
        <w:t xml:space="preserve">Singh, S. N. Tabassum, T.K. Darwish and G. Batsakis (2018). ‘Corporate governance and Tobin’s Q as a measure of organizational performance’, </w:t>
      </w:r>
      <w:r w:rsidRPr="005103A1">
        <w:rPr>
          <w:rFonts w:asciiTheme="majorBidi" w:hAnsiTheme="majorBidi" w:cstheme="majorBidi"/>
          <w:i/>
          <w:iCs/>
        </w:rPr>
        <w:t>British Journal of Management,</w:t>
      </w:r>
      <w:r w:rsidRPr="005103A1">
        <w:rPr>
          <w:rFonts w:asciiTheme="majorBidi" w:hAnsiTheme="majorBidi" w:cstheme="majorBidi"/>
        </w:rPr>
        <w:t xml:space="preserve"> </w:t>
      </w:r>
      <w:r w:rsidRPr="005103A1">
        <w:rPr>
          <w:rFonts w:asciiTheme="majorBidi" w:hAnsiTheme="majorBidi" w:cstheme="majorBidi"/>
          <w:b/>
          <w:bCs/>
        </w:rPr>
        <w:t>29</w:t>
      </w:r>
      <w:r w:rsidRPr="005103A1">
        <w:rPr>
          <w:rFonts w:asciiTheme="majorBidi" w:hAnsiTheme="majorBidi" w:cstheme="majorBidi"/>
        </w:rPr>
        <w:t>, pp.171–190.</w:t>
      </w:r>
    </w:p>
    <w:p w14:paraId="74257EBE" w14:textId="77777777" w:rsidR="00693483" w:rsidRPr="005103A1" w:rsidRDefault="00693483" w:rsidP="006E2FFE">
      <w:pPr>
        <w:spacing w:after="0" w:line="240" w:lineRule="auto"/>
        <w:ind w:left="288" w:hanging="288"/>
        <w:jc w:val="both"/>
        <w:rPr>
          <w:rFonts w:asciiTheme="majorBidi" w:hAnsiTheme="majorBidi" w:cstheme="majorBidi"/>
        </w:rPr>
      </w:pPr>
      <w:proofErr w:type="spellStart"/>
      <w:r w:rsidRPr="00291DEF">
        <w:rPr>
          <w:rFonts w:asciiTheme="majorBidi" w:hAnsiTheme="majorBidi" w:cstheme="majorBidi"/>
        </w:rPr>
        <w:t>Suchman</w:t>
      </w:r>
      <w:proofErr w:type="spellEnd"/>
      <w:r w:rsidRPr="00291DEF">
        <w:rPr>
          <w:rFonts w:asciiTheme="majorBidi" w:hAnsiTheme="majorBidi" w:cstheme="majorBidi"/>
        </w:rPr>
        <w:t xml:space="preserve">, M.C. (1995). ‘Managing legitimacy: Strategic and institutional approaches’, </w:t>
      </w:r>
      <w:r w:rsidRPr="003E076C">
        <w:rPr>
          <w:rFonts w:asciiTheme="majorBidi" w:hAnsiTheme="majorBidi" w:cstheme="majorBidi"/>
          <w:bCs/>
          <w:i/>
          <w:iCs/>
        </w:rPr>
        <w:t>Academ</w:t>
      </w:r>
      <w:r w:rsidRPr="005103A1">
        <w:rPr>
          <w:rFonts w:asciiTheme="majorBidi" w:hAnsiTheme="majorBidi" w:cstheme="majorBidi"/>
          <w:bCs/>
          <w:i/>
          <w:iCs/>
        </w:rPr>
        <w:t>y of Management Review</w:t>
      </w:r>
      <w:r w:rsidRPr="005103A1">
        <w:rPr>
          <w:rFonts w:asciiTheme="majorBidi" w:hAnsiTheme="majorBidi" w:cstheme="majorBidi"/>
        </w:rPr>
        <w:t xml:space="preserve">, </w:t>
      </w:r>
      <w:r w:rsidRPr="005103A1">
        <w:rPr>
          <w:rFonts w:asciiTheme="majorBidi" w:hAnsiTheme="majorBidi" w:cstheme="majorBidi"/>
          <w:b/>
          <w:bCs/>
        </w:rPr>
        <w:t>20</w:t>
      </w:r>
      <w:r w:rsidRPr="005103A1">
        <w:rPr>
          <w:rFonts w:asciiTheme="majorBidi" w:hAnsiTheme="majorBidi" w:cstheme="majorBidi"/>
        </w:rPr>
        <w:t>, pp.571-606.</w:t>
      </w:r>
    </w:p>
    <w:p w14:paraId="5D7C2A05" w14:textId="624CCA7D" w:rsidR="00693483" w:rsidRPr="005103A1" w:rsidRDefault="00693483" w:rsidP="00BE019A">
      <w:pPr>
        <w:spacing w:after="0" w:line="240" w:lineRule="auto"/>
        <w:ind w:left="284" w:hanging="284"/>
        <w:jc w:val="both"/>
        <w:rPr>
          <w:rFonts w:asciiTheme="majorBidi" w:hAnsiTheme="majorBidi" w:cstheme="majorBidi"/>
        </w:rPr>
      </w:pPr>
      <w:r w:rsidRPr="005103A1">
        <w:rPr>
          <w:rFonts w:asciiTheme="majorBidi" w:hAnsiTheme="majorBidi" w:cstheme="majorBidi"/>
        </w:rPr>
        <w:lastRenderedPageBreak/>
        <w:t xml:space="preserve">Tauringana, V. and L. </w:t>
      </w:r>
      <w:proofErr w:type="spellStart"/>
      <w:r w:rsidRPr="005103A1">
        <w:rPr>
          <w:rFonts w:asciiTheme="majorBidi" w:hAnsiTheme="majorBidi" w:cstheme="majorBidi"/>
        </w:rPr>
        <w:t>Chithambo</w:t>
      </w:r>
      <w:proofErr w:type="spellEnd"/>
      <w:r w:rsidRPr="005103A1">
        <w:rPr>
          <w:rFonts w:asciiTheme="majorBidi" w:hAnsiTheme="majorBidi" w:cstheme="majorBidi"/>
        </w:rPr>
        <w:t xml:space="preserve">. (2015). ‘The effect of DEFRA guidance on greenhouse gas disclosure’, </w:t>
      </w:r>
      <w:r w:rsidRPr="005103A1">
        <w:rPr>
          <w:rFonts w:asciiTheme="majorBidi" w:hAnsiTheme="majorBidi" w:cstheme="majorBidi"/>
          <w:i/>
          <w:iCs/>
        </w:rPr>
        <w:t>British Accounting Review,</w:t>
      </w:r>
      <w:r w:rsidRPr="005103A1">
        <w:rPr>
          <w:rFonts w:asciiTheme="majorBidi" w:hAnsiTheme="majorBidi" w:cstheme="majorBidi"/>
        </w:rPr>
        <w:t xml:space="preserve"> </w:t>
      </w:r>
      <w:r w:rsidRPr="005103A1">
        <w:rPr>
          <w:rFonts w:asciiTheme="majorBidi" w:hAnsiTheme="majorBidi" w:cstheme="majorBidi"/>
          <w:b/>
        </w:rPr>
        <w:t>47</w:t>
      </w:r>
      <w:r w:rsidRPr="005103A1">
        <w:rPr>
          <w:rFonts w:asciiTheme="majorBidi" w:hAnsiTheme="majorBidi" w:cstheme="majorBidi"/>
        </w:rPr>
        <w:t>, pp.425–444.</w:t>
      </w:r>
    </w:p>
    <w:p w14:paraId="7F64EA56" w14:textId="37010B42" w:rsidR="00693483" w:rsidRPr="005103A1" w:rsidRDefault="00693483" w:rsidP="00073724">
      <w:pPr>
        <w:spacing w:after="0" w:line="240" w:lineRule="auto"/>
        <w:ind w:left="288" w:hanging="288"/>
        <w:jc w:val="both"/>
        <w:rPr>
          <w:rFonts w:asciiTheme="majorBidi" w:hAnsiTheme="majorBidi" w:cstheme="majorBidi"/>
        </w:rPr>
      </w:pPr>
      <w:r w:rsidRPr="005103A1">
        <w:rPr>
          <w:rFonts w:asciiTheme="majorBidi" w:hAnsiTheme="majorBidi" w:cstheme="majorBidi"/>
        </w:rPr>
        <w:t xml:space="preserve">Teeter, P., and J. Sandberg (2017). ‘Constraining or enabling green capability development? How policy uncertainty affects organizational responses to flexible environmental regulations’, </w:t>
      </w:r>
      <w:r w:rsidRPr="005103A1">
        <w:rPr>
          <w:rFonts w:asciiTheme="majorBidi" w:hAnsiTheme="majorBidi" w:cstheme="majorBidi"/>
          <w:i/>
          <w:iCs/>
        </w:rPr>
        <w:t>British Journal of Management</w:t>
      </w:r>
      <w:r w:rsidRPr="005103A1">
        <w:rPr>
          <w:rFonts w:asciiTheme="majorBidi" w:hAnsiTheme="majorBidi" w:cstheme="majorBidi"/>
        </w:rPr>
        <w:t xml:space="preserve">, </w:t>
      </w:r>
      <w:r w:rsidRPr="005103A1">
        <w:rPr>
          <w:rFonts w:asciiTheme="majorBidi" w:hAnsiTheme="majorBidi" w:cstheme="majorBidi"/>
          <w:b/>
        </w:rPr>
        <w:t>28</w:t>
      </w:r>
      <w:r w:rsidRPr="005103A1">
        <w:rPr>
          <w:rFonts w:asciiTheme="majorBidi" w:hAnsiTheme="majorBidi" w:cstheme="majorBidi"/>
        </w:rPr>
        <w:t xml:space="preserve">, pp.649–665. </w:t>
      </w:r>
    </w:p>
    <w:p w14:paraId="5D7EF45B" w14:textId="425D0908" w:rsidR="00693483" w:rsidRPr="005103A1" w:rsidRDefault="00693483" w:rsidP="000B468E">
      <w:pPr>
        <w:spacing w:after="0" w:line="240" w:lineRule="auto"/>
        <w:ind w:left="288" w:hanging="288"/>
        <w:jc w:val="both"/>
        <w:rPr>
          <w:rFonts w:asciiTheme="majorBidi" w:hAnsiTheme="majorBidi" w:cstheme="majorBidi"/>
        </w:rPr>
      </w:pPr>
      <w:r w:rsidRPr="005103A1">
        <w:rPr>
          <w:rFonts w:asciiTheme="majorBidi" w:hAnsiTheme="majorBidi" w:cstheme="majorBidi"/>
          <w:lang w:val="de-DE"/>
        </w:rPr>
        <w:t xml:space="preserve">Trumpp C., J. Endrikat, C. Zopf and E. Guenther (2015). </w:t>
      </w:r>
      <w:r w:rsidRPr="005103A1">
        <w:rPr>
          <w:rFonts w:asciiTheme="majorBidi" w:hAnsiTheme="majorBidi" w:cstheme="majorBidi"/>
        </w:rPr>
        <w:t xml:space="preserve">‘Definition, conceptualization, and measurement of corporate environmental performance: A critical examination of a multidimensional construct’, </w:t>
      </w:r>
      <w:r w:rsidRPr="005103A1">
        <w:rPr>
          <w:rFonts w:asciiTheme="majorBidi" w:hAnsiTheme="majorBidi" w:cstheme="majorBidi"/>
          <w:i/>
          <w:iCs/>
        </w:rPr>
        <w:t>Journal of Business Ethics</w:t>
      </w:r>
      <w:r w:rsidRPr="005103A1">
        <w:rPr>
          <w:rFonts w:asciiTheme="majorBidi" w:hAnsiTheme="majorBidi" w:cstheme="majorBidi"/>
        </w:rPr>
        <w:t xml:space="preserve">, </w:t>
      </w:r>
      <w:r w:rsidRPr="005103A1">
        <w:rPr>
          <w:rFonts w:asciiTheme="majorBidi" w:hAnsiTheme="majorBidi" w:cstheme="majorBidi"/>
          <w:b/>
        </w:rPr>
        <w:t>126</w:t>
      </w:r>
      <w:r w:rsidRPr="005103A1">
        <w:rPr>
          <w:rFonts w:asciiTheme="majorBidi" w:hAnsiTheme="majorBidi" w:cstheme="majorBidi"/>
        </w:rPr>
        <w:t>, pp.185–204.</w:t>
      </w:r>
    </w:p>
    <w:p w14:paraId="5D412090" w14:textId="36B010B9" w:rsidR="00073724" w:rsidRPr="005103A1" w:rsidRDefault="00073724" w:rsidP="00073724">
      <w:pPr>
        <w:spacing w:after="0" w:line="240" w:lineRule="auto"/>
        <w:ind w:left="288" w:hanging="288"/>
        <w:jc w:val="both"/>
        <w:rPr>
          <w:rFonts w:asciiTheme="majorBidi" w:hAnsiTheme="majorBidi" w:cstheme="majorBidi"/>
          <w:lang w:val="en-US"/>
        </w:rPr>
      </w:pPr>
      <w:r w:rsidRPr="005103A1">
        <w:rPr>
          <w:rFonts w:asciiTheme="majorBidi" w:hAnsiTheme="majorBidi" w:cstheme="majorBidi"/>
          <w:lang w:val="en-US"/>
        </w:rPr>
        <w:t>Turnbull Report (1999). ‘</w:t>
      </w:r>
      <w:r w:rsidRPr="005103A1">
        <w:rPr>
          <w:rFonts w:asciiTheme="majorBidi" w:hAnsiTheme="majorBidi" w:cstheme="majorBidi"/>
          <w:i/>
          <w:iCs/>
          <w:lang w:val="en-US"/>
        </w:rPr>
        <w:t>Internal control: Guidance for directors on the combined code</w:t>
      </w:r>
      <w:r w:rsidRPr="005103A1">
        <w:rPr>
          <w:rFonts w:asciiTheme="majorBidi" w:hAnsiTheme="majorBidi" w:cstheme="majorBidi"/>
          <w:lang w:val="en-US"/>
        </w:rPr>
        <w:t>’, London: The Institute of Chartered Accountants in England and Wales.</w:t>
      </w:r>
    </w:p>
    <w:p w14:paraId="10ABED5E" w14:textId="77777777" w:rsidR="00693483" w:rsidRPr="005103A1" w:rsidRDefault="00693483" w:rsidP="000B468E">
      <w:pPr>
        <w:spacing w:after="0" w:line="240" w:lineRule="auto"/>
        <w:ind w:left="288" w:hanging="288"/>
        <w:jc w:val="both"/>
        <w:rPr>
          <w:rFonts w:asciiTheme="majorBidi" w:hAnsiTheme="majorBidi" w:cstheme="majorBidi"/>
        </w:rPr>
      </w:pPr>
      <w:r w:rsidRPr="005103A1">
        <w:rPr>
          <w:rFonts w:asciiTheme="majorBidi" w:hAnsiTheme="majorBidi" w:cstheme="majorBidi"/>
        </w:rPr>
        <w:t xml:space="preserve">Welsh, H. (2014). ‘An insider’s view: why more companies should tie bonuses to sustainability, The Guardian, Monday 11th August 2014. Accessed date: 15 September 2015. </w:t>
      </w:r>
      <w:hyperlink r:id="rId21" w:history="1">
        <w:r w:rsidRPr="005103A1">
          <w:rPr>
            <w:rStyle w:val="Hyperlink"/>
            <w:rFonts w:asciiTheme="majorBidi" w:hAnsiTheme="majorBidi" w:cstheme="majorBidi"/>
          </w:rPr>
          <w:t>http://www.theguardian.com/sustainable-business/2014/aug/11/executive-compensation-bonuses-sustainability-goals-energy-water-carbon-dsm?CMP=share_btn_link</w:t>
        </w:r>
      </w:hyperlink>
      <w:r w:rsidRPr="005103A1">
        <w:rPr>
          <w:rFonts w:asciiTheme="majorBidi" w:hAnsiTheme="majorBidi" w:cstheme="majorBidi"/>
        </w:rPr>
        <w:t xml:space="preserve"> </w:t>
      </w:r>
    </w:p>
    <w:p w14:paraId="5DC0511E" w14:textId="77777777" w:rsidR="00AD2F35" w:rsidRPr="005103A1" w:rsidRDefault="00570B07" w:rsidP="00693483">
      <w:pPr>
        <w:spacing w:after="0" w:line="240" w:lineRule="auto"/>
        <w:ind w:left="288" w:hanging="288"/>
        <w:jc w:val="both"/>
        <w:rPr>
          <w:rFonts w:asciiTheme="majorBidi" w:hAnsiTheme="majorBidi" w:cstheme="majorBidi"/>
        </w:rPr>
      </w:pPr>
      <w:proofErr w:type="spellStart"/>
      <w:r w:rsidRPr="005103A1">
        <w:rPr>
          <w:rFonts w:asciiTheme="majorBidi" w:hAnsiTheme="majorBidi" w:cstheme="majorBidi"/>
        </w:rPr>
        <w:t>Windmeijer</w:t>
      </w:r>
      <w:proofErr w:type="spellEnd"/>
      <w:r w:rsidRPr="005103A1">
        <w:rPr>
          <w:rFonts w:asciiTheme="majorBidi" w:hAnsiTheme="majorBidi" w:cstheme="majorBidi"/>
        </w:rPr>
        <w:t xml:space="preserve">, F. (2005). ‘A finite sample correction for the variance of linear efficient two-step GMM estimators’, </w:t>
      </w:r>
      <w:r w:rsidRPr="005103A1">
        <w:rPr>
          <w:rFonts w:asciiTheme="majorBidi" w:hAnsiTheme="majorBidi" w:cstheme="majorBidi"/>
          <w:i/>
        </w:rPr>
        <w:t>Journal of Econometrics</w:t>
      </w:r>
      <w:r w:rsidRPr="005103A1">
        <w:rPr>
          <w:rFonts w:asciiTheme="majorBidi" w:hAnsiTheme="majorBidi" w:cstheme="majorBidi"/>
        </w:rPr>
        <w:t xml:space="preserve">, </w:t>
      </w:r>
      <w:r w:rsidRPr="005103A1">
        <w:rPr>
          <w:rFonts w:asciiTheme="majorBidi" w:hAnsiTheme="majorBidi" w:cstheme="majorBidi"/>
          <w:b/>
        </w:rPr>
        <w:t>126</w:t>
      </w:r>
      <w:r w:rsidRPr="005103A1">
        <w:rPr>
          <w:rFonts w:asciiTheme="majorBidi" w:hAnsiTheme="majorBidi" w:cstheme="majorBidi"/>
        </w:rPr>
        <w:t>, pp. 25-51.</w:t>
      </w:r>
    </w:p>
    <w:p w14:paraId="481E899B" w14:textId="35F4D626" w:rsidR="00693483" w:rsidRPr="005103A1" w:rsidRDefault="00693483" w:rsidP="00693483">
      <w:pPr>
        <w:spacing w:after="0" w:line="240" w:lineRule="auto"/>
        <w:ind w:left="288" w:hanging="288"/>
        <w:jc w:val="both"/>
        <w:rPr>
          <w:rFonts w:asciiTheme="majorBidi" w:hAnsiTheme="majorBidi" w:cstheme="majorBidi"/>
        </w:rPr>
      </w:pPr>
      <w:r w:rsidRPr="005103A1">
        <w:rPr>
          <w:rFonts w:asciiTheme="majorBidi" w:hAnsiTheme="majorBidi" w:cstheme="majorBidi"/>
          <w:lang w:val="de-DE"/>
        </w:rPr>
        <w:t xml:space="preserve">Ziegler, A., T. Busch and V.H. Hoffmann (2011). </w:t>
      </w:r>
      <w:r w:rsidRPr="005103A1">
        <w:rPr>
          <w:rFonts w:asciiTheme="majorBidi" w:hAnsiTheme="majorBidi" w:cstheme="majorBidi"/>
        </w:rPr>
        <w:t xml:space="preserve">‘Disclosed corporate responses to climate change and stock performance: An international empirical analysis’, </w:t>
      </w:r>
      <w:r w:rsidRPr="005103A1">
        <w:rPr>
          <w:rFonts w:asciiTheme="majorBidi" w:hAnsiTheme="majorBidi" w:cstheme="majorBidi"/>
          <w:i/>
          <w:iCs/>
        </w:rPr>
        <w:t>Energy Economics,</w:t>
      </w:r>
      <w:r w:rsidRPr="005103A1">
        <w:rPr>
          <w:rFonts w:asciiTheme="majorBidi" w:hAnsiTheme="majorBidi" w:cstheme="majorBidi"/>
        </w:rPr>
        <w:t xml:space="preserve"> </w:t>
      </w:r>
      <w:r w:rsidRPr="005103A1">
        <w:rPr>
          <w:rFonts w:asciiTheme="majorBidi" w:hAnsiTheme="majorBidi" w:cstheme="majorBidi"/>
          <w:b/>
        </w:rPr>
        <w:t>33</w:t>
      </w:r>
      <w:r w:rsidRPr="005103A1">
        <w:rPr>
          <w:rFonts w:asciiTheme="majorBidi" w:hAnsiTheme="majorBidi" w:cstheme="majorBidi"/>
        </w:rPr>
        <w:t>, pp.1283–1294.</w:t>
      </w:r>
    </w:p>
    <w:p w14:paraId="5691C8AA" w14:textId="77777777" w:rsidR="00693483" w:rsidRDefault="00693483" w:rsidP="00693483">
      <w:pPr>
        <w:spacing w:after="0" w:line="240" w:lineRule="auto"/>
        <w:ind w:left="288" w:hanging="288"/>
        <w:jc w:val="both"/>
        <w:rPr>
          <w:rFonts w:ascii="Times New Roman" w:hAnsi="Times New Roman" w:cs="Times New Roman"/>
        </w:rPr>
      </w:pPr>
    </w:p>
    <w:p w14:paraId="42B48B1C" w14:textId="77777777" w:rsidR="00D555E0" w:rsidRDefault="00D555E0" w:rsidP="00693483">
      <w:pPr>
        <w:spacing w:after="0" w:line="240" w:lineRule="auto"/>
        <w:ind w:left="288" w:hanging="288"/>
        <w:jc w:val="both"/>
        <w:rPr>
          <w:rFonts w:ascii="Times New Roman" w:hAnsi="Times New Roman" w:cs="Times New Roman"/>
        </w:rPr>
      </w:pPr>
    </w:p>
    <w:p w14:paraId="2349932E" w14:textId="77777777" w:rsidR="00D555E0" w:rsidRDefault="00D555E0" w:rsidP="00693483">
      <w:pPr>
        <w:spacing w:after="0" w:line="240" w:lineRule="auto"/>
        <w:ind w:left="288" w:hanging="288"/>
        <w:jc w:val="both"/>
        <w:rPr>
          <w:rFonts w:ascii="Times New Roman" w:hAnsi="Times New Roman" w:cs="Times New Roman"/>
        </w:rPr>
      </w:pPr>
    </w:p>
    <w:p w14:paraId="58A015AA" w14:textId="77777777" w:rsidR="00D555E0" w:rsidRDefault="00D555E0" w:rsidP="00693483">
      <w:pPr>
        <w:spacing w:after="0" w:line="240" w:lineRule="auto"/>
        <w:ind w:left="288" w:hanging="288"/>
        <w:jc w:val="both"/>
        <w:rPr>
          <w:rFonts w:ascii="Times New Roman" w:hAnsi="Times New Roman" w:cs="Times New Roman"/>
        </w:rPr>
      </w:pPr>
    </w:p>
    <w:p w14:paraId="106BFF51" w14:textId="77777777" w:rsidR="00D555E0" w:rsidRDefault="00D555E0" w:rsidP="00693483">
      <w:pPr>
        <w:spacing w:after="0" w:line="240" w:lineRule="auto"/>
        <w:ind w:left="288" w:hanging="288"/>
        <w:jc w:val="both"/>
        <w:rPr>
          <w:rFonts w:ascii="Times New Roman" w:hAnsi="Times New Roman" w:cs="Times New Roman"/>
        </w:rPr>
      </w:pPr>
    </w:p>
    <w:p w14:paraId="1A2E70C3" w14:textId="24EB4468" w:rsidR="006757F3" w:rsidRDefault="006757F3">
      <w:pPr>
        <w:rPr>
          <w:rFonts w:ascii="Times New Roman" w:hAnsi="Times New Roman" w:cs="Times New Roman"/>
        </w:rPr>
      </w:pPr>
      <w:r>
        <w:rPr>
          <w:rFonts w:ascii="Times New Roman" w:hAnsi="Times New Roman" w:cs="Times New Roman"/>
        </w:rPr>
        <w:br w:type="page"/>
      </w:r>
    </w:p>
    <w:tbl>
      <w:tblPr>
        <w:tblW w:w="5000" w:type="pct"/>
        <w:tblLayout w:type="fixed"/>
        <w:tblCellMar>
          <w:top w:w="15" w:type="dxa"/>
          <w:bottom w:w="15" w:type="dxa"/>
        </w:tblCellMar>
        <w:tblLook w:val="04A0" w:firstRow="1" w:lastRow="0" w:firstColumn="1" w:lastColumn="0" w:noHBand="0" w:noVBand="1"/>
      </w:tblPr>
      <w:tblGrid>
        <w:gridCol w:w="5756"/>
        <w:gridCol w:w="768"/>
        <w:gridCol w:w="1411"/>
        <w:gridCol w:w="1425"/>
      </w:tblGrid>
      <w:tr w:rsidR="006757F3" w:rsidRPr="00256235" w14:paraId="2B418A25" w14:textId="77777777" w:rsidTr="00B768F6">
        <w:trPr>
          <w:trHeight w:val="300"/>
        </w:trPr>
        <w:tc>
          <w:tcPr>
            <w:tcW w:w="4239" w:type="pct"/>
            <w:gridSpan w:val="3"/>
            <w:tcBorders>
              <w:top w:val="nil"/>
              <w:left w:val="nil"/>
              <w:bottom w:val="single" w:sz="4" w:space="0" w:color="auto"/>
              <w:right w:val="nil"/>
            </w:tcBorders>
            <w:noWrap/>
            <w:vAlign w:val="bottom"/>
            <w:hideMark/>
          </w:tcPr>
          <w:p w14:paraId="2920DE6A" w14:textId="77777777" w:rsidR="006757F3" w:rsidRDefault="006757F3" w:rsidP="00B768F6">
            <w:pPr>
              <w:spacing w:after="0" w:line="240" w:lineRule="auto"/>
              <w:rPr>
                <w:rFonts w:ascii="Times New Roman" w:hAnsi="Times New Roman" w:cs="Times New Roman"/>
                <w:i/>
              </w:rPr>
            </w:pPr>
            <w:r w:rsidRPr="00A55D8E">
              <w:rPr>
                <w:rFonts w:ascii="Times New Roman" w:hAnsi="Times New Roman" w:cs="Times New Roman"/>
                <w:i/>
              </w:rPr>
              <w:lastRenderedPageBreak/>
              <w:t xml:space="preserve">Table 1. Distribution of the sample based on country and industry </w:t>
            </w:r>
          </w:p>
          <w:p w14:paraId="6D0143EC" w14:textId="77777777" w:rsidR="006757F3" w:rsidRPr="00A55D8E" w:rsidRDefault="006757F3" w:rsidP="00B768F6">
            <w:pPr>
              <w:spacing w:after="0" w:line="240" w:lineRule="auto"/>
              <w:rPr>
                <w:rFonts w:ascii="Calibri" w:eastAsia="Times New Roman" w:hAnsi="Calibri" w:cs="Calibri"/>
                <w:i/>
                <w:color w:val="000000"/>
                <w:lang w:val="en-US"/>
              </w:rPr>
            </w:pPr>
          </w:p>
        </w:tc>
        <w:tc>
          <w:tcPr>
            <w:tcW w:w="761" w:type="pct"/>
            <w:tcBorders>
              <w:top w:val="nil"/>
              <w:left w:val="nil"/>
              <w:bottom w:val="single" w:sz="4" w:space="0" w:color="auto"/>
              <w:right w:val="nil"/>
            </w:tcBorders>
            <w:noWrap/>
            <w:vAlign w:val="bottom"/>
            <w:hideMark/>
          </w:tcPr>
          <w:p w14:paraId="6497B682" w14:textId="77777777" w:rsidR="006757F3" w:rsidRPr="00256235" w:rsidRDefault="006757F3" w:rsidP="00B768F6">
            <w:pPr>
              <w:spacing w:after="0" w:line="240" w:lineRule="auto"/>
              <w:rPr>
                <w:rFonts w:ascii="Calibri" w:eastAsia="Times New Roman" w:hAnsi="Calibri" w:cs="Calibri"/>
                <w:color w:val="000000"/>
                <w:lang w:val="en-US"/>
              </w:rPr>
            </w:pPr>
          </w:p>
        </w:tc>
      </w:tr>
      <w:tr w:rsidR="006757F3" w:rsidRPr="00256235" w14:paraId="1B0A7701" w14:textId="77777777" w:rsidTr="00B768F6">
        <w:trPr>
          <w:trHeight w:val="300"/>
        </w:trPr>
        <w:tc>
          <w:tcPr>
            <w:tcW w:w="3075" w:type="pct"/>
            <w:tcBorders>
              <w:top w:val="single" w:sz="4" w:space="0" w:color="auto"/>
              <w:left w:val="nil"/>
              <w:bottom w:val="single" w:sz="4" w:space="0" w:color="auto"/>
              <w:right w:val="nil"/>
            </w:tcBorders>
            <w:noWrap/>
            <w:vAlign w:val="bottom"/>
            <w:hideMark/>
          </w:tcPr>
          <w:p w14:paraId="0C5D7D05" w14:textId="77777777" w:rsidR="006757F3" w:rsidRPr="00256235" w:rsidRDefault="006757F3" w:rsidP="00B768F6">
            <w:pPr>
              <w:spacing w:after="0" w:line="240" w:lineRule="auto"/>
              <w:rPr>
                <w:rFonts w:ascii="Times New Roman" w:eastAsia="Times New Roman" w:hAnsi="Times New Roman" w:cs="Times New Roman"/>
                <w:color w:val="000000"/>
                <w:lang w:val="en-US"/>
              </w:rPr>
            </w:pPr>
          </w:p>
        </w:tc>
        <w:tc>
          <w:tcPr>
            <w:tcW w:w="410" w:type="pct"/>
            <w:tcBorders>
              <w:top w:val="single" w:sz="4" w:space="0" w:color="auto"/>
              <w:left w:val="nil"/>
              <w:bottom w:val="single" w:sz="4" w:space="0" w:color="auto"/>
              <w:right w:val="nil"/>
            </w:tcBorders>
            <w:noWrap/>
            <w:vAlign w:val="bottom"/>
            <w:hideMark/>
          </w:tcPr>
          <w:p w14:paraId="7991D88B"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F</w:t>
            </w:r>
            <w:r w:rsidRPr="00256235">
              <w:rPr>
                <w:rFonts w:ascii="Times New Roman" w:eastAsia="Times New Roman" w:hAnsi="Times New Roman" w:cs="Times New Roman"/>
                <w:color w:val="000000"/>
                <w:lang w:val="en-US"/>
              </w:rPr>
              <w:t>irms</w:t>
            </w:r>
          </w:p>
        </w:tc>
        <w:tc>
          <w:tcPr>
            <w:tcW w:w="754" w:type="pct"/>
            <w:tcBorders>
              <w:top w:val="single" w:sz="4" w:space="0" w:color="auto"/>
              <w:left w:val="nil"/>
              <w:bottom w:val="single" w:sz="4" w:space="0" w:color="auto"/>
              <w:right w:val="nil"/>
            </w:tcBorders>
            <w:noWrap/>
            <w:vAlign w:val="bottom"/>
            <w:hideMark/>
          </w:tcPr>
          <w:p w14:paraId="6B2D4162"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proofErr w:type="spellStart"/>
            <w:r w:rsidRPr="00256235">
              <w:rPr>
                <w:rFonts w:ascii="Times New Roman" w:eastAsia="Times New Roman" w:hAnsi="Times New Roman" w:cs="Times New Roman"/>
                <w:color w:val="000000"/>
                <w:lang w:val="en-US"/>
              </w:rPr>
              <w:t>Obs</w:t>
            </w:r>
            <w:proofErr w:type="spellEnd"/>
          </w:p>
        </w:tc>
        <w:tc>
          <w:tcPr>
            <w:tcW w:w="761" w:type="pct"/>
            <w:tcBorders>
              <w:top w:val="single" w:sz="4" w:space="0" w:color="auto"/>
              <w:left w:val="nil"/>
              <w:bottom w:val="single" w:sz="4" w:space="0" w:color="auto"/>
              <w:right w:val="nil"/>
            </w:tcBorders>
            <w:noWrap/>
            <w:vAlign w:val="bottom"/>
            <w:hideMark/>
          </w:tcPr>
          <w:p w14:paraId="4232343A"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Percent</w:t>
            </w:r>
          </w:p>
        </w:tc>
      </w:tr>
      <w:tr w:rsidR="006757F3" w:rsidRPr="00256235" w14:paraId="14406280" w14:textId="77777777" w:rsidTr="00B768F6">
        <w:trPr>
          <w:trHeight w:val="300"/>
        </w:trPr>
        <w:tc>
          <w:tcPr>
            <w:tcW w:w="3075" w:type="pct"/>
            <w:tcBorders>
              <w:top w:val="single" w:sz="4" w:space="0" w:color="auto"/>
              <w:left w:val="nil"/>
              <w:right w:val="nil"/>
            </w:tcBorders>
            <w:noWrap/>
            <w:vAlign w:val="bottom"/>
          </w:tcPr>
          <w:p w14:paraId="7B842459"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sidRPr="007F758A">
              <w:rPr>
                <w:rFonts w:ascii="Times New Roman" w:eastAsia="Times New Roman" w:hAnsi="Times New Roman" w:cs="Times New Roman"/>
                <w:b/>
                <w:i/>
                <w:color w:val="000000"/>
                <w:lang w:val="en-US"/>
              </w:rPr>
              <w:t>Panel B: Distribu</w:t>
            </w:r>
            <w:r>
              <w:rPr>
                <w:rFonts w:ascii="Times New Roman" w:eastAsia="Times New Roman" w:hAnsi="Times New Roman" w:cs="Times New Roman"/>
                <w:b/>
                <w:i/>
                <w:color w:val="000000"/>
                <w:lang w:val="en-US"/>
              </w:rPr>
              <w:t>tion of the sample by c</w:t>
            </w:r>
            <w:r w:rsidRPr="007F758A">
              <w:rPr>
                <w:rFonts w:ascii="Times New Roman" w:eastAsia="Times New Roman" w:hAnsi="Times New Roman" w:cs="Times New Roman"/>
                <w:b/>
                <w:i/>
                <w:color w:val="000000"/>
                <w:lang w:val="en-US"/>
              </w:rPr>
              <w:t>ountry</w:t>
            </w:r>
          </w:p>
        </w:tc>
        <w:tc>
          <w:tcPr>
            <w:tcW w:w="410" w:type="pct"/>
            <w:tcBorders>
              <w:top w:val="single" w:sz="4" w:space="0" w:color="auto"/>
              <w:left w:val="nil"/>
              <w:right w:val="nil"/>
            </w:tcBorders>
            <w:noWrap/>
            <w:vAlign w:val="bottom"/>
          </w:tcPr>
          <w:p w14:paraId="17735302"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p>
        </w:tc>
        <w:tc>
          <w:tcPr>
            <w:tcW w:w="754" w:type="pct"/>
            <w:tcBorders>
              <w:top w:val="single" w:sz="4" w:space="0" w:color="auto"/>
              <w:left w:val="nil"/>
              <w:right w:val="nil"/>
            </w:tcBorders>
            <w:noWrap/>
            <w:vAlign w:val="bottom"/>
          </w:tcPr>
          <w:p w14:paraId="3E444420"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p>
        </w:tc>
        <w:tc>
          <w:tcPr>
            <w:tcW w:w="761" w:type="pct"/>
            <w:tcBorders>
              <w:top w:val="single" w:sz="4" w:space="0" w:color="auto"/>
              <w:left w:val="nil"/>
              <w:right w:val="nil"/>
            </w:tcBorders>
            <w:noWrap/>
            <w:vAlign w:val="bottom"/>
          </w:tcPr>
          <w:p w14:paraId="5BF655A4"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p>
        </w:tc>
      </w:tr>
      <w:tr w:rsidR="006757F3" w:rsidRPr="00256235" w14:paraId="19432CFE" w14:textId="77777777" w:rsidTr="00B768F6">
        <w:trPr>
          <w:trHeight w:val="300"/>
        </w:trPr>
        <w:tc>
          <w:tcPr>
            <w:tcW w:w="3075" w:type="pct"/>
            <w:tcBorders>
              <w:left w:val="nil"/>
              <w:bottom w:val="nil"/>
              <w:right w:val="nil"/>
            </w:tcBorders>
            <w:noWrap/>
            <w:vAlign w:val="bottom"/>
            <w:hideMark/>
          </w:tcPr>
          <w:p w14:paraId="050F8DE3"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Aerospace</w:t>
            </w:r>
            <w:r>
              <w:rPr>
                <w:rFonts w:ascii="Times New Roman" w:eastAsia="Times New Roman" w:hAnsi="Times New Roman" w:cs="Times New Roman"/>
                <w:color w:val="000000"/>
                <w:lang w:val="en-US"/>
              </w:rPr>
              <w:t xml:space="preserve"> &amp; </w:t>
            </w:r>
            <w:r w:rsidRPr="00256235">
              <w:rPr>
                <w:rFonts w:ascii="Times New Roman" w:eastAsia="Times New Roman" w:hAnsi="Times New Roman" w:cs="Times New Roman"/>
                <w:color w:val="000000"/>
                <w:lang w:val="en-US"/>
              </w:rPr>
              <w:t>Defense</w:t>
            </w:r>
          </w:p>
        </w:tc>
        <w:tc>
          <w:tcPr>
            <w:tcW w:w="410" w:type="pct"/>
            <w:tcBorders>
              <w:left w:val="nil"/>
              <w:bottom w:val="nil"/>
              <w:right w:val="nil"/>
            </w:tcBorders>
            <w:noWrap/>
            <w:vAlign w:val="bottom"/>
            <w:hideMark/>
          </w:tcPr>
          <w:p w14:paraId="40C2F895"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27</w:t>
            </w:r>
          </w:p>
        </w:tc>
        <w:tc>
          <w:tcPr>
            <w:tcW w:w="754" w:type="pct"/>
            <w:tcBorders>
              <w:left w:val="nil"/>
              <w:bottom w:val="nil"/>
              <w:right w:val="nil"/>
            </w:tcBorders>
            <w:noWrap/>
            <w:vAlign w:val="bottom"/>
            <w:hideMark/>
          </w:tcPr>
          <w:p w14:paraId="12C75209"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262</w:t>
            </w:r>
          </w:p>
        </w:tc>
        <w:tc>
          <w:tcPr>
            <w:tcW w:w="761" w:type="pct"/>
            <w:tcBorders>
              <w:left w:val="nil"/>
              <w:bottom w:val="nil"/>
              <w:right w:val="nil"/>
            </w:tcBorders>
            <w:noWrap/>
            <w:vAlign w:val="bottom"/>
            <w:hideMark/>
          </w:tcPr>
          <w:p w14:paraId="03A2D7F3"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5.98</w:t>
            </w:r>
          </w:p>
        </w:tc>
      </w:tr>
      <w:tr w:rsidR="006757F3" w:rsidRPr="00256235" w14:paraId="4BBC335E" w14:textId="77777777" w:rsidTr="00B768F6">
        <w:trPr>
          <w:trHeight w:val="300"/>
        </w:trPr>
        <w:tc>
          <w:tcPr>
            <w:tcW w:w="3075" w:type="pct"/>
            <w:tcBorders>
              <w:top w:val="nil"/>
              <w:left w:val="nil"/>
              <w:bottom w:val="nil"/>
              <w:right w:val="nil"/>
            </w:tcBorders>
            <w:noWrap/>
            <w:vAlign w:val="bottom"/>
            <w:hideMark/>
          </w:tcPr>
          <w:p w14:paraId="4121CA17"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Construction</w:t>
            </w:r>
          </w:p>
        </w:tc>
        <w:tc>
          <w:tcPr>
            <w:tcW w:w="410" w:type="pct"/>
            <w:tcBorders>
              <w:top w:val="nil"/>
              <w:left w:val="nil"/>
              <w:bottom w:val="nil"/>
              <w:right w:val="nil"/>
            </w:tcBorders>
            <w:noWrap/>
            <w:vAlign w:val="bottom"/>
            <w:hideMark/>
          </w:tcPr>
          <w:p w14:paraId="4852A893"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53</w:t>
            </w:r>
          </w:p>
        </w:tc>
        <w:tc>
          <w:tcPr>
            <w:tcW w:w="754" w:type="pct"/>
            <w:tcBorders>
              <w:top w:val="nil"/>
              <w:left w:val="nil"/>
              <w:bottom w:val="nil"/>
              <w:right w:val="nil"/>
            </w:tcBorders>
            <w:noWrap/>
            <w:vAlign w:val="bottom"/>
            <w:hideMark/>
          </w:tcPr>
          <w:p w14:paraId="2619EF8A"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518</w:t>
            </w:r>
          </w:p>
        </w:tc>
        <w:tc>
          <w:tcPr>
            <w:tcW w:w="761" w:type="pct"/>
            <w:tcBorders>
              <w:top w:val="nil"/>
              <w:left w:val="nil"/>
              <w:bottom w:val="nil"/>
              <w:right w:val="nil"/>
            </w:tcBorders>
            <w:noWrap/>
            <w:vAlign w:val="bottom"/>
            <w:hideMark/>
          </w:tcPr>
          <w:p w14:paraId="4C073655"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11.83</w:t>
            </w:r>
          </w:p>
        </w:tc>
      </w:tr>
      <w:tr w:rsidR="006757F3" w:rsidRPr="00256235" w14:paraId="2734EEC7" w14:textId="77777777" w:rsidTr="00B768F6">
        <w:trPr>
          <w:trHeight w:val="300"/>
        </w:trPr>
        <w:tc>
          <w:tcPr>
            <w:tcW w:w="3075" w:type="pct"/>
            <w:tcBorders>
              <w:top w:val="nil"/>
              <w:left w:val="nil"/>
              <w:bottom w:val="nil"/>
              <w:right w:val="nil"/>
            </w:tcBorders>
            <w:noWrap/>
            <w:vAlign w:val="bottom"/>
            <w:hideMark/>
          </w:tcPr>
          <w:p w14:paraId="0E0B8AD9"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Food p</w:t>
            </w:r>
            <w:r w:rsidRPr="00256235">
              <w:rPr>
                <w:rFonts w:ascii="Times New Roman" w:eastAsia="Times New Roman" w:hAnsi="Times New Roman" w:cs="Times New Roman"/>
                <w:color w:val="000000"/>
                <w:lang w:val="en-US"/>
              </w:rPr>
              <w:t>roducers</w:t>
            </w:r>
          </w:p>
        </w:tc>
        <w:tc>
          <w:tcPr>
            <w:tcW w:w="410" w:type="pct"/>
            <w:tcBorders>
              <w:top w:val="nil"/>
              <w:left w:val="nil"/>
              <w:bottom w:val="nil"/>
              <w:right w:val="nil"/>
            </w:tcBorders>
            <w:noWrap/>
            <w:vAlign w:val="bottom"/>
            <w:hideMark/>
          </w:tcPr>
          <w:p w14:paraId="6BDA574F"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34</w:t>
            </w:r>
          </w:p>
        </w:tc>
        <w:tc>
          <w:tcPr>
            <w:tcW w:w="754" w:type="pct"/>
            <w:tcBorders>
              <w:top w:val="nil"/>
              <w:left w:val="nil"/>
              <w:bottom w:val="nil"/>
              <w:right w:val="nil"/>
            </w:tcBorders>
            <w:noWrap/>
            <w:vAlign w:val="bottom"/>
            <w:hideMark/>
          </w:tcPr>
          <w:p w14:paraId="32545F8C"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284</w:t>
            </w:r>
          </w:p>
        </w:tc>
        <w:tc>
          <w:tcPr>
            <w:tcW w:w="761" w:type="pct"/>
            <w:tcBorders>
              <w:top w:val="nil"/>
              <w:left w:val="nil"/>
              <w:bottom w:val="nil"/>
              <w:right w:val="nil"/>
            </w:tcBorders>
            <w:noWrap/>
            <w:vAlign w:val="bottom"/>
            <w:hideMark/>
          </w:tcPr>
          <w:p w14:paraId="69E23C6C"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6.49</w:t>
            </w:r>
          </w:p>
        </w:tc>
      </w:tr>
      <w:tr w:rsidR="006757F3" w:rsidRPr="00256235" w14:paraId="1CACD082" w14:textId="77777777" w:rsidTr="00B768F6">
        <w:trPr>
          <w:trHeight w:val="300"/>
        </w:trPr>
        <w:tc>
          <w:tcPr>
            <w:tcW w:w="3075" w:type="pct"/>
            <w:tcBorders>
              <w:top w:val="nil"/>
              <w:left w:val="nil"/>
              <w:bottom w:val="nil"/>
              <w:right w:val="nil"/>
            </w:tcBorders>
            <w:noWrap/>
            <w:vAlign w:val="bottom"/>
            <w:hideMark/>
          </w:tcPr>
          <w:p w14:paraId="34B8FF37"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U</w:t>
            </w:r>
            <w:r w:rsidRPr="00256235">
              <w:rPr>
                <w:rFonts w:ascii="Times New Roman" w:eastAsia="Times New Roman" w:hAnsi="Times New Roman" w:cs="Times New Roman"/>
                <w:color w:val="000000"/>
                <w:lang w:val="en-US"/>
              </w:rPr>
              <w:t>tilities</w:t>
            </w:r>
          </w:p>
        </w:tc>
        <w:tc>
          <w:tcPr>
            <w:tcW w:w="410" w:type="pct"/>
            <w:tcBorders>
              <w:top w:val="nil"/>
              <w:left w:val="nil"/>
              <w:bottom w:val="nil"/>
              <w:right w:val="nil"/>
            </w:tcBorders>
            <w:noWrap/>
            <w:vAlign w:val="bottom"/>
            <w:hideMark/>
          </w:tcPr>
          <w:p w14:paraId="3823C04A"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33</w:t>
            </w:r>
          </w:p>
        </w:tc>
        <w:tc>
          <w:tcPr>
            <w:tcW w:w="754" w:type="pct"/>
            <w:tcBorders>
              <w:top w:val="nil"/>
              <w:left w:val="nil"/>
              <w:bottom w:val="nil"/>
              <w:right w:val="nil"/>
            </w:tcBorders>
            <w:noWrap/>
            <w:vAlign w:val="bottom"/>
            <w:hideMark/>
          </w:tcPr>
          <w:p w14:paraId="4E94B285"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282</w:t>
            </w:r>
          </w:p>
        </w:tc>
        <w:tc>
          <w:tcPr>
            <w:tcW w:w="761" w:type="pct"/>
            <w:tcBorders>
              <w:top w:val="nil"/>
              <w:left w:val="nil"/>
              <w:bottom w:val="nil"/>
              <w:right w:val="nil"/>
            </w:tcBorders>
            <w:noWrap/>
            <w:vAlign w:val="bottom"/>
            <w:hideMark/>
          </w:tcPr>
          <w:p w14:paraId="399177C7"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6.44</w:t>
            </w:r>
          </w:p>
        </w:tc>
      </w:tr>
      <w:tr w:rsidR="006757F3" w:rsidRPr="00256235" w14:paraId="35A3F9BD" w14:textId="77777777" w:rsidTr="00B768F6">
        <w:trPr>
          <w:trHeight w:val="300"/>
        </w:trPr>
        <w:tc>
          <w:tcPr>
            <w:tcW w:w="3075" w:type="pct"/>
            <w:tcBorders>
              <w:top w:val="nil"/>
              <w:left w:val="nil"/>
              <w:bottom w:val="nil"/>
              <w:right w:val="nil"/>
            </w:tcBorders>
            <w:noWrap/>
            <w:vAlign w:val="bottom"/>
            <w:hideMark/>
          </w:tcPr>
          <w:p w14:paraId="2CC7BC15"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Healthcare</w:t>
            </w:r>
          </w:p>
        </w:tc>
        <w:tc>
          <w:tcPr>
            <w:tcW w:w="410" w:type="pct"/>
            <w:tcBorders>
              <w:top w:val="nil"/>
              <w:left w:val="nil"/>
              <w:bottom w:val="nil"/>
              <w:right w:val="nil"/>
            </w:tcBorders>
            <w:noWrap/>
            <w:vAlign w:val="bottom"/>
            <w:hideMark/>
          </w:tcPr>
          <w:p w14:paraId="05873598"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38</w:t>
            </w:r>
          </w:p>
        </w:tc>
        <w:tc>
          <w:tcPr>
            <w:tcW w:w="754" w:type="pct"/>
            <w:tcBorders>
              <w:top w:val="nil"/>
              <w:left w:val="nil"/>
              <w:bottom w:val="nil"/>
              <w:right w:val="nil"/>
            </w:tcBorders>
            <w:noWrap/>
            <w:vAlign w:val="bottom"/>
            <w:hideMark/>
          </w:tcPr>
          <w:p w14:paraId="2F1FB208"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315</w:t>
            </w:r>
          </w:p>
        </w:tc>
        <w:tc>
          <w:tcPr>
            <w:tcW w:w="761" w:type="pct"/>
            <w:tcBorders>
              <w:top w:val="nil"/>
              <w:left w:val="nil"/>
              <w:bottom w:val="nil"/>
              <w:right w:val="nil"/>
            </w:tcBorders>
            <w:noWrap/>
            <w:vAlign w:val="bottom"/>
            <w:hideMark/>
          </w:tcPr>
          <w:p w14:paraId="6DFD9E04"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7.19</w:t>
            </w:r>
          </w:p>
        </w:tc>
      </w:tr>
      <w:tr w:rsidR="006757F3" w:rsidRPr="00256235" w14:paraId="671D31B5" w14:textId="77777777" w:rsidTr="00B768F6">
        <w:trPr>
          <w:trHeight w:val="300"/>
        </w:trPr>
        <w:tc>
          <w:tcPr>
            <w:tcW w:w="3075" w:type="pct"/>
            <w:tcBorders>
              <w:top w:val="nil"/>
              <w:left w:val="nil"/>
              <w:bottom w:val="nil"/>
              <w:right w:val="nil"/>
            </w:tcBorders>
            <w:noWrap/>
            <w:vAlign w:val="bottom"/>
            <w:hideMark/>
          </w:tcPr>
          <w:p w14:paraId="6EB08BEB"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I</w:t>
            </w:r>
            <w:r>
              <w:rPr>
                <w:rFonts w:ascii="Times New Roman" w:eastAsia="Times New Roman" w:hAnsi="Times New Roman" w:cs="Times New Roman"/>
                <w:color w:val="000000"/>
                <w:lang w:val="en-US"/>
              </w:rPr>
              <w:t xml:space="preserve">nformation technology </w:t>
            </w:r>
          </w:p>
        </w:tc>
        <w:tc>
          <w:tcPr>
            <w:tcW w:w="410" w:type="pct"/>
            <w:tcBorders>
              <w:top w:val="nil"/>
              <w:left w:val="nil"/>
              <w:bottom w:val="nil"/>
              <w:right w:val="nil"/>
            </w:tcBorders>
            <w:noWrap/>
            <w:vAlign w:val="bottom"/>
            <w:hideMark/>
          </w:tcPr>
          <w:p w14:paraId="05F4A26C"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19</w:t>
            </w:r>
          </w:p>
        </w:tc>
        <w:tc>
          <w:tcPr>
            <w:tcW w:w="754" w:type="pct"/>
            <w:tcBorders>
              <w:top w:val="nil"/>
              <w:left w:val="nil"/>
              <w:bottom w:val="nil"/>
              <w:right w:val="nil"/>
            </w:tcBorders>
            <w:noWrap/>
            <w:vAlign w:val="bottom"/>
            <w:hideMark/>
          </w:tcPr>
          <w:p w14:paraId="1507BA04"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159</w:t>
            </w:r>
          </w:p>
        </w:tc>
        <w:tc>
          <w:tcPr>
            <w:tcW w:w="761" w:type="pct"/>
            <w:tcBorders>
              <w:top w:val="nil"/>
              <w:left w:val="nil"/>
              <w:bottom w:val="nil"/>
              <w:right w:val="nil"/>
            </w:tcBorders>
            <w:noWrap/>
            <w:vAlign w:val="bottom"/>
            <w:hideMark/>
          </w:tcPr>
          <w:p w14:paraId="6477E871"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3.63</w:t>
            </w:r>
          </w:p>
        </w:tc>
      </w:tr>
      <w:tr w:rsidR="006757F3" w:rsidRPr="00256235" w14:paraId="69A040D8" w14:textId="77777777" w:rsidTr="00B768F6">
        <w:trPr>
          <w:trHeight w:val="300"/>
        </w:trPr>
        <w:tc>
          <w:tcPr>
            <w:tcW w:w="3075" w:type="pct"/>
            <w:tcBorders>
              <w:top w:val="nil"/>
              <w:left w:val="nil"/>
              <w:bottom w:val="nil"/>
              <w:right w:val="nil"/>
            </w:tcBorders>
            <w:noWrap/>
            <w:vAlign w:val="bottom"/>
            <w:hideMark/>
          </w:tcPr>
          <w:p w14:paraId="6608D3DA"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Industrial</w:t>
            </w:r>
            <w:r>
              <w:rPr>
                <w:rFonts w:ascii="Times New Roman" w:eastAsia="Times New Roman" w:hAnsi="Times New Roman" w:cs="Times New Roman"/>
                <w:color w:val="000000"/>
                <w:lang w:val="en-US"/>
              </w:rPr>
              <w:t xml:space="preserve"> sector</w:t>
            </w:r>
          </w:p>
        </w:tc>
        <w:tc>
          <w:tcPr>
            <w:tcW w:w="410" w:type="pct"/>
            <w:tcBorders>
              <w:top w:val="nil"/>
              <w:left w:val="nil"/>
              <w:bottom w:val="nil"/>
              <w:right w:val="nil"/>
            </w:tcBorders>
            <w:noWrap/>
            <w:vAlign w:val="bottom"/>
            <w:hideMark/>
          </w:tcPr>
          <w:p w14:paraId="7BB44FFF"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73</w:t>
            </w:r>
          </w:p>
        </w:tc>
        <w:tc>
          <w:tcPr>
            <w:tcW w:w="754" w:type="pct"/>
            <w:tcBorders>
              <w:top w:val="nil"/>
              <w:left w:val="nil"/>
              <w:bottom w:val="nil"/>
              <w:right w:val="nil"/>
            </w:tcBorders>
            <w:noWrap/>
            <w:vAlign w:val="bottom"/>
            <w:hideMark/>
          </w:tcPr>
          <w:p w14:paraId="4F6DE8DD"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605</w:t>
            </w:r>
          </w:p>
        </w:tc>
        <w:tc>
          <w:tcPr>
            <w:tcW w:w="761" w:type="pct"/>
            <w:tcBorders>
              <w:top w:val="nil"/>
              <w:left w:val="nil"/>
              <w:bottom w:val="nil"/>
              <w:right w:val="nil"/>
            </w:tcBorders>
            <w:noWrap/>
            <w:vAlign w:val="bottom"/>
            <w:hideMark/>
          </w:tcPr>
          <w:p w14:paraId="468B509C"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13.82</w:t>
            </w:r>
          </w:p>
        </w:tc>
      </w:tr>
      <w:tr w:rsidR="006757F3" w:rsidRPr="00256235" w14:paraId="49FB6D5A" w14:textId="77777777" w:rsidTr="00B768F6">
        <w:trPr>
          <w:trHeight w:val="300"/>
        </w:trPr>
        <w:tc>
          <w:tcPr>
            <w:tcW w:w="3075" w:type="pct"/>
            <w:tcBorders>
              <w:top w:val="nil"/>
              <w:left w:val="nil"/>
              <w:bottom w:val="nil"/>
              <w:right w:val="nil"/>
            </w:tcBorders>
            <w:noWrap/>
            <w:vAlign w:val="bottom"/>
            <w:hideMark/>
          </w:tcPr>
          <w:p w14:paraId="43E485F2"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Mining</w:t>
            </w:r>
          </w:p>
        </w:tc>
        <w:tc>
          <w:tcPr>
            <w:tcW w:w="410" w:type="pct"/>
            <w:tcBorders>
              <w:top w:val="nil"/>
              <w:left w:val="nil"/>
              <w:bottom w:val="nil"/>
              <w:right w:val="nil"/>
            </w:tcBorders>
            <w:noWrap/>
            <w:vAlign w:val="bottom"/>
            <w:hideMark/>
          </w:tcPr>
          <w:p w14:paraId="30F368D6"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33</w:t>
            </w:r>
          </w:p>
        </w:tc>
        <w:tc>
          <w:tcPr>
            <w:tcW w:w="754" w:type="pct"/>
            <w:tcBorders>
              <w:top w:val="nil"/>
              <w:left w:val="nil"/>
              <w:bottom w:val="nil"/>
              <w:right w:val="nil"/>
            </w:tcBorders>
            <w:noWrap/>
            <w:vAlign w:val="bottom"/>
            <w:hideMark/>
          </w:tcPr>
          <w:p w14:paraId="05099E01"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237</w:t>
            </w:r>
          </w:p>
        </w:tc>
        <w:tc>
          <w:tcPr>
            <w:tcW w:w="761" w:type="pct"/>
            <w:tcBorders>
              <w:top w:val="nil"/>
              <w:left w:val="nil"/>
              <w:bottom w:val="nil"/>
              <w:right w:val="nil"/>
            </w:tcBorders>
            <w:noWrap/>
            <w:vAlign w:val="bottom"/>
            <w:hideMark/>
          </w:tcPr>
          <w:p w14:paraId="5CFF520C"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5.41</w:t>
            </w:r>
          </w:p>
        </w:tc>
      </w:tr>
      <w:tr w:rsidR="006757F3" w:rsidRPr="00256235" w14:paraId="780459C6" w14:textId="77777777" w:rsidTr="00B768F6">
        <w:trPr>
          <w:trHeight w:val="300"/>
        </w:trPr>
        <w:tc>
          <w:tcPr>
            <w:tcW w:w="3075" w:type="pct"/>
            <w:tcBorders>
              <w:top w:val="nil"/>
              <w:left w:val="nil"/>
              <w:bottom w:val="nil"/>
              <w:right w:val="nil"/>
            </w:tcBorders>
            <w:noWrap/>
            <w:vAlign w:val="bottom"/>
            <w:hideMark/>
          </w:tcPr>
          <w:p w14:paraId="4D9EEB1D"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Oil</w:t>
            </w:r>
            <w:r>
              <w:rPr>
                <w:rFonts w:ascii="Times New Roman" w:eastAsia="Times New Roman" w:hAnsi="Times New Roman" w:cs="Times New Roman"/>
                <w:color w:val="000000"/>
                <w:lang w:val="en-US"/>
              </w:rPr>
              <w:t xml:space="preserve"> </w:t>
            </w:r>
            <w:r w:rsidRPr="00256235">
              <w:rPr>
                <w:rFonts w:ascii="Times New Roman" w:eastAsia="Times New Roman" w:hAnsi="Times New Roman" w:cs="Times New Roman"/>
                <w:color w:val="000000"/>
                <w:lang w:val="en-US"/>
              </w:rPr>
              <w:t>&amp;</w:t>
            </w:r>
            <w:r>
              <w:rPr>
                <w:rFonts w:ascii="Times New Roman" w:eastAsia="Times New Roman" w:hAnsi="Times New Roman" w:cs="Times New Roman"/>
                <w:color w:val="000000"/>
                <w:lang w:val="en-US"/>
              </w:rPr>
              <w:t xml:space="preserve"> </w:t>
            </w:r>
            <w:r w:rsidRPr="00256235">
              <w:rPr>
                <w:rFonts w:ascii="Times New Roman" w:eastAsia="Times New Roman" w:hAnsi="Times New Roman" w:cs="Times New Roman"/>
                <w:color w:val="000000"/>
                <w:lang w:val="en-US"/>
              </w:rPr>
              <w:t>Gas</w:t>
            </w:r>
          </w:p>
        </w:tc>
        <w:tc>
          <w:tcPr>
            <w:tcW w:w="410" w:type="pct"/>
            <w:tcBorders>
              <w:top w:val="nil"/>
              <w:left w:val="nil"/>
              <w:bottom w:val="nil"/>
              <w:right w:val="nil"/>
            </w:tcBorders>
            <w:noWrap/>
            <w:vAlign w:val="bottom"/>
            <w:hideMark/>
          </w:tcPr>
          <w:p w14:paraId="64AE9412"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66</w:t>
            </w:r>
          </w:p>
        </w:tc>
        <w:tc>
          <w:tcPr>
            <w:tcW w:w="754" w:type="pct"/>
            <w:tcBorders>
              <w:top w:val="nil"/>
              <w:left w:val="nil"/>
              <w:bottom w:val="nil"/>
              <w:right w:val="nil"/>
            </w:tcBorders>
            <w:noWrap/>
            <w:vAlign w:val="bottom"/>
            <w:hideMark/>
          </w:tcPr>
          <w:p w14:paraId="18735CE5"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499</w:t>
            </w:r>
          </w:p>
        </w:tc>
        <w:tc>
          <w:tcPr>
            <w:tcW w:w="761" w:type="pct"/>
            <w:tcBorders>
              <w:top w:val="nil"/>
              <w:left w:val="nil"/>
              <w:bottom w:val="nil"/>
              <w:right w:val="nil"/>
            </w:tcBorders>
            <w:noWrap/>
            <w:vAlign w:val="bottom"/>
            <w:hideMark/>
          </w:tcPr>
          <w:p w14:paraId="1CBF7551"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11.40</w:t>
            </w:r>
          </w:p>
        </w:tc>
      </w:tr>
      <w:tr w:rsidR="006757F3" w:rsidRPr="00256235" w14:paraId="2539D2BA" w14:textId="77777777" w:rsidTr="00B768F6">
        <w:trPr>
          <w:trHeight w:val="300"/>
        </w:trPr>
        <w:tc>
          <w:tcPr>
            <w:tcW w:w="3075" w:type="pct"/>
            <w:tcBorders>
              <w:top w:val="nil"/>
              <w:left w:val="nil"/>
              <w:bottom w:val="nil"/>
              <w:right w:val="nil"/>
            </w:tcBorders>
            <w:noWrap/>
            <w:vAlign w:val="bottom"/>
            <w:hideMark/>
          </w:tcPr>
          <w:p w14:paraId="59F4E75B"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Retailers</w:t>
            </w:r>
          </w:p>
        </w:tc>
        <w:tc>
          <w:tcPr>
            <w:tcW w:w="410" w:type="pct"/>
            <w:tcBorders>
              <w:top w:val="nil"/>
              <w:left w:val="nil"/>
              <w:bottom w:val="nil"/>
              <w:right w:val="nil"/>
            </w:tcBorders>
            <w:noWrap/>
            <w:vAlign w:val="bottom"/>
            <w:hideMark/>
          </w:tcPr>
          <w:p w14:paraId="235C7397"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43</w:t>
            </w:r>
          </w:p>
        </w:tc>
        <w:tc>
          <w:tcPr>
            <w:tcW w:w="754" w:type="pct"/>
            <w:tcBorders>
              <w:top w:val="nil"/>
              <w:left w:val="nil"/>
              <w:bottom w:val="nil"/>
              <w:right w:val="nil"/>
            </w:tcBorders>
            <w:noWrap/>
            <w:vAlign w:val="bottom"/>
            <w:hideMark/>
          </w:tcPr>
          <w:p w14:paraId="2CCB200E"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401</w:t>
            </w:r>
          </w:p>
        </w:tc>
        <w:tc>
          <w:tcPr>
            <w:tcW w:w="761" w:type="pct"/>
            <w:tcBorders>
              <w:top w:val="nil"/>
              <w:left w:val="nil"/>
              <w:bottom w:val="nil"/>
              <w:right w:val="nil"/>
            </w:tcBorders>
            <w:noWrap/>
            <w:vAlign w:val="bottom"/>
            <w:hideMark/>
          </w:tcPr>
          <w:p w14:paraId="07997568"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9.16</w:t>
            </w:r>
          </w:p>
        </w:tc>
      </w:tr>
      <w:tr w:rsidR="006757F3" w:rsidRPr="00256235" w14:paraId="74643488" w14:textId="77777777" w:rsidTr="00B768F6">
        <w:trPr>
          <w:trHeight w:val="300"/>
        </w:trPr>
        <w:tc>
          <w:tcPr>
            <w:tcW w:w="3075" w:type="pct"/>
            <w:tcBorders>
              <w:top w:val="nil"/>
              <w:left w:val="nil"/>
              <w:bottom w:val="nil"/>
              <w:right w:val="nil"/>
            </w:tcBorders>
            <w:noWrap/>
            <w:vAlign w:val="bottom"/>
            <w:hideMark/>
          </w:tcPr>
          <w:p w14:paraId="3655E909"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Services</w:t>
            </w:r>
          </w:p>
        </w:tc>
        <w:tc>
          <w:tcPr>
            <w:tcW w:w="410" w:type="pct"/>
            <w:tcBorders>
              <w:top w:val="nil"/>
              <w:left w:val="nil"/>
              <w:bottom w:val="nil"/>
              <w:right w:val="nil"/>
            </w:tcBorders>
            <w:noWrap/>
            <w:vAlign w:val="bottom"/>
            <w:hideMark/>
          </w:tcPr>
          <w:p w14:paraId="18D9D257"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75</w:t>
            </w:r>
          </w:p>
        </w:tc>
        <w:tc>
          <w:tcPr>
            <w:tcW w:w="754" w:type="pct"/>
            <w:tcBorders>
              <w:top w:val="nil"/>
              <w:left w:val="nil"/>
              <w:bottom w:val="nil"/>
              <w:right w:val="nil"/>
            </w:tcBorders>
            <w:noWrap/>
            <w:vAlign w:val="bottom"/>
            <w:hideMark/>
          </w:tcPr>
          <w:p w14:paraId="776725CC"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817</w:t>
            </w:r>
          </w:p>
        </w:tc>
        <w:tc>
          <w:tcPr>
            <w:tcW w:w="761" w:type="pct"/>
            <w:tcBorders>
              <w:top w:val="nil"/>
              <w:left w:val="nil"/>
              <w:bottom w:val="nil"/>
              <w:right w:val="nil"/>
            </w:tcBorders>
            <w:noWrap/>
            <w:vAlign w:val="bottom"/>
            <w:hideMark/>
          </w:tcPr>
          <w:p w14:paraId="4B220D47"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18.66</w:t>
            </w:r>
          </w:p>
        </w:tc>
      </w:tr>
      <w:tr w:rsidR="006757F3" w:rsidRPr="00256235" w14:paraId="15C6D002" w14:textId="77777777" w:rsidTr="00B768F6">
        <w:trPr>
          <w:trHeight w:val="300"/>
        </w:trPr>
        <w:tc>
          <w:tcPr>
            <w:tcW w:w="3075" w:type="pct"/>
            <w:tcBorders>
              <w:top w:val="nil"/>
              <w:left w:val="nil"/>
              <w:bottom w:val="nil"/>
              <w:right w:val="nil"/>
            </w:tcBorders>
            <w:noWrap/>
            <w:vAlign w:val="bottom"/>
            <w:hideMark/>
          </w:tcPr>
          <w:p w14:paraId="43403A25"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Total</w:t>
            </w:r>
          </w:p>
        </w:tc>
        <w:tc>
          <w:tcPr>
            <w:tcW w:w="410" w:type="pct"/>
            <w:tcBorders>
              <w:top w:val="nil"/>
              <w:left w:val="nil"/>
              <w:bottom w:val="nil"/>
              <w:right w:val="nil"/>
            </w:tcBorders>
            <w:noWrap/>
            <w:vAlign w:val="bottom"/>
            <w:hideMark/>
          </w:tcPr>
          <w:p w14:paraId="12037749"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494</w:t>
            </w:r>
          </w:p>
        </w:tc>
        <w:tc>
          <w:tcPr>
            <w:tcW w:w="754" w:type="pct"/>
            <w:tcBorders>
              <w:top w:val="nil"/>
              <w:left w:val="nil"/>
              <w:bottom w:val="nil"/>
              <w:right w:val="nil"/>
            </w:tcBorders>
            <w:noWrap/>
            <w:vAlign w:val="bottom"/>
            <w:hideMark/>
          </w:tcPr>
          <w:p w14:paraId="2A03D6D4"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4,379</w:t>
            </w:r>
          </w:p>
        </w:tc>
        <w:tc>
          <w:tcPr>
            <w:tcW w:w="761" w:type="pct"/>
            <w:tcBorders>
              <w:top w:val="nil"/>
              <w:left w:val="nil"/>
              <w:bottom w:val="nil"/>
              <w:right w:val="nil"/>
            </w:tcBorders>
            <w:noWrap/>
            <w:vAlign w:val="bottom"/>
            <w:hideMark/>
          </w:tcPr>
          <w:p w14:paraId="70555C67"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100.00</w:t>
            </w:r>
          </w:p>
        </w:tc>
      </w:tr>
      <w:tr w:rsidR="006757F3" w:rsidRPr="00256235" w14:paraId="5EE86893" w14:textId="77777777" w:rsidTr="00B768F6">
        <w:trPr>
          <w:trHeight w:val="300"/>
        </w:trPr>
        <w:tc>
          <w:tcPr>
            <w:tcW w:w="3075" w:type="pct"/>
            <w:tcBorders>
              <w:top w:val="nil"/>
              <w:left w:val="nil"/>
              <w:bottom w:val="nil"/>
              <w:right w:val="nil"/>
            </w:tcBorders>
            <w:noWrap/>
            <w:vAlign w:val="bottom"/>
            <w:hideMark/>
          </w:tcPr>
          <w:p w14:paraId="0726A87C" w14:textId="77777777" w:rsidR="006757F3" w:rsidRPr="007F758A" w:rsidRDefault="006757F3" w:rsidP="00B768F6">
            <w:pPr>
              <w:spacing w:after="0" w:line="240" w:lineRule="auto"/>
              <w:rPr>
                <w:rFonts w:ascii="Times New Roman" w:eastAsia="Times New Roman" w:hAnsi="Times New Roman" w:cs="Times New Roman"/>
                <w:b/>
                <w:i/>
                <w:color w:val="000000"/>
                <w:lang w:val="en-US"/>
              </w:rPr>
            </w:pPr>
            <w:r w:rsidRPr="007F758A">
              <w:rPr>
                <w:rFonts w:ascii="Times New Roman" w:eastAsia="Times New Roman" w:hAnsi="Times New Roman" w:cs="Times New Roman"/>
                <w:b/>
                <w:i/>
                <w:color w:val="000000"/>
                <w:lang w:val="en-US"/>
              </w:rPr>
              <w:t>Pane</w:t>
            </w:r>
            <w:r>
              <w:rPr>
                <w:rFonts w:ascii="Times New Roman" w:eastAsia="Times New Roman" w:hAnsi="Times New Roman" w:cs="Times New Roman"/>
                <w:b/>
                <w:i/>
                <w:color w:val="000000"/>
                <w:lang w:val="en-US"/>
              </w:rPr>
              <w:t>l B: Distribution of the sample by c</w:t>
            </w:r>
            <w:r w:rsidRPr="007F758A">
              <w:rPr>
                <w:rFonts w:ascii="Times New Roman" w:eastAsia="Times New Roman" w:hAnsi="Times New Roman" w:cs="Times New Roman"/>
                <w:b/>
                <w:i/>
                <w:color w:val="000000"/>
                <w:lang w:val="en-US"/>
              </w:rPr>
              <w:t>ountry</w:t>
            </w:r>
          </w:p>
        </w:tc>
        <w:tc>
          <w:tcPr>
            <w:tcW w:w="410" w:type="pct"/>
            <w:tcBorders>
              <w:top w:val="nil"/>
              <w:left w:val="nil"/>
              <w:bottom w:val="nil"/>
              <w:right w:val="nil"/>
            </w:tcBorders>
            <w:noWrap/>
            <w:vAlign w:val="bottom"/>
          </w:tcPr>
          <w:p w14:paraId="711A42A9" w14:textId="77777777" w:rsidR="006757F3" w:rsidRPr="00256235" w:rsidRDefault="006757F3" w:rsidP="00B768F6">
            <w:pPr>
              <w:spacing w:after="0" w:line="240" w:lineRule="auto"/>
              <w:rPr>
                <w:rFonts w:ascii="Times New Roman" w:eastAsia="Times New Roman" w:hAnsi="Times New Roman" w:cs="Times New Roman"/>
                <w:color w:val="000000"/>
                <w:lang w:val="en-US"/>
              </w:rPr>
            </w:pPr>
          </w:p>
        </w:tc>
        <w:tc>
          <w:tcPr>
            <w:tcW w:w="754" w:type="pct"/>
            <w:tcBorders>
              <w:top w:val="nil"/>
              <w:left w:val="nil"/>
              <w:bottom w:val="nil"/>
              <w:right w:val="nil"/>
            </w:tcBorders>
            <w:noWrap/>
            <w:vAlign w:val="bottom"/>
          </w:tcPr>
          <w:p w14:paraId="177C2E48" w14:textId="77777777" w:rsidR="006757F3" w:rsidRPr="00256235" w:rsidRDefault="006757F3" w:rsidP="00B768F6">
            <w:pPr>
              <w:spacing w:after="0" w:line="240" w:lineRule="auto"/>
              <w:rPr>
                <w:rFonts w:ascii="Times New Roman" w:eastAsia="Times New Roman" w:hAnsi="Times New Roman" w:cs="Times New Roman"/>
                <w:color w:val="000000"/>
                <w:lang w:val="en-US"/>
              </w:rPr>
            </w:pPr>
          </w:p>
        </w:tc>
        <w:tc>
          <w:tcPr>
            <w:tcW w:w="761" w:type="pct"/>
            <w:tcBorders>
              <w:top w:val="nil"/>
              <w:left w:val="nil"/>
              <w:bottom w:val="nil"/>
              <w:right w:val="nil"/>
            </w:tcBorders>
            <w:noWrap/>
            <w:vAlign w:val="bottom"/>
          </w:tcPr>
          <w:p w14:paraId="12082E64" w14:textId="77777777" w:rsidR="006757F3" w:rsidRPr="00256235" w:rsidRDefault="006757F3" w:rsidP="00B768F6">
            <w:pPr>
              <w:spacing w:after="0" w:line="240" w:lineRule="auto"/>
              <w:rPr>
                <w:rFonts w:ascii="Times New Roman" w:eastAsia="Times New Roman" w:hAnsi="Times New Roman" w:cs="Times New Roman"/>
                <w:color w:val="000000"/>
                <w:lang w:val="en-US"/>
              </w:rPr>
            </w:pPr>
          </w:p>
        </w:tc>
      </w:tr>
      <w:tr w:rsidR="006757F3" w:rsidRPr="00256235" w14:paraId="5C112841" w14:textId="77777777" w:rsidTr="00B768F6">
        <w:trPr>
          <w:trHeight w:val="300"/>
        </w:trPr>
        <w:tc>
          <w:tcPr>
            <w:tcW w:w="3075" w:type="pct"/>
            <w:tcBorders>
              <w:top w:val="nil"/>
              <w:left w:val="nil"/>
              <w:bottom w:val="nil"/>
              <w:right w:val="nil"/>
            </w:tcBorders>
            <w:noWrap/>
            <w:vAlign w:val="bottom"/>
            <w:hideMark/>
          </w:tcPr>
          <w:p w14:paraId="1500BCBA"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Austria</w:t>
            </w:r>
          </w:p>
        </w:tc>
        <w:tc>
          <w:tcPr>
            <w:tcW w:w="410" w:type="pct"/>
            <w:tcBorders>
              <w:top w:val="nil"/>
              <w:left w:val="nil"/>
              <w:bottom w:val="nil"/>
              <w:right w:val="nil"/>
            </w:tcBorders>
            <w:noWrap/>
            <w:vAlign w:val="bottom"/>
            <w:hideMark/>
          </w:tcPr>
          <w:p w14:paraId="5854DF92"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8</w:t>
            </w:r>
          </w:p>
        </w:tc>
        <w:tc>
          <w:tcPr>
            <w:tcW w:w="754" w:type="pct"/>
            <w:tcBorders>
              <w:top w:val="nil"/>
              <w:left w:val="nil"/>
              <w:bottom w:val="nil"/>
              <w:right w:val="nil"/>
            </w:tcBorders>
            <w:noWrap/>
            <w:vAlign w:val="bottom"/>
            <w:hideMark/>
          </w:tcPr>
          <w:p w14:paraId="4B11C020"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75</w:t>
            </w:r>
          </w:p>
        </w:tc>
        <w:tc>
          <w:tcPr>
            <w:tcW w:w="761" w:type="pct"/>
            <w:tcBorders>
              <w:top w:val="nil"/>
              <w:left w:val="nil"/>
              <w:bottom w:val="nil"/>
              <w:right w:val="nil"/>
            </w:tcBorders>
            <w:noWrap/>
            <w:vAlign w:val="bottom"/>
            <w:hideMark/>
          </w:tcPr>
          <w:p w14:paraId="03046E89"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1.71</w:t>
            </w:r>
          </w:p>
        </w:tc>
      </w:tr>
      <w:tr w:rsidR="006757F3" w:rsidRPr="00256235" w14:paraId="35D7A1CE" w14:textId="77777777" w:rsidTr="00B768F6">
        <w:trPr>
          <w:trHeight w:val="300"/>
        </w:trPr>
        <w:tc>
          <w:tcPr>
            <w:tcW w:w="3075" w:type="pct"/>
            <w:tcBorders>
              <w:top w:val="nil"/>
              <w:left w:val="nil"/>
              <w:bottom w:val="nil"/>
              <w:right w:val="nil"/>
            </w:tcBorders>
            <w:noWrap/>
            <w:vAlign w:val="bottom"/>
            <w:hideMark/>
          </w:tcPr>
          <w:p w14:paraId="19421F15"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Belgium</w:t>
            </w:r>
          </w:p>
        </w:tc>
        <w:tc>
          <w:tcPr>
            <w:tcW w:w="410" w:type="pct"/>
            <w:tcBorders>
              <w:top w:val="nil"/>
              <w:left w:val="nil"/>
              <w:bottom w:val="nil"/>
              <w:right w:val="nil"/>
            </w:tcBorders>
            <w:noWrap/>
            <w:vAlign w:val="bottom"/>
            <w:hideMark/>
          </w:tcPr>
          <w:p w14:paraId="18AF2E77"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11</w:t>
            </w:r>
          </w:p>
        </w:tc>
        <w:tc>
          <w:tcPr>
            <w:tcW w:w="754" w:type="pct"/>
            <w:tcBorders>
              <w:top w:val="nil"/>
              <w:left w:val="nil"/>
              <w:bottom w:val="nil"/>
              <w:right w:val="nil"/>
            </w:tcBorders>
            <w:noWrap/>
            <w:vAlign w:val="bottom"/>
            <w:hideMark/>
          </w:tcPr>
          <w:p w14:paraId="139649CC"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90</w:t>
            </w:r>
          </w:p>
        </w:tc>
        <w:tc>
          <w:tcPr>
            <w:tcW w:w="761" w:type="pct"/>
            <w:tcBorders>
              <w:top w:val="nil"/>
              <w:left w:val="nil"/>
              <w:bottom w:val="nil"/>
              <w:right w:val="nil"/>
            </w:tcBorders>
            <w:noWrap/>
            <w:vAlign w:val="bottom"/>
            <w:hideMark/>
          </w:tcPr>
          <w:p w14:paraId="0799E44A"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2.06</w:t>
            </w:r>
          </w:p>
        </w:tc>
      </w:tr>
      <w:tr w:rsidR="006757F3" w:rsidRPr="00256235" w14:paraId="0F2D25E0" w14:textId="77777777" w:rsidTr="00B768F6">
        <w:trPr>
          <w:trHeight w:val="300"/>
        </w:trPr>
        <w:tc>
          <w:tcPr>
            <w:tcW w:w="3075" w:type="pct"/>
            <w:tcBorders>
              <w:top w:val="nil"/>
              <w:left w:val="nil"/>
              <w:bottom w:val="nil"/>
              <w:right w:val="nil"/>
            </w:tcBorders>
            <w:noWrap/>
            <w:vAlign w:val="bottom"/>
            <w:hideMark/>
          </w:tcPr>
          <w:p w14:paraId="2C673B25"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Denmark</w:t>
            </w:r>
          </w:p>
        </w:tc>
        <w:tc>
          <w:tcPr>
            <w:tcW w:w="410" w:type="pct"/>
            <w:tcBorders>
              <w:top w:val="nil"/>
              <w:left w:val="nil"/>
              <w:bottom w:val="nil"/>
              <w:right w:val="nil"/>
            </w:tcBorders>
            <w:noWrap/>
            <w:vAlign w:val="bottom"/>
            <w:hideMark/>
          </w:tcPr>
          <w:p w14:paraId="0F54D615"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10</w:t>
            </w:r>
          </w:p>
        </w:tc>
        <w:tc>
          <w:tcPr>
            <w:tcW w:w="754" w:type="pct"/>
            <w:tcBorders>
              <w:top w:val="nil"/>
              <w:left w:val="nil"/>
              <w:bottom w:val="nil"/>
              <w:right w:val="nil"/>
            </w:tcBorders>
            <w:noWrap/>
            <w:vAlign w:val="bottom"/>
            <w:hideMark/>
          </w:tcPr>
          <w:p w14:paraId="44A59CB9"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87</w:t>
            </w:r>
          </w:p>
        </w:tc>
        <w:tc>
          <w:tcPr>
            <w:tcW w:w="761" w:type="pct"/>
            <w:tcBorders>
              <w:top w:val="nil"/>
              <w:left w:val="nil"/>
              <w:bottom w:val="nil"/>
              <w:right w:val="nil"/>
            </w:tcBorders>
            <w:noWrap/>
            <w:vAlign w:val="bottom"/>
            <w:hideMark/>
          </w:tcPr>
          <w:p w14:paraId="207A4EC9"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1.99</w:t>
            </w:r>
          </w:p>
        </w:tc>
      </w:tr>
      <w:tr w:rsidR="006757F3" w:rsidRPr="00256235" w14:paraId="733E90DA" w14:textId="77777777" w:rsidTr="00B768F6">
        <w:trPr>
          <w:trHeight w:val="300"/>
        </w:trPr>
        <w:tc>
          <w:tcPr>
            <w:tcW w:w="3075" w:type="pct"/>
            <w:tcBorders>
              <w:top w:val="nil"/>
              <w:left w:val="nil"/>
              <w:bottom w:val="nil"/>
              <w:right w:val="nil"/>
            </w:tcBorders>
            <w:noWrap/>
            <w:vAlign w:val="bottom"/>
            <w:hideMark/>
          </w:tcPr>
          <w:p w14:paraId="5212C656"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Finland</w:t>
            </w:r>
          </w:p>
        </w:tc>
        <w:tc>
          <w:tcPr>
            <w:tcW w:w="410" w:type="pct"/>
            <w:tcBorders>
              <w:top w:val="nil"/>
              <w:left w:val="nil"/>
              <w:bottom w:val="nil"/>
              <w:right w:val="nil"/>
            </w:tcBorders>
            <w:noWrap/>
            <w:vAlign w:val="bottom"/>
            <w:hideMark/>
          </w:tcPr>
          <w:p w14:paraId="354FA16B"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18</w:t>
            </w:r>
          </w:p>
        </w:tc>
        <w:tc>
          <w:tcPr>
            <w:tcW w:w="754" w:type="pct"/>
            <w:tcBorders>
              <w:top w:val="nil"/>
              <w:left w:val="nil"/>
              <w:bottom w:val="nil"/>
              <w:right w:val="nil"/>
            </w:tcBorders>
            <w:noWrap/>
            <w:vAlign w:val="bottom"/>
            <w:hideMark/>
          </w:tcPr>
          <w:p w14:paraId="4AF046FC"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167</w:t>
            </w:r>
          </w:p>
        </w:tc>
        <w:tc>
          <w:tcPr>
            <w:tcW w:w="761" w:type="pct"/>
            <w:tcBorders>
              <w:top w:val="nil"/>
              <w:left w:val="nil"/>
              <w:bottom w:val="nil"/>
              <w:right w:val="nil"/>
            </w:tcBorders>
            <w:noWrap/>
            <w:vAlign w:val="bottom"/>
            <w:hideMark/>
          </w:tcPr>
          <w:p w14:paraId="7EE00577"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3.81</w:t>
            </w:r>
          </w:p>
        </w:tc>
      </w:tr>
      <w:tr w:rsidR="006757F3" w:rsidRPr="00256235" w14:paraId="75E97048" w14:textId="77777777" w:rsidTr="00B768F6">
        <w:trPr>
          <w:trHeight w:val="300"/>
        </w:trPr>
        <w:tc>
          <w:tcPr>
            <w:tcW w:w="3075" w:type="pct"/>
            <w:tcBorders>
              <w:top w:val="nil"/>
              <w:left w:val="nil"/>
              <w:bottom w:val="nil"/>
              <w:right w:val="nil"/>
            </w:tcBorders>
            <w:noWrap/>
            <w:vAlign w:val="bottom"/>
            <w:hideMark/>
          </w:tcPr>
          <w:p w14:paraId="4247E751"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France</w:t>
            </w:r>
          </w:p>
        </w:tc>
        <w:tc>
          <w:tcPr>
            <w:tcW w:w="410" w:type="pct"/>
            <w:tcBorders>
              <w:top w:val="nil"/>
              <w:left w:val="nil"/>
              <w:bottom w:val="nil"/>
              <w:right w:val="nil"/>
            </w:tcBorders>
            <w:noWrap/>
            <w:vAlign w:val="bottom"/>
            <w:hideMark/>
          </w:tcPr>
          <w:p w14:paraId="5B81EC76"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36</w:t>
            </w:r>
          </w:p>
        </w:tc>
        <w:tc>
          <w:tcPr>
            <w:tcW w:w="754" w:type="pct"/>
            <w:tcBorders>
              <w:top w:val="nil"/>
              <w:left w:val="nil"/>
              <w:bottom w:val="nil"/>
              <w:right w:val="nil"/>
            </w:tcBorders>
            <w:noWrap/>
            <w:vAlign w:val="bottom"/>
            <w:hideMark/>
          </w:tcPr>
          <w:p w14:paraId="22594323"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351</w:t>
            </w:r>
          </w:p>
        </w:tc>
        <w:tc>
          <w:tcPr>
            <w:tcW w:w="761" w:type="pct"/>
            <w:tcBorders>
              <w:top w:val="nil"/>
              <w:left w:val="nil"/>
              <w:bottom w:val="nil"/>
              <w:right w:val="nil"/>
            </w:tcBorders>
            <w:noWrap/>
            <w:vAlign w:val="bottom"/>
            <w:hideMark/>
          </w:tcPr>
          <w:p w14:paraId="55714824"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8.02</w:t>
            </w:r>
          </w:p>
        </w:tc>
      </w:tr>
      <w:tr w:rsidR="006757F3" w:rsidRPr="00256235" w14:paraId="69FF8BE3" w14:textId="77777777" w:rsidTr="00B768F6">
        <w:trPr>
          <w:trHeight w:val="300"/>
        </w:trPr>
        <w:tc>
          <w:tcPr>
            <w:tcW w:w="3075" w:type="pct"/>
            <w:tcBorders>
              <w:top w:val="nil"/>
              <w:left w:val="nil"/>
              <w:bottom w:val="nil"/>
              <w:right w:val="nil"/>
            </w:tcBorders>
            <w:noWrap/>
            <w:vAlign w:val="bottom"/>
            <w:hideMark/>
          </w:tcPr>
          <w:p w14:paraId="178566E1"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Germany</w:t>
            </w:r>
          </w:p>
        </w:tc>
        <w:tc>
          <w:tcPr>
            <w:tcW w:w="410" w:type="pct"/>
            <w:tcBorders>
              <w:top w:val="nil"/>
              <w:left w:val="nil"/>
              <w:bottom w:val="nil"/>
              <w:right w:val="nil"/>
            </w:tcBorders>
            <w:noWrap/>
            <w:vAlign w:val="bottom"/>
            <w:hideMark/>
          </w:tcPr>
          <w:p w14:paraId="73C88ECA"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46</w:t>
            </w:r>
          </w:p>
        </w:tc>
        <w:tc>
          <w:tcPr>
            <w:tcW w:w="754" w:type="pct"/>
            <w:tcBorders>
              <w:top w:val="nil"/>
              <w:left w:val="nil"/>
              <w:bottom w:val="nil"/>
              <w:right w:val="nil"/>
            </w:tcBorders>
            <w:noWrap/>
            <w:vAlign w:val="bottom"/>
            <w:hideMark/>
          </w:tcPr>
          <w:p w14:paraId="701ADF67"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305</w:t>
            </w:r>
          </w:p>
        </w:tc>
        <w:tc>
          <w:tcPr>
            <w:tcW w:w="761" w:type="pct"/>
            <w:tcBorders>
              <w:top w:val="nil"/>
              <w:left w:val="nil"/>
              <w:bottom w:val="nil"/>
              <w:right w:val="nil"/>
            </w:tcBorders>
            <w:noWrap/>
            <w:vAlign w:val="bottom"/>
            <w:hideMark/>
          </w:tcPr>
          <w:p w14:paraId="51F974B8"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6.97</w:t>
            </w:r>
          </w:p>
        </w:tc>
      </w:tr>
      <w:tr w:rsidR="006757F3" w:rsidRPr="00256235" w14:paraId="5996B101" w14:textId="77777777" w:rsidTr="00B768F6">
        <w:trPr>
          <w:trHeight w:val="300"/>
        </w:trPr>
        <w:tc>
          <w:tcPr>
            <w:tcW w:w="3075" w:type="pct"/>
            <w:tcBorders>
              <w:top w:val="nil"/>
              <w:left w:val="nil"/>
              <w:bottom w:val="nil"/>
              <w:right w:val="nil"/>
            </w:tcBorders>
            <w:noWrap/>
            <w:vAlign w:val="bottom"/>
            <w:hideMark/>
          </w:tcPr>
          <w:p w14:paraId="0BA66387"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Italy</w:t>
            </w:r>
          </w:p>
        </w:tc>
        <w:tc>
          <w:tcPr>
            <w:tcW w:w="410" w:type="pct"/>
            <w:tcBorders>
              <w:top w:val="nil"/>
              <w:left w:val="nil"/>
              <w:bottom w:val="nil"/>
              <w:right w:val="nil"/>
            </w:tcBorders>
            <w:noWrap/>
            <w:vAlign w:val="bottom"/>
            <w:hideMark/>
          </w:tcPr>
          <w:p w14:paraId="0944E047"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17</w:t>
            </w:r>
          </w:p>
        </w:tc>
        <w:tc>
          <w:tcPr>
            <w:tcW w:w="754" w:type="pct"/>
            <w:tcBorders>
              <w:top w:val="nil"/>
              <w:left w:val="nil"/>
              <w:bottom w:val="nil"/>
              <w:right w:val="nil"/>
            </w:tcBorders>
            <w:noWrap/>
            <w:vAlign w:val="bottom"/>
            <w:hideMark/>
          </w:tcPr>
          <w:p w14:paraId="325CBA0B"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95</w:t>
            </w:r>
          </w:p>
        </w:tc>
        <w:tc>
          <w:tcPr>
            <w:tcW w:w="761" w:type="pct"/>
            <w:tcBorders>
              <w:top w:val="nil"/>
              <w:left w:val="nil"/>
              <w:bottom w:val="nil"/>
              <w:right w:val="nil"/>
            </w:tcBorders>
            <w:noWrap/>
            <w:vAlign w:val="bottom"/>
            <w:hideMark/>
          </w:tcPr>
          <w:p w14:paraId="2A59FEF4"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2.17</w:t>
            </w:r>
          </w:p>
        </w:tc>
      </w:tr>
      <w:tr w:rsidR="006757F3" w:rsidRPr="00256235" w14:paraId="20DD7F39" w14:textId="77777777" w:rsidTr="00B768F6">
        <w:trPr>
          <w:trHeight w:val="300"/>
        </w:trPr>
        <w:tc>
          <w:tcPr>
            <w:tcW w:w="3075" w:type="pct"/>
            <w:tcBorders>
              <w:top w:val="nil"/>
              <w:left w:val="nil"/>
              <w:bottom w:val="nil"/>
              <w:right w:val="nil"/>
            </w:tcBorders>
            <w:noWrap/>
            <w:vAlign w:val="bottom"/>
            <w:hideMark/>
          </w:tcPr>
          <w:p w14:paraId="05114F74"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Netherlands</w:t>
            </w:r>
          </w:p>
        </w:tc>
        <w:tc>
          <w:tcPr>
            <w:tcW w:w="410" w:type="pct"/>
            <w:tcBorders>
              <w:top w:val="nil"/>
              <w:left w:val="nil"/>
              <w:bottom w:val="nil"/>
              <w:right w:val="nil"/>
            </w:tcBorders>
            <w:noWrap/>
            <w:vAlign w:val="bottom"/>
            <w:hideMark/>
          </w:tcPr>
          <w:p w14:paraId="0421D1B0"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15</w:t>
            </w:r>
          </w:p>
        </w:tc>
        <w:tc>
          <w:tcPr>
            <w:tcW w:w="754" w:type="pct"/>
            <w:tcBorders>
              <w:top w:val="nil"/>
              <w:left w:val="nil"/>
              <w:bottom w:val="nil"/>
              <w:right w:val="nil"/>
            </w:tcBorders>
            <w:noWrap/>
            <w:vAlign w:val="bottom"/>
            <w:hideMark/>
          </w:tcPr>
          <w:p w14:paraId="2075F76D"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146</w:t>
            </w:r>
          </w:p>
        </w:tc>
        <w:tc>
          <w:tcPr>
            <w:tcW w:w="761" w:type="pct"/>
            <w:tcBorders>
              <w:top w:val="nil"/>
              <w:left w:val="nil"/>
              <w:bottom w:val="nil"/>
              <w:right w:val="nil"/>
            </w:tcBorders>
            <w:noWrap/>
            <w:vAlign w:val="bottom"/>
            <w:hideMark/>
          </w:tcPr>
          <w:p w14:paraId="68A1C3B2"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3.33</w:t>
            </w:r>
          </w:p>
        </w:tc>
      </w:tr>
      <w:tr w:rsidR="006757F3" w:rsidRPr="00256235" w14:paraId="5BAC4738" w14:textId="77777777" w:rsidTr="00B768F6">
        <w:trPr>
          <w:trHeight w:val="300"/>
        </w:trPr>
        <w:tc>
          <w:tcPr>
            <w:tcW w:w="3075" w:type="pct"/>
            <w:tcBorders>
              <w:top w:val="nil"/>
              <w:left w:val="nil"/>
              <w:bottom w:val="nil"/>
              <w:right w:val="nil"/>
            </w:tcBorders>
            <w:noWrap/>
            <w:vAlign w:val="bottom"/>
            <w:hideMark/>
          </w:tcPr>
          <w:p w14:paraId="6C667556"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Norway</w:t>
            </w:r>
          </w:p>
        </w:tc>
        <w:tc>
          <w:tcPr>
            <w:tcW w:w="410" w:type="pct"/>
            <w:tcBorders>
              <w:top w:val="nil"/>
              <w:left w:val="nil"/>
              <w:bottom w:val="nil"/>
              <w:right w:val="nil"/>
            </w:tcBorders>
            <w:noWrap/>
            <w:vAlign w:val="bottom"/>
            <w:hideMark/>
          </w:tcPr>
          <w:p w14:paraId="31B056F5"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16</w:t>
            </w:r>
          </w:p>
        </w:tc>
        <w:tc>
          <w:tcPr>
            <w:tcW w:w="754" w:type="pct"/>
            <w:tcBorders>
              <w:top w:val="nil"/>
              <w:left w:val="nil"/>
              <w:bottom w:val="nil"/>
              <w:right w:val="nil"/>
            </w:tcBorders>
            <w:noWrap/>
            <w:vAlign w:val="bottom"/>
            <w:hideMark/>
          </w:tcPr>
          <w:p w14:paraId="5504D270"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132</w:t>
            </w:r>
          </w:p>
        </w:tc>
        <w:tc>
          <w:tcPr>
            <w:tcW w:w="761" w:type="pct"/>
            <w:tcBorders>
              <w:top w:val="nil"/>
              <w:left w:val="nil"/>
              <w:bottom w:val="nil"/>
              <w:right w:val="nil"/>
            </w:tcBorders>
            <w:noWrap/>
            <w:vAlign w:val="bottom"/>
            <w:hideMark/>
          </w:tcPr>
          <w:p w14:paraId="3509FFEF"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3.01</w:t>
            </w:r>
          </w:p>
        </w:tc>
      </w:tr>
      <w:tr w:rsidR="006757F3" w:rsidRPr="00256235" w14:paraId="5460A353" w14:textId="77777777" w:rsidTr="00B768F6">
        <w:trPr>
          <w:trHeight w:val="300"/>
        </w:trPr>
        <w:tc>
          <w:tcPr>
            <w:tcW w:w="3075" w:type="pct"/>
            <w:tcBorders>
              <w:top w:val="nil"/>
              <w:left w:val="nil"/>
              <w:bottom w:val="nil"/>
              <w:right w:val="nil"/>
            </w:tcBorders>
            <w:noWrap/>
            <w:vAlign w:val="bottom"/>
            <w:hideMark/>
          </w:tcPr>
          <w:p w14:paraId="7B350F8C"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Spain</w:t>
            </w:r>
          </w:p>
        </w:tc>
        <w:tc>
          <w:tcPr>
            <w:tcW w:w="410" w:type="pct"/>
            <w:tcBorders>
              <w:top w:val="nil"/>
              <w:left w:val="nil"/>
              <w:bottom w:val="nil"/>
              <w:right w:val="nil"/>
            </w:tcBorders>
            <w:noWrap/>
            <w:vAlign w:val="bottom"/>
            <w:hideMark/>
          </w:tcPr>
          <w:p w14:paraId="3DA276C1"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21</w:t>
            </w:r>
          </w:p>
        </w:tc>
        <w:tc>
          <w:tcPr>
            <w:tcW w:w="754" w:type="pct"/>
            <w:tcBorders>
              <w:top w:val="nil"/>
              <w:left w:val="nil"/>
              <w:bottom w:val="nil"/>
              <w:right w:val="nil"/>
            </w:tcBorders>
            <w:noWrap/>
            <w:vAlign w:val="bottom"/>
            <w:hideMark/>
          </w:tcPr>
          <w:p w14:paraId="1CB29E8F"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143</w:t>
            </w:r>
          </w:p>
        </w:tc>
        <w:tc>
          <w:tcPr>
            <w:tcW w:w="761" w:type="pct"/>
            <w:tcBorders>
              <w:top w:val="nil"/>
              <w:left w:val="nil"/>
              <w:bottom w:val="nil"/>
              <w:right w:val="nil"/>
            </w:tcBorders>
            <w:noWrap/>
            <w:vAlign w:val="bottom"/>
            <w:hideMark/>
          </w:tcPr>
          <w:p w14:paraId="0B79A2A1"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3.27</w:t>
            </w:r>
          </w:p>
        </w:tc>
      </w:tr>
      <w:tr w:rsidR="006757F3" w:rsidRPr="00256235" w14:paraId="46C749F5" w14:textId="77777777" w:rsidTr="00B768F6">
        <w:trPr>
          <w:trHeight w:val="300"/>
        </w:trPr>
        <w:tc>
          <w:tcPr>
            <w:tcW w:w="3075" w:type="pct"/>
            <w:tcBorders>
              <w:top w:val="nil"/>
              <w:left w:val="nil"/>
              <w:bottom w:val="nil"/>
              <w:right w:val="nil"/>
            </w:tcBorders>
            <w:noWrap/>
            <w:vAlign w:val="bottom"/>
            <w:hideMark/>
          </w:tcPr>
          <w:p w14:paraId="1A6680C5"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Sweden</w:t>
            </w:r>
          </w:p>
        </w:tc>
        <w:tc>
          <w:tcPr>
            <w:tcW w:w="410" w:type="pct"/>
            <w:tcBorders>
              <w:top w:val="nil"/>
              <w:left w:val="nil"/>
              <w:bottom w:val="nil"/>
              <w:right w:val="nil"/>
            </w:tcBorders>
            <w:noWrap/>
            <w:vAlign w:val="bottom"/>
            <w:hideMark/>
          </w:tcPr>
          <w:p w14:paraId="6966C255"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23</w:t>
            </w:r>
          </w:p>
        </w:tc>
        <w:tc>
          <w:tcPr>
            <w:tcW w:w="754" w:type="pct"/>
            <w:tcBorders>
              <w:top w:val="nil"/>
              <w:left w:val="nil"/>
              <w:bottom w:val="nil"/>
              <w:right w:val="nil"/>
            </w:tcBorders>
            <w:noWrap/>
            <w:vAlign w:val="bottom"/>
            <w:hideMark/>
          </w:tcPr>
          <w:p w14:paraId="263A1CA2"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181</w:t>
            </w:r>
          </w:p>
        </w:tc>
        <w:tc>
          <w:tcPr>
            <w:tcW w:w="761" w:type="pct"/>
            <w:tcBorders>
              <w:top w:val="nil"/>
              <w:left w:val="nil"/>
              <w:bottom w:val="nil"/>
              <w:right w:val="nil"/>
            </w:tcBorders>
            <w:noWrap/>
            <w:vAlign w:val="bottom"/>
            <w:hideMark/>
          </w:tcPr>
          <w:p w14:paraId="1E693FF5"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4.13</w:t>
            </w:r>
          </w:p>
        </w:tc>
      </w:tr>
      <w:tr w:rsidR="006757F3" w:rsidRPr="00256235" w14:paraId="5A98BB46" w14:textId="77777777" w:rsidTr="00B768F6">
        <w:trPr>
          <w:trHeight w:val="300"/>
        </w:trPr>
        <w:tc>
          <w:tcPr>
            <w:tcW w:w="3075" w:type="pct"/>
            <w:tcBorders>
              <w:top w:val="nil"/>
              <w:left w:val="nil"/>
              <w:bottom w:val="nil"/>
              <w:right w:val="nil"/>
            </w:tcBorders>
            <w:noWrap/>
            <w:vAlign w:val="bottom"/>
            <w:hideMark/>
          </w:tcPr>
          <w:p w14:paraId="666D1F6F"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Switzerland</w:t>
            </w:r>
          </w:p>
        </w:tc>
        <w:tc>
          <w:tcPr>
            <w:tcW w:w="410" w:type="pct"/>
            <w:tcBorders>
              <w:top w:val="nil"/>
              <w:left w:val="nil"/>
              <w:bottom w:val="nil"/>
              <w:right w:val="nil"/>
            </w:tcBorders>
            <w:noWrap/>
            <w:vAlign w:val="bottom"/>
            <w:hideMark/>
          </w:tcPr>
          <w:p w14:paraId="035BC097"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29</w:t>
            </w:r>
          </w:p>
        </w:tc>
        <w:tc>
          <w:tcPr>
            <w:tcW w:w="754" w:type="pct"/>
            <w:tcBorders>
              <w:top w:val="nil"/>
              <w:left w:val="nil"/>
              <w:bottom w:val="nil"/>
              <w:right w:val="nil"/>
            </w:tcBorders>
            <w:noWrap/>
            <w:vAlign w:val="bottom"/>
            <w:hideMark/>
          </w:tcPr>
          <w:p w14:paraId="71F81D78"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256</w:t>
            </w:r>
          </w:p>
        </w:tc>
        <w:tc>
          <w:tcPr>
            <w:tcW w:w="761" w:type="pct"/>
            <w:tcBorders>
              <w:top w:val="nil"/>
              <w:left w:val="nil"/>
              <w:bottom w:val="nil"/>
              <w:right w:val="nil"/>
            </w:tcBorders>
            <w:noWrap/>
            <w:vAlign w:val="bottom"/>
            <w:hideMark/>
          </w:tcPr>
          <w:p w14:paraId="568F82C6"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5.85</w:t>
            </w:r>
          </w:p>
        </w:tc>
      </w:tr>
      <w:tr w:rsidR="006757F3" w:rsidRPr="00256235" w14:paraId="4E887C12" w14:textId="77777777" w:rsidTr="00B768F6">
        <w:trPr>
          <w:trHeight w:val="300"/>
        </w:trPr>
        <w:tc>
          <w:tcPr>
            <w:tcW w:w="3075" w:type="pct"/>
            <w:tcBorders>
              <w:top w:val="nil"/>
              <w:left w:val="nil"/>
              <w:bottom w:val="single" w:sz="4" w:space="0" w:color="auto"/>
              <w:right w:val="nil"/>
            </w:tcBorders>
            <w:noWrap/>
            <w:vAlign w:val="bottom"/>
            <w:hideMark/>
          </w:tcPr>
          <w:p w14:paraId="30554200"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UK</w:t>
            </w:r>
          </w:p>
        </w:tc>
        <w:tc>
          <w:tcPr>
            <w:tcW w:w="410" w:type="pct"/>
            <w:tcBorders>
              <w:top w:val="nil"/>
              <w:left w:val="nil"/>
              <w:bottom w:val="single" w:sz="4" w:space="0" w:color="auto"/>
              <w:right w:val="nil"/>
            </w:tcBorders>
            <w:noWrap/>
            <w:vAlign w:val="bottom"/>
            <w:hideMark/>
          </w:tcPr>
          <w:p w14:paraId="51D1BE1C"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244</w:t>
            </w:r>
          </w:p>
        </w:tc>
        <w:tc>
          <w:tcPr>
            <w:tcW w:w="754" w:type="pct"/>
            <w:tcBorders>
              <w:top w:val="nil"/>
              <w:left w:val="nil"/>
              <w:bottom w:val="single" w:sz="4" w:space="0" w:color="auto"/>
              <w:right w:val="nil"/>
            </w:tcBorders>
            <w:noWrap/>
            <w:vAlign w:val="bottom"/>
            <w:hideMark/>
          </w:tcPr>
          <w:p w14:paraId="76771647"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2,351</w:t>
            </w:r>
          </w:p>
        </w:tc>
        <w:tc>
          <w:tcPr>
            <w:tcW w:w="761" w:type="pct"/>
            <w:tcBorders>
              <w:top w:val="nil"/>
              <w:left w:val="nil"/>
              <w:bottom w:val="single" w:sz="4" w:space="0" w:color="auto"/>
              <w:right w:val="nil"/>
            </w:tcBorders>
            <w:noWrap/>
            <w:vAlign w:val="bottom"/>
            <w:hideMark/>
          </w:tcPr>
          <w:p w14:paraId="519EA764"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53.69</w:t>
            </w:r>
          </w:p>
        </w:tc>
      </w:tr>
      <w:tr w:rsidR="006757F3" w:rsidRPr="00256235" w14:paraId="4BA7582D" w14:textId="77777777" w:rsidTr="00B768F6">
        <w:trPr>
          <w:trHeight w:val="300"/>
        </w:trPr>
        <w:tc>
          <w:tcPr>
            <w:tcW w:w="3075" w:type="pct"/>
            <w:tcBorders>
              <w:top w:val="single" w:sz="4" w:space="0" w:color="auto"/>
              <w:left w:val="nil"/>
              <w:bottom w:val="single" w:sz="4" w:space="0" w:color="auto"/>
              <w:right w:val="nil"/>
            </w:tcBorders>
            <w:noWrap/>
            <w:vAlign w:val="bottom"/>
            <w:hideMark/>
          </w:tcPr>
          <w:p w14:paraId="650CA916" w14:textId="77777777" w:rsidR="006757F3" w:rsidRPr="00256235" w:rsidRDefault="006757F3" w:rsidP="00B768F6">
            <w:pPr>
              <w:spacing w:after="0" w:line="240" w:lineRule="auto"/>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Total</w:t>
            </w:r>
          </w:p>
        </w:tc>
        <w:tc>
          <w:tcPr>
            <w:tcW w:w="410" w:type="pct"/>
            <w:tcBorders>
              <w:top w:val="single" w:sz="4" w:space="0" w:color="auto"/>
              <w:left w:val="nil"/>
              <w:bottom w:val="single" w:sz="4" w:space="0" w:color="auto"/>
              <w:right w:val="nil"/>
            </w:tcBorders>
            <w:noWrap/>
            <w:vAlign w:val="bottom"/>
            <w:hideMark/>
          </w:tcPr>
          <w:p w14:paraId="31BF9612"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494</w:t>
            </w:r>
          </w:p>
        </w:tc>
        <w:tc>
          <w:tcPr>
            <w:tcW w:w="754" w:type="pct"/>
            <w:tcBorders>
              <w:top w:val="single" w:sz="4" w:space="0" w:color="auto"/>
              <w:left w:val="nil"/>
              <w:bottom w:val="single" w:sz="4" w:space="0" w:color="auto"/>
              <w:right w:val="nil"/>
            </w:tcBorders>
            <w:noWrap/>
            <w:vAlign w:val="bottom"/>
            <w:hideMark/>
          </w:tcPr>
          <w:p w14:paraId="1DED0BA7"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4379</w:t>
            </w:r>
          </w:p>
        </w:tc>
        <w:tc>
          <w:tcPr>
            <w:tcW w:w="761" w:type="pct"/>
            <w:tcBorders>
              <w:top w:val="single" w:sz="4" w:space="0" w:color="auto"/>
              <w:left w:val="nil"/>
              <w:bottom w:val="single" w:sz="4" w:space="0" w:color="auto"/>
              <w:right w:val="nil"/>
            </w:tcBorders>
            <w:noWrap/>
            <w:vAlign w:val="bottom"/>
            <w:hideMark/>
          </w:tcPr>
          <w:p w14:paraId="29E4DAB7" w14:textId="77777777" w:rsidR="006757F3" w:rsidRPr="00256235" w:rsidRDefault="006757F3" w:rsidP="00B768F6">
            <w:pPr>
              <w:spacing w:after="0" w:line="240" w:lineRule="auto"/>
              <w:jc w:val="right"/>
              <w:rPr>
                <w:rFonts w:ascii="Times New Roman" w:eastAsia="Times New Roman" w:hAnsi="Times New Roman" w:cs="Times New Roman"/>
                <w:color w:val="000000"/>
                <w:lang w:val="en-US"/>
              </w:rPr>
            </w:pPr>
            <w:r w:rsidRPr="00256235">
              <w:rPr>
                <w:rFonts w:ascii="Times New Roman" w:eastAsia="Times New Roman" w:hAnsi="Times New Roman" w:cs="Times New Roman"/>
                <w:color w:val="000000"/>
                <w:lang w:val="en-US"/>
              </w:rPr>
              <w:t>100.00</w:t>
            </w:r>
          </w:p>
        </w:tc>
      </w:tr>
    </w:tbl>
    <w:p w14:paraId="6DEE8AF0" w14:textId="77777777" w:rsidR="006757F3" w:rsidRDefault="006757F3" w:rsidP="006757F3">
      <w:pPr>
        <w:rPr>
          <w:rFonts w:ascii="Times New Roman" w:hAnsi="Times New Roman" w:cs="Times New Roman"/>
          <w:b/>
          <w:sz w:val="24"/>
          <w:szCs w:val="24"/>
        </w:rPr>
      </w:pPr>
    </w:p>
    <w:p w14:paraId="23A5C26F" w14:textId="73551C29" w:rsidR="006757F3" w:rsidRDefault="006757F3">
      <w:pPr>
        <w:rPr>
          <w:rFonts w:ascii="Times New Roman" w:hAnsi="Times New Roman" w:cs="Times New Roman"/>
          <w:i/>
        </w:rPr>
      </w:pPr>
      <w:r>
        <w:rPr>
          <w:rFonts w:ascii="Times New Roman" w:hAnsi="Times New Roman" w:cs="Times New Roman"/>
          <w:i/>
        </w:rPr>
        <w:br w:type="page"/>
      </w:r>
    </w:p>
    <w:p w14:paraId="62269C7D" w14:textId="5EA60F4C" w:rsidR="006757F3" w:rsidRDefault="006757F3" w:rsidP="006757F3">
      <w:pPr>
        <w:spacing w:after="0" w:line="240" w:lineRule="auto"/>
        <w:rPr>
          <w:rFonts w:ascii="Times New Roman" w:hAnsi="Times New Roman" w:cs="Times New Roman"/>
          <w:i/>
        </w:rPr>
      </w:pPr>
      <w:r w:rsidRPr="00A55D8E">
        <w:rPr>
          <w:rFonts w:ascii="Times New Roman" w:hAnsi="Times New Roman" w:cs="Times New Roman"/>
          <w:i/>
        </w:rPr>
        <w:lastRenderedPageBreak/>
        <w:t>Table 2. Variable definitions</w:t>
      </w:r>
    </w:p>
    <w:tbl>
      <w:tblPr>
        <w:tblW w:w="5000" w:type="pct"/>
        <w:tblLayout w:type="fixed"/>
        <w:tblLook w:val="04A0" w:firstRow="1" w:lastRow="0" w:firstColumn="1" w:lastColumn="0" w:noHBand="0" w:noVBand="1"/>
      </w:tblPr>
      <w:tblGrid>
        <w:gridCol w:w="1689"/>
        <w:gridCol w:w="1456"/>
        <w:gridCol w:w="6215"/>
      </w:tblGrid>
      <w:tr w:rsidR="006757F3" w:rsidRPr="005F2192" w14:paraId="402FEA42" w14:textId="77777777" w:rsidTr="00B768F6">
        <w:trPr>
          <w:trHeight w:val="576"/>
        </w:trPr>
        <w:tc>
          <w:tcPr>
            <w:tcW w:w="902" w:type="pct"/>
            <w:tcBorders>
              <w:top w:val="single" w:sz="4" w:space="0" w:color="auto"/>
              <w:bottom w:val="single" w:sz="4" w:space="0" w:color="auto"/>
            </w:tcBorders>
            <w:shd w:val="clear" w:color="auto" w:fill="auto"/>
            <w:vAlign w:val="center"/>
            <w:hideMark/>
          </w:tcPr>
          <w:p w14:paraId="1B0D4738" w14:textId="77777777" w:rsidR="006757F3" w:rsidRPr="005F2192" w:rsidRDefault="006757F3" w:rsidP="00B768F6">
            <w:pPr>
              <w:spacing w:after="0" w:line="240" w:lineRule="auto"/>
              <w:jc w:val="center"/>
              <w:rPr>
                <w:rFonts w:ascii="Times New Roman" w:hAnsi="Times New Roman" w:cs="Times New Roman"/>
                <w:i/>
                <w:sz w:val="20"/>
                <w:szCs w:val="20"/>
              </w:rPr>
            </w:pPr>
            <w:r w:rsidRPr="005F2192">
              <w:rPr>
                <w:rFonts w:ascii="Times New Roman" w:hAnsi="Times New Roman" w:cs="Times New Roman"/>
                <w:i/>
                <w:sz w:val="20"/>
                <w:szCs w:val="20"/>
              </w:rPr>
              <w:t>Variables</w:t>
            </w:r>
          </w:p>
        </w:tc>
        <w:tc>
          <w:tcPr>
            <w:tcW w:w="778" w:type="pct"/>
            <w:tcBorders>
              <w:top w:val="single" w:sz="4" w:space="0" w:color="auto"/>
              <w:bottom w:val="single" w:sz="4" w:space="0" w:color="auto"/>
            </w:tcBorders>
            <w:vAlign w:val="center"/>
          </w:tcPr>
          <w:p w14:paraId="6771E537" w14:textId="77777777" w:rsidR="006757F3" w:rsidRPr="005F2192" w:rsidRDefault="006757F3" w:rsidP="00B768F6">
            <w:pPr>
              <w:spacing w:after="0" w:line="240" w:lineRule="auto"/>
              <w:jc w:val="center"/>
              <w:rPr>
                <w:rFonts w:ascii="Times New Roman" w:hAnsi="Times New Roman" w:cs="Times New Roman"/>
                <w:i/>
                <w:sz w:val="20"/>
                <w:szCs w:val="20"/>
              </w:rPr>
            </w:pPr>
            <w:r w:rsidRPr="005F2192">
              <w:rPr>
                <w:rFonts w:ascii="Times New Roman" w:hAnsi="Times New Roman" w:cs="Times New Roman"/>
                <w:i/>
                <w:sz w:val="20"/>
                <w:szCs w:val="20"/>
              </w:rPr>
              <w:t>Symbols</w:t>
            </w:r>
          </w:p>
        </w:tc>
        <w:tc>
          <w:tcPr>
            <w:tcW w:w="3320" w:type="pct"/>
            <w:tcBorders>
              <w:top w:val="single" w:sz="4" w:space="0" w:color="auto"/>
              <w:bottom w:val="single" w:sz="4" w:space="0" w:color="auto"/>
            </w:tcBorders>
            <w:vAlign w:val="center"/>
          </w:tcPr>
          <w:p w14:paraId="17735FD3" w14:textId="77777777" w:rsidR="006757F3" w:rsidRPr="005F2192" w:rsidRDefault="006757F3" w:rsidP="00B768F6">
            <w:pPr>
              <w:spacing w:after="0" w:line="240" w:lineRule="auto"/>
              <w:jc w:val="center"/>
              <w:rPr>
                <w:rFonts w:ascii="Times New Roman" w:hAnsi="Times New Roman" w:cs="Times New Roman"/>
                <w:i/>
                <w:sz w:val="20"/>
                <w:szCs w:val="20"/>
              </w:rPr>
            </w:pPr>
            <w:r w:rsidRPr="005F2192">
              <w:rPr>
                <w:rFonts w:ascii="Times New Roman" w:hAnsi="Times New Roman" w:cs="Times New Roman"/>
                <w:i/>
                <w:sz w:val="20"/>
                <w:szCs w:val="20"/>
              </w:rPr>
              <w:t>Descriptions</w:t>
            </w:r>
          </w:p>
        </w:tc>
      </w:tr>
      <w:tr w:rsidR="006757F3" w:rsidRPr="005F2192" w14:paraId="2DEBE5F4" w14:textId="77777777" w:rsidTr="00B768F6">
        <w:trPr>
          <w:trHeight w:val="20"/>
        </w:trPr>
        <w:tc>
          <w:tcPr>
            <w:tcW w:w="5000" w:type="pct"/>
            <w:gridSpan w:val="3"/>
            <w:tcBorders>
              <w:top w:val="single" w:sz="4" w:space="0" w:color="auto"/>
            </w:tcBorders>
            <w:shd w:val="clear" w:color="auto" w:fill="auto"/>
            <w:vAlign w:val="center"/>
          </w:tcPr>
          <w:p w14:paraId="093AC032" w14:textId="72484741" w:rsidR="006757F3" w:rsidRPr="003F4A66" w:rsidRDefault="006757F3" w:rsidP="00B768F6">
            <w:pPr>
              <w:spacing w:after="0" w:line="240" w:lineRule="auto"/>
              <w:jc w:val="both"/>
              <w:rPr>
                <w:rFonts w:ascii="Times New Roman" w:hAnsi="Times New Roman" w:cs="Times New Roman"/>
                <w:i/>
                <w:sz w:val="20"/>
                <w:szCs w:val="20"/>
                <w:u w:val="single"/>
              </w:rPr>
            </w:pPr>
            <w:r>
              <w:rPr>
                <w:rFonts w:ascii="Times New Roman" w:hAnsi="Times New Roman" w:cs="Times New Roman"/>
                <w:i/>
                <w:sz w:val="20"/>
                <w:szCs w:val="20"/>
                <w:u w:val="single"/>
              </w:rPr>
              <w:t>Substantive constructs/measures:</w:t>
            </w:r>
          </w:p>
        </w:tc>
      </w:tr>
      <w:tr w:rsidR="006757F3" w:rsidRPr="005F2192" w14:paraId="68AA5406" w14:textId="77777777" w:rsidTr="00B768F6">
        <w:trPr>
          <w:trHeight w:val="20"/>
        </w:trPr>
        <w:tc>
          <w:tcPr>
            <w:tcW w:w="902" w:type="pct"/>
            <w:shd w:val="clear" w:color="auto" w:fill="auto"/>
            <w:vAlign w:val="center"/>
          </w:tcPr>
          <w:p w14:paraId="4DE1866D" w14:textId="77777777" w:rsidR="006757F3" w:rsidRPr="005F2192" w:rsidRDefault="006757F3" w:rsidP="00B768F6">
            <w:pPr>
              <w:spacing w:after="0" w:line="240" w:lineRule="auto"/>
              <w:rPr>
                <w:rFonts w:ascii="Times New Roman" w:hAnsi="Times New Roman" w:cs="Times New Roman"/>
                <w:sz w:val="20"/>
                <w:szCs w:val="20"/>
              </w:rPr>
            </w:pPr>
            <w:r>
              <w:rPr>
                <w:rFonts w:ascii="Times New Roman" w:hAnsi="Times New Roman" w:cs="Times New Roman"/>
                <w:sz w:val="20"/>
                <w:szCs w:val="20"/>
              </w:rPr>
              <w:t>Market Value</w:t>
            </w:r>
          </w:p>
        </w:tc>
        <w:tc>
          <w:tcPr>
            <w:tcW w:w="778" w:type="pct"/>
            <w:vAlign w:val="center"/>
          </w:tcPr>
          <w:p w14:paraId="5FEED3B2" w14:textId="77777777" w:rsidR="006757F3" w:rsidRDefault="006757F3" w:rsidP="00B768F6">
            <w:pPr>
              <w:spacing w:after="0" w:line="240" w:lineRule="auto"/>
              <w:rPr>
                <w:rFonts w:ascii="Times New Roman" w:hAnsi="Times New Roman" w:cs="Times New Roman"/>
                <w:sz w:val="20"/>
                <w:szCs w:val="20"/>
              </w:rPr>
            </w:pPr>
            <w:r>
              <w:rPr>
                <w:rFonts w:ascii="Times New Roman" w:hAnsi="Times New Roman" w:cs="Times New Roman"/>
                <w:sz w:val="20"/>
                <w:szCs w:val="20"/>
              </w:rPr>
              <w:t>Q</w:t>
            </w:r>
          </w:p>
        </w:tc>
        <w:tc>
          <w:tcPr>
            <w:tcW w:w="3320" w:type="pct"/>
            <w:vAlign w:val="center"/>
          </w:tcPr>
          <w:p w14:paraId="683C342B" w14:textId="77777777" w:rsidR="006757F3" w:rsidRPr="002D762D" w:rsidRDefault="006757F3" w:rsidP="00B768F6">
            <w:pPr>
              <w:spacing w:after="0" w:line="240" w:lineRule="auto"/>
              <w:jc w:val="both"/>
              <w:rPr>
                <w:rFonts w:ascii="Times New Roman" w:hAnsi="Times New Roman" w:cs="Times New Roman"/>
                <w:iCs/>
                <w:sz w:val="20"/>
                <w:szCs w:val="20"/>
              </w:rPr>
            </w:pPr>
            <w:r w:rsidRPr="002A1A32">
              <w:rPr>
                <w:rFonts w:ascii="Times New Roman" w:hAnsi="Times New Roman" w:cs="Times New Roman"/>
                <w:sz w:val="20"/>
                <w:szCs w:val="20"/>
                <w:lang w:val="en-US"/>
              </w:rPr>
              <w:t>Ratio of total assets minus book value of equity plus market value of equity to total assets.</w:t>
            </w:r>
          </w:p>
        </w:tc>
      </w:tr>
      <w:tr w:rsidR="006757F3" w:rsidRPr="005F2192" w14:paraId="78E81796" w14:textId="77777777" w:rsidTr="00B768F6">
        <w:trPr>
          <w:trHeight w:val="20"/>
        </w:trPr>
        <w:tc>
          <w:tcPr>
            <w:tcW w:w="902" w:type="pct"/>
            <w:shd w:val="clear" w:color="auto" w:fill="auto"/>
            <w:vAlign w:val="center"/>
          </w:tcPr>
          <w:p w14:paraId="6966546D" w14:textId="5FC7ACC7" w:rsidR="006757F3" w:rsidRPr="005F2192" w:rsidRDefault="006757F3" w:rsidP="00B768F6">
            <w:pPr>
              <w:spacing w:after="0" w:line="240" w:lineRule="auto"/>
              <w:rPr>
                <w:rFonts w:ascii="Times New Roman" w:hAnsi="Times New Roman" w:cs="Times New Roman"/>
                <w:sz w:val="20"/>
                <w:szCs w:val="20"/>
              </w:rPr>
            </w:pPr>
          </w:p>
        </w:tc>
        <w:tc>
          <w:tcPr>
            <w:tcW w:w="778" w:type="pct"/>
            <w:vAlign w:val="center"/>
          </w:tcPr>
          <w:p w14:paraId="15C1C92B" w14:textId="44B665AA" w:rsidR="006757F3" w:rsidRPr="005F2192" w:rsidRDefault="006757F3" w:rsidP="00B768F6">
            <w:pPr>
              <w:spacing w:after="0" w:line="240" w:lineRule="auto"/>
              <w:rPr>
                <w:rFonts w:ascii="Times New Roman" w:hAnsi="Times New Roman" w:cs="Times New Roman"/>
                <w:sz w:val="20"/>
                <w:szCs w:val="20"/>
              </w:rPr>
            </w:pPr>
          </w:p>
        </w:tc>
        <w:tc>
          <w:tcPr>
            <w:tcW w:w="3320" w:type="pct"/>
            <w:vAlign w:val="center"/>
          </w:tcPr>
          <w:p w14:paraId="68B8141A" w14:textId="77777777" w:rsidR="006757F3" w:rsidRPr="002D762D" w:rsidRDefault="006757F3" w:rsidP="00B768F6">
            <w:pPr>
              <w:spacing w:after="0" w:line="240" w:lineRule="auto"/>
              <w:jc w:val="both"/>
              <w:rPr>
                <w:rFonts w:ascii="Times New Roman" w:hAnsi="Times New Roman" w:cs="Times New Roman"/>
                <w:sz w:val="20"/>
                <w:szCs w:val="20"/>
                <w:lang w:val="en-US"/>
              </w:rPr>
            </w:pPr>
          </w:p>
        </w:tc>
      </w:tr>
      <w:tr w:rsidR="006757F3" w:rsidRPr="005F2192" w14:paraId="073EA30F" w14:textId="77777777" w:rsidTr="00B768F6">
        <w:trPr>
          <w:trHeight w:val="423"/>
        </w:trPr>
        <w:tc>
          <w:tcPr>
            <w:tcW w:w="902" w:type="pct"/>
            <w:shd w:val="clear" w:color="auto" w:fill="auto"/>
            <w:vAlign w:val="center"/>
            <w:hideMark/>
          </w:tcPr>
          <w:p w14:paraId="7ADDD624" w14:textId="77777777" w:rsidR="006757F3" w:rsidRPr="005F2192" w:rsidRDefault="006757F3" w:rsidP="00B768F6">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GHG emissions</w:t>
            </w:r>
          </w:p>
        </w:tc>
        <w:tc>
          <w:tcPr>
            <w:tcW w:w="778" w:type="pct"/>
            <w:vAlign w:val="center"/>
          </w:tcPr>
          <w:p w14:paraId="2B6D1EA3" w14:textId="77777777" w:rsidR="006757F3" w:rsidRPr="005F2192" w:rsidRDefault="006757F3" w:rsidP="00B768F6">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GHG</w:t>
            </w:r>
          </w:p>
        </w:tc>
        <w:tc>
          <w:tcPr>
            <w:tcW w:w="3320" w:type="pct"/>
            <w:vAlign w:val="center"/>
          </w:tcPr>
          <w:p w14:paraId="143D1AED" w14:textId="77777777" w:rsidR="006757F3" w:rsidRPr="005F2192" w:rsidRDefault="006757F3" w:rsidP="00B768F6">
            <w:pPr>
              <w:spacing w:after="0" w:line="240" w:lineRule="auto"/>
              <w:rPr>
                <w:rFonts w:ascii="Times New Roman" w:hAnsi="Times New Roman" w:cs="Times New Roman"/>
                <w:sz w:val="20"/>
                <w:szCs w:val="20"/>
              </w:rPr>
            </w:pPr>
            <w:r>
              <w:rPr>
                <w:rFonts w:ascii="Times New Roman" w:hAnsi="Times New Roman" w:cs="Times New Roman"/>
                <w:sz w:val="20"/>
                <w:szCs w:val="20"/>
              </w:rPr>
              <w:t>Actual Carbon performance as measured by the n</w:t>
            </w:r>
            <w:r w:rsidRPr="005F2192">
              <w:rPr>
                <w:rFonts w:ascii="Times New Roman" w:hAnsi="Times New Roman" w:cs="Times New Roman"/>
                <w:sz w:val="20"/>
                <w:szCs w:val="20"/>
              </w:rPr>
              <w:t xml:space="preserve">atural log of total </w:t>
            </w:r>
            <w:r>
              <w:rPr>
                <w:rFonts w:ascii="Times New Roman" w:hAnsi="Times New Roman" w:cs="Times New Roman"/>
                <w:sz w:val="20"/>
                <w:szCs w:val="20"/>
              </w:rPr>
              <w:t xml:space="preserve">actual </w:t>
            </w:r>
            <w:r w:rsidRPr="005F2192">
              <w:rPr>
                <w:rFonts w:ascii="Times New Roman" w:hAnsi="Times New Roman" w:cs="Times New Roman"/>
                <w:sz w:val="20"/>
                <w:szCs w:val="20"/>
              </w:rPr>
              <w:t>GHG emissions in tons</w:t>
            </w:r>
            <w:r>
              <w:rPr>
                <w:rFonts w:ascii="Times New Roman" w:hAnsi="Times New Roman" w:cs="Times New Roman"/>
                <w:sz w:val="20"/>
                <w:szCs w:val="20"/>
              </w:rPr>
              <w:t>.</w:t>
            </w:r>
          </w:p>
        </w:tc>
      </w:tr>
      <w:tr w:rsidR="006757F3" w:rsidRPr="005F2192" w14:paraId="43EDB39B" w14:textId="77777777" w:rsidTr="00B768F6">
        <w:trPr>
          <w:trHeight w:val="423"/>
        </w:trPr>
        <w:tc>
          <w:tcPr>
            <w:tcW w:w="902" w:type="pct"/>
            <w:shd w:val="clear" w:color="auto" w:fill="auto"/>
            <w:vAlign w:val="center"/>
          </w:tcPr>
          <w:p w14:paraId="09022954" w14:textId="77777777" w:rsidR="006757F3" w:rsidRPr="005F2192" w:rsidRDefault="006757F3" w:rsidP="00B768F6">
            <w:pPr>
              <w:spacing w:after="0" w:line="240" w:lineRule="auto"/>
              <w:rPr>
                <w:rFonts w:ascii="Times New Roman" w:hAnsi="Times New Roman" w:cs="Times New Roman"/>
                <w:sz w:val="20"/>
                <w:szCs w:val="20"/>
              </w:rPr>
            </w:pPr>
            <w:r w:rsidRPr="001133F2">
              <w:rPr>
                <w:rFonts w:ascii="Times New Roman" w:hAnsi="Times New Roman" w:cs="Times New Roman"/>
                <w:sz w:val="20"/>
                <w:szCs w:val="20"/>
              </w:rPr>
              <w:t xml:space="preserve">Executive compensation </w:t>
            </w:r>
          </w:p>
        </w:tc>
        <w:tc>
          <w:tcPr>
            <w:tcW w:w="778" w:type="pct"/>
            <w:vAlign w:val="center"/>
          </w:tcPr>
          <w:p w14:paraId="32F83BCE" w14:textId="77777777" w:rsidR="006757F3" w:rsidRPr="005F2192" w:rsidRDefault="006757F3" w:rsidP="00B768F6">
            <w:pPr>
              <w:spacing w:after="0" w:line="240" w:lineRule="auto"/>
              <w:rPr>
                <w:rFonts w:ascii="Times New Roman" w:hAnsi="Times New Roman" w:cs="Times New Roman"/>
                <w:sz w:val="20"/>
                <w:szCs w:val="20"/>
              </w:rPr>
            </w:pPr>
            <w:r>
              <w:rPr>
                <w:rFonts w:ascii="Times New Roman" w:hAnsi="Times New Roman" w:cs="Times New Roman"/>
                <w:sz w:val="20"/>
                <w:szCs w:val="20"/>
              </w:rPr>
              <w:t>EC</w:t>
            </w:r>
          </w:p>
        </w:tc>
        <w:tc>
          <w:tcPr>
            <w:tcW w:w="3320" w:type="pct"/>
            <w:vAlign w:val="center"/>
          </w:tcPr>
          <w:p w14:paraId="781B21D4" w14:textId="77777777" w:rsidR="006757F3" w:rsidRDefault="006757F3" w:rsidP="00B768F6">
            <w:pPr>
              <w:spacing w:after="0" w:line="240" w:lineRule="auto"/>
              <w:rPr>
                <w:rFonts w:ascii="Times New Roman" w:hAnsi="Times New Roman" w:cs="Times New Roman"/>
                <w:sz w:val="20"/>
                <w:szCs w:val="20"/>
              </w:rPr>
            </w:pPr>
            <w:r>
              <w:rPr>
                <w:rFonts w:ascii="Times New Roman" w:hAnsi="Times New Roman" w:cs="Times New Roman"/>
                <w:sz w:val="20"/>
                <w:szCs w:val="20"/>
              </w:rPr>
              <w:t>The n</w:t>
            </w:r>
            <w:r w:rsidRPr="001133F2">
              <w:rPr>
                <w:rFonts w:ascii="Times New Roman" w:hAnsi="Times New Roman" w:cs="Times New Roman"/>
                <w:sz w:val="20"/>
                <w:szCs w:val="20"/>
              </w:rPr>
              <w:t xml:space="preserve">atural log of total </w:t>
            </w:r>
            <w:r>
              <w:rPr>
                <w:rFonts w:ascii="Times New Roman" w:hAnsi="Times New Roman" w:cs="Times New Roman"/>
                <w:sz w:val="20"/>
                <w:szCs w:val="20"/>
              </w:rPr>
              <w:t xml:space="preserve">fixed and variable </w:t>
            </w:r>
            <w:r w:rsidRPr="001133F2">
              <w:rPr>
                <w:rFonts w:ascii="Times New Roman" w:hAnsi="Times New Roman" w:cs="Times New Roman"/>
                <w:sz w:val="20"/>
                <w:szCs w:val="20"/>
              </w:rPr>
              <w:t>compensation paid to all senior executives (in USD</w:t>
            </w:r>
            <w:r>
              <w:rPr>
                <w:rFonts w:ascii="Times New Roman" w:hAnsi="Times New Roman" w:cs="Times New Roman"/>
                <w:sz w:val="20"/>
                <w:szCs w:val="20"/>
              </w:rPr>
              <w:t>$</w:t>
            </w:r>
            <w:r w:rsidRPr="001133F2">
              <w:rPr>
                <w:rFonts w:ascii="Times New Roman" w:hAnsi="Times New Roman" w:cs="Times New Roman"/>
                <w:sz w:val="20"/>
                <w:szCs w:val="20"/>
              </w:rPr>
              <w:t>) as reported by the firm</w:t>
            </w:r>
            <w:r>
              <w:rPr>
                <w:rFonts w:ascii="Times New Roman" w:hAnsi="Times New Roman" w:cs="Times New Roman"/>
                <w:sz w:val="20"/>
                <w:szCs w:val="20"/>
              </w:rPr>
              <w:t>.</w:t>
            </w:r>
            <w:r w:rsidRPr="001133F2">
              <w:rPr>
                <w:rFonts w:ascii="Times New Roman" w:hAnsi="Times New Roman" w:cs="Times New Roman"/>
                <w:sz w:val="20"/>
                <w:szCs w:val="20"/>
              </w:rPr>
              <w:t xml:space="preserve"> </w:t>
            </w:r>
            <w:r w:rsidRPr="00347D41">
              <w:rPr>
                <w:rFonts w:asciiTheme="majorBidi" w:hAnsiTheme="majorBidi" w:cstheme="majorBidi"/>
                <w:sz w:val="20"/>
                <w:szCs w:val="20"/>
              </w:rPr>
              <w:t xml:space="preserve">The fixed component consists </w:t>
            </w:r>
            <w:r>
              <w:rPr>
                <w:rFonts w:asciiTheme="majorBidi" w:hAnsiTheme="majorBidi" w:cstheme="majorBidi"/>
              </w:rPr>
              <w:t xml:space="preserve">of </w:t>
            </w:r>
            <w:r w:rsidRPr="00347D41">
              <w:rPr>
                <w:rFonts w:asciiTheme="majorBidi" w:hAnsiTheme="majorBidi" w:cstheme="majorBidi"/>
                <w:sz w:val="20"/>
                <w:szCs w:val="20"/>
              </w:rPr>
              <w:t>a base salary and other in-kind benefits, such as accommodation, health and transportation. The variable component consists of bonuses and other long-term incentive plans, such as</w:t>
            </w:r>
            <w:r>
              <w:rPr>
                <w:rFonts w:asciiTheme="majorBidi" w:hAnsiTheme="majorBidi" w:cstheme="majorBidi"/>
              </w:rPr>
              <w:t xml:space="preserve"> equity ownership and</w:t>
            </w:r>
            <w:r w:rsidRPr="00347D41">
              <w:rPr>
                <w:rFonts w:asciiTheme="majorBidi" w:hAnsiTheme="majorBidi" w:cstheme="majorBidi"/>
                <w:sz w:val="20"/>
                <w:szCs w:val="20"/>
              </w:rPr>
              <w:t xml:space="preserve"> </w:t>
            </w:r>
            <w:r>
              <w:rPr>
                <w:rFonts w:asciiTheme="majorBidi" w:hAnsiTheme="majorBidi" w:cstheme="majorBidi"/>
              </w:rPr>
              <w:t xml:space="preserve">long-term </w:t>
            </w:r>
            <w:r w:rsidRPr="00347D41">
              <w:rPr>
                <w:rFonts w:asciiTheme="majorBidi" w:hAnsiTheme="majorBidi" w:cstheme="majorBidi"/>
                <w:sz w:val="20"/>
                <w:szCs w:val="20"/>
              </w:rPr>
              <w:t>share options.</w:t>
            </w:r>
            <w:r>
              <w:t xml:space="preserve"> </w:t>
            </w:r>
            <w:r w:rsidRPr="001133F2">
              <w:rPr>
                <w:rFonts w:ascii="Times New Roman" w:hAnsi="Times New Roman" w:cs="Times New Roman"/>
                <w:sz w:val="20"/>
                <w:szCs w:val="20"/>
              </w:rPr>
              <w:t xml:space="preserve"> </w:t>
            </w:r>
          </w:p>
        </w:tc>
      </w:tr>
      <w:tr w:rsidR="006757F3" w:rsidRPr="005F2192" w14:paraId="55105976" w14:textId="77777777" w:rsidTr="0029698B">
        <w:trPr>
          <w:trHeight w:val="151"/>
        </w:trPr>
        <w:tc>
          <w:tcPr>
            <w:tcW w:w="902" w:type="pct"/>
            <w:shd w:val="clear" w:color="auto" w:fill="auto"/>
            <w:vAlign w:val="center"/>
          </w:tcPr>
          <w:p w14:paraId="1110293D" w14:textId="56069676" w:rsidR="006757F3" w:rsidRPr="005F2192" w:rsidRDefault="006757F3" w:rsidP="00B768F6">
            <w:pPr>
              <w:spacing w:after="0" w:line="240" w:lineRule="auto"/>
              <w:rPr>
                <w:rFonts w:ascii="Times New Roman" w:hAnsi="Times New Roman" w:cs="Times New Roman"/>
                <w:sz w:val="20"/>
                <w:szCs w:val="20"/>
              </w:rPr>
            </w:pPr>
          </w:p>
        </w:tc>
        <w:tc>
          <w:tcPr>
            <w:tcW w:w="778" w:type="pct"/>
            <w:vAlign w:val="center"/>
          </w:tcPr>
          <w:p w14:paraId="340ABA2A" w14:textId="55C71458" w:rsidR="006757F3" w:rsidRPr="005F2192" w:rsidRDefault="006757F3" w:rsidP="00B768F6">
            <w:pPr>
              <w:spacing w:after="0" w:line="240" w:lineRule="auto"/>
              <w:rPr>
                <w:rFonts w:ascii="Times New Roman" w:hAnsi="Times New Roman" w:cs="Times New Roman"/>
                <w:sz w:val="20"/>
                <w:szCs w:val="20"/>
              </w:rPr>
            </w:pPr>
          </w:p>
        </w:tc>
        <w:tc>
          <w:tcPr>
            <w:tcW w:w="3320" w:type="pct"/>
            <w:vAlign w:val="center"/>
          </w:tcPr>
          <w:p w14:paraId="1A94AF28" w14:textId="0F26BA17" w:rsidR="006757F3" w:rsidRPr="002A1A32" w:rsidRDefault="006757F3" w:rsidP="00B768F6">
            <w:pPr>
              <w:spacing w:after="0" w:line="240" w:lineRule="auto"/>
              <w:rPr>
                <w:rFonts w:ascii="Times New Roman" w:hAnsi="Times New Roman" w:cs="Times New Roman"/>
                <w:sz w:val="20"/>
                <w:szCs w:val="20"/>
              </w:rPr>
            </w:pPr>
          </w:p>
        </w:tc>
      </w:tr>
      <w:tr w:rsidR="006757F3" w:rsidRPr="005F2192" w14:paraId="42222198" w14:textId="77777777" w:rsidTr="00B768F6">
        <w:trPr>
          <w:trHeight w:val="432"/>
        </w:trPr>
        <w:tc>
          <w:tcPr>
            <w:tcW w:w="5000" w:type="pct"/>
            <w:gridSpan w:val="3"/>
            <w:shd w:val="clear" w:color="auto" w:fill="auto"/>
            <w:vAlign w:val="center"/>
          </w:tcPr>
          <w:p w14:paraId="6F44EC17" w14:textId="1AFCB8A1" w:rsidR="006757F3" w:rsidRPr="003F4A66" w:rsidRDefault="006757F3" w:rsidP="00B768F6">
            <w:pPr>
              <w:spacing w:after="0" w:line="240" w:lineRule="auto"/>
              <w:rPr>
                <w:rFonts w:ascii="Times New Roman" w:hAnsi="Times New Roman" w:cs="Times New Roman"/>
                <w:i/>
                <w:sz w:val="20"/>
                <w:szCs w:val="20"/>
                <w:u w:val="single"/>
              </w:rPr>
            </w:pPr>
            <w:r>
              <w:rPr>
                <w:rFonts w:ascii="Times New Roman" w:hAnsi="Times New Roman" w:cs="Times New Roman"/>
                <w:i/>
                <w:sz w:val="20"/>
                <w:szCs w:val="20"/>
                <w:u w:val="single"/>
              </w:rPr>
              <w:t>Symbolic constructs/measures:</w:t>
            </w:r>
            <w:r w:rsidDel="00451225">
              <w:rPr>
                <w:rFonts w:ascii="Times New Roman" w:hAnsi="Times New Roman" w:cs="Times New Roman"/>
                <w:i/>
                <w:sz w:val="20"/>
                <w:szCs w:val="20"/>
                <w:u w:val="single"/>
              </w:rPr>
              <w:t xml:space="preserve"> </w:t>
            </w:r>
          </w:p>
        </w:tc>
      </w:tr>
      <w:tr w:rsidR="006757F3" w:rsidRPr="005F2192" w14:paraId="458A96D1" w14:textId="77777777" w:rsidTr="00B768F6">
        <w:trPr>
          <w:trHeight w:val="612"/>
        </w:trPr>
        <w:tc>
          <w:tcPr>
            <w:tcW w:w="902" w:type="pct"/>
            <w:shd w:val="clear" w:color="auto" w:fill="auto"/>
            <w:vAlign w:val="center"/>
          </w:tcPr>
          <w:p w14:paraId="326FAC25" w14:textId="77777777" w:rsidR="006757F3" w:rsidRPr="001133F2" w:rsidRDefault="006757F3" w:rsidP="00B768F6">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 xml:space="preserve">Carbon reduction initiatives </w:t>
            </w:r>
          </w:p>
        </w:tc>
        <w:tc>
          <w:tcPr>
            <w:tcW w:w="778" w:type="pct"/>
            <w:vAlign w:val="center"/>
          </w:tcPr>
          <w:p w14:paraId="012BDED0" w14:textId="77777777" w:rsidR="006757F3" w:rsidRDefault="006757F3" w:rsidP="00B768F6">
            <w:pPr>
              <w:spacing w:after="0" w:line="240" w:lineRule="auto"/>
              <w:rPr>
                <w:rFonts w:ascii="Times New Roman" w:hAnsi="Times New Roman" w:cs="Times New Roman"/>
                <w:sz w:val="20"/>
                <w:szCs w:val="20"/>
              </w:rPr>
            </w:pPr>
            <w:r>
              <w:rPr>
                <w:rFonts w:ascii="Times New Roman" w:hAnsi="Times New Roman" w:cs="Times New Roman"/>
                <w:sz w:val="20"/>
                <w:szCs w:val="20"/>
              </w:rPr>
              <w:t>P</w:t>
            </w:r>
            <w:r w:rsidRPr="005F2192">
              <w:rPr>
                <w:rFonts w:ascii="Times New Roman" w:hAnsi="Times New Roman" w:cs="Times New Roman"/>
                <w:sz w:val="20"/>
                <w:szCs w:val="20"/>
              </w:rPr>
              <w:t xml:space="preserve">CRI </w:t>
            </w:r>
          </w:p>
        </w:tc>
        <w:tc>
          <w:tcPr>
            <w:tcW w:w="3320" w:type="pct"/>
            <w:vAlign w:val="center"/>
          </w:tcPr>
          <w:p w14:paraId="0B0F7D19" w14:textId="77777777" w:rsidR="006757F3" w:rsidRPr="002D762D" w:rsidRDefault="006757F3" w:rsidP="00B768F6">
            <w:pPr>
              <w:spacing w:after="0" w:line="240" w:lineRule="auto"/>
              <w:jc w:val="both"/>
              <w:rPr>
                <w:rFonts w:ascii="Times New Roman" w:hAnsi="Times New Roman" w:cs="Times New Roman"/>
                <w:sz w:val="20"/>
                <w:szCs w:val="20"/>
              </w:rPr>
            </w:pPr>
            <w:r w:rsidRPr="002D762D">
              <w:rPr>
                <w:rFonts w:ascii="Times New Roman" w:hAnsi="Times New Roman" w:cs="Times New Roman"/>
                <w:iCs/>
                <w:sz w:val="20"/>
                <w:szCs w:val="20"/>
              </w:rPr>
              <w:t xml:space="preserve">PCRI index is calculated by adding 21 dummy variables that measure </w:t>
            </w:r>
            <w:r w:rsidRPr="002D762D">
              <w:rPr>
                <w:rFonts w:ascii="Times New Roman" w:hAnsi="Times New Roman" w:cs="Times New Roman"/>
                <w:color w:val="000000" w:themeColor="text1"/>
                <w:sz w:val="20"/>
                <w:szCs w:val="20"/>
              </w:rPr>
              <w:t>a firm’s degree of engagement with climate protection initiatives, with higher index value indicating greater climate-related activism of a firm (</w:t>
            </w:r>
            <w:r w:rsidRPr="002D762D">
              <w:rPr>
                <w:rFonts w:ascii="Times New Roman" w:hAnsi="Times New Roman" w:cs="Times New Roman"/>
                <w:i/>
                <w:color w:val="000000" w:themeColor="text1"/>
                <w:sz w:val="20"/>
                <w:szCs w:val="20"/>
              </w:rPr>
              <w:t>see the Appendix for further details</w:t>
            </w:r>
            <w:r w:rsidRPr="002D762D">
              <w:rPr>
                <w:rFonts w:ascii="Times New Roman" w:hAnsi="Times New Roman" w:cs="Times New Roman"/>
                <w:color w:val="000000" w:themeColor="text1"/>
                <w:sz w:val="20"/>
                <w:szCs w:val="20"/>
              </w:rPr>
              <w:t xml:space="preserve">). Therefore, a company’s score can range from a minimum of 0 (zero or no carbon reduction initiative instituted) to a maximum of 21 (full or 100% carbon initiative instituted). </w:t>
            </w:r>
          </w:p>
          <w:p w14:paraId="6C3EF003" w14:textId="77777777" w:rsidR="006757F3" w:rsidRDefault="006757F3" w:rsidP="00B768F6">
            <w:pPr>
              <w:spacing w:after="0" w:line="240" w:lineRule="auto"/>
              <w:jc w:val="both"/>
              <w:rPr>
                <w:rFonts w:ascii="Times New Roman" w:hAnsi="Times New Roman" w:cs="Times New Roman"/>
                <w:sz w:val="20"/>
                <w:szCs w:val="20"/>
              </w:rPr>
            </w:pPr>
          </w:p>
        </w:tc>
      </w:tr>
      <w:tr w:rsidR="006757F3" w:rsidRPr="005F2192" w14:paraId="3A72F109" w14:textId="77777777" w:rsidTr="00B768F6">
        <w:trPr>
          <w:trHeight w:val="460"/>
        </w:trPr>
        <w:tc>
          <w:tcPr>
            <w:tcW w:w="902" w:type="pct"/>
            <w:shd w:val="clear" w:color="auto" w:fill="auto"/>
            <w:noWrap/>
            <w:vAlign w:val="center"/>
          </w:tcPr>
          <w:p w14:paraId="70C8AB8F" w14:textId="77777777" w:rsidR="006757F3" w:rsidRPr="005F2192" w:rsidRDefault="006757F3" w:rsidP="00B768F6">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ESG-based compensation</w:t>
            </w:r>
          </w:p>
        </w:tc>
        <w:tc>
          <w:tcPr>
            <w:tcW w:w="778" w:type="pct"/>
            <w:vAlign w:val="center"/>
          </w:tcPr>
          <w:p w14:paraId="5D6A92C5" w14:textId="77777777" w:rsidR="006757F3" w:rsidRPr="005F2192" w:rsidRDefault="006757F3" w:rsidP="00B768F6">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ESG</w:t>
            </w:r>
          </w:p>
        </w:tc>
        <w:tc>
          <w:tcPr>
            <w:tcW w:w="3320" w:type="pct"/>
            <w:vAlign w:val="center"/>
          </w:tcPr>
          <w:p w14:paraId="5C8D794A" w14:textId="77777777" w:rsidR="006757F3" w:rsidRPr="005F2192" w:rsidRDefault="006757F3" w:rsidP="00B768F6">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A dummy variable that equals 1 if firm has environmental-social-governance (ESG) related compensation policy, and 0 otherwise</w:t>
            </w:r>
            <w:r>
              <w:rPr>
                <w:rFonts w:ascii="Times New Roman" w:hAnsi="Times New Roman" w:cs="Times New Roman"/>
                <w:sz w:val="20"/>
                <w:szCs w:val="20"/>
              </w:rPr>
              <w:t>.</w:t>
            </w:r>
          </w:p>
        </w:tc>
      </w:tr>
      <w:tr w:rsidR="006757F3" w:rsidRPr="005F2192" w14:paraId="1B33F59F" w14:textId="77777777" w:rsidTr="00B768F6">
        <w:trPr>
          <w:trHeight w:val="460"/>
        </w:trPr>
        <w:tc>
          <w:tcPr>
            <w:tcW w:w="5000" w:type="pct"/>
            <w:gridSpan w:val="3"/>
            <w:shd w:val="clear" w:color="auto" w:fill="auto"/>
            <w:noWrap/>
            <w:vAlign w:val="center"/>
          </w:tcPr>
          <w:p w14:paraId="6695C859" w14:textId="77777777" w:rsidR="006757F3" w:rsidRPr="00AD24BE" w:rsidRDefault="006757F3" w:rsidP="00B768F6">
            <w:pPr>
              <w:spacing w:after="0" w:line="240" w:lineRule="auto"/>
              <w:rPr>
                <w:rFonts w:ascii="Times New Roman" w:hAnsi="Times New Roman" w:cs="Times New Roman"/>
                <w:i/>
                <w:sz w:val="20"/>
                <w:szCs w:val="20"/>
                <w:u w:val="single"/>
              </w:rPr>
            </w:pPr>
            <w:r w:rsidRPr="00AD24BE">
              <w:rPr>
                <w:rFonts w:ascii="Times New Roman" w:hAnsi="Times New Roman" w:cs="Times New Roman"/>
                <w:i/>
                <w:sz w:val="20"/>
                <w:szCs w:val="20"/>
                <w:u w:val="single"/>
              </w:rPr>
              <w:t>Co</w:t>
            </w:r>
            <w:r>
              <w:rPr>
                <w:rFonts w:ascii="Times New Roman" w:hAnsi="Times New Roman" w:cs="Times New Roman"/>
                <w:i/>
                <w:sz w:val="20"/>
                <w:szCs w:val="20"/>
                <w:u w:val="single"/>
              </w:rPr>
              <w:t>rporate governance (control) v</w:t>
            </w:r>
            <w:r w:rsidRPr="00AD24BE">
              <w:rPr>
                <w:rFonts w:ascii="Times New Roman" w:hAnsi="Times New Roman" w:cs="Times New Roman"/>
                <w:i/>
                <w:sz w:val="20"/>
                <w:szCs w:val="20"/>
                <w:u w:val="single"/>
              </w:rPr>
              <w:t>ariables</w:t>
            </w:r>
            <w:r>
              <w:rPr>
                <w:rFonts w:ascii="Times New Roman" w:hAnsi="Times New Roman" w:cs="Times New Roman"/>
                <w:i/>
                <w:sz w:val="20"/>
                <w:szCs w:val="20"/>
                <w:u w:val="single"/>
              </w:rPr>
              <w:t>:</w:t>
            </w:r>
          </w:p>
        </w:tc>
      </w:tr>
      <w:tr w:rsidR="006757F3" w:rsidRPr="005F2192" w14:paraId="1A0C1EA3" w14:textId="77777777" w:rsidTr="00B768F6">
        <w:trPr>
          <w:trHeight w:val="460"/>
        </w:trPr>
        <w:tc>
          <w:tcPr>
            <w:tcW w:w="902" w:type="pct"/>
            <w:shd w:val="clear" w:color="auto" w:fill="auto"/>
            <w:noWrap/>
            <w:vAlign w:val="center"/>
          </w:tcPr>
          <w:p w14:paraId="33628ED5" w14:textId="77777777" w:rsidR="006757F3" w:rsidRPr="005F2192" w:rsidRDefault="006757F3" w:rsidP="00B768F6">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Board size</w:t>
            </w:r>
          </w:p>
        </w:tc>
        <w:tc>
          <w:tcPr>
            <w:tcW w:w="778" w:type="pct"/>
            <w:vAlign w:val="center"/>
          </w:tcPr>
          <w:p w14:paraId="670E5273" w14:textId="77777777" w:rsidR="006757F3" w:rsidRPr="005F2192" w:rsidRDefault="006757F3" w:rsidP="00B768F6">
            <w:pPr>
              <w:spacing w:after="0" w:line="240" w:lineRule="auto"/>
              <w:rPr>
                <w:rFonts w:ascii="Times New Roman" w:hAnsi="Times New Roman" w:cs="Times New Roman"/>
                <w:sz w:val="20"/>
                <w:szCs w:val="20"/>
              </w:rPr>
            </w:pPr>
            <w:proofErr w:type="spellStart"/>
            <w:r w:rsidRPr="005F2192">
              <w:rPr>
                <w:rFonts w:ascii="Times New Roman" w:hAnsi="Times New Roman" w:cs="Times New Roman"/>
                <w:sz w:val="20"/>
                <w:szCs w:val="20"/>
              </w:rPr>
              <w:t>B</w:t>
            </w:r>
            <w:r>
              <w:rPr>
                <w:rFonts w:ascii="Times New Roman" w:hAnsi="Times New Roman" w:cs="Times New Roman"/>
                <w:sz w:val="20"/>
                <w:szCs w:val="20"/>
              </w:rPr>
              <w:t>.</w:t>
            </w:r>
            <w:r w:rsidRPr="005F2192">
              <w:rPr>
                <w:rFonts w:ascii="Times New Roman" w:hAnsi="Times New Roman" w:cs="Times New Roman"/>
                <w:sz w:val="20"/>
                <w:szCs w:val="20"/>
              </w:rPr>
              <w:t>size</w:t>
            </w:r>
            <w:proofErr w:type="spellEnd"/>
          </w:p>
        </w:tc>
        <w:tc>
          <w:tcPr>
            <w:tcW w:w="3320" w:type="pct"/>
            <w:vAlign w:val="center"/>
          </w:tcPr>
          <w:p w14:paraId="2B7DF426" w14:textId="77777777" w:rsidR="006757F3" w:rsidRPr="005F2192" w:rsidRDefault="006757F3" w:rsidP="00B768F6">
            <w:pPr>
              <w:spacing w:after="0" w:line="240" w:lineRule="auto"/>
              <w:rPr>
                <w:rFonts w:ascii="Times New Roman" w:hAnsi="Times New Roman" w:cs="Times New Roman"/>
                <w:sz w:val="20"/>
                <w:szCs w:val="20"/>
              </w:rPr>
            </w:pPr>
            <w:r>
              <w:rPr>
                <w:rFonts w:ascii="Times New Roman" w:hAnsi="Times New Roman" w:cs="Times New Roman"/>
                <w:sz w:val="20"/>
                <w:szCs w:val="20"/>
              </w:rPr>
              <w:t>The n</w:t>
            </w:r>
            <w:r w:rsidRPr="005F2192">
              <w:rPr>
                <w:rFonts w:ascii="Times New Roman" w:hAnsi="Times New Roman" w:cs="Times New Roman"/>
                <w:sz w:val="20"/>
                <w:szCs w:val="20"/>
              </w:rPr>
              <w:t>atural log of the number of board members</w:t>
            </w:r>
            <w:r>
              <w:rPr>
                <w:rFonts w:ascii="Times New Roman" w:hAnsi="Times New Roman" w:cs="Times New Roman"/>
                <w:sz w:val="20"/>
                <w:szCs w:val="20"/>
              </w:rPr>
              <w:t>.</w:t>
            </w:r>
          </w:p>
        </w:tc>
      </w:tr>
      <w:tr w:rsidR="006757F3" w:rsidRPr="005F2192" w14:paraId="29F39EA5" w14:textId="77777777" w:rsidTr="00B768F6">
        <w:trPr>
          <w:trHeight w:val="460"/>
        </w:trPr>
        <w:tc>
          <w:tcPr>
            <w:tcW w:w="902" w:type="pct"/>
            <w:shd w:val="clear" w:color="auto" w:fill="auto"/>
            <w:noWrap/>
            <w:vAlign w:val="center"/>
          </w:tcPr>
          <w:p w14:paraId="5E001BF8" w14:textId="77777777" w:rsidR="006757F3" w:rsidRPr="005F2192" w:rsidRDefault="006757F3" w:rsidP="00B768F6">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Board independence</w:t>
            </w:r>
          </w:p>
        </w:tc>
        <w:tc>
          <w:tcPr>
            <w:tcW w:w="778" w:type="pct"/>
            <w:vAlign w:val="center"/>
          </w:tcPr>
          <w:p w14:paraId="453DE13E" w14:textId="77777777" w:rsidR="006757F3" w:rsidRPr="005F2192" w:rsidRDefault="006757F3" w:rsidP="00B768F6">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Ind</w:t>
            </w:r>
            <w:r>
              <w:rPr>
                <w:rFonts w:ascii="Times New Roman" w:hAnsi="Times New Roman" w:cs="Times New Roman"/>
                <w:sz w:val="20"/>
                <w:szCs w:val="20"/>
              </w:rPr>
              <w:t xml:space="preserve">ependence </w:t>
            </w:r>
          </w:p>
        </w:tc>
        <w:tc>
          <w:tcPr>
            <w:tcW w:w="3320" w:type="pct"/>
            <w:vAlign w:val="center"/>
          </w:tcPr>
          <w:p w14:paraId="71F6F3CB" w14:textId="77777777" w:rsidR="006757F3" w:rsidRDefault="006757F3" w:rsidP="00B768F6">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Percentage of independent directors on board</w:t>
            </w:r>
            <w:r>
              <w:rPr>
                <w:rFonts w:ascii="Times New Roman" w:hAnsi="Times New Roman" w:cs="Times New Roman"/>
                <w:sz w:val="20"/>
                <w:szCs w:val="20"/>
              </w:rPr>
              <w:t>.</w:t>
            </w:r>
          </w:p>
        </w:tc>
      </w:tr>
      <w:tr w:rsidR="006757F3" w:rsidRPr="005F2192" w14:paraId="08E54618" w14:textId="77777777" w:rsidTr="00B768F6">
        <w:trPr>
          <w:trHeight w:val="603"/>
        </w:trPr>
        <w:tc>
          <w:tcPr>
            <w:tcW w:w="902" w:type="pct"/>
            <w:shd w:val="clear" w:color="auto" w:fill="auto"/>
            <w:noWrap/>
            <w:vAlign w:val="center"/>
            <w:hideMark/>
          </w:tcPr>
          <w:p w14:paraId="0219E900" w14:textId="77777777" w:rsidR="006757F3" w:rsidRPr="005F2192" w:rsidRDefault="006757F3" w:rsidP="00B768F6">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CEO</w:t>
            </w:r>
            <w:r>
              <w:rPr>
                <w:rFonts w:ascii="Times New Roman" w:hAnsi="Times New Roman" w:cs="Times New Roman"/>
                <w:sz w:val="20"/>
                <w:szCs w:val="20"/>
              </w:rPr>
              <w:t>-Chair Separation</w:t>
            </w:r>
            <w:r w:rsidRPr="005F2192">
              <w:rPr>
                <w:rFonts w:ascii="Times New Roman" w:hAnsi="Times New Roman" w:cs="Times New Roman"/>
                <w:sz w:val="20"/>
                <w:szCs w:val="20"/>
              </w:rPr>
              <w:t xml:space="preserve"> </w:t>
            </w:r>
          </w:p>
        </w:tc>
        <w:tc>
          <w:tcPr>
            <w:tcW w:w="778" w:type="pct"/>
            <w:vAlign w:val="center"/>
          </w:tcPr>
          <w:p w14:paraId="370C5C4C" w14:textId="77777777" w:rsidR="006757F3" w:rsidRPr="005F2192" w:rsidRDefault="006757F3" w:rsidP="00B768F6">
            <w:pPr>
              <w:spacing w:after="0" w:line="240" w:lineRule="auto"/>
              <w:rPr>
                <w:rFonts w:ascii="Times New Roman" w:hAnsi="Times New Roman" w:cs="Times New Roman"/>
                <w:sz w:val="20"/>
                <w:szCs w:val="20"/>
              </w:rPr>
            </w:pPr>
            <w:r>
              <w:rPr>
                <w:rFonts w:ascii="Times New Roman" w:hAnsi="Times New Roman" w:cs="Times New Roman"/>
                <w:sz w:val="20"/>
                <w:szCs w:val="20"/>
              </w:rPr>
              <w:t>Separation</w:t>
            </w:r>
          </w:p>
        </w:tc>
        <w:tc>
          <w:tcPr>
            <w:tcW w:w="3320" w:type="pct"/>
            <w:vAlign w:val="center"/>
          </w:tcPr>
          <w:p w14:paraId="703DAB65" w14:textId="77777777" w:rsidR="006757F3" w:rsidRPr="005F2192" w:rsidRDefault="006757F3" w:rsidP="00B768F6">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 xml:space="preserve">A dummy variable that equals 1 if the CEO </w:t>
            </w:r>
            <w:r>
              <w:rPr>
                <w:rFonts w:ascii="Times New Roman" w:hAnsi="Times New Roman" w:cs="Times New Roman"/>
                <w:sz w:val="20"/>
                <w:szCs w:val="20"/>
              </w:rPr>
              <w:t xml:space="preserve">and the Chair are two different individuals, and </w:t>
            </w:r>
            <w:r w:rsidRPr="005F2192">
              <w:rPr>
                <w:rFonts w:ascii="Times New Roman" w:hAnsi="Times New Roman" w:cs="Times New Roman"/>
                <w:sz w:val="20"/>
                <w:szCs w:val="20"/>
              </w:rPr>
              <w:t>0 otherwise</w:t>
            </w:r>
            <w:r>
              <w:rPr>
                <w:rFonts w:ascii="Times New Roman" w:hAnsi="Times New Roman" w:cs="Times New Roman"/>
                <w:sz w:val="20"/>
                <w:szCs w:val="20"/>
              </w:rPr>
              <w:t>.</w:t>
            </w:r>
          </w:p>
        </w:tc>
      </w:tr>
      <w:tr w:rsidR="006757F3" w:rsidRPr="005F2192" w14:paraId="3E9DAA86" w14:textId="77777777" w:rsidTr="00B768F6">
        <w:trPr>
          <w:trHeight w:val="603"/>
        </w:trPr>
        <w:tc>
          <w:tcPr>
            <w:tcW w:w="902" w:type="pct"/>
            <w:shd w:val="clear" w:color="auto" w:fill="auto"/>
            <w:noWrap/>
            <w:vAlign w:val="center"/>
          </w:tcPr>
          <w:p w14:paraId="5EBEB8B2" w14:textId="77777777" w:rsidR="006757F3" w:rsidRPr="005F2192" w:rsidRDefault="006757F3" w:rsidP="00B768F6">
            <w:pPr>
              <w:spacing w:after="0" w:line="240" w:lineRule="auto"/>
              <w:rPr>
                <w:rFonts w:ascii="Times New Roman" w:hAnsi="Times New Roman" w:cs="Times New Roman"/>
                <w:sz w:val="20"/>
                <w:szCs w:val="20"/>
              </w:rPr>
            </w:pPr>
            <w:r>
              <w:rPr>
                <w:rFonts w:ascii="Times New Roman" w:hAnsi="Times New Roman" w:cs="Times New Roman"/>
                <w:sz w:val="20"/>
                <w:szCs w:val="20"/>
              </w:rPr>
              <w:t>CSR committee</w:t>
            </w:r>
          </w:p>
        </w:tc>
        <w:tc>
          <w:tcPr>
            <w:tcW w:w="778" w:type="pct"/>
            <w:vAlign w:val="center"/>
          </w:tcPr>
          <w:p w14:paraId="55C0646C" w14:textId="77777777" w:rsidR="006757F3" w:rsidRDefault="006757F3" w:rsidP="00B768F6">
            <w:pPr>
              <w:spacing w:after="0" w:line="240" w:lineRule="auto"/>
              <w:rPr>
                <w:rFonts w:ascii="Times New Roman" w:hAnsi="Times New Roman" w:cs="Times New Roman"/>
                <w:sz w:val="20"/>
                <w:szCs w:val="20"/>
              </w:rPr>
            </w:pPr>
            <w:r>
              <w:rPr>
                <w:rFonts w:ascii="Times New Roman" w:hAnsi="Times New Roman" w:cs="Times New Roman"/>
                <w:sz w:val="20"/>
                <w:szCs w:val="20"/>
              </w:rPr>
              <w:t>CSR</w:t>
            </w:r>
          </w:p>
        </w:tc>
        <w:tc>
          <w:tcPr>
            <w:tcW w:w="3320" w:type="pct"/>
            <w:vAlign w:val="center"/>
          </w:tcPr>
          <w:p w14:paraId="50D96251" w14:textId="77777777" w:rsidR="006757F3" w:rsidRPr="005F2192" w:rsidRDefault="006757F3" w:rsidP="00B768F6">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 xml:space="preserve">A dummy variable that equals 1 if the </w:t>
            </w:r>
            <w:r>
              <w:rPr>
                <w:rFonts w:ascii="Times New Roman" w:hAnsi="Times New Roman" w:cs="Times New Roman"/>
                <w:sz w:val="20"/>
                <w:szCs w:val="20"/>
              </w:rPr>
              <w:t xml:space="preserve">firm has a corporate social responsibility (CSR) committee of the board, and </w:t>
            </w:r>
            <w:r w:rsidRPr="005F2192">
              <w:rPr>
                <w:rFonts w:ascii="Times New Roman" w:hAnsi="Times New Roman" w:cs="Times New Roman"/>
                <w:sz w:val="20"/>
                <w:szCs w:val="20"/>
              </w:rPr>
              <w:t>0 otherwise</w:t>
            </w:r>
            <w:r>
              <w:rPr>
                <w:rFonts w:ascii="Times New Roman" w:hAnsi="Times New Roman" w:cs="Times New Roman"/>
                <w:sz w:val="20"/>
                <w:szCs w:val="20"/>
              </w:rPr>
              <w:t>.</w:t>
            </w:r>
          </w:p>
        </w:tc>
      </w:tr>
      <w:tr w:rsidR="006757F3" w:rsidRPr="005F2192" w14:paraId="5A16D40A" w14:textId="77777777" w:rsidTr="00B768F6">
        <w:trPr>
          <w:trHeight w:val="422"/>
        </w:trPr>
        <w:tc>
          <w:tcPr>
            <w:tcW w:w="5000" w:type="pct"/>
            <w:gridSpan w:val="3"/>
            <w:shd w:val="clear" w:color="auto" w:fill="auto"/>
            <w:noWrap/>
            <w:vAlign w:val="center"/>
            <w:hideMark/>
          </w:tcPr>
          <w:p w14:paraId="3CA9D32A" w14:textId="7A7F5C08" w:rsidR="006757F3" w:rsidRDefault="006757F3" w:rsidP="00B768F6">
            <w:pPr>
              <w:spacing w:after="0" w:line="240" w:lineRule="auto"/>
              <w:rPr>
                <w:rFonts w:ascii="Times New Roman" w:hAnsi="Times New Roman" w:cs="Times New Roman"/>
                <w:sz w:val="20"/>
                <w:szCs w:val="20"/>
              </w:rPr>
            </w:pPr>
            <w:r>
              <w:rPr>
                <w:rFonts w:ascii="Times New Roman" w:hAnsi="Times New Roman" w:cs="Times New Roman"/>
                <w:i/>
                <w:sz w:val="20"/>
                <w:szCs w:val="20"/>
                <w:u w:val="single"/>
              </w:rPr>
              <w:t>Financial control v</w:t>
            </w:r>
            <w:r w:rsidRPr="002B76A7">
              <w:rPr>
                <w:rFonts w:ascii="Times New Roman" w:hAnsi="Times New Roman" w:cs="Times New Roman"/>
                <w:i/>
                <w:sz w:val="20"/>
                <w:szCs w:val="20"/>
                <w:u w:val="single"/>
              </w:rPr>
              <w:t>ariables</w:t>
            </w:r>
            <w:r>
              <w:rPr>
                <w:rFonts w:ascii="Times New Roman" w:hAnsi="Times New Roman" w:cs="Times New Roman"/>
                <w:i/>
                <w:sz w:val="20"/>
                <w:szCs w:val="20"/>
                <w:u w:val="single"/>
              </w:rPr>
              <w:t>:</w:t>
            </w:r>
          </w:p>
        </w:tc>
      </w:tr>
      <w:tr w:rsidR="006757F3" w:rsidRPr="005F2192" w14:paraId="7F482B38" w14:textId="77777777" w:rsidTr="00B768F6">
        <w:trPr>
          <w:trHeight w:val="432"/>
        </w:trPr>
        <w:tc>
          <w:tcPr>
            <w:tcW w:w="902" w:type="pct"/>
            <w:shd w:val="clear" w:color="auto" w:fill="auto"/>
            <w:noWrap/>
            <w:vAlign w:val="center"/>
            <w:hideMark/>
          </w:tcPr>
          <w:p w14:paraId="38D15F0C" w14:textId="77777777" w:rsidR="006757F3" w:rsidRPr="005F2192" w:rsidRDefault="006757F3" w:rsidP="00B768F6">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Firm size</w:t>
            </w:r>
          </w:p>
        </w:tc>
        <w:tc>
          <w:tcPr>
            <w:tcW w:w="778" w:type="pct"/>
            <w:vAlign w:val="center"/>
          </w:tcPr>
          <w:p w14:paraId="533819EA" w14:textId="77777777" w:rsidR="006757F3" w:rsidRPr="005F2192" w:rsidRDefault="006757F3" w:rsidP="00B768F6">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Size</w:t>
            </w:r>
          </w:p>
        </w:tc>
        <w:tc>
          <w:tcPr>
            <w:tcW w:w="3320" w:type="pct"/>
            <w:vAlign w:val="center"/>
          </w:tcPr>
          <w:p w14:paraId="2A46F595" w14:textId="77777777" w:rsidR="006757F3" w:rsidRPr="005F2192" w:rsidRDefault="006757F3" w:rsidP="00B768F6">
            <w:pPr>
              <w:spacing w:after="0" w:line="240" w:lineRule="auto"/>
              <w:rPr>
                <w:rFonts w:ascii="Times New Roman" w:hAnsi="Times New Roman" w:cs="Times New Roman"/>
                <w:sz w:val="20"/>
                <w:szCs w:val="20"/>
              </w:rPr>
            </w:pPr>
            <w:r>
              <w:rPr>
                <w:rFonts w:ascii="Times New Roman" w:hAnsi="Times New Roman" w:cs="Times New Roman"/>
                <w:sz w:val="20"/>
                <w:szCs w:val="20"/>
              </w:rPr>
              <w:t>The n</w:t>
            </w:r>
            <w:r w:rsidRPr="005F2192">
              <w:rPr>
                <w:rFonts w:ascii="Times New Roman" w:hAnsi="Times New Roman" w:cs="Times New Roman"/>
                <w:sz w:val="20"/>
                <w:szCs w:val="20"/>
              </w:rPr>
              <w:t>atural log of total assets of a firm</w:t>
            </w:r>
            <w:r>
              <w:rPr>
                <w:rFonts w:ascii="Times New Roman" w:hAnsi="Times New Roman" w:cs="Times New Roman"/>
                <w:sz w:val="20"/>
                <w:szCs w:val="20"/>
              </w:rPr>
              <w:t>.</w:t>
            </w:r>
          </w:p>
        </w:tc>
      </w:tr>
      <w:tr w:rsidR="006757F3" w:rsidRPr="005F2192" w14:paraId="64BE5EB7" w14:textId="77777777" w:rsidTr="00B768F6">
        <w:trPr>
          <w:trHeight w:val="432"/>
        </w:trPr>
        <w:tc>
          <w:tcPr>
            <w:tcW w:w="902" w:type="pct"/>
            <w:shd w:val="clear" w:color="auto" w:fill="auto"/>
            <w:noWrap/>
            <w:vAlign w:val="center"/>
            <w:hideMark/>
          </w:tcPr>
          <w:p w14:paraId="0EAEF83C" w14:textId="77777777" w:rsidR="006757F3" w:rsidRPr="005F2192" w:rsidRDefault="006757F3" w:rsidP="00B768F6">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Profitability</w:t>
            </w:r>
          </w:p>
        </w:tc>
        <w:tc>
          <w:tcPr>
            <w:tcW w:w="778" w:type="pct"/>
            <w:vAlign w:val="center"/>
          </w:tcPr>
          <w:p w14:paraId="6975D70F" w14:textId="77777777" w:rsidR="006757F3" w:rsidRPr="005F2192" w:rsidRDefault="006757F3" w:rsidP="00B768F6">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Profitability</w:t>
            </w:r>
          </w:p>
        </w:tc>
        <w:tc>
          <w:tcPr>
            <w:tcW w:w="3320" w:type="pct"/>
            <w:vAlign w:val="center"/>
          </w:tcPr>
          <w:p w14:paraId="68C83C4E" w14:textId="77777777" w:rsidR="006757F3" w:rsidRPr="005F2192" w:rsidRDefault="006757F3" w:rsidP="00B768F6">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 xml:space="preserve">Return on </w:t>
            </w:r>
            <w:r>
              <w:rPr>
                <w:rFonts w:ascii="Times New Roman" w:hAnsi="Times New Roman" w:cs="Times New Roman"/>
                <w:sz w:val="20"/>
                <w:szCs w:val="20"/>
              </w:rPr>
              <w:t>a</w:t>
            </w:r>
            <w:r w:rsidRPr="005F2192">
              <w:rPr>
                <w:rFonts w:ascii="Times New Roman" w:hAnsi="Times New Roman" w:cs="Times New Roman"/>
                <w:sz w:val="20"/>
                <w:szCs w:val="20"/>
              </w:rPr>
              <w:t>ssets</w:t>
            </w:r>
            <w:r>
              <w:rPr>
                <w:rFonts w:ascii="Times New Roman" w:hAnsi="Times New Roman" w:cs="Times New Roman"/>
                <w:sz w:val="20"/>
                <w:szCs w:val="20"/>
              </w:rPr>
              <w:t>.</w:t>
            </w:r>
            <w:r w:rsidRPr="005F2192">
              <w:rPr>
                <w:rFonts w:ascii="Times New Roman" w:hAnsi="Times New Roman" w:cs="Times New Roman"/>
                <w:sz w:val="20"/>
                <w:szCs w:val="20"/>
              </w:rPr>
              <w:t xml:space="preserve"> </w:t>
            </w:r>
          </w:p>
        </w:tc>
      </w:tr>
      <w:tr w:rsidR="006757F3" w:rsidRPr="005F2192" w14:paraId="7C278C5E" w14:textId="77777777" w:rsidTr="00B768F6">
        <w:trPr>
          <w:trHeight w:val="432"/>
        </w:trPr>
        <w:tc>
          <w:tcPr>
            <w:tcW w:w="902" w:type="pct"/>
            <w:shd w:val="clear" w:color="auto" w:fill="auto"/>
            <w:noWrap/>
            <w:vAlign w:val="center"/>
            <w:hideMark/>
          </w:tcPr>
          <w:p w14:paraId="76447F46" w14:textId="77777777" w:rsidR="006757F3" w:rsidRPr="005F2192" w:rsidRDefault="006757F3" w:rsidP="00B768F6">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Leverage</w:t>
            </w:r>
          </w:p>
        </w:tc>
        <w:tc>
          <w:tcPr>
            <w:tcW w:w="778" w:type="pct"/>
            <w:vAlign w:val="center"/>
          </w:tcPr>
          <w:p w14:paraId="3CD396BE" w14:textId="77777777" w:rsidR="006757F3" w:rsidRPr="005F2192" w:rsidRDefault="006757F3" w:rsidP="00B768F6">
            <w:pPr>
              <w:spacing w:after="0" w:line="240" w:lineRule="auto"/>
              <w:rPr>
                <w:rFonts w:ascii="Times New Roman" w:hAnsi="Times New Roman" w:cs="Times New Roman"/>
                <w:sz w:val="20"/>
                <w:szCs w:val="20"/>
              </w:rPr>
            </w:pPr>
            <w:r>
              <w:rPr>
                <w:rFonts w:ascii="Times New Roman" w:hAnsi="Times New Roman" w:cs="Times New Roman"/>
                <w:sz w:val="20"/>
                <w:szCs w:val="20"/>
              </w:rPr>
              <w:t>Debt</w:t>
            </w:r>
          </w:p>
        </w:tc>
        <w:tc>
          <w:tcPr>
            <w:tcW w:w="3320" w:type="pct"/>
            <w:vAlign w:val="center"/>
          </w:tcPr>
          <w:p w14:paraId="1C4AC9AC" w14:textId="77777777" w:rsidR="006757F3" w:rsidRPr="005F2192" w:rsidRDefault="006757F3" w:rsidP="00B768F6">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The ratio of total debt to total assets</w:t>
            </w:r>
            <w:r>
              <w:rPr>
                <w:rFonts w:ascii="Times New Roman" w:hAnsi="Times New Roman" w:cs="Times New Roman"/>
                <w:sz w:val="20"/>
                <w:szCs w:val="20"/>
              </w:rPr>
              <w:t>.</w:t>
            </w:r>
            <w:r w:rsidRPr="005F2192">
              <w:rPr>
                <w:rFonts w:ascii="Times New Roman" w:hAnsi="Times New Roman" w:cs="Times New Roman"/>
                <w:sz w:val="20"/>
                <w:szCs w:val="20"/>
              </w:rPr>
              <w:t xml:space="preserve"> </w:t>
            </w:r>
          </w:p>
        </w:tc>
      </w:tr>
      <w:tr w:rsidR="006757F3" w:rsidRPr="005F2192" w14:paraId="5B24F079" w14:textId="77777777" w:rsidTr="00B768F6">
        <w:trPr>
          <w:trHeight w:val="432"/>
        </w:trPr>
        <w:tc>
          <w:tcPr>
            <w:tcW w:w="902" w:type="pct"/>
            <w:shd w:val="clear" w:color="auto" w:fill="auto"/>
            <w:noWrap/>
            <w:vAlign w:val="center"/>
          </w:tcPr>
          <w:p w14:paraId="1440FDE5" w14:textId="77777777" w:rsidR="006757F3" w:rsidRPr="001133F2"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1133F2">
              <w:rPr>
                <w:rFonts w:ascii="Times New Roman" w:hAnsi="Times New Roman" w:cs="Times New Roman"/>
                <w:sz w:val="20"/>
                <w:szCs w:val="20"/>
              </w:rPr>
              <w:t>Slack</w:t>
            </w:r>
          </w:p>
        </w:tc>
        <w:tc>
          <w:tcPr>
            <w:tcW w:w="778" w:type="pct"/>
            <w:vAlign w:val="center"/>
          </w:tcPr>
          <w:p w14:paraId="1C58E487" w14:textId="77777777" w:rsidR="006757F3" w:rsidRPr="001133F2" w:rsidRDefault="006757F3" w:rsidP="00B768F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Cash </w:t>
            </w:r>
          </w:p>
        </w:tc>
        <w:tc>
          <w:tcPr>
            <w:tcW w:w="3320" w:type="pct"/>
            <w:vAlign w:val="center"/>
          </w:tcPr>
          <w:p w14:paraId="1943DA93" w14:textId="77777777" w:rsidR="006757F3" w:rsidRPr="001133F2"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1133F2">
              <w:rPr>
                <w:rFonts w:ascii="Times New Roman" w:hAnsi="Times New Roman" w:cs="Times New Roman"/>
                <w:sz w:val="20"/>
                <w:szCs w:val="20"/>
              </w:rPr>
              <w:t>The ratio of cash and equivalents to total assets</w:t>
            </w:r>
            <w:r>
              <w:rPr>
                <w:rFonts w:ascii="Times New Roman" w:hAnsi="Times New Roman" w:cs="Times New Roman"/>
                <w:sz w:val="20"/>
                <w:szCs w:val="20"/>
              </w:rPr>
              <w:t>.</w:t>
            </w:r>
          </w:p>
        </w:tc>
      </w:tr>
      <w:tr w:rsidR="006757F3" w:rsidRPr="005F2192" w14:paraId="47909B1A" w14:textId="77777777" w:rsidTr="00B768F6">
        <w:trPr>
          <w:trHeight w:val="432"/>
        </w:trPr>
        <w:tc>
          <w:tcPr>
            <w:tcW w:w="902" w:type="pct"/>
            <w:shd w:val="clear" w:color="auto" w:fill="auto"/>
            <w:noWrap/>
            <w:vAlign w:val="center"/>
          </w:tcPr>
          <w:p w14:paraId="332A3F34" w14:textId="77777777" w:rsidR="006757F3" w:rsidRPr="001133F2"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1133F2">
              <w:rPr>
                <w:rFonts w:ascii="Times New Roman" w:hAnsi="Times New Roman" w:cs="Times New Roman"/>
                <w:sz w:val="20"/>
                <w:szCs w:val="20"/>
              </w:rPr>
              <w:t>Capital intensity</w:t>
            </w:r>
          </w:p>
        </w:tc>
        <w:tc>
          <w:tcPr>
            <w:tcW w:w="778" w:type="pct"/>
            <w:vAlign w:val="center"/>
          </w:tcPr>
          <w:p w14:paraId="76C78148" w14:textId="77777777" w:rsidR="006757F3" w:rsidRPr="001133F2" w:rsidRDefault="006757F3" w:rsidP="00B768F6">
            <w:pPr>
              <w:widowControl w:val="0"/>
              <w:autoSpaceDE w:val="0"/>
              <w:autoSpaceDN w:val="0"/>
              <w:adjustRightInd w:val="0"/>
              <w:spacing w:after="0" w:line="240" w:lineRule="auto"/>
              <w:rPr>
                <w:rFonts w:ascii="Times New Roman" w:hAnsi="Times New Roman" w:cs="Times New Roman"/>
                <w:sz w:val="20"/>
                <w:szCs w:val="20"/>
              </w:rPr>
            </w:pPr>
            <w:proofErr w:type="spellStart"/>
            <w:r w:rsidRPr="001133F2">
              <w:rPr>
                <w:rFonts w:ascii="Times New Roman" w:hAnsi="Times New Roman" w:cs="Times New Roman"/>
                <w:sz w:val="20"/>
                <w:szCs w:val="20"/>
              </w:rPr>
              <w:t>Cap</w:t>
            </w:r>
            <w:r>
              <w:rPr>
                <w:rFonts w:ascii="Times New Roman" w:hAnsi="Times New Roman" w:cs="Times New Roman"/>
                <w:sz w:val="20"/>
                <w:szCs w:val="20"/>
              </w:rPr>
              <w:t>_</w:t>
            </w:r>
            <w:r w:rsidRPr="001133F2">
              <w:rPr>
                <w:rFonts w:ascii="Times New Roman" w:hAnsi="Times New Roman" w:cs="Times New Roman"/>
                <w:sz w:val="20"/>
                <w:szCs w:val="20"/>
              </w:rPr>
              <w:t>intensity</w:t>
            </w:r>
            <w:proofErr w:type="spellEnd"/>
          </w:p>
        </w:tc>
        <w:tc>
          <w:tcPr>
            <w:tcW w:w="3320" w:type="pct"/>
            <w:vAlign w:val="center"/>
          </w:tcPr>
          <w:p w14:paraId="5EB7ADBA" w14:textId="77777777" w:rsidR="006757F3" w:rsidRPr="001133F2"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1133F2">
              <w:rPr>
                <w:rFonts w:ascii="Times New Roman" w:hAnsi="Times New Roman" w:cs="Times New Roman"/>
                <w:sz w:val="20"/>
                <w:szCs w:val="20"/>
              </w:rPr>
              <w:t>The ratio of property, plant and equipment to total assets</w:t>
            </w:r>
            <w:r>
              <w:rPr>
                <w:rFonts w:ascii="Times New Roman" w:hAnsi="Times New Roman" w:cs="Times New Roman"/>
                <w:sz w:val="20"/>
                <w:szCs w:val="20"/>
              </w:rPr>
              <w:t>.</w:t>
            </w:r>
            <w:r w:rsidRPr="001133F2">
              <w:rPr>
                <w:rFonts w:ascii="Times New Roman" w:hAnsi="Times New Roman" w:cs="Times New Roman"/>
                <w:sz w:val="20"/>
                <w:szCs w:val="20"/>
              </w:rPr>
              <w:t xml:space="preserve"> </w:t>
            </w:r>
          </w:p>
        </w:tc>
      </w:tr>
      <w:tr w:rsidR="006757F3" w:rsidRPr="005F2192" w14:paraId="12C5AC3A" w14:textId="77777777" w:rsidTr="00B768F6">
        <w:trPr>
          <w:trHeight w:val="432"/>
        </w:trPr>
        <w:tc>
          <w:tcPr>
            <w:tcW w:w="902" w:type="pct"/>
            <w:shd w:val="clear" w:color="auto" w:fill="auto"/>
            <w:noWrap/>
            <w:vAlign w:val="center"/>
          </w:tcPr>
          <w:p w14:paraId="119B08D1" w14:textId="77777777" w:rsidR="006757F3" w:rsidRPr="001133F2"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1133F2">
              <w:rPr>
                <w:rFonts w:ascii="Times New Roman" w:hAnsi="Times New Roman" w:cs="Times New Roman"/>
                <w:sz w:val="20"/>
                <w:szCs w:val="20"/>
              </w:rPr>
              <w:t>Capital expenditure</w:t>
            </w:r>
          </w:p>
        </w:tc>
        <w:tc>
          <w:tcPr>
            <w:tcW w:w="778" w:type="pct"/>
            <w:vAlign w:val="center"/>
          </w:tcPr>
          <w:p w14:paraId="03AE01A3" w14:textId="77777777" w:rsidR="006757F3" w:rsidRPr="001133F2"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1133F2">
              <w:rPr>
                <w:rFonts w:ascii="Times New Roman" w:hAnsi="Times New Roman" w:cs="Times New Roman"/>
                <w:sz w:val="20"/>
                <w:szCs w:val="20"/>
              </w:rPr>
              <w:t>Capex</w:t>
            </w:r>
            <w:r>
              <w:rPr>
                <w:rFonts w:ascii="Times New Roman" w:hAnsi="Times New Roman" w:cs="Times New Roman"/>
                <w:sz w:val="20"/>
                <w:szCs w:val="20"/>
              </w:rPr>
              <w:t>2Sales</w:t>
            </w:r>
          </w:p>
        </w:tc>
        <w:tc>
          <w:tcPr>
            <w:tcW w:w="3320" w:type="pct"/>
            <w:vAlign w:val="center"/>
          </w:tcPr>
          <w:p w14:paraId="4581772C" w14:textId="77777777" w:rsidR="006757F3" w:rsidRPr="001133F2"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1133F2">
              <w:rPr>
                <w:rFonts w:ascii="Times New Roman" w:hAnsi="Times New Roman" w:cs="Times New Roman"/>
                <w:sz w:val="20"/>
                <w:szCs w:val="20"/>
              </w:rPr>
              <w:t>The ratio of capital expenditure to sales</w:t>
            </w:r>
            <w:r>
              <w:rPr>
                <w:rFonts w:ascii="Times New Roman" w:hAnsi="Times New Roman" w:cs="Times New Roman"/>
                <w:sz w:val="20"/>
                <w:szCs w:val="20"/>
              </w:rPr>
              <w:t>.</w:t>
            </w:r>
          </w:p>
        </w:tc>
      </w:tr>
      <w:tr w:rsidR="006757F3" w:rsidRPr="005F2192" w14:paraId="307FD118" w14:textId="77777777" w:rsidTr="00B768F6">
        <w:trPr>
          <w:trHeight w:val="432"/>
        </w:trPr>
        <w:tc>
          <w:tcPr>
            <w:tcW w:w="902" w:type="pct"/>
            <w:tcBorders>
              <w:bottom w:val="single" w:sz="4" w:space="0" w:color="auto"/>
            </w:tcBorders>
            <w:shd w:val="clear" w:color="auto" w:fill="auto"/>
            <w:noWrap/>
            <w:vAlign w:val="center"/>
          </w:tcPr>
          <w:p w14:paraId="446CED5C" w14:textId="77777777" w:rsidR="006757F3" w:rsidRDefault="006757F3" w:rsidP="00B768F6">
            <w:pPr>
              <w:widowControl w:val="0"/>
              <w:autoSpaceDE w:val="0"/>
              <w:autoSpaceDN w:val="0"/>
              <w:adjustRightInd w:val="0"/>
              <w:spacing w:after="0" w:line="240" w:lineRule="auto"/>
              <w:rPr>
                <w:rFonts w:ascii="Times New Roman" w:hAnsi="Times New Roman" w:cs="Times New Roman"/>
                <w:sz w:val="20"/>
                <w:szCs w:val="20"/>
              </w:rPr>
            </w:pPr>
          </w:p>
          <w:p w14:paraId="21DAB66B" w14:textId="77777777" w:rsidR="006757F3" w:rsidRPr="001133F2"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1133F2">
              <w:rPr>
                <w:rFonts w:ascii="Times New Roman" w:hAnsi="Times New Roman" w:cs="Times New Roman"/>
                <w:sz w:val="20"/>
                <w:szCs w:val="20"/>
              </w:rPr>
              <w:t>Market</w:t>
            </w:r>
            <w:r>
              <w:rPr>
                <w:rFonts w:ascii="Times New Roman" w:hAnsi="Times New Roman" w:cs="Times New Roman"/>
                <w:sz w:val="20"/>
                <w:szCs w:val="20"/>
              </w:rPr>
              <w:t xml:space="preserve"> to Book </w:t>
            </w:r>
            <w:r>
              <w:rPr>
                <w:rFonts w:ascii="Times New Roman" w:hAnsi="Times New Roman" w:cs="Times New Roman"/>
                <w:sz w:val="20"/>
                <w:szCs w:val="20"/>
              </w:rPr>
              <w:lastRenderedPageBreak/>
              <w:t>value</w:t>
            </w:r>
          </w:p>
        </w:tc>
        <w:tc>
          <w:tcPr>
            <w:tcW w:w="778" w:type="pct"/>
            <w:tcBorders>
              <w:bottom w:val="single" w:sz="4" w:space="0" w:color="auto"/>
            </w:tcBorders>
            <w:vAlign w:val="center"/>
          </w:tcPr>
          <w:p w14:paraId="5E94F219" w14:textId="77777777" w:rsidR="006757F3" w:rsidRPr="001133F2"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1133F2">
              <w:rPr>
                <w:rFonts w:ascii="Times New Roman" w:hAnsi="Times New Roman" w:cs="Times New Roman"/>
                <w:sz w:val="20"/>
                <w:szCs w:val="20"/>
              </w:rPr>
              <w:lastRenderedPageBreak/>
              <w:t>M</w:t>
            </w:r>
            <w:r>
              <w:rPr>
                <w:rFonts w:ascii="Times New Roman" w:hAnsi="Times New Roman" w:cs="Times New Roman"/>
                <w:sz w:val="20"/>
                <w:szCs w:val="20"/>
              </w:rPr>
              <w:t>arket2Book</w:t>
            </w:r>
          </w:p>
        </w:tc>
        <w:tc>
          <w:tcPr>
            <w:tcW w:w="3320" w:type="pct"/>
            <w:tcBorders>
              <w:bottom w:val="single" w:sz="4" w:space="0" w:color="auto"/>
            </w:tcBorders>
            <w:vAlign w:val="center"/>
          </w:tcPr>
          <w:p w14:paraId="13189103" w14:textId="77777777" w:rsidR="006757F3" w:rsidRDefault="006757F3" w:rsidP="00B768F6">
            <w:pPr>
              <w:spacing w:after="0" w:line="240" w:lineRule="auto"/>
              <w:jc w:val="both"/>
              <w:rPr>
                <w:rFonts w:ascii="Times New Roman" w:hAnsi="Times New Roman" w:cs="Times New Roman"/>
                <w:sz w:val="20"/>
                <w:szCs w:val="20"/>
              </w:rPr>
            </w:pPr>
            <w:r w:rsidRPr="001133F2">
              <w:rPr>
                <w:rFonts w:ascii="Times New Roman" w:hAnsi="Times New Roman" w:cs="Times New Roman"/>
                <w:sz w:val="20"/>
                <w:szCs w:val="20"/>
              </w:rPr>
              <w:t>The ratio of market to book value of equity</w:t>
            </w:r>
            <w:r>
              <w:rPr>
                <w:rFonts w:ascii="Times New Roman" w:hAnsi="Times New Roman" w:cs="Times New Roman"/>
                <w:sz w:val="20"/>
                <w:szCs w:val="20"/>
              </w:rPr>
              <w:t>.</w:t>
            </w:r>
          </w:p>
        </w:tc>
      </w:tr>
    </w:tbl>
    <w:p w14:paraId="3285579E" w14:textId="77777777" w:rsidR="006757F3" w:rsidRDefault="006757F3" w:rsidP="006757F3">
      <w:pPr>
        <w:spacing w:after="0" w:line="480" w:lineRule="auto"/>
        <w:ind w:firstLine="720"/>
        <w:jc w:val="both"/>
        <w:rPr>
          <w:rFonts w:ascii="Times New Roman" w:hAnsi="Times New Roman" w:cs="Times New Roman"/>
          <w:color w:val="000000" w:themeColor="text1"/>
        </w:rPr>
      </w:pPr>
    </w:p>
    <w:p w14:paraId="47CEC349" w14:textId="77777777" w:rsidR="006757F3" w:rsidRDefault="006757F3" w:rsidP="006757F3">
      <w:pPr>
        <w:spacing w:after="0" w:line="240" w:lineRule="auto"/>
        <w:rPr>
          <w:rFonts w:ascii="Times New Roman" w:hAnsi="Times New Roman" w:cs="Times New Roman"/>
          <w:i/>
        </w:rPr>
      </w:pPr>
    </w:p>
    <w:p w14:paraId="59E36A85" w14:textId="6A833D2C" w:rsidR="006757F3" w:rsidRDefault="006757F3" w:rsidP="006757F3">
      <w:pPr>
        <w:spacing w:after="0" w:line="240" w:lineRule="auto"/>
        <w:rPr>
          <w:rFonts w:ascii="Times New Roman" w:hAnsi="Times New Roman" w:cs="Times New Roman"/>
          <w:i/>
        </w:rPr>
      </w:pPr>
      <w:r w:rsidRPr="00A55D8E">
        <w:rPr>
          <w:rFonts w:ascii="Times New Roman" w:hAnsi="Times New Roman" w:cs="Times New Roman"/>
          <w:i/>
        </w:rPr>
        <w:t xml:space="preserve">Table 3. Descriptive statistics </w:t>
      </w:r>
    </w:p>
    <w:tbl>
      <w:tblPr>
        <w:tblW w:w="5000" w:type="pct"/>
        <w:tblCellMar>
          <w:top w:w="15" w:type="dxa"/>
          <w:bottom w:w="15" w:type="dxa"/>
        </w:tblCellMar>
        <w:tblLook w:val="04A0" w:firstRow="1" w:lastRow="0" w:firstColumn="1" w:lastColumn="0" w:noHBand="0" w:noVBand="1"/>
      </w:tblPr>
      <w:tblGrid>
        <w:gridCol w:w="2329"/>
        <w:gridCol w:w="1033"/>
        <w:gridCol w:w="1316"/>
        <w:gridCol w:w="1690"/>
        <w:gridCol w:w="1455"/>
        <w:gridCol w:w="1537"/>
      </w:tblGrid>
      <w:tr w:rsidR="006757F3" w:rsidRPr="00904FC2" w14:paraId="420A6B50" w14:textId="77777777" w:rsidTr="00B768F6">
        <w:trPr>
          <w:trHeight w:val="360"/>
        </w:trPr>
        <w:tc>
          <w:tcPr>
            <w:tcW w:w="1244" w:type="pct"/>
            <w:tcBorders>
              <w:top w:val="single" w:sz="4" w:space="0" w:color="auto"/>
              <w:left w:val="nil"/>
              <w:bottom w:val="single" w:sz="4" w:space="0" w:color="auto"/>
              <w:right w:val="nil"/>
            </w:tcBorders>
            <w:vAlign w:val="center"/>
          </w:tcPr>
          <w:p w14:paraId="66EB1F1E" w14:textId="77777777" w:rsidR="006757F3" w:rsidRPr="00A04B4D" w:rsidRDefault="006757F3" w:rsidP="00B768F6">
            <w:pPr>
              <w:spacing w:after="0" w:line="240" w:lineRule="auto"/>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Variables</w:t>
            </w:r>
          </w:p>
        </w:tc>
        <w:tc>
          <w:tcPr>
            <w:tcW w:w="552" w:type="pct"/>
            <w:tcBorders>
              <w:top w:val="single" w:sz="4" w:space="0" w:color="auto"/>
              <w:left w:val="nil"/>
              <w:bottom w:val="single" w:sz="4" w:space="0" w:color="auto"/>
              <w:right w:val="nil"/>
            </w:tcBorders>
            <w:noWrap/>
            <w:vAlign w:val="center"/>
            <w:hideMark/>
          </w:tcPr>
          <w:p w14:paraId="6515B117"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proofErr w:type="spellStart"/>
            <w:r w:rsidRPr="00A04B4D">
              <w:rPr>
                <w:rFonts w:ascii="Times New Roman" w:eastAsia="Times New Roman" w:hAnsi="Times New Roman" w:cs="Times New Roman"/>
                <w:color w:val="000000"/>
                <w:lang w:val="en-US"/>
              </w:rPr>
              <w:t>Obs</w:t>
            </w:r>
            <w:proofErr w:type="spellEnd"/>
          </w:p>
        </w:tc>
        <w:tc>
          <w:tcPr>
            <w:tcW w:w="703" w:type="pct"/>
            <w:tcBorders>
              <w:top w:val="single" w:sz="4" w:space="0" w:color="auto"/>
              <w:left w:val="nil"/>
              <w:bottom w:val="single" w:sz="4" w:space="0" w:color="auto"/>
              <w:right w:val="nil"/>
            </w:tcBorders>
            <w:noWrap/>
            <w:vAlign w:val="center"/>
            <w:hideMark/>
          </w:tcPr>
          <w:p w14:paraId="0C37AE7A"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Mean</w:t>
            </w:r>
          </w:p>
        </w:tc>
        <w:tc>
          <w:tcPr>
            <w:tcW w:w="903" w:type="pct"/>
            <w:tcBorders>
              <w:top w:val="single" w:sz="4" w:space="0" w:color="auto"/>
              <w:left w:val="nil"/>
              <w:bottom w:val="single" w:sz="4" w:space="0" w:color="auto"/>
              <w:right w:val="nil"/>
            </w:tcBorders>
            <w:noWrap/>
            <w:vAlign w:val="center"/>
            <w:hideMark/>
          </w:tcPr>
          <w:p w14:paraId="4F2D401B"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Std. Dev.</w:t>
            </w:r>
          </w:p>
        </w:tc>
        <w:tc>
          <w:tcPr>
            <w:tcW w:w="777" w:type="pct"/>
            <w:tcBorders>
              <w:top w:val="single" w:sz="4" w:space="0" w:color="auto"/>
              <w:left w:val="nil"/>
              <w:bottom w:val="single" w:sz="4" w:space="0" w:color="auto"/>
              <w:right w:val="nil"/>
            </w:tcBorders>
            <w:noWrap/>
            <w:vAlign w:val="center"/>
            <w:hideMark/>
          </w:tcPr>
          <w:p w14:paraId="16013815"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Min</w:t>
            </w:r>
          </w:p>
        </w:tc>
        <w:tc>
          <w:tcPr>
            <w:tcW w:w="821" w:type="pct"/>
            <w:tcBorders>
              <w:top w:val="single" w:sz="4" w:space="0" w:color="auto"/>
              <w:left w:val="nil"/>
              <w:bottom w:val="single" w:sz="4" w:space="0" w:color="auto"/>
              <w:right w:val="nil"/>
            </w:tcBorders>
            <w:noWrap/>
            <w:vAlign w:val="center"/>
            <w:hideMark/>
          </w:tcPr>
          <w:p w14:paraId="47D1432A"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Max</w:t>
            </w:r>
          </w:p>
        </w:tc>
      </w:tr>
      <w:tr w:rsidR="006757F3" w:rsidRPr="00904FC2" w14:paraId="03B8CA00" w14:textId="77777777" w:rsidTr="00B768F6">
        <w:trPr>
          <w:trHeight w:val="360"/>
        </w:trPr>
        <w:tc>
          <w:tcPr>
            <w:tcW w:w="5000" w:type="pct"/>
            <w:gridSpan w:val="6"/>
            <w:tcBorders>
              <w:top w:val="single" w:sz="4" w:space="0" w:color="auto"/>
              <w:left w:val="nil"/>
              <w:right w:val="nil"/>
            </w:tcBorders>
            <w:vAlign w:val="center"/>
          </w:tcPr>
          <w:p w14:paraId="24C3B9BA" w14:textId="77777777" w:rsidR="006757F3" w:rsidRPr="00667A03" w:rsidRDefault="006757F3" w:rsidP="00B768F6">
            <w:pPr>
              <w:spacing w:after="0" w:line="240" w:lineRule="auto"/>
              <w:rPr>
                <w:rFonts w:ascii="Times New Roman" w:eastAsia="Times New Roman" w:hAnsi="Times New Roman" w:cs="Times New Roman"/>
                <w:color w:val="000000"/>
                <w:lang w:val="en-US"/>
              </w:rPr>
            </w:pPr>
            <w:r w:rsidRPr="00992B83">
              <w:rPr>
                <w:rFonts w:ascii="Times New Roman" w:hAnsi="Times New Roman" w:cs="Times New Roman"/>
                <w:i/>
                <w:u w:val="single"/>
              </w:rPr>
              <w:t>Substantive constructs/measures</w:t>
            </w:r>
            <w:r>
              <w:rPr>
                <w:rFonts w:ascii="Times New Roman" w:hAnsi="Times New Roman" w:cs="Times New Roman"/>
                <w:i/>
                <w:u w:val="single"/>
              </w:rPr>
              <w:t>:</w:t>
            </w:r>
          </w:p>
        </w:tc>
      </w:tr>
      <w:tr w:rsidR="006757F3" w:rsidRPr="00904FC2" w14:paraId="3F6BDA64" w14:textId="77777777" w:rsidTr="00B768F6">
        <w:trPr>
          <w:trHeight w:val="360"/>
        </w:trPr>
        <w:tc>
          <w:tcPr>
            <w:tcW w:w="1244" w:type="pct"/>
            <w:tcBorders>
              <w:left w:val="nil"/>
              <w:right w:val="nil"/>
            </w:tcBorders>
            <w:vAlign w:val="center"/>
          </w:tcPr>
          <w:p w14:paraId="632A02AB" w14:textId="77777777" w:rsidR="006757F3" w:rsidRPr="00A04B4D" w:rsidRDefault="006757F3" w:rsidP="00B768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Q</w:t>
            </w:r>
            <w:r w:rsidRPr="00A04B4D">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(Ratio)</w:t>
            </w:r>
          </w:p>
        </w:tc>
        <w:tc>
          <w:tcPr>
            <w:tcW w:w="552" w:type="pct"/>
            <w:tcBorders>
              <w:left w:val="nil"/>
              <w:bottom w:val="nil"/>
              <w:right w:val="nil"/>
            </w:tcBorders>
            <w:noWrap/>
            <w:vAlign w:val="center"/>
          </w:tcPr>
          <w:p w14:paraId="5DB53B74"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4379</w:t>
            </w:r>
          </w:p>
        </w:tc>
        <w:tc>
          <w:tcPr>
            <w:tcW w:w="703" w:type="pct"/>
            <w:tcBorders>
              <w:left w:val="nil"/>
              <w:bottom w:val="nil"/>
              <w:right w:val="nil"/>
            </w:tcBorders>
            <w:noWrap/>
            <w:vAlign w:val="center"/>
          </w:tcPr>
          <w:p w14:paraId="0CB6A91C"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1.53</w:t>
            </w:r>
          </w:p>
        </w:tc>
        <w:tc>
          <w:tcPr>
            <w:tcW w:w="903" w:type="pct"/>
            <w:tcBorders>
              <w:left w:val="nil"/>
              <w:bottom w:val="nil"/>
              <w:right w:val="nil"/>
            </w:tcBorders>
            <w:noWrap/>
            <w:vAlign w:val="center"/>
          </w:tcPr>
          <w:p w14:paraId="56825416"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0.88</w:t>
            </w:r>
          </w:p>
        </w:tc>
        <w:tc>
          <w:tcPr>
            <w:tcW w:w="777" w:type="pct"/>
            <w:tcBorders>
              <w:left w:val="nil"/>
              <w:bottom w:val="nil"/>
              <w:right w:val="nil"/>
            </w:tcBorders>
            <w:noWrap/>
            <w:vAlign w:val="center"/>
          </w:tcPr>
          <w:p w14:paraId="60E0C3AE"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0.35</w:t>
            </w:r>
          </w:p>
        </w:tc>
        <w:tc>
          <w:tcPr>
            <w:tcW w:w="821" w:type="pct"/>
            <w:tcBorders>
              <w:left w:val="nil"/>
              <w:bottom w:val="nil"/>
              <w:right w:val="nil"/>
            </w:tcBorders>
            <w:noWrap/>
            <w:vAlign w:val="center"/>
          </w:tcPr>
          <w:p w14:paraId="29BFD56F"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12.81</w:t>
            </w:r>
          </w:p>
        </w:tc>
      </w:tr>
      <w:tr w:rsidR="006757F3" w:rsidRPr="00904FC2" w14:paraId="4CC560B3" w14:textId="77777777" w:rsidTr="00B768F6">
        <w:trPr>
          <w:trHeight w:val="360"/>
        </w:trPr>
        <w:tc>
          <w:tcPr>
            <w:tcW w:w="1244" w:type="pct"/>
            <w:tcBorders>
              <w:left w:val="nil"/>
              <w:right w:val="nil"/>
            </w:tcBorders>
            <w:vAlign w:val="center"/>
          </w:tcPr>
          <w:p w14:paraId="27A60AB7" w14:textId="77777777" w:rsidR="006757F3" w:rsidRPr="00A04B4D" w:rsidRDefault="006757F3" w:rsidP="00B768F6">
            <w:pPr>
              <w:spacing w:after="0" w:line="240" w:lineRule="auto"/>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 xml:space="preserve">GHG </w:t>
            </w:r>
            <w:r>
              <w:rPr>
                <w:rFonts w:ascii="Times New Roman" w:eastAsia="Times New Roman" w:hAnsi="Times New Roman" w:cs="Times New Roman"/>
                <w:color w:val="000000"/>
                <w:lang w:val="en-US"/>
              </w:rPr>
              <w:t>(Ln.)</w:t>
            </w:r>
          </w:p>
        </w:tc>
        <w:tc>
          <w:tcPr>
            <w:tcW w:w="552" w:type="pct"/>
            <w:tcBorders>
              <w:left w:val="nil"/>
              <w:bottom w:val="nil"/>
              <w:right w:val="nil"/>
            </w:tcBorders>
            <w:noWrap/>
            <w:vAlign w:val="center"/>
            <w:hideMark/>
          </w:tcPr>
          <w:p w14:paraId="27F5E6E6"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3227</w:t>
            </w:r>
          </w:p>
        </w:tc>
        <w:tc>
          <w:tcPr>
            <w:tcW w:w="703" w:type="pct"/>
            <w:tcBorders>
              <w:left w:val="nil"/>
              <w:bottom w:val="nil"/>
              <w:right w:val="nil"/>
            </w:tcBorders>
            <w:noWrap/>
            <w:vAlign w:val="center"/>
            <w:hideMark/>
          </w:tcPr>
          <w:p w14:paraId="1FA7C5EC"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12.88</w:t>
            </w:r>
          </w:p>
        </w:tc>
        <w:tc>
          <w:tcPr>
            <w:tcW w:w="903" w:type="pct"/>
            <w:tcBorders>
              <w:left w:val="nil"/>
              <w:bottom w:val="nil"/>
              <w:right w:val="nil"/>
            </w:tcBorders>
            <w:noWrap/>
            <w:vAlign w:val="center"/>
            <w:hideMark/>
          </w:tcPr>
          <w:p w14:paraId="0260A357"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2.47</w:t>
            </w:r>
          </w:p>
        </w:tc>
        <w:tc>
          <w:tcPr>
            <w:tcW w:w="777" w:type="pct"/>
            <w:tcBorders>
              <w:left w:val="nil"/>
              <w:bottom w:val="nil"/>
              <w:right w:val="nil"/>
            </w:tcBorders>
            <w:noWrap/>
            <w:vAlign w:val="center"/>
            <w:hideMark/>
          </w:tcPr>
          <w:p w14:paraId="5066E159"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4.38</w:t>
            </w:r>
          </w:p>
        </w:tc>
        <w:tc>
          <w:tcPr>
            <w:tcW w:w="821" w:type="pct"/>
            <w:tcBorders>
              <w:left w:val="nil"/>
              <w:bottom w:val="nil"/>
              <w:right w:val="nil"/>
            </w:tcBorders>
            <w:noWrap/>
            <w:vAlign w:val="center"/>
            <w:hideMark/>
          </w:tcPr>
          <w:p w14:paraId="15DFFBA3"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19.29</w:t>
            </w:r>
          </w:p>
        </w:tc>
      </w:tr>
      <w:tr w:rsidR="006757F3" w:rsidRPr="00904FC2" w14:paraId="4D6FBB6A" w14:textId="77777777" w:rsidTr="00B768F6">
        <w:trPr>
          <w:trHeight w:val="360"/>
        </w:trPr>
        <w:tc>
          <w:tcPr>
            <w:tcW w:w="1244" w:type="pct"/>
            <w:tcBorders>
              <w:left w:val="nil"/>
              <w:right w:val="nil"/>
            </w:tcBorders>
            <w:vAlign w:val="center"/>
          </w:tcPr>
          <w:p w14:paraId="4B1B8D9E" w14:textId="77777777" w:rsidR="006757F3" w:rsidRPr="00A04B4D" w:rsidRDefault="006757F3" w:rsidP="00B768F6">
            <w:pPr>
              <w:spacing w:after="0" w:line="240" w:lineRule="auto"/>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 xml:space="preserve">EC </w:t>
            </w:r>
            <w:r>
              <w:rPr>
                <w:rFonts w:ascii="Times New Roman" w:eastAsia="Times New Roman" w:hAnsi="Times New Roman" w:cs="Times New Roman"/>
                <w:color w:val="000000"/>
                <w:lang w:val="en-US"/>
              </w:rPr>
              <w:t>(Ln.)</w:t>
            </w:r>
          </w:p>
        </w:tc>
        <w:tc>
          <w:tcPr>
            <w:tcW w:w="552" w:type="pct"/>
            <w:tcBorders>
              <w:top w:val="nil"/>
              <w:left w:val="nil"/>
              <w:bottom w:val="nil"/>
              <w:right w:val="nil"/>
            </w:tcBorders>
            <w:noWrap/>
            <w:vAlign w:val="center"/>
          </w:tcPr>
          <w:p w14:paraId="7B14B106"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4379</w:t>
            </w:r>
          </w:p>
        </w:tc>
        <w:tc>
          <w:tcPr>
            <w:tcW w:w="703" w:type="pct"/>
            <w:tcBorders>
              <w:top w:val="nil"/>
              <w:left w:val="nil"/>
              <w:bottom w:val="nil"/>
              <w:right w:val="nil"/>
            </w:tcBorders>
            <w:noWrap/>
            <w:vAlign w:val="center"/>
          </w:tcPr>
          <w:p w14:paraId="63D83015"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15.51</w:t>
            </w:r>
          </w:p>
        </w:tc>
        <w:tc>
          <w:tcPr>
            <w:tcW w:w="903" w:type="pct"/>
            <w:tcBorders>
              <w:top w:val="nil"/>
              <w:left w:val="nil"/>
              <w:bottom w:val="nil"/>
              <w:right w:val="nil"/>
            </w:tcBorders>
            <w:noWrap/>
            <w:vAlign w:val="center"/>
          </w:tcPr>
          <w:p w14:paraId="77B98E09"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1.26</w:t>
            </w:r>
          </w:p>
        </w:tc>
        <w:tc>
          <w:tcPr>
            <w:tcW w:w="777" w:type="pct"/>
            <w:tcBorders>
              <w:top w:val="nil"/>
              <w:left w:val="nil"/>
              <w:bottom w:val="nil"/>
              <w:right w:val="nil"/>
            </w:tcBorders>
            <w:noWrap/>
            <w:vAlign w:val="center"/>
          </w:tcPr>
          <w:p w14:paraId="248AEB81"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6.83</w:t>
            </w:r>
          </w:p>
        </w:tc>
        <w:tc>
          <w:tcPr>
            <w:tcW w:w="821" w:type="pct"/>
            <w:tcBorders>
              <w:top w:val="nil"/>
              <w:left w:val="nil"/>
              <w:bottom w:val="nil"/>
              <w:right w:val="nil"/>
            </w:tcBorders>
            <w:noWrap/>
            <w:vAlign w:val="center"/>
          </w:tcPr>
          <w:p w14:paraId="00796DA3"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23.23</w:t>
            </w:r>
          </w:p>
        </w:tc>
      </w:tr>
      <w:tr w:rsidR="006757F3" w:rsidRPr="00904FC2" w14:paraId="070794CD" w14:textId="77777777" w:rsidTr="00B768F6">
        <w:trPr>
          <w:trHeight w:val="360"/>
        </w:trPr>
        <w:tc>
          <w:tcPr>
            <w:tcW w:w="5000" w:type="pct"/>
            <w:gridSpan w:val="6"/>
            <w:tcBorders>
              <w:left w:val="nil"/>
              <w:right w:val="nil"/>
            </w:tcBorders>
            <w:vAlign w:val="center"/>
          </w:tcPr>
          <w:p w14:paraId="5275AA00" w14:textId="77777777" w:rsidR="006757F3" w:rsidRPr="00992B83" w:rsidRDefault="006757F3" w:rsidP="00B768F6">
            <w:pPr>
              <w:spacing w:after="0" w:line="240" w:lineRule="auto"/>
              <w:rPr>
                <w:rFonts w:ascii="Times New Roman" w:eastAsia="Times New Roman" w:hAnsi="Times New Roman" w:cs="Times New Roman"/>
                <w:color w:val="000000"/>
                <w:lang w:val="en-US"/>
              </w:rPr>
            </w:pPr>
            <w:r w:rsidRPr="00992B83">
              <w:rPr>
                <w:rFonts w:ascii="Times New Roman" w:hAnsi="Times New Roman" w:cs="Times New Roman"/>
                <w:i/>
                <w:u w:val="single"/>
              </w:rPr>
              <w:t>Symbolic constructs/measures</w:t>
            </w:r>
            <w:r>
              <w:rPr>
                <w:rFonts w:ascii="Times New Roman" w:hAnsi="Times New Roman" w:cs="Times New Roman"/>
                <w:i/>
                <w:u w:val="single"/>
              </w:rPr>
              <w:t>:</w:t>
            </w:r>
          </w:p>
        </w:tc>
      </w:tr>
      <w:tr w:rsidR="006757F3" w:rsidRPr="00904FC2" w14:paraId="17FE70AE" w14:textId="77777777" w:rsidTr="00B768F6">
        <w:trPr>
          <w:trHeight w:val="360"/>
        </w:trPr>
        <w:tc>
          <w:tcPr>
            <w:tcW w:w="1244" w:type="pct"/>
            <w:tcBorders>
              <w:left w:val="nil"/>
              <w:right w:val="nil"/>
            </w:tcBorders>
            <w:vAlign w:val="center"/>
          </w:tcPr>
          <w:p w14:paraId="48E424EF" w14:textId="77777777" w:rsidR="006757F3" w:rsidRPr="00A04B4D" w:rsidRDefault="006757F3" w:rsidP="00B768F6">
            <w:pPr>
              <w:spacing w:after="0" w:line="240" w:lineRule="auto"/>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 xml:space="preserve">PCRI </w:t>
            </w:r>
            <w:r>
              <w:rPr>
                <w:rFonts w:ascii="Times New Roman" w:eastAsia="Times New Roman" w:hAnsi="Times New Roman" w:cs="Times New Roman"/>
                <w:color w:val="000000"/>
                <w:lang w:val="en-US"/>
              </w:rPr>
              <w:t>(absolute score)</w:t>
            </w:r>
          </w:p>
        </w:tc>
        <w:tc>
          <w:tcPr>
            <w:tcW w:w="552" w:type="pct"/>
            <w:tcBorders>
              <w:top w:val="nil"/>
              <w:left w:val="nil"/>
              <w:bottom w:val="nil"/>
              <w:right w:val="nil"/>
            </w:tcBorders>
            <w:noWrap/>
            <w:vAlign w:val="center"/>
            <w:hideMark/>
          </w:tcPr>
          <w:p w14:paraId="7369C1F5"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4379</w:t>
            </w:r>
          </w:p>
        </w:tc>
        <w:tc>
          <w:tcPr>
            <w:tcW w:w="703" w:type="pct"/>
            <w:tcBorders>
              <w:top w:val="nil"/>
              <w:left w:val="nil"/>
              <w:bottom w:val="nil"/>
              <w:right w:val="nil"/>
            </w:tcBorders>
            <w:noWrap/>
            <w:vAlign w:val="center"/>
            <w:hideMark/>
          </w:tcPr>
          <w:p w14:paraId="3B42CBBD"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7.72</w:t>
            </w:r>
          </w:p>
        </w:tc>
        <w:tc>
          <w:tcPr>
            <w:tcW w:w="903" w:type="pct"/>
            <w:tcBorders>
              <w:top w:val="nil"/>
              <w:left w:val="nil"/>
              <w:bottom w:val="nil"/>
              <w:right w:val="nil"/>
            </w:tcBorders>
            <w:noWrap/>
            <w:vAlign w:val="center"/>
            <w:hideMark/>
          </w:tcPr>
          <w:p w14:paraId="0C8EF5B1"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4.94</w:t>
            </w:r>
          </w:p>
        </w:tc>
        <w:tc>
          <w:tcPr>
            <w:tcW w:w="777" w:type="pct"/>
            <w:tcBorders>
              <w:top w:val="nil"/>
              <w:left w:val="nil"/>
              <w:bottom w:val="nil"/>
              <w:right w:val="nil"/>
            </w:tcBorders>
            <w:noWrap/>
            <w:vAlign w:val="center"/>
            <w:hideMark/>
          </w:tcPr>
          <w:p w14:paraId="63744D95"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0.00</w:t>
            </w:r>
          </w:p>
        </w:tc>
        <w:tc>
          <w:tcPr>
            <w:tcW w:w="821" w:type="pct"/>
            <w:tcBorders>
              <w:top w:val="nil"/>
              <w:left w:val="nil"/>
              <w:bottom w:val="nil"/>
              <w:right w:val="nil"/>
            </w:tcBorders>
            <w:noWrap/>
            <w:vAlign w:val="center"/>
            <w:hideMark/>
          </w:tcPr>
          <w:p w14:paraId="7FD13580"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20.00</w:t>
            </w:r>
          </w:p>
        </w:tc>
      </w:tr>
      <w:tr w:rsidR="006757F3" w:rsidRPr="00904FC2" w14:paraId="575FFB60" w14:textId="77777777" w:rsidTr="00B768F6">
        <w:trPr>
          <w:trHeight w:val="360"/>
        </w:trPr>
        <w:tc>
          <w:tcPr>
            <w:tcW w:w="1244" w:type="pct"/>
            <w:tcBorders>
              <w:top w:val="nil"/>
              <w:left w:val="nil"/>
              <w:bottom w:val="nil"/>
              <w:right w:val="nil"/>
            </w:tcBorders>
            <w:vAlign w:val="center"/>
          </w:tcPr>
          <w:p w14:paraId="17357C62" w14:textId="77777777" w:rsidR="006757F3" w:rsidRPr="00A04B4D" w:rsidRDefault="006757F3" w:rsidP="00B768F6">
            <w:pPr>
              <w:spacing w:after="0" w:line="240" w:lineRule="auto"/>
              <w:rPr>
                <w:rFonts w:ascii="Times New Roman" w:eastAsia="Times New Roman" w:hAnsi="Times New Roman" w:cs="Times New Roman"/>
                <w:color w:val="000000"/>
              </w:rPr>
            </w:pPr>
            <w:r w:rsidRPr="00A04B4D">
              <w:rPr>
                <w:rFonts w:ascii="Times New Roman" w:eastAsia="Times New Roman" w:hAnsi="Times New Roman" w:cs="Times New Roman"/>
                <w:color w:val="000000"/>
              </w:rPr>
              <w:t xml:space="preserve">ESG </w:t>
            </w:r>
            <w:r>
              <w:rPr>
                <w:rFonts w:ascii="Times New Roman" w:eastAsia="Times New Roman" w:hAnsi="Times New Roman" w:cs="Times New Roman"/>
                <w:color w:val="000000"/>
              </w:rPr>
              <w:t>(%)</w:t>
            </w:r>
          </w:p>
        </w:tc>
        <w:tc>
          <w:tcPr>
            <w:tcW w:w="552" w:type="pct"/>
            <w:tcBorders>
              <w:top w:val="nil"/>
              <w:left w:val="nil"/>
              <w:bottom w:val="nil"/>
              <w:right w:val="nil"/>
            </w:tcBorders>
            <w:noWrap/>
            <w:vAlign w:val="center"/>
          </w:tcPr>
          <w:p w14:paraId="79F185C7"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4379</w:t>
            </w:r>
          </w:p>
        </w:tc>
        <w:tc>
          <w:tcPr>
            <w:tcW w:w="703" w:type="pct"/>
            <w:tcBorders>
              <w:top w:val="nil"/>
              <w:left w:val="nil"/>
              <w:bottom w:val="nil"/>
              <w:right w:val="nil"/>
            </w:tcBorders>
            <w:noWrap/>
            <w:vAlign w:val="center"/>
          </w:tcPr>
          <w:p w14:paraId="41A61CC1"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32</w:t>
            </w:r>
            <w:r>
              <w:rPr>
                <w:rFonts w:ascii="Times New Roman" w:eastAsia="Times New Roman" w:hAnsi="Times New Roman" w:cs="Times New Roman"/>
                <w:color w:val="000000"/>
                <w:lang w:val="en-US"/>
              </w:rPr>
              <w:t>.00</w:t>
            </w:r>
          </w:p>
        </w:tc>
        <w:tc>
          <w:tcPr>
            <w:tcW w:w="903" w:type="pct"/>
            <w:tcBorders>
              <w:top w:val="nil"/>
              <w:left w:val="nil"/>
              <w:bottom w:val="nil"/>
              <w:right w:val="nil"/>
            </w:tcBorders>
            <w:noWrap/>
            <w:vAlign w:val="center"/>
          </w:tcPr>
          <w:p w14:paraId="1CA9DC86"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47</w:t>
            </w:r>
            <w:r>
              <w:rPr>
                <w:rFonts w:ascii="Times New Roman" w:eastAsia="Times New Roman" w:hAnsi="Times New Roman" w:cs="Times New Roman"/>
                <w:color w:val="000000"/>
                <w:lang w:val="en-US"/>
              </w:rPr>
              <w:t>.00</w:t>
            </w:r>
          </w:p>
        </w:tc>
        <w:tc>
          <w:tcPr>
            <w:tcW w:w="777" w:type="pct"/>
            <w:tcBorders>
              <w:top w:val="nil"/>
              <w:left w:val="nil"/>
              <w:bottom w:val="nil"/>
              <w:right w:val="nil"/>
            </w:tcBorders>
            <w:noWrap/>
            <w:vAlign w:val="center"/>
          </w:tcPr>
          <w:p w14:paraId="3B7DD44D"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0.00</w:t>
            </w:r>
          </w:p>
        </w:tc>
        <w:tc>
          <w:tcPr>
            <w:tcW w:w="821" w:type="pct"/>
            <w:tcBorders>
              <w:top w:val="nil"/>
              <w:left w:val="nil"/>
              <w:bottom w:val="nil"/>
              <w:right w:val="nil"/>
            </w:tcBorders>
            <w:noWrap/>
            <w:vAlign w:val="center"/>
          </w:tcPr>
          <w:p w14:paraId="65465CB8"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100</w:t>
            </w:r>
          </w:p>
        </w:tc>
      </w:tr>
      <w:tr w:rsidR="006757F3" w:rsidRPr="00904FC2" w14:paraId="3884B429" w14:textId="77777777" w:rsidTr="00B768F6">
        <w:trPr>
          <w:trHeight w:val="360"/>
        </w:trPr>
        <w:tc>
          <w:tcPr>
            <w:tcW w:w="1244" w:type="pct"/>
            <w:tcBorders>
              <w:top w:val="nil"/>
              <w:left w:val="nil"/>
              <w:bottom w:val="nil"/>
              <w:right w:val="nil"/>
            </w:tcBorders>
            <w:vAlign w:val="center"/>
          </w:tcPr>
          <w:p w14:paraId="183B675F" w14:textId="77777777" w:rsidR="006757F3" w:rsidRPr="00992B83" w:rsidRDefault="006757F3" w:rsidP="00B768F6">
            <w:pPr>
              <w:spacing w:after="0" w:line="240" w:lineRule="auto"/>
              <w:rPr>
                <w:rFonts w:ascii="Times New Roman" w:eastAsia="Times New Roman" w:hAnsi="Times New Roman" w:cs="Times New Roman"/>
                <w:i/>
                <w:iCs/>
                <w:color w:val="000000"/>
              </w:rPr>
            </w:pPr>
            <w:r w:rsidRPr="00992B83">
              <w:rPr>
                <w:rFonts w:ascii="Times New Roman" w:eastAsia="Times New Roman" w:hAnsi="Times New Roman" w:cs="Times New Roman"/>
                <w:i/>
                <w:iCs/>
                <w:color w:val="000000"/>
              </w:rPr>
              <w:t>Control Variables</w:t>
            </w:r>
            <w:r>
              <w:rPr>
                <w:rFonts w:ascii="Times New Roman" w:eastAsia="Times New Roman" w:hAnsi="Times New Roman" w:cs="Times New Roman"/>
                <w:i/>
                <w:iCs/>
                <w:color w:val="000000"/>
              </w:rPr>
              <w:t>:</w:t>
            </w:r>
          </w:p>
        </w:tc>
        <w:tc>
          <w:tcPr>
            <w:tcW w:w="552" w:type="pct"/>
            <w:tcBorders>
              <w:top w:val="nil"/>
              <w:left w:val="nil"/>
              <w:bottom w:val="nil"/>
              <w:right w:val="nil"/>
            </w:tcBorders>
            <w:noWrap/>
            <w:vAlign w:val="center"/>
          </w:tcPr>
          <w:p w14:paraId="39F964A7"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p>
        </w:tc>
        <w:tc>
          <w:tcPr>
            <w:tcW w:w="703" w:type="pct"/>
            <w:tcBorders>
              <w:top w:val="nil"/>
              <w:left w:val="nil"/>
              <w:bottom w:val="nil"/>
              <w:right w:val="nil"/>
            </w:tcBorders>
            <w:noWrap/>
            <w:vAlign w:val="center"/>
          </w:tcPr>
          <w:p w14:paraId="2F973CE6"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p>
        </w:tc>
        <w:tc>
          <w:tcPr>
            <w:tcW w:w="903" w:type="pct"/>
            <w:tcBorders>
              <w:top w:val="nil"/>
              <w:left w:val="nil"/>
              <w:bottom w:val="nil"/>
              <w:right w:val="nil"/>
            </w:tcBorders>
            <w:noWrap/>
            <w:vAlign w:val="center"/>
          </w:tcPr>
          <w:p w14:paraId="5808226A"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p>
        </w:tc>
        <w:tc>
          <w:tcPr>
            <w:tcW w:w="777" w:type="pct"/>
            <w:tcBorders>
              <w:top w:val="nil"/>
              <w:left w:val="nil"/>
              <w:bottom w:val="nil"/>
              <w:right w:val="nil"/>
            </w:tcBorders>
            <w:noWrap/>
            <w:vAlign w:val="center"/>
          </w:tcPr>
          <w:p w14:paraId="4B1D14B3"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p>
        </w:tc>
        <w:tc>
          <w:tcPr>
            <w:tcW w:w="821" w:type="pct"/>
            <w:tcBorders>
              <w:top w:val="nil"/>
              <w:left w:val="nil"/>
              <w:bottom w:val="nil"/>
              <w:right w:val="nil"/>
            </w:tcBorders>
            <w:noWrap/>
            <w:vAlign w:val="center"/>
          </w:tcPr>
          <w:p w14:paraId="35AFE8DA"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p>
        </w:tc>
      </w:tr>
      <w:tr w:rsidR="006757F3" w:rsidRPr="00904FC2" w14:paraId="154683C0" w14:textId="77777777" w:rsidTr="00B768F6">
        <w:trPr>
          <w:trHeight w:val="360"/>
        </w:trPr>
        <w:tc>
          <w:tcPr>
            <w:tcW w:w="1244" w:type="pct"/>
            <w:tcBorders>
              <w:top w:val="nil"/>
              <w:left w:val="nil"/>
              <w:bottom w:val="nil"/>
              <w:right w:val="nil"/>
            </w:tcBorders>
            <w:vAlign w:val="center"/>
          </w:tcPr>
          <w:p w14:paraId="56004EE0" w14:textId="77777777" w:rsidR="006757F3" w:rsidRPr="00A04B4D" w:rsidRDefault="006757F3" w:rsidP="00B768F6">
            <w:pPr>
              <w:spacing w:after="0" w:line="240" w:lineRule="auto"/>
              <w:rPr>
                <w:rFonts w:ascii="Times New Roman" w:eastAsia="Times New Roman" w:hAnsi="Times New Roman" w:cs="Times New Roman"/>
                <w:color w:val="000000"/>
                <w:lang w:val="en-US"/>
              </w:rPr>
            </w:pPr>
            <w:proofErr w:type="spellStart"/>
            <w:r w:rsidRPr="00A04B4D">
              <w:rPr>
                <w:rFonts w:ascii="Times New Roman" w:eastAsia="Times New Roman" w:hAnsi="Times New Roman" w:cs="Times New Roman"/>
                <w:color w:val="000000"/>
              </w:rPr>
              <w:t>B</w:t>
            </w:r>
            <w:r>
              <w:rPr>
                <w:rFonts w:ascii="Times New Roman" w:eastAsia="Times New Roman" w:hAnsi="Times New Roman" w:cs="Times New Roman"/>
                <w:color w:val="000000"/>
              </w:rPr>
              <w:t>.</w:t>
            </w:r>
            <w:r w:rsidRPr="00A04B4D">
              <w:rPr>
                <w:rFonts w:ascii="Times New Roman" w:eastAsia="Times New Roman" w:hAnsi="Times New Roman" w:cs="Times New Roman"/>
                <w:color w:val="000000"/>
              </w:rPr>
              <w:t>size</w:t>
            </w:r>
            <w:proofErr w:type="spellEnd"/>
            <w:r w:rsidRPr="00A04B4D">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(Ln.)</w:t>
            </w:r>
          </w:p>
        </w:tc>
        <w:tc>
          <w:tcPr>
            <w:tcW w:w="552" w:type="pct"/>
            <w:tcBorders>
              <w:top w:val="nil"/>
              <w:left w:val="nil"/>
              <w:bottom w:val="nil"/>
              <w:right w:val="nil"/>
            </w:tcBorders>
            <w:noWrap/>
            <w:vAlign w:val="center"/>
            <w:hideMark/>
          </w:tcPr>
          <w:p w14:paraId="64DEDA3D"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4379</w:t>
            </w:r>
          </w:p>
        </w:tc>
        <w:tc>
          <w:tcPr>
            <w:tcW w:w="703" w:type="pct"/>
            <w:tcBorders>
              <w:top w:val="nil"/>
              <w:left w:val="nil"/>
              <w:bottom w:val="nil"/>
              <w:right w:val="nil"/>
            </w:tcBorders>
            <w:noWrap/>
            <w:vAlign w:val="center"/>
            <w:hideMark/>
          </w:tcPr>
          <w:p w14:paraId="54674175"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2.26</w:t>
            </w:r>
          </w:p>
        </w:tc>
        <w:tc>
          <w:tcPr>
            <w:tcW w:w="903" w:type="pct"/>
            <w:tcBorders>
              <w:top w:val="nil"/>
              <w:left w:val="nil"/>
              <w:bottom w:val="nil"/>
              <w:right w:val="nil"/>
            </w:tcBorders>
            <w:noWrap/>
            <w:vAlign w:val="center"/>
            <w:hideMark/>
          </w:tcPr>
          <w:p w14:paraId="1847038B"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0.34</w:t>
            </w:r>
          </w:p>
        </w:tc>
        <w:tc>
          <w:tcPr>
            <w:tcW w:w="777" w:type="pct"/>
            <w:tcBorders>
              <w:top w:val="nil"/>
              <w:left w:val="nil"/>
              <w:bottom w:val="nil"/>
              <w:right w:val="nil"/>
            </w:tcBorders>
            <w:noWrap/>
            <w:vAlign w:val="center"/>
            <w:hideMark/>
          </w:tcPr>
          <w:p w14:paraId="775F9D65"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0.69</w:t>
            </w:r>
          </w:p>
        </w:tc>
        <w:tc>
          <w:tcPr>
            <w:tcW w:w="821" w:type="pct"/>
            <w:tcBorders>
              <w:top w:val="nil"/>
              <w:left w:val="nil"/>
              <w:bottom w:val="nil"/>
              <w:right w:val="nil"/>
            </w:tcBorders>
            <w:noWrap/>
            <w:vAlign w:val="center"/>
            <w:hideMark/>
          </w:tcPr>
          <w:p w14:paraId="2A262AD9"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3.18</w:t>
            </w:r>
          </w:p>
        </w:tc>
      </w:tr>
      <w:tr w:rsidR="006757F3" w:rsidRPr="00904FC2" w14:paraId="06F6FCF6" w14:textId="77777777" w:rsidTr="00B768F6">
        <w:trPr>
          <w:trHeight w:val="360"/>
        </w:trPr>
        <w:tc>
          <w:tcPr>
            <w:tcW w:w="1244" w:type="pct"/>
            <w:tcBorders>
              <w:top w:val="nil"/>
              <w:left w:val="nil"/>
              <w:bottom w:val="nil"/>
              <w:right w:val="nil"/>
            </w:tcBorders>
            <w:vAlign w:val="center"/>
          </w:tcPr>
          <w:p w14:paraId="4D392A13" w14:textId="77777777" w:rsidR="006757F3" w:rsidRPr="00A04B4D" w:rsidRDefault="006757F3" w:rsidP="00B768F6">
            <w:pPr>
              <w:spacing w:after="0" w:line="240" w:lineRule="auto"/>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 xml:space="preserve">Separation </w:t>
            </w:r>
            <w:r>
              <w:rPr>
                <w:rFonts w:ascii="Times New Roman" w:eastAsia="Times New Roman" w:hAnsi="Times New Roman" w:cs="Times New Roman"/>
                <w:color w:val="000000"/>
                <w:lang w:val="en-US"/>
              </w:rPr>
              <w:t>(%)</w:t>
            </w:r>
          </w:p>
        </w:tc>
        <w:tc>
          <w:tcPr>
            <w:tcW w:w="552" w:type="pct"/>
            <w:tcBorders>
              <w:top w:val="nil"/>
              <w:left w:val="nil"/>
              <w:bottom w:val="nil"/>
              <w:right w:val="nil"/>
            </w:tcBorders>
            <w:noWrap/>
            <w:vAlign w:val="center"/>
            <w:hideMark/>
          </w:tcPr>
          <w:p w14:paraId="25100620"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4379</w:t>
            </w:r>
          </w:p>
        </w:tc>
        <w:tc>
          <w:tcPr>
            <w:tcW w:w="703" w:type="pct"/>
            <w:tcBorders>
              <w:top w:val="nil"/>
              <w:left w:val="nil"/>
              <w:bottom w:val="nil"/>
              <w:right w:val="nil"/>
            </w:tcBorders>
            <w:noWrap/>
            <w:vAlign w:val="center"/>
            <w:hideMark/>
          </w:tcPr>
          <w:p w14:paraId="72C7D0B0"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84</w:t>
            </w:r>
            <w:r>
              <w:rPr>
                <w:rFonts w:ascii="Times New Roman" w:eastAsia="Times New Roman" w:hAnsi="Times New Roman" w:cs="Times New Roman"/>
                <w:color w:val="000000"/>
                <w:lang w:val="en-US"/>
              </w:rPr>
              <w:t>.00</w:t>
            </w:r>
          </w:p>
        </w:tc>
        <w:tc>
          <w:tcPr>
            <w:tcW w:w="903" w:type="pct"/>
            <w:tcBorders>
              <w:top w:val="nil"/>
              <w:left w:val="nil"/>
              <w:bottom w:val="nil"/>
              <w:right w:val="nil"/>
            </w:tcBorders>
            <w:noWrap/>
            <w:vAlign w:val="center"/>
            <w:hideMark/>
          </w:tcPr>
          <w:p w14:paraId="769DF2AF"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37</w:t>
            </w:r>
            <w:r>
              <w:rPr>
                <w:rFonts w:ascii="Times New Roman" w:eastAsia="Times New Roman" w:hAnsi="Times New Roman" w:cs="Times New Roman"/>
                <w:color w:val="000000"/>
                <w:lang w:val="en-US"/>
              </w:rPr>
              <w:t>.00</w:t>
            </w:r>
          </w:p>
        </w:tc>
        <w:tc>
          <w:tcPr>
            <w:tcW w:w="777" w:type="pct"/>
            <w:tcBorders>
              <w:top w:val="nil"/>
              <w:left w:val="nil"/>
              <w:bottom w:val="nil"/>
              <w:right w:val="nil"/>
            </w:tcBorders>
            <w:noWrap/>
            <w:vAlign w:val="center"/>
            <w:hideMark/>
          </w:tcPr>
          <w:p w14:paraId="2474226E"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0.00</w:t>
            </w:r>
          </w:p>
        </w:tc>
        <w:tc>
          <w:tcPr>
            <w:tcW w:w="821" w:type="pct"/>
            <w:tcBorders>
              <w:top w:val="nil"/>
              <w:left w:val="nil"/>
              <w:bottom w:val="nil"/>
              <w:right w:val="nil"/>
            </w:tcBorders>
            <w:noWrap/>
            <w:vAlign w:val="center"/>
            <w:hideMark/>
          </w:tcPr>
          <w:p w14:paraId="16599D5F"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100</w:t>
            </w:r>
          </w:p>
        </w:tc>
      </w:tr>
      <w:tr w:rsidR="006757F3" w:rsidRPr="00904FC2" w14:paraId="30C77A16" w14:textId="77777777" w:rsidTr="00B768F6">
        <w:trPr>
          <w:trHeight w:val="360"/>
        </w:trPr>
        <w:tc>
          <w:tcPr>
            <w:tcW w:w="1244" w:type="pct"/>
            <w:tcBorders>
              <w:top w:val="nil"/>
              <w:left w:val="nil"/>
              <w:bottom w:val="nil"/>
              <w:right w:val="nil"/>
            </w:tcBorders>
            <w:vAlign w:val="center"/>
          </w:tcPr>
          <w:p w14:paraId="4C532CBA" w14:textId="77777777" w:rsidR="006757F3" w:rsidRPr="00A04B4D" w:rsidRDefault="006757F3" w:rsidP="00B768F6">
            <w:pPr>
              <w:spacing w:after="0" w:line="240" w:lineRule="auto"/>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rPr>
              <w:t xml:space="preserve">Independence </w:t>
            </w:r>
            <w:r>
              <w:rPr>
                <w:rFonts w:ascii="Times New Roman" w:eastAsia="Times New Roman" w:hAnsi="Times New Roman" w:cs="Times New Roman"/>
                <w:color w:val="000000"/>
              </w:rPr>
              <w:t>(%)</w:t>
            </w:r>
          </w:p>
        </w:tc>
        <w:tc>
          <w:tcPr>
            <w:tcW w:w="552" w:type="pct"/>
            <w:tcBorders>
              <w:top w:val="nil"/>
              <w:left w:val="nil"/>
              <w:bottom w:val="nil"/>
              <w:right w:val="nil"/>
            </w:tcBorders>
            <w:noWrap/>
            <w:vAlign w:val="center"/>
            <w:hideMark/>
          </w:tcPr>
          <w:p w14:paraId="2DE7C0BA"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4379</w:t>
            </w:r>
          </w:p>
        </w:tc>
        <w:tc>
          <w:tcPr>
            <w:tcW w:w="703" w:type="pct"/>
            <w:tcBorders>
              <w:top w:val="nil"/>
              <w:left w:val="nil"/>
              <w:bottom w:val="nil"/>
              <w:right w:val="nil"/>
            </w:tcBorders>
            <w:noWrap/>
            <w:vAlign w:val="center"/>
            <w:hideMark/>
          </w:tcPr>
          <w:p w14:paraId="2ED95B4A"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50.60</w:t>
            </w:r>
          </w:p>
        </w:tc>
        <w:tc>
          <w:tcPr>
            <w:tcW w:w="903" w:type="pct"/>
            <w:tcBorders>
              <w:top w:val="nil"/>
              <w:left w:val="nil"/>
              <w:bottom w:val="nil"/>
              <w:right w:val="nil"/>
            </w:tcBorders>
            <w:noWrap/>
            <w:vAlign w:val="center"/>
            <w:hideMark/>
          </w:tcPr>
          <w:p w14:paraId="638FF6CE"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24.90</w:t>
            </w:r>
          </w:p>
        </w:tc>
        <w:tc>
          <w:tcPr>
            <w:tcW w:w="777" w:type="pct"/>
            <w:tcBorders>
              <w:top w:val="nil"/>
              <w:left w:val="nil"/>
              <w:bottom w:val="nil"/>
              <w:right w:val="nil"/>
            </w:tcBorders>
            <w:noWrap/>
            <w:vAlign w:val="center"/>
            <w:hideMark/>
          </w:tcPr>
          <w:p w14:paraId="24FC1D45"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0.00</w:t>
            </w:r>
          </w:p>
        </w:tc>
        <w:tc>
          <w:tcPr>
            <w:tcW w:w="821" w:type="pct"/>
            <w:tcBorders>
              <w:top w:val="nil"/>
              <w:left w:val="nil"/>
              <w:bottom w:val="nil"/>
              <w:right w:val="nil"/>
            </w:tcBorders>
            <w:noWrap/>
            <w:vAlign w:val="center"/>
            <w:hideMark/>
          </w:tcPr>
          <w:p w14:paraId="76FBB123"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100.00</w:t>
            </w:r>
          </w:p>
        </w:tc>
      </w:tr>
      <w:tr w:rsidR="006757F3" w:rsidRPr="00904FC2" w14:paraId="397E2924" w14:textId="77777777" w:rsidTr="00B768F6">
        <w:trPr>
          <w:trHeight w:val="360"/>
        </w:trPr>
        <w:tc>
          <w:tcPr>
            <w:tcW w:w="1244" w:type="pct"/>
            <w:tcBorders>
              <w:top w:val="nil"/>
              <w:left w:val="nil"/>
              <w:bottom w:val="nil"/>
              <w:right w:val="nil"/>
            </w:tcBorders>
            <w:vAlign w:val="center"/>
          </w:tcPr>
          <w:p w14:paraId="6FA366E5" w14:textId="77777777" w:rsidR="006757F3" w:rsidRPr="00A04B4D" w:rsidRDefault="006757F3" w:rsidP="00B768F6">
            <w:pPr>
              <w:spacing w:after="0" w:line="240" w:lineRule="auto"/>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CSR</w:t>
            </w:r>
            <w:r>
              <w:rPr>
                <w:rFonts w:ascii="Times New Roman" w:eastAsia="Times New Roman" w:hAnsi="Times New Roman" w:cs="Times New Roman"/>
                <w:color w:val="000000"/>
                <w:lang w:val="en-US"/>
              </w:rPr>
              <w:t xml:space="preserve"> (%)</w:t>
            </w:r>
            <w:r w:rsidRPr="00A04B4D">
              <w:rPr>
                <w:rFonts w:ascii="Times New Roman" w:eastAsia="Times New Roman" w:hAnsi="Times New Roman" w:cs="Times New Roman"/>
                <w:color w:val="000000"/>
                <w:lang w:val="en-US"/>
              </w:rPr>
              <w:t xml:space="preserve"> </w:t>
            </w:r>
          </w:p>
        </w:tc>
        <w:tc>
          <w:tcPr>
            <w:tcW w:w="552" w:type="pct"/>
            <w:tcBorders>
              <w:top w:val="nil"/>
              <w:left w:val="nil"/>
              <w:bottom w:val="nil"/>
              <w:right w:val="nil"/>
            </w:tcBorders>
            <w:noWrap/>
            <w:vAlign w:val="center"/>
            <w:hideMark/>
          </w:tcPr>
          <w:p w14:paraId="6AAF5547"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4379</w:t>
            </w:r>
          </w:p>
        </w:tc>
        <w:tc>
          <w:tcPr>
            <w:tcW w:w="703" w:type="pct"/>
            <w:tcBorders>
              <w:top w:val="nil"/>
              <w:left w:val="nil"/>
              <w:bottom w:val="nil"/>
              <w:right w:val="nil"/>
            </w:tcBorders>
            <w:noWrap/>
            <w:vAlign w:val="center"/>
            <w:hideMark/>
          </w:tcPr>
          <w:p w14:paraId="636768D2"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62</w:t>
            </w:r>
            <w:r>
              <w:rPr>
                <w:rFonts w:ascii="Times New Roman" w:eastAsia="Times New Roman" w:hAnsi="Times New Roman" w:cs="Times New Roman"/>
                <w:color w:val="000000"/>
                <w:lang w:val="en-US"/>
              </w:rPr>
              <w:t>.00</w:t>
            </w:r>
          </w:p>
        </w:tc>
        <w:tc>
          <w:tcPr>
            <w:tcW w:w="903" w:type="pct"/>
            <w:tcBorders>
              <w:top w:val="nil"/>
              <w:left w:val="nil"/>
              <w:bottom w:val="nil"/>
              <w:right w:val="nil"/>
            </w:tcBorders>
            <w:noWrap/>
            <w:vAlign w:val="center"/>
            <w:hideMark/>
          </w:tcPr>
          <w:p w14:paraId="112D2CF0"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48</w:t>
            </w:r>
            <w:r>
              <w:rPr>
                <w:rFonts w:ascii="Times New Roman" w:eastAsia="Times New Roman" w:hAnsi="Times New Roman" w:cs="Times New Roman"/>
                <w:color w:val="000000"/>
                <w:lang w:val="en-US"/>
              </w:rPr>
              <w:t>.00</w:t>
            </w:r>
          </w:p>
        </w:tc>
        <w:tc>
          <w:tcPr>
            <w:tcW w:w="777" w:type="pct"/>
            <w:tcBorders>
              <w:top w:val="nil"/>
              <w:left w:val="nil"/>
              <w:bottom w:val="nil"/>
              <w:right w:val="nil"/>
            </w:tcBorders>
            <w:noWrap/>
            <w:vAlign w:val="center"/>
            <w:hideMark/>
          </w:tcPr>
          <w:p w14:paraId="0D21B534"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0.00</w:t>
            </w:r>
          </w:p>
        </w:tc>
        <w:tc>
          <w:tcPr>
            <w:tcW w:w="821" w:type="pct"/>
            <w:tcBorders>
              <w:top w:val="nil"/>
              <w:left w:val="nil"/>
              <w:bottom w:val="nil"/>
              <w:right w:val="nil"/>
            </w:tcBorders>
            <w:noWrap/>
            <w:vAlign w:val="center"/>
            <w:hideMark/>
          </w:tcPr>
          <w:p w14:paraId="61314057"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100</w:t>
            </w:r>
          </w:p>
        </w:tc>
      </w:tr>
      <w:tr w:rsidR="006757F3" w:rsidRPr="00904FC2" w14:paraId="72892521" w14:textId="77777777" w:rsidTr="00B768F6">
        <w:trPr>
          <w:trHeight w:val="360"/>
        </w:trPr>
        <w:tc>
          <w:tcPr>
            <w:tcW w:w="1244" w:type="pct"/>
            <w:tcBorders>
              <w:top w:val="nil"/>
              <w:left w:val="nil"/>
              <w:bottom w:val="nil"/>
              <w:right w:val="nil"/>
            </w:tcBorders>
            <w:vAlign w:val="center"/>
          </w:tcPr>
          <w:p w14:paraId="37FD1442" w14:textId="77777777" w:rsidR="006757F3" w:rsidRDefault="006757F3" w:rsidP="00B768F6">
            <w:pPr>
              <w:spacing w:after="0" w:line="240" w:lineRule="auto"/>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 xml:space="preserve">Size </w:t>
            </w:r>
            <w:r>
              <w:rPr>
                <w:rFonts w:ascii="Times New Roman" w:eastAsia="Times New Roman" w:hAnsi="Times New Roman" w:cs="Times New Roman"/>
                <w:color w:val="000000"/>
                <w:lang w:val="en-US"/>
              </w:rPr>
              <w:t>(Ln.)</w:t>
            </w:r>
          </w:p>
        </w:tc>
        <w:tc>
          <w:tcPr>
            <w:tcW w:w="552" w:type="pct"/>
            <w:tcBorders>
              <w:top w:val="nil"/>
              <w:left w:val="nil"/>
              <w:bottom w:val="nil"/>
              <w:right w:val="nil"/>
            </w:tcBorders>
            <w:noWrap/>
            <w:vAlign w:val="center"/>
          </w:tcPr>
          <w:p w14:paraId="02FEFB13"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4379</w:t>
            </w:r>
          </w:p>
        </w:tc>
        <w:tc>
          <w:tcPr>
            <w:tcW w:w="703" w:type="pct"/>
            <w:tcBorders>
              <w:top w:val="nil"/>
              <w:left w:val="nil"/>
              <w:bottom w:val="nil"/>
              <w:right w:val="nil"/>
            </w:tcBorders>
            <w:noWrap/>
            <w:vAlign w:val="center"/>
          </w:tcPr>
          <w:p w14:paraId="0AF2CC3E"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15.44</w:t>
            </w:r>
          </w:p>
        </w:tc>
        <w:tc>
          <w:tcPr>
            <w:tcW w:w="903" w:type="pct"/>
            <w:tcBorders>
              <w:top w:val="nil"/>
              <w:left w:val="nil"/>
              <w:bottom w:val="nil"/>
              <w:right w:val="nil"/>
            </w:tcBorders>
            <w:noWrap/>
            <w:vAlign w:val="center"/>
          </w:tcPr>
          <w:p w14:paraId="1F920CD1"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1.60</w:t>
            </w:r>
          </w:p>
        </w:tc>
        <w:tc>
          <w:tcPr>
            <w:tcW w:w="777" w:type="pct"/>
            <w:tcBorders>
              <w:top w:val="nil"/>
              <w:left w:val="nil"/>
              <w:bottom w:val="nil"/>
              <w:right w:val="nil"/>
            </w:tcBorders>
            <w:noWrap/>
            <w:vAlign w:val="center"/>
          </w:tcPr>
          <w:p w14:paraId="4102716D"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8.01</w:t>
            </w:r>
          </w:p>
        </w:tc>
        <w:tc>
          <w:tcPr>
            <w:tcW w:w="821" w:type="pct"/>
            <w:tcBorders>
              <w:top w:val="nil"/>
              <w:left w:val="nil"/>
              <w:bottom w:val="nil"/>
              <w:right w:val="nil"/>
            </w:tcBorders>
            <w:noWrap/>
            <w:vAlign w:val="center"/>
          </w:tcPr>
          <w:p w14:paraId="15C64671"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19.98</w:t>
            </w:r>
          </w:p>
        </w:tc>
      </w:tr>
      <w:tr w:rsidR="006757F3" w:rsidRPr="00904FC2" w14:paraId="5805363D" w14:textId="77777777" w:rsidTr="00B768F6">
        <w:trPr>
          <w:trHeight w:val="360"/>
        </w:trPr>
        <w:tc>
          <w:tcPr>
            <w:tcW w:w="1244" w:type="pct"/>
            <w:tcBorders>
              <w:top w:val="nil"/>
              <w:left w:val="nil"/>
              <w:bottom w:val="nil"/>
              <w:right w:val="nil"/>
            </w:tcBorders>
            <w:vAlign w:val="center"/>
          </w:tcPr>
          <w:p w14:paraId="12625927" w14:textId="77777777" w:rsidR="006757F3" w:rsidRPr="00A04B4D" w:rsidRDefault="006757F3" w:rsidP="00B768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Profitability (%)</w:t>
            </w:r>
          </w:p>
        </w:tc>
        <w:tc>
          <w:tcPr>
            <w:tcW w:w="552" w:type="pct"/>
            <w:tcBorders>
              <w:top w:val="nil"/>
              <w:left w:val="nil"/>
              <w:bottom w:val="nil"/>
              <w:right w:val="nil"/>
            </w:tcBorders>
            <w:noWrap/>
            <w:vAlign w:val="center"/>
            <w:hideMark/>
          </w:tcPr>
          <w:p w14:paraId="6202F1E0"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4379</w:t>
            </w:r>
          </w:p>
        </w:tc>
        <w:tc>
          <w:tcPr>
            <w:tcW w:w="703" w:type="pct"/>
            <w:tcBorders>
              <w:top w:val="nil"/>
              <w:left w:val="nil"/>
              <w:bottom w:val="nil"/>
              <w:right w:val="nil"/>
            </w:tcBorders>
            <w:noWrap/>
            <w:vAlign w:val="center"/>
            <w:hideMark/>
          </w:tcPr>
          <w:p w14:paraId="26060DDF"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6.91</w:t>
            </w:r>
          </w:p>
        </w:tc>
        <w:tc>
          <w:tcPr>
            <w:tcW w:w="903" w:type="pct"/>
            <w:tcBorders>
              <w:top w:val="nil"/>
              <w:left w:val="nil"/>
              <w:bottom w:val="nil"/>
              <w:right w:val="nil"/>
            </w:tcBorders>
            <w:noWrap/>
            <w:vAlign w:val="center"/>
            <w:hideMark/>
          </w:tcPr>
          <w:p w14:paraId="514EE247"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8.76</w:t>
            </w:r>
          </w:p>
        </w:tc>
        <w:tc>
          <w:tcPr>
            <w:tcW w:w="777" w:type="pct"/>
            <w:tcBorders>
              <w:top w:val="nil"/>
              <w:left w:val="nil"/>
              <w:bottom w:val="nil"/>
              <w:right w:val="nil"/>
            </w:tcBorders>
            <w:noWrap/>
            <w:vAlign w:val="center"/>
            <w:hideMark/>
          </w:tcPr>
          <w:p w14:paraId="5A4B9575"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-116.48</w:t>
            </w:r>
          </w:p>
        </w:tc>
        <w:tc>
          <w:tcPr>
            <w:tcW w:w="821" w:type="pct"/>
            <w:tcBorders>
              <w:top w:val="nil"/>
              <w:left w:val="nil"/>
              <w:bottom w:val="nil"/>
              <w:right w:val="nil"/>
            </w:tcBorders>
            <w:noWrap/>
            <w:vAlign w:val="center"/>
            <w:hideMark/>
          </w:tcPr>
          <w:p w14:paraId="20B19747"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106.82</w:t>
            </w:r>
          </w:p>
        </w:tc>
      </w:tr>
      <w:tr w:rsidR="006757F3" w:rsidRPr="00904FC2" w14:paraId="58321F15" w14:textId="77777777" w:rsidTr="00B768F6">
        <w:trPr>
          <w:trHeight w:val="360"/>
        </w:trPr>
        <w:tc>
          <w:tcPr>
            <w:tcW w:w="1244" w:type="pct"/>
            <w:tcBorders>
              <w:top w:val="nil"/>
              <w:left w:val="nil"/>
              <w:bottom w:val="nil"/>
              <w:right w:val="nil"/>
            </w:tcBorders>
            <w:vAlign w:val="center"/>
          </w:tcPr>
          <w:p w14:paraId="5AFEABE2" w14:textId="77777777" w:rsidR="006757F3" w:rsidRPr="00A04B4D" w:rsidRDefault="006757F3" w:rsidP="00B768F6">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Debt</w:t>
            </w:r>
            <w:r w:rsidRPr="00A04B4D">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(5)</w:t>
            </w:r>
          </w:p>
        </w:tc>
        <w:tc>
          <w:tcPr>
            <w:tcW w:w="552" w:type="pct"/>
            <w:tcBorders>
              <w:top w:val="nil"/>
              <w:left w:val="nil"/>
              <w:bottom w:val="nil"/>
              <w:right w:val="nil"/>
            </w:tcBorders>
            <w:noWrap/>
            <w:vAlign w:val="center"/>
            <w:hideMark/>
          </w:tcPr>
          <w:p w14:paraId="7714E240"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4379</w:t>
            </w:r>
          </w:p>
        </w:tc>
        <w:tc>
          <w:tcPr>
            <w:tcW w:w="703" w:type="pct"/>
            <w:tcBorders>
              <w:top w:val="nil"/>
              <w:left w:val="nil"/>
              <w:bottom w:val="nil"/>
              <w:right w:val="nil"/>
            </w:tcBorders>
            <w:noWrap/>
            <w:vAlign w:val="center"/>
            <w:hideMark/>
          </w:tcPr>
          <w:p w14:paraId="7738B9B1"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24.28</w:t>
            </w:r>
          </w:p>
        </w:tc>
        <w:tc>
          <w:tcPr>
            <w:tcW w:w="903" w:type="pct"/>
            <w:tcBorders>
              <w:top w:val="nil"/>
              <w:left w:val="nil"/>
              <w:bottom w:val="nil"/>
              <w:right w:val="nil"/>
            </w:tcBorders>
            <w:noWrap/>
            <w:vAlign w:val="center"/>
            <w:hideMark/>
          </w:tcPr>
          <w:p w14:paraId="5638B2A9"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16.56</w:t>
            </w:r>
          </w:p>
        </w:tc>
        <w:tc>
          <w:tcPr>
            <w:tcW w:w="777" w:type="pct"/>
            <w:tcBorders>
              <w:top w:val="nil"/>
              <w:left w:val="nil"/>
              <w:bottom w:val="nil"/>
              <w:right w:val="nil"/>
            </w:tcBorders>
            <w:noWrap/>
            <w:vAlign w:val="center"/>
            <w:hideMark/>
          </w:tcPr>
          <w:p w14:paraId="582AE4DF"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0.00</w:t>
            </w:r>
          </w:p>
        </w:tc>
        <w:tc>
          <w:tcPr>
            <w:tcW w:w="821" w:type="pct"/>
            <w:tcBorders>
              <w:top w:val="nil"/>
              <w:left w:val="nil"/>
              <w:bottom w:val="nil"/>
              <w:right w:val="nil"/>
            </w:tcBorders>
            <w:noWrap/>
            <w:vAlign w:val="center"/>
            <w:hideMark/>
          </w:tcPr>
          <w:p w14:paraId="009B12F0"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133.09</w:t>
            </w:r>
          </w:p>
        </w:tc>
      </w:tr>
      <w:tr w:rsidR="006757F3" w:rsidRPr="00904FC2" w14:paraId="76CA682E" w14:textId="77777777" w:rsidTr="00B768F6">
        <w:trPr>
          <w:trHeight w:val="360"/>
        </w:trPr>
        <w:tc>
          <w:tcPr>
            <w:tcW w:w="1244" w:type="pct"/>
            <w:tcBorders>
              <w:top w:val="nil"/>
              <w:left w:val="nil"/>
              <w:bottom w:val="nil"/>
              <w:right w:val="nil"/>
            </w:tcBorders>
            <w:vAlign w:val="center"/>
          </w:tcPr>
          <w:p w14:paraId="15DF54AE" w14:textId="77777777" w:rsidR="006757F3" w:rsidRPr="00A04B4D" w:rsidRDefault="006757F3" w:rsidP="00B768F6">
            <w:pPr>
              <w:spacing w:after="0" w:line="240" w:lineRule="auto"/>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 xml:space="preserve">Cash </w:t>
            </w:r>
            <w:r>
              <w:rPr>
                <w:rFonts w:ascii="Times New Roman" w:eastAsia="Times New Roman" w:hAnsi="Times New Roman" w:cs="Times New Roman"/>
                <w:color w:val="000000"/>
                <w:lang w:val="en-US"/>
              </w:rPr>
              <w:t>(Ratio)</w:t>
            </w:r>
          </w:p>
        </w:tc>
        <w:tc>
          <w:tcPr>
            <w:tcW w:w="552" w:type="pct"/>
            <w:tcBorders>
              <w:top w:val="nil"/>
              <w:left w:val="nil"/>
              <w:bottom w:val="nil"/>
              <w:right w:val="nil"/>
            </w:tcBorders>
            <w:noWrap/>
            <w:vAlign w:val="center"/>
            <w:hideMark/>
          </w:tcPr>
          <w:p w14:paraId="33C0534E"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4379</w:t>
            </w:r>
          </w:p>
        </w:tc>
        <w:tc>
          <w:tcPr>
            <w:tcW w:w="703" w:type="pct"/>
            <w:tcBorders>
              <w:top w:val="nil"/>
              <w:left w:val="nil"/>
              <w:bottom w:val="nil"/>
              <w:right w:val="nil"/>
            </w:tcBorders>
            <w:noWrap/>
            <w:vAlign w:val="center"/>
            <w:hideMark/>
          </w:tcPr>
          <w:p w14:paraId="7448A4BC"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0.11</w:t>
            </w:r>
          </w:p>
        </w:tc>
        <w:tc>
          <w:tcPr>
            <w:tcW w:w="903" w:type="pct"/>
            <w:tcBorders>
              <w:top w:val="nil"/>
              <w:left w:val="nil"/>
              <w:bottom w:val="nil"/>
              <w:right w:val="nil"/>
            </w:tcBorders>
            <w:noWrap/>
            <w:vAlign w:val="center"/>
            <w:hideMark/>
          </w:tcPr>
          <w:p w14:paraId="21E4B27D"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0.10</w:t>
            </w:r>
          </w:p>
        </w:tc>
        <w:tc>
          <w:tcPr>
            <w:tcW w:w="777" w:type="pct"/>
            <w:tcBorders>
              <w:top w:val="nil"/>
              <w:left w:val="nil"/>
              <w:bottom w:val="nil"/>
              <w:right w:val="nil"/>
            </w:tcBorders>
            <w:noWrap/>
            <w:vAlign w:val="center"/>
            <w:hideMark/>
          </w:tcPr>
          <w:p w14:paraId="5DA0385B"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0.00</w:t>
            </w:r>
          </w:p>
        </w:tc>
        <w:tc>
          <w:tcPr>
            <w:tcW w:w="821" w:type="pct"/>
            <w:tcBorders>
              <w:top w:val="nil"/>
              <w:left w:val="nil"/>
              <w:bottom w:val="nil"/>
              <w:right w:val="nil"/>
            </w:tcBorders>
            <w:noWrap/>
            <w:vAlign w:val="center"/>
            <w:hideMark/>
          </w:tcPr>
          <w:p w14:paraId="669ED7D1"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0.93</w:t>
            </w:r>
          </w:p>
        </w:tc>
      </w:tr>
      <w:tr w:rsidR="006757F3" w:rsidRPr="00904FC2" w14:paraId="7DF42513" w14:textId="77777777" w:rsidTr="00B768F6">
        <w:trPr>
          <w:trHeight w:val="360"/>
        </w:trPr>
        <w:tc>
          <w:tcPr>
            <w:tcW w:w="1244" w:type="pct"/>
            <w:tcBorders>
              <w:top w:val="nil"/>
              <w:left w:val="nil"/>
              <w:bottom w:val="nil"/>
              <w:right w:val="nil"/>
            </w:tcBorders>
            <w:vAlign w:val="center"/>
          </w:tcPr>
          <w:p w14:paraId="4E0BA532" w14:textId="77777777" w:rsidR="006757F3" w:rsidRPr="00A04B4D" w:rsidRDefault="006757F3" w:rsidP="00B768F6">
            <w:pPr>
              <w:spacing w:after="0" w:line="240" w:lineRule="auto"/>
              <w:rPr>
                <w:rFonts w:ascii="Times New Roman" w:eastAsia="Times New Roman" w:hAnsi="Times New Roman" w:cs="Times New Roman"/>
                <w:color w:val="000000"/>
                <w:lang w:val="en-US"/>
              </w:rPr>
            </w:pPr>
            <w:proofErr w:type="spellStart"/>
            <w:r>
              <w:rPr>
                <w:rFonts w:ascii="Times New Roman" w:eastAsia="Times New Roman" w:hAnsi="Times New Roman" w:cs="Times New Roman"/>
                <w:color w:val="000000"/>
                <w:lang w:val="en-US"/>
              </w:rPr>
              <w:t>Cap_</w:t>
            </w:r>
            <w:r w:rsidRPr="00A04B4D">
              <w:rPr>
                <w:rFonts w:ascii="Times New Roman" w:eastAsia="Times New Roman" w:hAnsi="Times New Roman" w:cs="Times New Roman"/>
                <w:color w:val="000000"/>
                <w:lang w:val="en-US"/>
              </w:rPr>
              <w:t>Intensity</w:t>
            </w:r>
            <w:proofErr w:type="spellEnd"/>
            <w:r w:rsidRPr="00A04B4D">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(Ratio)</w:t>
            </w:r>
          </w:p>
        </w:tc>
        <w:tc>
          <w:tcPr>
            <w:tcW w:w="552" w:type="pct"/>
            <w:tcBorders>
              <w:top w:val="nil"/>
              <w:left w:val="nil"/>
              <w:bottom w:val="nil"/>
              <w:right w:val="nil"/>
            </w:tcBorders>
            <w:noWrap/>
            <w:vAlign w:val="center"/>
            <w:hideMark/>
          </w:tcPr>
          <w:p w14:paraId="2FCD4C00"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4379</w:t>
            </w:r>
          </w:p>
        </w:tc>
        <w:tc>
          <w:tcPr>
            <w:tcW w:w="703" w:type="pct"/>
            <w:tcBorders>
              <w:top w:val="nil"/>
              <w:left w:val="nil"/>
              <w:bottom w:val="nil"/>
              <w:right w:val="nil"/>
            </w:tcBorders>
            <w:noWrap/>
            <w:vAlign w:val="center"/>
            <w:hideMark/>
          </w:tcPr>
          <w:p w14:paraId="71E977DC"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0.58</w:t>
            </w:r>
          </w:p>
        </w:tc>
        <w:tc>
          <w:tcPr>
            <w:tcW w:w="903" w:type="pct"/>
            <w:tcBorders>
              <w:top w:val="nil"/>
              <w:left w:val="nil"/>
              <w:bottom w:val="nil"/>
              <w:right w:val="nil"/>
            </w:tcBorders>
            <w:noWrap/>
            <w:vAlign w:val="center"/>
            <w:hideMark/>
          </w:tcPr>
          <w:p w14:paraId="24A8274A"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0.39</w:t>
            </w:r>
          </w:p>
        </w:tc>
        <w:tc>
          <w:tcPr>
            <w:tcW w:w="777" w:type="pct"/>
            <w:tcBorders>
              <w:top w:val="nil"/>
              <w:left w:val="nil"/>
              <w:bottom w:val="nil"/>
              <w:right w:val="nil"/>
            </w:tcBorders>
            <w:noWrap/>
            <w:vAlign w:val="center"/>
            <w:hideMark/>
          </w:tcPr>
          <w:p w14:paraId="61F7F8CE"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0.00</w:t>
            </w:r>
          </w:p>
        </w:tc>
        <w:tc>
          <w:tcPr>
            <w:tcW w:w="821" w:type="pct"/>
            <w:tcBorders>
              <w:top w:val="nil"/>
              <w:left w:val="nil"/>
              <w:bottom w:val="nil"/>
              <w:right w:val="nil"/>
            </w:tcBorders>
            <w:noWrap/>
            <w:vAlign w:val="center"/>
            <w:hideMark/>
          </w:tcPr>
          <w:p w14:paraId="0110D626"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3.14</w:t>
            </w:r>
          </w:p>
        </w:tc>
      </w:tr>
      <w:tr w:rsidR="006757F3" w:rsidRPr="00904FC2" w14:paraId="48D6C00F" w14:textId="77777777" w:rsidTr="00B768F6">
        <w:trPr>
          <w:trHeight w:val="360"/>
        </w:trPr>
        <w:tc>
          <w:tcPr>
            <w:tcW w:w="1244" w:type="pct"/>
            <w:tcBorders>
              <w:top w:val="nil"/>
              <w:left w:val="nil"/>
              <w:right w:val="nil"/>
            </w:tcBorders>
            <w:vAlign w:val="center"/>
          </w:tcPr>
          <w:p w14:paraId="1A3F4FBA" w14:textId="77777777" w:rsidR="006757F3" w:rsidRPr="00A04B4D" w:rsidRDefault="006757F3" w:rsidP="00B768F6">
            <w:pPr>
              <w:spacing w:after="0" w:line="240" w:lineRule="auto"/>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 xml:space="preserve">Capex2Sales </w:t>
            </w:r>
            <w:r>
              <w:rPr>
                <w:rFonts w:ascii="Times New Roman" w:eastAsia="Times New Roman" w:hAnsi="Times New Roman" w:cs="Times New Roman"/>
                <w:color w:val="000000"/>
                <w:lang w:val="en-US"/>
              </w:rPr>
              <w:t>(Ratio)</w:t>
            </w:r>
          </w:p>
        </w:tc>
        <w:tc>
          <w:tcPr>
            <w:tcW w:w="552" w:type="pct"/>
            <w:tcBorders>
              <w:top w:val="nil"/>
              <w:left w:val="nil"/>
              <w:right w:val="nil"/>
            </w:tcBorders>
            <w:noWrap/>
            <w:vAlign w:val="center"/>
            <w:hideMark/>
          </w:tcPr>
          <w:p w14:paraId="09E26153"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4379</w:t>
            </w:r>
          </w:p>
        </w:tc>
        <w:tc>
          <w:tcPr>
            <w:tcW w:w="703" w:type="pct"/>
            <w:tcBorders>
              <w:top w:val="nil"/>
              <w:left w:val="nil"/>
              <w:right w:val="nil"/>
            </w:tcBorders>
            <w:noWrap/>
            <w:vAlign w:val="center"/>
            <w:hideMark/>
          </w:tcPr>
          <w:p w14:paraId="4CBC5CF5"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7.80</w:t>
            </w:r>
          </w:p>
        </w:tc>
        <w:tc>
          <w:tcPr>
            <w:tcW w:w="903" w:type="pct"/>
            <w:tcBorders>
              <w:top w:val="nil"/>
              <w:left w:val="nil"/>
              <w:right w:val="nil"/>
            </w:tcBorders>
            <w:noWrap/>
            <w:vAlign w:val="center"/>
            <w:hideMark/>
          </w:tcPr>
          <w:p w14:paraId="7146F87F"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15.36</w:t>
            </w:r>
          </w:p>
        </w:tc>
        <w:tc>
          <w:tcPr>
            <w:tcW w:w="777" w:type="pct"/>
            <w:tcBorders>
              <w:top w:val="nil"/>
              <w:left w:val="nil"/>
              <w:right w:val="nil"/>
            </w:tcBorders>
            <w:noWrap/>
            <w:vAlign w:val="center"/>
            <w:hideMark/>
          </w:tcPr>
          <w:p w14:paraId="4AB803A4"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0.00</w:t>
            </w:r>
          </w:p>
        </w:tc>
        <w:tc>
          <w:tcPr>
            <w:tcW w:w="821" w:type="pct"/>
            <w:tcBorders>
              <w:top w:val="nil"/>
              <w:left w:val="nil"/>
              <w:right w:val="nil"/>
            </w:tcBorders>
            <w:noWrap/>
            <w:vAlign w:val="center"/>
            <w:hideMark/>
          </w:tcPr>
          <w:p w14:paraId="10708CD0"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279.87</w:t>
            </w:r>
          </w:p>
        </w:tc>
      </w:tr>
      <w:tr w:rsidR="006757F3" w:rsidRPr="00904FC2" w14:paraId="5ED2555F" w14:textId="77777777" w:rsidTr="00B768F6">
        <w:trPr>
          <w:trHeight w:val="360"/>
        </w:trPr>
        <w:tc>
          <w:tcPr>
            <w:tcW w:w="1244" w:type="pct"/>
            <w:tcBorders>
              <w:top w:val="nil"/>
              <w:left w:val="nil"/>
              <w:bottom w:val="single" w:sz="4" w:space="0" w:color="auto"/>
              <w:right w:val="nil"/>
            </w:tcBorders>
            <w:vAlign w:val="center"/>
          </w:tcPr>
          <w:p w14:paraId="7192D7A3" w14:textId="77777777" w:rsidR="006757F3" w:rsidRPr="00A04B4D" w:rsidRDefault="006757F3" w:rsidP="00B768F6">
            <w:pPr>
              <w:spacing w:after="0" w:line="240" w:lineRule="auto"/>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 xml:space="preserve">Market2Book </w:t>
            </w:r>
            <w:r>
              <w:rPr>
                <w:rFonts w:ascii="Times New Roman" w:eastAsia="Times New Roman" w:hAnsi="Times New Roman" w:cs="Times New Roman"/>
                <w:color w:val="000000"/>
                <w:lang w:val="en-US"/>
              </w:rPr>
              <w:t>(Ratio)</w:t>
            </w:r>
          </w:p>
        </w:tc>
        <w:tc>
          <w:tcPr>
            <w:tcW w:w="552" w:type="pct"/>
            <w:tcBorders>
              <w:top w:val="nil"/>
              <w:left w:val="nil"/>
              <w:bottom w:val="single" w:sz="4" w:space="0" w:color="auto"/>
              <w:right w:val="nil"/>
            </w:tcBorders>
            <w:noWrap/>
            <w:vAlign w:val="center"/>
            <w:hideMark/>
          </w:tcPr>
          <w:p w14:paraId="29678067"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4379</w:t>
            </w:r>
          </w:p>
        </w:tc>
        <w:tc>
          <w:tcPr>
            <w:tcW w:w="703" w:type="pct"/>
            <w:tcBorders>
              <w:top w:val="nil"/>
              <w:left w:val="nil"/>
              <w:bottom w:val="single" w:sz="4" w:space="0" w:color="auto"/>
              <w:right w:val="nil"/>
            </w:tcBorders>
            <w:noWrap/>
            <w:vAlign w:val="center"/>
            <w:hideMark/>
          </w:tcPr>
          <w:p w14:paraId="02B5B063"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457.99</w:t>
            </w:r>
          </w:p>
        </w:tc>
        <w:tc>
          <w:tcPr>
            <w:tcW w:w="903" w:type="pct"/>
            <w:tcBorders>
              <w:top w:val="nil"/>
              <w:left w:val="nil"/>
              <w:bottom w:val="single" w:sz="4" w:space="0" w:color="auto"/>
              <w:right w:val="nil"/>
            </w:tcBorders>
            <w:noWrap/>
            <w:vAlign w:val="center"/>
            <w:hideMark/>
          </w:tcPr>
          <w:p w14:paraId="0F3C6597"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243.63</w:t>
            </w:r>
          </w:p>
        </w:tc>
        <w:tc>
          <w:tcPr>
            <w:tcW w:w="777" w:type="pct"/>
            <w:tcBorders>
              <w:top w:val="nil"/>
              <w:left w:val="nil"/>
              <w:bottom w:val="single" w:sz="4" w:space="0" w:color="auto"/>
              <w:right w:val="nil"/>
            </w:tcBorders>
            <w:noWrap/>
            <w:vAlign w:val="center"/>
            <w:hideMark/>
          </w:tcPr>
          <w:p w14:paraId="1B11F800"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2.00</w:t>
            </w:r>
          </w:p>
        </w:tc>
        <w:tc>
          <w:tcPr>
            <w:tcW w:w="821" w:type="pct"/>
            <w:tcBorders>
              <w:top w:val="nil"/>
              <w:left w:val="nil"/>
              <w:bottom w:val="single" w:sz="4" w:space="0" w:color="auto"/>
              <w:right w:val="nil"/>
            </w:tcBorders>
            <w:noWrap/>
            <w:vAlign w:val="center"/>
            <w:hideMark/>
          </w:tcPr>
          <w:p w14:paraId="1B63CD94" w14:textId="77777777" w:rsidR="006757F3" w:rsidRPr="00A04B4D" w:rsidRDefault="006757F3" w:rsidP="00B768F6">
            <w:pPr>
              <w:spacing w:after="0" w:line="240" w:lineRule="auto"/>
              <w:jc w:val="center"/>
              <w:rPr>
                <w:rFonts w:ascii="Times New Roman" w:eastAsia="Times New Roman" w:hAnsi="Times New Roman" w:cs="Times New Roman"/>
                <w:color w:val="000000"/>
                <w:lang w:val="en-US"/>
              </w:rPr>
            </w:pPr>
            <w:r w:rsidRPr="00A04B4D">
              <w:rPr>
                <w:rFonts w:ascii="Times New Roman" w:eastAsia="Times New Roman" w:hAnsi="Times New Roman" w:cs="Times New Roman"/>
                <w:color w:val="000000"/>
                <w:lang w:val="en-US"/>
              </w:rPr>
              <w:t>1122.00</w:t>
            </w:r>
          </w:p>
        </w:tc>
      </w:tr>
    </w:tbl>
    <w:p w14:paraId="4621F69A" w14:textId="77777777" w:rsidR="006757F3" w:rsidRPr="00F350EF" w:rsidRDefault="006757F3" w:rsidP="006757F3">
      <w:pPr>
        <w:spacing w:after="0" w:line="240" w:lineRule="auto"/>
        <w:jc w:val="both"/>
        <w:rPr>
          <w:rFonts w:ascii="Times New Roman" w:hAnsi="Times New Roman" w:cs="Times New Roman"/>
          <w:sz w:val="20"/>
          <w:szCs w:val="20"/>
        </w:rPr>
      </w:pPr>
      <w:r w:rsidRPr="00F350EF">
        <w:rPr>
          <w:rFonts w:ascii="Times New Roman" w:hAnsi="Times New Roman" w:cs="Times New Roman"/>
          <w:sz w:val="20"/>
          <w:szCs w:val="20"/>
        </w:rPr>
        <w:t>Notes: Please see Table 2 for variable definitions.</w:t>
      </w:r>
    </w:p>
    <w:p w14:paraId="1FFE4AAA" w14:textId="77777777" w:rsidR="006757F3" w:rsidRPr="00F2461F" w:rsidRDefault="006757F3" w:rsidP="006757F3">
      <w:pPr>
        <w:spacing w:after="0" w:line="480" w:lineRule="auto"/>
        <w:jc w:val="both"/>
        <w:rPr>
          <w:rFonts w:ascii="Times New Roman" w:hAnsi="Times New Roman" w:cs="Times New Roman"/>
        </w:rPr>
      </w:pPr>
    </w:p>
    <w:p w14:paraId="798311A1" w14:textId="77777777" w:rsidR="006757F3" w:rsidRDefault="006757F3" w:rsidP="006757F3">
      <w:pPr>
        <w:spacing w:after="0" w:line="240" w:lineRule="auto"/>
        <w:rPr>
          <w:rFonts w:ascii="Times New Roman" w:hAnsi="Times New Roman" w:cs="Times New Roman"/>
          <w:i/>
        </w:rPr>
        <w:sectPr w:rsidR="006757F3" w:rsidSect="00E7502D">
          <w:footerReference w:type="default" r:id="rId22"/>
          <w:pgSz w:w="12240" w:h="15840"/>
          <w:pgMar w:top="1440" w:right="1440" w:bottom="1440" w:left="1440" w:header="720" w:footer="720" w:gutter="0"/>
          <w:cols w:space="720"/>
          <w:docGrid w:linePitch="360"/>
        </w:sectPr>
      </w:pPr>
    </w:p>
    <w:p w14:paraId="34483E55" w14:textId="77777777" w:rsidR="006757F3" w:rsidRDefault="006757F3" w:rsidP="006757F3">
      <w:pPr>
        <w:spacing w:after="0" w:line="240" w:lineRule="auto"/>
        <w:rPr>
          <w:rFonts w:ascii="Times New Roman" w:hAnsi="Times New Roman" w:cs="Times New Roman"/>
          <w:i/>
        </w:rPr>
      </w:pPr>
      <w:r w:rsidRPr="00A55D8E">
        <w:rPr>
          <w:rFonts w:ascii="Times New Roman" w:hAnsi="Times New Roman" w:cs="Times New Roman"/>
          <w:i/>
        </w:rPr>
        <w:lastRenderedPageBreak/>
        <w:t>Table 4. Correlation matrix</w:t>
      </w:r>
    </w:p>
    <w:tbl>
      <w:tblPr>
        <w:tblW w:w="4895" w:type="pct"/>
        <w:tblCellMar>
          <w:top w:w="15" w:type="dxa"/>
          <w:bottom w:w="15" w:type="dxa"/>
        </w:tblCellMar>
        <w:tblLook w:val="04A0" w:firstRow="1" w:lastRow="0" w:firstColumn="1" w:lastColumn="0" w:noHBand="0" w:noVBand="1"/>
      </w:tblPr>
      <w:tblGrid>
        <w:gridCol w:w="1761"/>
        <w:gridCol w:w="733"/>
        <w:gridCol w:w="733"/>
        <w:gridCol w:w="733"/>
        <w:gridCol w:w="733"/>
        <w:gridCol w:w="733"/>
        <w:gridCol w:w="733"/>
        <w:gridCol w:w="733"/>
        <w:gridCol w:w="666"/>
        <w:gridCol w:w="733"/>
        <w:gridCol w:w="733"/>
        <w:gridCol w:w="733"/>
        <w:gridCol w:w="733"/>
        <w:gridCol w:w="733"/>
        <w:gridCol w:w="733"/>
        <w:gridCol w:w="733"/>
      </w:tblGrid>
      <w:tr w:rsidR="006757F3" w:rsidRPr="0064782A" w14:paraId="5CF2F909" w14:textId="77777777" w:rsidTr="0029698B">
        <w:trPr>
          <w:trHeight w:val="360"/>
        </w:trPr>
        <w:tc>
          <w:tcPr>
            <w:tcW w:w="694" w:type="pct"/>
            <w:tcBorders>
              <w:top w:val="single" w:sz="4" w:space="0" w:color="auto"/>
              <w:bottom w:val="single" w:sz="4" w:space="0" w:color="auto"/>
            </w:tcBorders>
            <w:noWrap/>
            <w:vAlign w:val="center"/>
            <w:hideMark/>
          </w:tcPr>
          <w:p w14:paraId="61A72E00" w14:textId="77777777" w:rsidR="006757F3" w:rsidRPr="00CD7A42" w:rsidRDefault="006757F3" w:rsidP="00B768F6">
            <w:pPr>
              <w:spacing w:after="0" w:line="240" w:lineRule="auto"/>
              <w:rPr>
                <w:rFonts w:ascii="Times New Roman" w:eastAsia="Times New Roman" w:hAnsi="Times New Roman" w:cs="Times New Roman"/>
                <w:sz w:val="20"/>
                <w:szCs w:val="20"/>
                <w:lang w:val="en-US"/>
              </w:rPr>
            </w:pPr>
            <w:r w:rsidRPr="00CD7A42">
              <w:rPr>
                <w:rFonts w:ascii="Times New Roman" w:hAnsi="Times New Roman" w:cs="Times New Roman"/>
                <w:sz w:val="20"/>
                <w:szCs w:val="20"/>
              </w:rPr>
              <w:t>Variables</w:t>
            </w:r>
          </w:p>
        </w:tc>
        <w:tc>
          <w:tcPr>
            <w:tcW w:w="289" w:type="pct"/>
            <w:tcBorders>
              <w:top w:val="single" w:sz="4" w:space="0" w:color="auto"/>
              <w:bottom w:val="single" w:sz="4" w:space="0" w:color="auto"/>
            </w:tcBorders>
            <w:noWrap/>
            <w:vAlign w:val="center"/>
            <w:hideMark/>
          </w:tcPr>
          <w:p w14:paraId="659CA245"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1</w:t>
            </w:r>
          </w:p>
        </w:tc>
        <w:tc>
          <w:tcPr>
            <w:tcW w:w="289" w:type="pct"/>
            <w:tcBorders>
              <w:top w:val="single" w:sz="4" w:space="0" w:color="auto"/>
              <w:bottom w:val="single" w:sz="4" w:space="0" w:color="auto"/>
            </w:tcBorders>
            <w:noWrap/>
            <w:vAlign w:val="center"/>
            <w:hideMark/>
          </w:tcPr>
          <w:p w14:paraId="450A1CF7"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2</w:t>
            </w:r>
          </w:p>
        </w:tc>
        <w:tc>
          <w:tcPr>
            <w:tcW w:w="289" w:type="pct"/>
            <w:tcBorders>
              <w:top w:val="single" w:sz="4" w:space="0" w:color="auto"/>
              <w:bottom w:val="single" w:sz="4" w:space="0" w:color="auto"/>
            </w:tcBorders>
            <w:noWrap/>
            <w:vAlign w:val="center"/>
            <w:hideMark/>
          </w:tcPr>
          <w:p w14:paraId="3005F8C9"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3</w:t>
            </w:r>
          </w:p>
        </w:tc>
        <w:tc>
          <w:tcPr>
            <w:tcW w:w="289" w:type="pct"/>
            <w:tcBorders>
              <w:top w:val="single" w:sz="4" w:space="0" w:color="auto"/>
              <w:bottom w:val="single" w:sz="4" w:space="0" w:color="auto"/>
            </w:tcBorders>
            <w:noWrap/>
            <w:vAlign w:val="center"/>
            <w:hideMark/>
          </w:tcPr>
          <w:p w14:paraId="702614AD"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4</w:t>
            </w:r>
          </w:p>
        </w:tc>
        <w:tc>
          <w:tcPr>
            <w:tcW w:w="289" w:type="pct"/>
            <w:tcBorders>
              <w:top w:val="single" w:sz="4" w:space="0" w:color="auto"/>
              <w:bottom w:val="single" w:sz="4" w:space="0" w:color="auto"/>
            </w:tcBorders>
            <w:noWrap/>
            <w:vAlign w:val="center"/>
            <w:hideMark/>
          </w:tcPr>
          <w:p w14:paraId="7FF432FF"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5</w:t>
            </w:r>
          </w:p>
        </w:tc>
        <w:tc>
          <w:tcPr>
            <w:tcW w:w="289" w:type="pct"/>
            <w:tcBorders>
              <w:top w:val="single" w:sz="4" w:space="0" w:color="auto"/>
              <w:bottom w:val="single" w:sz="4" w:space="0" w:color="auto"/>
            </w:tcBorders>
            <w:noWrap/>
            <w:vAlign w:val="center"/>
            <w:hideMark/>
          </w:tcPr>
          <w:p w14:paraId="56554E1B"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6</w:t>
            </w:r>
          </w:p>
        </w:tc>
        <w:tc>
          <w:tcPr>
            <w:tcW w:w="289" w:type="pct"/>
            <w:tcBorders>
              <w:top w:val="single" w:sz="4" w:space="0" w:color="auto"/>
              <w:bottom w:val="single" w:sz="4" w:space="0" w:color="auto"/>
            </w:tcBorders>
            <w:noWrap/>
            <w:vAlign w:val="center"/>
            <w:hideMark/>
          </w:tcPr>
          <w:p w14:paraId="21A24A30"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7</w:t>
            </w:r>
          </w:p>
        </w:tc>
        <w:tc>
          <w:tcPr>
            <w:tcW w:w="262" w:type="pct"/>
            <w:tcBorders>
              <w:top w:val="single" w:sz="4" w:space="0" w:color="auto"/>
              <w:bottom w:val="single" w:sz="4" w:space="0" w:color="auto"/>
            </w:tcBorders>
            <w:noWrap/>
            <w:vAlign w:val="center"/>
            <w:hideMark/>
          </w:tcPr>
          <w:p w14:paraId="6A04C7E3"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8</w:t>
            </w:r>
          </w:p>
        </w:tc>
        <w:tc>
          <w:tcPr>
            <w:tcW w:w="289" w:type="pct"/>
            <w:tcBorders>
              <w:top w:val="single" w:sz="4" w:space="0" w:color="auto"/>
              <w:bottom w:val="single" w:sz="4" w:space="0" w:color="auto"/>
            </w:tcBorders>
            <w:noWrap/>
            <w:vAlign w:val="center"/>
            <w:hideMark/>
          </w:tcPr>
          <w:p w14:paraId="54752EFF"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9</w:t>
            </w:r>
          </w:p>
        </w:tc>
        <w:tc>
          <w:tcPr>
            <w:tcW w:w="289" w:type="pct"/>
            <w:tcBorders>
              <w:top w:val="single" w:sz="4" w:space="0" w:color="auto"/>
              <w:bottom w:val="single" w:sz="4" w:space="0" w:color="auto"/>
            </w:tcBorders>
            <w:noWrap/>
            <w:vAlign w:val="center"/>
            <w:hideMark/>
          </w:tcPr>
          <w:p w14:paraId="2E98DD2E"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10</w:t>
            </w:r>
          </w:p>
        </w:tc>
        <w:tc>
          <w:tcPr>
            <w:tcW w:w="289" w:type="pct"/>
            <w:tcBorders>
              <w:top w:val="single" w:sz="4" w:space="0" w:color="auto"/>
              <w:bottom w:val="single" w:sz="4" w:space="0" w:color="auto"/>
            </w:tcBorders>
            <w:noWrap/>
            <w:vAlign w:val="center"/>
            <w:hideMark/>
          </w:tcPr>
          <w:p w14:paraId="396A00CF"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11</w:t>
            </w:r>
          </w:p>
        </w:tc>
        <w:tc>
          <w:tcPr>
            <w:tcW w:w="289" w:type="pct"/>
            <w:tcBorders>
              <w:top w:val="single" w:sz="4" w:space="0" w:color="auto"/>
              <w:bottom w:val="single" w:sz="4" w:space="0" w:color="auto"/>
            </w:tcBorders>
            <w:noWrap/>
            <w:vAlign w:val="center"/>
            <w:hideMark/>
          </w:tcPr>
          <w:p w14:paraId="32ADC989"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12</w:t>
            </w:r>
          </w:p>
        </w:tc>
        <w:tc>
          <w:tcPr>
            <w:tcW w:w="289" w:type="pct"/>
            <w:tcBorders>
              <w:top w:val="single" w:sz="4" w:space="0" w:color="auto"/>
              <w:bottom w:val="single" w:sz="4" w:space="0" w:color="auto"/>
            </w:tcBorders>
            <w:noWrap/>
            <w:vAlign w:val="center"/>
            <w:hideMark/>
          </w:tcPr>
          <w:p w14:paraId="5019596C"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13</w:t>
            </w:r>
          </w:p>
        </w:tc>
        <w:tc>
          <w:tcPr>
            <w:tcW w:w="289" w:type="pct"/>
            <w:tcBorders>
              <w:top w:val="single" w:sz="4" w:space="0" w:color="auto"/>
              <w:bottom w:val="single" w:sz="4" w:space="0" w:color="auto"/>
            </w:tcBorders>
            <w:noWrap/>
            <w:vAlign w:val="center"/>
            <w:hideMark/>
          </w:tcPr>
          <w:p w14:paraId="7788571A"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14</w:t>
            </w:r>
          </w:p>
        </w:tc>
        <w:tc>
          <w:tcPr>
            <w:tcW w:w="289" w:type="pct"/>
            <w:tcBorders>
              <w:top w:val="single" w:sz="4" w:space="0" w:color="auto"/>
              <w:bottom w:val="single" w:sz="4" w:space="0" w:color="auto"/>
            </w:tcBorders>
            <w:noWrap/>
            <w:vAlign w:val="center"/>
            <w:hideMark/>
          </w:tcPr>
          <w:p w14:paraId="44827C9A"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15</w:t>
            </w:r>
          </w:p>
        </w:tc>
      </w:tr>
      <w:tr w:rsidR="006757F3" w:rsidRPr="0064782A" w14:paraId="4DB60620" w14:textId="77777777" w:rsidTr="0029698B">
        <w:trPr>
          <w:trHeight w:val="360"/>
        </w:trPr>
        <w:tc>
          <w:tcPr>
            <w:tcW w:w="694" w:type="pct"/>
            <w:tcBorders>
              <w:top w:val="single" w:sz="4" w:space="0" w:color="auto"/>
            </w:tcBorders>
            <w:noWrap/>
            <w:vAlign w:val="center"/>
            <w:hideMark/>
          </w:tcPr>
          <w:p w14:paraId="7048A6FB" w14:textId="77777777" w:rsidR="006757F3" w:rsidRPr="00CD7A42" w:rsidRDefault="006757F3" w:rsidP="00B768F6">
            <w:pPr>
              <w:spacing w:after="0" w:line="240" w:lineRule="auto"/>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GHG (1)</w:t>
            </w:r>
          </w:p>
        </w:tc>
        <w:tc>
          <w:tcPr>
            <w:tcW w:w="289" w:type="pct"/>
            <w:tcBorders>
              <w:top w:val="single" w:sz="4" w:space="0" w:color="auto"/>
            </w:tcBorders>
            <w:noWrap/>
            <w:vAlign w:val="center"/>
            <w:hideMark/>
          </w:tcPr>
          <w:p w14:paraId="2E3AEDC9"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1</w:t>
            </w:r>
          </w:p>
        </w:tc>
        <w:tc>
          <w:tcPr>
            <w:tcW w:w="289" w:type="pct"/>
            <w:tcBorders>
              <w:top w:val="single" w:sz="4" w:space="0" w:color="auto"/>
            </w:tcBorders>
            <w:noWrap/>
            <w:vAlign w:val="center"/>
            <w:hideMark/>
          </w:tcPr>
          <w:p w14:paraId="25C10293"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p>
        </w:tc>
        <w:tc>
          <w:tcPr>
            <w:tcW w:w="289" w:type="pct"/>
            <w:tcBorders>
              <w:top w:val="single" w:sz="4" w:space="0" w:color="auto"/>
            </w:tcBorders>
            <w:noWrap/>
            <w:vAlign w:val="center"/>
            <w:hideMark/>
          </w:tcPr>
          <w:p w14:paraId="788C90F9"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tcBorders>
              <w:top w:val="single" w:sz="4" w:space="0" w:color="auto"/>
            </w:tcBorders>
            <w:noWrap/>
            <w:vAlign w:val="center"/>
            <w:hideMark/>
          </w:tcPr>
          <w:p w14:paraId="43A29CEA"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tcBorders>
              <w:top w:val="single" w:sz="4" w:space="0" w:color="auto"/>
            </w:tcBorders>
            <w:noWrap/>
            <w:vAlign w:val="center"/>
            <w:hideMark/>
          </w:tcPr>
          <w:p w14:paraId="506A8B9B"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tcBorders>
              <w:top w:val="single" w:sz="4" w:space="0" w:color="auto"/>
            </w:tcBorders>
            <w:noWrap/>
            <w:vAlign w:val="center"/>
            <w:hideMark/>
          </w:tcPr>
          <w:p w14:paraId="227AA7E8"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tcBorders>
              <w:top w:val="single" w:sz="4" w:space="0" w:color="auto"/>
            </w:tcBorders>
            <w:noWrap/>
            <w:vAlign w:val="center"/>
            <w:hideMark/>
          </w:tcPr>
          <w:p w14:paraId="568826A7"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62" w:type="pct"/>
            <w:tcBorders>
              <w:top w:val="single" w:sz="4" w:space="0" w:color="auto"/>
            </w:tcBorders>
            <w:noWrap/>
            <w:vAlign w:val="center"/>
            <w:hideMark/>
          </w:tcPr>
          <w:p w14:paraId="403FB76C"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tcBorders>
              <w:top w:val="single" w:sz="4" w:space="0" w:color="auto"/>
            </w:tcBorders>
            <w:noWrap/>
            <w:vAlign w:val="center"/>
            <w:hideMark/>
          </w:tcPr>
          <w:p w14:paraId="676C9382"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tcBorders>
              <w:top w:val="single" w:sz="4" w:space="0" w:color="auto"/>
            </w:tcBorders>
            <w:noWrap/>
            <w:vAlign w:val="center"/>
            <w:hideMark/>
          </w:tcPr>
          <w:p w14:paraId="4B63C3EF"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tcBorders>
              <w:top w:val="single" w:sz="4" w:space="0" w:color="auto"/>
            </w:tcBorders>
            <w:noWrap/>
            <w:vAlign w:val="center"/>
            <w:hideMark/>
          </w:tcPr>
          <w:p w14:paraId="4D607C45"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tcBorders>
              <w:top w:val="single" w:sz="4" w:space="0" w:color="auto"/>
            </w:tcBorders>
            <w:noWrap/>
            <w:vAlign w:val="center"/>
            <w:hideMark/>
          </w:tcPr>
          <w:p w14:paraId="098C31BF"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tcBorders>
              <w:top w:val="single" w:sz="4" w:space="0" w:color="auto"/>
            </w:tcBorders>
            <w:noWrap/>
            <w:vAlign w:val="center"/>
            <w:hideMark/>
          </w:tcPr>
          <w:p w14:paraId="625D1539"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tcBorders>
              <w:top w:val="single" w:sz="4" w:space="0" w:color="auto"/>
            </w:tcBorders>
            <w:noWrap/>
            <w:vAlign w:val="center"/>
            <w:hideMark/>
          </w:tcPr>
          <w:p w14:paraId="28040553"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tcBorders>
              <w:top w:val="single" w:sz="4" w:space="0" w:color="auto"/>
            </w:tcBorders>
            <w:noWrap/>
            <w:vAlign w:val="center"/>
            <w:hideMark/>
          </w:tcPr>
          <w:p w14:paraId="3D4CFDEB"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r>
      <w:tr w:rsidR="006757F3" w:rsidRPr="0064782A" w14:paraId="0F1D4288" w14:textId="77777777" w:rsidTr="0029698B">
        <w:trPr>
          <w:trHeight w:val="360"/>
        </w:trPr>
        <w:tc>
          <w:tcPr>
            <w:tcW w:w="694" w:type="pct"/>
            <w:noWrap/>
            <w:vAlign w:val="center"/>
            <w:hideMark/>
          </w:tcPr>
          <w:p w14:paraId="5B15C6BA" w14:textId="77777777" w:rsidR="006757F3" w:rsidRPr="00CD7A42" w:rsidRDefault="006757F3" w:rsidP="00B768F6">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P</w:t>
            </w:r>
            <w:r w:rsidRPr="00CD7A42">
              <w:rPr>
                <w:rFonts w:ascii="Times New Roman" w:eastAsia="Times New Roman" w:hAnsi="Times New Roman" w:cs="Times New Roman"/>
                <w:color w:val="000000"/>
                <w:sz w:val="20"/>
                <w:szCs w:val="20"/>
                <w:lang w:val="en-US"/>
              </w:rPr>
              <w:t>CRI (2)</w:t>
            </w:r>
          </w:p>
        </w:tc>
        <w:tc>
          <w:tcPr>
            <w:tcW w:w="289" w:type="pct"/>
            <w:noWrap/>
            <w:vAlign w:val="center"/>
            <w:hideMark/>
          </w:tcPr>
          <w:p w14:paraId="6D75A3E3"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0.50</w:t>
            </w:r>
            <w:r>
              <w:rPr>
                <w:rFonts w:ascii="Times New Roman" w:eastAsia="Times New Roman" w:hAnsi="Times New Roman" w:cs="Times New Roman"/>
                <w:color w:val="000000"/>
                <w:sz w:val="20"/>
                <w:szCs w:val="20"/>
                <w:lang w:val="en-US"/>
              </w:rPr>
              <w:t>*</w:t>
            </w:r>
          </w:p>
        </w:tc>
        <w:tc>
          <w:tcPr>
            <w:tcW w:w="289" w:type="pct"/>
            <w:noWrap/>
            <w:vAlign w:val="center"/>
            <w:hideMark/>
          </w:tcPr>
          <w:p w14:paraId="551D1EE5"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1</w:t>
            </w:r>
          </w:p>
        </w:tc>
        <w:tc>
          <w:tcPr>
            <w:tcW w:w="289" w:type="pct"/>
            <w:noWrap/>
            <w:vAlign w:val="center"/>
            <w:hideMark/>
          </w:tcPr>
          <w:p w14:paraId="59371287"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p>
        </w:tc>
        <w:tc>
          <w:tcPr>
            <w:tcW w:w="289" w:type="pct"/>
            <w:noWrap/>
            <w:vAlign w:val="center"/>
            <w:hideMark/>
          </w:tcPr>
          <w:p w14:paraId="30CEAEFE"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041C19F9"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451D14D0"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07B4419D"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62" w:type="pct"/>
            <w:noWrap/>
            <w:vAlign w:val="center"/>
            <w:hideMark/>
          </w:tcPr>
          <w:p w14:paraId="2945D38B"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76D1351D"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52EF8D86"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4B152E69"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06A25F18"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1E26D33E"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5282BBDA"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7C6D7B39"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r>
      <w:tr w:rsidR="006757F3" w:rsidRPr="0064782A" w14:paraId="7B072EED" w14:textId="77777777" w:rsidTr="0029698B">
        <w:trPr>
          <w:trHeight w:val="360"/>
        </w:trPr>
        <w:tc>
          <w:tcPr>
            <w:tcW w:w="694" w:type="pct"/>
            <w:noWrap/>
            <w:vAlign w:val="center"/>
            <w:hideMark/>
          </w:tcPr>
          <w:p w14:paraId="708E0297" w14:textId="77777777" w:rsidR="006757F3" w:rsidRPr="00CD7A42" w:rsidRDefault="006757F3" w:rsidP="00B768F6">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Q</w:t>
            </w:r>
            <w:r w:rsidRPr="00CD7A42">
              <w:rPr>
                <w:rFonts w:ascii="Times New Roman" w:eastAsia="Times New Roman" w:hAnsi="Times New Roman" w:cs="Times New Roman"/>
                <w:color w:val="000000"/>
                <w:sz w:val="20"/>
                <w:szCs w:val="20"/>
                <w:lang w:val="en-US"/>
              </w:rPr>
              <w:t xml:space="preserve"> (3)</w:t>
            </w:r>
          </w:p>
        </w:tc>
        <w:tc>
          <w:tcPr>
            <w:tcW w:w="289" w:type="pct"/>
            <w:noWrap/>
            <w:vAlign w:val="center"/>
            <w:hideMark/>
          </w:tcPr>
          <w:p w14:paraId="13065AFC"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-0.21</w:t>
            </w:r>
            <w:r>
              <w:rPr>
                <w:rFonts w:ascii="Times New Roman" w:eastAsia="Times New Roman" w:hAnsi="Times New Roman" w:cs="Times New Roman"/>
                <w:color w:val="000000"/>
                <w:sz w:val="20"/>
                <w:szCs w:val="20"/>
                <w:lang w:val="en-US"/>
              </w:rPr>
              <w:t>*</w:t>
            </w:r>
          </w:p>
        </w:tc>
        <w:tc>
          <w:tcPr>
            <w:tcW w:w="289" w:type="pct"/>
            <w:noWrap/>
            <w:vAlign w:val="center"/>
            <w:hideMark/>
          </w:tcPr>
          <w:p w14:paraId="75DD4066"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-0.10</w:t>
            </w:r>
            <w:r>
              <w:rPr>
                <w:rFonts w:ascii="Times New Roman" w:eastAsia="Times New Roman" w:hAnsi="Times New Roman" w:cs="Times New Roman"/>
                <w:color w:val="000000"/>
                <w:sz w:val="20"/>
                <w:szCs w:val="20"/>
                <w:lang w:val="en-US"/>
              </w:rPr>
              <w:t>*</w:t>
            </w:r>
          </w:p>
        </w:tc>
        <w:tc>
          <w:tcPr>
            <w:tcW w:w="289" w:type="pct"/>
            <w:noWrap/>
            <w:vAlign w:val="center"/>
            <w:hideMark/>
          </w:tcPr>
          <w:p w14:paraId="43FC7481"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1</w:t>
            </w:r>
          </w:p>
        </w:tc>
        <w:tc>
          <w:tcPr>
            <w:tcW w:w="289" w:type="pct"/>
            <w:noWrap/>
            <w:vAlign w:val="center"/>
            <w:hideMark/>
          </w:tcPr>
          <w:p w14:paraId="470E3E9F"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p>
        </w:tc>
        <w:tc>
          <w:tcPr>
            <w:tcW w:w="289" w:type="pct"/>
            <w:noWrap/>
            <w:vAlign w:val="center"/>
            <w:hideMark/>
          </w:tcPr>
          <w:p w14:paraId="088537BA"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79B78580"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108982C7"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62" w:type="pct"/>
            <w:noWrap/>
            <w:vAlign w:val="center"/>
            <w:hideMark/>
          </w:tcPr>
          <w:p w14:paraId="066AC8C4"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49A4AAB8"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4D36326E"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33397AC8"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3F2815CF"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7FD98727"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5722E505"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70B8C269"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r>
      <w:tr w:rsidR="006757F3" w:rsidRPr="0064782A" w14:paraId="0FF512F4" w14:textId="77777777" w:rsidTr="0029698B">
        <w:trPr>
          <w:trHeight w:val="360"/>
        </w:trPr>
        <w:tc>
          <w:tcPr>
            <w:tcW w:w="694" w:type="pct"/>
            <w:noWrap/>
            <w:vAlign w:val="center"/>
          </w:tcPr>
          <w:p w14:paraId="5DA032CE" w14:textId="77777777" w:rsidR="006757F3" w:rsidRDefault="006757F3" w:rsidP="00B768F6">
            <w:pPr>
              <w:spacing w:after="0" w:line="240" w:lineRule="auto"/>
              <w:rPr>
                <w:rFonts w:ascii="Times New Roman" w:eastAsia="Times New Roman" w:hAnsi="Times New Roman" w:cs="Times New Roman"/>
                <w:color w:val="000000"/>
                <w:sz w:val="20"/>
                <w:szCs w:val="20"/>
              </w:rPr>
            </w:pPr>
            <w:r w:rsidRPr="00CD7A42">
              <w:rPr>
                <w:rFonts w:ascii="Times New Roman" w:eastAsia="Times New Roman" w:hAnsi="Times New Roman" w:cs="Times New Roman"/>
                <w:color w:val="000000"/>
                <w:sz w:val="20"/>
                <w:szCs w:val="20"/>
                <w:lang w:val="en-US"/>
              </w:rPr>
              <w:t>E</w:t>
            </w:r>
            <w:r>
              <w:rPr>
                <w:rFonts w:ascii="Times New Roman" w:eastAsia="Times New Roman" w:hAnsi="Times New Roman" w:cs="Times New Roman"/>
                <w:color w:val="000000"/>
                <w:sz w:val="20"/>
                <w:szCs w:val="20"/>
                <w:lang w:val="en-US"/>
              </w:rPr>
              <w:t>C (4</w:t>
            </w:r>
            <w:r w:rsidRPr="00CD7A42">
              <w:rPr>
                <w:rFonts w:ascii="Times New Roman" w:eastAsia="Times New Roman" w:hAnsi="Times New Roman" w:cs="Times New Roman"/>
                <w:color w:val="000000"/>
                <w:sz w:val="20"/>
                <w:szCs w:val="20"/>
                <w:lang w:val="en-US"/>
              </w:rPr>
              <w:t>)</w:t>
            </w:r>
          </w:p>
        </w:tc>
        <w:tc>
          <w:tcPr>
            <w:tcW w:w="289" w:type="pct"/>
            <w:noWrap/>
            <w:vAlign w:val="center"/>
          </w:tcPr>
          <w:p w14:paraId="65C9FAA6"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0.27</w:t>
            </w:r>
            <w:r>
              <w:rPr>
                <w:rFonts w:ascii="Times New Roman" w:eastAsia="Times New Roman" w:hAnsi="Times New Roman" w:cs="Times New Roman"/>
                <w:color w:val="000000"/>
                <w:sz w:val="20"/>
                <w:szCs w:val="20"/>
                <w:lang w:val="en-US"/>
              </w:rPr>
              <w:t>*</w:t>
            </w:r>
          </w:p>
        </w:tc>
        <w:tc>
          <w:tcPr>
            <w:tcW w:w="289" w:type="pct"/>
            <w:noWrap/>
            <w:vAlign w:val="center"/>
          </w:tcPr>
          <w:p w14:paraId="10A1AF23"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0.38</w:t>
            </w:r>
            <w:r>
              <w:rPr>
                <w:rFonts w:ascii="Times New Roman" w:eastAsia="Times New Roman" w:hAnsi="Times New Roman" w:cs="Times New Roman"/>
                <w:color w:val="000000"/>
                <w:sz w:val="20"/>
                <w:szCs w:val="20"/>
                <w:lang w:val="en-US"/>
              </w:rPr>
              <w:t>*</w:t>
            </w:r>
          </w:p>
        </w:tc>
        <w:tc>
          <w:tcPr>
            <w:tcW w:w="289" w:type="pct"/>
            <w:noWrap/>
            <w:vAlign w:val="center"/>
          </w:tcPr>
          <w:p w14:paraId="25C89CB8"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0.02</w:t>
            </w:r>
          </w:p>
        </w:tc>
        <w:tc>
          <w:tcPr>
            <w:tcW w:w="289" w:type="pct"/>
            <w:noWrap/>
            <w:vAlign w:val="center"/>
          </w:tcPr>
          <w:p w14:paraId="1C3111DE"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w:t>
            </w:r>
          </w:p>
        </w:tc>
        <w:tc>
          <w:tcPr>
            <w:tcW w:w="289" w:type="pct"/>
            <w:noWrap/>
            <w:vAlign w:val="center"/>
          </w:tcPr>
          <w:p w14:paraId="21872F04"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tcPr>
          <w:p w14:paraId="5A237D39"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tcPr>
          <w:p w14:paraId="1E87EC92"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62" w:type="pct"/>
            <w:noWrap/>
            <w:vAlign w:val="center"/>
          </w:tcPr>
          <w:p w14:paraId="5F8B4FFD"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tcPr>
          <w:p w14:paraId="7E888A87"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tcPr>
          <w:p w14:paraId="57375347"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tcPr>
          <w:p w14:paraId="0082BCEA"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tcPr>
          <w:p w14:paraId="3296029F"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tcPr>
          <w:p w14:paraId="3FEF6EA5"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tcPr>
          <w:p w14:paraId="5F748FF6"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tcPr>
          <w:p w14:paraId="15C3B4A0"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r>
      <w:tr w:rsidR="006757F3" w:rsidRPr="0064782A" w14:paraId="0BA6B6F7" w14:textId="77777777" w:rsidTr="0029698B">
        <w:trPr>
          <w:trHeight w:val="360"/>
        </w:trPr>
        <w:tc>
          <w:tcPr>
            <w:tcW w:w="694" w:type="pct"/>
            <w:noWrap/>
            <w:vAlign w:val="center"/>
          </w:tcPr>
          <w:p w14:paraId="47E4D04A" w14:textId="77777777" w:rsidR="006757F3" w:rsidRDefault="006757F3" w:rsidP="00B768F6">
            <w:pPr>
              <w:spacing w:after="0" w:line="240" w:lineRule="auto"/>
              <w:rPr>
                <w:rFonts w:ascii="Times New Roman" w:eastAsia="Times New Roman" w:hAnsi="Times New Roman" w:cs="Times New Roman"/>
                <w:color w:val="000000"/>
                <w:sz w:val="20"/>
                <w:szCs w:val="20"/>
              </w:rPr>
            </w:pPr>
            <w:r w:rsidRPr="00CD7A42">
              <w:rPr>
                <w:rFonts w:ascii="Times New Roman" w:eastAsia="Times New Roman" w:hAnsi="Times New Roman" w:cs="Times New Roman"/>
                <w:color w:val="000000"/>
                <w:sz w:val="20"/>
                <w:szCs w:val="20"/>
              </w:rPr>
              <w:t>ESG</w:t>
            </w:r>
            <w:r>
              <w:rPr>
                <w:rFonts w:ascii="Times New Roman" w:eastAsia="Times New Roman" w:hAnsi="Times New Roman" w:cs="Times New Roman"/>
                <w:color w:val="000000"/>
                <w:sz w:val="20"/>
                <w:szCs w:val="20"/>
              </w:rPr>
              <w:t xml:space="preserve"> (5</w:t>
            </w:r>
            <w:r w:rsidRPr="00CD7A42">
              <w:rPr>
                <w:rFonts w:ascii="Times New Roman" w:eastAsia="Times New Roman" w:hAnsi="Times New Roman" w:cs="Times New Roman"/>
                <w:color w:val="000000"/>
                <w:sz w:val="20"/>
                <w:szCs w:val="20"/>
              </w:rPr>
              <w:t>)</w:t>
            </w:r>
          </w:p>
        </w:tc>
        <w:tc>
          <w:tcPr>
            <w:tcW w:w="289" w:type="pct"/>
            <w:noWrap/>
            <w:vAlign w:val="center"/>
          </w:tcPr>
          <w:p w14:paraId="301782D2"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0.08</w:t>
            </w:r>
            <w:r>
              <w:rPr>
                <w:rFonts w:ascii="Times New Roman" w:eastAsia="Times New Roman" w:hAnsi="Times New Roman" w:cs="Times New Roman"/>
                <w:color w:val="000000"/>
                <w:sz w:val="20"/>
                <w:szCs w:val="20"/>
                <w:lang w:val="en-US"/>
              </w:rPr>
              <w:t>*</w:t>
            </w:r>
          </w:p>
        </w:tc>
        <w:tc>
          <w:tcPr>
            <w:tcW w:w="289" w:type="pct"/>
            <w:noWrap/>
            <w:vAlign w:val="center"/>
          </w:tcPr>
          <w:p w14:paraId="11028743"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0.25</w:t>
            </w:r>
            <w:r>
              <w:rPr>
                <w:rFonts w:ascii="Times New Roman" w:eastAsia="Times New Roman" w:hAnsi="Times New Roman" w:cs="Times New Roman"/>
                <w:color w:val="000000"/>
                <w:sz w:val="20"/>
                <w:szCs w:val="20"/>
                <w:lang w:val="en-US"/>
              </w:rPr>
              <w:t>*</w:t>
            </w:r>
          </w:p>
        </w:tc>
        <w:tc>
          <w:tcPr>
            <w:tcW w:w="289" w:type="pct"/>
            <w:noWrap/>
            <w:vAlign w:val="center"/>
          </w:tcPr>
          <w:p w14:paraId="290BC811"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-0.04</w:t>
            </w:r>
            <w:r>
              <w:rPr>
                <w:rFonts w:ascii="Times New Roman" w:eastAsia="Times New Roman" w:hAnsi="Times New Roman" w:cs="Times New Roman"/>
                <w:color w:val="000000"/>
                <w:sz w:val="20"/>
                <w:szCs w:val="20"/>
                <w:lang w:val="en-US"/>
              </w:rPr>
              <w:t>*</w:t>
            </w:r>
          </w:p>
        </w:tc>
        <w:tc>
          <w:tcPr>
            <w:tcW w:w="289" w:type="pct"/>
            <w:noWrap/>
            <w:vAlign w:val="center"/>
          </w:tcPr>
          <w:p w14:paraId="44070CE4"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0.09*</w:t>
            </w:r>
          </w:p>
        </w:tc>
        <w:tc>
          <w:tcPr>
            <w:tcW w:w="289" w:type="pct"/>
            <w:noWrap/>
            <w:vAlign w:val="center"/>
          </w:tcPr>
          <w:p w14:paraId="5D866310"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289" w:type="pct"/>
            <w:noWrap/>
            <w:vAlign w:val="center"/>
          </w:tcPr>
          <w:p w14:paraId="07934DA9"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tcPr>
          <w:p w14:paraId="3916EEA3"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62" w:type="pct"/>
            <w:noWrap/>
            <w:vAlign w:val="center"/>
          </w:tcPr>
          <w:p w14:paraId="3FCDBD6E"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tcPr>
          <w:p w14:paraId="52E8F31C"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tcPr>
          <w:p w14:paraId="4DC36452"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tcPr>
          <w:p w14:paraId="5BEC6DE3"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tcPr>
          <w:p w14:paraId="18407DFA"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tcPr>
          <w:p w14:paraId="7D2D917F"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tcPr>
          <w:p w14:paraId="58339F62"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tcPr>
          <w:p w14:paraId="4F766252"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r>
      <w:tr w:rsidR="006757F3" w:rsidRPr="0064782A" w14:paraId="789785A9" w14:textId="77777777" w:rsidTr="0029698B">
        <w:trPr>
          <w:trHeight w:val="360"/>
        </w:trPr>
        <w:tc>
          <w:tcPr>
            <w:tcW w:w="694" w:type="pct"/>
            <w:noWrap/>
            <w:vAlign w:val="center"/>
            <w:hideMark/>
          </w:tcPr>
          <w:p w14:paraId="15C5C6AC" w14:textId="77777777" w:rsidR="006757F3" w:rsidRPr="00CD7A42" w:rsidRDefault="006757F3" w:rsidP="00B768F6">
            <w:pPr>
              <w:spacing w:after="0" w:line="240" w:lineRule="auto"/>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rPr>
              <w:t>B.</w:t>
            </w:r>
            <w:r w:rsidRPr="00CD7A42">
              <w:rPr>
                <w:rFonts w:ascii="Times New Roman" w:eastAsia="Times New Roman" w:hAnsi="Times New Roman" w:cs="Times New Roman"/>
                <w:color w:val="000000"/>
                <w:sz w:val="20"/>
                <w:szCs w:val="20"/>
              </w:rPr>
              <w:t>size</w:t>
            </w:r>
            <w:proofErr w:type="spellEnd"/>
            <w:r w:rsidRPr="00CD7A4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6</w:t>
            </w:r>
            <w:r w:rsidRPr="00CD7A42">
              <w:rPr>
                <w:rFonts w:ascii="Times New Roman" w:eastAsia="Times New Roman" w:hAnsi="Times New Roman" w:cs="Times New Roman"/>
                <w:color w:val="000000"/>
                <w:sz w:val="20"/>
                <w:szCs w:val="20"/>
              </w:rPr>
              <w:t>)</w:t>
            </w:r>
          </w:p>
        </w:tc>
        <w:tc>
          <w:tcPr>
            <w:tcW w:w="289" w:type="pct"/>
            <w:noWrap/>
            <w:vAlign w:val="center"/>
            <w:hideMark/>
          </w:tcPr>
          <w:p w14:paraId="5F637D03"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0.45</w:t>
            </w:r>
            <w:r>
              <w:rPr>
                <w:rFonts w:ascii="Times New Roman" w:eastAsia="Times New Roman" w:hAnsi="Times New Roman" w:cs="Times New Roman"/>
                <w:color w:val="000000"/>
                <w:sz w:val="20"/>
                <w:szCs w:val="20"/>
                <w:lang w:val="en-US"/>
              </w:rPr>
              <w:t>*</w:t>
            </w:r>
          </w:p>
        </w:tc>
        <w:tc>
          <w:tcPr>
            <w:tcW w:w="289" w:type="pct"/>
            <w:noWrap/>
            <w:vAlign w:val="center"/>
            <w:hideMark/>
          </w:tcPr>
          <w:p w14:paraId="06BFD5B4"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0.38</w:t>
            </w:r>
            <w:r>
              <w:rPr>
                <w:rFonts w:ascii="Times New Roman" w:eastAsia="Times New Roman" w:hAnsi="Times New Roman" w:cs="Times New Roman"/>
                <w:color w:val="000000"/>
                <w:sz w:val="20"/>
                <w:szCs w:val="20"/>
                <w:lang w:val="en-US"/>
              </w:rPr>
              <w:t>*</w:t>
            </w:r>
          </w:p>
        </w:tc>
        <w:tc>
          <w:tcPr>
            <w:tcW w:w="289" w:type="pct"/>
            <w:noWrap/>
            <w:vAlign w:val="center"/>
            <w:hideMark/>
          </w:tcPr>
          <w:p w14:paraId="0876064D"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-0.07</w:t>
            </w:r>
            <w:r>
              <w:rPr>
                <w:rFonts w:ascii="Times New Roman" w:eastAsia="Times New Roman" w:hAnsi="Times New Roman" w:cs="Times New Roman"/>
                <w:color w:val="000000"/>
                <w:sz w:val="20"/>
                <w:szCs w:val="20"/>
                <w:lang w:val="en-US"/>
              </w:rPr>
              <w:t>*</w:t>
            </w:r>
          </w:p>
        </w:tc>
        <w:tc>
          <w:tcPr>
            <w:tcW w:w="289" w:type="pct"/>
            <w:noWrap/>
            <w:vAlign w:val="center"/>
            <w:hideMark/>
          </w:tcPr>
          <w:p w14:paraId="32DC7C62"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0.34</w:t>
            </w:r>
            <w:r>
              <w:rPr>
                <w:rFonts w:ascii="Times New Roman" w:eastAsia="Times New Roman" w:hAnsi="Times New Roman" w:cs="Times New Roman"/>
                <w:color w:val="000000"/>
                <w:sz w:val="20"/>
                <w:szCs w:val="20"/>
                <w:lang w:val="en-US"/>
              </w:rPr>
              <w:t>*</w:t>
            </w:r>
          </w:p>
        </w:tc>
        <w:tc>
          <w:tcPr>
            <w:tcW w:w="289" w:type="pct"/>
            <w:noWrap/>
            <w:vAlign w:val="center"/>
            <w:hideMark/>
          </w:tcPr>
          <w:p w14:paraId="4F9C8F39"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r w:rsidRPr="00CD7A42">
              <w:rPr>
                <w:rFonts w:ascii="Times New Roman" w:eastAsia="Times New Roman" w:hAnsi="Times New Roman" w:cs="Times New Roman"/>
                <w:color w:val="000000"/>
                <w:sz w:val="20"/>
                <w:szCs w:val="20"/>
                <w:lang w:val="en-US"/>
              </w:rPr>
              <w:t>-0.0</w:t>
            </w:r>
            <w:r>
              <w:rPr>
                <w:rFonts w:ascii="Times New Roman" w:eastAsia="Times New Roman" w:hAnsi="Times New Roman" w:cs="Times New Roman"/>
                <w:color w:val="000000"/>
                <w:sz w:val="20"/>
                <w:szCs w:val="20"/>
                <w:lang w:val="en-US"/>
              </w:rPr>
              <w:t>1</w:t>
            </w:r>
          </w:p>
        </w:tc>
        <w:tc>
          <w:tcPr>
            <w:tcW w:w="289" w:type="pct"/>
            <w:noWrap/>
            <w:vAlign w:val="center"/>
            <w:hideMark/>
          </w:tcPr>
          <w:p w14:paraId="442F4C75"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289" w:type="pct"/>
            <w:noWrap/>
            <w:vAlign w:val="center"/>
            <w:hideMark/>
          </w:tcPr>
          <w:p w14:paraId="6594FAAB"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62" w:type="pct"/>
            <w:noWrap/>
            <w:vAlign w:val="center"/>
            <w:hideMark/>
          </w:tcPr>
          <w:p w14:paraId="1F616DFB"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77C4F352"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59B79962"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73842388"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2F541DEE"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490D0150"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12F82957"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5556A8D3"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r>
      <w:tr w:rsidR="006757F3" w:rsidRPr="0064782A" w14:paraId="74273122" w14:textId="77777777" w:rsidTr="0029698B">
        <w:trPr>
          <w:trHeight w:val="360"/>
        </w:trPr>
        <w:tc>
          <w:tcPr>
            <w:tcW w:w="694" w:type="pct"/>
            <w:noWrap/>
            <w:vAlign w:val="center"/>
            <w:hideMark/>
          </w:tcPr>
          <w:p w14:paraId="67EF8A85" w14:textId="77777777" w:rsidR="006757F3" w:rsidRPr="00CD7A42" w:rsidRDefault="006757F3" w:rsidP="00B768F6">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Separation (7</w:t>
            </w:r>
            <w:r w:rsidRPr="00CD7A42">
              <w:rPr>
                <w:rFonts w:ascii="Times New Roman" w:eastAsia="Times New Roman" w:hAnsi="Times New Roman" w:cs="Times New Roman"/>
                <w:color w:val="000000"/>
                <w:sz w:val="20"/>
                <w:szCs w:val="20"/>
                <w:lang w:val="en-US"/>
              </w:rPr>
              <w:t>)</w:t>
            </w:r>
          </w:p>
        </w:tc>
        <w:tc>
          <w:tcPr>
            <w:tcW w:w="289" w:type="pct"/>
            <w:noWrap/>
            <w:vAlign w:val="center"/>
            <w:hideMark/>
          </w:tcPr>
          <w:p w14:paraId="6BA20055"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-0.10</w:t>
            </w:r>
            <w:r>
              <w:rPr>
                <w:rFonts w:ascii="Times New Roman" w:eastAsia="Times New Roman" w:hAnsi="Times New Roman" w:cs="Times New Roman"/>
                <w:color w:val="000000"/>
                <w:sz w:val="20"/>
                <w:szCs w:val="20"/>
                <w:lang w:val="en-US"/>
              </w:rPr>
              <w:t>*</w:t>
            </w:r>
          </w:p>
        </w:tc>
        <w:tc>
          <w:tcPr>
            <w:tcW w:w="289" w:type="pct"/>
            <w:noWrap/>
            <w:vAlign w:val="center"/>
            <w:hideMark/>
          </w:tcPr>
          <w:p w14:paraId="40F3ABEC"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-0.12</w:t>
            </w:r>
            <w:r>
              <w:rPr>
                <w:rFonts w:ascii="Times New Roman" w:eastAsia="Times New Roman" w:hAnsi="Times New Roman" w:cs="Times New Roman"/>
                <w:color w:val="000000"/>
                <w:sz w:val="20"/>
                <w:szCs w:val="20"/>
                <w:lang w:val="en-US"/>
              </w:rPr>
              <w:t>*</w:t>
            </w:r>
          </w:p>
        </w:tc>
        <w:tc>
          <w:tcPr>
            <w:tcW w:w="289" w:type="pct"/>
            <w:noWrap/>
            <w:vAlign w:val="center"/>
            <w:hideMark/>
          </w:tcPr>
          <w:p w14:paraId="5F175E11"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-0.04</w:t>
            </w:r>
            <w:r>
              <w:rPr>
                <w:rFonts w:ascii="Times New Roman" w:eastAsia="Times New Roman" w:hAnsi="Times New Roman" w:cs="Times New Roman"/>
                <w:color w:val="000000"/>
                <w:sz w:val="20"/>
                <w:szCs w:val="20"/>
                <w:lang w:val="en-US"/>
              </w:rPr>
              <w:t>*</w:t>
            </w:r>
          </w:p>
        </w:tc>
        <w:tc>
          <w:tcPr>
            <w:tcW w:w="289" w:type="pct"/>
            <w:noWrap/>
            <w:vAlign w:val="center"/>
            <w:hideMark/>
          </w:tcPr>
          <w:p w14:paraId="1E808A25"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w:t>
            </w:r>
            <w:r>
              <w:rPr>
                <w:rFonts w:ascii="Times New Roman" w:eastAsia="Times New Roman" w:hAnsi="Times New Roman" w:cs="Times New Roman"/>
                <w:color w:val="000000"/>
                <w:sz w:val="20"/>
                <w:szCs w:val="20"/>
                <w:lang w:val="en-US"/>
              </w:rPr>
              <w:t>6*</w:t>
            </w:r>
          </w:p>
        </w:tc>
        <w:tc>
          <w:tcPr>
            <w:tcW w:w="289" w:type="pct"/>
            <w:noWrap/>
            <w:vAlign w:val="center"/>
            <w:hideMark/>
          </w:tcPr>
          <w:p w14:paraId="44406A5C"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0.10*</w:t>
            </w:r>
          </w:p>
        </w:tc>
        <w:tc>
          <w:tcPr>
            <w:tcW w:w="289" w:type="pct"/>
            <w:noWrap/>
            <w:vAlign w:val="center"/>
            <w:hideMark/>
          </w:tcPr>
          <w:p w14:paraId="763D18BF"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-0.18*</w:t>
            </w:r>
          </w:p>
        </w:tc>
        <w:tc>
          <w:tcPr>
            <w:tcW w:w="289" w:type="pct"/>
            <w:noWrap/>
            <w:vAlign w:val="center"/>
            <w:hideMark/>
          </w:tcPr>
          <w:p w14:paraId="20EB429D"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262" w:type="pct"/>
            <w:noWrap/>
            <w:vAlign w:val="center"/>
            <w:hideMark/>
          </w:tcPr>
          <w:p w14:paraId="7C6731CF"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1DEEDBEB"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6F779AD0"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5A7B1299"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3E856D4B"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1FBEBDCD"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738415FF"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2D4CBE24"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r>
      <w:tr w:rsidR="006757F3" w:rsidRPr="0064782A" w14:paraId="4DB3AC7C" w14:textId="77777777" w:rsidTr="0029698B">
        <w:trPr>
          <w:trHeight w:val="360"/>
        </w:trPr>
        <w:tc>
          <w:tcPr>
            <w:tcW w:w="694" w:type="pct"/>
            <w:noWrap/>
            <w:vAlign w:val="center"/>
            <w:hideMark/>
          </w:tcPr>
          <w:p w14:paraId="1E94DF30" w14:textId="77777777" w:rsidR="006757F3" w:rsidRPr="00CD7A42" w:rsidRDefault="006757F3" w:rsidP="00B768F6">
            <w:pPr>
              <w:spacing w:after="0" w:line="240" w:lineRule="auto"/>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rPr>
              <w:t>Ind</w:t>
            </w:r>
            <w:r>
              <w:rPr>
                <w:rFonts w:ascii="Times New Roman" w:eastAsia="Times New Roman" w:hAnsi="Times New Roman" w:cs="Times New Roman"/>
                <w:color w:val="000000"/>
                <w:sz w:val="20"/>
                <w:szCs w:val="20"/>
              </w:rPr>
              <w:t>ependence (8</w:t>
            </w:r>
            <w:r w:rsidRPr="00CD7A42">
              <w:rPr>
                <w:rFonts w:ascii="Times New Roman" w:eastAsia="Times New Roman" w:hAnsi="Times New Roman" w:cs="Times New Roman"/>
                <w:color w:val="000000"/>
                <w:sz w:val="20"/>
                <w:szCs w:val="20"/>
              </w:rPr>
              <w:t>)</w:t>
            </w:r>
          </w:p>
        </w:tc>
        <w:tc>
          <w:tcPr>
            <w:tcW w:w="289" w:type="pct"/>
            <w:noWrap/>
            <w:vAlign w:val="center"/>
            <w:hideMark/>
          </w:tcPr>
          <w:p w14:paraId="5042F566"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0.03</w:t>
            </w:r>
          </w:p>
        </w:tc>
        <w:tc>
          <w:tcPr>
            <w:tcW w:w="289" w:type="pct"/>
            <w:noWrap/>
            <w:vAlign w:val="center"/>
            <w:hideMark/>
          </w:tcPr>
          <w:p w14:paraId="33CD3667"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0.05</w:t>
            </w:r>
            <w:r>
              <w:rPr>
                <w:rFonts w:ascii="Times New Roman" w:eastAsia="Times New Roman" w:hAnsi="Times New Roman" w:cs="Times New Roman"/>
                <w:color w:val="000000"/>
                <w:sz w:val="20"/>
                <w:szCs w:val="20"/>
                <w:lang w:val="en-US"/>
              </w:rPr>
              <w:t>*</w:t>
            </w:r>
          </w:p>
        </w:tc>
        <w:tc>
          <w:tcPr>
            <w:tcW w:w="289" w:type="pct"/>
            <w:noWrap/>
            <w:vAlign w:val="center"/>
            <w:hideMark/>
          </w:tcPr>
          <w:p w14:paraId="62ACD9EB"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-0.01</w:t>
            </w:r>
          </w:p>
        </w:tc>
        <w:tc>
          <w:tcPr>
            <w:tcW w:w="289" w:type="pct"/>
            <w:noWrap/>
            <w:vAlign w:val="center"/>
            <w:hideMark/>
          </w:tcPr>
          <w:p w14:paraId="1C30F7AC"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w:t>
            </w:r>
            <w:r>
              <w:rPr>
                <w:rFonts w:ascii="Times New Roman" w:eastAsia="Times New Roman" w:hAnsi="Times New Roman" w:cs="Times New Roman"/>
                <w:color w:val="000000"/>
                <w:sz w:val="20"/>
                <w:szCs w:val="20"/>
                <w:lang w:val="en-US"/>
              </w:rPr>
              <w:t>03</w:t>
            </w:r>
          </w:p>
        </w:tc>
        <w:tc>
          <w:tcPr>
            <w:tcW w:w="289" w:type="pct"/>
            <w:noWrap/>
            <w:vAlign w:val="center"/>
            <w:hideMark/>
          </w:tcPr>
          <w:p w14:paraId="1D9A3929"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w:t>
            </w:r>
            <w:r>
              <w:rPr>
                <w:rFonts w:ascii="Times New Roman" w:eastAsia="Times New Roman" w:hAnsi="Times New Roman" w:cs="Times New Roman"/>
                <w:color w:val="000000"/>
                <w:sz w:val="20"/>
                <w:szCs w:val="20"/>
                <w:lang w:val="en-US"/>
              </w:rPr>
              <w:t>8*</w:t>
            </w:r>
          </w:p>
        </w:tc>
        <w:tc>
          <w:tcPr>
            <w:tcW w:w="289" w:type="pct"/>
            <w:noWrap/>
            <w:vAlign w:val="center"/>
            <w:hideMark/>
          </w:tcPr>
          <w:p w14:paraId="408F8BCC"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-0.22*</w:t>
            </w:r>
          </w:p>
        </w:tc>
        <w:tc>
          <w:tcPr>
            <w:tcW w:w="289" w:type="pct"/>
            <w:noWrap/>
            <w:vAlign w:val="center"/>
            <w:hideMark/>
          </w:tcPr>
          <w:p w14:paraId="5DF2E9E6"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0.05*</w:t>
            </w:r>
          </w:p>
        </w:tc>
        <w:tc>
          <w:tcPr>
            <w:tcW w:w="262" w:type="pct"/>
            <w:noWrap/>
            <w:vAlign w:val="center"/>
            <w:hideMark/>
          </w:tcPr>
          <w:p w14:paraId="4B03FFC2"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289" w:type="pct"/>
            <w:noWrap/>
            <w:vAlign w:val="center"/>
            <w:hideMark/>
          </w:tcPr>
          <w:p w14:paraId="7377A232"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4F964782"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53421D11"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2A620306"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0D1ABB99"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559B9BD2"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4DB5ACD1"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r>
      <w:tr w:rsidR="006757F3" w:rsidRPr="0064782A" w14:paraId="647AF2C0" w14:textId="77777777" w:rsidTr="0029698B">
        <w:trPr>
          <w:trHeight w:val="360"/>
        </w:trPr>
        <w:tc>
          <w:tcPr>
            <w:tcW w:w="694" w:type="pct"/>
            <w:noWrap/>
            <w:vAlign w:val="center"/>
            <w:hideMark/>
          </w:tcPr>
          <w:p w14:paraId="00ECF3BB" w14:textId="77777777" w:rsidR="006757F3" w:rsidRPr="00CD7A42" w:rsidRDefault="006757F3" w:rsidP="00B768F6">
            <w:pPr>
              <w:spacing w:after="0" w:line="240" w:lineRule="auto"/>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CSR</w:t>
            </w:r>
            <w:r>
              <w:rPr>
                <w:rFonts w:ascii="Times New Roman" w:eastAsia="Times New Roman" w:hAnsi="Times New Roman" w:cs="Times New Roman"/>
                <w:color w:val="000000"/>
                <w:sz w:val="20"/>
                <w:szCs w:val="20"/>
                <w:lang w:val="en-US"/>
              </w:rPr>
              <w:t xml:space="preserve"> (9</w:t>
            </w:r>
            <w:r w:rsidRPr="00CD7A42">
              <w:rPr>
                <w:rFonts w:ascii="Times New Roman" w:eastAsia="Times New Roman" w:hAnsi="Times New Roman" w:cs="Times New Roman"/>
                <w:color w:val="000000"/>
                <w:sz w:val="20"/>
                <w:szCs w:val="20"/>
                <w:lang w:val="en-US"/>
              </w:rPr>
              <w:t>)</w:t>
            </w:r>
          </w:p>
        </w:tc>
        <w:tc>
          <w:tcPr>
            <w:tcW w:w="289" w:type="pct"/>
            <w:noWrap/>
            <w:vAlign w:val="center"/>
            <w:hideMark/>
          </w:tcPr>
          <w:p w14:paraId="1D4F08E1"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0.15</w:t>
            </w:r>
            <w:r>
              <w:rPr>
                <w:rFonts w:ascii="Times New Roman" w:eastAsia="Times New Roman" w:hAnsi="Times New Roman" w:cs="Times New Roman"/>
                <w:color w:val="000000"/>
                <w:sz w:val="20"/>
                <w:szCs w:val="20"/>
                <w:lang w:val="en-US"/>
              </w:rPr>
              <w:t>*</w:t>
            </w:r>
          </w:p>
        </w:tc>
        <w:tc>
          <w:tcPr>
            <w:tcW w:w="289" w:type="pct"/>
            <w:noWrap/>
            <w:vAlign w:val="center"/>
            <w:hideMark/>
          </w:tcPr>
          <w:p w14:paraId="7C145F33"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0.57</w:t>
            </w:r>
            <w:r>
              <w:rPr>
                <w:rFonts w:ascii="Times New Roman" w:eastAsia="Times New Roman" w:hAnsi="Times New Roman" w:cs="Times New Roman"/>
                <w:color w:val="000000"/>
                <w:sz w:val="20"/>
                <w:szCs w:val="20"/>
                <w:lang w:val="en-US"/>
              </w:rPr>
              <w:t>*</w:t>
            </w:r>
          </w:p>
        </w:tc>
        <w:tc>
          <w:tcPr>
            <w:tcW w:w="289" w:type="pct"/>
            <w:noWrap/>
            <w:vAlign w:val="center"/>
            <w:hideMark/>
          </w:tcPr>
          <w:p w14:paraId="34952D76"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-0.06</w:t>
            </w:r>
            <w:r>
              <w:rPr>
                <w:rFonts w:ascii="Times New Roman" w:eastAsia="Times New Roman" w:hAnsi="Times New Roman" w:cs="Times New Roman"/>
                <w:color w:val="000000"/>
                <w:sz w:val="20"/>
                <w:szCs w:val="20"/>
                <w:lang w:val="en-US"/>
              </w:rPr>
              <w:t>*</w:t>
            </w:r>
          </w:p>
        </w:tc>
        <w:tc>
          <w:tcPr>
            <w:tcW w:w="289" w:type="pct"/>
            <w:noWrap/>
            <w:vAlign w:val="center"/>
          </w:tcPr>
          <w:p w14:paraId="59FDE8C0"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0.26</w:t>
            </w:r>
            <w:r>
              <w:rPr>
                <w:rFonts w:ascii="Times New Roman" w:eastAsia="Times New Roman" w:hAnsi="Times New Roman" w:cs="Times New Roman"/>
                <w:color w:val="000000"/>
                <w:sz w:val="20"/>
                <w:szCs w:val="20"/>
                <w:lang w:val="en-US"/>
              </w:rPr>
              <w:t>*</w:t>
            </w:r>
          </w:p>
        </w:tc>
        <w:tc>
          <w:tcPr>
            <w:tcW w:w="289" w:type="pct"/>
            <w:noWrap/>
            <w:vAlign w:val="center"/>
          </w:tcPr>
          <w:p w14:paraId="7CD6E244"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w:t>
            </w:r>
            <w:r>
              <w:rPr>
                <w:rFonts w:ascii="Times New Roman" w:eastAsia="Times New Roman" w:hAnsi="Times New Roman" w:cs="Times New Roman"/>
                <w:color w:val="000000"/>
                <w:sz w:val="20"/>
                <w:szCs w:val="20"/>
                <w:lang w:val="en-US"/>
              </w:rPr>
              <w:t>30*</w:t>
            </w:r>
          </w:p>
        </w:tc>
        <w:tc>
          <w:tcPr>
            <w:tcW w:w="289" w:type="pct"/>
            <w:noWrap/>
            <w:vAlign w:val="center"/>
            <w:hideMark/>
          </w:tcPr>
          <w:p w14:paraId="5AB346B5"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0.15</w:t>
            </w:r>
            <w:r>
              <w:rPr>
                <w:rFonts w:ascii="Times New Roman" w:eastAsia="Times New Roman" w:hAnsi="Times New Roman" w:cs="Times New Roman"/>
                <w:color w:val="000000"/>
                <w:sz w:val="20"/>
                <w:szCs w:val="20"/>
                <w:lang w:val="en-US"/>
              </w:rPr>
              <w:t>*</w:t>
            </w:r>
          </w:p>
        </w:tc>
        <w:tc>
          <w:tcPr>
            <w:tcW w:w="289" w:type="pct"/>
            <w:noWrap/>
            <w:vAlign w:val="center"/>
          </w:tcPr>
          <w:p w14:paraId="2AAC7F46"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-0.01</w:t>
            </w:r>
          </w:p>
        </w:tc>
        <w:tc>
          <w:tcPr>
            <w:tcW w:w="262" w:type="pct"/>
            <w:noWrap/>
            <w:vAlign w:val="center"/>
          </w:tcPr>
          <w:p w14:paraId="369B5B06"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0.05</w:t>
            </w:r>
            <w:r>
              <w:rPr>
                <w:rFonts w:ascii="Times New Roman" w:eastAsia="Times New Roman" w:hAnsi="Times New Roman" w:cs="Times New Roman"/>
                <w:color w:val="000000"/>
                <w:sz w:val="20"/>
                <w:szCs w:val="20"/>
                <w:lang w:val="en-US"/>
              </w:rPr>
              <w:t>*</w:t>
            </w:r>
          </w:p>
        </w:tc>
        <w:tc>
          <w:tcPr>
            <w:tcW w:w="289" w:type="pct"/>
            <w:noWrap/>
            <w:vAlign w:val="center"/>
            <w:hideMark/>
          </w:tcPr>
          <w:p w14:paraId="00FFD0AC"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1</w:t>
            </w:r>
          </w:p>
        </w:tc>
        <w:tc>
          <w:tcPr>
            <w:tcW w:w="289" w:type="pct"/>
            <w:noWrap/>
            <w:vAlign w:val="center"/>
            <w:hideMark/>
          </w:tcPr>
          <w:p w14:paraId="70F501A4"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p>
        </w:tc>
        <w:tc>
          <w:tcPr>
            <w:tcW w:w="289" w:type="pct"/>
            <w:noWrap/>
            <w:vAlign w:val="center"/>
            <w:hideMark/>
          </w:tcPr>
          <w:p w14:paraId="024CE266"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5A961EC5"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4C2762DB"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1E083CA2"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3D0ADADC"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r>
      <w:tr w:rsidR="006757F3" w:rsidRPr="0064782A" w14:paraId="577DCC37" w14:textId="77777777" w:rsidTr="0029698B">
        <w:trPr>
          <w:trHeight w:val="360"/>
        </w:trPr>
        <w:tc>
          <w:tcPr>
            <w:tcW w:w="694" w:type="pct"/>
            <w:noWrap/>
            <w:vAlign w:val="center"/>
            <w:hideMark/>
          </w:tcPr>
          <w:p w14:paraId="5BBF9EDE" w14:textId="77777777" w:rsidR="006757F3" w:rsidRPr="00CD7A42" w:rsidRDefault="006757F3" w:rsidP="00B768F6">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Profitability (10</w:t>
            </w:r>
            <w:r w:rsidRPr="00CD7A42">
              <w:rPr>
                <w:rFonts w:ascii="Times New Roman" w:eastAsia="Times New Roman" w:hAnsi="Times New Roman" w:cs="Times New Roman"/>
                <w:color w:val="000000"/>
                <w:sz w:val="20"/>
                <w:szCs w:val="20"/>
                <w:lang w:val="en-US"/>
              </w:rPr>
              <w:t>)</w:t>
            </w:r>
          </w:p>
        </w:tc>
        <w:tc>
          <w:tcPr>
            <w:tcW w:w="289" w:type="pct"/>
            <w:noWrap/>
            <w:vAlign w:val="center"/>
            <w:hideMark/>
          </w:tcPr>
          <w:p w14:paraId="613E92CC"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-0.14</w:t>
            </w:r>
            <w:r>
              <w:rPr>
                <w:rFonts w:ascii="Times New Roman" w:eastAsia="Times New Roman" w:hAnsi="Times New Roman" w:cs="Times New Roman"/>
                <w:color w:val="000000"/>
                <w:sz w:val="20"/>
                <w:szCs w:val="20"/>
                <w:lang w:val="en-US"/>
              </w:rPr>
              <w:t>*</w:t>
            </w:r>
          </w:p>
        </w:tc>
        <w:tc>
          <w:tcPr>
            <w:tcW w:w="289" w:type="pct"/>
            <w:noWrap/>
            <w:vAlign w:val="center"/>
            <w:hideMark/>
          </w:tcPr>
          <w:p w14:paraId="38928862"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-0.06</w:t>
            </w:r>
            <w:r>
              <w:rPr>
                <w:rFonts w:ascii="Times New Roman" w:eastAsia="Times New Roman" w:hAnsi="Times New Roman" w:cs="Times New Roman"/>
                <w:color w:val="000000"/>
                <w:sz w:val="20"/>
                <w:szCs w:val="20"/>
                <w:lang w:val="en-US"/>
              </w:rPr>
              <w:t>*</w:t>
            </w:r>
          </w:p>
        </w:tc>
        <w:tc>
          <w:tcPr>
            <w:tcW w:w="289" w:type="pct"/>
            <w:noWrap/>
            <w:vAlign w:val="center"/>
            <w:hideMark/>
          </w:tcPr>
          <w:p w14:paraId="6886DD22"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0.58</w:t>
            </w:r>
            <w:r>
              <w:rPr>
                <w:rFonts w:ascii="Times New Roman" w:eastAsia="Times New Roman" w:hAnsi="Times New Roman" w:cs="Times New Roman"/>
                <w:color w:val="000000"/>
                <w:sz w:val="20"/>
                <w:szCs w:val="20"/>
                <w:lang w:val="en-US"/>
              </w:rPr>
              <w:t>*</w:t>
            </w:r>
          </w:p>
        </w:tc>
        <w:tc>
          <w:tcPr>
            <w:tcW w:w="289" w:type="pct"/>
            <w:noWrap/>
            <w:vAlign w:val="center"/>
          </w:tcPr>
          <w:p w14:paraId="18DE50C6"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0.03</w:t>
            </w:r>
          </w:p>
        </w:tc>
        <w:tc>
          <w:tcPr>
            <w:tcW w:w="289" w:type="pct"/>
            <w:noWrap/>
            <w:vAlign w:val="center"/>
          </w:tcPr>
          <w:p w14:paraId="23CD733B"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w:t>
            </w:r>
            <w:r>
              <w:rPr>
                <w:rFonts w:ascii="Times New Roman" w:eastAsia="Times New Roman" w:hAnsi="Times New Roman" w:cs="Times New Roman"/>
                <w:color w:val="000000"/>
                <w:sz w:val="20"/>
                <w:szCs w:val="20"/>
                <w:lang w:val="en-US"/>
              </w:rPr>
              <w:t>5*</w:t>
            </w:r>
          </w:p>
        </w:tc>
        <w:tc>
          <w:tcPr>
            <w:tcW w:w="289" w:type="pct"/>
            <w:noWrap/>
            <w:vAlign w:val="center"/>
            <w:hideMark/>
          </w:tcPr>
          <w:p w14:paraId="1BCA53DC"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-0.06</w:t>
            </w:r>
            <w:r>
              <w:rPr>
                <w:rFonts w:ascii="Times New Roman" w:eastAsia="Times New Roman" w:hAnsi="Times New Roman" w:cs="Times New Roman"/>
                <w:color w:val="000000"/>
                <w:sz w:val="20"/>
                <w:szCs w:val="20"/>
                <w:lang w:val="en-US"/>
              </w:rPr>
              <w:t>*</w:t>
            </w:r>
          </w:p>
        </w:tc>
        <w:tc>
          <w:tcPr>
            <w:tcW w:w="289" w:type="pct"/>
            <w:noWrap/>
            <w:vAlign w:val="center"/>
          </w:tcPr>
          <w:p w14:paraId="3BFFE5F4"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0.01</w:t>
            </w:r>
          </w:p>
        </w:tc>
        <w:tc>
          <w:tcPr>
            <w:tcW w:w="262" w:type="pct"/>
            <w:noWrap/>
            <w:vAlign w:val="center"/>
          </w:tcPr>
          <w:p w14:paraId="6325A2F8"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0.06</w:t>
            </w:r>
            <w:r>
              <w:rPr>
                <w:rFonts w:ascii="Times New Roman" w:eastAsia="Times New Roman" w:hAnsi="Times New Roman" w:cs="Times New Roman"/>
                <w:color w:val="000000"/>
                <w:sz w:val="20"/>
                <w:szCs w:val="20"/>
                <w:lang w:val="en-US"/>
              </w:rPr>
              <w:t>*</w:t>
            </w:r>
          </w:p>
        </w:tc>
        <w:tc>
          <w:tcPr>
            <w:tcW w:w="289" w:type="pct"/>
            <w:noWrap/>
            <w:vAlign w:val="center"/>
            <w:hideMark/>
          </w:tcPr>
          <w:p w14:paraId="35EA026C"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-0.06</w:t>
            </w:r>
            <w:r>
              <w:rPr>
                <w:rFonts w:ascii="Times New Roman" w:eastAsia="Times New Roman" w:hAnsi="Times New Roman" w:cs="Times New Roman"/>
                <w:color w:val="000000"/>
                <w:sz w:val="20"/>
                <w:szCs w:val="20"/>
                <w:lang w:val="en-US"/>
              </w:rPr>
              <w:t>*</w:t>
            </w:r>
          </w:p>
        </w:tc>
        <w:tc>
          <w:tcPr>
            <w:tcW w:w="289" w:type="pct"/>
            <w:noWrap/>
            <w:vAlign w:val="center"/>
            <w:hideMark/>
          </w:tcPr>
          <w:p w14:paraId="6D6BCC83"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1</w:t>
            </w:r>
          </w:p>
        </w:tc>
        <w:tc>
          <w:tcPr>
            <w:tcW w:w="289" w:type="pct"/>
            <w:noWrap/>
            <w:vAlign w:val="center"/>
            <w:hideMark/>
          </w:tcPr>
          <w:p w14:paraId="5B91B147"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p>
        </w:tc>
        <w:tc>
          <w:tcPr>
            <w:tcW w:w="289" w:type="pct"/>
            <w:noWrap/>
            <w:vAlign w:val="center"/>
            <w:hideMark/>
          </w:tcPr>
          <w:p w14:paraId="7F4ADC03"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75E75C84"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47D536DA"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59A62F9F"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r>
      <w:tr w:rsidR="006757F3" w:rsidRPr="0064782A" w14:paraId="4CB25AD6" w14:textId="77777777" w:rsidTr="0029698B">
        <w:trPr>
          <w:trHeight w:val="360"/>
        </w:trPr>
        <w:tc>
          <w:tcPr>
            <w:tcW w:w="694" w:type="pct"/>
            <w:noWrap/>
            <w:vAlign w:val="center"/>
            <w:hideMark/>
          </w:tcPr>
          <w:p w14:paraId="10103193" w14:textId="77777777" w:rsidR="006757F3" w:rsidRPr="00CD7A42" w:rsidRDefault="006757F3" w:rsidP="00B768F6">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Size (11</w:t>
            </w:r>
            <w:r w:rsidRPr="00CD7A42">
              <w:rPr>
                <w:rFonts w:ascii="Times New Roman" w:eastAsia="Times New Roman" w:hAnsi="Times New Roman" w:cs="Times New Roman"/>
                <w:color w:val="000000"/>
                <w:sz w:val="20"/>
                <w:szCs w:val="20"/>
                <w:lang w:val="en-US"/>
              </w:rPr>
              <w:t>)</w:t>
            </w:r>
          </w:p>
        </w:tc>
        <w:tc>
          <w:tcPr>
            <w:tcW w:w="289" w:type="pct"/>
            <w:noWrap/>
            <w:vAlign w:val="center"/>
            <w:hideMark/>
          </w:tcPr>
          <w:p w14:paraId="584A94D7"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0.75</w:t>
            </w:r>
            <w:r>
              <w:rPr>
                <w:rFonts w:ascii="Times New Roman" w:eastAsia="Times New Roman" w:hAnsi="Times New Roman" w:cs="Times New Roman"/>
                <w:color w:val="000000"/>
                <w:sz w:val="20"/>
                <w:szCs w:val="20"/>
                <w:lang w:val="en-US"/>
              </w:rPr>
              <w:t>*</w:t>
            </w:r>
          </w:p>
        </w:tc>
        <w:tc>
          <w:tcPr>
            <w:tcW w:w="289" w:type="pct"/>
            <w:noWrap/>
            <w:vAlign w:val="center"/>
            <w:hideMark/>
          </w:tcPr>
          <w:p w14:paraId="403CDE09"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0.61</w:t>
            </w:r>
            <w:r>
              <w:rPr>
                <w:rFonts w:ascii="Times New Roman" w:eastAsia="Times New Roman" w:hAnsi="Times New Roman" w:cs="Times New Roman"/>
                <w:color w:val="000000"/>
                <w:sz w:val="20"/>
                <w:szCs w:val="20"/>
                <w:lang w:val="en-US"/>
              </w:rPr>
              <w:t>*</w:t>
            </w:r>
          </w:p>
        </w:tc>
        <w:tc>
          <w:tcPr>
            <w:tcW w:w="289" w:type="pct"/>
            <w:noWrap/>
            <w:vAlign w:val="center"/>
            <w:hideMark/>
          </w:tcPr>
          <w:p w14:paraId="7A1EE89E"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-0.21</w:t>
            </w:r>
            <w:r>
              <w:rPr>
                <w:rFonts w:ascii="Times New Roman" w:eastAsia="Times New Roman" w:hAnsi="Times New Roman" w:cs="Times New Roman"/>
                <w:color w:val="000000"/>
                <w:sz w:val="20"/>
                <w:szCs w:val="20"/>
                <w:lang w:val="en-US"/>
              </w:rPr>
              <w:t>*</w:t>
            </w:r>
          </w:p>
        </w:tc>
        <w:tc>
          <w:tcPr>
            <w:tcW w:w="289" w:type="pct"/>
            <w:noWrap/>
            <w:vAlign w:val="center"/>
          </w:tcPr>
          <w:p w14:paraId="0ECEDE14"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0.45</w:t>
            </w:r>
            <w:r>
              <w:rPr>
                <w:rFonts w:ascii="Times New Roman" w:eastAsia="Times New Roman" w:hAnsi="Times New Roman" w:cs="Times New Roman"/>
                <w:color w:val="000000"/>
                <w:sz w:val="20"/>
                <w:szCs w:val="20"/>
                <w:lang w:val="en-US"/>
              </w:rPr>
              <w:t>*</w:t>
            </w:r>
          </w:p>
        </w:tc>
        <w:tc>
          <w:tcPr>
            <w:tcW w:w="289" w:type="pct"/>
            <w:noWrap/>
            <w:vAlign w:val="center"/>
          </w:tcPr>
          <w:p w14:paraId="312A4F4D"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0.12</w:t>
            </w:r>
            <w:r>
              <w:rPr>
                <w:rFonts w:ascii="Times New Roman" w:eastAsia="Times New Roman" w:hAnsi="Times New Roman" w:cs="Times New Roman"/>
                <w:color w:val="000000"/>
                <w:sz w:val="20"/>
                <w:szCs w:val="20"/>
                <w:lang w:val="en-US"/>
              </w:rPr>
              <w:t>*</w:t>
            </w:r>
          </w:p>
        </w:tc>
        <w:tc>
          <w:tcPr>
            <w:tcW w:w="289" w:type="pct"/>
            <w:noWrap/>
            <w:vAlign w:val="center"/>
            <w:hideMark/>
          </w:tcPr>
          <w:p w14:paraId="3F3112FE"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0.59</w:t>
            </w:r>
            <w:r>
              <w:rPr>
                <w:rFonts w:ascii="Times New Roman" w:eastAsia="Times New Roman" w:hAnsi="Times New Roman" w:cs="Times New Roman"/>
                <w:color w:val="000000"/>
                <w:sz w:val="20"/>
                <w:szCs w:val="20"/>
                <w:lang w:val="en-US"/>
              </w:rPr>
              <w:t>*</w:t>
            </w:r>
          </w:p>
        </w:tc>
        <w:tc>
          <w:tcPr>
            <w:tcW w:w="289" w:type="pct"/>
            <w:noWrap/>
            <w:vAlign w:val="center"/>
          </w:tcPr>
          <w:p w14:paraId="58B261D4"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-0.16</w:t>
            </w:r>
            <w:r>
              <w:rPr>
                <w:rFonts w:ascii="Times New Roman" w:eastAsia="Times New Roman" w:hAnsi="Times New Roman" w:cs="Times New Roman"/>
                <w:color w:val="000000"/>
                <w:sz w:val="20"/>
                <w:szCs w:val="20"/>
                <w:lang w:val="en-US"/>
              </w:rPr>
              <w:t>*</w:t>
            </w:r>
          </w:p>
        </w:tc>
        <w:tc>
          <w:tcPr>
            <w:tcW w:w="262" w:type="pct"/>
            <w:noWrap/>
            <w:vAlign w:val="center"/>
          </w:tcPr>
          <w:p w14:paraId="4E5FEDC3"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0.01</w:t>
            </w:r>
          </w:p>
        </w:tc>
        <w:tc>
          <w:tcPr>
            <w:tcW w:w="289" w:type="pct"/>
            <w:noWrap/>
            <w:vAlign w:val="center"/>
            <w:hideMark/>
          </w:tcPr>
          <w:p w14:paraId="51313352"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0.29</w:t>
            </w:r>
            <w:r>
              <w:rPr>
                <w:rFonts w:ascii="Times New Roman" w:eastAsia="Times New Roman" w:hAnsi="Times New Roman" w:cs="Times New Roman"/>
                <w:color w:val="000000"/>
                <w:sz w:val="20"/>
                <w:szCs w:val="20"/>
                <w:lang w:val="en-US"/>
              </w:rPr>
              <w:t>*</w:t>
            </w:r>
          </w:p>
        </w:tc>
        <w:tc>
          <w:tcPr>
            <w:tcW w:w="289" w:type="pct"/>
            <w:noWrap/>
            <w:vAlign w:val="center"/>
            <w:hideMark/>
          </w:tcPr>
          <w:p w14:paraId="678AB6B0"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-0.06</w:t>
            </w:r>
            <w:r>
              <w:rPr>
                <w:rFonts w:ascii="Times New Roman" w:eastAsia="Times New Roman" w:hAnsi="Times New Roman" w:cs="Times New Roman"/>
                <w:color w:val="000000"/>
                <w:sz w:val="20"/>
                <w:szCs w:val="20"/>
                <w:lang w:val="en-US"/>
              </w:rPr>
              <w:t>*</w:t>
            </w:r>
          </w:p>
        </w:tc>
        <w:tc>
          <w:tcPr>
            <w:tcW w:w="289" w:type="pct"/>
            <w:noWrap/>
            <w:vAlign w:val="center"/>
            <w:hideMark/>
          </w:tcPr>
          <w:p w14:paraId="4F8F7F57"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1</w:t>
            </w:r>
          </w:p>
        </w:tc>
        <w:tc>
          <w:tcPr>
            <w:tcW w:w="289" w:type="pct"/>
            <w:noWrap/>
            <w:vAlign w:val="center"/>
            <w:hideMark/>
          </w:tcPr>
          <w:p w14:paraId="4F14FAAE"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p>
        </w:tc>
        <w:tc>
          <w:tcPr>
            <w:tcW w:w="289" w:type="pct"/>
            <w:noWrap/>
            <w:vAlign w:val="center"/>
            <w:hideMark/>
          </w:tcPr>
          <w:p w14:paraId="72E1C963"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5AF7D58C"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70C83BFD"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r>
      <w:tr w:rsidR="006757F3" w:rsidRPr="0064782A" w14:paraId="11D429FF" w14:textId="77777777" w:rsidTr="0029698B">
        <w:trPr>
          <w:trHeight w:val="360"/>
        </w:trPr>
        <w:tc>
          <w:tcPr>
            <w:tcW w:w="694" w:type="pct"/>
            <w:noWrap/>
            <w:vAlign w:val="center"/>
            <w:hideMark/>
          </w:tcPr>
          <w:p w14:paraId="71539C61" w14:textId="77777777" w:rsidR="006757F3" w:rsidRPr="00CD7A42" w:rsidRDefault="006757F3" w:rsidP="00B768F6">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Debt (12</w:t>
            </w:r>
            <w:r w:rsidRPr="00CD7A42">
              <w:rPr>
                <w:rFonts w:ascii="Times New Roman" w:eastAsia="Times New Roman" w:hAnsi="Times New Roman" w:cs="Times New Roman"/>
                <w:color w:val="000000"/>
                <w:sz w:val="20"/>
                <w:szCs w:val="20"/>
                <w:lang w:val="en-US"/>
              </w:rPr>
              <w:t>)</w:t>
            </w:r>
          </w:p>
        </w:tc>
        <w:tc>
          <w:tcPr>
            <w:tcW w:w="289" w:type="pct"/>
            <w:noWrap/>
            <w:vAlign w:val="center"/>
            <w:hideMark/>
          </w:tcPr>
          <w:p w14:paraId="2FA330DF"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0.18</w:t>
            </w:r>
            <w:r>
              <w:rPr>
                <w:rFonts w:ascii="Times New Roman" w:eastAsia="Times New Roman" w:hAnsi="Times New Roman" w:cs="Times New Roman"/>
                <w:color w:val="000000"/>
                <w:sz w:val="20"/>
                <w:szCs w:val="20"/>
                <w:lang w:val="en-US"/>
              </w:rPr>
              <w:t>*</w:t>
            </w:r>
          </w:p>
        </w:tc>
        <w:tc>
          <w:tcPr>
            <w:tcW w:w="289" w:type="pct"/>
            <w:noWrap/>
            <w:vAlign w:val="center"/>
            <w:hideMark/>
          </w:tcPr>
          <w:p w14:paraId="2296A9C3"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0.10</w:t>
            </w:r>
            <w:r>
              <w:rPr>
                <w:rFonts w:ascii="Times New Roman" w:eastAsia="Times New Roman" w:hAnsi="Times New Roman" w:cs="Times New Roman"/>
                <w:color w:val="000000"/>
                <w:sz w:val="20"/>
                <w:szCs w:val="20"/>
                <w:lang w:val="en-US"/>
              </w:rPr>
              <w:t>*</w:t>
            </w:r>
          </w:p>
        </w:tc>
        <w:tc>
          <w:tcPr>
            <w:tcW w:w="289" w:type="pct"/>
            <w:noWrap/>
            <w:vAlign w:val="center"/>
            <w:hideMark/>
          </w:tcPr>
          <w:p w14:paraId="08FB7403"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-0.14</w:t>
            </w:r>
            <w:r>
              <w:rPr>
                <w:rFonts w:ascii="Times New Roman" w:eastAsia="Times New Roman" w:hAnsi="Times New Roman" w:cs="Times New Roman"/>
                <w:color w:val="000000"/>
                <w:sz w:val="20"/>
                <w:szCs w:val="20"/>
                <w:lang w:val="en-US"/>
              </w:rPr>
              <w:t>*</w:t>
            </w:r>
          </w:p>
        </w:tc>
        <w:tc>
          <w:tcPr>
            <w:tcW w:w="289" w:type="pct"/>
            <w:noWrap/>
            <w:vAlign w:val="center"/>
          </w:tcPr>
          <w:p w14:paraId="319E4639"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-0.02</w:t>
            </w:r>
          </w:p>
        </w:tc>
        <w:tc>
          <w:tcPr>
            <w:tcW w:w="289" w:type="pct"/>
            <w:noWrap/>
            <w:vAlign w:val="center"/>
          </w:tcPr>
          <w:p w14:paraId="1FF8B5DA"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-0.02</w:t>
            </w:r>
          </w:p>
        </w:tc>
        <w:tc>
          <w:tcPr>
            <w:tcW w:w="289" w:type="pct"/>
            <w:noWrap/>
            <w:vAlign w:val="center"/>
            <w:hideMark/>
          </w:tcPr>
          <w:p w14:paraId="23652811"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0.11</w:t>
            </w:r>
            <w:r>
              <w:rPr>
                <w:rFonts w:ascii="Times New Roman" w:eastAsia="Times New Roman" w:hAnsi="Times New Roman" w:cs="Times New Roman"/>
                <w:color w:val="000000"/>
                <w:sz w:val="20"/>
                <w:szCs w:val="20"/>
                <w:lang w:val="en-US"/>
              </w:rPr>
              <w:t>*</w:t>
            </w:r>
          </w:p>
        </w:tc>
        <w:tc>
          <w:tcPr>
            <w:tcW w:w="289" w:type="pct"/>
            <w:noWrap/>
            <w:vAlign w:val="center"/>
          </w:tcPr>
          <w:p w14:paraId="7ABECCAB"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-0.01</w:t>
            </w:r>
          </w:p>
        </w:tc>
        <w:tc>
          <w:tcPr>
            <w:tcW w:w="262" w:type="pct"/>
            <w:noWrap/>
            <w:vAlign w:val="center"/>
          </w:tcPr>
          <w:p w14:paraId="04BEBAAE"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0.00</w:t>
            </w:r>
          </w:p>
        </w:tc>
        <w:tc>
          <w:tcPr>
            <w:tcW w:w="289" w:type="pct"/>
            <w:noWrap/>
            <w:vAlign w:val="center"/>
            <w:hideMark/>
          </w:tcPr>
          <w:p w14:paraId="240C50BF"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0.04</w:t>
            </w:r>
            <w:r>
              <w:rPr>
                <w:rFonts w:ascii="Times New Roman" w:eastAsia="Times New Roman" w:hAnsi="Times New Roman" w:cs="Times New Roman"/>
                <w:color w:val="000000"/>
                <w:sz w:val="20"/>
                <w:szCs w:val="20"/>
                <w:lang w:val="en-US"/>
              </w:rPr>
              <w:t>*</w:t>
            </w:r>
          </w:p>
        </w:tc>
        <w:tc>
          <w:tcPr>
            <w:tcW w:w="289" w:type="pct"/>
            <w:noWrap/>
            <w:vAlign w:val="center"/>
            <w:hideMark/>
          </w:tcPr>
          <w:p w14:paraId="07827752"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-0.14</w:t>
            </w:r>
            <w:r>
              <w:rPr>
                <w:rFonts w:ascii="Times New Roman" w:eastAsia="Times New Roman" w:hAnsi="Times New Roman" w:cs="Times New Roman"/>
                <w:color w:val="000000"/>
                <w:sz w:val="20"/>
                <w:szCs w:val="20"/>
                <w:lang w:val="en-US"/>
              </w:rPr>
              <w:t>*</w:t>
            </w:r>
          </w:p>
        </w:tc>
        <w:tc>
          <w:tcPr>
            <w:tcW w:w="289" w:type="pct"/>
            <w:noWrap/>
            <w:vAlign w:val="center"/>
            <w:hideMark/>
          </w:tcPr>
          <w:p w14:paraId="332846A7"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0.23</w:t>
            </w:r>
            <w:r>
              <w:rPr>
                <w:rFonts w:ascii="Times New Roman" w:eastAsia="Times New Roman" w:hAnsi="Times New Roman" w:cs="Times New Roman"/>
                <w:color w:val="000000"/>
                <w:sz w:val="20"/>
                <w:szCs w:val="20"/>
                <w:lang w:val="en-US"/>
              </w:rPr>
              <w:t>*</w:t>
            </w:r>
          </w:p>
        </w:tc>
        <w:tc>
          <w:tcPr>
            <w:tcW w:w="289" w:type="pct"/>
            <w:noWrap/>
            <w:vAlign w:val="center"/>
            <w:hideMark/>
          </w:tcPr>
          <w:p w14:paraId="2B2B418C"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1</w:t>
            </w:r>
          </w:p>
        </w:tc>
        <w:tc>
          <w:tcPr>
            <w:tcW w:w="289" w:type="pct"/>
            <w:noWrap/>
            <w:vAlign w:val="center"/>
            <w:hideMark/>
          </w:tcPr>
          <w:p w14:paraId="357E5946"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p>
        </w:tc>
        <w:tc>
          <w:tcPr>
            <w:tcW w:w="289" w:type="pct"/>
            <w:noWrap/>
            <w:vAlign w:val="center"/>
            <w:hideMark/>
          </w:tcPr>
          <w:p w14:paraId="4B339BDC"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c>
          <w:tcPr>
            <w:tcW w:w="289" w:type="pct"/>
            <w:noWrap/>
            <w:vAlign w:val="center"/>
            <w:hideMark/>
          </w:tcPr>
          <w:p w14:paraId="15EF2110"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r>
      <w:tr w:rsidR="006757F3" w:rsidRPr="0064782A" w14:paraId="48E595B2" w14:textId="77777777" w:rsidTr="0029698B">
        <w:trPr>
          <w:trHeight w:val="360"/>
        </w:trPr>
        <w:tc>
          <w:tcPr>
            <w:tcW w:w="694" w:type="pct"/>
            <w:noWrap/>
            <w:vAlign w:val="center"/>
            <w:hideMark/>
          </w:tcPr>
          <w:p w14:paraId="135BE48C" w14:textId="77777777" w:rsidR="006757F3" w:rsidRPr="00CD7A42" w:rsidRDefault="006757F3" w:rsidP="00B768F6">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Cash (13</w:t>
            </w:r>
            <w:r w:rsidRPr="00CD7A42">
              <w:rPr>
                <w:rFonts w:ascii="Times New Roman" w:eastAsia="Times New Roman" w:hAnsi="Times New Roman" w:cs="Times New Roman"/>
                <w:color w:val="000000"/>
                <w:sz w:val="20"/>
                <w:szCs w:val="20"/>
                <w:lang w:val="en-US"/>
              </w:rPr>
              <w:t>)</w:t>
            </w:r>
          </w:p>
        </w:tc>
        <w:tc>
          <w:tcPr>
            <w:tcW w:w="289" w:type="pct"/>
            <w:noWrap/>
            <w:vAlign w:val="center"/>
            <w:hideMark/>
          </w:tcPr>
          <w:p w14:paraId="475B7838"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-0.12</w:t>
            </w:r>
            <w:r>
              <w:rPr>
                <w:rFonts w:ascii="Times New Roman" w:eastAsia="Times New Roman" w:hAnsi="Times New Roman" w:cs="Times New Roman"/>
                <w:color w:val="000000"/>
                <w:sz w:val="20"/>
                <w:szCs w:val="20"/>
                <w:lang w:val="en-US"/>
              </w:rPr>
              <w:t>*</w:t>
            </w:r>
          </w:p>
        </w:tc>
        <w:tc>
          <w:tcPr>
            <w:tcW w:w="289" w:type="pct"/>
            <w:noWrap/>
            <w:vAlign w:val="center"/>
            <w:hideMark/>
          </w:tcPr>
          <w:p w14:paraId="1B1FE060"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-0.17</w:t>
            </w:r>
            <w:r>
              <w:rPr>
                <w:rFonts w:ascii="Times New Roman" w:eastAsia="Times New Roman" w:hAnsi="Times New Roman" w:cs="Times New Roman"/>
                <w:color w:val="000000"/>
                <w:sz w:val="20"/>
                <w:szCs w:val="20"/>
                <w:lang w:val="en-US"/>
              </w:rPr>
              <w:t>*</w:t>
            </w:r>
          </w:p>
        </w:tc>
        <w:tc>
          <w:tcPr>
            <w:tcW w:w="289" w:type="pct"/>
            <w:noWrap/>
            <w:vAlign w:val="center"/>
            <w:hideMark/>
          </w:tcPr>
          <w:p w14:paraId="30EF8929"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0.19</w:t>
            </w:r>
            <w:r>
              <w:rPr>
                <w:rFonts w:ascii="Times New Roman" w:eastAsia="Times New Roman" w:hAnsi="Times New Roman" w:cs="Times New Roman"/>
                <w:color w:val="000000"/>
                <w:sz w:val="20"/>
                <w:szCs w:val="20"/>
                <w:lang w:val="en-US"/>
              </w:rPr>
              <w:t>*</w:t>
            </w:r>
          </w:p>
        </w:tc>
        <w:tc>
          <w:tcPr>
            <w:tcW w:w="289" w:type="pct"/>
            <w:noWrap/>
            <w:vAlign w:val="center"/>
          </w:tcPr>
          <w:p w14:paraId="706DABE7"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-0.04</w:t>
            </w:r>
            <w:r>
              <w:rPr>
                <w:rFonts w:ascii="Times New Roman" w:eastAsia="Times New Roman" w:hAnsi="Times New Roman" w:cs="Times New Roman"/>
                <w:color w:val="000000"/>
                <w:sz w:val="20"/>
                <w:szCs w:val="20"/>
                <w:lang w:val="en-US"/>
              </w:rPr>
              <w:t>*</w:t>
            </w:r>
          </w:p>
        </w:tc>
        <w:tc>
          <w:tcPr>
            <w:tcW w:w="289" w:type="pct"/>
            <w:noWrap/>
            <w:vAlign w:val="center"/>
          </w:tcPr>
          <w:p w14:paraId="3A68BE18"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-0.04</w:t>
            </w:r>
            <w:r>
              <w:rPr>
                <w:rFonts w:ascii="Times New Roman" w:eastAsia="Times New Roman" w:hAnsi="Times New Roman" w:cs="Times New Roman"/>
                <w:color w:val="000000"/>
                <w:sz w:val="20"/>
                <w:szCs w:val="20"/>
                <w:lang w:val="en-US"/>
              </w:rPr>
              <w:t>*</w:t>
            </w:r>
          </w:p>
        </w:tc>
        <w:tc>
          <w:tcPr>
            <w:tcW w:w="289" w:type="pct"/>
            <w:noWrap/>
            <w:vAlign w:val="center"/>
            <w:hideMark/>
          </w:tcPr>
          <w:p w14:paraId="5F517E40"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-0.18</w:t>
            </w:r>
            <w:r>
              <w:rPr>
                <w:rFonts w:ascii="Times New Roman" w:eastAsia="Times New Roman" w:hAnsi="Times New Roman" w:cs="Times New Roman"/>
                <w:color w:val="000000"/>
                <w:sz w:val="20"/>
                <w:szCs w:val="20"/>
                <w:lang w:val="en-US"/>
              </w:rPr>
              <w:t>*</w:t>
            </w:r>
          </w:p>
        </w:tc>
        <w:tc>
          <w:tcPr>
            <w:tcW w:w="289" w:type="pct"/>
            <w:noWrap/>
            <w:vAlign w:val="center"/>
          </w:tcPr>
          <w:p w14:paraId="54654DCB"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-0.05</w:t>
            </w:r>
            <w:r>
              <w:rPr>
                <w:rFonts w:ascii="Times New Roman" w:eastAsia="Times New Roman" w:hAnsi="Times New Roman" w:cs="Times New Roman"/>
                <w:color w:val="000000"/>
                <w:sz w:val="20"/>
                <w:szCs w:val="20"/>
                <w:lang w:val="en-US"/>
              </w:rPr>
              <w:t>*</w:t>
            </w:r>
          </w:p>
        </w:tc>
        <w:tc>
          <w:tcPr>
            <w:tcW w:w="262" w:type="pct"/>
            <w:noWrap/>
            <w:vAlign w:val="center"/>
          </w:tcPr>
          <w:p w14:paraId="4D6637D7"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-0.01</w:t>
            </w:r>
          </w:p>
        </w:tc>
        <w:tc>
          <w:tcPr>
            <w:tcW w:w="289" w:type="pct"/>
            <w:noWrap/>
            <w:vAlign w:val="center"/>
            <w:hideMark/>
          </w:tcPr>
          <w:p w14:paraId="65791DCD"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-0.09</w:t>
            </w:r>
            <w:r>
              <w:rPr>
                <w:rFonts w:ascii="Times New Roman" w:eastAsia="Times New Roman" w:hAnsi="Times New Roman" w:cs="Times New Roman"/>
                <w:color w:val="000000"/>
                <w:sz w:val="20"/>
                <w:szCs w:val="20"/>
                <w:lang w:val="en-US"/>
              </w:rPr>
              <w:t>*</w:t>
            </w:r>
          </w:p>
        </w:tc>
        <w:tc>
          <w:tcPr>
            <w:tcW w:w="289" w:type="pct"/>
            <w:noWrap/>
            <w:vAlign w:val="center"/>
            <w:hideMark/>
          </w:tcPr>
          <w:p w14:paraId="7279347C"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-0.04</w:t>
            </w:r>
            <w:r>
              <w:rPr>
                <w:rFonts w:ascii="Times New Roman" w:eastAsia="Times New Roman" w:hAnsi="Times New Roman" w:cs="Times New Roman"/>
                <w:color w:val="000000"/>
                <w:sz w:val="20"/>
                <w:szCs w:val="20"/>
                <w:lang w:val="en-US"/>
              </w:rPr>
              <w:t>*</w:t>
            </w:r>
          </w:p>
        </w:tc>
        <w:tc>
          <w:tcPr>
            <w:tcW w:w="289" w:type="pct"/>
            <w:noWrap/>
            <w:vAlign w:val="center"/>
            <w:hideMark/>
          </w:tcPr>
          <w:p w14:paraId="2EDF7248"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-0.27</w:t>
            </w:r>
            <w:r>
              <w:rPr>
                <w:rFonts w:ascii="Times New Roman" w:eastAsia="Times New Roman" w:hAnsi="Times New Roman" w:cs="Times New Roman"/>
                <w:color w:val="000000"/>
                <w:sz w:val="20"/>
                <w:szCs w:val="20"/>
                <w:lang w:val="en-US"/>
              </w:rPr>
              <w:t>*</w:t>
            </w:r>
          </w:p>
        </w:tc>
        <w:tc>
          <w:tcPr>
            <w:tcW w:w="289" w:type="pct"/>
            <w:noWrap/>
            <w:vAlign w:val="center"/>
            <w:hideMark/>
          </w:tcPr>
          <w:p w14:paraId="4D300A19"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-0.29</w:t>
            </w:r>
            <w:r>
              <w:rPr>
                <w:rFonts w:ascii="Times New Roman" w:eastAsia="Times New Roman" w:hAnsi="Times New Roman" w:cs="Times New Roman"/>
                <w:color w:val="000000"/>
                <w:sz w:val="20"/>
                <w:szCs w:val="20"/>
                <w:lang w:val="en-US"/>
              </w:rPr>
              <w:t>*</w:t>
            </w:r>
          </w:p>
        </w:tc>
        <w:tc>
          <w:tcPr>
            <w:tcW w:w="289" w:type="pct"/>
            <w:noWrap/>
            <w:vAlign w:val="center"/>
            <w:hideMark/>
          </w:tcPr>
          <w:p w14:paraId="47004809"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1</w:t>
            </w:r>
          </w:p>
        </w:tc>
        <w:tc>
          <w:tcPr>
            <w:tcW w:w="289" w:type="pct"/>
            <w:noWrap/>
            <w:vAlign w:val="center"/>
            <w:hideMark/>
          </w:tcPr>
          <w:p w14:paraId="70D84AC6"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p>
        </w:tc>
        <w:tc>
          <w:tcPr>
            <w:tcW w:w="289" w:type="pct"/>
            <w:noWrap/>
            <w:vAlign w:val="center"/>
            <w:hideMark/>
          </w:tcPr>
          <w:p w14:paraId="34B96F0A" w14:textId="77777777" w:rsidR="006757F3" w:rsidRPr="00CD7A42" w:rsidRDefault="006757F3" w:rsidP="00B768F6">
            <w:pPr>
              <w:spacing w:after="0" w:line="240" w:lineRule="auto"/>
              <w:jc w:val="center"/>
              <w:rPr>
                <w:rFonts w:ascii="Times New Roman" w:eastAsia="Times New Roman" w:hAnsi="Times New Roman" w:cs="Times New Roman"/>
                <w:sz w:val="20"/>
                <w:szCs w:val="20"/>
                <w:lang w:val="en-US"/>
              </w:rPr>
            </w:pPr>
          </w:p>
        </w:tc>
      </w:tr>
      <w:tr w:rsidR="006757F3" w:rsidRPr="0064782A" w14:paraId="64316E29" w14:textId="77777777" w:rsidTr="0029698B">
        <w:trPr>
          <w:trHeight w:val="360"/>
        </w:trPr>
        <w:tc>
          <w:tcPr>
            <w:tcW w:w="694" w:type="pct"/>
            <w:noWrap/>
            <w:vAlign w:val="center"/>
            <w:hideMark/>
          </w:tcPr>
          <w:p w14:paraId="2AAC96F2" w14:textId="77777777" w:rsidR="006757F3" w:rsidRPr="00CD7A42" w:rsidRDefault="006757F3" w:rsidP="00B768F6">
            <w:pPr>
              <w:spacing w:after="0" w:line="240" w:lineRule="auto"/>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lang w:val="en-US"/>
              </w:rPr>
              <w:t>Cap_Intensity</w:t>
            </w:r>
            <w:proofErr w:type="spellEnd"/>
            <w:r>
              <w:rPr>
                <w:rFonts w:ascii="Times New Roman" w:eastAsia="Times New Roman" w:hAnsi="Times New Roman" w:cs="Times New Roman"/>
                <w:color w:val="000000"/>
                <w:sz w:val="20"/>
                <w:szCs w:val="20"/>
                <w:lang w:val="en-US"/>
              </w:rPr>
              <w:t xml:space="preserve"> (14</w:t>
            </w:r>
            <w:r w:rsidRPr="00CD7A42">
              <w:rPr>
                <w:rFonts w:ascii="Times New Roman" w:eastAsia="Times New Roman" w:hAnsi="Times New Roman" w:cs="Times New Roman"/>
                <w:color w:val="000000"/>
                <w:sz w:val="20"/>
                <w:szCs w:val="20"/>
                <w:lang w:val="en-US"/>
              </w:rPr>
              <w:t>)</w:t>
            </w:r>
          </w:p>
        </w:tc>
        <w:tc>
          <w:tcPr>
            <w:tcW w:w="289" w:type="pct"/>
            <w:noWrap/>
            <w:vAlign w:val="center"/>
            <w:hideMark/>
          </w:tcPr>
          <w:p w14:paraId="3A278E1E"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0.46</w:t>
            </w:r>
            <w:r>
              <w:rPr>
                <w:rFonts w:ascii="Times New Roman" w:eastAsia="Times New Roman" w:hAnsi="Times New Roman" w:cs="Times New Roman"/>
                <w:color w:val="000000"/>
                <w:sz w:val="20"/>
                <w:szCs w:val="20"/>
                <w:lang w:val="en-US"/>
              </w:rPr>
              <w:t>*</w:t>
            </w:r>
          </w:p>
        </w:tc>
        <w:tc>
          <w:tcPr>
            <w:tcW w:w="289" w:type="pct"/>
            <w:noWrap/>
            <w:vAlign w:val="center"/>
            <w:hideMark/>
          </w:tcPr>
          <w:p w14:paraId="1A83E453"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0.16</w:t>
            </w:r>
            <w:r>
              <w:rPr>
                <w:rFonts w:ascii="Times New Roman" w:eastAsia="Times New Roman" w:hAnsi="Times New Roman" w:cs="Times New Roman"/>
                <w:color w:val="000000"/>
                <w:sz w:val="20"/>
                <w:szCs w:val="20"/>
                <w:lang w:val="en-US"/>
              </w:rPr>
              <w:t>*</w:t>
            </w:r>
          </w:p>
        </w:tc>
        <w:tc>
          <w:tcPr>
            <w:tcW w:w="289" w:type="pct"/>
            <w:noWrap/>
            <w:vAlign w:val="center"/>
            <w:hideMark/>
          </w:tcPr>
          <w:p w14:paraId="50DB0C4F"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-0.10</w:t>
            </w:r>
            <w:r>
              <w:rPr>
                <w:rFonts w:ascii="Times New Roman" w:eastAsia="Times New Roman" w:hAnsi="Times New Roman" w:cs="Times New Roman"/>
                <w:color w:val="000000"/>
                <w:sz w:val="20"/>
                <w:szCs w:val="20"/>
                <w:lang w:val="en-US"/>
              </w:rPr>
              <w:t>*</w:t>
            </w:r>
          </w:p>
        </w:tc>
        <w:tc>
          <w:tcPr>
            <w:tcW w:w="289" w:type="pct"/>
            <w:noWrap/>
            <w:vAlign w:val="center"/>
          </w:tcPr>
          <w:p w14:paraId="7E740976"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-0.04</w:t>
            </w:r>
            <w:r>
              <w:rPr>
                <w:rFonts w:ascii="Times New Roman" w:eastAsia="Times New Roman" w:hAnsi="Times New Roman" w:cs="Times New Roman"/>
                <w:color w:val="000000"/>
                <w:sz w:val="20"/>
                <w:szCs w:val="20"/>
                <w:lang w:val="en-US"/>
              </w:rPr>
              <w:t>*</w:t>
            </w:r>
          </w:p>
        </w:tc>
        <w:tc>
          <w:tcPr>
            <w:tcW w:w="289" w:type="pct"/>
            <w:noWrap/>
            <w:vAlign w:val="center"/>
          </w:tcPr>
          <w:p w14:paraId="449C011B"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0.05</w:t>
            </w:r>
            <w:r>
              <w:rPr>
                <w:rFonts w:ascii="Times New Roman" w:eastAsia="Times New Roman" w:hAnsi="Times New Roman" w:cs="Times New Roman"/>
                <w:color w:val="000000"/>
                <w:sz w:val="20"/>
                <w:szCs w:val="20"/>
                <w:lang w:val="en-US"/>
              </w:rPr>
              <w:t>*</w:t>
            </w:r>
          </w:p>
        </w:tc>
        <w:tc>
          <w:tcPr>
            <w:tcW w:w="289" w:type="pct"/>
            <w:noWrap/>
            <w:vAlign w:val="center"/>
            <w:hideMark/>
          </w:tcPr>
          <w:p w14:paraId="2FE351C9"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0.06</w:t>
            </w:r>
            <w:r>
              <w:rPr>
                <w:rFonts w:ascii="Times New Roman" w:eastAsia="Times New Roman" w:hAnsi="Times New Roman" w:cs="Times New Roman"/>
                <w:color w:val="000000"/>
                <w:sz w:val="20"/>
                <w:szCs w:val="20"/>
                <w:lang w:val="en-US"/>
              </w:rPr>
              <w:t>*</w:t>
            </w:r>
          </w:p>
        </w:tc>
        <w:tc>
          <w:tcPr>
            <w:tcW w:w="289" w:type="pct"/>
            <w:noWrap/>
            <w:vAlign w:val="center"/>
          </w:tcPr>
          <w:p w14:paraId="3EC551DA"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0.02</w:t>
            </w:r>
            <w:r>
              <w:rPr>
                <w:rFonts w:ascii="Times New Roman" w:eastAsia="Times New Roman" w:hAnsi="Times New Roman" w:cs="Times New Roman"/>
                <w:color w:val="000000"/>
                <w:sz w:val="20"/>
                <w:szCs w:val="20"/>
                <w:lang w:val="en-US"/>
              </w:rPr>
              <w:t>*</w:t>
            </w:r>
          </w:p>
        </w:tc>
        <w:tc>
          <w:tcPr>
            <w:tcW w:w="262" w:type="pct"/>
            <w:noWrap/>
            <w:vAlign w:val="center"/>
          </w:tcPr>
          <w:p w14:paraId="32E1FD20"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0.02</w:t>
            </w:r>
          </w:p>
        </w:tc>
        <w:tc>
          <w:tcPr>
            <w:tcW w:w="289" w:type="pct"/>
            <w:noWrap/>
            <w:vAlign w:val="center"/>
            <w:hideMark/>
          </w:tcPr>
          <w:p w14:paraId="22B881CE"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0.03</w:t>
            </w:r>
            <w:r>
              <w:rPr>
                <w:rFonts w:ascii="Times New Roman" w:eastAsia="Times New Roman" w:hAnsi="Times New Roman" w:cs="Times New Roman"/>
                <w:color w:val="000000"/>
                <w:sz w:val="20"/>
                <w:szCs w:val="20"/>
                <w:lang w:val="en-US"/>
              </w:rPr>
              <w:t>*</w:t>
            </w:r>
          </w:p>
        </w:tc>
        <w:tc>
          <w:tcPr>
            <w:tcW w:w="289" w:type="pct"/>
            <w:noWrap/>
            <w:vAlign w:val="center"/>
            <w:hideMark/>
          </w:tcPr>
          <w:p w14:paraId="1B5872C3"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-0.09</w:t>
            </w:r>
            <w:r>
              <w:rPr>
                <w:rFonts w:ascii="Times New Roman" w:eastAsia="Times New Roman" w:hAnsi="Times New Roman" w:cs="Times New Roman"/>
                <w:color w:val="000000"/>
                <w:sz w:val="20"/>
                <w:szCs w:val="20"/>
                <w:lang w:val="en-US"/>
              </w:rPr>
              <w:t>*</w:t>
            </w:r>
          </w:p>
        </w:tc>
        <w:tc>
          <w:tcPr>
            <w:tcW w:w="289" w:type="pct"/>
            <w:noWrap/>
            <w:vAlign w:val="center"/>
            <w:hideMark/>
          </w:tcPr>
          <w:p w14:paraId="2B375BC9"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0.12</w:t>
            </w:r>
            <w:r>
              <w:rPr>
                <w:rFonts w:ascii="Times New Roman" w:eastAsia="Times New Roman" w:hAnsi="Times New Roman" w:cs="Times New Roman"/>
                <w:color w:val="000000"/>
                <w:sz w:val="20"/>
                <w:szCs w:val="20"/>
                <w:lang w:val="en-US"/>
              </w:rPr>
              <w:t>*</w:t>
            </w:r>
          </w:p>
        </w:tc>
        <w:tc>
          <w:tcPr>
            <w:tcW w:w="289" w:type="pct"/>
            <w:noWrap/>
            <w:vAlign w:val="center"/>
            <w:hideMark/>
          </w:tcPr>
          <w:p w14:paraId="05C909A9"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0.19</w:t>
            </w:r>
            <w:r>
              <w:rPr>
                <w:rFonts w:ascii="Times New Roman" w:eastAsia="Times New Roman" w:hAnsi="Times New Roman" w:cs="Times New Roman"/>
                <w:color w:val="000000"/>
                <w:sz w:val="20"/>
                <w:szCs w:val="20"/>
                <w:lang w:val="en-US"/>
              </w:rPr>
              <w:t>*</w:t>
            </w:r>
          </w:p>
        </w:tc>
        <w:tc>
          <w:tcPr>
            <w:tcW w:w="289" w:type="pct"/>
            <w:noWrap/>
            <w:vAlign w:val="center"/>
            <w:hideMark/>
          </w:tcPr>
          <w:p w14:paraId="0C84517E"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-0.23</w:t>
            </w:r>
            <w:r>
              <w:rPr>
                <w:rFonts w:ascii="Times New Roman" w:eastAsia="Times New Roman" w:hAnsi="Times New Roman" w:cs="Times New Roman"/>
                <w:color w:val="000000"/>
                <w:sz w:val="20"/>
                <w:szCs w:val="20"/>
                <w:lang w:val="en-US"/>
              </w:rPr>
              <w:t>*</w:t>
            </w:r>
          </w:p>
        </w:tc>
        <w:tc>
          <w:tcPr>
            <w:tcW w:w="289" w:type="pct"/>
            <w:noWrap/>
            <w:vAlign w:val="center"/>
            <w:hideMark/>
          </w:tcPr>
          <w:p w14:paraId="4B3711FC"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1</w:t>
            </w:r>
          </w:p>
        </w:tc>
        <w:tc>
          <w:tcPr>
            <w:tcW w:w="289" w:type="pct"/>
            <w:noWrap/>
            <w:vAlign w:val="center"/>
            <w:hideMark/>
          </w:tcPr>
          <w:p w14:paraId="1AB9C7C4"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p>
        </w:tc>
      </w:tr>
      <w:tr w:rsidR="006757F3" w:rsidRPr="0064782A" w14:paraId="09701E8C" w14:textId="77777777" w:rsidTr="0029698B">
        <w:trPr>
          <w:trHeight w:val="360"/>
        </w:trPr>
        <w:tc>
          <w:tcPr>
            <w:tcW w:w="694" w:type="pct"/>
            <w:noWrap/>
            <w:vAlign w:val="center"/>
            <w:hideMark/>
          </w:tcPr>
          <w:p w14:paraId="575C116E" w14:textId="77777777" w:rsidR="006757F3" w:rsidRPr="00CD7A42" w:rsidRDefault="006757F3" w:rsidP="00B768F6">
            <w:pPr>
              <w:spacing w:after="0" w:line="240" w:lineRule="auto"/>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Capex</w:t>
            </w:r>
            <w:r>
              <w:rPr>
                <w:rFonts w:ascii="Times New Roman" w:eastAsia="Times New Roman" w:hAnsi="Times New Roman" w:cs="Times New Roman"/>
                <w:color w:val="000000"/>
                <w:sz w:val="20"/>
                <w:szCs w:val="20"/>
                <w:lang w:val="en-US"/>
              </w:rPr>
              <w:t>2Sales (15</w:t>
            </w:r>
            <w:r w:rsidRPr="00CD7A42">
              <w:rPr>
                <w:rFonts w:ascii="Times New Roman" w:eastAsia="Times New Roman" w:hAnsi="Times New Roman" w:cs="Times New Roman"/>
                <w:color w:val="000000"/>
                <w:sz w:val="20"/>
                <w:szCs w:val="20"/>
                <w:lang w:val="en-US"/>
              </w:rPr>
              <w:t>)</w:t>
            </w:r>
          </w:p>
        </w:tc>
        <w:tc>
          <w:tcPr>
            <w:tcW w:w="289" w:type="pct"/>
            <w:noWrap/>
            <w:vAlign w:val="center"/>
            <w:hideMark/>
          </w:tcPr>
          <w:p w14:paraId="02159071"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0.05</w:t>
            </w:r>
            <w:r>
              <w:rPr>
                <w:rFonts w:ascii="Times New Roman" w:eastAsia="Times New Roman" w:hAnsi="Times New Roman" w:cs="Times New Roman"/>
                <w:color w:val="000000"/>
                <w:sz w:val="20"/>
                <w:szCs w:val="20"/>
                <w:lang w:val="en-US"/>
              </w:rPr>
              <w:t>*</w:t>
            </w:r>
          </w:p>
        </w:tc>
        <w:tc>
          <w:tcPr>
            <w:tcW w:w="289" w:type="pct"/>
            <w:noWrap/>
            <w:vAlign w:val="center"/>
            <w:hideMark/>
          </w:tcPr>
          <w:p w14:paraId="1052EC9C"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-0.02</w:t>
            </w:r>
            <w:r>
              <w:rPr>
                <w:rFonts w:ascii="Times New Roman" w:eastAsia="Times New Roman" w:hAnsi="Times New Roman" w:cs="Times New Roman"/>
                <w:color w:val="000000"/>
                <w:sz w:val="20"/>
                <w:szCs w:val="20"/>
                <w:lang w:val="en-US"/>
              </w:rPr>
              <w:t>*</w:t>
            </w:r>
          </w:p>
        </w:tc>
        <w:tc>
          <w:tcPr>
            <w:tcW w:w="289" w:type="pct"/>
            <w:noWrap/>
            <w:vAlign w:val="center"/>
            <w:hideMark/>
          </w:tcPr>
          <w:p w14:paraId="584BE0EF"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-0.03</w:t>
            </w:r>
            <w:r>
              <w:rPr>
                <w:rFonts w:ascii="Times New Roman" w:eastAsia="Times New Roman" w:hAnsi="Times New Roman" w:cs="Times New Roman"/>
                <w:color w:val="000000"/>
                <w:sz w:val="20"/>
                <w:szCs w:val="20"/>
                <w:lang w:val="en-US"/>
              </w:rPr>
              <w:t>*</w:t>
            </w:r>
          </w:p>
        </w:tc>
        <w:tc>
          <w:tcPr>
            <w:tcW w:w="289" w:type="pct"/>
            <w:noWrap/>
            <w:vAlign w:val="center"/>
          </w:tcPr>
          <w:p w14:paraId="72010D82"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-0.08</w:t>
            </w:r>
            <w:r>
              <w:rPr>
                <w:rFonts w:ascii="Times New Roman" w:eastAsia="Times New Roman" w:hAnsi="Times New Roman" w:cs="Times New Roman"/>
                <w:color w:val="000000"/>
                <w:sz w:val="20"/>
                <w:szCs w:val="20"/>
                <w:lang w:val="en-US"/>
              </w:rPr>
              <w:t>*</w:t>
            </w:r>
          </w:p>
        </w:tc>
        <w:tc>
          <w:tcPr>
            <w:tcW w:w="289" w:type="pct"/>
            <w:noWrap/>
            <w:vAlign w:val="center"/>
          </w:tcPr>
          <w:p w14:paraId="2D702884"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0.00</w:t>
            </w:r>
          </w:p>
        </w:tc>
        <w:tc>
          <w:tcPr>
            <w:tcW w:w="289" w:type="pct"/>
            <w:noWrap/>
            <w:vAlign w:val="center"/>
            <w:hideMark/>
          </w:tcPr>
          <w:p w14:paraId="42CF2632"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-0.03</w:t>
            </w:r>
            <w:r>
              <w:rPr>
                <w:rFonts w:ascii="Times New Roman" w:eastAsia="Times New Roman" w:hAnsi="Times New Roman" w:cs="Times New Roman"/>
                <w:color w:val="000000"/>
                <w:sz w:val="20"/>
                <w:szCs w:val="20"/>
                <w:lang w:val="en-US"/>
              </w:rPr>
              <w:t>*</w:t>
            </w:r>
          </w:p>
        </w:tc>
        <w:tc>
          <w:tcPr>
            <w:tcW w:w="289" w:type="pct"/>
            <w:noWrap/>
            <w:vAlign w:val="center"/>
          </w:tcPr>
          <w:p w14:paraId="1FF928A1"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-0.01</w:t>
            </w:r>
          </w:p>
        </w:tc>
        <w:tc>
          <w:tcPr>
            <w:tcW w:w="262" w:type="pct"/>
            <w:noWrap/>
            <w:vAlign w:val="center"/>
          </w:tcPr>
          <w:p w14:paraId="34986182"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0.03</w:t>
            </w:r>
            <w:r>
              <w:rPr>
                <w:rFonts w:ascii="Times New Roman" w:eastAsia="Times New Roman" w:hAnsi="Times New Roman" w:cs="Times New Roman"/>
                <w:color w:val="000000"/>
                <w:sz w:val="20"/>
                <w:szCs w:val="20"/>
                <w:lang w:val="en-US"/>
              </w:rPr>
              <w:t>*</w:t>
            </w:r>
          </w:p>
        </w:tc>
        <w:tc>
          <w:tcPr>
            <w:tcW w:w="289" w:type="pct"/>
            <w:noWrap/>
            <w:vAlign w:val="center"/>
            <w:hideMark/>
          </w:tcPr>
          <w:p w14:paraId="54E19AD5"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0.00</w:t>
            </w:r>
          </w:p>
        </w:tc>
        <w:tc>
          <w:tcPr>
            <w:tcW w:w="289" w:type="pct"/>
            <w:noWrap/>
            <w:vAlign w:val="center"/>
            <w:hideMark/>
          </w:tcPr>
          <w:p w14:paraId="6DFDB8B7"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-0.09</w:t>
            </w:r>
            <w:r>
              <w:rPr>
                <w:rFonts w:ascii="Times New Roman" w:eastAsia="Times New Roman" w:hAnsi="Times New Roman" w:cs="Times New Roman"/>
                <w:color w:val="000000"/>
                <w:sz w:val="20"/>
                <w:szCs w:val="20"/>
                <w:lang w:val="en-US"/>
              </w:rPr>
              <w:t>*</w:t>
            </w:r>
          </w:p>
        </w:tc>
        <w:tc>
          <w:tcPr>
            <w:tcW w:w="289" w:type="pct"/>
            <w:noWrap/>
            <w:vAlign w:val="center"/>
            <w:hideMark/>
          </w:tcPr>
          <w:p w14:paraId="39A42E6E"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-0.04</w:t>
            </w:r>
            <w:r>
              <w:rPr>
                <w:rFonts w:ascii="Times New Roman" w:eastAsia="Times New Roman" w:hAnsi="Times New Roman" w:cs="Times New Roman"/>
                <w:color w:val="000000"/>
                <w:sz w:val="20"/>
                <w:szCs w:val="20"/>
                <w:lang w:val="en-US"/>
              </w:rPr>
              <w:t>*</w:t>
            </w:r>
          </w:p>
        </w:tc>
        <w:tc>
          <w:tcPr>
            <w:tcW w:w="289" w:type="pct"/>
            <w:noWrap/>
            <w:vAlign w:val="center"/>
            <w:hideMark/>
          </w:tcPr>
          <w:p w14:paraId="6A9605CE"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0.01</w:t>
            </w:r>
          </w:p>
        </w:tc>
        <w:tc>
          <w:tcPr>
            <w:tcW w:w="289" w:type="pct"/>
            <w:noWrap/>
            <w:vAlign w:val="center"/>
            <w:hideMark/>
          </w:tcPr>
          <w:p w14:paraId="1869937E"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0.08</w:t>
            </w:r>
            <w:r>
              <w:rPr>
                <w:rFonts w:ascii="Times New Roman" w:eastAsia="Times New Roman" w:hAnsi="Times New Roman" w:cs="Times New Roman"/>
                <w:color w:val="000000"/>
                <w:sz w:val="20"/>
                <w:szCs w:val="20"/>
                <w:lang w:val="en-US"/>
              </w:rPr>
              <w:t>*</w:t>
            </w:r>
          </w:p>
        </w:tc>
        <w:tc>
          <w:tcPr>
            <w:tcW w:w="289" w:type="pct"/>
            <w:noWrap/>
            <w:vAlign w:val="center"/>
            <w:hideMark/>
          </w:tcPr>
          <w:p w14:paraId="254C1294"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0.02</w:t>
            </w:r>
          </w:p>
        </w:tc>
        <w:tc>
          <w:tcPr>
            <w:tcW w:w="289" w:type="pct"/>
            <w:noWrap/>
            <w:vAlign w:val="center"/>
            <w:hideMark/>
          </w:tcPr>
          <w:p w14:paraId="72718E61"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1</w:t>
            </w:r>
          </w:p>
        </w:tc>
      </w:tr>
      <w:tr w:rsidR="006757F3" w:rsidRPr="0064782A" w14:paraId="1376C217" w14:textId="77777777" w:rsidTr="0029698B">
        <w:trPr>
          <w:trHeight w:val="360"/>
        </w:trPr>
        <w:tc>
          <w:tcPr>
            <w:tcW w:w="694" w:type="pct"/>
            <w:tcBorders>
              <w:bottom w:val="single" w:sz="4" w:space="0" w:color="auto"/>
            </w:tcBorders>
            <w:noWrap/>
            <w:vAlign w:val="center"/>
            <w:hideMark/>
          </w:tcPr>
          <w:p w14:paraId="2D50855A" w14:textId="77777777" w:rsidR="006757F3" w:rsidRPr="00CD7A42" w:rsidRDefault="006757F3" w:rsidP="00B768F6">
            <w:pPr>
              <w:spacing w:after="0" w:line="240" w:lineRule="auto"/>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lang w:val="en-US"/>
              </w:rPr>
              <w:t>Market2Book (16</w:t>
            </w:r>
            <w:r w:rsidRPr="00CD7A42">
              <w:rPr>
                <w:rFonts w:ascii="Times New Roman" w:eastAsia="Times New Roman" w:hAnsi="Times New Roman" w:cs="Times New Roman"/>
                <w:color w:val="000000"/>
                <w:sz w:val="20"/>
                <w:szCs w:val="20"/>
                <w:lang w:val="en-US"/>
              </w:rPr>
              <w:t>)</w:t>
            </w:r>
          </w:p>
        </w:tc>
        <w:tc>
          <w:tcPr>
            <w:tcW w:w="289" w:type="pct"/>
            <w:tcBorders>
              <w:bottom w:val="single" w:sz="4" w:space="0" w:color="auto"/>
            </w:tcBorders>
            <w:noWrap/>
            <w:vAlign w:val="center"/>
            <w:hideMark/>
          </w:tcPr>
          <w:p w14:paraId="051892C8"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-0.22</w:t>
            </w:r>
            <w:r>
              <w:rPr>
                <w:rFonts w:ascii="Times New Roman" w:eastAsia="Times New Roman" w:hAnsi="Times New Roman" w:cs="Times New Roman"/>
                <w:color w:val="000000"/>
                <w:sz w:val="20"/>
                <w:szCs w:val="20"/>
                <w:lang w:val="en-US"/>
              </w:rPr>
              <w:t>*</w:t>
            </w:r>
          </w:p>
        </w:tc>
        <w:tc>
          <w:tcPr>
            <w:tcW w:w="289" w:type="pct"/>
            <w:tcBorders>
              <w:bottom w:val="single" w:sz="4" w:space="0" w:color="auto"/>
            </w:tcBorders>
            <w:noWrap/>
            <w:vAlign w:val="center"/>
            <w:hideMark/>
          </w:tcPr>
          <w:p w14:paraId="1AC3C844"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-0.12</w:t>
            </w:r>
            <w:r>
              <w:rPr>
                <w:rFonts w:ascii="Times New Roman" w:eastAsia="Times New Roman" w:hAnsi="Times New Roman" w:cs="Times New Roman"/>
                <w:color w:val="000000"/>
                <w:sz w:val="20"/>
                <w:szCs w:val="20"/>
                <w:lang w:val="en-US"/>
              </w:rPr>
              <w:t>*</w:t>
            </w:r>
          </w:p>
        </w:tc>
        <w:tc>
          <w:tcPr>
            <w:tcW w:w="289" w:type="pct"/>
            <w:tcBorders>
              <w:bottom w:val="single" w:sz="4" w:space="0" w:color="auto"/>
            </w:tcBorders>
            <w:noWrap/>
            <w:vAlign w:val="center"/>
            <w:hideMark/>
          </w:tcPr>
          <w:p w14:paraId="63E6A8BA"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0.30</w:t>
            </w:r>
            <w:r>
              <w:rPr>
                <w:rFonts w:ascii="Times New Roman" w:eastAsia="Times New Roman" w:hAnsi="Times New Roman" w:cs="Times New Roman"/>
                <w:color w:val="000000"/>
                <w:sz w:val="20"/>
                <w:szCs w:val="20"/>
                <w:lang w:val="en-US"/>
              </w:rPr>
              <w:t>*</w:t>
            </w:r>
          </w:p>
        </w:tc>
        <w:tc>
          <w:tcPr>
            <w:tcW w:w="289" w:type="pct"/>
            <w:tcBorders>
              <w:bottom w:val="single" w:sz="4" w:space="0" w:color="auto"/>
            </w:tcBorders>
            <w:noWrap/>
            <w:vAlign w:val="center"/>
          </w:tcPr>
          <w:p w14:paraId="22E3C11D"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0.08</w:t>
            </w:r>
            <w:r>
              <w:rPr>
                <w:rFonts w:ascii="Times New Roman" w:eastAsia="Times New Roman" w:hAnsi="Times New Roman" w:cs="Times New Roman"/>
                <w:color w:val="000000"/>
                <w:sz w:val="20"/>
                <w:szCs w:val="20"/>
                <w:lang w:val="en-US"/>
              </w:rPr>
              <w:t>*</w:t>
            </w:r>
          </w:p>
        </w:tc>
        <w:tc>
          <w:tcPr>
            <w:tcW w:w="289" w:type="pct"/>
            <w:tcBorders>
              <w:bottom w:val="single" w:sz="4" w:space="0" w:color="auto"/>
            </w:tcBorders>
            <w:noWrap/>
            <w:vAlign w:val="center"/>
          </w:tcPr>
          <w:p w14:paraId="16742B56"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-0.05</w:t>
            </w:r>
            <w:r>
              <w:rPr>
                <w:rFonts w:ascii="Times New Roman" w:eastAsia="Times New Roman" w:hAnsi="Times New Roman" w:cs="Times New Roman"/>
                <w:color w:val="000000"/>
                <w:sz w:val="20"/>
                <w:szCs w:val="20"/>
                <w:lang w:val="en-US"/>
              </w:rPr>
              <w:t>*</w:t>
            </w:r>
          </w:p>
        </w:tc>
        <w:tc>
          <w:tcPr>
            <w:tcW w:w="289" w:type="pct"/>
            <w:tcBorders>
              <w:bottom w:val="single" w:sz="4" w:space="0" w:color="auto"/>
            </w:tcBorders>
            <w:noWrap/>
            <w:vAlign w:val="center"/>
            <w:hideMark/>
          </w:tcPr>
          <w:p w14:paraId="01AF45C2"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-0.12</w:t>
            </w:r>
            <w:r>
              <w:rPr>
                <w:rFonts w:ascii="Times New Roman" w:eastAsia="Times New Roman" w:hAnsi="Times New Roman" w:cs="Times New Roman"/>
                <w:color w:val="000000"/>
                <w:sz w:val="20"/>
                <w:szCs w:val="20"/>
                <w:lang w:val="en-US"/>
              </w:rPr>
              <w:t>*</w:t>
            </w:r>
          </w:p>
        </w:tc>
        <w:tc>
          <w:tcPr>
            <w:tcW w:w="289" w:type="pct"/>
            <w:tcBorders>
              <w:bottom w:val="single" w:sz="4" w:space="0" w:color="auto"/>
            </w:tcBorders>
            <w:noWrap/>
            <w:vAlign w:val="center"/>
          </w:tcPr>
          <w:p w14:paraId="3C13C9D7"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-0.04</w:t>
            </w:r>
            <w:r>
              <w:rPr>
                <w:rFonts w:ascii="Times New Roman" w:eastAsia="Times New Roman" w:hAnsi="Times New Roman" w:cs="Times New Roman"/>
                <w:color w:val="000000"/>
                <w:sz w:val="20"/>
                <w:szCs w:val="20"/>
                <w:lang w:val="en-US"/>
              </w:rPr>
              <w:t>*</w:t>
            </w:r>
          </w:p>
        </w:tc>
        <w:tc>
          <w:tcPr>
            <w:tcW w:w="262" w:type="pct"/>
            <w:tcBorders>
              <w:bottom w:val="single" w:sz="4" w:space="0" w:color="auto"/>
            </w:tcBorders>
            <w:noWrap/>
            <w:vAlign w:val="center"/>
          </w:tcPr>
          <w:p w14:paraId="5E3316F2"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0.02</w:t>
            </w:r>
            <w:r>
              <w:rPr>
                <w:rFonts w:ascii="Times New Roman" w:eastAsia="Times New Roman" w:hAnsi="Times New Roman" w:cs="Times New Roman"/>
                <w:color w:val="000000"/>
                <w:sz w:val="20"/>
                <w:szCs w:val="20"/>
                <w:lang w:val="en-US"/>
              </w:rPr>
              <w:t>*</w:t>
            </w:r>
          </w:p>
        </w:tc>
        <w:tc>
          <w:tcPr>
            <w:tcW w:w="289" w:type="pct"/>
            <w:tcBorders>
              <w:bottom w:val="single" w:sz="4" w:space="0" w:color="auto"/>
            </w:tcBorders>
            <w:noWrap/>
            <w:vAlign w:val="center"/>
            <w:hideMark/>
          </w:tcPr>
          <w:p w14:paraId="69042A96"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-0.07</w:t>
            </w:r>
            <w:r>
              <w:rPr>
                <w:rFonts w:ascii="Times New Roman" w:eastAsia="Times New Roman" w:hAnsi="Times New Roman" w:cs="Times New Roman"/>
                <w:color w:val="000000"/>
                <w:sz w:val="20"/>
                <w:szCs w:val="20"/>
                <w:lang w:val="en-US"/>
              </w:rPr>
              <w:t>*</w:t>
            </w:r>
          </w:p>
        </w:tc>
        <w:tc>
          <w:tcPr>
            <w:tcW w:w="289" w:type="pct"/>
            <w:tcBorders>
              <w:bottom w:val="single" w:sz="4" w:space="0" w:color="auto"/>
            </w:tcBorders>
            <w:noWrap/>
            <w:vAlign w:val="center"/>
            <w:hideMark/>
          </w:tcPr>
          <w:p w14:paraId="5FE2B32D"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0.26</w:t>
            </w:r>
            <w:r>
              <w:rPr>
                <w:rFonts w:ascii="Times New Roman" w:eastAsia="Times New Roman" w:hAnsi="Times New Roman" w:cs="Times New Roman"/>
                <w:color w:val="000000"/>
                <w:sz w:val="20"/>
                <w:szCs w:val="20"/>
                <w:lang w:val="en-US"/>
              </w:rPr>
              <w:t>*</w:t>
            </w:r>
          </w:p>
        </w:tc>
        <w:tc>
          <w:tcPr>
            <w:tcW w:w="289" w:type="pct"/>
            <w:tcBorders>
              <w:bottom w:val="single" w:sz="4" w:space="0" w:color="auto"/>
            </w:tcBorders>
            <w:noWrap/>
            <w:vAlign w:val="center"/>
            <w:hideMark/>
          </w:tcPr>
          <w:p w14:paraId="1700BAC3"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-0.19</w:t>
            </w:r>
            <w:r>
              <w:rPr>
                <w:rFonts w:ascii="Times New Roman" w:eastAsia="Times New Roman" w:hAnsi="Times New Roman" w:cs="Times New Roman"/>
                <w:color w:val="000000"/>
                <w:sz w:val="20"/>
                <w:szCs w:val="20"/>
                <w:lang w:val="en-US"/>
              </w:rPr>
              <w:t>*</w:t>
            </w:r>
          </w:p>
        </w:tc>
        <w:tc>
          <w:tcPr>
            <w:tcW w:w="289" w:type="pct"/>
            <w:tcBorders>
              <w:bottom w:val="single" w:sz="4" w:space="0" w:color="auto"/>
            </w:tcBorders>
            <w:noWrap/>
            <w:vAlign w:val="center"/>
            <w:hideMark/>
          </w:tcPr>
          <w:p w14:paraId="12099685"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-0.16</w:t>
            </w:r>
            <w:r>
              <w:rPr>
                <w:rFonts w:ascii="Times New Roman" w:eastAsia="Times New Roman" w:hAnsi="Times New Roman" w:cs="Times New Roman"/>
                <w:color w:val="000000"/>
                <w:sz w:val="20"/>
                <w:szCs w:val="20"/>
                <w:lang w:val="en-US"/>
              </w:rPr>
              <w:t>*</w:t>
            </w:r>
          </w:p>
        </w:tc>
        <w:tc>
          <w:tcPr>
            <w:tcW w:w="289" w:type="pct"/>
            <w:tcBorders>
              <w:bottom w:val="single" w:sz="4" w:space="0" w:color="auto"/>
            </w:tcBorders>
            <w:noWrap/>
            <w:vAlign w:val="center"/>
            <w:hideMark/>
          </w:tcPr>
          <w:p w14:paraId="14E03154"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0.16</w:t>
            </w:r>
            <w:r>
              <w:rPr>
                <w:rFonts w:ascii="Times New Roman" w:eastAsia="Times New Roman" w:hAnsi="Times New Roman" w:cs="Times New Roman"/>
                <w:color w:val="000000"/>
                <w:sz w:val="20"/>
                <w:szCs w:val="20"/>
                <w:lang w:val="en-US"/>
              </w:rPr>
              <w:t>*</w:t>
            </w:r>
          </w:p>
        </w:tc>
        <w:tc>
          <w:tcPr>
            <w:tcW w:w="289" w:type="pct"/>
            <w:tcBorders>
              <w:bottom w:val="single" w:sz="4" w:space="0" w:color="auto"/>
            </w:tcBorders>
            <w:noWrap/>
            <w:vAlign w:val="center"/>
            <w:hideMark/>
          </w:tcPr>
          <w:p w14:paraId="77D12227"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-0.17</w:t>
            </w:r>
            <w:r>
              <w:rPr>
                <w:rFonts w:ascii="Times New Roman" w:eastAsia="Times New Roman" w:hAnsi="Times New Roman" w:cs="Times New Roman"/>
                <w:color w:val="000000"/>
                <w:sz w:val="20"/>
                <w:szCs w:val="20"/>
                <w:lang w:val="en-US"/>
              </w:rPr>
              <w:t>*</w:t>
            </w:r>
          </w:p>
        </w:tc>
        <w:tc>
          <w:tcPr>
            <w:tcW w:w="289" w:type="pct"/>
            <w:tcBorders>
              <w:bottom w:val="single" w:sz="4" w:space="0" w:color="auto"/>
            </w:tcBorders>
            <w:noWrap/>
            <w:vAlign w:val="center"/>
            <w:hideMark/>
          </w:tcPr>
          <w:p w14:paraId="2D182CAD" w14:textId="77777777" w:rsidR="006757F3" w:rsidRPr="00CD7A42" w:rsidRDefault="006757F3" w:rsidP="00B768F6">
            <w:pPr>
              <w:spacing w:after="0" w:line="240" w:lineRule="auto"/>
              <w:jc w:val="center"/>
              <w:rPr>
                <w:rFonts w:ascii="Times New Roman" w:eastAsia="Times New Roman" w:hAnsi="Times New Roman" w:cs="Times New Roman"/>
                <w:color w:val="000000"/>
                <w:sz w:val="20"/>
                <w:szCs w:val="20"/>
                <w:lang w:val="en-US"/>
              </w:rPr>
            </w:pPr>
            <w:r w:rsidRPr="00CD7A42">
              <w:rPr>
                <w:rFonts w:ascii="Times New Roman" w:eastAsia="Times New Roman" w:hAnsi="Times New Roman" w:cs="Times New Roman"/>
                <w:color w:val="000000"/>
                <w:sz w:val="20"/>
                <w:szCs w:val="20"/>
                <w:lang w:val="en-US"/>
              </w:rPr>
              <w:t>-0.03</w:t>
            </w:r>
            <w:r>
              <w:rPr>
                <w:rFonts w:ascii="Times New Roman" w:eastAsia="Times New Roman" w:hAnsi="Times New Roman" w:cs="Times New Roman"/>
                <w:color w:val="000000"/>
                <w:sz w:val="20"/>
                <w:szCs w:val="20"/>
                <w:lang w:val="en-US"/>
              </w:rPr>
              <w:t>*</w:t>
            </w:r>
          </w:p>
        </w:tc>
      </w:tr>
    </w:tbl>
    <w:p w14:paraId="4E00ACA5" w14:textId="77777777" w:rsidR="006757F3" w:rsidRDefault="006757F3" w:rsidP="006757F3">
      <w:pPr>
        <w:rPr>
          <w:rFonts w:ascii="Times New Roman" w:hAnsi="Times New Roman" w:cs="Times New Roman"/>
          <w:sz w:val="18"/>
          <w:szCs w:val="18"/>
        </w:rPr>
      </w:pPr>
      <w:r w:rsidRPr="00977FC6">
        <w:rPr>
          <w:rFonts w:ascii="Times New Roman" w:hAnsi="Times New Roman" w:cs="Times New Roman"/>
          <w:sz w:val="18"/>
          <w:szCs w:val="18"/>
        </w:rPr>
        <w:t>Note</w:t>
      </w:r>
      <w:r>
        <w:rPr>
          <w:rFonts w:ascii="Times New Roman" w:hAnsi="Times New Roman" w:cs="Times New Roman"/>
          <w:sz w:val="18"/>
          <w:szCs w:val="18"/>
        </w:rPr>
        <w:t xml:space="preserve">: * indicate statistical significance at 5% level. </w:t>
      </w:r>
    </w:p>
    <w:p w14:paraId="0AEC09F1" w14:textId="77777777" w:rsidR="006757F3" w:rsidRPr="005103A1" w:rsidRDefault="006757F3" w:rsidP="006757F3">
      <w:pPr>
        <w:jc w:val="center"/>
        <w:rPr>
          <w:rFonts w:asciiTheme="majorBidi" w:hAnsiTheme="majorBidi" w:cstheme="majorBidi"/>
          <w:b/>
          <w:i/>
        </w:rPr>
      </w:pPr>
    </w:p>
    <w:p w14:paraId="1C46076B" w14:textId="77777777" w:rsidR="006757F3" w:rsidRDefault="006757F3" w:rsidP="006757F3">
      <w:pPr>
        <w:pStyle w:val="ListParagraph"/>
        <w:spacing w:after="0" w:line="480" w:lineRule="auto"/>
        <w:ind w:left="0"/>
        <w:contextualSpacing w:val="0"/>
        <w:jc w:val="both"/>
        <w:rPr>
          <w:rFonts w:asciiTheme="majorBidi" w:hAnsiTheme="majorBidi" w:cstheme="majorBidi"/>
          <w:i/>
          <w:color w:val="000000" w:themeColor="text1"/>
        </w:rPr>
      </w:pPr>
    </w:p>
    <w:p w14:paraId="2BBF0304" w14:textId="77777777" w:rsidR="006757F3" w:rsidRDefault="006757F3" w:rsidP="006757F3">
      <w:pPr>
        <w:spacing w:after="0" w:line="240" w:lineRule="auto"/>
        <w:rPr>
          <w:rFonts w:ascii="Times New Roman" w:hAnsi="Times New Roman" w:cs="Times New Roman"/>
          <w:i/>
        </w:rPr>
      </w:pPr>
    </w:p>
    <w:p w14:paraId="6A6B5FAB" w14:textId="77777777" w:rsidR="006757F3" w:rsidRDefault="006757F3" w:rsidP="006757F3">
      <w:pPr>
        <w:spacing w:after="0" w:line="240" w:lineRule="auto"/>
        <w:rPr>
          <w:rFonts w:ascii="Times New Roman" w:hAnsi="Times New Roman" w:cs="Times New Roman"/>
          <w:i/>
        </w:rPr>
        <w:sectPr w:rsidR="006757F3" w:rsidSect="006757F3">
          <w:footerReference w:type="default" r:id="rId23"/>
          <w:pgSz w:w="15840" w:h="12240" w:orient="landscape"/>
          <w:pgMar w:top="1440" w:right="1440" w:bottom="1440" w:left="1440" w:header="720" w:footer="720" w:gutter="0"/>
          <w:cols w:space="720"/>
          <w:docGrid w:linePitch="360"/>
        </w:sectPr>
      </w:pPr>
    </w:p>
    <w:p w14:paraId="5958F957" w14:textId="45586018" w:rsidR="006757F3" w:rsidRDefault="006757F3" w:rsidP="006757F3">
      <w:pPr>
        <w:spacing w:after="0" w:line="240" w:lineRule="auto"/>
        <w:rPr>
          <w:rFonts w:ascii="Times New Roman" w:hAnsi="Times New Roman" w:cs="Times New Roman"/>
          <w:i/>
        </w:rPr>
      </w:pPr>
      <w:r w:rsidRPr="00A55D8E">
        <w:rPr>
          <w:rFonts w:ascii="Times New Roman" w:hAnsi="Times New Roman" w:cs="Times New Roman"/>
          <w:i/>
        </w:rPr>
        <w:lastRenderedPageBreak/>
        <w:t xml:space="preserve">Table 5. Fixed-effects regression of carbon performance on market value </w:t>
      </w:r>
    </w:p>
    <w:tbl>
      <w:tblPr>
        <w:tblW w:w="5000" w:type="pct"/>
        <w:jc w:val="center"/>
        <w:tblCellMar>
          <w:left w:w="75" w:type="dxa"/>
          <w:right w:w="75" w:type="dxa"/>
        </w:tblCellMar>
        <w:tblLook w:val="0000" w:firstRow="0" w:lastRow="0" w:firstColumn="0" w:lastColumn="0" w:noHBand="0" w:noVBand="0"/>
      </w:tblPr>
      <w:tblGrid>
        <w:gridCol w:w="1530"/>
        <w:gridCol w:w="1956"/>
        <w:gridCol w:w="1958"/>
        <w:gridCol w:w="1956"/>
        <w:gridCol w:w="1960"/>
      </w:tblGrid>
      <w:tr w:rsidR="006757F3" w:rsidRPr="00D32171" w14:paraId="0B767A7A" w14:textId="77777777" w:rsidTr="00B768F6">
        <w:trPr>
          <w:trHeight w:val="288"/>
          <w:jc w:val="center"/>
        </w:trPr>
        <w:tc>
          <w:tcPr>
            <w:tcW w:w="817" w:type="pct"/>
            <w:vMerge w:val="restart"/>
            <w:tcBorders>
              <w:top w:val="single" w:sz="4" w:space="0" w:color="auto"/>
              <w:left w:val="nil"/>
              <w:right w:val="nil"/>
            </w:tcBorders>
            <w:vAlign w:val="bottom"/>
          </w:tcPr>
          <w:p w14:paraId="6846E653"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Variables</w:t>
            </w:r>
          </w:p>
        </w:tc>
        <w:tc>
          <w:tcPr>
            <w:tcW w:w="4183" w:type="pct"/>
            <w:gridSpan w:val="4"/>
            <w:tcBorders>
              <w:top w:val="single" w:sz="4" w:space="0" w:color="auto"/>
              <w:left w:val="nil"/>
              <w:bottom w:val="nil"/>
              <w:right w:val="nil"/>
            </w:tcBorders>
          </w:tcPr>
          <w:p w14:paraId="02FEFE82"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Substantive construct: Market Value (Q)</w:t>
            </w:r>
          </w:p>
        </w:tc>
      </w:tr>
      <w:tr w:rsidR="006757F3" w:rsidRPr="00D32171" w14:paraId="40CA0700" w14:textId="77777777" w:rsidTr="00B768F6">
        <w:trPr>
          <w:trHeight w:val="288"/>
          <w:jc w:val="center"/>
        </w:trPr>
        <w:tc>
          <w:tcPr>
            <w:tcW w:w="817" w:type="pct"/>
            <w:vMerge/>
            <w:tcBorders>
              <w:left w:val="nil"/>
              <w:bottom w:val="nil"/>
              <w:right w:val="nil"/>
            </w:tcBorders>
          </w:tcPr>
          <w:p w14:paraId="5B45451B"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45" w:type="pct"/>
            <w:tcBorders>
              <w:top w:val="single" w:sz="4" w:space="0" w:color="auto"/>
              <w:left w:val="nil"/>
              <w:bottom w:val="nil"/>
              <w:right w:val="nil"/>
            </w:tcBorders>
            <w:vAlign w:val="center"/>
          </w:tcPr>
          <w:p w14:paraId="0B7902C8"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D5ABB">
              <w:rPr>
                <w:rFonts w:ascii="Times New Roman" w:hAnsi="Times New Roman" w:cs="Times New Roman"/>
                <w:sz w:val="20"/>
                <w:szCs w:val="20"/>
              </w:rPr>
              <w:t>(1)</w:t>
            </w:r>
          </w:p>
        </w:tc>
        <w:tc>
          <w:tcPr>
            <w:tcW w:w="1046" w:type="pct"/>
            <w:tcBorders>
              <w:top w:val="single" w:sz="4" w:space="0" w:color="auto"/>
              <w:left w:val="nil"/>
              <w:bottom w:val="nil"/>
              <w:right w:val="nil"/>
            </w:tcBorders>
            <w:vAlign w:val="center"/>
          </w:tcPr>
          <w:p w14:paraId="3C6C5F04"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D5ABB">
              <w:rPr>
                <w:rFonts w:ascii="Times New Roman" w:hAnsi="Times New Roman" w:cs="Times New Roman"/>
                <w:sz w:val="20"/>
                <w:szCs w:val="20"/>
              </w:rPr>
              <w:t>(</w:t>
            </w:r>
            <w:r>
              <w:rPr>
                <w:rFonts w:ascii="Times New Roman" w:hAnsi="Times New Roman" w:cs="Times New Roman"/>
                <w:sz w:val="20"/>
                <w:szCs w:val="20"/>
              </w:rPr>
              <w:t>2</w:t>
            </w:r>
            <w:r w:rsidRPr="000D5ABB">
              <w:rPr>
                <w:rFonts w:ascii="Times New Roman" w:hAnsi="Times New Roman" w:cs="Times New Roman"/>
                <w:sz w:val="20"/>
                <w:szCs w:val="20"/>
              </w:rPr>
              <w:t>)</w:t>
            </w:r>
          </w:p>
        </w:tc>
        <w:tc>
          <w:tcPr>
            <w:tcW w:w="1045" w:type="pct"/>
            <w:tcBorders>
              <w:top w:val="single" w:sz="4" w:space="0" w:color="auto"/>
              <w:left w:val="nil"/>
              <w:bottom w:val="nil"/>
              <w:right w:val="nil"/>
            </w:tcBorders>
            <w:vAlign w:val="center"/>
          </w:tcPr>
          <w:p w14:paraId="2485E450"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D5ABB">
              <w:rPr>
                <w:rFonts w:ascii="Times New Roman" w:hAnsi="Times New Roman" w:cs="Times New Roman"/>
                <w:sz w:val="20"/>
                <w:szCs w:val="20"/>
              </w:rPr>
              <w:t>(</w:t>
            </w:r>
            <w:r>
              <w:rPr>
                <w:rFonts w:ascii="Times New Roman" w:hAnsi="Times New Roman" w:cs="Times New Roman"/>
                <w:sz w:val="20"/>
                <w:szCs w:val="20"/>
              </w:rPr>
              <w:t>3</w:t>
            </w:r>
            <w:r w:rsidRPr="000D5ABB">
              <w:rPr>
                <w:rFonts w:ascii="Times New Roman" w:hAnsi="Times New Roman" w:cs="Times New Roman"/>
                <w:sz w:val="20"/>
                <w:szCs w:val="20"/>
              </w:rPr>
              <w:t>)</w:t>
            </w:r>
          </w:p>
        </w:tc>
        <w:tc>
          <w:tcPr>
            <w:tcW w:w="1047" w:type="pct"/>
            <w:tcBorders>
              <w:top w:val="single" w:sz="4" w:space="0" w:color="auto"/>
              <w:left w:val="nil"/>
              <w:bottom w:val="nil"/>
              <w:right w:val="nil"/>
            </w:tcBorders>
            <w:vAlign w:val="center"/>
          </w:tcPr>
          <w:p w14:paraId="3F948BF5"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D5ABB">
              <w:rPr>
                <w:rFonts w:ascii="Times New Roman" w:hAnsi="Times New Roman" w:cs="Times New Roman"/>
                <w:sz w:val="20"/>
                <w:szCs w:val="20"/>
              </w:rPr>
              <w:t>(</w:t>
            </w:r>
            <w:r>
              <w:rPr>
                <w:rFonts w:ascii="Times New Roman" w:hAnsi="Times New Roman" w:cs="Times New Roman"/>
                <w:sz w:val="20"/>
                <w:szCs w:val="20"/>
              </w:rPr>
              <w:t>4</w:t>
            </w:r>
            <w:r w:rsidRPr="000D5ABB">
              <w:rPr>
                <w:rFonts w:ascii="Times New Roman" w:hAnsi="Times New Roman" w:cs="Times New Roman"/>
                <w:sz w:val="20"/>
                <w:szCs w:val="20"/>
              </w:rPr>
              <w:t>)</w:t>
            </w:r>
          </w:p>
        </w:tc>
      </w:tr>
      <w:tr w:rsidR="006757F3" w:rsidRPr="00D32171" w14:paraId="79BC6903" w14:textId="77777777" w:rsidTr="00B768F6">
        <w:trPr>
          <w:trHeight w:val="288"/>
          <w:jc w:val="center"/>
        </w:trPr>
        <w:tc>
          <w:tcPr>
            <w:tcW w:w="1862" w:type="pct"/>
            <w:gridSpan w:val="2"/>
            <w:tcBorders>
              <w:top w:val="single" w:sz="4" w:space="0" w:color="auto"/>
              <w:left w:val="nil"/>
              <w:bottom w:val="nil"/>
              <w:right w:val="nil"/>
            </w:tcBorders>
          </w:tcPr>
          <w:p w14:paraId="217B7267" w14:textId="77777777" w:rsidR="006757F3" w:rsidRPr="006429D0" w:rsidRDefault="006757F3" w:rsidP="00B768F6">
            <w:pPr>
              <w:widowControl w:val="0"/>
              <w:autoSpaceDE w:val="0"/>
              <w:autoSpaceDN w:val="0"/>
              <w:adjustRightInd w:val="0"/>
              <w:spacing w:after="0" w:line="240" w:lineRule="auto"/>
              <w:rPr>
                <w:rFonts w:ascii="Times New Roman" w:hAnsi="Times New Roman" w:cs="Times New Roman"/>
                <w:i/>
                <w:iCs/>
                <w:sz w:val="20"/>
                <w:szCs w:val="20"/>
              </w:rPr>
            </w:pPr>
            <w:r w:rsidRPr="006429D0">
              <w:rPr>
                <w:rFonts w:ascii="Times New Roman" w:hAnsi="Times New Roman" w:cs="Times New Roman"/>
                <w:i/>
                <w:iCs/>
                <w:sz w:val="20"/>
                <w:szCs w:val="20"/>
              </w:rPr>
              <w:t>Symbolic construct</w:t>
            </w:r>
            <w:r>
              <w:rPr>
                <w:rFonts w:ascii="Times New Roman" w:hAnsi="Times New Roman" w:cs="Times New Roman"/>
                <w:i/>
                <w:iCs/>
                <w:sz w:val="20"/>
                <w:szCs w:val="20"/>
              </w:rPr>
              <w:t>:</w:t>
            </w:r>
          </w:p>
        </w:tc>
        <w:tc>
          <w:tcPr>
            <w:tcW w:w="1046" w:type="pct"/>
            <w:tcBorders>
              <w:top w:val="single" w:sz="4" w:space="0" w:color="auto"/>
              <w:left w:val="nil"/>
              <w:bottom w:val="nil"/>
              <w:right w:val="nil"/>
            </w:tcBorders>
          </w:tcPr>
          <w:p w14:paraId="17E0A65F"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5" w:type="pct"/>
            <w:tcBorders>
              <w:top w:val="single" w:sz="4" w:space="0" w:color="auto"/>
              <w:left w:val="nil"/>
              <w:bottom w:val="nil"/>
              <w:right w:val="nil"/>
            </w:tcBorders>
          </w:tcPr>
          <w:p w14:paraId="205B52E5"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7" w:type="pct"/>
            <w:tcBorders>
              <w:top w:val="single" w:sz="4" w:space="0" w:color="auto"/>
              <w:left w:val="nil"/>
              <w:bottom w:val="nil"/>
              <w:right w:val="nil"/>
            </w:tcBorders>
          </w:tcPr>
          <w:p w14:paraId="6A87E07F"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D32171" w14:paraId="641B5548" w14:textId="77777777" w:rsidTr="00B768F6">
        <w:trPr>
          <w:trHeight w:val="288"/>
          <w:jc w:val="center"/>
        </w:trPr>
        <w:tc>
          <w:tcPr>
            <w:tcW w:w="817" w:type="pct"/>
            <w:tcBorders>
              <w:top w:val="single" w:sz="4" w:space="0" w:color="auto"/>
              <w:left w:val="nil"/>
              <w:bottom w:val="nil"/>
              <w:right w:val="nil"/>
            </w:tcBorders>
          </w:tcPr>
          <w:p w14:paraId="4C15821D"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PCRI</w:t>
            </w:r>
          </w:p>
        </w:tc>
        <w:tc>
          <w:tcPr>
            <w:tcW w:w="1045" w:type="pct"/>
            <w:tcBorders>
              <w:top w:val="single" w:sz="4" w:space="0" w:color="auto"/>
              <w:left w:val="nil"/>
              <w:bottom w:val="nil"/>
              <w:right w:val="nil"/>
            </w:tcBorders>
          </w:tcPr>
          <w:p w14:paraId="702D6D45"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0.0177***</w:t>
            </w:r>
          </w:p>
        </w:tc>
        <w:tc>
          <w:tcPr>
            <w:tcW w:w="1046" w:type="pct"/>
            <w:tcBorders>
              <w:top w:val="single" w:sz="4" w:space="0" w:color="auto"/>
              <w:left w:val="nil"/>
              <w:bottom w:val="nil"/>
              <w:right w:val="nil"/>
            </w:tcBorders>
          </w:tcPr>
          <w:p w14:paraId="19C5EEFF"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5" w:type="pct"/>
            <w:tcBorders>
              <w:top w:val="single" w:sz="4" w:space="0" w:color="auto"/>
              <w:left w:val="nil"/>
              <w:bottom w:val="nil"/>
              <w:right w:val="nil"/>
            </w:tcBorders>
          </w:tcPr>
          <w:p w14:paraId="596E7B16"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7" w:type="pct"/>
            <w:tcBorders>
              <w:top w:val="single" w:sz="4" w:space="0" w:color="auto"/>
              <w:left w:val="nil"/>
              <w:bottom w:val="nil"/>
              <w:right w:val="nil"/>
            </w:tcBorders>
          </w:tcPr>
          <w:p w14:paraId="7E74DBA5"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D32171" w14:paraId="45AC18CA" w14:textId="77777777" w:rsidTr="00B768F6">
        <w:trPr>
          <w:trHeight w:val="288"/>
          <w:jc w:val="center"/>
        </w:trPr>
        <w:tc>
          <w:tcPr>
            <w:tcW w:w="817" w:type="pct"/>
            <w:tcBorders>
              <w:top w:val="nil"/>
              <w:left w:val="nil"/>
              <w:bottom w:val="nil"/>
              <w:right w:val="nil"/>
            </w:tcBorders>
          </w:tcPr>
          <w:p w14:paraId="07A38D3E"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45" w:type="pct"/>
            <w:tcBorders>
              <w:top w:val="nil"/>
              <w:left w:val="nil"/>
              <w:bottom w:val="nil"/>
              <w:right w:val="nil"/>
            </w:tcBorders>
          </w:tcPr>
          <w:p w14:paraId="286E2E16"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(0.00446)</w:t>
            </w:r>
          </w:p>
        </w:tc>
        <w:tc>
          <w:tcPr>
            <w:tcW w:w="1046" w:type="pct"/>
            <w:tcBorders>
              <w:top w:val="nil"/>
              <w:left w:val="nil"/>
              <w:bottom w:val="nil"/>
              <w:right w:val="nil"/>
            </w:tcBorders>
          </w:tcPr>
          <w:p w14:paraId="25EABC10"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5" w:type="pct"/>
            <w:tcBorders>
              <w:top w:val="nil"/>
              <w:left w:val="nil"/>
              <w:bottom w:val="nil"/>
              <w:right w:val="nil"/>
            </w:tcBorders>
          </w:tcPr>
          <w:p w14:paraId="393D82E3"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7" w:type="pct"/>
            <w:tcBorders>
              <w:top w:val="nil"/>
              <w:left w:val="nil"/>
              <w:bottom w:val="nil"/>
              <w:right w:val="nil"/>
            </w:tcBorders>
          </w:tcPr>
          <w:p w14:paraId="07D3067A"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D32171" w14:paraId="2AF7F6E3" w14:textId="77777777" w:rsidTr="00B768F6">
        <w:trPr>
          <w:trHeight w:val="288"/>
          <w:jc w:val="center"/>
        </w:trPr>
        <w:tc>
          <w:tcPr>
            <w:tcW w:w="1862" w:type="pct"/>
            <w:gridSpan w:val="2"/>
            <w:tcBorders>
              <w:top w:val="nil"/>
              <w:left w:val="nil"/>
              <w:bottom w:val="nil"/>
              <w:right w:val="nil"/>
            </w:tcBorders>
          </w:tcPr>
          <w:p w14:paraId="763FC623" w14:textId="77777777" w:rsidR="006757F3" w:rsidRPr="006429D0" w:rsidRDefault="006757F3" w:rsidP="00B768F6">
            <w:pPr>
              <w:widowControl w:val="0"/>
              <w:autoSpaceDE w:val="0"/>
              <w:autoSpaceDN w:val="0"/>
              <w:adjustRightInd w:val="0"/>
              <w:spacing w:after="0" w:line="240" w:lineRule="auto"/>
              <w:rPr>
                <w:rFonts w:ascii="Times New Roman" w:hAnsi="Times New Roman" w:cs="Times New Roman"/>
                <w:i/>
                <w:iCs/>
                <w:sz w:val="20"/>
                <w:szCs w:val="20"/>
              </w:rPr>
            </w:pPr>
            <w:r w:rsidRPr="006429D0">
              <w:rPr>
                <w:rFonts w:ascii="Times New Roman" w:hAnsi="Times New Roman" w:cs="Times New Roman"/>
                <w:i/>
                <w:iCs/>
                <w:sz w:val="20"/>
                <w:szCs w:val="20"/>
              </w:rPr>
              <w:t>Substantive constructs</w:t>
            </w:r>
            <w:r>
              <w:rPr>
                <w:rFonts w:ascii="Times New Roman" w:hAnsi="Times New Roman" w:cs="Times New Roman"/>
                <w:i/>
                <w:iCs/>
                <w:sz w:val="20"/>
                <w:szCs w:val="20"/>
              </w:rPr>
              <w:t>:</w:t>
            </w:r>
            <w:r w:rsidRPr="006429D0">
              <w:rPr>
                <w:rFonts w:ascii="Times New Roman" w:hAnsi="Times New Roman" w:cs="Times New Roman"/>
                <w:i/>
                <w:iCs/>
                <w:sz w:val="20"/>
                <w:szCs w:val="20"/>
              </w:rPr>
              <w:t xml:space="preserve"> </w:t>
            </w:r>
          </w:p>
        </w:tc>
        <w:tc>
          <w:tcPr>
            <w:tcW w:w="1046" w:type="pct"/>
            <w:tcBorders>
              <w:top w:val="nil"/>
              <w:left w:val="nil"/>
              <w:bottom w:val="nil"/>
              <w:right w:val="nil"/>
            </w:tcBorders>
          </w:tcPr>
          <w:p w14:paraId="07A114DE"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5" w:type="pct"/>
            <w:tcBorders>
              <w:top w:val="nil"/>
              <w:left w:val="nil"/>
              <w:bottom w:val="nil"/>
              <w:right w:val="nil"/>
            </w:tcBorders>
          </w:tcPr>
          <w:p w14:paraId="49AA4EB5"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7" w:type="pct"/>
            <w:tcBorders>
              <w:top w:val="nil"/>
              <w:left w:val="nil"/>
              <w:bottom w:val="nil"/>
              <w:right w:val="nil"/>
            </w:tcBorders>
          </w:tcPr>
          <w:p w14:paraId="259A493A"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D32171" w14:paraId="45F43269" w14:textId="77777777" w:rsidTr="00B768F6">
        <w:trPr>
          <w:trHeight w:val="288"/>
          <w:jc w:val="center"/>
        </w:trPr>
        <w:tc>
          <w:tcPr>
            <w:tcW w:w="817" w:type="pct"/>
            <w:tcBorders>
              <w:top w:val="nil"/>
              <w:left w:val="nil"/>
              <w:bottom w:val="nil"/>
              <w:right w:val="nil"/>
            </w:tcBorders>
          </w:tcPr>
          <w:p w14:paraId="05C71A84"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GHG</w:t>
            </w:r>
          </w:p>
        </w:tc>
        <w:tc>
          <w:tcPr>
            <w:tcW w:w="1045" w:type="pct"/>
            <w:tcBorders>
              <w:top w:val="nil"/>
              <w:left w:val="nil"/>
              <w:bottom w:val="nil"/>
              <w:right w:val="nil"/>
            </w:tcBorders>
          </w:tcPr>
          <w:p w14:paraId="4250E855"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6" w:type="pct"/>
            <w:tcBorders>
              <w:top w:val="nil"/>
              <w:left w:val="nil"/>
              <w:bottom w:val="nil"/>
              <w:right w:val="nil"/>
            </w:tcBorders>
          </w:tcPr>
          <w:p w14:paraId="34EDEF6E"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5" w:type="pct"/>
            <w:tcBorders>
              <w:top w:val="nil"/>
              <w:left w:val="nil"/>
              <w:bottom w:val="nil"/>
              <w:right w:val="nil"/>
            </w:tcBorders>
          </w:tcPr>
          <w:p w14:paraId="27070DAE"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-0.0119</w:t>
            </w:r>
          </w:p>
        </w:tc>
        <w:tc>
          <w:tcPr>
            <w:tcW w:w="1047" w:type="pct"/>
            <w:tcBorders>
              <w:top w:val="nil"/>
              <w:left w:val="nil"/>
              <w:bottom w:val="nil"/>
              <w:right w:val="nil"/>
            </w:tcBorders>
          </w:tcPr>
          <w:p w14:paraId="54A480F6"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D32171" w14:paraId="12E0728A" w14:textId="77777777" w:rsidTr="00B768F6">
        <w:trPr>
          <w:trHeight w:val="288"/>
          <w:jc w:val="center"/>
        </w:trPr>
        <w:tc>
          <w:tcPr>
            <w:tcW w:w="817" w:type="pct"/>
            <w:tcBorders>
              <w:top w:val="nil"/>
              <w:left w:val="nil"/>
              <w:bottom w:val="nil"/>
              <w:right w:val="nil"/>
            </w:tcBorders>
          </w:tcPr>
          <w:p w14:paraId="443EC634"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45" w:type="pct"/>
            <w:tcBorders>
              <w:top w:val="nil"/>
              <w:left w:val="nil"/>
              <w:bottom w:val="nil"/>
              <w:right w:val="nil"/>
            </w:tcBorders>
          </w:tcPr>
          <w:p w14:paraId="37468D7C"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6" w:type="pct"/>
            <w:tcBorders>
              <w:top w:val="nil"/>
              <w:left w:val="nil"/>
              <w:bottom w:val="nil"/>
              <w:right w:val="nil"/>
            </w:tcBorders>
          </w:tcPr>
          <w:p w14:paraId="28AEAAA9"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5" w:type="pct"/>
            <w:tcBorders>
              <w:top w:val="nil"/>
              <w:left w:val="nil"/>
              <w:bottom w:val="nil"/>
              <w:right w:val="nil"/>
            </w:tcBorders>
          </w:tcPr>
          <w:p w14:paraId="4FD5DC5A"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(0.0258)</w:t>
            </w:r>
          </w:p>
        </w:tc>
        <w:tc>
          <w:tcPr>
            <w:tcW w:w="1047" w:type="pct"/>
            <w:tcBorders>
              <w:top w:val="nil"/>
              <w:left w:val="nil"/>
              <w:bottom w:val="nil"/>
              <w:right w:val="nil"/>
            </w:tcBorders>
          </w:tcPr>
          <w:p w14:paraId="5A73430F"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D32171" w14:paraId="1C056B26" w14:textId="77777777" w:rsidTr="00B768F6">
        <w:trPr>
          <w:trHeight w:val="288"/>
          <w:jc w:val="center"/>
        </w:trPr>
        <w:tc>
          <w:tcPr>
            <w:tcW w:w="817" w:type="pct"/>
            <w:tcBorders>
              <w:top w:val="nil"/>
              <w:left w:val="nil"/>
              <w:bottom w:val="nil"/>
              <w:right w:val="nil"/>
            </w:tcBorders>
          </w:tcPr>
          <w:p w14:paraId="4796D4AD"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EC</w:t>
            </w:r>
          </w:p>
        </w:tc>
        <w:tc>
          <w:tcPr>
            <w:tcW w:w="1045" w:type="pct"/>
            <w:tcBorders>
              <w:top w:val="nil"/>
              <w:left w:val="nil"/>
              <w:bottom w:val="nil"/>
              <w:right w:val="nil"/>
            </w:tcBorders>
          </w:tcPr>
          <w:p w14:paraId="0069C1B3"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0.0313***</w:t>
            </w:r>
          </w:p>
        </w:tc>
        <w:tc>
          <w:tcPr>
            <w:tcW w:w="1046" w:type="pct"/>
            <w:tcBorders>
              <w:top w:val="nil"/>
              <w:left w:val="nil"/>
              <w:bottom w:val="nil"/>
              <w:right w:val="nil"/>
            </w:tcBorders>
          </w:tcPr>
          <w:p w14:paraId="7438A320"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5" w:type="pct"/>
            <w:tcBorders>
              <w:top w:val="nil"/>
              <w:left w:val="nil"/>
              <w:bottom w:val="nil"/>
              <w:right w:val="nil"/>
            </w:tcBorders>
          </w:tcPr>
          <w:p w14:paraId="3BD6FE2F"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0.0359***</w:t>
            </w:r>
          </w:p>
        </w:tc>
        <w:tc>
          <w:tcPr>
            <w:tcW w:w="1047" w:type="pct"/>
            <w:tcBorders>
              <w:top w:val="nil"/>
              <w:left w:val="nil"/>
              <w:bottom w:val="nil"/>
              <w:right w:val="nil"/>
            </w:tcBorders>
          </w:tcPr>
          <w:p w14:paraId="41E2272B"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D32171" w14:paraId="561E9ABE" w14:textId="77777777" w:rsidTr="00B768F6">
        <w:trPr>
          <w:trHeight w:val="288"/>
          <w:jc w:val="center"/>
        </w:trPr>
        <w:tc>
          <w:tcPr>
            <w:tcW w:w="817" w:type="pct"/>
            <w:tcBorders>
              <w:top w:val="nil"/>
              <w:left w:val="nil"/>
              <w:bottom w:val="nil"/>
              <w:right w:val="nil"/>
            </w:tcBorders>
          </w:tcPr>
          <w:p w14:paraId="16EC5212"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45" w:type="pct"/>
            <w:tcBorders>
              <w:top w:val="nil"/>
              <w:left w:val="nil"/>
              <w:bottom w:val="nil"/>
              <w:right w:val="nil"/>
            </w:tcBorders>
          </w:tcPr>
          <w:p w14:paraId="03153809"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(0.00883)</w:t>
            </w:r>
          </w:p>
        </w:tc>
        <w:tc>
          <w:tcPr>
            <w:tcW w:w="1046" w:type="pct"/>
            <w:tcBorders>
              <w:top w:val="nil"/>
              <w:left w:val="nil"/>
              <w:bottom w:val="nil"/>
              <w:right w:val="nil"/>
            </w:tcBorders>
          </w:tcPr>
          <w:p w14:paraId="60136D49"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5" w:type="pct"/>
            <w:tcBorders>
              <w:top w:val="nil"/>
              <w:left w:val="nil"/>
              <w:bottom w:val="nil"/>
              <w:right w:val="nil"/>
            </w:tcBorders>
          </w:tcPr>
          <w:p w14:paraId="64547651"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(0.0103)</w:t>
            </w:r>
          </w:p>
        </w:tc>
        <w:tc>
          <w:tcPr>
            <w:tcW w:w="1047" w:type="pct"/>
            <w:tcBorders>
              <w:top w:val="nil"/>
              <w:left w:val="nil"/>
              <w:bottom w:val="nil"/>
              <w:right w:val="nil"/>
            </w:tcBorders>
          </w:tcPr>
          <w:p w14:paraId="174BE861"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D32171" w14:paraId="6DBE7F74" w14:textId="77777777" w:rsidTr="00B768F6">
        <w:trPr>
          <w:trHeight w:val="288"/>
          <w:jc w:val="center"/>
        </w:trPr>
        <w:tc>
          <w:tcPr>
            <w:tcW w:w="2908" w:type="pct"/>
            <w:gridSpan w:val="3"/>
            <w:tcBorders>
              <w:top w:val="nil"/>
              <w:left w:val="nil"/>
              <w:bottom w:val="nil"/>
              <w:right w:val="nil"/>
            </w:tcBorders>
          </w:tcPr>
          <w:p w14:paraId="6F234C21" w14:textId="77777777" w:rsidR="006757F3" w:rsidRPr="006429D0" w:rsidRDefault="006757F3" w:rsidP="00B768F6">
            <w:pPr>
              <w:widowControl w:val="0"/>
              <w:autoSpaceDE w:val="0"/>
              <w:autoSpaceDN w:val="0"/>
              <w:adjustRightInd w:val="0"/>
              <w:spacing w:after="0" w:line="240" w:lineRule="auto"/>
              <w:rPr>
                <w:rFonts w:ascii="Times New Roman" w:hAnsi="Times New Roman" w:cs="Times New Roman"/>
                <w:i/>
                <w:iCs/>
                <w:sz w:val="20"/>
                <w:szCs w:val="20"/>
              </w:rPr>
            </w:pPr>
            <w:r w:rsidRPr="006429D0">
              <w:rPr>
                <w:rFonts w:ascii="Times New Roman" w:hAnsi="Times New Roman" w:cs="Times New Roman"/>
                <w:i/>
                <w:iCs/>
                <w:sz w:val="20"/>
                <w:szCs w:val="20"/>
              </w:rPr>
              <w:t xml:space="preserve">Moderating </w:t>
            </w:r>
            <w:r>
              <w:rPr>
                <w:rFonts w:ascii="Times New Roman" w:hAnsi="Times New Roman" w:cs="Times New Roman"/>
                <w:i/>
                <w:iCs/>
                <w:sz w:val="20"/>
                <w:szCs w:val="20"/>
              </w:rPr>
              <w:t>e</w:t>
            </w:r>
            <w:r w:rsidRPr="006429D0">
              <w:rPr>
                <w:rFonts w:ascii="Times New Roman" w:hAnsi="Times New Roman" w:cs="Times New Roman"/>
                <w:i/>
                <w:iCs/>
                <w:sz w:val="20"/>
                <w:szCs w:val="20"/>
              </w:rPr>
              <w:t>ffect</w:t>
            </w:r>
            <w:r>
              <w:rPr>
                <w:rFonts w:ascii="Times New Roman" w:hAnsi="Times New Roman" w:cs="Times New Roman"/>
                <w:i/>
                <w:iCs/>
                <w:sz w:val="20"/>
                <w:szCs w:val="20"/>
              </w:rPr>
              <w:t>s:</w:t>
            </w:r>
          </w:p>
        </w:tc>
        <w:tc>
          <w:tcPr>
            <w:tcW w:w="1045" w:type="pct"/>
            <w:tcBorders>
              <w:top w:val="nil"/>
              <w:left w:val="nil"/>
              <w:bottom w:val="nil"/>
              <w:right w:val="nil"/>
            </w:tcBorders>
          </w:tcPr>
          <w:p w14:paraId="382C776A"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7" w:type="pct"/>
            <w:tcBorders>
              <w:top w:val="nil"/>
              <w:left w:val="nil"/>
              <w:bottom w:val="nil"/>
              <w:right w:val="nil"/>
            </w:tcBorders>
          </w:tcPr>
          <w:p w14:paraId="1CEDE6DD"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D32171" w14:paraId="1B722AFF" w14:textId="77777777" w:rsidTr="00B768F6">
        <w:trPr>
          <w:trHeight w:val="288"/>
          <w:jc w:val="center"/>
        </w:trPr>
        <w:tc>
          <w:tcPr>
            <w:tcW w:w="817" w:type="pct"/>
            <w:tcBorders>
              <w:top w:val="nil"/>
              <w:left w:val="nil"/>
              <w:bottom w:val="nil"/>
              <w:right w:val="nil"/>
            </w:tcBorders>
          </w:tcPr>
          <w:p w14:paraId="402C76CF"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PCRI*EC</w:t>
            </w:r>
          </w:p>
        </w:tc>
        <w:tc>
          <w:tcPr>
            <w:tcW w:w="1045" w:type="pct"/>
            <w:tcBorders>
              <w:top w:val="nil"/>
              <w:left w:val="nil"/>
              <w:bottom w:val="nil"/>
              <w:right w:val="nil"/>
            </w:tcBorders>
          </w:tcPr>
          <w:p w14:paraId="04D6ABCF"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6" w:type="pct"/>
            <w:tcBorders>
              <w:top w:val="nil"/>
              <w:left w:val="nil"/>
              <w:bottom w:val="nil"/>
              <w:right w:val="nil"/>
            </w:tcBorders>
          </w:tcPr>
          <w:p w14:paraId="3A89D80D"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0.00125***</w:t>
            </w:r>
          </w:p>
        </w:tc>
        <w:tc>
          <w:tcPr>
            <w:tcW w:w="1045" w:type="pct"/>
            <w:tcBorders>
              <w:top w:val="nil"/>
              <w:left w:val="nil"/>
              <w:bottom w:val="nil"/>
              <w:right w:val="nil"/>
            </w:tcBorders>
          </w:tcPr>
          <w:p w14:paraId="553238DF"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7" w:type="pct"/>
            <w:tcBorders>
              <w:top w:val="nil"/>
              <w:left w:val="nil"/>
              <w:bottom w:val="nil"/>
              <w:right w:val="nil"/>
            </w:tcBorders>
          </w:tcPr>
          <w:p w14:paraId="02BCAE2A"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D32171" w14:paraId="4CD7A0E2" w14:textId="77777777" w:rsidTr="00B768F6">
        <w:trPr>
          <w:trHeight w:val="288"/>
          <w:jc w:val="center"/>
        </w:trPr>
        <w:tc>
          <w:tcPr>
            <w:tcW w:w="817" w:type="pct"/>
            <w:tcBorders>
              <w:top w:val="nil"/>
              <w:left w:val="nil"/>
              <w:bottom w:val="nil"/>
              <w:right w:val="nil"/>
            </w:tcBorders>
          </w:tcPr>
          <w:p w14:paraId="05E832CA"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45" w:type="pct"/>
            <w:tcBorders>
              <w:top w:val="nil"/>
              <w:left w:val="nil"/>
              <w:bottom w:val="nil"/>
              <w:right w:val="nil"/>
            </w:tcBorders>
          </w:tcPr>
          <w:p w14:paraId="37F111B3"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6" w:type="pct"/>
            <w:tcBorders>
              <w:top w:val="nil"/>
              <w:left w:val="nil"/>
              <w:bottom w:val="nil"/>
              <w:right w:val="nil"/>
            </w:tcBorders>
          </w:tcPr>
          <w:p w14:paraId="3640E136"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(0.000286)</w:t>
            </w:r>
          </w:p>
        </w:tc>
        <w:tc>
          <w:tcPr>
            <w:tcW w:w="1045" w:type="pct"/>
            <w:tcBorders>
              <w:top w:val="nil"/>
              <w:left w:val="nil"/>
              <w:bottom w:val="nil"/>
              <w:right w:val="nil"/>
            </w:tcBorders>
          </w:tcPr>
          <w:p w14:paraId="720C9EA5"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7" w:type="pct"/>
            <w:tcBorders>
              <w:top w:val="nil"/>
              <w:left w:val="nil"/>
              <w:bottom w:val="nil"/>
              <w:right w:val="nil"/>
            </w:tcBorders>
          </w:tcPr>
          <w:p w14:paraId="692F0B76"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D32171" w14:paraId="13678CD2" w14:textId="77777777" w:rsidTr="00B768F6">
        <w:trPr>
          <w:trHeight w:val="288"/>
          <w:jc w:val="center"/>
        </w:trPr>
        <w:tc>
          <w:tcPr>
            <w:tcW w:w="817" w:type="pct"/>
            <w:tcBorders>
              <w:top w:val="nil"/>
              <w:left w:val="nil"/>
              <w:bottom w:val="nil"/>
              <w:right w:val="nil"/>
            </w:tcBorders>
          </w:tcPr>
          <w:p w14:paraId="0743D0FA"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GHG*EC</w:t>
            </w:r>
          </w:p>
        </w:tc>
        <w:tc>
          <w:tcPr>
            <w:tcW w:w="1045" w:type="pct"/>
            <w:tcBorders>
              <w:top w:val="nil"/>
              <w:left w:val="nil"/>
              <w:bottom w:val="nil"/>
              <w:right w:val="nil"/>
            </w:tcBorders>
          </w:tcPr>
          <w:p w14:paraId="4FB4B640"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6" w:type="pct"/>
            <w:tcBorders>
              <w:top w:val="nil"/>
              <w:left w:val="nil"/>
              <w:bottom w:val="nil"/>
              <w:right w:val="nil"/>
            </w:tcBorders>
          </w:tcPr>
          <w:p w14:paraId="62C08E43"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5" w:type="pct"/>
            <w:tcBorders>
              <w:top w:val="nil"/>
              <w:left w:val="nil"/>
              <w:bottom w:val="nil"/>
              <w:right w:val="nil"/>
            </w:tcBorders>
          </w:tcPr>
          <w:p w14:paraId="101E9874"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7" w:type="pct"/>
            <w:tcBorders>
              <w:top w:val="nil"/>
              <w:left w:val="nil"/>
              <w:bottom w:val="nil"/>
              <w:right w:val="nil"/>
            </w:tcBorders>
          </w:tcPr>
          <w:p w14:paraId="00CB5424"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0.00125*</w:t>
            </w:r>
          </w:p>
        </w:tc>
      </w:tr>
      <w:tr w:rsidR="006757F3" w:rsidRPr="00D32171" w14:paraId="405634DB" w14:textId="77777777" w:rsidTr="00B768F6">
        <w:trPr>
          <w:trHeight w:val="288"/>
          <w:jc w:val="center"/>
        </w:trPr>
        <w:tc>
          <w:tcPr>
            <w:tcW w:w="817" w:type="pct"/>
            <w:tcBorders>
              <w:top w:val="nil"/>
              <w:left w:val="nil"/>
              <w:bottom w:val="nil"/>
              <w:right w:val="nil"/>
            </w:tcBorders>
          </w:tcPr>
          <w:p w14:paraId="0692206C"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45" w:type="pct"/>
            <w:tcBorders>
              <w:top w:val="nil"/>
              <w:left w:val="nil"/>
              <w:bottom w:val="nil"/>
              <w:right w:val="nil"/>
            </w:tcBorders>
          </w:tcPr>
          <w:p w14:paraId="2EF27CD4"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6" w:type="pct"/>
            <w:tcBorders>
              <w:top w:val="nil"/>
              <w:left w:val="nil"/>
              <w:bottom w:val="nil"/>
              <w:right w:val="nil"/>
            </w:tcBorders>
          </w:tcPr>
          <w:p w14:paraId="27ABABF1"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5" w:type="pct"/>
            <w:tcBorders>
              <w:top w:val="nil"/>
              <w:left w:val="nil"/>
              <w:bottom w:val="nil"/>
              <w:right w:val="nil"/>
            </w:tcBorders>
          </w:tcPr>
          <w:p w14:paraId="7FF0135A"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7" w:type="pct"/>
            <w:tcBorders>
              <w:top w:val="nil"/>
              <w:left w:val="nil"/>
              <w:bottom w:val="nil"/>
              <w:right w:val="nil"/>
            </w:tcBorders>
          </w:tcPr>
          <w:p w14:paraId="3823613D"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(0.000688)</w:t>
            </w:r>
          </w:p>
        </w:tc>
      </w:tr>
      <w:tr w:rsidR="006757F3" w:rsidRPr="00D32171" w14:paraId="29C325AE" w14:textId="77777777" w:rsidTr="00B768F6">
        <w:trPr>
          <w:trHeight w:val="288"/>
          <w:jc w:val="center"/>
        </w:trPr>
        <w:tc>
          <w:tcPr>
            <w:tcW w:w="1862" w:type="pct"/>
            <w:gridSpan w:val="2"/>
            <w:tcBorders>
              <w:top w:val="nil"/>
              <w:left w:val="nil"/>
              <w:bottom w:val="nil"/>
              <w:right w:val="nil"/>
            </w:tcBorders>
          </w:tcPr>
          <w:p w14:paraId="46368B47" w14:textId="77777777" w:rsidR="006757F3" w:rsidRPr="006429D0" w:rsidRDefault="006757F3" w:rsidP="00B768F6">
            <w:pPr>
              <w:widowControl w:val="0"/>
              <w:autoSpaceDE w:val="0"/>
              <w:autoSpaceDN w:val="0"/>
              <w:adjustRightInd w:val="0"/>
              <w:spacing w:after="0" w:line="240" w:lineRule="auto"/>
              <w:rPr>
                <w:rFonts w:ascii="Times New Roman" w:hAnsi="Times New Roman" w:cs="Times New Roman"/>
                <w:i/>
                <w:iCs/>
                <w:sz w:val="20"/>
                <w:szCs w:val="20"/>
              </w:rPr>
            </w:pPr>
            <w:r w:rsidRPr="006429D0">
              <w:rPr>
                <w:rFonts w:ascii="Times New Roman" w:hAnsi="Times New Roman" w:cs="Times New Roman"/>
                <w:i/>
                <w:iCs/>
                <w:sz w:val="20"/>
                <w:szCs w:val="20"/>
              </w:rPr>
              <w:t>Control varia</w:t>
            </w:r>
            <w:r>
              <w:rPr>
                <w:rFonts w:ascii="Times New Roman" w:hAnsi="Times New Roman" w:cs="Times New Roman"/>
                <w:i/>
                <w:iCs/>
                <w:sz w:val="20"/>
                <w:szCs w:val="20"/>
              </w:rPr>
              <w:t>b</w:t>
            </w:r>
            <w:r w:rsidRPr="006429D0">
              <w:rPr>
                <w:rFonts w:ascii="Times New Roman" w:hAnsi="Times New Roman" w:cs="Times New Roman"/>
                <w:i/>
                <w:iCs/>
                <w:sz w:val="20"/>
                <w:szCs w:val="20"/>
              </w:rPr>
              <w:t>les</w:t>
            </w:r>
            <w:r>
              <w:rPr>
                <w:rFonts w:ascii="Times New Roman" w:hAnsi="Times New Roman" w:cs="Times New Roman"/>
                <w:i/>
                <w:iCs/>
                <w:sz w:val="20"/>
                <w:szCs w:val="20"/>
              </w:rPr>
              <w:t>:</w:t>
            </w:r>
          </w:p>
        </w:tc>
        <w:tc>
          <w:tcPr>
            <w:tcW w:w="1046" w:type="pct"/>
            <w:tcBorders>
              <w:top w:val="nil"/>
              <w:left w:val="nil"/>
              <w:bottom w:val="nil"/>
              <w:right w:val="nil"/>
            </w:tcBorders>
          </w:tcPr>
          <w:p w14:paraId="3589F4D7"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5" w:type="pct"/>
            <w:tcBorders>
              <w:top w:val="nil"/>
              <w:left w:val="nil"/>
              <w:bottom w:val="nil"/>
              <w:right w:val="nil"/>
            </w:tcBorders>
          </w:tcPr>
          <w:p w14:paraId="0882B1FA"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7" w:type="pct"/>
            <w:tcBorders>
              <w:top w:val="nil"/>
              <w:left w:val="nil"/>
              <w:bottom w:val="nil"/>
              <w:right w:val="nil"/>
            </w:tcBorders>
          </w:tcPr>
          <w:p w14:paraId="18F27D71"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D32171" w14:paraId="15A9CE56" w14:textId="77777777" w:rsidTr="00B768F6">
        <w:trPr>
          <w:trHeight w:val="288"/>
          <w:jc w:val="center"/>
        </w:trPr>
        <w:tc>
          <w:tcPr>
            <w:tcW w:w="817" w:type="pct"/>
            <w:tcBorders>
              <w:top w:val="nil"/>
              <w:left w:val="nil"/>
              <w:bottom w:val="nil"/>
              <w:right w:val="nil"/>
            </w:tcBorders>
          </w:tcPr>
          <w:p w14:paraId="3E893E95"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roofErr w:type="spellStart"/>
            <w:r w:rsidRPr="000D5ABB">
              <w:rPr>
                <w:rFonts w:ascii="Times New Roman" w:hAnsi="Times New Roman" w:cs="Times New Roman"/>
                <w:sz w:val="20"/>
                <w:szCs w:val="20"/>
              </w:rPr>
              <w:t>B</w:t>
            </w:r>
            <w:r>
              <w:rPr>
                <w:rFonts w:ascii="Times New Roman" w:hAnsi="Times New Roman" w:cs="Times New Roman"/>
                <w:sz w:val="20"/>
                <w:szCs w:val="20"/>
              </w:rPr>
              <w:t>.</w:t>
            </w:r>
            <w:r w:rsidRPr="000D5ABB">
              <w:rPr>
                <w:rFonts w:ascii="Times New Roman" w:hAnsi="Times New Roman" w:cs="Times New Roman"/>
                <w:sz w:val="20"/>
                <w:szCs w:val="20"/>
              </w:rPr>
              <w:t>size</w:t>
            </w:r>
            <w:proofErr w:type="spellEnd"/>
          </w:p>
        </w:tc>
        <w:tc>
          <w:tcPr>
            <w:tcW w:w="1045" w:type="pct"/>
            <w:tcBorders>
              <w:top w:val="nil"/>
              <w:left w:val="nil"/>
              <w:bottom w:val="nil"/>
              <w:right w:val="nil"/>
            </w:tcBorders>
          </w:tcPr>
          <w:p w14:paraId="3232A0B6"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-0.000468</w:t>
            </w:r>
          </w:p>
        </w:tc>
        <w:tc>
          <w:tcPr>
            <w:tcW w:w="1046" w:type="pct"/>
            <w:tcBorders>
              <w:top w:val="nil"/>
              <w:left w:val="nil"/>
              <w:bottom w:val="nil"/>
              <w:right w:val="nil"/>
            </w:tcBorders>
          </w:tcPr>
          <w:p w14:paraId="5B4C4400"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0.00772</w:t>
            </w:r>
          </w:p>
        </w:tc>
        <w:tc>
          <w:tcPr>
            <w:tcW w:w="1045" w:type="pct"/>
            <w:tcBorders>
              <w:top w:val="nil"/>
              <w:left w:val="nil"/>
              <w:bottom w:val="nil"/>
              <w:right w:val="nil"/>
            </w:tcBorders>
          </w:tcPr>
          <w:p w14:paraId="17D9A4B2"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0.0779</w:t>
            </w:r>
          </w:p>
        </w:tc>
        <w:tc>
          <w:tcPr>
            <w:tcW w:w="1047" w:type="pct"/>
            <w:tcBorders>
              <w:top w:val="nil"/>
              <w:left w:val="nil"/>
              <w:bottom w:val="nil"/>
              <w:right w:val="nil"/>
            </w:tcBorders>
          </w:tcPr>
          <w:p w14:paraId="138FFB56"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0.0810</w:t>
            </w:r>
          </w:p>
        </w:tc>
      </w:tr>
      <w:tr w:rsidR="006757F3" w:rsidRPr="00D32171" w14:paraId="5CFCE8CB" w14:textId="77777777" w:rsidTr="00B768F6">
        <w:trPr>
          <w:trHeight w:val="288"/>
          <w:jc w:val="center"/>
        </w:trPr>
        <w:tc>
          <w:tcPr>
            <w:tcW w:w="817" w:type="pct"/>
            <w:tcBorders>
              <w:top w:val="nil"/>
              <w:left w:val="nil"/>
              <w:bottom w:val="nil"/>
              <w:right w:val="nil"/>
            </w:tcBorders>
          </w:tcPr>
          <w:p w14:paraId="2E5D86A5"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45" w:type="pct"/>
            <w:tcBorders>
              <w:top w:val="nil"/>
              <w:left w:val="nil"/>
              <w:bottom w:val="nil"/>
              <w:right w:val="nil"/>
            </w:tcBorders>
          </w:tcPr>
          <w:p w14:paraId="550333C5"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(0.133)</w:t>
            </w:r>
          </w:p>
        </w:tc>
        <w:tc>
          <w:tcPr>
            <w:tcW w:w="1046" w:type="pct"/>
            <w:tcBorders>
              <w:top w:val="nil"/>
              <w:left w:val="nil"/>
              <w:bottom w:val="nil"/>
              <w:right w:val="nil"/>
            </w:tcBorders>
          </w:tcPr>
          <w:p w14:paraId="76E5DF82"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(0.137)</w:t>
            </w:r>
          </w:p>
        </w:tc>
        <w:tc>
          <w:tcPr>
            <w:tcW w:w="1045" w:type="pct"/>
            <w:tcBorders>
              <w:top w:val="nil"/>
              <w:left w:val="nil"/>
              <w:bottom w:val="nil"/>
              <w:right w:val="nil"/>
            </w:tcBorders>
          </w:tcPr>
          <w:p w14:paraId="6BBC8159"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(0.0583)</w:t>
            </w:r>
          </w:p>
        </w:tc>
        <w:tc>
          <w:tcPr>
            <w:tcW w:w="1047" w:type="pct"/>
            <w:tcBorders>
              <w:top w:val="nil"/>
              <w:left w:val="nil"/>
              <w:bottom w:val="nil"/>
              <w:right w:val="nil"/>
            </w:tcBorders>
          </w:tcPr>
          <w:p w14:paraId="39BB2EBD"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(0.0592)</w:t>
            </w:r>
          </w:p>
        </w:tc>
      </w:tr>
      <w:tr w:rsidR="006757F3" w:rsidRPr="00D32171" w14:paraId="4B2883EC" w14:textId="77777777" w:rsidTr="00B768F6">
        <w:trPr>
          <w:trHeight w:val="288"/>
          <w:jc w:val="center"/>
        </w:trPr>
        <w:tc>
          <w:tcPr>
            <w:tcW w:w="817" w:type="pct"/>
            <w:tcBorders>
              <w:top w:val="nil"/>
              <w:left w:val="nil"/>
              <w:bottom w:val="nil"/>
              <w:right w:val="nil"/>
            </w:tcBorders>
          </w:tcPr>
          <w:p w14:paraId="6D7B8F4E"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Separation</w:t>
            </w:r>
          </w:p>
        </w:tc>
        <w:tc>
          <w:tcPr>
            <w:tcW w:w="1045" w:type="pct"/>
            <w:tcBorders>
              <w:top w:val="nil"/>
              <w:left w:val="nil"/>
              <w:bottom w:val="nil"/>
              <w:right w:val="nil"/>
            </w:tcBorders>
          </w:tcPr>
          <w:p w14:paraId="3835A231"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-0.135**</w:t>
            </w:r>
          </w:p>
        </w:tc>
        <w:tc>
          <w:tcPr>
            <w:tcW w:w="1046" w:type="pct"/>
            <w:tcBorders>
              <w:top w:val="nil"/>
              <w:left w:val="nil"/>
              <w:bottom w:val="nil"/>
              <w:right w:val="nil"/>
            </w:tcBorders>
          </w:tcPr>
          <w:p w14:paraId="7C9BF934"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-0.134**</w:t>
            </w:r>
          </w:p>
        </w:tc>
        <w:tc>
          <w:tcPr>
            <w:tcW w:w="1045" w:type="pct"/>
            <w:tcBorders>
              <w:top w:val="nil"/>
              <w:left w:val="nil"/>
              <w:bottom w:val="nil"/>
              <w:right w:val="nil"/>
            </w:tcBorders>
          </w:tcPr>
          <w:p w14:paraId="06B44411"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-0.146**</w:t>
            </w:r>
          </w:p>
        </w:tc>
        <w:tc>
          <w:tcPr>
            <w:tcW w:w="1047" w:type="pct"/>
            <w:tcBorders>
              <w:top w:val="nil"/>
              <w:left w:val="nil"/>
              <w:bottom w:val="nil"/>
              <w:right w:val="nil"/>
            </w:tcBorders>
          </w:tcPr>
          <w:p w14:paraId="4CA40389"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-0.146**</w:t>
            </w:r>
          </w:p>
        </w:tc>
      </w:tr>
      <w:tr w:rsidR="006757F3" w:rsidRPr="00D32171" w14:paraId="770EE6CD" w14:textId="77777777" w:rsidTr="00B768F6">
        <w:trPr>
          <w:trHeight w:val="288"/>
          <w:jc w:val="center"/>
        </w:trPr>
        <w:tc>
          <w:tcPr>
            <w:tcW w:w="817" w:type="pct"/>
            <w:tcBorders>
              <w:top w:val="nil"/>
              <w:left w:val="nil"/>
              <w:bottom w:val="nil"/>
              <w:right w:val="nil"/>
            </w:tcBorders>
          </w:tcPr>
          <w:p w14:paraId="6C59D6D0"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45" w:type="pct"/>
            <w:tcBorders>
              <w:top w:val="nil"/>
              <w:left w:val="nil"/>
              <w:bottom w:val="nil"/>
              <w:right w:val="nil"/>
            </w:tcBorders>
          </w:tcPr>
          <w:p w14:paraId="4D92E0D9"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(0.0614)</w:t>
            </w:r>
          </w:p>
        </w:tc>
        <w:tc>
          <w:tcPr>
            <w:tcW w:w="1046" w:type="pct"/>
            <w:tcBorders>
              <w:top w:val="nil"/>
              <w:left w:val="nil"/>
              <w:bottom w:val="nil"/>
              <w:right w:val="nil"/>
            </w:tcBorders>
          </w:tcPr>
          <w:p w14:paraId="16C8C545"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(0.0616)</w:t>
            </w:r>
          </w:p>
        </w:tc>
        <w:tc>
          <w:tcPr>
            <w:tcW w:w="1045" w:type="pct"/>
            <w:tcBorders>
              <w:top w:val="nil"/>
              <w:left w:val="nil"/>
              <w:bottom w:val="nil"/>
              <w:right w:val="nil"/>
            </w:tcBorders>
          </w:tcPr>
          <w:p w14:paraId="2F4492C7"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(0.0665)</w:t>
            </w:r>
          </w:p>
        </w:tc>
        <w:tc>
          <w:tcPr>
            <w:tcW w:w="1047" w:type="pct"/>
            <w:tcBorders>
              <w:top w:val="nil"/>
              <w:left w:val="nil"/>
              <w:bottom w:val="nil"/>
              <w:right w:val="nil"/>
            </w:tcBorders>
          </w:tcPr>
          <w:p w14:paraId="74BFA44C"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(0.0670)</w:t>
            </w:r>
          </w:p>
        </w:tc>
      </w:tr>
      <w:tr w:rsidR="006757F3" w:rsidRPr="00D32171" w14:paraId="57EF8FBC" w14:textId="77777777" w:rsidTr="00B768F6">
        <w:trPr>
          <w:trHeight w:val="288"/>
          <w:jc w:val="center"/>
        </w:trPr>
        <w:tc>
          <w:tcPr>
            <w:tcW w:w="817" w:type="pct"/>
            <w:tcBorders>
              <w:top w:val="nil"/>
              <w:left w:val="nil"/>
              <w:bottom w:val="nil"/>
              <w:right w:val="nil"/>
            </w:tcBorders>
          </w:tcPr>
          <w:p w14:paraId="11B93598"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Independence</w:t>
            </w:r>
          </w:p>
        </w:tc>
        <w:tc>
          <w:tcPr>
            <w:tcW w:w="1045" w:type="pct"/>
            <w:tcBorders>
              <w:top w:val="nil"/>
              <w:left w:val="nil"/>
              <w:bottom w:val="nil"/>
              <w:right w:val="nil"/>
            </w:tcBorders>
          </w:tcPr>
          <w:p w14:paraId="0949CA16"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-0.000525**</w:t>
            </w:r>
          </w:p>
        </w:tc>
        <w:tc>
          <w:tcPr>
            <w:tcW w:w="1046" w:type="pct"/>
            <w:tcBorders>
              <w:top w:val="nil"/>
              <w:left w:val="nil"/>
              <w:bottom w:val="nil"/>
              <w:right w:val="nil"/>
            </w:tcBorders>
          </w:tcPr>
          <w:p w14:paraId="6EDA5481"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-0.000441*</w:t>
            </w:r>
          </w:p>
        </w:tc>
        <w:tc>
          <w:tcPr>
            <w:tcW w:w="1045" w:type="pct"/>
            <w:tcBorders>
              <w:top w:val="nil"/>
              <w:left w:val="nil"/>
              <w:bottom w:val="nil"/>
              <w:right w:val="nil"/>
            </w:tcBorders>
          </w:tcPr>
          <w:p w14:paraId="48E8C0A4"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-0.00114***</w:t>
            </w:r>
          </w:p>
        </w:tc>
        <w:tc>
          <w:tcPr>
            <w:tcW w:w="1047" w:type="pct"/>
            <w:tcBorders>
              <w:top w:val="nil"/>
              <w:left w:val="nil"/>
              <w:bottom w:val="nil"/>
              <w:right w:val="nil"/>
            </w:tcBorders>
          </w:tcPr>
          <w:p w14:paraId="24331D16"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-0.00115***</w:t>
            </w:r>
          </w:p>
        </w:tc>
      </w:tr>
      <w:tr w:rsidR="006757F3" w:rsidRPr="00D32171" w14:paraId="0A4DAAF3" w14:textId="77777777" w:rsidTr="00B768F6">
        <w:trPr>
          <w:trHeight w:val="288"/>
          <w:jc w:val="center"/>
        </w:trPr>
        <w:tc>
          <w:tcPr>
            <w:tcW w:w="817" w:type="pct"/>
            <w:tcBorders>
              <w:top w:val="nil"/>
              <w:left w:val="nil"/>
              <w:bottom w:val="nil"/>
              <w:right w:val="nil"/>
            </w:tcBorders>
          </w:tcPr>
          <w:p w14:paraId="1C6A08B9"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45" w:type="pct"/>
            <w:tcBorders>
              <w:top w:val="nil"/>
              <w:left w:val="nil"/>
              <w:bottom w:val="nil"/>
              <w:right w:val="nil"/>
            </w:tcBorders>
          </w:tcPr>
          <w:p w14:paraId="2ADD6A7D"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(0.000234)</w:t>
            </w:r>
          </w:p>
        </w:tc>
        <w:tc>
          <w:tcPr>
            <w:tcW w:w="1046" w:type="pct"/>
            <w:tcBorders>
              <w:top w:val="nil"/>
              <w:left w:val="nil"/>
              <w:bottom w:val="nil"/>
              <w:right w:val="nil"/>
            </w:tcBorders>
          </w:tcPr>
          <w:p w14:paraId="0B4B099E"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(0.000227)</w:t>
            </w:r>
          </w:p>
        </w:tc>
        <w:tc>
          <w:tcPr>
            <w:tcW w:w="1045" w:type="pct"/>
            <w:tcBorders>
              <w:top w:val="nil"/>
              <w:left w:val="nil"/>
              <w:bottom w:val="nil"/>
              <w:right w:val="nil"/>
            </w:tcBorders>
          </w:tcPr>
          <w:p w14:paraId="58BC9B75"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(0.000296)</w:t>
            </w:r>
          </w:p>
        </w:tc>
        <w:tc>
          <w:tcPr>
            <w:tcW w:w="1047" w:type="pct"/>
            <w:tcBorders>
              <w:top w:val="nil"/>
              <w:left w:val="nil"/>
              <w:bottom w:val="nil"/>
              <w:right w:val="nil"/>
            </w:tcBorders>
          </w:tcPr>
          <w:p w14:paraId="56A4C606"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(0.000290)</w:t>
            </w:r>
          </w:p>
        </w:tc>
      </w:tr>
      <w:tr w:rsidR="006757F3" w:rsidRPr="00D32171" w14:paraId="79135079" w14:textId="77777777" w:rsidTr="00B768F6">
        <w:trPr>
          <w:trHeight w:val="288"/>
          <w:jc w:val="center"/>
        </w:trPr>
        <w:tc>
          <w:tcPr>
            <w:tcW w:w="817" w:type="pct"/>
            <w:tcBorders>
              <w:top w:val="nil"/>
              <w:left w:val="nil"/>
              <w:bottom w:val="nil"/>
              <w:right w:val="nil"/>
            </w:tcBorders>
          </w:tcPr>
          <w:p w14:paraId="60A3ECCA"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Firm Size</w:t>
            </w:r>
          </w:p>
        </w:tc>
        <w:tc>
          <w:tcPr>
            <w:tcW w:w="1045" w:type="pct"/>
            <w:tcBorders>
              <w:top w:val="nil"/>
              <w:left w:val="nil"/>
              <w:bottom w:val="nil"/>
              <w:right w:val="nil"/>
            </w:tcBorders>
          </w:tcPr>
          <w:p w14:paraId="0BBFEA49"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-0.0758</w:t>
            </w:r>
          </w:p>
        </w:tc>
        <w:tc>
          <w:tcPr>
            <w:tcW w:w="1046" w:type="pct"/>
            <w:tcBorders>
              <w:top w:val="nil"/>
              <w:left w:val="nil"/>
              <w:bottom w:val="nil"/>
              <w:right w:val="nil"/>
            </w:tcBorders>
          </w:tcPr>
          <w:p w14:paraId="5C8BB162"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-0.0673</w:t>
            </w:r>
          </w:p>
        </w:tc>
        <w:tc>
          <w:tcPr>
            <w:tcW w:w="1045" w:type="pct"/>
            <w:tcBorders>
              <w:top w:val="nil"/>
              <w:left w:val="nil"/>
              <w:bottom w:val="nil"/>
              <w:right w:val="nil"/>
            </w:tcBorders>
          </w:tcPr>
          <w:p w14:paraId="7620E5A6"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0.0662</w:t>
            </w:r>
          </w:p>
        </w:tc>
        <w:tc>
          <w:tcPr>
            <w:tcW w:w="1047" w:type="pct"/>
            <w:tcBorders>
              <w:top w:val="nil"/>
              <w:left w:val="nil"/>
              <w:bottom w:val="nil"/>
              <w:right w:val="nil"/>
            </w:tcBorders>
          </w:tcPr>
          <w:p w14:paraId="67170478"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0.0603</w:t>
            </w:r>
          </w:p>
        </w:tc>
      </w:tr>
      <w:tr w:rsidR="006757F3" w:rsidRPr="00D32171" w14:paraId="79F542E1" w14:textId="77777777" w:rsidTr="00B768F6">
        <w:trPr>
          <w:trHeight w:val="288"/>
          <w:jc w:val="center"/>
        </w:trPr>
        <w:tc>
          <w:tcPr>
            <w:tcW w:w="817" w:type="pct"/>
            <w:tcBorders>
              <w:top w:val="nil"/>
              <w:left w:val="nil"/>
              <w:bottom w:val="nil"/>
              <w:right w:val="nil"/>
            </w:tcBorders>
          </w:tcPr>
          <w:p w14:paraId="75032CD6"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45" w:type="pct"/>
            <w:tcBorders>
              <w:top w:val="nil"/>
              <w:left w:val="nil"/>
              <w:bottom w:val="nil"/>
              <w:right w:val="nil"/>
            </w:tcBorders>
          </w:tcPr>
          <w:p w14:paraId="15DC09C0"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(0.0597)</w:t>
            </w:r>
          </w:p>
        </w:tc>
        <w:tc>
          <w:tcPr>
            <w:tcW w:w="1046" w:type="pct"/>
            <w:tcBorders>
              <w:top w:val="nil"/>
              <w:left w:val="nil"/>
              <w:bottom w:val="nil"/>
              <w:right w:val="nil"/>
            </w:tcBorders>
          </w:tcPr>
          <w:p w14:paraId="356ED5E7"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(0.0630)</w:t>
            </w:r>
          </w:p>
        </w:tc>
        <w:tc>
          <w:tcPr>
            <w:tcW w:w="1045" w:type="pct"/>
            <w:tcBorders>
              <w:top w:val="nil"/>
              <w:left w:val="nil"/>
              <w:bottom w:val="nil"/>
              <w:right w:val="nil"/>
            </w:tcBorders>
          </w:tcPr>
          <w:p w14:paraId="7810DFDF"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(0.0606)</w:t>
            </w:r>
          </w:p>
        </w:tc>
        <w:tc>
          <w:tcPr>
            <w:tcW w:w="1047" w:type="pct"/>
            <w:tcBorders>
              <w:top w:val="nil"/>
              <w:left w:val="nil"/>
              <w:bottom w:val="nil"/>
              <w:right w:val="nil"/>
            </w:tcBorders>
          </w:tcPr>
          <w:p w14:paraId="3A696FDD"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(0.0633)</w:t>
            </w:r>
          </w:p>
        </w:tc>
      </w:tr>
      <w:tr w:rsidR="006757F3" w:rsidRPr="00D32171" w14:paraId="6313A14F" w14:textId="77777777" w:rsidTr="00B768F6">
        <w:trPr>
          <w:trHeight w:val="288"/>
          <w:jc w:val="center"/>
        </w:trPr>
        <w:tc>
          <w:tcPr>
            <w:tcW w:w="817" w:type="pct"/>
            <w:tcBorders>
              <w:top w:val="nil"/>
              <w:left w:val="nil"/>
              <w:bottom w:val="nil"/>
              <w:right w:val="nil"/>
            </w:tcBorders>
          </w:tcPr>
          <w:p w14:paraId="5113AA86"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Profitability</w:t>
            </w:r>
          </w:p>
        </w:tc>
        <w:tc>
          <w:tcPr>
            <w:tcW w:w="1045" w:type="pct"/>
            <w:tcBorders>
              <w:top w:val="nil"/>
              <w:left w:val="nil"/>
              <w:bottom w:val="nil"/>
              <w:right w:val="nil"/>
            </w:tcBorders>
          </w:tcPr>
          <w:p w14:paraId="7A81A906"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0.0104*</w:t>
            </w:r>
          </w:p>
        </w:tc>
        <w:tc>
          <w:tcPr>
            <w:tcW w:w="1046" w:type="pct"/>
            <w:tcBorders>
              <w:top w:val="nil"/>
              <w:left w:val="nil"/>
              <w:bottom w:val="nil"/>
              <w:right w:val="nil"/>
            </w:tcBorders>
          </w:tcPr>
          <w:p w14:paraId="5B3E3CEB"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0.0106*</w:t>
            </w:r>
          </w:p>
        </w:tc>
        <w:tc>
          <w:tcPr>
            <w:tcW w:w="1045" w:type="pct"/>
            <w:tcBorders>
              <w:top w:val="nil"/>
              <w:left w:val="nil"/>
              <w:bottom w:val="nil"/>
              <w:right w:val="nil"/>
            </w:tcBorders>
          </w:tcPr>
          <w:p w14:paraId="7DB3F961"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0.0133***</w:t>
            </w:r>
          </w:p>
        </w:tc>
        <w:tc>
          <w:tcPr>
            <w:tcW w:w="1047" w:type="pct"/>
            <w:tcBorders>
              <w:top w:val="nil"/>
              <w:left w:val="nil"/>
              <w:bottom w:val="nil"/>
              <w:right w:val="nil"/>
            </w:tcBorders>
          </w:tcPr>
          <w:p w14:paraId="7C7301A9"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0.0136***</w:t>
            </w:r>
          </w:p>
        </w:tc>
      </w:tr>
      <w:tr w:rsidR="006757F3" w:rsidRPr="00D32171" w14:paraId="683E45CD" w14:textId="77777777" w:rsidTr="00B768F6">
        <w:trPr>
          <w:trHeight w:val="288"/>
          <w:jc w:val="center"/>
        </w:trPr>
        <w:tc>
          <w:tcPr>
            <w:tcW w:w="817" w:type="pct"/>
            <w:tcBorders>
              <w:top w:val="nil"/>
              <w:left w:val="nil"/>
              <w:bottom w:val="nil"/>
              <w:right w:val="nil"/>
            </w:tcBorders>
          </w:tcPr>
          <w:p w14:paraId="032049B7"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45" w:type="pct"/>
            <w:tcBorders>
              <w:top w:val="nil"/>
              <w:left w:val="nil"/>
              <w:bottom w:val="nil"/>
              <w:right w:val="nil"/>
            </w:tcBorders>
          </w:tcPr>
          <w:p w14:paraId="08B8A82F"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(0.00522)</w:t>
            </w:r>
          </w:p>
        </w:tc>
        <w:tc>
          <w:tcPr>
            <w:tcW w:w="1046" w:type="pct"/>
            <w:tcBorders>
              <w:top w:val="nil"/>
              <w:left w:val="nil"/>
              <w:bottom w:val="nil"/>
              <w:right w:val="nil"/>
            </w:tcBorders>
          </w:tcPr>
          <w:p w14:paraId="2F18B71E"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(0.00527)</w:t>
            </w:r>
          </w:p>
        </w:tc>
        <w:tc>
          <w:tcPr>
            <w:tcW w:w="1045" w:type="pct"/>
            <w:tcBorders>
              <w:top w:val="nil"/>
              <w:left w:val="nil"/>
              <w:bottom w:val="nil"/>
              <w:right w:val="nil"/>
            </w:tcBorders>
          </w:tcPr>
          <w:p w14:paraId="6235D287"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(0.00351)</w:t>
            </w:r>
          </w:p>
        </w:tc>
        <w:tc>
          <w:tcPr>
            <w:tcW w:w="1047" w:type="pct"/>
            <w:tcBorders>
              <w:top w:val="nil"/>
              <w:left w:val="nil"/>
              <w:bottom w:val="nil"/>
              <w:right w:val="nil"/>
            </w:tcBorders>
          </w:tcPr>
          <w:p w14:paraId="45DA716D"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(0.00363)</w:t>
            </w:r>
          </w:p>
        </w:tc>
      </w:tr>
      <w:tr w:rsidR="006757F3" w:rsidRPr="00D32171" w14:paraId="2A53C27E" w14:textId="77777777" w:rsidTr="00B768F6">
        <w:trPr>
          <w:trHeight w:val="288"/>
          <w:jc w:val="center"/>
        </w:trPr>
        <w:tc>
          <w:tcPr>
            <w:tcW w:w="817" w:type="pct"/>
            <w:tcBorders>
              <w:top w:val="nil"/>
              <w:left w:val="nil"/>
              <w:bottom w:val="nil"/>
              <w:right w:val="nil"/>
            </w:tcBorders>
          </w:tcPr>
          <w:p w14:paraId="3808B632"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Debt</w:t>
            </w:r>
          </w:p>
        </w:tc>
        <w:tc>
          <w:tcPr>
            <w:tcW w:w="1045" w:type="pct"/>
            <w:tcBorders>
              <w:top w:val="nil"/>
              <w:left w:val="nil"/>
              <w:bottom w:val="nil"/>
              <w:right w:val="nil"/>
            </w:tcBorders>
          </w:tcPr>
          <w:p w14:paraId="41426525"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0.00320</w:t>
            </w:r>
          </w:p>
        </w:tc>
        <w:tc>
          <w:tcPr>
            <w:tcW w:w="1046" w:type="pct"/>
            <w:tcBorders>
              <w:top w:val="nil"/>
              <w:left w:val="nil"/>
              <w:bottom w:val="nil"/>
              <w:right w:val="nil"/>
            </w:tcBorders>
          </w:tcPr>
          <w:p w14:paraId="2B2F1323"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0.00323</w:t>
            </w:r>
          </w:p>
        </w:tc>
        <w:tc>
          <w:tcPr>
            <w:tcW w:w="1045" w:type="pct"/>
            <w:tcBorders>
              <w:top w:val="nil"/>
              <w:left w:val="nil"/>
              <w:bottom w:val="nil"/>
              <w:right w:val="nil"/>
            </w:tcBorders>
          </w:tcPr>
          <w:p w14:paraId="47FDDF42"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0.000774</w:t>
            </w:r>
          </w:p>
        </w:tc>
        <w:tc>
          <w:tcPr>
            <w:tcW w:w="1047" w:type="pct"/>
            <w:tcBorders>
              <w:top w:val="nil"/>
              <w:left w:val="nil"/>
              <w:bottom w:val="nil"/>
              <w:right w:val="nil"/>
            </w:tcBorders>
          </w:tcPr>
          <w:p w14:paraId="716AD3FF"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0.000743</w:t>
            </w:r>
          </w:p>
        </w:tc>
      </w:tr>
      <w:tr w:rsidR="006757F3" w:rsidRPr="00D32171" w14:paraId="09725992" w14:textId="77777777" w:rsidTr="00B768F6">
        <w:trPr>
          <w:trHeight w:val="288"/>
          <w:jc w:val="center"/>
        </w:trPr>
        <w:tc>
          <w:tcPr>
            <w:tcW w:w="817" w:type="pct"/>
            <w:tcBorders>
              <w:top w:val="nil"/>
              <w:left w:val="nil"/>
              <w:bottom w:val="nil"/>
              <w:right w:val="nil"/>
            </w:tcBorders>
          </w:tcPr>
          <w:p w14:paraId="6A592221"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45" w:type="pct"/>
            <w:tcBorders>
              <w:top w:val="nil"/>
              <w:left w:val="nil"/>
              <w:bottom w:val="nil"/>
              <w:right w:val="nil"/>
            </w:tcBorders>
          </w:tcPr>
          <w:p w14:paraId="787F3B54"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(0.00221)</w:t>
            </w:r>
          </w:p>
        </w:tc>
        <w:tc>
          <w:tcPr>
            <w:tcW w:w="1046" w:type="pct"/>
            <w:tcBorders>
              <w:top w:val="nil"/>
              <w:left w:val="nil"/>
              <w:bottom w:val="nil"/>
              <w:right w:val="nil"/>
            </w:tcBorders>
          </w:tcPr>
          <w:p w14:paraId="44140292"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(0.00220)</w:t>
            </w:r>
          </w:p>
        </w:tc>
        <w:tc>
          <w:tcPr>
            <w:tcW w:w="1045" w:type="pct"/>
            <w:tcBorders>
              <w:top w:val="nil"/>
              <w:left w:val="nil"/>
              <w:bottom w:val="nil"/>
              <w:right w:val="nil"/>
            </w:tcBorders>
          </w:tcPr>
          <w:p w14:paraId="4EB37B06"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(0.00144)</w:t>
            </w:r>
          </w:p>
        </w:tc>
        <w:tc>
          <w:tcPr>
            <w:tcW w:w="1047" w:type="pct"/>
            <w:tcBorders>
              <w:top w:val="nil"/>
              <w:left w:val="nil"/>
              <w:bottom w:val="nil"/>
              <w:right w:val="nil"/>
            </w:tcBorders>
          </w:tcPr>
          <w:p w14:paraId="568362CE"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(0.00145)</w:t>
            </w:r>
          </w:p>
        </w:tc>
      </w:tr>
      <w:tr w:rsidR="006757F3" w:rsidRPr="00D32171" w14:paraId="44F0B5C9" w14:textId="77777777" w:rsidTr="00B768F6">
        <w:trPr>
          <w:trHeight w:val="288"/>
          <w:jc w:val="center"/>
        </w:trPr>
        <w:tc>
          <w:tcPr>
            <w:tcW w:w="817" w:type="pct"/>
            <w:tcBorders>
              <w:top w:val="nil"/>
              <w:left w:val="nil"/>
              <w:bottom w:val="nil"/>
              <w:right w:val="nil"/>
            </w:tcBorders>
          </w:tcPr>
          <w:p w14:paraId="02E2FCA0"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Cash</w:t>
            </w:r>
          </w:p>
        </w:tc>
        <w:tc>
          <w:tcPr>
            <w:tcW w:w="1045" w:type="pct"/>
            <w:tcBorders>
              <w:top w:val="nil"/>
              <w:left w:val="nil"/>
              <w:bottom w:val="nil"/>
              <w:right w:val="nil"/>
            </w:tcBorders>
          </w:tcPr>
          <w:p w14:paraId="59023DA5"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0.417</w:t>
            </w:r>
          </w:p>
        </w:tc>
        <w:tc>
          <w:tcPr>
            <w:tcW w:w="1046" w:type="pct"/>
            <w:tcBorders>
              <w:top w:val="nil"/>
              <w:left w:val="nil"/>
              <w:bottom w:val="nil"/>
              <w:right w:val="nil"/>
            </w:tcBorders>
          </w:tcPr>
          <w:p w14:paraId="4603D3A3"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0.407</w:t>
            </w:r>
          </w:p>
        </w:tc>
        <w:tc>
          <w:tcPr>
            <w:tcW w:w="1045" w:type="pct"/>
            <w:tcBorders>
              <w:top w:val="nil"/>
              <w:left w:val="nil"/>
              <w:bottom w:val="nil"/>
              <w:right w:val="nil"/>
            </w:tcBorders>
          </w:tcPr>
          <w:p w14:paraId="1BDAE5E4"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0.420</w:t>
            </w:r>
          </w:p>
        </w:tc>
        <w:tc>
          <w:tcPr>
            <w:tcW w:w="1047" w:type="pct"/>
            <w:tcBorders>
              <w:top w:val="nil"/>
              <w:left w:val="nil"/>
              <w:bottom w:val="nil"/>
              <w:right w:val="nil"/>
            </w:tcBorders>
          </w:tcPr>
          <w:p w14:paraId="37B20EDB"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0.407</w:t>
            </w:r>
          </w:p>
        </w:tc>
      </w:tr>
      <w:tr w:rsidR="006757F3" w:rsidRPr="00D32171" w14:paraId="40E67344" w14:textId="77777777" w:rsidTr="00B768F6">
        <w:trPr>
          <w:trHeight w:val="288"/>
          <w:jc w:val="center"/>
        </w:trPr>
        <w:tc>
          <w:tcPr>
            <w:tcW w:w="817" w:type="pct"/>
            <w:tcBorders>
              <w:top w:val="nil"/>
              <w:left w:val="nil"/>
              <w:bottom w:val="nil"/>
              <w:right w:val="nil"/>
            </w:tcBorders>
          </w:tcPr>
          <w:p w14:paraId="617AABC5"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45" w:type="pct"/>
            <w:tcBorders>
              <w:top w:val="nil"/>
              <w:left w:val="nil"/>
              <w:bottom w:val="nil"/>
              <w:right w:val="nil"/>
            </w:tcBorders>
          </w:tcPr>
          <w:p w14:paraId="3A1C96E8"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(0.309)</w:t>
            </w:r>
          </w:p>
        </w:tc>
        <w:tc>
          <w:tcPr>
            <w:tcW w:w="1046" w:type="pct"/>
            <w:tcBorders>
              <w:top w:val="nil"/>
              <w:left w:val="nil"/>
              <w:bottom w:val="nil"/>
              <w:right w:val="nil"/>
            </w:tcBorders>
          </w:tcPr>
          <w:p w14:paraId="75D62329"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(0.309)</w:t>
            </w:r>
          </w:p>
        </w:tc>
        <w:tc>
          <w:tcPr>
            <w:tcW w:w="1045" w:type="pct"/>
            <w:tcBorders>
              <w:top w:val="nil"/>
              <w:left w:val="nil"/>
              <w:bottom w:val="nil"/>
              <w:right w:val="nil"/>
            </w:tcBorders>
          </w:tcPr>
          <w:p w14:paraId="330FD6C7"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(0.259)</w:t>
            </w:r>
          </w:p>
        </w:tc>
        <w:tc>
          <w:tcPr>
            <w:tcW w:w="1047" w:type="pct"/>
            <w:tcBorders>
              <w:top w:val="nil"/>
              <w:left w:val="nil"/>
              <w:bottom w:val="nil"/>
              <w:right w:val="nil"/>
            </w:tcBorders>
          </w:tcPr>
          <w:p w14:paraId="01AF65F1"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(0.247)</w:t>
            </w:r>
          </w:p>
        </w:tc>
      </w:tr>
      <w:tr w:rsidR="006757F3" w:rsidRPr="00D32171" w14:paraId="2988D2C9" w14:textId="77777777" w:rsidTr="00B768F6">
        <w:trPr>
          <w:trHeight w:val="288"/>
          <w:jc w:val="center"/>
        </w:trPr>
        <w:tc>
          <w:tcPr>
            <w:tcW w:w="817" w:type="pct"/>
            <w:tcBorders>
              <w:top w:val="nil"/>
              <w:left w:val="nil"/>
              <w:bottom w:val="nil"/>
              <w:right w:val="nil"/>
            </w:tcBorders>
          </w:tcPr>
          <w:p w14:paraId="63E0D1B1"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roofErr w:type="spellStart"/>
            <w:r w:rsidRPr="000D5ABB">
              <w:rPr>
                <w:rFonts w:ascii="Times New Roman" w:hAnsi="Times New Roman" w:cs="Times New Roman"/>
                <w:sz w:val="20"/>
                <w:szCs w:val="20"/>
              </w:rPr>
              <w:t>Cap</w:t>
            </w:r>
            <w:r>
              <w:rPr>
                <w:rFonts w:ascii="Times New Roman" w:hAnsi="Times New Roman" w:cs="Times New Roman"/>
                <w:sz w:val="20"/>
                <w:szCs w:val="20"/>
              </w:rPr>
              <w:t>_</w:t>
            </w:r>
            <w:r w:rsidRPr="000D5ABB">
              <w:rPr>
                <w:rFonts w:ascii="Times New Roman" w:hAnsi="Times New Roman" w:cs="Times New Roman"/>
                <w:sz w:val="20"/>
                <w:szCs w:val="20"/>
              </w:rPr>
              <w:t>intensity</w:t>
            </w:r>
            <w:proofErr w:type="spellEnd"/>
          </w:p>
        </w:tc>
        <w:tc>
          <w:tcPr>
            <w:tcW w:w="1045" w:type="pct"/>
            <w:tcBorders>
              <w:top w:val="nil"/>
              <w:left w:val="nil"/>
              <w:bottom w:val="nil"/>
              <w:right w:val="nil"/>
            </w:tcBorders>
          </w:tcPr>
          <w:p w14:paraId="42D969EA"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0.291**</w:t>
            </w:r>
          </w:p>
        </w:tc>
        <w:tc>
          <w:tcPr>
            <w:tcW w:w="1046" w:type="pct"/>
            <w:tcBorders>
              <w:top w:val="nil"/>
              <w:left w:val="nil"/>
              <w:bottom w:val="nil"/>
              <w:right w:val="nil"/>
            </w:tcBorders>
          </w:tcPr>
          <w:p w14:paraId="29C0FE17"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0.296**</w:t>
            </w:r>
          </w:p>
        </w:tc>
        <w:tc>
          <w:tcPr>
            <w:tcW w:w="1045" w:type="pct"/>
            <w:tcBorders>
              <w:top w:val="nil"/>
              <w:left w:val="nil"/>
              <w:bottom w:val="nil"/>
              <w:right w:val="nil"/>
            </w:tcBorders>
          </w:tcPr>
          <w:p w14:paraId="6BE08827"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0.341**</w:t>
            </w:r>
          </w:p>
        </w:tc>
        <w:tc>
          <w:tcPr>
            <w:tcW w:w="1047" w:type="pct"/>
            <w:tcBorders>
              <w:top w:val="nil"/>
              <w:left w:val="nil"/>
              <w:bottom w:val="nil"/>
              <w:right w:val="nil"/>
            </w:tcBorders>
          </w:tcPr>
          <w:p w14:paraId="1FD42B2B"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0.335*</w:t>
            </w:r>
          </w:p>
        </w:tc>
      </w:tr>
      <w:tr w:rsidR="006757F3" w:rsidRPr="00D32171" w14:paraId="019C8B1E" w14:textId="77777777" w:rsidTr="00B768F6">
        <w:trPr>
          <w:trHeight w:val="288"/>
          <w:jc w:val="center"/>
        </w:trPr>
        <w:tc>
          <w:tcPr>
            <w:tcW w:w="817" w:type="pct"/>
            <w:tcBorders>
              <w:top w:val="nil"/>
              <w:left w:val="nil"/>
              <w:bottom w:val="nil"/>
              <w:right w:val="nil"/>
            </w:tcBorders>
          </w:tcPr>
          <w:p w14:paraId="010B2B69"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45" w:type="pct"/>
            <w:tcBorders>
              <w:top w:val="nil"/>
              <w:left w:val="nil"/>
              <w:bottom w:val="nil"/>
              <w:right w:val="nil"/>
            </w:tcBorders>
          </w:tcPr>
          <w:p w14:paraId="248D0C13"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(0.125)</w:t>
            </w:r>
          </w:p>
        </w:tc>
        <w:tc>
          <w:tcPr>
            <w:tcW w:w="1046" w:type="pct"/>
            <w:tcBorders>
              <w:top w:val="nil"/>
              <w:left w:val="nil"/>
              <w:bottom w:val="nil"/>
              <w:right w:val="nil"/>
            </w:tcBorders>
          </w:tcPr>
          <w:p w14:paraId="5214FFD5"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(0.128)</w:t>
            </w:r>
          </w:p>
        </w:tc>
        <w:tc>
          <w:tcPr>
            <w:tcW w:w="1045" w:type="pct"/>
            <w:tcBorders>
              <w:top w:val="nil"/>
              <w:left w:val="nil"/>
              <w:bottom w:val="nil"/>
              <w:right w:val="nil"/>
            </w:tcBorders>
          </w:tcPr>
          <w:p w14:paraId="0AA765F0"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(0.154)</w:t>
            </w:r>
          </w:p>
        </w:tc>
        <w:tc>
          <w:tcPr>
            <w:tcW w:w="1047" w:type="pct"/>
            <w:tcBorders>
              <w:top w:val="nil"/>
              <w:left w:val="nil"/>
              <w:bottom w:val="nil"/>
              <w:right w:val="nil"/>
            </w:tcBorders>
          </w:tcPr>
          <w:p w14:paraId="52FE51FF"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(0.163)</w:t>
            </w:r>
          </w:p>
        </w:tc>
      </w:tr>
      <w:tr w:rsidR="006757F3" w:rsidRPr="00D32171" w14:paraId="626594C6" w14:textId="77777777" w:rsidTr="00B768F6">
        <w:trPr>
          <w:trHeight w:val="288"/>
          <w:jc w:val="center"/>
        </w:trPr>
        <w:tc>
          <w:tcPr>
            <w:tcW w:w="817" w:type="pct"/>
            <w:tcBorders>
              <w:top w:val="nil"/>
              <w:left w:val="nil"/>
              <w:bottom w:val="nil"/>
              <w:right w:val="nil"/>
            </w:tcBorders>
          </w:tcPr>
          <w:p w14:paraId="6D91AB74"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Capex</w:t>
            </w:r>
            <w:r>
              <w:rPr>
                <w:rFonts w:ascii="Times New Roman" w:hAnsi="Times New Roman" w:cs="Times New Roman"/>
                <w:sz w:val="20"/>
                <w:szCs w:val="20"/>
              </w:rPr>
              <w:t>2S</w:t>
            </w:r>
            <w:r w:rsidRPr="000D5ABB">
              <w:rPr>
                <w:rFonts w:ascii="Times New Roman" w:hAnsi="Times New Roman" w:cs="Times New Roman"/>
                <w:sz w:val="20"/>
                <w:szCs w:val="20"/>
              </w:rPr>
              <w:t>ales</w:t>
            </w:r>
          </w:p>
        </w:tc>
        <w:tc>
          <w:tcPr>
            <w:tcW w:w="1045" w:type="pct"/>
            <w:tcBorders>
              <w:top w:val="nil"/>
              <w:left w:val="nil"/>
              <w:bottom w:val="nil"/>
              <w:right w:val="nil"/>
            </w:tcBorders>
          </w:tcPr>
          <w:p w14:paraId="086B6BC5"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-0.000577</w:t>
            </w:r>
          </w:p>
        </w:tc>
        <w:tc>
          <w:tcPr>
            <w:tcW w:w="1046" w:type="pct"/>
            <w:tcBorders>
              <w:top w:val="nil"/>
              <w:left w:val="nil"/>
              <w:bottom w:val="nil"/>
              <w:right w:val="nil"/>
            </w:tcBorders>
          </w:tcPr>
          <w:p w14:paraId="1C120F81"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-0.000625</w:t>
            </w:r>
          </w:p>
        </w:tc>
        <w:tc>
          <w:tcPr>
            <w:tcW w:w="1045" w:type="pct"/>
            <w:tcBorders>
              <w:top w:val="nil"/>
              <w:left w:val="nil"/>
              <w:bottom w:val="nil"/>
              <w:right w:val="nil"/>
            </w:tcBorders>
          </w:tcPr>
          <w:p w14:paraId="7BE97E68"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0.00120*</w:t>
            </w:r>
          </w:p>
        </w:tc>
        <w:tc>
          <w:tcPr>
            <w:tcW w:w="1047" w:type="pct"/>
            <w:tcBorders>
              <w:top w:val="nil"/>
              <w:left w:val="nil"/>
              <w:bottom w:val="nil"/>
              <w:right w:val="nil"/>
            </w:tcBorders>
          </w:tcPr>
          <w:p w14:paraId="47A364FA"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0.00117**</w:t>
            </w:r>
          </w:p>
        </w:tc>
      </w:tr>
      <w:tr w:rsidR="006757F3" w:rsidRPr="00D32171" w14:paraId="19BA061A" w14:textId="77777777" w:rsidTr="00B768F6">
        <w:trPr>
          <w:trHeight w:val="288"/>
          <w:jc w:val="center"/>
        </w:trPr>
        <w:tc>
          <w:tcPr>
            <w:tcW w:w="817" w:type="pct"/>
            <w:tcBorders>
              <w:top w:val="nil"/>
              <w:left w:val="nil"/>
              <w:bottom w:val="nil"/>
              <w:right w:val="nil"/>
            </w:tcBorders>
          </w:tcPr>
          <w:p w14:paraId="6E09547B"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45" w:type="pct"/>
            <w:tcBorders>
              <w:top w:val="nil"/>
              <w:left w:val="nil"/>
              <w:bottom w:val="nil"/>
              <w:right w:val="nil"/>
            </w:tcBorders>
          </w:tcPr>
          <w:p w14:paraId="76FAE9BE"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(0.00112)</w:t>
            </w:r>
          </w:p>
        </w:tc>
        <w:tc>
          <w:tcPr>
            <w:tcW w:w="1046" w:type="pct"/>
            <w:tcBorders>
              <w:top w:val="nil"/>
              <w:left w:val="nil"/>
              <w:bottom w:val="nil"/>
              <w:right w:val="nil"/>
            </w:tcBorders>
          </w:tcPr>
          <w:p w14:paraId="12E60FFE"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(0.00112)</w:t>
            </w:r>
          </w:p>
        </w:tc>
        <w:tc>
          <w:tcPr>
            <w:tcW w:w="1045" w:type="pct"/>
            <w:tcBorders>
              <w:top w:val="nil"/>
              <w:left w:val="nil"/>
              <w:bottom w:val="nil"/>
              <w:right w:val="nil"/>
            </w:tcBorders>
          </w:tcPr>
          <w:p w14:paraId="1F004164"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(0.000565)</w:t>
            </w:r>
          </w:p>
        </w:tc>
        <w:tc>
          <w:tcPr>
            <w:tcW w:w="1047" w:type="pct"/>
            <w:tcBorders>
              <w:top w:val="nil"/>
              <w:left w:val="nil"/>
              <w:bottom w:val="nil"/>
              <w:right w:val="nil"/>
            </w:tcBorders>
          </w:tcPr>
          <w:p w14:paraId="67D9630E"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(0.000436)</w:t>
            </w:r>
          </w:p>
        </w:tc>
      </w:tr>
      <w:tr w:rsidR="006757F3" w:rsidRPr="00D32171" w14:paraId="67A6AA77" w14:textId="77777777" w:rsidTr="00B768F6">
        <w:trPr>
          <w:trHeight w:val="288"/>
          <w:jc w:val="center"/>
        </w:trPr>
        <w:tc>
          <w:tcPr>
            <w:tcW w:w="817" w:type="pct"/>
            <w:tcBorders>
              <w:top w:val="nil"/>
              <w:left w:val="nil"/>
              <w:bottom w:val="nil"/>
              <w:right w:val="nil"/>
            </w:tcBorders>
          </w:tcPr>
          <w:p w14:paraId="1088CA25"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Market</w:t>
            </w:r>
            <w:r>
              <w:rPr>
                <w:rFonts w:ascii="Times New Roman" w:hAnsi="Times New Roman" w:cs="Times New Roman"/>
                <w:sz w:val="20"/>
                <w:szCs w:val="20"/>
              </w:rPr>
              <w:t>2B</w:t>
            </w:r>
            <w:r w:rsidRPr="000D5ABB">
              <w:rPr>
                <w:rFonts w:ascii="Times New Roman" w:hAnsi="Times New Roman" w:cs="Times New Roman"/>
                <w:sz w:val="20"/>
                <w:szCs w:val="20"/>
              </w:rPr>
              <w:t>ook</w:t>
            </w:r>
          </w:p>
        </w:tc>
        <w:tc>
          <w:tcPr>
            <w:tcW w:w="1045" w:type="pct"/>
            <w:tcBorders>
              <w:top w:val="nil"/>
              <w:left w:val="nil"/>
              <w:bottom w:val="nil"/>
              <w:right w:val="nil"/>
            </w:tcBorders>
          </w:tcPr>
          <w:p w14:paraId="6ABFB7D8"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0.00102***</w:t>
            </w:r>
          </w:p>
        </w:tc>
        <w:tc>
          <w:tcPr>
            <w:tcW w:w="1046" w:type="pct"/>
            <w:tcBorders>
              <w:top w:val="nil"/>
              <w:left w:val="nil"/>
              <w:bottom w:val="nil"/>
              <w:right w:val="nil"/>
            </w:tcBorders>
          </w:tcPr>
          <w:p w14:paraId="57FCC178"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0.00103***</w:t>
            </w:r>
          </w:p>
        </w:tc>
        <w:tc>
          <w:tcPr>
            <w:tcW w:w="1045" w:type="pct"/>
            <w:tcBorders>
              <w:top w:val="nil"/>
              <w:left w:val="nil"/>
              <w:bottom w:val="nil"/>
              <w:right w:val="nil"/>
            </w:tcBorders>
          </w:tcPr>
          <w:p w14:paraId="1696F6EE"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0.000932***</w:t>
            </w:r>
          </w:p>
        </w:tc>
        <w:tc>
          <w:tcPr>
            <w:tcW w:w="1047" w:type="pct"/>
            <w:tcBorders>
              <w:top w:val="nil"/>
              <w:left w:val="nil"/>
              <w:bottom w:val="nil"/>
              <w:right w:val="nil"/>
            </w:tcBorders>
          </w:tcPr>
          <w:p w14:paraId="388BD63D"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0.000931***</w:t>
            </w:r>
          </w:p>
        </w:tc>
      </w:tr>
      <w:tr w:rsidR="006757F3" w:rsidRPr="00D32171" w14:paraId="7230104D" w14:textId="77777777" w:rsidTr="00B768F6">
        <w:trPr>
          <w:trHeight w:val="288"/>
          <w:jc w:val="center"/>
        </w:trPr>
        <w:tc>
          <w:tcPr>
            <w:tcW w:w="817" w:type="pct"/>
            <w:tcBorders>
              <w:top w:val="nil"/>
              <w:left w:val="nil"/>
              <w:bottom w:val="nil"/>
              <w:right w:val="nil"/>
            </w:tcBorders>
          </w:tcPr>
          <w:p w14:paraId="7FE67BEE"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45" w:type="pct"/>
            <w:tcBorders>
              <w:top w:val="nil"/>
              <w:left w:val="nil"/>
              <w:bottom w:val="nil"/>
              <w:right w:val="nil"/>
            </w:tcBorders>
          </w:tcPr>
          <w:p w14:paraId="482D5E75"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(0.000212)</w:t>
            </w:r>
          </w:p>
        </w:tc>
        <w:tc>
          <w:tcPr>
            <w:tcW w:w="1046" w:type="pct"/>
            <w:tcBorders>
              <w:top w:val="nil"/>
              <w:left w:val="nil"/>
              <w:bottom w:val="nil"/>
              <w:right w:val="nil"/>
            </w:tcBorders>
          </w:tcPr>
          <w:p w14:paraId="0F8D983B"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(0.000210)</w:t>
            </w:r>
          </w:p>
        </w:tc>
        <w:tc>
          <w:tcPr>
            <w:tcW w:w="1045" w:type="pct"/>
            <w:tcBorders>
              <w:top w:val="nil"/>
              <w:left w:val="nil"/>
              <w:bottom w:val="nil"/>
              <w:right w:val="nil"/>
            </w:tcBorders>
          </w:tcPr>
          <w:p w14:paraId="4615CE39"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(0.000151)</w:t>
            </w:r>
          </w:p>
        </w:tc>
        <w:tc>
          <w:tcPr>
            <w:tcW w:w="1047" w:type="pct"/>
            <w:tcBorders>
              <w:top w:val="nil"/>
              <w:left w:val="nil"/>
              <w:bottom w:val="nil"/>
              <w:right w:val="nil"/>
            </w:tcBorders>
          </w:tcPr>
          <w:p w14:paraId="4D9542CA"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(0.000148)</w:t>
            </w:r>
          </w:p>
        </w:tc>
      </w:tr>
      <w:tr w:rsidR="006757F3" w:rsidRPr="00D32171" w14:paraId="3D9C53CD" w14:textId="77777777" w:rsidTr="00B768F6">
        <w:trPr>
          <w:trHeight w:val="288"/>
          <w:jc w:val="center"/>
        </w:trPr>
        <w:tc>
          <w:tcPr>
            <w:tcW w:w="817" w:type="pct"/>
            <w:tcBorders>
              <w:top w:val="nil"/>
              <w:left w:val="nil"/>
              <w:bottom w:val="nil"/>
              <w:right w:val="nil"/>
            </w:tcBorders>
          </w:tcPr>
          <w:p w14:paraId="38EE60C5"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Constant</w:t>
            </w:r>
          </w:p>
        </w:tc>
        <w:tc>
          <w:tcPr>
            <w:tcW w:w="1045" w:type="pct"/>
            <w:tcBorders>
              <w:top w:val="nil"/>
              <w:left w:val="nil"/>
              <w:bottom w:val="nil"/>
              <w:right w:val="nil"/>
            </w:tcBorders>
          </w:tcPr>
          <w:p w14:paraId="2C0336B7"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1.391</w:t>
            </w:r>
          </w:p>
        </w:tc>
        <w:tc>
          <w:tcPr>
            <w:tcW w:w="1046" w:type="pct"/>
            <w:tcBorders>
              <w:top w:val="nil"/>
              <w:left w:val="nil"/>
              <w:bottom w:val="nil"/>
              <w:right w:val="nil"/>
            </w:tcBorders>
          </w:tcPr>
          <w:p w14:paraId="1256D975"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1.699</w:t>
            </w:r>
          </w:p>
        </w:tc>
        <w:tc>
          <w:tcPr>
            <w:tcW w:w="1045" w:type="pct"/>
            <w:tcBorders>
              <w:top w:val="nil"/>
              <w:left w:val="nil"/>
              <w:bottom w:val="nil"/>
              <w:right w:val="nil"/>
            </w:tcBorders>
          </w:tcPr>
          <w:p w14:paraId="28E12237"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-0.668</w:t>
            </w:r>
          </w:p>
        </w:tc>
        <w:tc>
          <w:tcPr>
            <w:tcW w:w="1047" w:type="pct"/>
            <w:tcBorders>
              <w:top w:val="nil"/>
              <w:left w:val="nil"/>
              <w:bottom w:val="nil"/>
              <w:right w:val="nil"/>
            </w:tcBorders>
          </w:tcPr>
          <w:p w14:paraId="5FEA611C"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-0.421</w:t>
            </w:r>
          </w:p>
        </w:tc>
      </w:tr>
      <w:tr w:rsidR="006757F3" w:rsidRPr="00D32171" w14:paraId="39A3AFEE" w14:textId="77777777" w:rsidTr="00B768F6">
        <w:trPr>
          <w:trHeight w:val="288"/>
          <w:jc w:val="center"/>
        </w:trPr>
        <w:tc>
          <w:tcPr>
            <w:tcW w:w="817" w:type="pct"/>
            <w:tcBorders>
              <w:top w:val="nil"/>
              <w:left w:val="nil"/>
              <w:bottom w:val="nil"/>
              <w:right w:val="nil"/>
            </w:tcBorders>
          </w:tcPr>
          <w:p w14:paraId="3147B724"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45" w:type="pct"/>
            <w:tcBorders>
              <w:top w:val="nil"/>
              <w:left w:val="nil"/>
              <w:bottom w:val="nil"/>
              <w:right w:val="nil"/>
            </w:tcBorders>
          </w:tcPr>
          <w:p w14:paraId="2749A77D"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(1.283)</w:t>
            </w:r>
          </w:p>
        </w:tc>
        <w:tc>
          <w:tcPr>
            <w:tcW w:w="1046" w:type="pct"/>
            <w:tcBorders>
              <w:top w:val="nil"/>
              <w:left w:val="nil"/>
              <w:bottom w:val="nil"/>
              <w:right w:val="nil"/>
            </w:tcBorders>
          </w:tcPr>
          <w:p w14:paraId="4FAB1DDB"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(1.240)</w:t>
            </w:r>
          </w:p>
        </w:tc>
        <w:tc>
          <w:tcPr>
            <w:tcW w:w="1045" w:type="pct"/>
            <w:tcBorders>
              <w:top w:val="nil"/>
              <w:left w:val="nil"/>
              <w:bottom w:val="nil"/>
              <w:right w:val="nil"/>
            </w:tcBorders>
          </w:tcPr>
          <w:p w14:paraId="72A54448"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(1.165)</w:t>
            </w:r>
          </w:p>
        </w:tc>
        <w:tc>
          <w:tcPr>
            <w:tcW w:w="1047" w:type="pct"/>
            <w:tcBorders>
              <w:top w:val="nil"/>
              <w:left w:val="nil"/>
              <w:bottom w:val="nil"/>
              <w:right w:val="nil"/>
            </w:tcBorders>
          </w:tcPr>
          <w:p w14:paraId="4939634F"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(1.133)</w:t>
            </w:r>
          </w:p>
        </w:tc>
      </w:tr>
      <w:tr w:rsidR="006757F3" w:rsidRPr="00D32171" w14:paraId="20B49606" w14:textId="77777777" w:rsidTr="00B768F6">
        <w:trPr>
          <w:trHeight w:val="288"/>
          <w:jc w:val="center"/>
        </w:trPr>
        <w:tc>
          <w:tcPr>
            <w:tcW w:w="817" w:type="pct"/>
            <w:tcBorders>
              <w:top w:val="nil"/>
              <w:left w:val="nil"/>
              <w:bottom w:val="nil"/>
              <w:right w:val="nil"/>
            </w:tcBorders>
          </w:tcPr>
          <w:p w14:paraId="57A11C52"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roofErr w:type="spellStart"/>
            <w:r w:rsidRPr="000D5ABB">
              <w:rPr>
                <w:rFonts w:ascii="Times New Roman" w:hAnsi="Times New Roman" w:cs="Times New Roman"/>
                <w:sz w:val="20"/>
                <w:szCs w:val="20"/>
              </w:rPr>
              <w:t>Obs</w:t>
            </w:r>
            <w:proofErr w:type="spellEnd"/>
          </w:p>
        </w:tc>
        <w:tc>
          <w:tcPr>
            <w:tcW w:w="1045" w:type="pct"/>
            <w:tcBorders>
              <w:top w:val="nil"/>
              <w:left w:val="nil"/>
              <w:bottom w:val="nil"/>
              <w:right w:val="nil"/>
            </w:tcBorders>
          </w:tcPr>
          <w:p w14:paraId="5AC84DFA"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4,379</w:t>
            </w:r>
          </w:p>
        </w:tc>
        <w:tc>
          <w:tcPr>
            <w:tcW w:w="1046" w:type="pct"/>
            <w:tcBorders>
              <w:top w:val="nil"/>
              <w:left w:val="nil"/>
              <w:bottom w:val="nil"/>
              <w:right w:val="nil"/>
            </w:tcBorders>
          </w:tcPr>
          <w:p w14:paraId="51646801"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4,379</w:t>
            </w:r>
          </w:p>
        </w:tc>
        <w:tc>
          <w:tcPr>
            <w:tcW w:w="1045" w:type="pct"/>
            <w:tcBorders>
              <w:top w:val="nil"/>
              <w:left w:val="nil"/>
              <w:bottom w:val="nil"/>
              <w:right w:val="nil"/>
            </w:tcBorders>
          </w:tcPr>
          <w:p w14:paraId="13F6D5B1"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3,227</w:t>
            </w:r>
          </w:p>
        </w:tc>
        <w:tc>
          <w:tcPr>
            <w:tcW w:w="1047" w:type="pct"/>
            <w:tcBorders>
              <w:top w:val="nil"/>
              <w:left w:val="nil"/>
              <w:bottom w:val="nil"/>
              <w:right w:val="nil"/>
            </w:tcBorders>
          </w:tcPr>
          <w:p w14:paraId="7F70AD48"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3,227</w:t>
            </w:r>
          </w:p>
        </w:tc>
      </w:tr>
      <w:tr w:rsidR="006757F3" w:rsidRPr="00D32171" w14:paraId="04F663A6" w14:textId="77777777" w:rsidTr="00B768F6">
        <w:trPr>
          <w:trHeight w:val="288"/>
          <w:jc w:val="center"/>
        </w:trPr>
        <w:tc>
          <w:tcPr>
            <w:tcW w:w="817" w:type="pct"/>
            <w:tcBorders>
              <w:top w:val="nil"/>
              <w:left w:val="nil"/>
              <w:bottom w:val="nil"/>
              <w:right w:val="nil"/>
            </w:tcBorders>
          </w:tcPr>
          <w:p w14:paraId="4AEC2930"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R-squared</w:t>
            </w:r>
          </w:p>
        </w:tc>
        <w:tc>
          <w:tcPr>
            <w:tcW w:w="1045" w:type="pct"/>
            <w:tcBorders>
              <w:top w:val="nil"/>
              <w:left w:val="nil"/>
              <w:bottom w:val="nil"/>
              <w:right w:val="nil"/>
            </w:tcBorders>
          </w:tcPr>
          <w:p w14:paraId="60F4FB70"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0.164</w:t>
            </w:r>
          </w:p>
        </w:tc>
        <w:tc>
          <w:tcPr>
            <w:tcW w:w="1046" w:type="pct"/>
            <w:tcBorders>
              <w:top w:val="nil"/>
              <w:left w:val="nil"/>
              <w:bottom w:val="nil"/>
              <w:right w:val="nil"/>
            </w:tcBorders>
          </w:tcPr>
          <w:p w14:paraId="315EF232"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0.163</w:t>
            </w:r>
          </w:p>
        </w:tc>
        <w:tc>
          <w:tcPr>
            <w:tcW w:w="1045" w:type="pct"/>
            <w:tcBorders>
              <w:top w:val="nil"/>
              <w:left w:val="nil"/>
              <w:bottom w:val="nil"/>
              <w:right w:val="nil"/>
            </w:tcBorders>
          </w:tcPr>
          <w:p w14:paraId="227E4155"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0.155</w:t>
            </w:r>
          </w:p>
        </w:tc>
        <w:tc>
          <w:tcPr>
            <w:tcW w:w="1047" w:type="pct"/>
            <w:tcBorders>
              <w:top w:val="nil"/>
              <w:left w:val="nil"/>
              <w:bottom w:val="nil"/>
              <w:right w:val="nil"/>
            </w:tcBorders>
          </w:tcPr>
          <w:p w14:paraId="609D1333"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0.152</w:t>
            </w:r>
          </w:p>
        </w:tc>
      </w:tr>
      <w:tr w:rsidR="006757F3" w:rsidRPr="00D32171" w14:paraId="63D0AB47" w14:textId="77777777" w:rsidTr="00B768F6">
        <w:tblPrEx>
          <w:tblBorders>
            <w:bottom w:val="single" w:sz="6" w:space="0" w:color="auto"/>
          </w:tblBorders>
        </w:tblPrEx>
        <w:trPr>
          <w:trHeight w:val="288"/>
          <w:jc w:val="center"/>
        </w:trPr>
        <w:tc>
          <w:tcPr>
            <w:tcW w:w="817" w:type="pct"/>
            <w:tcBorders>
              <w:top w:val="nil"/>
              <w:left w:val="nil"/>
              <w:bottom w:val="single" w:sz="6" w:space="0" w:color="auto"/>
              <w:right w:val="nil"/>
            </w:tcBorders>
          </w:tcPr>
          <w:p w14:paraId="7B597BCB"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No of firms</w:t>
            </w:r>
          </w:p>
        </w:tc>
        <w:tc>
          <w:tcPr>
            <w:tcW w:w="1045" w:type="pct"/>
            <w:tcBorders>
              <w:top w:val="nil"/>
              <w:left w:val="nil"/>
              <w:bottom w:val="single" w:sz="6" w:space="0" w:color="auto"/>
              <w:right w:val="nil"/>
            </w:tcBorders>
          </w:tcPr>
          <w:p w14:paraId="32EF0632"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494</w:t>
            </w:r>
          </w:p>
        </w:tc>
        <w:tc>
          <w:tcPr>
            <w:tcW w:w="1046" w:type="pct"/>
            <w:tcBorders>
              <w:top w:val="nil"/>
              <w:left w:val="nil"/>
              <w:bottom w:val="single" w:sz="6" w:space="0" w:color="auto"/>
              <w:right w:val="nil"/>
            </w:tcBorders>
          </w:tcPr>
          <w:p w14:paraId="16CD71ED"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494</w:t>
            </w:r>
          </w:p>
        </w:tc>
        <w:tc>
          <w:tcPr>
            <w:tcW w:w="1045" w:type="pct"/>
            <w:tcBorders>
              <w:top w:val="nil"/>
              <w:left w:val="nil"/>
              <w:bottom w:val="single" w:sz="6" w:space="0" w:color="auto"/>
              <w:right w:val="nil"/>
            </w:tcBorders>
          </w:tcPr>
          <w:p w14:paraId="629848B1"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460</w:t>
            </w:r>
          </w:p>
        </w:tc>
        <w:tc>
          <w:tcPr>
            <w:tcW w:w="1047" w:type="pct"/>
            <w:tcBorders>
              <w:top w:val="nil"/>
              <w:left w:val="nil"/>
              <w:bottom w:val="single" w:sz="6" w:space="0" w:color="auto"/>
              <w:right w:val="nil"/>
            </w:tcBorders>
          </w:tcPr>
          <w:p w14:paraId="0729A5F7"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AD671D">
              <w:rPr>
                <w:rFonts w:ascii="Times New Roman" w:hAnsi="Times New Roman" w:cs="Times New Roman"/>
                <w:sz w:val="20"/>
                <w:szCs w:val="20"/>
              </w:rPr>
              <w:t>460</w:t>
            </w:r>
          </w:p>
        </w:tc>
      </w:tr>
    </w:tbl>
    <w:p w14:paraId="5747A59F" w14:textId="77777777" w:rsidR="006757F3" w:rsidRDefault="006757F3" w:rsidP="006757F3">
      <w:pPr>
        <w:jc w:val="both"/>
        <w:rPr>
          <w:rFonts w:ascii="Times New Roman" w:hAnsi="Times New Roman" w:cs="Times New Roman"/>
          <w:sz w:val="18"/>
          <w:szCs w:val="18"/>
        </w:rPr>
      </w:pPr>
      <w:r w:rsidRPr="001133F2">
        <w:rPr>
          <w:rFonts w:ascii="Times New Roman" w:hAnsi="Times New Roman" w:cs="Times New Roman"/>
          <w:sz w:val="18"/>
          <w:szCs w:val="18"/>
        </w:rPr>
        <w:t>Notes:  ***, ** and * indicate statistical significance at 1, 5 and 10% levels, respectively. The figures in parentheses are the heteroskedasticity-adjusted robust standard errors</w:t>
      </w:r>
      <w:r>
        <w:rPr>
          <w:rFonts w:ascii="Times New Roman" w:hAnsi="Times New Roman" w:cs="Times New Roman"/>
          <w:sz w:val="18"/>
          <w:szCs w:val="18"/>
        </w:rPr>
        <w:t xml:space="preserve"> with clustered at country level</w:t>
      </w:r>
      <w:r w:rsidRPr="001133F2">
        <w:rPr>
          <w:rFonts w:ascii="Times New Roman" w:hAnsi="Times New Roman" w:cs="Times New Roman"/>
          <w:sz w:val="18"/>
          <w:szCs w:val="18"/>
        </w:rPr>
        <w:t>.</w:t>
      </w:r>
    </w:p>
    <w:p w14:paraId="4D3A86FA" w14:textId="77777777" w:rsidR="006757F3" w:rsidRDefault="006757F3" w:rsidP="006757F3">
      <w:pPr>
        <w:spacing w:after="0" w:line="240" w:lineRule="auto"/>
        <w:jc w:val="both"/>
        <w:rPr>
          <w:rFonts w:ascii="Times New Roman" w:hAnsi="Times New Roman" w:cs="Times New Roman"/>
          <w:i/>
        </w:rPr>
      </w:pPr>
    </w:p>
    <w:p w14:paraId="30683240" w14:textId="312AACF9" w:rsidR="006757F3" w:rsidRDefault="006757F3" w:rsidP="006757F3">
      <w:pPr>
        <w:spacing w:after="0" w:line="240" w:lineRule="auto"/>
        <w:jc w:val="both"/>
        <w:rPr>
          <w:rFonts w:ascii="Times New Roman" w:hAnsi="Times New Roman" w:cs="Times New Roman"/>
          <w:i/>
        </w:rPr>
      </w:pPr>
      <w:r w:rsidRPr="002E52D5">
        <w:rPr>
          <w:rFonts w:ascii="Times New Roman" w:hAnsi="Times New Roman" w:cs="Times New Roman"/>
          <w:i/>
        </w:rPr>
        <w:t>Table 6. Fixed effect regression of executive compensation on process-oriented carbon reduction initiatives (PCRI) and actual GHG emissions</w:t>
      </w:r>
    </w:p>
    <w:tbl>
      <w:tblPr>
        <w:tblW w:w="5000" w:type="pct"/>
        <w:jc w:val="center"/>
        <w:tblCellMar>
          <w:left w:w="75" w:type="dxa"/>
          <w:right w:w="75" w:type="dxa"/>
        </w:tblCellMar>
        <w:tblLook w:val="0000" w:firstRow="0" w:lastRow="0" w:firstColumn="0" w:lastColumn="0" w:noHBand="0" w:noVBand="0"/>
      </w:tblPr>
      <w:tblGrid>
        <w:gridCol w:w="1777"/>
        <w:gridCol w:w="1896"/>
        <w:gridCol w:w="1898"/>
        <w:gridCol w:w="1896"/>
        <w:gridCol w:w="1893"/>
      </w:tblGrid>
      <w:tr w:rsidR="006757F3" w:rsidRPr="00B42424" w14:paraId="214B3405" w14:textId="77777777" w:rsidTr="00B768F6">
        <w:trPr>
          <w:trHeight w:val="288"/>
          <w:jc w:val="center"/>
        </w:trPr>
        <w:tc>
          <w:tcPr>
            <w:tcW w:w="949" w:type="pct"/>
            <w:vMerge w:val="restart"/>
            <w:tcBorders>
              <w:top w:val="single" w:sz="4" w:space="0" w:color="auto"/>
              <w:left w:val="nil"/>
              <w:right w:val="nil"/>
            </w:tcBorders>
            <w:vAlign w:val="bottom"/>
          </w:tcPr>
          <w:p w14:paraId="0326D97F" w14:textId="77777777" w:rsidR="006757F3"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8F6735">
              <w:rPr>
                <w:rFonts w:ascii="Times New Roman" w:hAnsi="Times New Roman" w:cs="Times New Roman"/>
                <w:sz w:val="20"/>
                <w:szCs w:val="20"/>
              </w:rPr>
              <w:t>Variables</w:t>
            </w:r>
          </w:p>
        </w:tc>
        <w:tc>
          <w:tcPr>
            <w:tcW w:w="2027" w:type="pct"/>
            <w:gridSpan w:val="2"/>
            <w:tcBorders>
              <w:top w:val="single" w:sz="4" w:space="0" w:color="auto"/>
              <w:left w:val="nil"/>
              <w:bottom w:val="nil"/>
              <w:right w:val="nil"/>
            </w:tcBorders>
          </w:tcPr>
          <w:p w14:paraId="04729E67"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Symbolic carbon performance (</w:t>
            </w:r>
            <w:r w:rsidRPr="008F6735">
              <w:rPr>
                <w:rFonts w:ascii="Times New Roman" w:hAnsi="Times New Roman" w:cs="Times New Roman"/>
                <w:sz w:val="20"/>
                <w:szCs w:val="20"/>
              </w:rPr>
              <w:t>PCRI</w:t>
            </w:r>
            <w:r>
              <w:rPr>
                <w:rFonts w:ascii="Times New Roman" w:hAnsi="Times New Roman" w:cs="Times New Roman"/>
                <w:sz w:val="20"/>
                <w:szCs w:val="20"/>
              </w:rPr>
              <w:t>)</w:t>
            </w:r>
          </w:p>
        </w:tc>
        <w:tc>
          <w:tcPr>
            <w:tcW w:w="2024" w:type="pct"/>
            <w:gridSpan w:val="2"/>
            <w:tcBorders>
              <w:top w:val="single" w:sz="4" w:space="0" w:color="auto"/>
              <w:left w:val="nil"/>
              <w:bottom w:val="nil"/>
              <w:right w:val="nil"/>
            </w:tcBorders>
          </w:tcPr>
          <w:p w14:paraId="3C3390EA"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Substantive carbon performance (</w:t>
            </w:r>
            <w:r w:rsidRPr="008F6735">
              <w:rPr>
                <w:rFonts w:ascii="Times New Roman" w:hAnsi="Times New Roman" w:cs="Times New Roman"/>
                <w:sz w:val="20"/>
                <w:szCs w:val="20"/>
              </w:rPr>
              <w:t>GHG</w:t>
            </w:r>
            <w:r>
              <w:rPr>
                <w:rFonts w:ascii="Times New Roman" w:hAnsi="Times New Roman" w:cs="Times New Roman"/>
                <w:sz w:val="20"/>
                <w:szCs w:val="20"/>
              </w:rPr>
              <w:t>)</w:t>
            </w:r>
          </w:p>
        </w:tc>
      </w:tr>
      <w:tr w:rsidR="006757F3" w:rsidRPr="00B42424" w14:paraId="7FCFD845" w14:textId="77777777" w:rsidTr="00B768F6">
        <w:trPr>
          <w:trHeight w:val="288"/>
          <w:jc w:val="center"/>
        </w:trPr>
        <w:tc>
          <w:tcPr>
            <w:tcW w:w="949" w:type="pct"/>
            <w:vMerge/>
            <w:tcBorders>
              <w:left w:val="nil"/>
              <w:bottom w:val="single" w:sz="4" w:space="0" w:color="auto"/>
              <w:right w:val="nil"/>
            </w:tcBorders>
          </w:tcPr>
          <w:p w14:paraId="5D177842" w14:textId="77777777" w:rsidR="006757F3"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single" w:sz="4" w:space="0" w:color="auto"/>
              <w:left w:val="nil"/>
              <w:bottom w:val="single" w:sz="4" w:space="0" w:color="auto"/>
              <w:right w:val="nil"/>
            </w:tcBorders>
            <w:vAlign w:val="center"/>
          </w:tcPr>
          <w:p w14:paraId="686D7103"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D5ABB">
              <w:rPr>
                <w:rFonts w:ascii="Times New Roman" w:hAnsi="Times New Roman" w:cs="Times New Roman"/>
                <w:sz w:val="20"/>
                <w:szCs w:val="20"/>
              </w:rPr>
              <w:t>(1)</w:t>
            </w:r>
          </w:p>
        </w:tc>
        <w:tc>
          <w:tcPr>
            <w:tcW w:w="1014" w:type="pct"/>
            <w:tcBorders>
              <w:top w:val="single" w:sz="4" w:space="0" w:color="auto"/>
              <w:left w:val="nil"/>
              <w:bottom w:val="single" w:sz="4" w:space="0" w:color="auto"/>
              <w:right w:val="nil"/>
            </w:tcBorders>
            <w:vAlign w:val="center"/>
          </w:tcPr>
          <w:p w14:paraId="499575A7"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D5ABB">
              <w:rPr>
                <w:rFonts w:ascii="Times New Roman" w:hAnsi="Times New Roman" w:cs="Times New Roman"/>
                <w:sz w:val="20"/>
                <w:szCs w:val="20"/>
              </w:rPr>
              <w:t>(</w:t>
            </w:r>
            <w:r>
              <w:rPr>
                <w:rFonts w:ascii="Times New Roman" w:hAnsi="Times New Roman" w:cs="Times New Roman"/>
                <w:sz w:val="20"/>
                <w:szCs w:val="20"/>
              </w:rPr>
              <w:t>2</w:t>
            </w:r>
            <w:r w:rsidRPr="000D5ABB">
              <w:rPr>
                <w:rFonts w:ascii="Times New Roman" w:hAnsi="Times New Roman" w:cs="Times New Roman"/>
                <w:sz w:val="20"/>
                <w:szCs w:val="20"/>
              </w:rPr>
              <w:t>)</w:t>
            </w:r>
          </w:p>
        </w:tc>
        <w:tc>
          <w:tcPr>
            <w:tcW w:w="1013" w:type="pct"/>
            <w:tcBorders>
              <w:top w:val="single" w:sz="4" w:space="0" w:color="auto"/>
              <w:left w:val="nil"/>
              <w:bottom w:val="single" w:sz="4" w:space="0" w:color="auto"/>
              <w:right w:val="nil"/>
            </w:tcBorders>
            <w:vAlign w:val="center"/>
          </w:tcPr>
          <w:p w14:paraId="05CF6149"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D5ABB">
              <w:rPr>
                <w:rFonts w:ascii="Times New Roman" w:hAnsi="Times New Roman" w:cs="Times New Roman"/>
                <w:sz w:val="20"/>
                <w:szCs w:val="20"/>
              </w:rPr>
              <w:t>(</w:t>
            </w:r>
            <w:r>
              <w:rPr>
                <w:rFonts w:ascii="Times New Roman" w:hAnsi="Times New Roman" w:cs="Times New Roman"/>
                <w:sz w:val="20"/>
                <w:szCs w:val="20"/>
              </w:rPr>
              <w:t>3</w:t>
            </w:r>
            <w:r w:rsidRPr="000D5ABB">
              <w:rPr>
                <w:rFonts w:ascii="Times New Roman" w:hAnsi="Times New Roman" w:cs="Times New Roman"/>
                <w:sz w:val="20"/>
                <w:szCs w:val="20"/>
              </w:rPr>
              <w:t>)</w:t>
            </w:r>
          </w:p>
        </w:tc>
        <w:tc>
          <w:tcPr>
            <w:tcW w:w="1011" w:type="pct"/>
            <w:tcBorders>
              <w:top w:val="single" w:sz="4" w:space="0" w:color="auto"/>
              <w:left w:val="nil"/>
              <w:bottom w:val="single" w:sz="4" w:space="0" w:color="auto"/>
              <w:right w:val="nil"/>
            </w:tcBorders>
            <w:vAlign w:val="center"/>
          </w:tcPr>
          <w:p w14:paraId="7FD3EA48"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D5ABB">
              <w:rPr>
                <w:rFonts w:ascii="Times New Roman" w:hAnsi="Times New Roman" w:cs="Times New Roman"/>
                <w:sz w:val="20"/>
                <w:szCs w:val="20"/>
              </w:rPr>
              <w:t>(</w:t>
            </w:r>
            <w:r>
              <w:rPr>
                <w:rFonts w:ascii="Times New Roman" w:hAnsi="Times New Roman" w:cs="Times New Roman"/>
                <w:sz w:val="20"/>
                <w:szCs w:val="20"/>
              </w:rPr>
              <w:t>4</w:t>
            </w:r>
            <w:r w:rsidRPr="000D5ABB">
              <w:rPr>
                <w:rFonts w:ascii="Times New Roman" w:hAnsi="Times New Roman" w:cs="Times New Roman"/>
                <w:sz w:val="20"/>
                <w:szCs w:val="20"/>
              </w:rPr>
              <w:t>)</w:t>
            </w:r>
          </w:p>
        </w:tc>
      </w:tr>
      <w:tr w:rsidR="006757F3" w:rsidRPr="00B42424" w14:paraId="1569433F" w14:textId="77777777" w:rsidTr="00B768F6">
        <w:trPr>
          <w:trHeight w:val="288"/>
          <w:jc w:val="center"/>
        </w:trPr>
        <w:tc>
          <w:tcPr>
            <w:tcW w:w="1962" w:type="pct"/>
            <w:gridSpan w:val="2"/>
            <w:tcBorders>
              <w:top w:val="single" w:sz="4" w:space="0" w:color="auto"/>
              <w:left w:val="nil"/>
              <w:bottom w:val="nil"/>
              <w:right w:val="nil"/>
            </w:tcBorders>
          </w:tcPr>
          <w:p w14:paraId="63A8C2AE" w14:textId="77777777" w:rsidR="006757F3" w:rsidRPr="006429D0" w:rsidRDefault="006757F3" w:rsidP="00B768F6">
            <w:pPr>
              <w:widowControl w:val="0"/>
              <w:autoSpaceDE w:val="0"/>
              <w:autoSpaceDN w:val="0"/>
              <w:adjustRightInd w:val="0"/>
              <w:spacing w:after="0" w:line="240" w:lineRule="auto"/>
              <w:rPr>
                <w:rFonts w:ascii="Times New Roman" w:hAnsi="Times New Roman" w:cs="Times New Roman"/>
                <w:i/>
                <w:iCs/>
                <w:sz w:val="20"/>
                <w:szCs w:val="20"/>
              </w:rPr>
            </w:pPr>
            <w:r w:rsidRPr="006429D0">
              <w:rPr>
                <w:rFonts w:ascii="Times New Roman" w:hAnsi="Times New Roman" w:cs="Times New Roman"/>
                <w:i/>
                <w:iCs/>
                <w:sz w:val="20"/>
                <w:szCs w:val="20"/>
              </w:rPr>
              <w:t>Substantive construct:</w:t>
            </w:r>
          </w:p>
        </w:tc>
        <w:tc>
          <w:tcPr>
            <w:tcW w:w="1014" w:type="pct"/>
            <w:tcBorders>
              <w:top w:val="single" w:sz="4" w:space="0" w:color="auto"/>
              <w:left w:val="nil"/>
              <w:bottom w:val="nil"/>
              <w:right w:val="nil"/>
            </w:tcBorders>
          </w:tcPr>
          <w:p w14:paraId="5C41718A"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3" w:type="pct"/>
            <w:tcBorders>
              <w:top w:val="single" w:sz="4" w:space="0" w:color="auto"/>
              <w:left w:val="nil"/>
              <w:bottom w:val="nil"/>
              <w:right w:val="nil"/>
            </w:tcBorders>
          </w:tcPr>
          <w:p w14:paraId="55AD9D4A"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1" w:type="pct"/>
            <w:tcBorders>
              <w:top w:val="single" w:sz="4" w:space="0" w:color="auto"/>
              <w:left w:val="nil"/>
              <w:bottom w:val="nil"/>
              <w:right w:val="nil"/>
            </w:tcBorders>
          </w:tcPr>
          <w:p w14:paraId="0077F7C7"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B42424" w14:paraId="487F1B36" w14:textId="77777777" w:rsidTr="00B768F6">
        <w:trPr>
          <w:trHeight w:val="288"/>
          <w:jc w:val="center"/>
        </w:trPr>
        <w:tc>
          <w:tcPr>
            <w:tcW w:w="949" w:type="pct"/>
            <w:tcBorders>
              <w:left w:val="nil"/>
              <w:bottom w:val="nil"/>
              <w:right w:val="nil"/>
            </w:tcBorders>
          </w:tcPr>
          <w:p w14:paraId="024572FA"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EC</w:t>
            </w:r>
          </w:p>
        </w:tc>
        <w:tc>
          <w:tcPr>
            <w:tcW w:w="1013" w:type="pct"/>
            <w:tcBorders>
              <w:left w:val="nil"/>
              <w:bottom w:val="nil"/>
              <w:right w:val="nil"/>
            </w:tcBorders>
          </w:tcPr>
          <w:p w14:paraId="3D588A72"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0.438**</w:t>
            </w:r>
          </w:p>
        </w:tc>
        <w:tc>
          <w:tcPr>
            <w:tcW w:w="1014" w:type="pct"/>
            <w:tcBorders>
              <w:left w:val="nil"/>
              <w:bottom w:val="nil"/>
              <w:right w:val="nil"/>
            </w:tcBorders>
          </w:tcPr>
          <w:p w14:paraId="08C3FA4B"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3" w:type="pct"/>
            <w:tcBorders>
              <w:left w:val="nil"/>
              <w:bottom w:val="nil"/>
              <w:right w:val="nil"/>
            </w:tcBorders>
          </w:tcPr>
          <w:p w14:paraId="6165CAE3"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-0.0110</w:t>
            </w:r>
          </w:p>
        </w:tc>
        <w:tc>
          <w:tcPr>
            <w:tcW w:w="1011" w:type="pct"/>
            <w:tcBorders>
              <w:left w:val="nil"/>
              <w:bottom w:val="nil"/>
              <w:right w:val="nil"/>
            </w:tcBorders>
          </w:tcPr>
          <w:p w14:paraId="192556C9"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B42424" w14:paraId="727B94A0" w14:textId="77777777" w:rsidTr="00B768F6">
        <w:trPr>
          <w:trHeight w:val="288"/>
          <w:jc w:val="center"/>
        </w:trPr>
        <w:tc>
          <w:tcPr>
            <w:tcW w:w="949" w:type="pct"/>
            <w:tcBorders>
              <w:top w:val="nil"/>
              <w:left w:val="nil"/>
              <w:bottom w:val="nil"/>
              <w:right w:val="nil"/>
            </w:tcBorders>
          </w:tcPr>
          <w:p w14:paraId="4F43B750"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73DC69F3"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(0.165)</w:t>
            </w:r>
          </w:p>
        </w:tc>
        <w:tc>
          <w:tcPr>
            <w:tcW w:w="1014" w:type="pct"/>
            <w:tcBorders>
              <w:top w:val="nil"/>
              <w:left w:val="nil"/>
              <w:bottom w:val="nil"/>
              <w:right w:val="nil"/>
            </w:tcBorders>
          </w:tcPr>
          <w:p w14:paraId="69D99313"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3" w:type="pct"/>
            <w:tcBorders>
              <w:top w:val="nil"/>
              <w:left w:val="nil"/>
              <w:bottom w:val="nil"/>
              <w:right w:val="nil"/>
            </w:tcBorders>
          </w:tcPr>
          <w:p w14:paraId="5AEC2D39"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(0.00675)</w:t>
            </w:r>
          </w:p>
        </w:tc>
        <w:tc>
          <w:tcPr>
            <w:tcW w:w="1011" w:type="pct"/>
            <w:tcBorders>
              <w:top w:val="nil"/>
              <w:left w:val="nil"/>
              <w:bottom w:val="nil"/>
              <w:right w:val="nil"/>
            </w:tcBorders>
          </w:tcPr>
          <w:p w14:paraId="318FBE12"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B42424" w14:paraId="34314BBE" w14:textId="77777777" w:rsidTr="00B768F6">
        <w:trPr>
          <w:trHeight w:val="288"/>
          <w:jc w:val="center"/>
        </w:trPr>
        <w:tc>
          <w:tcPr>
            <w:tcW w:w="1962" w:type="pct"/>
            <w:gridSpan w:val="2"/>
            <w:tcBorders>
              <w:top w:val="nil"/>
              <w:left w:val="nil"/>
              <w:bottom w:val="nil"/>
              <w:right w:val="nil"/>
            </w:tcBorders>
          </w:tcPr>
          <w:p w14:paraId="0A01A109"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6429D0">
              <w:rPr>
                <w:rFonts w:ascii="Times New Roman" w:hAnsi="Times New Roman" w:cs="Times New Roman"/>
                <w:i/>
                <w:iCs/>
                <w:sz w:val="20"/>
                <w:szCs w:val="20"/>
              </w:rPr>
              <w:t>Symbolic construct:</w:t>
            </w:r>
          </w:p>
        </w:tc>
        <w:tc>
          <w:tcPr>
            <w:tcW w:w="1014" w:type="pct"/>
            <w:tcBorders>
              <w:top w:val="nil"/>
              <w:left w:val="nil"/>
              <w:bottom w:val="nil"/>
              <w:right w:val="nil"/>
            </w:tcBorders>
          </w:tcPr>
          <w:p w14:paraId="7B8B80C0"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3" w:type="pct"/>
            <w:tcBorders>
              <w:top w:val="nil"/>
              <w:left w:val="nil"/>
              <w:bottom w:val="nil"/>
              <w:right w:val="nil"/>
            </w:tcBorders>
          </w:tcPr>
          <w:p w14:paraId="31D74594"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1" w:type="pct"/>
            <w:tcBorders>
              <w:top w:val="nil"/>
              <w:left w:val="nil"/>
              <w:bottom w:val="nil"/>
              <w:right w:val="nil"/>
            </w:tcBorders>
          </w:tcPr>
          <w:p w14:paraId="2A95141C"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B42424" w14:paraId="51DCE9A0" w14:textId="77777777" w:rsidTr="00B768F6">
        <w:trPr>
          <w:trHeight w:val="288"/>
          <w:jc w:val="center"/>
        </w:trPr>
        <w:tc>
          <w:tcPr>
            <w:tcW w:w="949" w:type="pct"/>
            <w:tcBorders>
              <w:top w:val="nil"/>
              <w:left w:val="nil"/>
              <w:bottom w:val="nil"/>
              <w:right w:val="nil"/>
            </w:tcBorders>
          </w:tcPr>
          <w:p w14:paraId="62337C22"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8F6735">
              <w:rPr>
                <w:rFonts w:ascii="Times New Roman" w:hAnsi="Times New Roman" w:cs="Times New Roman"/>
                <w:sz w:val="20"/>
                <w:szCs w:val="20"/>
              </w:rPr>
              <w:t>ESG</w:t>
            </w:r>
          </w:p>
        </w:tc>
        <w:tc>
          <w:tcPr>
            <w:tcW w:w="1013" w:type="pct"/>
            <w:tcBorders>
              <w:top w:val="nil"/>
              <w:left w:val="nil"/>
              <w:bottom w:val="nil"/>
              <w:right w:val="nil"/>
            </w:tcBorders>
          </w:tcPr>
          <w:p w14:paraId="6C2E0276"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1.265***</w:t>
            </w:r>
          </w:p>
        </w:tc>
        <w:tc>
          <w:tcPr>
            <w:tcW w:w="1014" w:type="pct"/>
            <w:tcBorders>
              <w:top w:val="nil"/>
              <w:left w:val="nil"/>
              <w:bottom w:val="nil"/>
              <w:right w:val="nil"/>
            </w:tcBorders>
          </w:tcPr>
          <w:p w14:paraId="3C21481A"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3" w:type="pct"/>
            <w:tcBorders>
              <w:top w:val="nil"/>
              <w:left w:val="nil"/>
              <w:bottom w:val="nil"/>
              <w:right w:val="nil"/>
            </w:tcBorders>
          </w:tcPr>
          <w:p w14:paraId="63D7E230"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0.00203</w:t>
            </w:r>
          </w:p>
        </w:tc>
        <w:tc>
          <w:tcPr>
            <w:tcW w:w="1011" w:type="pct"/>
            <w:tcBorders>
              <w:top w:val="nil"/>
              <w:left w:val="nil"/>
              <w:bottom w:val="nil"/>
              <w:right w:val="nil"/>
            </w:tcBorders>
          </w:tcPr>
          <w:p w14:paraId="6C0D35FC"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B42424" w14:paraId="73130A10" w14:textId="77777777" w:rsidTr="00B768F6">
        <w:trPr>
          <w:trHeight w:val="288"/>
          <w:jc w:val="center"/>
        </w:trPr>
        <w:tc>
          <w:tcPr>
            <w:tcW w:w="949" w:type="pct"/>
            <w:tcBorders>
              <w:top w:val="nil"/>
              <w:left w:val="nil"/>
              <w:bottom w:val="nil"/>
              <w:right w:val="nil"/>
            </w:tcBorders>
          </w:tcPr>
          <w:p w14:paraId="22FB7A51"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24902B14"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(0.172)</w:t>
            </w:r>
          </w:p>
        </w:tc>
        <w:tc>
          <w:tcPr>
            <w:tcW w:w="1014" w:type="pct"/>
            <w:tcBorders>
              <w:top w:val="nil"/>
              <w:left w:val="nil"/>
              <w:bottom w:val="nil"/>
              <w:right w:val="nil"/>
            </w:tcBorders>
          </w:tcPr>
          <w:p w14:paraId="49D153D7"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3" w:type="pct"/>
            <w:tcBorders>
              <w:top w:val="nil"/>
              <w:left w:val="nil"/>
              <w:bottom w:val="nil"/>
              <w:right w:val="nil"/>
            </w:tcBorders>
          </w:tcPr>
          <w:p w14:paraId="7E8A3412"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(0.0402)</w:t>
            </w:r>
          </w:p>
        </w:tc>
        <w:tc>
          <w:tcPr>
            <w:tcW w:w="1011" w:type="pct"/>
            <w:tcBorders>
              <w:top w:val="nil"/>
              <w:left w:val="nil"/>
              <w:bottom w:val="nil"/>
              <w:right w:val="nil"/>
            </w:tcBorders>
          </w:tcPr>
          <w:p w14:paraId="16FC95FF"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B42424" w14:paraId="5744E229" w14:textId="77777777" w:rsidTr="00B768F6">
        <w:trPr>
          <w:trHeight w:val="288"/>
          <w:jc w:val="center"/>
        </w:trPr>
        <w:tc>
          <w:tcPr>
            <w:tcW w:w="1962" w:type="pct"/>
            <w:gridSpan w:val="2"/>
            <w:tcBorders>
              <w:top w:val="nil"/>
              <w:left w:val="nil"/>
              <w:bottom w:val="nil"/>
              <w:right w:val="nil"/>
            </w:tcBorders>
          </w:tcPr>
          <w:p w14:paraId="3C75EB05" w14:textId="77777777" w:rsidR="006757F3" w:rsidRPr="006429D0" w:rsidRDefault="006757F3" w:rsidP="00B768F6">
            <w:pPr>
              <w:widowControl w:val="0"/>
              <w:autoSpaceDE w:val="0"/>
              <w:autoSpaceDN w:val="0"/>
              <w:adjustRightInd w:val="0"/>
              <w:spacing w:after="0" w:line="240" w:lineRule="auto"/>
              <w:rPr>
                <w:rFonts w:ascii="Times New Roman" w:hAnsi="Times New Roman" w:cs="Times New Roman"/>
                <w:i/>
                <w:iCs/>
                <w:sz w:val="20"/>
                <w:szCs w:val="20"/>
              </w:rPr>
            </w:pPr>
            <w:r w:rsidRPr="006429D0">
              <w:rPr>
                <w:rFonts w:ascii="Times New Roman" w:hAnsi="Times New Roman" w:cs="Times New Roman"/>
                <w:i/>
                <w:iCs/>
                <w:sz w:val="20"/>
                <w:szCs w:val="20"/>
              </w:rPr>
              <w:t>Moderating effects:</w:t>
            </w:r>
          </w:p>
        </w:tc>
        <w:tc>
          <w:tcPr>
            <w:tcW w:w="1014" w:type="pct"/>
            <w:tcBorders>
              <w:top w:val="nil"/>
              <w:left w:val="nil"/>
              <w:bottom w:val="nil"/>
              <w:right w:val="nil"/>
            </w:tcBorders>
          </w:tcPr>
          <w:p w14:paraId="12C5E52D" w14:textId="77777777" w:rsidR="006757F3" w:rsidRPr="005E01C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3" w:type="pct"/>
            <w:tcBorders>
              <w:top w:val="nil"/>
              <w:left w:val="nil"/>
              <w:bottom w:val="nil"/>
              <w:right w:val="nil"/>
            </w:tcBorders>
          </w:tcPr>
          <w:p w14:paraId="4CF5B854"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1" w:type="pct"/>
            <w:tcBorders>
              <w:top w:val="nil"/>
              <w:left w:val="nil"/>
              <w:bottom w:val="nil"/>
              <w:right w:val="nil"/>
            </w:tcBorders>
          </w:tcPr>
          <w:p w14:paraId="09AD4536"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B42424" w14:paraId="0E68D32E" w14:textId="77777777" w:rsidTr="00B768F6">
        <w:trPr>
          <w:trHeight w:val="288"/>
          <w:jc w:val="center"/>
        </w:trPr>
        <w:tc>
          <w:tcPr>
            <w:tcW w:w="949" w:type="pct"/>
            <w:tcBorders>
              <w:top w:val="nil"/>
              <w:left w:val="nil"/>
              <w:bottom w:val="nil"/>
              <w:right w:val="nil"/>
            </w:tcBorders>
          </w:tcPr>
          <w:p w14:paraId="08A52BEB"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EC*ESG</w:t>
            </w:r>
          </w:p>
        </w:tc>
        <w:tc>
          <w:tcPr>
            <w:tcW w:w="1013" w:type="pct"/>
            <w:tcBorders>
              <w:top w:val="nil"/>
              <w:left w:val="nil"/>
              <w:bottom w:val="nil"/>
              <w:right w:val="nil"/>
            </w:tcBorders>
          </w:tcPr>
          <w:p w14:paraId="439294DD"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4" w:type="pct"/>
            <w:tcBorders>
              <w:top w:val="nil"/>
              <w:left w:val="nil"/>
              <w:bottom w:val="nil"/>
              <w:right w:val="nil"/>
            </w:tcBorders>
          </w:tcPr>
          <w:p w14:paraId="6965A87E" w14:textId="77777777" w:rsidR="006757F3" w:rsidRPr="005E01C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5E01C5">
              <w:rPr>
                <w:rFonts w:ascii="Times New Roman" w:hAnsi="Times New Roman" w:cs="Times New Roman"/>
                <w:sz w:val="20"/>
                <w:szCs w:val="20"/>
              </w:rPr>
              <w:t>0.0876***</w:t>
            </w:r>
          </w:p>
        </w:tc>
        <w:tc>
          <w:tcPr>
            <w:tcW w:w="1013" w:type="pct"/>
            <w:tcBorders>
              <w:top w:val="nil"/>
              <w:left w:val="nil"/>
              <w:bottom w:val="nil"/>
              <w:right w:val="nil"/>
            </w:tcBorders>
          </w:tcPr>
          <w:p w14:paraId="7BFDCB2D"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1" w:type="pct"/>
            <w:tcBorders>
              <w:top w:val="nil"/>
              <w:left w:val="nil"/>
              <w:bottom w:val="nil"/>
              <w:right w:val="nil"/>
            </w:tcBorders>
          </w:tcPr>
          <w:p w14:paraId="526882A5"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-0.000305</w:t>
            </w:r>
          </w:p>
        </w:tc>
      </w:tr>
      <w:tr w:rsidR="006757F3" w:rsidRPr="00B42424" w14:paraId="21FFABE6" w14:textId="77777777" w:rsidTr="00B768F6">
        <w:trPr>
          <w:trHeight w:val="288"/>
          <w:jc w:val="center"/>
        </w:trPr>
        <w:tc>
          <w:tcPr>
            <w:tcW w:w="949" w:type="pct"/>
            <w:tcBorders>
              <w:top w:val="nil"/>
              <w:left w:val="nil"/>
              <w:bottom w:val="nil"/>
              <w:right w:val="nil"/>
            </w:tcBorders>
          </w:tcPr>
          <w:p w14:paraId="667A3A04"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7A108F08"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4" w:type="pct"/>
            <w:tcBorders>
              <w:top w:val="nil"/>
              <w:left w:val="nil"/>
              <w:bottom w:val="nil"/>
              <w:right w:val="nil"/>
            </w:tcBorders>
          </w:tcPr>
          <w:p w14:paraId="684C0F1A" w14:textId="77777777" w:rsidR="006757F3" w:rsidRPr="005E01C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5E01C5">
              <w:rPr>
                <w:rFonts w:ascii="Times New Roman" w:hAnsi="Times New Roman" w:cs="Times New Roman"/>
                <w:sz w:val="20"/>
                <w:szCs w:val="20"/>
              </w:rPr>
              <w:t>(0.0136)</w:t>
            </w:r>
          </w:p>
        </w:tc>
        <w:tc>
          <w:tcPr>
            <w:tcW w:w="1013" w:type="pct"/>
            <w:tcBorders>
              <w:top w:val="nil"/>
              <w:left w:val="nil"/>
              <w:bottom w:val="nil"/>
              <w:right w:val="nil"/>
            </w:tcBorders>
          </w:tcPr>
          <w:p w14:paraId="48EC598C"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1" w:type="pct"/>
            <w:tcBorders>
              <w:top w:val="nil"/>
              <w:left w:val="nil"/>
              <w:bottom w:val="nil"/>
              <w:right w:val="nil"/>
            </w:tcBorders>
          </w:tcPr>
          <w:p w14:paraId="2E34286D"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(0.00245)</w:t>
            </w:r>
          </w:p>
        </w:tc>
      </w:tr>
      <w:tr w:rsidR="006757F3" w:rsidRPr="00B42424" w14:paraId="458B5A66" w14:textId="77777777" w:rsidTr="00B768F6">
        <w:trPr>
          <w:trHeight w:val="288"/>
          <w:jc w:val="center"/>
        </w:trPr>
        <w:tc>
          <w:tcPr>
            <w:tcW w:w="949" w:type="pct"/>
            <w:tcBorders>
              <w:top w:val="nil"/>
              <w:left w:val="nil"/>
              <w:bottom w:val="nil"/>
              <w:right w:val="nil"/>
            </w:tcBorders>
          </w:tcPr>
          <w:p w14:paraId="68726946" w14:textId="77777777" w:rsidR="006757F3" w:rsidRPr="006429D0" w:rsidRDefault="006757F3" w:rsidP="00B768F6">
            <w:pPr>
              <w:widowControl w:val="0"/>
              <w:autoSpaceDE w:val="0"/>
              <w:autoSpaceDN w:val="0"/>
              <w:adjustRightInd w:val="0"/>
              <w:spacing w:after="0" w:line="240" w:lineRule="auto"/>
              <w:rPr>
                <w:rFonts w:ascii="Times New Roman" w:hAnsi="Times New Roman" w:cs="Times New Roman"/>
                <w:i/>
                <w:iCs/>
                <w:sz w:val="20"/>
                <w:szCs w:val="20"/>
              </w:rPr>
            </w:pPr>
            <w:r w:rsidRPr="006429D0">
              <w:rPr>
                <w:rFonts w:ascii="Times New Roman" w:hAnsi="Times New Roman" w:cs="Times New Roman"/>
                <w:i/>
                <w:iCs/>
                <w:sz w:val="20"/>
                <w:szCs w:val="20"/>
              </w:rPr>
              <w:t>Control variables:</w:t>
            </w:r>
          </w:p>
        </w:tc>
        <w:tc>
          <w:tcPr>
            <w:tcW w:w="1013" w:type="pct"/>
            <w:tcBorders>
              <w:top w:val="nil"/>
              <w:left w:val="nil"/>
              <w:bottom w:val="nil"/>
              <w:right w:val="nil"/>
            </w:tcBorders>
          </w:tcPr>
          <w:p w14:paraId="083D90A7"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4" w:type="pct"/>
            <w:tcBorders>
              <w:top w:val="nil"/>
              <w:left w:val="nil"/>
              <w:bottom w:val="nil"/>
              <w:right w:val="nil"/>
            </w:tcBorders>
          </w:tcPr>
          <w:p w14:paraId="3CE31190" w14:textId="77777777" w:rsidR="006757F3" w:rsidRPr="005E01C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3" w:type="pct"/>
            <w:tcBorders>
              <w:top w:val="nil"/>
              <w:left w:val="nil"/>
              <w:bottom w:val="nil"/>
              <w:right w:val="nil"/>
            </w:tcBorders>
          </w:tcPr>
          <w:p w14:paraId="6E25924F"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1" w:type="pct"/>
            <w:tcBorders>
              <w:top w:val="nil"/>
              <w:left w:val="nil"/>
              <w:bottom w:val="nil"/>
              <w:right w:val="nil"/>
            </w:tcBorders>
          </w:tcPr>
          <w:p w14:paraId="326AC81A"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B42424" w14:paraId="5D5A33C1" w14:textId="77777777" w:rsidTr="00B768F6">
        <w:trPr>
          <w:trHeight w:val="288"/>
          <w:jc w:val="center"/>
        </w:trPr>
        <w:tc>
          <w:tcPr>
            <w:tcW w:w="949" w:type="pct"/>
            <w:tcBorders>
              <w:top w:val="nil"/>
              <w:left w:val="nil"/>
              <w:bottom w:val="nil"/>
              <w:right w:val="nil"/>
            </w:tcBorders>
          </w:tcPr>
          <w:p w14:paraId="0E17C370"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roofErr w:type="spellStart"/>
            <w:r w:rsidRPr="000D5ABB">
              <w:rPr>
                <w:rFonts w:ascii="Times New Roman" w:hAnsi="Times New Roman" w:cs="Times New Roman"/>
                <w:sz w:val="20"/>
                <w:szCs w:val="20"/>
              </w:rPr>
              <w:t>B</w:t>
            </w:r>
            <w:r>
              <w:rPr>
                <w:rFonts w:ascii="Times New Roman" w:hAnsi="Times New Roman" w:cs="Times New Roman"/>
                <w:sz w:val="20"/>
                <w:szCs w:val="20"/>
              </w:rPr>
              <w:t>.</w:t>
            </w:r>
            <w:r w:rsidRPr="000D5ABB">
              <w:rPr>
                <w:rFonts w:ascii="Times New Roman" w:hAnsi="Times New Roman" w:cs="Times New Roman"/>
                <w:sz w:val="20"/>
                <w:szCs w:val="20"/>
              </w:rPr>
              <w:t>size</w:t>
            </w:r>
            <w:proofErr w:type="spellEnd"/>
          </w:p>
        </w:tc>
        <w:tc>
          <w:tcPr>
            <w:tcW w:w="1013" w:type="pct"/>
            <w:tcBorders>
              <w:top w:val="nil"/>
              <w:left w:val="nil"/>
              <w:bottom w:val="nil"/>
              <w:right w:val="nil"/>
            </w:tcBorders>
          </w:tcPr>
          <w:p w14:paraId="40B164FF"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-0.0637</w:t>
            </w:r>
          </w:p>
        </w:tc>
        <w:tc>
          <w:tcPr>
            <w:tcW w:w="1014" w:type="pct"/>
            <w:tcBorders>
              <w:top w:val="nil"/>
              <w:left w:val="nil"/>
              <w:bottom w:val="nil"/>
              <w:right w:val="nil"/>
            </w:tcBorders>
          </w:tcPr>
          <w:p w14:paraId="707C6526" w14:textId="77777777" w:rsidR="006757F3" w:rsidRPr="005E01C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5E01C5">
              <w:rPr>
                <w:rFonts w:ascii="Times New Roman" w:hAnsi="Times New Roman" w:cs="Times New Roman"/>
                <w:sz w:val="20"/>
                <w:szCs w:val="20"/>
              </w:rPr>
              <w:t>0.106</w:t>
            </w:r>
          </w:p>
        </w:tc>
        <w:tc>
          <w:tcPr>
            <w:tcW w:w="1013" w:type="pct"/>
            <w:tcBorders>
              <w:top w:val="nil"/>
              <w:left w:val="nil"/>
              <w:bottom w:val="nil"/>
              <w:right w:val="nil"/>
            </w:tcBorders>
          </w:tcPr>
          <w:p w14:paraId="6F414CD3"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0.00679</w:t>
            </w:r>
          </w:p>
        </w:tc>
        <w:tc>
          <w:tcPr>
            <w:tcW w:w="1011" w:type="pct"/>
            <w:tcBorders>
              <w:top w:val="nil"/>
              <w:left w:val="nil"/>
              <w:bottom w:val="nil"/>
              <w:right w:val="nil"/>
            </w:tcBorders>
          </w:tcPr>
          <w:p w14:paraId="372D3BC1"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0.00371</w:t>
            </w:r>
          </w:p>
        </w:tc>
      </w:tr>
      <w:tr w:rsidR="006757F3" w:rsidRPr="00B42424" w14:paraId="5620889B" w14:textId="77777777" w:rsidTr="00B768F6">
        <w:trPr>
          <w:trHeight w:val="288"/>
          <w:jc w:val="center"/>
        </w:trPr>
        <w:tc>
          <w:tcPr>
            <w:tcW w:w="949" w:type="pct"/>
            <w:tcBorders>
              <w:top w:val="nil"/>
              <w:left w:val="nil"/>
              <w:bottom w:val="nil"/>
              <w:right w:val="nil"/>
            </w:tcBorders>
          </w:tcPr>
          <w:p w14:paraId="68804861"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1C65A634"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(0.474)</w:t>
            </w:r>
          </w:p>
        </w:tc>
        <w:tc>
          <w:tcPr>
            <w:tcW w:w="1014" w:type="pct"/>
            <w:tcBorders>
              <w:top w:val="nil"/>
              <w:left w:val="nil"/>
              <w:bottom w:val="nil"/>
              <w:right w:val="nil"/>
            </w:tcBorders>
          </w:tcPr>
          <w:p w14:paraId="02A5E120" w14:textId="77777777" w:rsidR="006757F3" w:rsidRPr="005E01C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5E01C5">
              <w:rPr>
                <w:rFonts w:ascii="Times New Roman" w:hAnsi="Times New Roman" w:cs="Times New Roman"/>
                <w:sz w:val="20"/>
                <w:szCs w:val="20"/>
              </w:rPr>
              <w:t>(0.394)</w:t>
            </w:r>
          </w:p>
        </w:tc>
        <w:tc>
          <w:tcPr>
            <w:tcW w:w="1013" w:type="pct"/>
            <w:tcBorders>
              <w:top w:val="nil"/>
              <w:left w:val="nil"/>
              <w:bottom w:val="nil"/>
              <w:right w:val="nil"/>
            </w:tcBorders>
          </w:tcPr>
          <w:p w14:paraId="30BA4000"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(0.0512)</w:t>
            </w:r>
          </w:p>
        </w:tc>
        <w:tc>
          <w:tcPr>
            <w:tcW w:w="1011" w:type="pct"/>
            <w:tcBorders>
              <w:top w:val="nil"/>
              <w:left w:val="nil"/>
              <w:bottom w:val="nil"/>
              <w:right w:val="nil"/>
            </w:tcBorders>
          </w:tcPr>
          <w:p w14:paraId="7435FC64"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(0.0507)</w:t>
            </w:r>
          </w:p>
        </w:tc>
      </w:tr>
      <w:tr w:rsidR="006757F3" w:rsidRPr="00B42424" w14:paraId="3BF20793" w14:textId="77777777" w:rsidTr="00B768F6">
        <w:trPr>
          <w:trHeight w:val="288"/>
          <w:jc w:val="center"/>
        </w:trPr>
        <w:tc>
          <w:tcPr>
            <w:tcW w:w="949" w:type="pct"/>
            <w:tcBorders>
              <w:top w:val="nil"/>
              <w:left w:val="nil"/>
              <w:bottom w:val="nil"/>
              <w:right w:val="nil"/>
            </w:tcBorders>
          </w:tcPr>
          <w:p w14:paraId="39257AF3"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Separation</w:t>
            </w:r>
          </w:p>
        </w:tc>
        <w:tc>
          <w:tcPr>
            <w:tcW w:w="1013" w:type="pct"/>
            <w:tcBorders>
              <w:top w:val="nil"/>
              <w:left w:val="nil"/>
              <w:bottom w:val="nil"/>
              <w:right w:val="nil"/>
            </w:tcBorders>
          </w:tcPr>
          <w:p w14:paraId="6DEA918B"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-0.193</w:t>
            </w:r>
          </w:p>
        </w:tc>
        <w:tc>
          <w:tcPr>
            <w:tcW w:w="1014" w:type="pct"/>
            <w:tcBorders>
              <w:top w:val="nil"/>
              <w:left w:val="nil"/>
              <w:bottom w:val="nil"/>
              <w:right w:val="nil"/>
            </w:tcBorders>
          </w:tcPr>
          <w:p w14:paraId="5ADE7675" w14:textId="77777777" w:rsidR="006757F3" w:rsidRPr="005E01C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5E01C5">
              <w:rPr>
                <w:rFonts w:ascii="Times New Roman" w:hAnsi="Times New Roman" w:cs="Times New Roman"/>
                <w:sz w:val="20"/>
                <w:szCs w:val="20"/>
              </w:rPr>
              <w:t>-0.163</w:t>
            </w:r>
          </w:p>
        </w:tc>
        <w:tc>
          <w:tcPr>
            <w:tcW w:w="1013" w:type="pct"/>
            <w:tcBorders>
              <w:top w:val="nil"/>
              <w:left w:val="nil"/>
              <w:bottom w:val="nil"/>
              <w:right w:val="nil"/>
            </w:tcBorders>
          </w:tcPr>
          <w:p w14:paraId="2373552D"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0.0863*</w:t>
            </w:r>
          </w:p>
        </w:tc>
        <w:tc>
          <w:tcPr>
            <w:tcW w:w="1011" w:type="pct"/>
            <w:tcBorders>
              <w:top w:val="nil"/>
              <w:left w:val="nil"/>
              <w:bottom w:val="nil"/>
              <w:right w:val="nil"/>
            </w:tcBorders>
          </w:tcPr>
          <w:p w14:paraId="1A975DB1"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0.0860*</w:t>
            </w:r>
          </w:p>
        </w:tc>
      </w:tr>
      <w:tr w:rsidR="006757F3" w:rsidRPr="00B42424" w14:paraId="734A07B6" w14:textId="77777777" w:rsidTr="00B768F6">
        <w:trPr>
          <w:trHeight w:val="288"/>
          <w:jc w:val="center"/>
        </w:trPr>
        <w:tc>
          <w:tcPr>
            <w:tcW w:w="949" w:type="pct"/>
            <w:tcBorders>
              <w:top w:val="nil"/>
              <w:left w:val="nil"/>
              <w:bottom w:val="nil"/>
              <w:right w:val="nil"/>
            </w:tcBorders>
          </w:tcPr>
          <w:p w14:paraId="4F1955B0"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19F91F20"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(0.305)</w:t>
            </w:r>
          </w:p>
        </w:tc>
        <w:tc>
          <w:tcPr>
            <w:tcW w:w="1014" w:type="pct"/>
            <w:tcBorders>
              <w:top w:val="nil"/>
              <w:left w:val="nil"/>
              <w:bottom w:val="nil"/>
              <w:right w:val="nil"/>
            </w:tcBorders>
          </w:tcPr>
          <w:p w14:paraId="052BCE78" w14:textId="77777777" w:rsidR="006757F3" w:rsidRPr="005E01C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5E01C5">
              <w:rPr>
                <w:rFonts w:ascii="Times New Roman" w:hAnsi="Times New Roman" w:cs="Times New Roman"/>
                <w:sz w:val="20"/>
                <w:szCs w:val="20"/>
              </w:rPr>
              <w:t>(0.306)</w:t>
            </w:r>
          </w:p>
        </w:tc>
        <w:tc>
          <w:tcPr>
            <w:tcW w:w="1013" w:type="pct"/>
            <w:tcBorders>
              <w:top w:val="nil"/>
              <w:left w:val="nil"/>
              <w:bottom w:val="nil"/>
              <w:right w:val="nil"/>
            </w:tcBorders>
          </w:tcPr>
          <w:p w14:paraId="7C9C7BC6"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(0.0435)</w:t>
            </w:r>
          </w:p>
        </w:tc>
        <w:tc>
          <w:tcPr>
            <w:tcW w:w="1011" w:type="pct"/>
            <w:tcBorders>
              <w:top w:val="nil"/>
              <w:left w:val="nil"/>
              <w:bottom w:val="nil"/>
              <w:right w:val="nil"/>
            </w:tcBorders>
          </w:tcPr>
          <w:p w14:paraId="1A456540"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(0.0442)</w:t>
            </w:r>
          </w:p>
        </w:tc>
      </w:tr>
      <w:tr w:rsidR="006757F3" w:rsidRPr="00B42424" w14:paraId="07BBD511" w14:textId="77777777" w:rsidTr="00B768F6">
        <w:trPr>
          <w:trHeight w:val="288"/>
          <w:jc w:val="center"/>
        </w:trPr>
        <w:tc>
          <w:tcPr>
            <w:tcW w:w="949" w:type="pct"/>
            <w:tcBorders>
              <w:top w:val="nil"/>
              <w:left w:val="nil"/>
              <w:bottom w:val="nil"/>
              <w:right w:val="nil"/>
            </w:tcBorders>
          </w:tcPr>
          <w:p w14:paraId="7A16CB8C"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Independence</w:t>
            </w:r>
          </w:p>
        </w:tc>
        <w:tc>
          <w:tcPr>
            <w:tcW w:w="1013" w:type="pct"/>
            <w:tcBorders>
              <w:top w:val="nil"/>
              <w:left w:val="nil"/>
              <w:bottom w:val="nil"/>
              <w:right w:val="nil"/>
            </w:tcBorders>
          </w:tcPr>
          <w:p w14:paraId="578BB291"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-0.00314</w:t>
            </w:r>
          </w:p>
        </w:tc>
        <w:tc>
          <w:tcPr>
            <w:tcW w:w="1014" w:type="pct"/>
            <w:tcBorders>
              <w:top w:val="nil"/>
              <w:left w:val="nil"/>
              <w:bottom w:val="nil"/>
              <w:right w:val="nil"/>
            </w:tcBorders>
          </w:tcPr>
          <w:p w14:paraId="254E567E" w14:textId="77777777" w:rsidR="006757F3" w:rsidRPr="005E01C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5E01C5">
              <w:rPr>
                <w:rFonts w:ascii="Times New Roman" w:hAnsi="Times New Roman" w:cs="Times New Roman"/>
                <w:sz w:val="20"/>
                <w:szCs w:val="20"/>
              </w:rPr>
              <w:t>-0.00205</w:t>
            </w:r>
          </w:p>
        </w:tc>
        <w:tc>
          <w:tcPr>
            <w:tcW w:w="1013" w:type="pct"/>
            <w:tcBorders>
              <w:top w:val="nil"/>
              <w:left w:val="nil"/>
              <w:bottom w:val="nil"/>
              <w:right w:val="nil"/>
            </w:tcBorders>
          </w:tcPr>
          <w:p w14:paraId="4958F63E"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0.000913</w:t>
            </w:r>
          </w:p>
        </w:tc>
        <w:tc>
          <w:tcPr>
            <w:tcW w:w="1011" w:type="pct"/>
            <w:tcBorders>
              <w:top w:val="nil"/>
              <w:left w:val="nil"/>
              <w:bottom w:val="nil"/>
              <w:right w:val="nil"/>
            </w:tcBorders>
          </w:tcPr>
          <w:p w14:paraId="74EB7386"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0.000900</w:t>
            </w:r>
          </w:p>
        </w:tc>
      </w:tr>
      <w:tr w:rsidR="006757F3" w:rsidRPr="00B42424" w14:paraId="23DCD343" w14:textId="77777777" w:rsidTr="00B768F6">
        <w:trPr>
          <w:trHeight w:val="288"/>
          <w:jc w:val="center"/>
        </w:trPr>
        <w:tc>
          <w:tcPr>
            <w:tcW w:w="949" w:type="pct"/>
            <w:tcBorders>
              <w:top w:val="nil"/>
              <w:left w:val="nil"/>
              <w:bottom w:val="nil"/>
              <w:right w:val="nil"/>
            </w:tcBorders>
          </w:tcPr>
          <w:p w14:paraId="4BE9AA8B"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5E406744"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(0.00773)</w:t>
            </w:r>
          </w:p>
        </w:tc>
        <w:tc>
          <w:tcPr>
            <w:tcW w:w="1014" w:type="pct"/>
            <w:tcBorders>
              <w:top w:val="nil"/>
              <w:left w:val="nil"/>
              <w:bottom w:val="nil"/>
              <w:right w:val="nil"/>
            </w:tcBorders>
          </w:tcPr>
          <w:p w14:paraId="67C6948F" w14:textId="77777777" w:rsidR="006757F3" w:rsidRPr="005E01C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5E01C5">
              <w:rPr>
                <w:rFonts w:ascii="Times New Roman" w:hAnsi="Times New Roman" w:cs="Times New Roman"/>
                <w:sz w:val="20"/>
                <w:szCs w:val="20"/>
              </w:rPr>
              <w:t>(0.00785)</w:t>
            </w:r>
          </w:p>
        </w:tc>
        <w:tc>
          <w:tcPr>
            <w:tcW w:w="1013" w:type="pct"/>
            <w:tcBorders>
              <w:top w:val="nil"/>
              <w:left w:val="nil"/>
              <w:bottom w:val="nil"/>
              <w:right w:val="nil"/>
            </w:tcBorders>
          </w:tcPr>
          <w:p w14:paraId="483E31A0"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(0.000543)</w:t>
            </w:r>
          </w:p>
        </w:tc>
        <w:tc>
          <w:tcPr>
            <w:tcW w:w="1011" w:type="pct"/>
            <w:tcBorders>
              <w:top w:val="nil"/>
              <w:left w:val="nil"/>
              <w:bottom w:val="nil"/>
              <w:right w:val="nil"/>
            </w:tcBorders>
          </w:tcPr>
          <w:p w14:paraId="1502B4BF"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(0.000535)</w:t>
            </w:r>
          </w:p>
        </w:tc>
      </w:tr>
      <w:tr w:rsidR="006757F3" w:rsidRPr="00B42424" w14:paraId="43C73821" w14:textId="77777777" w:rsidTr="00B768F6">
        <w:trPr>
          <w:trHeight w:val="288"/>
          <w:jc w:val="center"/>
        </w:trPr>
        <w:tc>
          <w:tcPr>
            <w:tcW w:w="949" w:type="pct"/>
            <w:tcBorders>
              <w:top w:val="nil"/>
              <w:left w:val="nil"/>
              <w:bottom w:val="nil"/>
              <w:right w:val="nil"/>
            </w:tcBorders>
          </w:tcPr>
          <w:p w14:paraId="69A17CF1"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8F6735">
              <w:rPr>
                <w:rFonts w:ascii="Times New Roman" w:hAnsi="Times New Roman" w:cs="Times New Roman"/>
                <w:sz w:val="20"/>
                <w:szCs w:val="20"/>
              </w:rPr>
              <w:t>CSR</w:t>
            </w:r>
            <w:r>
              <w:rPr>
                <w:rFonts w:ascii="Times New Roman" w:hAnsi="Times New Roman" w:cs="Times New Roman"/>
                <w:sz w:val="20"/>
                <w:szCs w:val="20"/>
              </w:rPr>
              <w:t xml:space="preserve"> committee</w:t>
            </w:r>
          </w:p>
        </w:tc>
        <w:tc>
          <w:tcPr>
            <w:tcW w:w="1013" w:type="pct"/>
            <w:tcBorders>
              <w:top w:val="nil"/>
              <w:left w:val="nil"/>
              <w:bottom w:val="nil"/>
              <w:right w:val="nil"/>
            </w:tcBorders>
          </w:tcPr>
          <w:p w14:paraId="73430DF4"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3.492***</w:t>
            </w:r>
          </w:p>
        </w:tc>
        <w:tc>
          <w:tcPr>
            <w:tcW w:w="1014" w:type="pct"/>
            <w:tcBorders>
              <w:top w:val="nil"/>
              <w:left w:val="nil"/>
              <w:bottom w:val="nil"/>
              <w:right w:val="nil"/>
            </w:tcBorders>
          </w:tcPr>
          <w:p w14:paraId="6E7B32C3" w14:textId="77777777" w:rsidR="006757F3" w:rsidRPr="005E01C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5E01C5">
              <w:rPr>
                <w:rFonts w:ascii="Times New Roman" w:hAnsi="Times New Roman" w:cs="Times New Roman"/>
                <w:sz w:val="20"/>
                <w:szCs w:val="20"/>
              </w:rPr>
              <w:t>3.625***</w:t>
            </w:r>
          </w:p>
        </w:tc>
        <w:tc>
          <w:tcPr>
            <w:tcW w:w="1013" w:type="pct"/>
            <w:tcBorders>
              <w:top w:val="nil"/>
              <w:left w:val="nil"/>
              <w:bottom w:val="nil"/>
              <w:right w:val="nil"/>
            </w:tcBorders>
          </w:tcPr>
          <w:p w14:paraId="07575D0D"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-0.0678*</w:t>
            </w:r>
          </w:p>
        </w:tc>
        <w:tc>
          <w:tcPr>
            <w:tcW w:w="1011" w:type="pct"/>
            <w:tcBorders>
              <w:top w:val="nil"/>
              <w:left w:val="nil"/>
              <w:bottom w:val="nil"/>
              <w:right w:val="nil"/>
            </w:tcBorders>
          </w:tcPr>
          <w:p w14:paraId="3D997917"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-0.0710*</w:t>
            </w:r>
          </w:p>
        </w:tc>
      </w:tr>
      <w:tr w:rsidR="006757F3" w:rsidRPr="00B42424" w14:paraId="396C3384" w14:textId="77777777" w:rsidTr="00B768F6">
        <w:trPr>
          <w:trHeight w:val="288"/>
          <w:jc w:val="center"/>
        </w:trPr>
        <w:tc>
          <w:tcPr>
            <w:tcW w:w="949" w:type="pct"/>
            <w:tcBorders>
              <w:top w:val="nil"/>
              <w:left w:val="nil"/>
              <w:bottom w:val="nil"/>
              <w:right w:val="nil"/>
            </w:tcBorders>
          </w:tcPr>
          <w:p w14:paraId="4CC11C7C"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276E9A5D"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(0.501)</w:t>
            </w:r>
          </w:p>
        </w:tc>
        <w:tc>
          <w:tcPr>
            <w:tcW w:w="1014" w:type="pct"/>
            <w:tcBorders>
              <w:top w:val="nil"/>
              <w:left w:val="nil"/>
              <w:bottom w:val="nil"/>
              <w:right w:val="nil"/>
            </w:tcBorders>
          </w:tcPr>
          <w:p w14:paraId="5924A90A" w14:textId="77777777" w:rsidR="006757F3" w:rsidRPr="005E01C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5E01C5">
              <w:rPr>
                <w:rFonts w:ascii="Times New Roman" w:hAnsi="Times New Roman" w:cs="Times New Roman"/>
                <w:sz w:val="20"/>
                <w:szCs w:val="20"/>
              </w:rPr>
              <w:t>(0.433)</w:t>
            </w:r>
          </w:p>
        </w:tc>
        <w:tc>
          <w:tcPr>
            <w:tcW w:w="1013" w:type="pct"/>
            <w:tcBorders>
              <w:top w:val="nil"/>
              <w:left w:val="nil"/>
              <w:bottom w:val="nil"/>
              <w:right w:val="nil"/>
            </w:tcBorders>
          </w:tcPr>
          <w:p w14:paraId="6E75DADE"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(0.0347)</w:t>
            </w:r>
          </w:p>
        </w:tc>
        <w:tc>
          <w:tcPr>
            <w:tcW w:w="1011" w:type="pct"/>
            <w:tcBorders>
              <w:top w:val="nil"/>
              <w:left w:val="nil"/>
              <w:bottom w:val="nil"/>
              <w:right w:val="nil"/>
            </w:tcBorders>
          </w:tcPr>
          <w:p w14:paraId="3A5A689D"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(0.0357)</w:t>
            </w:r>
          </w:p>
        </w:tc>
      </w:tr>
      <w:tr w:rsidR="006757F3" w:rsidRPr="00B42424" w14:paraId="2A7E7BED" w14:textId="77777777" w:rsidTr="00B768F6">
        <w:trPr>
          <w:trHeight w:val="288"/>
          <w:jc w:val="center"/>
        </w:trPr>
        <w:tc>
          <w:tcPr>
            <w:tcW w:w="949" w:type="pct"/>
            <w:tcBorders>
              <w:top w:val="nil"/>
              <w:left w:val="nil"/>
              <w:bottom w:val="nil"/>
              <w:right w:val="nil"/>
            </w:tcBorders>
          </w:tcPr>
          <w:p w14:paraId="070118B0" w14:textId="77777777" w:rsidR="006757F3" w:rsidRDefault="006757F3" w:rsidP="00B768F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Firm size</w:t>
            </w:r>
          </w:p>
        </w:tc>
        <w:tc>
          <w:tcPr>
            <w:tcW w:w="1013" w:type="pct"/>
            <w:tcBorders>
              <w:top w:val="nil"/>
              <w:left w:val="nil"/>
              <w:bottom w:val="nil"/>
              <w:right w:val="nil"/>
            </w:tcBorders>
          </w:tcPr>
          <w:p w14:paraId="501CC139" w14:textId="77777777" w:rsidR="006757F3" w:rsidRPr="00792E4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792E45">
              <w:rPr>
                <w:rFonts w:ascii="Times New Roman" w:hAnsi="Times New Roman" w:cs="Times New Roman"/>
                <w:sz w:val="20"/>
                <w:szCs w:val="20"/>
              </w:rPr>
              <w:t>1.864***</w:t>
            </w:r>
          </w:p>
        </w:tc>
        <w:tc>
          <w:tcPr>
            <w:tcW w:w="1014" w:type="pct"/>
            <w:tcBorders>
              <w:top w:val="nil"/>
              <w:left w:val="nil"/>
              <w:bottom w:val="nil"/>
              <w:right w:val="nil"/>
            </w:tcBorders>
          </w:tcPr>
          <w:p w14:paraId="7A2D84C4" w14:textId="77777777" w:rsidR="006757F3" w:rsidRPr="00792E4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792E45">
              <w:rPr>
                <w:rFonts w:ascii="Times New Roman" w:hAnsi="Times New Roman" w:cs="Times New Roman"/>
                <w:sz w:val="20"/>
                <w:szCs w:val="20"/>
              </w:rPr>
              <w:t>2.064***</w:t>
            </w:r>
          </w:p>
        </w:tc>
        <w:tc>
          <w:tcPr>
            <w:tcW w:w="1013" w:type="pct"/>
            <w:tcBorders>
              <w:top w:val="nil"/>
              <w:left w:val="nil"/>
              <w:bottom w:val="nil"/>
              <w:right w:val="nil"/>
            </w:tcBorders>
          </w:tcPr>
          <w:p w14:paraId="3F4B43F8" w14:textId="77777777" w:rsidR="006757F3" w:rsidRPr="00792E4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792E45">
              <w:rPr>
                <w:rFonts w:ascii="Times New Roman" w:hAnsi="Times New Roman" w:cs="Times New Roman"/>
                <w:sz w:val="20"/>
                <w:szCs w:val="20"/>
              </w:rPr>
              <w:t>0.669***</w:t>
            </w:r>
          </w:p>
        </w:tc>
        <w:tc>
          <w:tcPr>
            <w:tcW w:w="1011" w:type="pct"/>
            <w:tcBorders>
              <w:top w:val="nil"/>
              <w:left w:val="nil"/>
              <w:bottom w:val="nil"/>
              <w:right w:val="nil"/>
            </w:tcBorders>
          </w:tcPr>
          <w:p w14:paraId="457B692B" w14:textId="77777777" w:rsidR="006757F3" w:rsidRPr="00792E4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792E45">
              <w:rPr>
                <w:rFonts w:ascii="Times New Roman" w:hAnsi="Times New Roman" w:cs="Times New Roman"/>
                <w:sz w:val="20"/>
                <w:szCs w:val="20"/>
              </w:rPr>
              <w:t>0.664***</w:t>
            </w:r>
          </w:p>
        </w:tc>
      </w:tr>
      <w:tr w:rsidR="006757F3" w:rsidRPr="00B42424" w14:paraId="1240BB68" w14:textId="77777777" w:rsidTr="00B768F6">
        <w:trPr>
          <w:trHeight w:val="288"/>
          <w:jc w:val="center"/>
        </w:trPr>
        <w:tc>
          <w:tcPr>
            <w:tcW w:w="949" w:type="pct"/>
            <w:tcBorders>
              <w:top w:val="nil"/>
              <w:left w:val="nil"/>
              <w:bottom w:val="nil"/>
              <w:right w:val="nil"/>
            </w:tcBorders>
          </w:tcPr>
          <w:p w14:paraId="5164FCC0" w14:textId="77777777" w:rsidR="006757F3"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2A4140CC" w14:textId="77777777" w:rsidR="006757F3" w:rsidRPr="00792E4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792E45">
              <w:rPr>
                <w:rFonts w:ascii="Times New Roman" w:hAnsi="Times New Roman" w:cs="Times New Roman"/>
                <w:sz w:val="20"/>
                <w:szCs w:val="20"/>
              </w:rPr>
              <w:t>(0.469)</w:t>
            </w:r>
          </w:p>
        </w:tc>
        <w:tc>
          <w:tcPr>
            <w:tcW w:w="1014" w:type="pct"/>
            <w:tcBorders>
              <w:top w:val="nil"/>
              <w:left w:val="nil"/>
              <w:bottom w:val="nil"/>
              <w:right w:val="nil"/>
            </w:tcBorders>
          </w:tcPr>
          <w:p w14:paraId="245F8CEE" w14:textId="77777777" w:rsidR="006757F3" w:rsidRPr="00792E4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792E45">
              <w:rPr>
                <w:rFonts w:ascii="Times New Roman" w:hAnsi="Times New Roman" w:cs="Times New Roman"/>
                <w:sz w:val="20"/>
                <w:szCs w:val="20"/>
              </w:rPr>
              <w:t>(0.396)</w:t>
            </w:r>
          </w:p>
        </w:tc>
        <w:tc>
          <w:tcPr>
            <w:tcW w:w="1013" w:type="pct"/>
            <w:tcBorders>
              <w:top w:val="nil"/>
              <w:left w:val="nil"/>
              <w:bottom w:val="nil"/>
              <w:right w:val="nil"/>
            </w:tcBorders>
          </w:tcPr>
          <w:p w14:paraId="00AE507F" w14:textId="77777777" w:rsidR="006757F3" w:rsidRPr="00792E4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792E45">
              <w:rPr>
                <w:rFonts w:ascii="Times New Roman" w:hAnsi="Times New Roman" w:cs="Times New Roman"/>
                <w:sz w:val="20"/>
                <w:szCs w:val="20"/>
              </w:rPr>
              <w:t>(0.0595)</w:t>
            </w:r>
          </w:p>
        </w:tc>
        <w:tc>
          <w:tcPr>
            <w:tcW w:w="1011" w:type="pct"/>
            <w:tcBorders>
              <w:top w:val="nil"/>
              <w:left w:val="nil"/>
              <w:bottom w:val="nil"/>
              <w:right w:val="nil"/>
            </w:tcBorders>
          </w:tcPr>
          <w:p w14:paraId="3A52B6EF" w14:textId="77777777" w:rsidR="006757F3" w:rsidRPr="00792E4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792E45">
              <w:rPr>
                <w:rFonts w:ascii="Times New Roman" w:hAnsi="Times New Roman" w:cs="Times New Roman"/>
                <w:sz w:val="20"/>
                <w:szCs w:val="20"/>
              </w:rPr>
              <w:t>(0.0604)</w:t>
            </w:r>
          </w:p>
        </w:tc>
      </w:tr>
      <w:tr w:rsidR="006757F3" w:rsidRPr="00B42424" w14:paraId="7B47E231" w14:textId="77777777" w:rsidTr="00B768F6">
        <w:trPr>
          <w:trHeight w:val="288"/>
          <w:jc w:val="center"/>
        </w:trPr>
        <w:tc>
          <w:tcPr>
            <w:tcW w:w="949" w:type="pct"/>
            <w:tcBorders>
              <w:top w:val="nil"/>
              <w:left w:val="nil"/>
              <w:bottom w:val="nil"/>
              <w:right w:val="nil"/>
            </w:tcBorders>
          </w:tcPr>
          <w:p w14:paraId="586235C8"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Profitability</w:t>
            </w:r>
          </w:p>
        </w:tc>
        <w:tc>
          <w:tcPr>
            <w:tcW w:w="1013" w:type="pct"/>
            <w:tcBorders>
              <w:top w:val="nil"/>
              <w:left w:val="nil"/>
              <w:bottom w:val="nil"/>
              <w:right w:val="nil"/>
            </w:tcBorders>
          </w:tcPr>
          <w:p w14:paraId="4AB631EA" w14:textId="77777777" w:rsidR="006757F3" w:rsidRPr="00792E4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792E45">
              <w:rPr>
                <w:rFonts w:ascii="Times New Roman" w:hAnsi="Times New Roman" w:cs="Times New Roman"/>
                <w:sz w:val="20"/>
                <w:szCs w:val="20"/>
              </w:rPr>
              <w:t>-0.0170**</w:t>
            </w:r>
          </w:p>
        </w:tc>
        <w:tc>
          <w:tcPr>
            <w:tcW w:w="1014" w:type="pct"/>
            <w:tcBorders>
              <w:top w:val="nil"/>
              <w:left w:val="nil"/>
              <w:bottom w:val="nil"/>
              <w:right w:val="nil"/>
            </w:tcBorders>
          </w:tcPr>
          <w:p w14:paraId="4AA5CC4D" w14:textId="77777777" w:rsidR="006757F3" w:rsidRPr="00792E4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792E45">
              <w:rPr>
                <w:rFonts w:ascii="Times New Roman" w:hAnsi="Times New Roman" w:cs="Times New Roman"/>
                <w:sz w:val="20"/>
                <w:szCs w:val="20"/>
              </w:rPr>
              <w:t>-0.0141</w:t>
            </w:r>
          </w:p>
        </w:tc>
        <w:tc>
          <w:tcPr>
            <w:tcW w:w="1013" w:type="pct"/>
            <w:tcBorders>
              <w:top w:val="nil"/>
              <w:left w:val="nil"/>
              <w:bottom w:val="nil"/>
              <w:right w:val="nil"/>
            </w:tcBorders>
          </w:tcPr>
          <w:p w14:paraId="559B8E32" w14:textId="77777777" w:rsidR="006757F3" w:rsidRPr="00792E4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792E45">
              <w:rPr>
                <w:rFonts w:ascii="Times New Roman" w:hAnsi="Times New Roman" w:cs="Times New Roman"/>
                <w:sz w:val="20"/>
                <w:szCs w:val="20"/>
              </w:rPr>
              <w:t>-0.00339*</w:t>
            </w:r>
          </w:p>
        </w:tc>
        <w:tc>
          <w:tcPr>
            <w:tcW w:w="1011" w:type="pct"/>
            <w:tcBorders>
              <w:top w:val="nil"/>
              <w:left w:val="nil"/>
              <w:bottom w:val="nil"/>
              <w:right w:val="nil"/>
            </w:tcBorders>
          </w:tcPr>
          <w:p w14:paraId="4BAB0767" w14:textId="77777777" w:rsidR="006757F3" w:rsidRPr="00792E4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792E45">
              <w:rPr>
                <w:rFonts w:ascii="Times New Roman" w:hAnsi="Times New Roman" w:cs="Times New Roman"/>
                <w:sz w:val="20"/>
                <w:szCs w:val="20"/>
              </w:rPr>
              <w:t>-0.00348*</w:t>
            </w:r>
          </w:p>
        </w:tc>
      </w:tr>
      <w:tr w:rsidR="006757F3" w:rsidRPr="00B42424" w14:paraId="3A36D334" w14:textId="77777777" w:rsidTr="00B768F6">
        <w:trPr>
          <w:trHeight w:val="288"/>
          <w:jc w:val="center"/>
        </w:trPr>
        <w:tc>
          <w:tcPr>
            <w:tcW w:w="949" w:type="pct"/>
            <w:tcBorders>
              <w:top w:val="nil"/>
              <w:left w:val="nil"/>
              <w:bottom w:val="nil"/>
              <w:right w:val="nil"/>
            </w:tcBorders>
          </w:tcPr>
          <w:p w14:paraId="0FBD6199"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6F55DE5B" w14:textId="77777777" w:rsidR="006757F3" w:rsidRPr="00792E4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792E45">
              <w:rPr>
                <w:rFonts w:ascii="Times New Roman" w:hAnsi="Times New Roman" w:cs="Times New Roman"/>
                <w:sz w:val="20"/>
                <w:szCs w:val="20"/>
              </w:rPr>
              <w:t>(0.00723)</w:t>
            </w:r>
          </w:p>
        </w:tc>
        <w:tc>
          <w:tcPr>
            <w:tcW w:w="1014" w:type="pct"/>
            <w:tcBorders>
              <w:top w:val="nil"/>
              <w:left w:val="nil"/>
              <w:bottom w:val="nil"/>
              <w:right w:val="nil"/>
            </w:tcBorders>
          </w:tcPr>
          <w:p w14:paraId="4C40369A" w14:textId="77777777" w:rsidR="006757F3" w:rsidRPr="00792E4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792E45">
              <w:rPr>
                <w:rFonts w:ascii="Times New Roman" w:hAnsi="Times New Roman" w:cs="Times New Roman"/>
                <w:sz w:val="20"/>
                <w:szCs w:val="20"/>
              </w:rPr>
              <w:t>(0.00805)</w:t>
            </w:r>
          </w:p>
        </w:tc>
        <w:tc>
          <w:tcPr>
            <w:tcW w:w="1013" w:type="pct"/>
            <w:tcBorders>
              <w:top w:val="nil"/>
              <w:left w:val="nil"/>
              <w:bottom w:val="nil"/>
              <w:right w:val="nil"/>
            </w:tcBorders>
          </w:tcPr>
          <w:p w14:paraId="567BA15D" w14:textId="77777777" w:rsidR="006757F3" w:rsidRPr="00792E4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792E45">
              <w:rPr>
                <w:rFonts w:ascii="Times New Roman" w:hAnsi="Times New Roman" w:cs="Times New Roman"/>
                <w:sz w:val="20"/>
                <w:szCs w:val="20"/>
              </w:rPr>
              <w:t>(0.00176)</w:t>
            </w:r>
          </w:p>
        </w:tc>
        <w:tc>
          <w:tcPr>
            <w:tcW w:w="1011" w:type="pct"/>
            <w:tcBorders>
              <w:top w:val="nil"/>
              <w:left w:val="nil"/>
              <w:bottom w:val="nil"/>
              <w:right w:val="nil"/>
            </w:tcBorders>
          </w:tcPr>
          <w:p w14:paraId="5FEA4A72" w14:textId="77777777" w:rsidR="006757F3" w:rsidRPr="00792E4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792E45">
              <w:rPr>
                <w:rFonts w:ascii="Times New Roman" w:hAnsi="Times New Roman" w:cs="Times New Roman"/>
                <w:sz w:val="20"/>
                <w:szCs w:val="20"/>
              </w:rPr>
              <w:t>(0.00173)</w:t>
            </w:r>
          </w:p>
        </w:tc>
      </w:tr>
      <w:tr w:rsidR="006757F3" w:rsidRPr="00B42424" w14:paraId="6812CB9B" w14:textId="77777777" w:rsidTr="00B768F6">
        <w:trPr>
          <w:trHeight w:val="288"/>
          <w:jc w:val="center"/>
        </w:trPr>
        <w:tc>
          <w:tcPr>
            <w:tcW w:w="949" w:type="pct"/>
            <w:tcBorders>
              <w:top w:val="nil"/>
              <w:left w:val="nil"/>
              <w:bottom w:val="nil"/>
              <w:right w:val="nil"/>
            </w:tcBorders>
          </w:tcPr>
          <w:p w14:paraId="645138EC"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Debt</w:t>
            </w:r>
          </w:p>
        </w:tc>
        <w:tc>
          <w:tcPr>
            <w:tcW w:w="1013" w:type="pct"/>
            <w:tcBorders>
              <w:top w:val="nil"/>
              <w:left w:val="nil"/>
              <w:bottom w:val="nil"/>
              <w:right w:val="nil"/>
            </w:tcBorders>
          </w:tcPr>
          <w:p w14:paraId="1B019712"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0.00139</w:t>
            </w:r>
          </w:p>
        </w:tc>
        <w:tc>
          <w:tcPr>
            <w:tcW w:w="1014" w:type="pct"/>
            <w:tcBorders>
              <w:top w:val="nil"/>
              <w:left w:val="nil"/>
              <w:bottom w:val="nil"/>
              <w:right w:val="nil"/>
            </w:tcBorders>
          </w:tcPr>
          <w:p w14:paraId="270D3F25" w14:textId="77777777" w:rsidR="006757F3" w:rsidRPr="005E01C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5E01C5">
              <w:rPr>
                <w:rFonts w:ascii="Times New Roman" w:hAnsi="Times New Roman" w:cs="Times New Roman"/>
                <w:sz w:val="20"/>
                <w:szCs w:val="20"/>
              </w:rPr>
              <w:t>0.00146</w:t>
            </w:r>
          </w:p>
        </w:tc>
        <w:tc>
          <w:tcPr>
            <w:tcW w:w="1013" w:type="pct"/>
            <w:tcBorders>
              <w:top w:val="nil"/>
              <w:left w:val="nil"/>
              <w:bottom w:val="nil"/>
              <w:right w:val="nil"/>
            </w:tcBorders>
          </w:tcPr>
          <w:p w14:paraId="423C2B5C"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-0.000813*</w:t>
            </w:r>
          </w:p>
        </w:tc>
        <w:tc>
          <w:tcPr>
            <w:tcW w:w="1011" w:type="pct"/>
            <w:tcBorders>
              <w:top w:val="nil"/>
              <w:left w:val="nil"/>
              <w:bottom w:val="nil"/>
              <w:right w:val="nil"/>
            </w:tcBorders>
          </w:tcPr>
          <w:p w14:paraId="195835C0"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-0.000762*</w:t>
            </w:r>
          </w:p>
        </w:tc>
      </w:tr>
      <w:tr w:rsidR="006757F3" w:rsidRPr="00B42424" w14:paraId="0FE67BE6" w14:textId="77777777" w:rsidTr="00B768F6">
        <w:trPr>
          <w:trHeight w:val="288"/>
          <w:jc w:val="center"/>
        </w:trPr>
        <w:tc>
          <w:tcPr>
            <w:tcW w:w="949" w:type="pct"/>
            <w:tcBorders>
              <w:top w:val="nil"/>
              <w:left w:val="nil"/>
              <w:bottom w:val="nil"/>
              <w:right w:val="nil"/>
            </w:tcBorders>
          </w:tcPr>
          <w:p w14:paraId="3419F6BD"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631B8D0C"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(0.00743)</w:t>
            </w:r>
          </w:p>
        </w:tc>
        <w:tc>
          <w:tcPr>
            <w:tcW w:w="1014" w:type="pct"/>
            <w:tcBorders>
              <w:top w:val="nil"/>
              <w:left w:val="nil"/>
              <w:bottom w:val="nil"/>
              <w:right w:val="nil"/>
            </w:tcBorders>
          </w:tcPr>
          <w:p w14:paraId="32FEDDC7" w14:textId="77777777" w:rsidR="006757F3" w:rsidRPr="005E01C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5E01C5">
              <w:rPr>
                <w:rFonts w:ascii="Times New Roman" w:hAnsi="Times New Roman" w:cs="Times New Roman"/>
                <w:sz w:val="20"/>
                <w:szCs w:val="20"/>
              </w:rPr>
              <w:t>(0.00759)</w:t>
            </w:r>
          </w:p>
        </w:tc>
        <w:tc>
          <w:tcPr>
            <w:tcW w:w="1013" w:type="pct"/>
            <w:tcBorders>
              <w:top w:val="nil"/>
              <w:left w:val="nil"/>
              <w:bottom w:val="nil"/>
              <w:right w:val="nil"/>
            </w:tcBorders>
          </w:tcPr>
          <w:p w14:paraId="768EDBA7"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(0.000426)</w:t>
            </w:r>
          </w:p>
        </w:tc>
        <w:tc>
          <w:tcPr>
            <w:tcW w:w="1011" w:type="pct"/>
            <w:tcBorders>
              <w:top w:val="nil"/>
              <w:left w:val="nil"/>
              <w:bottom w:val="nil"/>
              <w:right w:val="nil"/>
            </w:tcBorders>
          </w:tcPr>
          <w:p w14:paraId="618D96FE"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(0.000421)</w:t>
            </w:r>
          </w:p>
        </w:tc>
      </w:tr>
      <w:tr w:rsidR="006757F3" w:rsidRPr="00B42424" w14:paraId="0E61EC02" w14:textId="77777777" w:rsidTr="00B768F6">
        <w:trPr>
          <w:trHeight w:val="288"/>
          <w:jc w:val="center"/>
        </w:trPr>
        <w:tc>
          <w:tcPr>
            <w:tcW w:w="949" w:type="pct"/>
            <w:tcBorders>
              <w:top w:val="nil"/>
              <w:left w:val="nil"/>
              <w:bottom w:val="nil"/>
              <w:right w:val="nil"/>
            </w:tcBorders>
          </w:tcPr>
          <w:p w14:paraId="182BD011"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Cash</w:t>
            </w:r>
          </w:p>
        </w:tc>
        <w:tc>
          <w:tcPr>
            <w:tcW w:w="1013" w:type="pct"/>
            <w:tcBorders>
              <w:top w:val="nil"/>
              <w:left w:val="nil"/>
              <w:bottom w:val="nil"/>
              <w:right w:val="nil"/>
            </w:tcBorders>
          </w:tcPr>
          <w:p w14:paraId="63D9E7C7"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1.350*</w:t>
            </w:r>
          </w:p>
        </w:tc>
        <w:tc>
          <w:tcPr>
            <w:tcW w:w="1014" w:type="pct"/>
            <w:tcBorders>
              <w:top w:val="nil"/>
              <w:left w:val="nil"/>
              <w:bottom w:val="nil"/>
              <w:right w:val="nil"/>
            </w:tcBorders>
          </w:tcPr>
          <w:p w14:paraId="399DA1B3" w14:textId="77777777" w:rsidR="006757F3" w:rsidRPr="005E01C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5E01C5">
              <w:rPr>
                <w:rFonts w:ascii="Times New Roman" w:hAnsi="Times New Roman" w:cs="Times New Roman"/>
                <w:sz w:val="20"/>
                <w:szCs w:val="20"/>
              </w:rPr>
              <w:t>1.225*</w:t>
            </w:r>
          </w:p>
        </w:tc>
        <w:tc>
          <w:tcPr>
            <w:tcW w:w="1013" w:type="pct"/>
            <w:tcBorders>
              <w:top w:val="nil"/>
              <w:left w:val="nil"/>
              <w:bottom w:val="nil"/>
              <w:right w:val="nil"/>
            </w:tcBorders>
          </w:tcPr>
          <w:p w14:paraId="6F5112C9"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0.289</w:t>
            </w:r>
          </w:p>
        </w:tc>
        <w:tc>
          <w:tcPr>
            <w:tcW w:w="1011" w:type="pct"/>
            <w:tcBorders>
              <w:top w:val="nil"/>
              <w:left w:val="nil"/>
              <w:bottom w:val="nil"/>
              <w:right w:val="nil"/>
            </w:tcBorders>
          </w:tcPr>
          <w:p w14:paraId="144AA328"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0.294</w:t>
            </w:r>
          </w:p>
        </w:tc>
      </w:tr>
      <w:tr w:rsidR="006757F3" w:rsidRPr="00B42424" w14:paraId="01FC6FA0" w14:textId="77777777" w:rsidTr="00B768F6">
        <w:trPr>
          <w:trHeight w:val="288"/>
          <w:jc w:val="center"/>
        </w:trPr>
        <w:tc>
          <w:tcPr>
            <w:tcW w:w="949" w:type="pct"/>
            <w:tcBorders>
              <w:top w:val="nil"/>
              <w:left w:val="nil"/>
              <w:bottom w:val="nil"/>
              <w:right w:val="nil"/>
            </w:tcBorders>
          </w:tcPr>
          <w:p w14:paraId="5DA7BE39"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07398513"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(0.642)</w:t>
            </w:r>
          </w:p>
        </w:tc>
        <w:tc>
          <w:tcPr>
            <w:tcW w:w="1014" w:type="pct"/>
            <w:tcBorders>
              <w:top w:val="nil"/>
              <w:left w:val="nil"/>
              <w:bottom w:val="nil"/>
              <w:right w:val="nil"/>
            </w:tcBorders>
          </w:tcPr>
          <w:p w14:paraId="44B2E0C0" w14:textId="77777777" w:rsidR="006757F3" w:rsidRPr="005E01C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5E01C5">
              <w:rPr>
                <w:rFonts w:ascii="Times New Roman" w:hAnsi="Times New Roman" w:cs="Times New Roman"/>
                <w:sz w:val="20"/>
                <w:szCs w:val="20"/>
              </w:rPr>
              <w:t>(0.635)</w:t>
            </w:r>
          </w:p>
        </w:tc>
        <w:tc>
          <w:tcPr>
            <w:tcW w:w="1013" w:type="pct"/>
            <w:tcBorders>
              <w:top w:val="nil"/>
              <w:left w:val="nil"/>
              <w:bottom w:val="nil"/>
              <w:right w:val="nil"/>
            </w:tcBorders>
          </w:tcPr>
          <w:p w14:paraId="1D64FE18"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(0.261)</w:t>
            </w:r>
          </w:p>
        </w:tc>
        <w:tc>
          <w:tcPr>
            <w:tcW w:w="1011" w:type="pct"/>
            <w:tcBorders>
              <w:top w:val="nil"/>
              <w:left w:val="nil"/>
              <w:bottom w:val="nil"/>
              <w:right w:val="nil"/>
            </w:tcBorders>
          </w:tcPr>
          <w:p w14:paraId="4674981D"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(0.265)</w:t>
            </w:r>
          </w:p>
        </w:tc>
      </w:tr>
      <w:tr w:rsidR="006757F3" w:rsidRPr="00B42424" w14:paraId="53F824AE" w14:textId="77777777" w:rsidTr="00B768F6">
        <w:trPr>
          <w:trHeight w:val="288"/>
          <w:jc w:val="center"/>
        </w:trPr>
        <w:tc>
          <w:tcPr>
            <w:tcW w:w="949" w:type="pct"/>
            <w:tcBorders>
              <w:top w:val="nil"/>
              <w:left w:val="nil"/>
              <w:bottom w:val="nil"/>
              <w:right w:val="nil"/>
            </w:tcBorders>
          </w:tcPr>
          <w:p w14:paraId="4C52ED7E"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roofErr w:type="spellStart"/>
            <w:r w:rsidRPr="000D5ABB">
              <w:rPr>
                <w:rFonts w:ascii="Times New Roman" w:hAnsi="Times New Roman" w:cs="Times New Roman"/>
                <w:sz w:val="20"/>
                <w:szCs w:val="20"/>
              </w:rPr>
              <w:t>Cap</w:t>
            </w:r>
            <w:r>
              <w:rPr>
                <w:rFonts w:ascii="Times New Roman" w:hAnsi="Times New Roman" w:cs="Times New Roman"/>
                <w:sz w:val="20"/>
                <w:szCs w:val="20"/>
              </w:rPr>
              <w:t>_</w:t>
            </w:r>
            <w:r w:rsidRPr="000D5ABB">
              <w:rPr>
                <w:rFonts w:ascii="Times New Roman" w:hAnsi="Times New Roman" w:cs="Times New Roman"/>
                <w:sz w:val="20"/>
                <w:szCs w:val="20"/>
              </w:rPr>
              <w:t>intensity</w:t>
            </w:r>
            <w:proofErr w:type="spellEnd"/>
          </w:p>
        </w:tc>
        <w:tc>
          <w:tcPr>
            <w:tcW w:w="1013" w:type="pct"/>
            <w:tcBorders>
              <w:top w:val="nil"/>
              <w:left w:val="nil"/>
              <w:bottom w:val="nil"/>
              <w:right w:val="nil"/>
            </w:tcBorders>
          </w:tcPr>
          <w:p w14:paraId="246DE699"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0.616*</w:t>
            </w:r>
          </w:p>
        </w:tc>
        <w:tc>
          <w:tcPr>
            <w:tcW w:w="1014" w:type="pct"/>
            <w:tcBorders>
              <w:top w:val="nil"/>
              <w:left w:val="nil"/>
              <w:bottom w:val="nil"/>
              <w:right w:val="nil"/>
            </w:tcBorders>
          </w:tcPr>
          <w:p w14:paraId="273454AC" w14:textId="77777777" w:rsidR="006757F3" w:rsidRPr="005E01C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5E01C5">
              <w:rPr>
                <w:rFonts w:ascii="Times New Roman" w:hAnsi="Times New Roman" w:cs="Times New Roman"/>
                <w:sz w:val="20"/>
                <w:szCs w:val="20"/>
              </w:rPr>
              <w:t>0.666*</w:t>
            </w:r>
          </w:p>
        </w:tc>
        <w:tc>
          <w:tcPr>
            <w:tcW w:w="1013" w:type="pct"/>
            <w:tcBorders>
              <w:top w:val="nil"/>
              <w:left w:val="nil"/>
              <w:bottom w:val="nil"/>
              <w:right w:val="nil"/>
            </w:tcBorders>
          </w:tcPr>
          <w:p w14:paraId="1DA12334"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0.468***</w:t>
            </w:r>
          </w:p>
        </w:tc>
        <w:tc>
          <w:tcPr>
            <w:tcW w:w="1011" w:type="pct"/>
            <w:tcBorders>
              <w:top w:val="nil"/>
              <w:left w:val="nil"/>
              <w:bottom w:val="nil"/>
              <w:right w:val="nil"/>
            </w:tcBorders>
          </w:tcPr>
          <w:p w14:paraId="49D037C4"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0.467***</w:t>
            </w:r>
          </w:p>
        </w:tc>
      </w:tr>
      <w:tr w:rsidR="006757F3" w:rsidRPr="00B42424" w14:paraId="47722DA8" w14:textId="77777777" w:rsidTr="00B768F6">
        <w:trPr>
          <w:trHeight w:val="288"/>
          <w:jc w:val="center"/>
        </w:trPr>
        <w:tc>
          <w:tcPr>
            <w:tcW w:w="949" w:type="pct"/>
            <w:tcBorders>
              <w:top w:val="nil"/>
              <w:left w:val="nil"/>
              <w:bottom w:val="nil"/>
              <w:right w:val="nil"/>
            </w:tcBorders>
          </w:tcPr>
          <w:p w14:paraId="71A4162D"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3EF3BCED"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(0.315)</w:t>
            </w:r>
          </w:p>
        </w:tc>
        <w:tc>
          <w:tcPr>
            <w:tcW w:w="1014" w:type="pct"/>
            <w:tcBorders>
              <w:top w:val="nil"/>
              <w:left w:val="nil"/>
              <w:bottom w:val="nil"/>
              <w:right w:val="nil"/>
            </w:tcBorders>
          </w:tcPr>
          <w:p w14:paraId="27A39E40" w14:textId="77777777" w:rsidR="006757F3" w:rsidRPr="005E01C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5E01C5">
              <w:rPr>
                <w:rFonts w:ascii="Times New Roman" w:hAnsi="Times New Roman" w:cs="Times New Roman"/>
                <w:sz w:val="20"/>
                <w:szCs w:val="20"/>
              </w:rPr>
              <w:t>(0.309)</w:t>
            </w:r>
          </w:p>
        </w:tc>
        <w:tc>
          <w:tcPr>
            <w:tcW w:w="1013" w:type="pct"/>
            <w:tcBorders>
              <w:top w:val="nil"/>
              <w:left w:val="nil"/>
              <w:bottom w:val="nil"/>
              <w:right w:val="nil"/>
            </w:tcBorders>
          </w:tcPr>
          <w:p w14:paraId="4AFAC209"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(0.0819)</w:t>
            </w:r>
          </w:p>
        </w:tc>
        <w:tc>
          <w:tcPr>
            <w:tcW w:w="1011" w:type="pct"/>
            <w:tcBorders>
              <w:top w:val="nil"/>
              <w:left w:val="nil"/>
              <w:bottom w:val="nil"/>
              <w:right w:val="nil"/>
            </w:tcBorders>
          </w:tcPr>
          <w:p w14:paraId="10F2A35F"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(0.0826)</w:t>
            </w:r>
          </w:p>
        </w:tc>
      </w:tr>
      <w:tr w:rsidR="006757F3" w:rsidRPr="00B42424" w14:paraId="4BBF3122" w14:textId="77777777" w:rsidTr="00B768F6">
        <w:trPr>
          <w:trHeight w:val="288"/>
          <w:jc w:val="center"/>
        </w:trPr>
        <w:tc>
          <w:tcPr>
            <w:tcW w:w="949" w:type="pct"/>
            <w:tcBorders>
              <w:top w:val="nil"/>
              <w:left w:val="nil"/>
              <w:bottom w:val="nil"/>
              <w:right w:val="nil"/>
            </w:tcBorders>
          </w:tcPr>
          <w:p w14:paraId="024E5E13"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Capex</w:t>
            </w:r>
            <w:r>
              <w:rPr>
                <w:rFonts w:ascii="Times New Roman" w:hAnsi="Times New Roman" w:cs="Times New Roman"/>
                <w:sz w:val="20"/>
                <w:szCs w:val="20"/>
              </w:rPr>
              <w:t>2Sales</w:t>
            </w:r>
          </w:p>
        </w:tc>
        <w:tc>
          <w:tcPr>
            <w:tcW w:w="1013" w:type="pct"/>
            <w:tcBorders>
              <w:top w:val="nil"/>
              <w:left w:val="nil"/>
              <w:bottom w:val="nil"/>
              <w:right w:val="nil"/>
            </w:tcBorders>
          </w:tcPr>
          <w:p w14:paraId="137BC2CA"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-0.00135</w:t>
            </w:r>
          </w:p>
        </w:tc>
        <w:tc>
          <w:tcPr>
            <w:tcW w:w="1014" w:type="pct"/>
            <w:tcBorders>
              <w:top w:val="nil"/>
              <w:left w:val="nil"/>
              <w:bottom w:val="nil"/>
              <w:right w:val="nil"/>
            </w:tcBorders>
          </w:tcPr>
          <w:p w14:paraId="0DEC8898" w14:textId="77777777" w:rsidR="006757F3" w:rsidRPr="005E01C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5E01C5">
              <w:rPr>
                <w:rFonts w:ascii="Times New Roman" w:hAnsi="Times New Roman" w:cs="Times New Roman"/>
                <w:sz w:val="20"/>
                <w:szCs w:val="20"/>
              </w:rPr>
              <w:t>-0.00232</w:t>
            </w:r>
          </w:p>
        </w:tc>
        <w:tc>
          <w:tcPr>
            <w:tcW w:w="1013" w:type="pct"/>
            <w:tcBorders>
              <w:top w:val="nil"/>
              <w:left w:val="nil"/>
              <w:bottom w:val="nil"/>
              <w:right w:val="nil"/>
            </w:tcBorders>
          </w:tcPr>
          <w:p w14:paraId="4640E518"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-0.00455**</w:t>
            </w:r>
          </w:p>
        </w:tc>
        <w:tc>
          <w:tcPr>
            <w:tcW w:w="1011" w:type="pct"/>
            <w:tcBorders>
              <w:top w:val="nil"/>
              <w:left w:val="nil"/>
              <w:bottom w:val="nil"/>
              <w:right w:val="nil"/>
            </w:tcBorders>
          </w:tcPr>
          <w:p w14:paraId="42A19433"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-0.00454**</w:t>
            </w:r>
          </w:p>
        </w:tc>
      </w:tr>
      <w:tr w:rsidR="006757F3" w:rsidRPr="00B42424" w14:paraId="2DB3892C" w14:textId="77777777" w:rsidTr="00B768F6">
        <w:trPr>
          <w:trHeight w:val="288"/>
          <w:jc w:val="center"/>
        </w:trPr>
        <w:tc>
          <w:tcPr>
            <w:tcW w:w="949" w:type="pct"/>
            <w:tcBorders>
              <w:top w:val="nil"/>
              <w:left w:val="nil"/>
              <w:bottom w:val="nil"/>
              <w:right w:val="nil"/>
            </w:tcBorders>
          </w:tcPr>
          <w:p w14:paraId="00CCBF92"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49DDEBD3"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(0.00537)</w:t>
            </w:r>
          </w:p>
        </w:tc>
        <w:tc>
          <w:tcPr>
            <w:tcW w:w="1014" w:type="pct"/>
            <w:tcBorders>
              <w:top w:val="nil"/>
              <w:left w:val="nil"/>
              <w:bottom w:val="nil"/>
              <w:right w:val="nil"/>
            </w:tcBorders>
          </w:tcPr>
          <w:p w14:paraId="61ACE8CD" w14:textId="77777777" w:rsidR="006757F3" w:rsidRPr="005E01C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5E01C5">
              <w:rPr>
                <w:rFonts w:ascii="Times New Roman" w:hAnsi="Times New Roman" w:cs="Times New Roman"/>
                <w:sz w:val="20"/>
                <w:szCs w:val="20"/>
              </w:rPr>
              <w:t>(0.00520)</w:t>
            </w:r>
          </w:p>
        </w:tc>
        <w:tc>
          <w:tcPr>
            <w:tcW w:w="1013" w:type="pct"/>
            <w:tcBorders>
              <w:top w:val="nil"/>
              <w:left w:val="nil"/>
              <w:bottom w:val="nil"/>
              <w:right w:val="nil"/>
            </w:tcBorders>
          </w:tcPr>
          <w:p w14:paraId="416BDC09"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(0.00189)</w:t>
            </w:r>
          </w:p>
        </w:tc>
        <w:tc>
          <w:tcPr>
            <w:tcW w:w="1011" w:type="pct"/>
            <w:tcBorders>
              <w:top w:val="nil"/>
              <w:left w:val="nil"/>
              <w:bottom w:val="nil"/>
              <w:right w:val="nil"/>
            </w:tcBorders>
          </w:tcPr>
          <w:p w14:paraId="61E51DC2"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(0.00192)</w:t>
            </w:r>
          </w:p>
        </w:tc>
      </w:tr>
      <w:tr w:rsidR="006757F3" w:rsidRPr="00B42424" w14:paraId="47819FFA" w14:textId="77777777" w:rsidTr="00B768F6">
        <w:trPr>
          <w:trHeight w:val="288"/>
          <w:jc w:val="center"/>
        </w:trPr>
        <w:tc>
          <w:tcPr>
            <w:tcW w:w="949" w:type="pct"/>
            <w:tcBorders>
              <w:top w:val="nil"/>
              <w:left w:val="nil"/>
              <w:bottom w:val="nil"/>
              <w:right w:val="nil"/>
            </w:tcBorders>
          </w:tcPr>
          <w:p w14:paraId="5BA233D3"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8F6735">
              <w:rPr>
                <w:rFonts w:ascii="Times New Roman" w:hAnsi="Times New Roman" w:cs="Times New Roman"/>
                <w:sz w:val="20"/>
                <w:szCs w:val="20"/>
              </w:rPr>
              <w:t>Constant</w:t>
            </w:r>
          </w:p>
        </w:tc>
        <w:tc>
          <w:tcPr>
            <w:tcW w:w="1013" w:type="pct"/>
            <w:tcBorders>
              <w:top w:val="nil"/>
              <w:left w:val="nil"/>
              <w:bottom w:val="nil"/>
              <w:right w:val="nil"/>
            </w:tcBorders>
          </w:tcPr>
          <w:p w14:paraId="78AB137E"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-30.41***</w:t>
            </w:r>
          </w:p>
        </w:tc>
        <w:tc>
          <w:tcPr>
            <w:tcW w:w="1014" w:type="pct"/>
            <w:tcBorders>
              <w:top w:val="nil"/>
              <w:left w:val="nil"/>
              <w:bottom w:val="nil"/>
              <w:right w:val="nil"/>
            </w:tcBorders>
          </w:tcPr>
          <w:p w14:paraId="5617D3EA"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-27.31***</w:t>
            </w:r>
          </w:p>
        </w:tc>
        <w:tc>
          <w:tcPr>
            <w:tcW w:w="1013" w:type="pct"/>
            <w:tcBorders>
              <w:top w:val="nil"/>
              <w:left w:val="nil"/>
              <w:bottom w:val="nil"/>
              <w:right w:val="nil"/>
            </w:tcBorders>
          </w:tcPr>
          <w:p w14:paraId="6B299DAF"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2.205**</w:t>
            </w:r>
          </w:p>
        </w:tc>
        <w:tc>
          <w:tcPr>
            <w:tcW w:w="1011" w:type="pct"/>
            <w:tcBorders>
              <w:top w:val="nil"/>
              <w:left w:val="nil"/>
              <w:bottom w:val="nil"/>
              <w:right w:val="nil"/>
            </w:tcBorders>
          </w:tcPr>
          <w:p w14:paraId="36932F12"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2.120**</w:t>
            </w:r>
          </w:p>
        </w:tc>
      </w:tr>
      <w:tr w:rsidR="006757F3" w:rsidRPr="00B42424" w14:paraId="6B0569F4" w14:textId="77777777" w:rsidTr="00B768F6">
        <w:trPr>
          <w:trHeight w:val="288"/>
          <w:jc w:val="center"/>
        </w:trPr>
        <w:tc>
          <w:tcPr>
            <w:tcW w:w="949" w:type="pct"/>
            <w:tcBorders>
              <w:top w:val="nil"/>
              <w:left w:val="nil"/>
              <w:bottom w:val="nil"/>
              <w:right w:val="nil"/>
            </w:tcBorders>
          </w:tcPr>
          <w:p w14:paraId="52E31CE0"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6DD79C28"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(5.524)</w:t>
            </w:r>
          </w:p>
        </w:tc>
        <w:tc>
          <w:tcPr>
            <w:tcW w:w="1014" w:type="pct"/>
            <w:tcBorders>
              <w:top w:val="nil"/>
              <w:left w:val="nil"/>
              <w:bottom w:val="nil"/>
              <w:right w:val="nil"/>
            </w:tcBorders>
          </w:tcPr>
          <w:p w14:paraId="038EA21F"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(6.377)</w:t>
            </w:r>
          </w:p>
        </w:tc>
        <w:tc>
          <w:tcPr>
            <w:tcW w:w="1013" w:type="pct"/>
            <w:tcBorders>
              <w:top w:val="nil"/>
              <w:left w:val="nil"/>
              <w:bottom w:val="nil"/>
              <w:right w:val="nil"/>
            </w:tcBorders>
          </w:tcPr>
          <w:p w14:paraId="11EE2ED8"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(0.967)</w:t>
            </w:r>
          </w:p>
        </w:tc>
        <w:tc>
          <w:tcPr>
            <w:tcW w:w="1011" w:type="pct"/>
            <w:tcBorders>
              <w:top w:val="nil"/>
              <w:left w:val="nil"/>
              <w:bottom w:val="nil"/>
              <w:right w:val="nil"/>
            </w:tcBorders>
          </w:tcPr>
          <w:p w14:paraId="7987D50E"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(0.957)</w:t>
            </w:r>
          </w:p>
        </w:tc>
      </w:tr>
      <w:tr w:rsidR="006757F3" w:rsidRPr="00B42424" w14:paraId="12859214" w14:textId="77777777" w:rsidTr="00B768F6">
        <w:trPr>
          <w:trHeight w:val="288"/>
          <w:jc w:val="center"/>
        </w:trPr>
        <w:tc>
          <w:tcPr>
            <w:tcW w:w="949" w:type="pct"/>
            <w:tcBorders>
              <w:top w:val="nil"/>
              <w:left w:val="nil"/>
              <w:bottom w:val="nil"/>
              <w:right w:val="nil"/>
            </w:tcBorders>
          </w:tcPr>
          <w:p w14:paraId="49BE96D3"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proofErr w:type="spellStart"/>
            <w:r w:rsidRPr="008F6735">
              <w:rPr>
                <w:rFonts w:ascii="Times New Roman" w:hAnsi="Times New Roman" w:cs="Times New Roman"/>
                <w:sz w:val="20"/>
                <w:szCs w:val="20"/>
              </w:rPr>
              <w:t>Obs</w:t>
            </w:r>
            <w:proofErr w:type="spellEnd"/>
          </w:p>
        </w:tc>
        <w:tc>
          <w:tcPr>
            <w:tcW w:w="1013" w:type="pct"/>
            <w:tcBorders>
              <w:top w:val="nil"/>
              <w:left w:val="nil"/>
              <w:bottom w:val="nil"/>
              <w:right w:val="nil"/>
            </w:tcBorders>
          </w:tcPr>
          <w:p w14:paraId="2FACE6C2"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4,541</w:t>
            </w:r>
          </w:p>
        </w:tc>
        <w:tc>
          <w:tcPr>
            <w:tcW w:w="1014" w:type="pct"/>
            <w:tcBorders>
              <w:top w:val="nil"/>
              <w:left w:val="nil"/>
              <w:bottom w:val="nil"/>
              <w:right w:val="nil"/>
            </w:tcBorders>
          </w:tcPr>
          <w:p w14:paraId="171D6C9B"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4,541</w:t>
            </w:r>
          </w:p>
        </w:tc>
        <w:tc>
          <w:tcPr>
            <w:tcW w:w="1013" w:type="pct"/>
            <w:tcBorders>
              <w:top w:val="nil"/>
              <w:left w:val="nil"/>
              <w:bottom w:val="nil"/>
              <w:right w:val="nil"/>
            </w:tcBorders>
          </w:tcPr>
          <w:p w14:paraId="5EDC3EC3"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3,339</w:t>
            </w:r>
          </w:p>
        </w:tc>
        <w:tc>
          <w:tcPr>
            <w:tcW w:w="1011" w:type="pct"/>
            <w:tcBorders>
              <w:top w:val="nil"/>
              <w:left w:val="nil"/>
              <w:bottom w:val="nil"/>
              <w:right w:val="nil"/>
            </w:tcBorders>
          </w:tcPr>
          <w:p w14:paraId="4260B17B"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3,339</w:t>
            </w:r>
          </w:p>
        </w:tc>
      </w:tr>
      <w:tr w:rsidR="006757F3" w:rsidRPr="00B42424" w14:paraId="5D41DB18" w14:textId="77777777" w:rsidTr="00B768F6">
        <w:trPr>
          <w:trHeight w:val="288"/>
          <w:jc w:val="center"/>
        </w:trPr>
        <w:tc>
          <w:tcPr>
            <w:tcW w:w="949" w:type="pct"/>
            <w:tcBorders>
              <w:top w:val="nil"/>
              <w:left w:val="nil"/>
              <w:bottom w:val="nil"/>
              <w:right w:val="nil"/>
            </w:tcBorders>
          </w:tcPr>
          <w:p w14:paraId="2941CD4D"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8F6735">
              <w:rPr>
                <w:rFonts w:ascii="Times New Roman" w:hAnsi="Times New Roman" w:cs="Times New Roman"/>
                <w:sz w:val="20"/>
                <w:szCs w:val="20"/>
              </w:rPr>
              <w:t>R-squared</w:t>
            </w:r>
          </w:p>
        </w:tc>
        <w:tc>
          <w:tcPr>
            <w:tcW w:w="1013" w:type="pct"/>
            <w:tcBorders>
              <w:top w:val="nil"/>
              <w:left w:val="nil"/>
              <w:bottom w:val="nil"/>
              <w:right w:val="nil"/>
            </w:tcBorders>
          </w:tcPr>
          <w:p w14:paraId="5C6DDA1D"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0.456</w:t>
            </w:r>
          </w:p>
        </w:tc>
        <w:tc>
          <w:tcPr>
            <w:tcW w:w="1014" w:type="pct"/>
            <w:tcBorders>
              <w:top w:val="nil"/>
              <w:left w:val="nil"/>
              <w:bottom w:val="nil"/>
              <w:right w:val="nil"/>
            </w:tcBorders>
          </w:tcPr>
          <w:p w14:paraId="7D556DE3"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0.443</w:t>
            </w:r>
          </w:p>
        </w:tc>
        <w:tc>
          <w:tcPr>
            <w:tcW w:w="1013" w:type="pct"/>
            <w:tcBorders>
              <w:top w:val="nil"/>
              <w:left w:val="nil"/>
              <w:bottom w:val="nil"/>
              <w:right w:val="nil"/>
            </w:tcBorders>
          </w:tcPr>
          <w:p w14:paraId="5165981F"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0.123</w:t>
            </w:r>
          </w:p>
        </w:tc>
        <w:tc>
          <w:tcPr>
            <w:tcW w:w="1011" w:type="pct"/>
            <w:tcBorders>
              <w:top w:val="nil"/>
              <w:left w:val="nil"/>
              <w:bottom w:val="nil"/>
              <w:right w:val="nil"/>
            </w:tcBorders>
          </w:tcPr>
          <w:p w14:paraId="4189C470"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0.123</w:t>
            </w:r>
          </w:p>
        </w:tc>
      </w:tr>
      <w:tr w:rsidR="006757F3" w:rsidRPr="00B42424" w14:paraId="21A374DA" w14:textId="77777777" w:rsidTr="00B768F6">
        <w:tblPrEx>
          <w:tblBorders>
            <w:bottom w:val="single" w:sz="6" w:space="0" w:color="auto"/>
          </w:tblBorders>
        </w:tblPrEx>
        <w:trPr>
          <w:trHeight w:val="288"/>
          <w:jc w:val="center"/>
        </w:trPr>
        <w:tc>
          <w:tcPr>
            <w:tcW w:w="949" w:type="pct"/>
            <w:tcBorders>
              <w:top w:val="nil"/>
              <w:left w:val="nil"/>
              <w:bottom w:val="single" w:sz="6" w:space="0" w:color="auto"/>
              <w:right w:val="nil"/>
            </w:tcBorders>
          </w:tcPr>
          <w:p w14:paraId="427F22D3"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8F6735">
              <w:rPr>
                <w:rFonts w:ascii="Times New Roman" w:hAnsi="Times New Roman" w:cs="Times New Roman"/>
                <w:sz w:val="20"/>
                <w:szCs w:val="20"/>
              </w:rPr>
              <w:t>N</w:t>
            </w:r>
            <w:r>
              <w:rPr>
                <w:rFonts w:ascii="Times New Roman" w:hAnsi="Times New Roman" w:cs="Times New Roman"/>
                <w:sz w:val="20"/>
                <w:szCs w:val="20"/>
              </w:rPr>
              <w:t>o of firms</w:t>
            </w:r>
          </w:p>
        </w:tc>
        <w:tc>
          <w:tcPr>
            <w:tcW w:w="1013" w:type="pct"/>
            <w:tcBorders>
              <w:top w:val="nil"/>
              <w:left w:val="nil"/>
              <w:bottom w:val="single" w:sz="6" w:space="0" w:color="auto"/>
              <w:right w:val="nil"/>
            </w:tcBorders>
          </w:tcPr>
          <w:p w14:paraId="2267E334"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498</w:t>
            </w:r>
          </w:p>
        </w:tc>
        <w:tc>
          <w:tcPr>
            <w:tcW w:w="1014" w:type="pct"/>
            <w:tcBorders>
              <w:top w:val="nil"/>
              <w:left w:val="nil"/>
              <w:bottom w:val="single" w:sz="6" w:space="0" w:color="auto"/>
              <w:right w:val="nil"/>
            </w:tcBorders>
          </w:tcPr>
          <w:p w14:paraId="0684009C"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498</w:t>
            </w:r>
          </w:p>
        </w:tc>
        <w:tc>
          <w:tcPr>
            <w:tcW w:w="1013" w:type="pct"/>
            <w:tcBorders>
              <w:top w:val="nil"/>
              <w:left w:val="nil"/>
              <w:bottom w:val="single" w:sz="6" w:space="0" w:color="auto"/>
              <w:right w:val="nil"/>
            </w:tcBorders>
          </w:tcPr>
          <w:p w14:paraId="1118156D"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8F6735">
              <w:rPr>
                <w:rFonts w:ascii="Times New Roman" w:hAnsi="Times New Roman" w:cs="Times New Roman"/>
                <w:sz w:val="20"/>
                <w:szCs w:val="20"/>
              </w:rPr>
              <w:t>463</w:t>
            </w:r>
          </w:p>
        </w:tc>
        <w:tc>
          <w:tcPr>
            <w:tcW w:w="1011" w:type="pct"/>
            <w:tcBorders>
              <w:top w:val="nil"/>
              <w:left w:val="nil"/>
              <w:bottom w:val="single" w:sz="6" w:space="0" w:color="auto"/>
              <w:right w:val="nil"/>
            </w:tcBorders>
          </w:tcPr>
          <w:p w14:paraId="63FAA547" w14:textId="77777777" w:rsidR="006757F3" w:rsidRPr="00690EA3"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690EA3">
              <w:rPr>
                <w:rFonts w:ascii="Times New Roman" w:hAnsi="Times New Roman" w:cs="Times New Roman"/>
                <w:sz w:val="20"/>
                <w:szCs w:val="20"/>
              </w:rPr>
              <w:t>463</w:t>
            </w:r>
          </w:p>
        </w:tc>
      </w:tr>
    </w:tbl>
    <w:p w14:paraId="16C6A3CB" w14:textId="77777777" w:rsidR="006757F3" w:rsidRPr="001133F2" w:rsidRDefault="006757F3" w:rsidP="006757F3">
      <w:pPr>
        <w:jc w:val="both"/>
        <w:rPr>
          <w:rFonts w:ascii="Times New Roman" w:hAnsi="Times New Roman" w:cs="Times New Roman"/>
          <w:sz w:val="18"/>
          <w:szCs w:val="18"/>
        </w:rPr>
      </w:pPr>
      <w:r w:rsidRPr="001133F2">
        <w:rPr>
          <w:rFonts w:ascii="Times New Roman" w:hAnsi="Times New Roman" w:cs="Times New Roman"/>
          <w:sz w:val="18"/>
          <w:szCs w:val="18"/>
        </w:rPr>
        <w:t>Notes:  ***, ** and * indicate statistical significance at 1, 5 and 10% levels, respectively. The figures in parentheses are the heteroskedasticity-adjusted robust standard errors</w:t>
      </w:r>
      <w:r>
        <w:rPr>
          <w:rFonts w:ascii="Times New Roman" w:hAnsi="Times New Roman" w:cs="Times New Roman"/>
          <w:sz w:val="18"/>
          <w:szCs w:val="18"/>
        </w:rPr>
        <w:t xml:space="preserve"> with clustered at country level</w:t>
      </w:r>
      <w:r w:rsidRPr="001133F2">
        <w:rPr>
          <w:rFonts w:ascii="Times New Roman" w:hAnsi="Times New Roman" w:cs="Times New Roman"/>
          <w:sz w:val="18"/>
          <w:szCs w:val="18"/>
        </w:rPr>
        <w:t>.</w:t>
      </w:r>
    </w:p>
    <w:p w14:paraId="25B1C891" w14:textId="77777777" w:rsidR="006757F3" w:rsidRDefault="006757F3" w:rsidP="006757F3">
      <w:pPr>
        <w:spacing w:after="0" w:line="240" w:lineRule="auto"/>
        <w:rPr>
          <w:rFonts w:ascii="Times New Roman" w:hAnsi="Times New Roman" w:cs="Times New Roman"/>
          <w:i/>
        </w:rPr>
      </w:pPr>
    </w:p>
    <w:p w14:paraId="136A0445" w14:textId="58D2AFDE" w:rsidR="006757F3" w:rsidRDefault="006757F3" w:rsidP="006757F3">
      <w:pPr>
        <w:spacing w:after="0" w:line="240" w:lineRule="auto"/>
        <w:rPr>
          <w:rFonts w:ascii="Times New Roman" w:hAnsi="Times New Roman" w:cs="Times New Roman"/>
          <w:i/>
        </w:rPr>
      </w:pPr>
      <w:r w:rsidRPr="002E52D5">
        <w:rPr>
          <w:rFonts w:ascii="Times New Roman" w:hAnsi="Times New Roman" w:cs="Times New Roman"/>
          <w:i/>
        </w:rPr>
        <w:lastRenderedPageBreak/>
        <w:t xml:space="preserve">Table 7. GMM regression of carbon performance on market value </w:t>
      </w:r>
    </w:p>
    <w:tbl>
      <w:tblPr>
        <w:tblW w:w="5000" w:type="pct"/>
        <w:jc w:val="center"/>
        <w:tblCellMar>
          <w:left w:w="75" w:type="dxa"/>
          <w:right w:w="75" w:type="dxa"/>
        </w:tblCellMar>
        <w:tblLook w:val="0000" w:firstRow="0" w:lastRow="0" w:firstColumn="0" w:lastColumn="0" w:noHBand="0" w:noVBand="0"/>
      </w:tblPr>
      <w:tblGrid>
        <w:gridCol w:w="1620"/>
        <w:gridCol w:w="1866"/>
        <w:gridCol w:w="1958"/>
        <w:gridCol w:w="1956"/>
        <w:gridCol w:w="1960"/>
      </w:tblGrid>
      <w:tr w:rsidR="006757F3" w:rsidRPr="00D32171" w14:paraId="1783D46E" w14:textId="77777777" w:rsidTr="00B768F6">
        <w:trPr>
          <w:trHeight w:val="288"/>
          <w:jc w:val="center"/>
        </w:trPr>
        <w:tc>
          <w:tcPr>
            <w:tcW w:w="865" w:type="pct"/>
            <w:vMerge w:val="restart"/>
            <w:tcBorders>
              <w:top w:val="single" w:sz="4" w:space="0" w:color="auto"/>
              <w:left w:val="nil"/>
              <w:right w:val="nil"/>
            </w:tcBorders>
            <w:vAlign w:val="bottom"/>
          </w:tcPr>
          <w:p w14:paraId="5DA066FE"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Variables</w:t>
            </w:r>
          </w:p>
        </w:tc>
        <w:tc>
          <w:tcPr>
            <w:tcW w:w="4135" w:type="pct"/>
            <w:gridSpan w:val="4"/>
            <w:tcBorders>
              <w:top w:val="single" w:sz="4" w:space="0" w:color="auto"/>
              <w:left w:val="nil"/>
              <w:bottom w:val="nil"/>
              <w:right w:val="nil"/>
            </w:tcBorders>
          </w:tcPr>
          <w:p w14:paraId="6D9C12A2"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Substantive construct: Market Value (Q)</w:t>
            </w:r>
          </w:p>
        </w:tc>
      </w:tr>
      <w:tr w:rsidR="006757F3" w:rsidRPr="00D32171" w14:paraId="787999A3" w14:textId="77777777" w:rsidTr="00B768F6">
        <w:trPr>
          <w:trHeight w:val="288"/>
          <w:jc w:val="center"/>
        </w:trPr>
        <w:tc>
          <w:tcPr>
            <w:tcW w:w="865" w:type="pct"/>
            <w:vMerge/>
            <w:tcBorders>
              <w:left w:val="nil"/>
              <w:bottom w:val="nil"/>
              <w:right w:val="nil"/>
            </w:tcBorders>
          </w:tcPr>
          <w:p w14:paraId="377931F0"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997" w:type="pct"/>
            <w:tcBorders>
              <w:top w:val="single" w:sz="4" w:space="0" w:color="auto"/>
              <w:left w:val="nil"/>
              <w:bottom w:val="nil"/>
              <w:right w:val="nil"/>
            </w:tcBorders>
            <w:vAlign w:val="center"/>
          </w:tcPr>
          <w:p w14:paraId="3F7DA3F2"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D5ABB">
              <w:rPr>
                <w:rFonts w:ascii="Times New Roman" w:hAnsi="Times New Roman" w:cs="Times New Roman"/>
                <w:sz w:val="20"/>
                <w:szCs w:val="20"/>
              </w:rPr>
              <w:t>(1)</w:t>
            </w:r>
          </w:p>
        </w:tc>
        <w:tc>
          <w:tcPr>
            <w:tcW w:w="1046" w:type="pct"/>
            <w:tcBorders>
              <w:top w:val="single" w:sz="4" w:space="0" w:color="auto"/>
              <w:left w:val="nil"/>
              <w:bottom w:val="nil"/>
              <w:right w:val="nil"/>
            </w:tcBorders>
            <w:vAlign w:val="center"/>
          </w:tcPr>
          <w:p w14:paraId="520759FF"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D5ABB">
              <w:rPr>
                <w:rFonts w:ascii="Times New Roman" w:hAnsi="Times New Roman" w:cs="Times New Roman"/>
                <w:sz w:val="20"/>
                <w:szCs w:val="20"/>
              </w:rPr>
              <w:t>(</w:t>
            </w:r>
            <w:r>
              <w:rPr>
                <w:rFonts w:ascii="Times New Roman" w:hAnsi="Times New Roman" w:cs="Times New Roman"/>
                <w:sz w:val="20"/>
                <w:szCs w:val="20"/>
              </w:rPr>
              <w:t>2</w:t>
            </w:r>
            <w:r w:rsidRPr="000D5ABB">
              <w:rPr>
                <w:rFonts w:ascii="Times New Roman" w:hAnsi="Times New Roman" w:cs="Times New Roman"/>
                <w:sz w:val="20"/>
                <w:szCs w:val="20"/>
              </w:rPr>
              <w:t>)</w:t>
            </w:r>
          </w:p>
        </w:tc>
        <w:tc>
          <w:tcPr>
            <w:tcW w:w="1045" w:type="pct"/>
            <w:tcBorders>
              <w:top w:val="single" w:sz="4" w:space="0" w:color="auto"/>
              <w:left w:val="nil"/>
              <w:bottom w:val="nil"/>
              <w:right w:val="nil"/>
            </w:tcBorders>
            <w:vAlign w:val="center"/>
          </w:tcPr>
          <w:p w14:paraId="7F1478BB"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D5ABB">
              <w:rPr>
                <w:rFonts w:ascii="Times New Roman" w:hAnsi="Times New Roman" w:cs="Times New Roman"/>
                <w:sz w:val="20"/>
                <w:szCs w:val="20"/>
              </w:rPr>
              <w:t>(</w:t>
            </w:r>
            <w:r>
              <w:rPr>
                <w:rFonts w:ascii="Times New Roman" w:hAnsi="Times New Roman" w:cs="Times New Roman"/>
                <w:sz w:val="20"/>
                <w:szCs w:val="20"/>
              </w:rPr>
              <w:t>3</w:t>
            </w:r>
            <w:r w:rsidRPr="000D5ABB">
              <w:rPr>
                <w:rFonts w:ascii="Times New Roman" w:hAnsi="Times New Roman" w:cs="Times New Roman"/>
                <w:sz w:val="20"/>
                <w:szCs w:val="20"/>
              </w:rPr>
              <w:t>)</w:t>
            </w:r>
          </w:p>
        </w:tc>
        <w:tc>
          <w:tcPr>
            <w:tcW w:w="1047" w:type="pct"/>
            <w:tcBorders>
              <w:top w:val="single" w:sz="4" w:space="0" w:color="auto"/>
              <w:left w:val="nil"/>
              <w:bottom w:val="nil"/>
              <w:right w:val="nil"/>
            </w:tcBorders>
            <w:vAlign w:val="center"/>
          </w:tcPr>
          <w:p w14:paraId="4F6889C1" w14:textId="77777777" w:rsidR="006757F3" w:rsidRPr="00AD671D"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D5ABB">
              <w:rPr>
                <w:rFonts w:ascii="Times New Roman" w:hAnsi="Times New Roman" w:cs="Times New Roman"/>
                <w:sz w:val="20"/>
                <w:szCs w:val="20"/>
              </w:rPr>
              <w:t>(</w:t>
            </w:r>
            <w:r>
              <w:rPr>
                <w:rFonts w:ascii="Times New Roman" w:hAnsi="Times New Roman" w:cs="Times New Roman"/>
                <w:sz w:val="20"/>
                <w:szCs w:val="20"/>
              </w:rPr>
              <w:t>4</w:t>
            </w:r>
            <w:r w:rsidRPr="000D5ABB">
              <w:rPr>
                <w:rFonts w:ascii="Times New Roman" w:hAnsi="Times New Roman" w:cs="Times New Roman"/>
                <w:sz w:val="20"/>
                <w:szCs w:val="20"/>
              </w:rPr>
              <w:t>)</w:t>
            </w:r>
          </w:p>
        </w:tc>
      </w:tr>
      <w:tr w:rsidR="006757F3" w:rsidRPr="00D32171" w14:paraId="70EF0CDA" w14:textId="77777777" w:rsidTr="00B768F6">
        <w:trPr>
          <w:trHeight w:val="288"/>
          <w:jc w:val="center"/>
        </w:trPr>
        <w:tc>
          <w:tcPr>
            <w:tcW w:w="1862" w:type="pct"/>
            <w:gridSpan w:val="2"/>
            <w:tcBorders>
              <w:top w:val="single" w:sz="4" w:space="0" w:color="auto"/>
              <w:left w:val="nil"/>
              <w:bottom w:val="nil"/>
              <w:right w:val="nil"/>
            </w:tcBorders>
          </w:tcPr>
          <w:p w14:paraId="6C07EAF6" w14:textId="77777777" w:rsidR="006757F3" w:rsidRPr="000A0494"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6429D0">
              <w:rPr>
                <w:rFonts w:ascii="Times New Roman" w:hAnsi="Times New Roman" w:cs="Times New Roman"/>
                <w:i/>
                <w:iCs/>
                <w:sz w:val="20"/>
                <w:szCs w:val="20"/>
              </w:rPr>
              <w:t>Symbolic construct</w:t>
            </w:r>
            <w:r>
              <w:rPr>
                <w:rFonts w:ascii="Times New Roman" w:hAnsi="Times New Roman" w:cs="Times New Roman"/>
                <w:i/>
                <w:iCs/>
                <w:sz w:val="20"/>
                <w:szCs w:val="20"/>
              </w:rPr>
              <w:t>:</w:t>
            </w:r>
          </w:p>
        </w:tc>
        <w:tc>
          <w:tcPr>
            <w:tcW w:w="1046" w:type="pct"/>
            <w:tcBorders>
              <w:top w:val="single" w:sz="4" w:space="0" w:color="auto"/>
              <w:left w:val="nil"/>
              <w:bottom w:val="nil"/>
              <w:right w:val="nil"/>
            </w:tcBorders>
          </w:tcPr>
          <w:p w14:paraId="06CDDD2D"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5" w:type="pct"/>
            <w:tcBorders>
              <w:top w:val="single" w:sz="4" w:space="0" w:color="auto"/>
              <w:left w:val="nil"/>
              <w:bottom w:val="nil"/>
              <w:right w:val="nil"/>
            </w:tcBorders>
          </w:tcPr>
          <w:p w14:paraId="22AAB9ED"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7" w:type="pct"/>
            <w:tcBorders>
              <w:top w:val="single" w:sz="4" w:space="0" w:color="auto"/>
              <w:left w:val="nil"/>
              <w:bottom w:val="nil"/>
              <w:right w:val="nil"/>
            </w:tcBorders>
          </w:tcPr>
          <w:p w14:paraId="0AAB83E1"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D32171" w14:paraId="250C93F0" w14:textId="77777777" w:rsidTr="00B768F6">
        <w:trPr>
          <w:trHeight w:val="288"/>
          <w:jc w:val="center"/>
        </w:trPr>
        <w:tc>
          <w:tcPr>
            <w:tcW w:w="865" w:type="pct"/>
            <w:tcBorders>
              <w:top w:val="single" w:sz="4" w:space="0" w:color="auto"/>
              <w:left w:val="nil"/>
              <w:bottom w:val="nil"/>
              <w:right w:val="nil"/>
            </w:tcBorders>
          </w:tcPr>
          <w:p w14:paraId="1DCCF74A"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PCRI</w:t>
            </w:r>
          </w:p>
        </w:tc>
        <w:tc>
          <w:tcPr>
            <w:tcW w:w="997" w:type="pct"/>
            <w:tcBorders>
              <w:top w:val="single" w:sz="4" w:space="0" w:color="auto"/>
              <w:left w:val="nil"/>
              <w:bottom w:val="nil"/>
              <w:right w:val="nil"/>
            </w:tcBorders>
          </w:tcPr>
          <w:p w14:paraId="5B37A188"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0.0154***</w:t>
            </w:r>
          </w:p>
        </w:tc>
        <w:tc>
          <w:tcPr>
            <w:tcW w:w="1046" w:type="pct"/>
            <w:tcBorders>
              <w:top w:val="single" w:sz="4" w:space="0" w:color="auto"/>
              <w:left w:val="nil"/>
              <w:bottom w:val="nil"/>
              <w:right w:val="nil"/>
            </w:tcBorders>
          </w:tcPr>
          <w:p w14:paraId="003CBB79"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5" w:type="pct"/>
            <w:tcBorders>
              <w:top w:val="single" w:sz="4" w:space="0" w:color="auto"/>
              <w:left w:val="nil"/>
              <w:bottom w:val="nil"/>
              <w:right w:val="nil"/>
            </w:tcBorders>
          </w:tcPr>
          <w:p w14:paraId="34F0B500"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7" w:type="pct"/>
            <w:tcBorders>
              <w:top w:val="single" w:sz="4" w:space="0" w:color="auto"/>
              <w:left w:val="nil"/>
              <w:bottom w:val="nil"/>
              <w:right w:val="nil"/>
            </w:tcBorders>
          </w:tcPr>
          <w:p w14:paraId="115C82A4"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D32171" w14:paraId="52E679BD" w14:textId="77777777" w:rsidTr="00B768F6">
        <w:trPr>
          <w:trHeight w:val="288"/>
          <w:jc w:val="center"/>
        </w:trPr>
        <w:tc>
          <w:tcPr>
            <w:tcW w:w="865" w:type="pct"/>
            <w:tcBorders>
              <w:top w:val="nil"/>
              <w:left w:val="nil"/>
              <w:bottom w:val="nil"/>
              <w:right w:val="nil"/>
            </w:tcBorders>
          </w:tcPr>
          <w:p w14:paraId="6E94272A"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997" w:type="pct"/>
            <w:tcBorders>
              <w:top w:val="nil"/>
              <w:left w:val="nil"/>
              <w:bottom w:val="nil"/>
              <w:right w:val="nil"/>
            </w:tcBorders>
          </w:tcPr>
          <w:p w14:paraId="44AF7350"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(0.00577)</w:t>
            </w:r>
          </w:p>
        </w:tc>
        <w:tc>
          <w:tcPr>
            <w:tcW w:w="1046" w:type="pct"/>
            <w:tcBorders>
              <w:top w:val="nil"/>
              <w:left w:val="nil"/>
              <w:bottom w:val="nil"/>
              <w:right w:val="nil"/>
            </w:tcBorders>
          </w:tcPr>
          <w:p w14:paraId="19E7A40C"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5" w:type="pct"/>
            <w:tcBorders>
              <w:top w:val="nil"/>
              <w:left w:val="nil"/>
              <w:bottom w:val="nil"/>
              <w:right w:val="nil"/>
            </w:tcBorders>
          </w:tcPr>
          <w:p w14:paraId="668D2DFC"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7" w:type="pct"/>
            <w:tcBorders>
              <w:top w:val="nil"/>
              <w:left w:val="nil"/>
              <w:bottom w:val="nil"/>
              <w:right w:val="nil"/>
            </w:tcBorders>
          </w:tcPr>
          <w:p w14:paraId="5129FD47"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D32171" w14:paraId="52009646" w14:textId="77777777" w:rsidTr="00B768F6">
        <w:trPr>
          <w:trHeight w:val="288"/>
          <w:jc w:val="center"/>
        </w:trPr>
        <w:tc>
          <w:tcPr>
            <w:tcW w:w="1862" w:type="pct"/>
            <w:gridSpan w:val="2"/>
            <w:tcBorders>
              <w:top w:val="nil"/>
              <w:left w:val="nil"/>
              <w:bottom w:val="nil"/>
              <w:right w:val="nil"/>
            </w:tcBorders>
          </w:tcPr>
          <w:p w14:paraId="6ED9258B" w14:textId="77777777" w:rsidR="006757F3" w:rsidRPr="000A0494"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6429D0">
              <w:rPr>
                <w:rFonts w:ascii="Times New Roman" w:hAnsi="Times New Roman" w:cs="Times New Roman"/>
                <w:i/>
                <w:iCs/>
                <w:sz w:val="20"/>
                <w:szCs w:val="20"/>
              </w:rPr>
              <w:t>Substantive constructs</w:t>
            </w:r>
            <w:r>
              <w:rPr>
                <w:rFonts w:ascii="Times New Roman" w:hAnsi="Times New Roman" w:cs="Times New Roman"/>
                <w:i/>
                <w:iCs/>
                <w:sz w:val="20"/>
                <w:szCs w:val="20"/>
              </w:rPr>
              <w:t>:</w:t>
            </w:r>
          </w:p>
        </w:tc>
        <w:tc>
          <w:tcPr>
            <w:tcW w:w="1046" w:type="pct"/>
            <w:tcBorders>
              <w:top w:val="nil"/>
              <w:left w:val="nil"/>
              <w:bottom w:val="nil"/>
              <w:right w:val="nil"/>
            </w:tcBorders>
          </w:tcPr>
          <w:p w14:paraId="1B823631"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5" w:type="pct"/>
            <w:tcBorders>
              <w:top w:val="nil"/>
              <w:left w:val="nil"/>
              <w:bottom w:val="nil"/>
              <w:right w:val="nil"/>
            </w:tcBorders>
          </w:tcPr>
          <w:p w14:paraId="6D65B078"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7" w:type="pct"/>
            <w:tcBorders>
              <w:top w:val="nil"/>
              <w:left w:val="nil"/>
              <w:bottom w:val="nil"/>
              <w:right w:val="nil"/>
            </w:tcBorders>
          </w:tcPr>
          <w:p w14:paraId="712FCE0C"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D32171" w14:paraId="5C817207" w14:textId="77777777" w:rsidTr="00B768F6">
        <w:trPr>
          <w:trHeight w:val="288"/>
          <w:jc w:val="center"/>
        </w:trPr>
        <w:tc>
          <w:tcPr>
            <w:tcW w:w="865" w:type="pct"/>
            <w:tcBorders>
              <w:top w:val="nil"/>
              <w:left w:val="nil"/>
              <w:bottom w:val="nil"/>
              <w:right w:val="nil"/>
            </w:tcBorders>
          </w:tcPr>
          <w:p w14:paraId="7B91D544"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GHG</w:t>
            </w:r>
          </w:p>
        </w:tc>
        <w:tc>
          <w:tcPr>
            <w:tcW w:w="997" w:type="pct"/>
            <w:tcBorders>
              <w:top w:val="nil"/>
              <w:left w:val="nil"/>
              <w:bottom w:val="nil"/>
              <w:right w:val="nil"/>
            </w:tcBorders>
          </w:tcPr>
          <w:p w14:paraId="24AF89BE"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6" w:type="pct"/>
            <w:tcBorders>
              <w:top w:val="nil"/>
              <w:left w:val="nil"/>
              <w:bottom w:val="nil"/>
              <w:right w:val="nil"/>
            </w:tcBorders>
          </w:tcPr>
          <w:p w14:paraId="7D43F132"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5" w:type="pct"/>
            <w:tcBorders>
              <w:top w:val="nil"/>
              <w:left w:val="nil"/>
              <w:bottom w:val="nil"/>
              <w:right w:val="nil"/>
            </w:tcBorders>
          </w:tcPr>
          <w:p w14:paraId="32890DB1"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-0.204***</w:t>
            </w:r>
          </w:p>
        </w:tc>
        <w:tc>
          <w:tcPr>
            <w:tcW w:w="1047" w:type="pct"/>
            <w:tcBorders>
              <w:top w:val="nil"/>
              <w:left w:val="nil"/>
              <w:bottom w:val="nil"/>
              <w:right w:val="nil"/>
            </w:tcBorders>
          </w:tcPr>
          <w:p w14:paraId="4EDF02F6"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D32171" w14:paraId="36DF681F" w14:textId="77777777" w:rsidTr="00B768F6">
        <w:trPr>
          <w:trHeight w:val="288"/>
          <w:jc w:val="center"/>
        </w:trPr>
        <w:tc>
          <w:tcPr>
            <w:tcW w:w="865" w:type="pct"/>
            <w:tcBorders>
              <w:top w:val="nil"/>
              <w:left w:val="nil"/>
              <w:bottom w:val="nil"/>
              <w:right w:val="nil"/>
            </w:tcBorders>
          </w:tcPr>
          <w:p w14:paraId="6D006E80"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997" w:type="pct"/>
            <w:tcBorders>
              <w:top w:val="nil"/>
              <w:left w:val="nil"/>
              <w:bottom w:val="nil"/>
              <w:right w:val="nil"/>
            </w:tcBorders>
          </w:tcPr>
          <w:p w14:paraId="449C1D49"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6" w:type="pct"/>
            <w:tcBorders>
              <w:top w:val="nil"/>
              <w:left w:val="nil"/>
              <w:bottom w:val="nil"/>
              <w:right w:val="nil"/>
            </w:tcBorders>
          </w:tcPr>
          <w:p w14:paraId="341C4BDE"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5" w:type="pct"/>
            <w:tcBorders>
              <w:top w:val="nil"/>
              <w:left w:val="nil"/>
              <w:bottom w:val="nil"/>
              <w:right w:val="nil"/>
            </w:tcBorders>
          </w:tcPr>
          <w:p w14:paraId="3C974F07"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(0.0525)</w:t>
            </w:r>
          </w:p>
        </w:tc>
        <w:tc>
          <w:tcPr>
            <w:tcW w:w="1047" w:type="pct"/>
            <w:tcBorders>
              <w:top w:val="nil"/>
              <w:left w:val="nil"/>
              <w:bottom w:val="nil"/>
              <w:right w:val="nil"/>
            </w:tcBorders>
          </w:tcPr>
          <w:p w14:paraId="13BF8F0B"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D32171" w14:paraId="0589C923" w14:textId="77777777" w:rsidTr="00B768F6">
        <w:trPr>
          <w:trHeight w:val="288"/>
          <w:jc w:val="center"/>
        </w:trPr>
        <w:tc>
          <w:tcPr>
            <w:tcW w:w="865" w:type="pct"/>
            <w:tcBorders>
              <w:top w:val="nil"/>
              <w:left w:val="nil"/>
              <w:bottom w:val="nil"/>
              <w:right w:val="nil"/>
            </w:tcBorders>
          </w:tcPr>
          <w:p w14:paraId="33AA3FE9"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EC</w:t>
            </w:r>
          </w:p>
        </w:tc>
        <w:tc>
          <w:tcPr>
            <w:tcW w:w="997" w:type="pct"/>
            <w:tcBorders>
              <w:top w:val="nil"/>
              <w:left w:val="nil"/>
              <w:bottom w:val="nil"/>
              <w:right w:val="nil"/>
            </w:tcBorders>
          </w:tcPr>
          <w:p w14:paraId="25628E89"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0.0633*</w:t>
            </w:r>
          </w:p>
        </w:tc>
        <w:tc>
          <w:tcPr>
            <w:tcW w:w="1046" w:type="pct"/>
            <w:tcBorders>
              <w:top w:val="nil"/>
              <w:left w:val="nil"/>
              <w:bottom w:val="nil"/>
              <w:right w:val="nil"/>
            </w:tcBorders>
          </w:tcPr>
          <w:p w14:paraId="5102DCC9"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5" w:type="pct"/>
            <w:tcBorders>
              <w:top w:val="nil"/>
              <w:left w:val="nil"/>
              <w:bottom w:val="nil"/>
              <w:right w:val="nil"/>
            </w:tcBorders>
          </w:tcPr>
          <w:p w14:paraId="75DCDBA4"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0.0976***</w:t>
            </w:r>
          </w:p>
        </w:tc>
        <w:tc>
          <w:tcPr>
            <w:tcW w:w="1047" w:type="pct"/>
            <w:tcBorders>
              <w:top w:val="nil"/>
              <w:left w:val="nil"/>
              <w:bottom w:val="nil"/>
              <w:right w:val="nil"/>
            </w:tcBorders>
          </w:tcPr>
          <w:p w14:paraId="34E30D80"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D32171" w14:paraId="69FEA9CE" w14:textId="77777777" w:rsidTr="00B768F6">
        <w:trPr>
          <w:trHeight w:val="288"/>
          <w:jc w:val="center"/>
        </w:trPr>
        <w:tc>
          <w:tcPr>
            <w:tcW w:w="865" w:type="pct"/>
            <w:tcBorders>
              <w:top w:val="nil"/>
              <w:left w:val="nil"/>
              <w:bottom w:val="nil"/>
              <w:right w:val="nil"/>
            </w:tcBorders>
          </w:tcPr>
          <w:p w14:paraId="11F5EAD5"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997" w:type="pct"/>
            <w:tcBorders>
              <w:top w:val="nil"/>
              <w:left w:val="nil"/>
              <w:bottom w:val="nil"/>
              <w:right w:val="nil"/>
            </w:tcBorders>
          </w:tcPr>
          <w:p w14:paraId="223E99D0"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(0.0363)</w:t>
            </w:r>
          </w:p>
        </w:tc>
        <w:tc>
          <w:tcPr>
            <w:tcW w:w="1046" w:type="pct"/>
            <w:tcBorders>
              <w:top w:val="nil"/>
              <w:left w:val="nil"/>
              <w:bottom w:val="nil"/>
              <w:right w:val="nil"/>
            </w:tcBorders>
          </w:tcPr>
          <w:p w14:paraId="569F8F63"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5" w:type="pct"/>
            <w:tcBorders>
              <w:top w:val="nil"/>
              <w:left w:val="nil"/>
              <w:bottom w:val="nil"/>
              <w:right w:val="nil"/>
            </w:tcBorders>
          </w:tcPr>
          <w:p w14:paraId="424CA61A"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(0.0318)</w:t>
            </w:r>
          </w:p>
        </w:tc>
        <w:tc>
          <w:tcPr>
            <w:tcW w:w="1047" w:type="pct"/>
            <w:tcBorders>
              <w:top w:val="nil"/>
              <w:left w:val="nil"/>
              <w:bottom w:val="nil"/>
              <w:right w:val="nil"/>
            </w:tcBorders>
          </w:tcPr>
          <w:p w14:paraId="118D04D2"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D32171" w14:paraId="3C28D2FF" w14:textId="77777777" w:rsidTr="00B768F6">
        <w:trPr>
          <w:trHeight w:val="288"/>
          <w:jc w:val="center"/>
        </w:trPr>
        <w:tc>
          <w:tcPr>
            <w:tcW w:w="1862" w:type="pct"/>
            <w:gridSpan w:val="2"/>
            <w:tcBorders>
              <w:top w:val="nil"/>
              <w:left w:val="nil"/>
              <w:bottom w:val="nil"/>
              <w:right w:val="nil"/>
            </w:tcBorders>
          </w:tcPr>
          <w:p w14:paraId="69C5228B" w14:textId="77777777" w:rsidR="006757F3" w:rsidRPr="000A0494"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6429D0">
              <w:rPr>
                <w:rFonts w:ascii="Times New Roman" w:hAnsi="Times New Roman" w:cs="Times New Roman"/>
                <w:i/>
                <w:iCs/>
                <w:sz w:val="20"/>
                <w:szCs w:val="20"/>
              </w:rPr>
              <w:t xml:space="preserve">Moderating </w:t>
            </w:r>
            <w:r>
              <w:rPr>
                <w:rFonts w:ascii="Times New Roman" w:hAnsi="Times New Roman" w:cs="Times New Roman"/>
                <w:i/>
                <w:iCs/>
                <w:sz w:val="20"/>
                <w:szCs w:val="20"/>
              </w:rPr>
              <w:t>e</w:t>
            </w:r>
            <w:r w:rsidRPr="006429D0">
              <w:rPr>
                <w:rFonts w:ascii="Times New Roman" w:hAnsi="Times New Roman" w:cs="Times New Roman"/>
                <w:i/>
                <w:iCs/>
                <w:sz w:val="20"/>
                <w:szCs w:val="20"/>
              </w:rPr>
              <w:t>ffect</w:t>
            </w:r>
            <w:r>
              <w:rPr>
                <w:rFonts w:ascii="Times New Roman" w:hAnsi="Times New Roman" w:cs="Times New Roman"/>
                <w:i/>
                <w:iCs/>
                <w:sz w:val="20"/>
                <w:szCs w:val="20"/>
              </w:rPr>
              <w:t>s:</w:t>
            </w:r>
          </w:p>
        </w:tc>
        <w:tc>
          <w:tcPr>
            <w:tcW w:w="1046" w:type="pct"/>
            <w:tcBorders>
              <w:top w:val="nil"/>
              <w:left w:val="nil"/>
              <w:bottom w:val="nil"/>
              <w:right w:val="nil"/>
            </w:tcBorders>
          </w:tcPr>
          <w:p w14:paraId="4ACB1F1D"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5" w:type="pct"/>
            <w:tcBorders>
              <w:top w:val="nil"/>
              <w:left w:val="nil"/>
              <w:bottom w:val="nil"/>
              <w:right w:val="nil"/>
            </w:tcBorders>
          </w:tcPr>
          <w:p w14:paraId="6D757599"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7" w:type="pct"/>
            <w:tcBorders>
              <w:top w:val="nil"/>
              <w:left w:val="nil"/>
              <w:bottom w:val="nil"/>
              <w:right w:val="nil"/>
            </w:tcBorders>
          </w:tcPr>
          <w:p w14:paraId="4E2D5529"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D32171" w14:paraId="1280E739" w14:textId="77777777" w:rsidTr="00B768F6">
        <w:trPr>
          <w:trHeight w:val="288"/>
          <w:jc w:val="center"/>
        </w:trPr>
        <w:tc>
          <w:tcPr>
            <w:tcW w:w="865" w:type="pct"/>
            <w:tcBorders>
              <w:top w:val="nil"/>
              <w:left w:val="nil"/>
              <w:bottom w:val="nil"/>
              <w:right w:val="nil"/>
            </w:tcBorders>
          </w:tcPr>
          <w:p w14:paraId="053356F5"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PCRI*EC</w:t>
            </w:r>
          </w:p>
        </w:tc>
        <w:tc>
          <w:tcPr>
            <w:tcW w:w="997" w:type="pct"/>
            <w:tcBorders>
              <w:top w:val="nil"/>
              <w:left w:val="nil"/>
              <w:bottom w:val="nil"/>
              <w:right w:val="nil"/>
            </w:tcBorders>
          </w:tcPr>
          <w:p w14:paraId="1D9BB213"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6" w:type="pct"/>
            <w:tcBorders>
              <w:top w:val="nil"/>
              <w:left w:val="nil"/>
              <w:bottom w:val="nil"/>
              <w:right w:val="nil"/>
            </w:tcBorders>
          </w:tcPr>
          <w:p w14:paraId="790B37CC"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0.00131***</w:t>
            </w:r>
          </w:p>
        </w:tc>
        <w:tc>
          <w:tcPr>
            <w:tcW w:w="1045" w:type="pct"/>
            <w:tcBorders>
              <w:top w:val="nil"/>
              <w:left w:val="nil"/>
              <w:bottom w:val="nil"/>
              <w:right w:val="nil"/>
            </w:tcBorders>
          </w:tcPr>
          <w:p w14:paraId="3E689674"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7" w:type="pct"/>
            <w:tcBorders>
              <w:top w:val="nil"/>
              <w:left w:val="nil"/>
              <w:bottom w:val="nil"/>
              <w:right w:val="nil"/>
            </w:tcBorders>
          </w:tcPr>
          <w:p w14:paraId="4D60B808"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D32171" w14:paraId="23C4F467" w14:textId="77777777" w:rsidTr="00B768F6">
        <w:trPr>
          <w:trHeight w:val="288"/>
          <w:jc w:val="center"/>
        </w:trPr>
        <w:tc>
          <w:tcPr>
            <w:tcW w:w="865" w:type="pct"/>
            <w:tcBorders>
              <w:top w:val="nil"/>
              <w:left w:val="nil"/>
              <w:bottom w:val="nil"/>
              <w:right w:val="nil"/>
            </w:tcBorders>
          </w:tcPr>
          <w:p w14:paraId="763320CA"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997" w:type="pct"/>
            <w:tcBorders>
              <w:top w:val="nil"/>
              <w:left w:val="nil"/>
              <w:bottom w:val="nil"/>
              <w:right w:val="nil"/>
            </w:tcBorders>
          </w:tcPr>
          <w:p w14:paraId="227DD03C"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6" w:type="pct"/>
            <w:tcBorders>
              <w:top w:val="nil"/>
              <w:left w:val="nil"/>
              <w:bottom w:val="nil"/>
              <w:right w:val="nil"/>
            </w:tcBorders>
          </w:tcPr>
          <w:p w14:paraId="4FAA422C"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(0.000339)</w:t>
            </w:r>
          </w:p>
        </w:tc>
        <w:tc>
          <w:tcPr>
            <w:tcW w:w="1045" w:type="pct"/>
            <w:tcBorders>
              <w:top w:val="nil"/>
              <w:left w:val="nil"/>
              <w:bottom w:val="nil"/>
              <w:right w:val="nil"/>
            </w:tcBorders>
          </w:tcPr>
          <w:p w14:paraId="51B96A8D"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7" w:type="pct"/>
            <w:tcBorders>
              <w:top w:val="nil"/>
              <w:left w:val="nil"/>
              <w:bottom w:val="nil"/>
              <w:right w:val="nil"/>
            </w:tcBorders>
          </w:tcPr>
          <w:p w14:paraId="51397186"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D32171" w14:paraId="31D15990" w14:textId="77777777" w:rsidTr="00B768F6">
        <w:trPr>
          <w:trHeight w:val="288"/>
          <w:jc w:val="center"/>
        </w:trPr>
        <w:tc>
          <w:tcPr>
            <w:tcW w:w="865" w:type="pct"/>
            <w:tcBorders>
              <w:top w:val="nil"/>
              <w:left w:val="nil"/>
              <w:bottom w:val="nil"/>
              <w:right w:val="nil"/>
            </w:tcBorders>
          </w:tcPr>
          <w:p w14:paraId="55E0DB46"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GHG*EC</w:t>
            </w:r>
          </w:p>
        </w:tc>
        <w:tc>
          <w:tcPr>
            <w:tcW w:w="997" w:type="pct"/>
            <w:tcBorders>
              <w:top w:val="nil"/>
              <w:left w:val="nil"/>
              <w:bottom w:val="nil"/>
              <w:right w:val="nil"/>
            </w:tcBorders>
          </w:tcPr>
          <w:p w14:paraId="2E48EDB0"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6" w:type="pct"/>
            <w:tcBorders>
              <w:top w:val="nil"/>
              <w:left w:val="nil"/>
              <w:bottom w:val="nil"/>
              <w:right w:val="nil"/>
            </w:tcBorders>
          </w:tcPr>
          <w:p w14:paraId="3ED349EF"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5" w:type="pct"/>
            <w:tcBorders>
              <w:top w:val="nil"/>
              <w:left w:val="nil"/>
              <w:bottom w:val="nil"/>
              <w:right w:val="nil"/>
            </w:tcBorders>
          </w:tcPr>
          <w:p w14:paraId="4AC83D3A"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7" w:type="pct"/>
            <w:tcBorders>
              <w:top w:val="nil"/>
              <w:left w:val="nil"/>
              <w:bottom w:val="nil"/>
              <w:right w:val="nil"/>
            </w:tcBorders>
          </w:tcPr>
          <w:p w14:paraId="7EE1A705"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-0.000134</w:t>
            </w:r>
          </w:p>
        </w:tc>
      </w:tr>
      <w:tr w:rsidR="006757F3" w:rsidRPr="00D32171" w14:paraId="50BD2D8F" w14:textId="77777777" w:rsidTr="00B768F6">
        <w:trPr>
          <w:trHeight w:val="288"/>
          <w:jc w:val="center"/>
        </w:trPr>
        <w:tc>
          <w:tcPr>
            <w:tcW w:w="865" w:type="pct"/>
            <w:tcBorders>
              <w:top w:val="nil"/>
              <w:left w:val="nil"/>
              <w:bottom w:val="nil"/>
              <w:right w:val="nil"/>
            </w:tcBorders>
          </w:tcPr>
          <w:p w14:paraId="4765AEC5"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997" w:type="pct"/>
            <w:tcBorders>
              <w:top w:val="nil"/>
              <w:left w:val="nil"/>
              <w:bottom w:val="nil"/>
              <w:right w:val="nil"/>
            </w:tcBorders>
          </w:tcPr>
          <w:p w14:paraId="22EEA405"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6" w:type="pct"/>
            <w:tcBorders>
              <w:top w:val="nil"/>
              <w:left w:val="nil"/>
              <w:bottom w:val="nil"/>
              <w:right w:val="nil"/>
            </w:tcBorders>
          </w:tcPr>
          <w:p w14:paraId="38170F3C"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5" w:type="pct"/>
            <w:tcBorders>
              <w:top w:val="nil"/>
              <w:left w:val="nil"/>
              <w:bottom w:val="nil"/>
              <w:right w:val="nil"/>
            </w:tcBorders>
          </w:tcPr>
          <w:p w14:paraId="67B04C35"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7" w:type="pct"/>
            <w:tcBorders>
              <w:top w:val="nil"/>
              <w:left w:val="nil"/>
              <w:bottom w:val="nil"/>
              <w:right w:val="nil"/>
            </w:tcBorders>
          </w:tcPr>
          <w:p w14:paraId="71687E2B"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(0.00145)</w:t>
            </w:r>
          </w:p>
        </w:tc>
      </w:tr>
      <w:tr w:rsidR="006757F3" w:rsidRPr="00D32171" w14:paraId="647977E6" w14:textId="77777777" w:rsidTr="00B768F6">
        <w:trPr>
          <w:trHeight w:val="288"/>
          <w:jc w:val="center"/>
        </w:trPr>
        <w:tc>
          <w:tcPr>
            <w:tcW w:w="1862" w:type="pct"/>
            <w:gridSpan w:val="2"/>
            <w:tcBorders>
              <w:top w:val="nil"/>
              <w:left w:val="nil"/>
              <w:bottom w:val="nil"/>
              <w:right w:val="nil"/>
            </w:tcBorders>
          </w:tcPr>
          <w:p w14:paraId="04899D32" w14:textId="77777777" w:rsidR="006757F3" w:rsidRPr="000A0494"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6429D0">
              <w:rPr>
                <w:rFonts w:ascii="Times New Roman" w:hAnsi="Times New Roman" w:cs="Times New Roman"/>
                <w:i/>
                <w:iCs/>
                <w:sz w:val="20"/>
                <w:szCs w:val="20"/>
              </w:rPr>
              <w:t>Control variables:</w:t>
            </w:r>
          </w:p>
        </w:tc>
        <w:tc>
          <w:tcPr>
            <w:tcW w:w="1046" w:type="pct"/>
            <w:tcBorders>
              <w:top w:val="nil"/>
              <w:left w:val="nil"/>
              <w:bottom w:val="nil"/>
              <w:right w:val="nil"/>
            </w:tcBorders>
          </w:tcPr>
          <w:p w14:paraId="2E603D44"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5" w:type="pct"/>
            <w:tcBorders>
              <w:top w:val="nil"/>
              <w:left w:val="nil"/>
              <w:bottom w:val="nil"/>
              <w:right w:val="nil"/>
            </w:tcBorders>
          </w:tcPr>
          <w:p w14:paraId="3D1B12B9"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47" w:type="pct"/>
            <w:tcBorders>
              <w:top w:val="nil"/>
              <w:left w:val="nil"/>
              <w:bottom w:val="nil"/>
              <w:right w:val="nil"/>
            </w:tcBorders>
          </w:tcPr>
          <w:p w14:paraId="52AA25D0"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D32171" w14:paraId="61054B64" w14:textId="77777777" w:rsidTr="00B768F6">
        <w:trPr>
          <w:trHeight w:val="288"/>
          <w:jc w:val="center"/>
        </w:trPr>
        <w:tc>
          <w:tcPr>
            <w:tcW w:w="865" w:type="pct"/>
            <w:tcBorders>
              <w:top w:val="nil"/>
              <w:left w:val="nil"/>
              <w:bottom w:val="nil"/>
              <w:right w:val="nil"/>
            </w:tcBorders>
          </w:tcPr>
          <w:p w14:paraId="22F99C81"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roofErr w:type="spellStart"/>
            <w:r w:rsidRPr="000D5ABB">
              <w:rPr>
                <w:rFonts w:ascii="Times New Roman" w:hAnsi="Times New Roman" w:cs="Times New Roman"/>
                <w:sz w:val="20"/>
                <w:szCs w:val="20"/>
              </w:rPr>
              <w:t>B</w:t>
            </w:r>
            <w:r>
              <w:rPr>
                <w:rFonts w:ascii="Times New Roman" w:hAnsi="Times New Roman" w:cs="Times New Roman"/>
                <w:sz w:val="20"/>
                <w:szCs w:val="20"/>
              </w:rPr>
              <w:t>.</w:t>
            </w:r>
            <w:r w:rsidRPr="000D5ABB">
              <w:rPr>
                <w:rFonts w:ascii="Times New Roman" w:hAnsi="Times New Roman" w:cs="Times New Roman"/>
                <w:sz w:val="20"/>
                <w:szCs w:val="20"/>
              </w:rPr>
              <w:t>size</w:t>
            </w:r>
            <w:proofErr w:type="spellEnd"/>
          </w:p>
        </w:tc>
        <w:tc>
          <w:tcPr>
            <w:tcW w:w="997" w:type="pct"/>
            <w:tcBorders>
              <w:top w:val="nil"/>
              <w:left w:val="nil"/>
              <w:bottom w:val="nil"/>
              <w:right w:val="nil"/>
            </w:tcBorders>
          </w:tcPr>
          <w:p w14:paraId="5CF5D48F"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-0.0570</w:t>
            </w:r>
          </w:p>
        </w:tc>
        <w:tc>
          <w:tcPr>
            <w:tcW w:w="1046" w:type="pct"/>
            <w:tcBorders>
              <w:top w:val="nil"/>
              <w:left w:val="nil"/>
              <w:bottom w:val="nil"/>
              <w:right w:val="nil"/>
            </w:tcBorders>
          </w:tcPr>
          <w:p w14:paraId="5DE847AA"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-0.00886</w:t>
            </w:r>
          </w:p>
        </w:tc>
        <w:tc>
          <w:tcPr>
            <w:tcW w:w="1045" w:type="pct"/>
            <w:tcBorders>
              <w:top w:val="nil"/>
              <w:left w:val="nil"/>
              <w:bottom w:val="nil"/>
              <w:right w:val="nil"/>
            </w:tcBorders>
          </w:tcPr>
          <w:p w14:paraId="33123D2B"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0.0488</w:t>
            </w:r>
          </w:p>
        </w:tc>
        <w:tc>
          <w:tcPr>
            <w:tcW w:w="1047" w:type="pct"/>
            <w:tcBorders>
              <w:top w:val="nil"/>
              <w:left w:val="nil"/>
              <w:bottom w:val="nil"/>
              <w:right w:val="nil"/>
            </w:tcBorders>
          </w:tcPr>
          <w:p w14:paraId="5DC1707D"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0.128</w:t>
            </w:r>
          </w:p>
        </w:tc>
      </w:tr>
      <w:tr w:rsidR="006757F3" w:rsidRPr="00D32171" w14:paraId="54833808" w14:textId="77777777" w:rsidTr="00B768F6">
        <w:trPr>
          <w:trHeight w:val="288"/>
          <w:jc w:val="center"/>
        </w:trPr>
        <w:tc>
          <w:tcPr>
            <w:tcW w:w="865" w:type="pct"/>
            <w:tcBorders>
              <w:top w:val="nil"/>
              <w:left w:val="nil"/>
              <w:bottom w:val="nil"/>
              <w:right w:val="nil"/>
            </w:tcBorders>
          </w:tcPr>
          <w:p w14:paraId="232A2F52"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997" w:type="pct"/>
            <w:tcBorders>
              <w:top w:val="nil"/>
              <w:left w:val="nil"/>
              <w:bottom w:val="nil"/>
              <w:right w:val="nil"/>
            </w:tcBorders>
          </w:tcPr>
          <w:p w14:paraId="24661729"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(0.0897)</w:t>
            </w:r>
          </w:p>
        </w:tc>
        <w:tc>
          <w:tcPr>
            <w:tcW w:w="1046" w:type="pct"/>
            <w:tcBorders>
              <w:top w:val="nil"/>
              <w:left w:val="nil"/>
              <w:bottom w:val="nil"/>
              <w:right w:val="nil"/>
            </w:tcBorders>
          </w:tcPr>
          <w:p w14:paraId="7B934679"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(0.0712)</w:t>
            </w:r>
          </w:p>
        </w:tc>
        <w:tc>
          <w:tcPr>
            <w:tcW w:w="1045" w:type="pct"/>
            <w:tcBorders>
              <w:top w:val="nil"/>
              <w:left w:val="nil"/>
              <w:bottom w:val="nil"/>
              <w:right w:val="nil"/>
            </w:tcBorders>
          </w:tcPr>
          <w:p w14:paraId="5C039434"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(0.134)</w:t>
            </w:r>
          </w:p>
        </w:tc>
        <w:tc>
          <w:tcPr>
            <w:tcW w:w="1047" w:type="pct"/>
            <w:tcBorders>
              <w:top w:val="nil"/>
              <w:left w:val="nil"/>
              <w:bottom w:val="nil"/>
              <w:right w:val="nil"/>
            </w:tcBorders>
          </w:tcPr>
          <w:p w14:paraId="10597FA9"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(0.131)</w:t>
            </w:r>
          </w:p>
        </w:tc>
      </w:tr>
      <w:tr w:rsidR="006757F3" w:rsidRPr="00D32171" w14:paraId="51D42C37" w14:textId="77777777" w:rsidTr="00B768F6">
        <w:trPr>
          <w:trHeight w:val="288"/>
          <w:jc w:val="center"/>
        </w:trPr>
        <w:tc>
          <w:tcPr>
            <w:tcW w:w="865" w:type="pct"/>
            <w:tcBorders>
              <w:top w:val="nil"/>
              <w:left w:val="nil"/>
              <w:bottom w:val="nil"/>
              <w:right w:val="nil"/>
            </w:tcBorders>
          </w:tcPr>
          <w:p w14:paraId="4909693E"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Separation</w:t>
            </w:r>
          </w:p>
        </w:tc>
        <w:tc>
          <w:tcPr>
            <w:tcW w:w="997" w:type="pct"/>
            <w:tcBorders>
              <w:top w:val="nil"/>
              <w:left w:val="nil"/>
              <w:bottom w:val="nil"/>
              <w:right w:val="nil"/>
            </w:tcBorders>
          </w:tcPr>
          <w:p w14:paraId="09173D4D"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-0.251***</w:t>
            </w:r>
          </w:p>
        </w:tc>
        <w:tc>
          <w:tcPr>
            <w:tcW w:w="1046" w:type="pct"/>
            <w:tcBorders>
              <w:top w:val="nil"/>
              <w:left w:val="nil"/>
              <w:bottom w:val="nil"/>
              <w:right w:val="nil"/>
            </w:tcBorders>
          </w:tcPr>
          <w:p w14:paraId="5B977B47"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-0.206**</w:t>
            </w:r>
          </w:p>
        </w:tc>
        <w:tc>
          <w:tcPr>
            <w:tcW w:w="1045" w:type="pct"/>
            <w:tcBorders>
              <w:top w:val="nil"/>
              <w:left w:val="nil"/>
              <w:bottom w:val="nil"/>
              <w:right w:val="nil"/>
            </w:tcBorders>
          </w:tcPr>
          <w:p w14:paraId="5D61377F"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-0.267***</w:t>
            </w:r>
          </w:p>
        </w:tc>
        <w:tc>
          <w:tcPr>
            <w:tcW w:w="1047" w:type="pct"/>
            <w:tcBorders>
              <w:top w:val="nil"/>
              <w:left w:val="nil"/>
              <w:bottom w:val="nil"/>
              <w:right w:val="nil"/>
            </w:tcBorders>
          </w:tcPr>
          <w:p w14:paraId="759AE1C5"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-0.217***</w:t>
            </w:r>
          </w:p>
        </w:tc>
      </w:tr>
      <w:tr w:rsidR="006757F3" w:rsidRPr="00D32171" w14:paraId="258D34CF" w14:textId="77777777" w:rsidTr="00B768F6">
        <w:trPr>
          <w:trHeight w:val="288"/>
          <w:jc w:val="center"/>
        </w:trPr>
        <w:tc>
          <w:tcPr>
            <w:tcW w:w="865" w:type="pct"/>
            <w:tcBorders>
              <w:top w:val="nil"/>
              <w:left w:val="nil"/>
              <w:bottom w:val="nil"/>
              <w:right w:val="nil"/>
            </w:tcBorders>
          </w:tcPr>
          <w:p w14:paraId="53B11850"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997" w:type="pct"/>
            <w:tcBorders>
              <w:top w:val="nil"/>
              <w:left w:val="nil"/>
              <w:bottom w:val="nil"/>
              <w:right w:val="nil"/>
            </w:tcBorders>
          </w:tcPr>
          <w:p w14:paraId="4BFEA933"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(0.0899)</w:t>
            </w:r>
          </w:p>
        </w:tc>
        <w:tc>
          <w:tcPr>
            <w:tcW w:w="1046" w:type="pct"/>
            <w:tcBorders>
              <w:top w:val="nil"/>
              <w:left w:val="nil"/>
              <w:bottom w:val="nil"/>
              <w:right w:val="nil"/>
            </w:tcBorders>
          </w:tcPr>
          <w:p w14:paraId="03ADF833"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(0.0813)</w:t>
            </w:r>
          </w:p>
        </w:tc>
        <w:tc>
          <w:tcPr>
            <w:tcW w:w="1045" w:type="pct"/>
            <w:tcBorders>
              <w:top w:val="nil"/>
              <w:left w:val="nil"/>
              <w:bottom w:val="nil"/>
              <w:right w:val="nil"/>
            </w:tcBorders>
          </w:tcPr>
          <w:p w14:paraId="44177ADE"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(0.0864)</w:t>
            </w:r>
          </w:p>
        </w:tc>
        <w:tc>
          <w:tcPr>
            <w:tcW w:w="1047" w:type="pct"/>
            <w:tcBorders>
              <w:top w:val="nil"/>
              <w:left w:val="nil"/>
              <w:bottom w:val="nil"/>
              <w:right w:val="nil"/>
            </w:tcBorders>
          </w:tcPr>
          <w:p w14:paraId="53D17548"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(0.0638)</w:t>
            </w:r>
          </w:p>
        </w:tc>
      </w:tr>
      <w:tr w:rsidR="006757F3" w:rsidRPr="00D32171" w14:paraId="5186AB21" w14:textId="77777777" w:rsidTr="00B768F6">
        <w:trPr>
          <w:trHeight w:val="288"/>
          <w:jc w:val="center"/>
        </w:trPr>
        <w:tc>
          <w:tcPr>
            <w:tcW w:w="865" w:type="pct"/>
            <w:tcBorders>
              <w:top w:val="nil"/>
              <w:left w:val="nil"/>
              <w:bottom w:val="nil"/>
              <w:right w:val="nil"/>
            </w:tcBorders>
          </w:tcPr>
          <w:p w14:paraId="352FA106"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Independence</w:t>
            </w:r>
          </w:p>
        </w:tc>
        <w:tc>
          <w:tcPr>
            <w:tcW w:w="997" w:type="pct"/>
            <w:tcBorders>
              <w:top w:val="nil"/>
              <w:left w:val="nil"/>
              <w:bottom w:val="nil"/>
              <w:right w:val="nil"/>
            </w:tcBorders>
          </w:tcPr>
          <w:p w14:paraId="7F412304"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-0.00135</w:t>
            </w:r>
          </w:p>
        </w:tc>
        <w:tc>
          <w:tcPr>
            <w:tcW w:w="1046" w:type="pct"/>
            <w:tcBorders>
              <w:top w:val="nil"/>
              <w:left w:val="nil"/>
              <w:bottom w:val="nil"/>
              <w:right w:val="nil"/>
            </w:tcBorders>
          </w:tcPr>
          <w:p w14:paraId="00E9475E"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-0.000627</w:t>
            </w:r>
          </w:p>
        </w:tc>
        <w:tc>
          <w:tcPr>
            <w:tcW w:w="1045" w:type="pct"/>
            <w:tcBorders>
              <w:top w:val="nil"/>
              <w:left w:val="nil"/>
              <w:bottom w:val="nil"/>
              <w:right w:val="nil"/>
            </w:tcBorders>
          </w:tcPr>
          <w:p w14:paraId="10639ED1"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-0.00225*</w:t>
            </w:r>
          </w:p>
        </w:tc>
        <w:tc>
          <w:tcPr>
            <w:tcW w:w="1047" w:type="pct"/>
            <w:tcBorders>
              <w:top w:val="nil"/>
              <w:left w:val="nil"/>
              <w:bottom w:val="nil"/>
              <w:right w:val="nil"/>
            </w:tcBorders>
          </w:tcPr>
          <w:p w14:paraId="58D07E35"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-0.00203*</w:t>
            </w:r>
          </w:p>
        </w:tc>
      </w:tr>
      <w:tr w:rsidR="006757F3" w:rsidRPr="00D32171" w14:paraId="3030AAB8" w14:textId="77777777" w:rsidTr="00B768F6">
        <w:trPr>
          <w:trHeight w:val="288"/>
          <w:jc w:val="center"/>
        </w:trPr>
        <w:tc>
          <w:tcPr>
            <w:tcW w:w="865" w:type="pct"/>
            <w:tcBorders>
              <w:top w:val="nil"/>
              <w:left w:val="nil"/>
              <w:bottom w:val="nil"/>
              <w:right w:val="nil"/>
            </w:tcBorders>
          </w:tcPr>
          <w:p w14:paraId="365FFA7D"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997" w:type="pct"/>
            <w:tcBorders>
              <w:top w:val="nil"/>
              <w:left w:val="nil"/>
              <w:bottom w:val="nil"/>
              <w:right w:val="nil"/>
            </w:tcBorders>
          </w:tcPr>
          <w:p w14:paraId="1B195DA9"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(0.000998)</w:t>
            </w:r>
          </w:p>
        </w:tc>
        <w:tc>
          <w:tcPr>
            <w:tcW w:w="1046" w:type="pct"/>
            <w:tcBorders>
              <w:top w:val="nil"/>
              <w:left w:val="nil"/>
              <w:bottom w:val="nil"/>
              <w:right w:val="nil"/>
            </w:tcBorders>
          </w:tcPr>
          <w:p w14:paraId="372AE47A"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(0.000914)</w:t>
            </w:r>
          </w:p>
        </w:tc>
        <w:tc>
          <w:tcPr>
            <w:tcW w:w="1045" w:type="pct"/>
            <w:tcBorders>
              <w:top w:val="nil"/>
              <w:left w:val="nil"/>
              <w:bottom w:val="nil"/>
              <w:right w:val="nil"/>
            </w:tcBorders>
          </w:tcPr>
          <w:p w14:paraId="038BEC1F"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(0.00119)</w:t>
            </w:r>
          </w:p>
        </w:tc>
        <w:tc>
          <w:tcPr>
            <w:tcW w:w="1047" w:type="pct"/>
            <w:tcBorders>
              <w:top w:val="nil"/>
              <w:left w:val="nil"/>
              <w:bottom w:val="nil"/>
              <w:right w:val="nil"/>
            </w:tcBorders>
          </w:tcPr>
          <w:p w14:paraId="29EE25E6"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(0.00105)</w:t>
            </w:r>
          </w:p>
        </w:tc>
      </w:tr>
      <w:tr w:rsidR="006757F3" w:rsidRPr="00D32171" w14:paraId="0B63E34E" w14:textId="77777777" w:rsidTr="00B768F6">
        <w:trPr>
          <w:trHeight w:val="288"/>
          <w:jc w:val="center"/>
        </w:trPr>
        <w:tc>
          <w:tcPr>
            <w:tcW w:w="865" w:type="pct"/>
            <w:tcBorders>
              <w:top w:val="nil"/>
              <w:left w:val="nil"/>
              <w:bottom w:val="nil"/>
              <w:right w:val="nil"/>
            </w:tcBorders>
          </w:tcPr>
          <w:p w14:paraId="5612173B"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Firm Size</w:t>
            </w:r>
          </w:p>
        </w:tc>
        <w:tc>
          <w:tcPr>
            <w:tcW w:w="997" w:type="pct"/>
            <w:tcBorders>
              <w:top w:val="nil"/>
              <w:left w:val="nil"/>
              <w:bottom w:val="nil"/>
              <w:right w:val="nil"/>
            </w:tcBorders>
          </w:tcPr>
          <w:p w14:paraId="0F1209BA"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-0.111***</w:t>
            </w:r>
          </w:p>
        </w:tc>
        <w:tc>
          <w:tcPr>
            <w:tcW w:w="1046" w:type="pct"/>
            <w:tcBorders>
              <w:top w:val="nil"/>
              <w:left w:val="nil"/>
              <w:bottom w:val="nil"/>
              <w:right w:val="nil"/>
            </w:tcBorders>
          </w:tcPr>
          <w:p w14:paraId="420BEF80"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-0.102***</w:t>
            </w:r>
          </w:p>
        </w:tc>
        <w:tc>
          <w:tcPr>
            <w:tcW w:w="1045" w:type="pct"/>
            <w:tcBorders>
              <w:top w:val="nil"/>
              <w:left w:val="nil"/>
              <w:bottom w:val="nil"/>
              <w:right w:val="nil"/>
            </w:tcBorders>
          </w:tcPr>
          <w:p w14:paraId="5EEFCD8D"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0.0958</w:t>
            </w:r>
          </w:p>
        </w:tc>
        <w:tc>
          <w:tcPr>
            <w:tcW w:w="1047" w:type="pct"/>
            <w:tcBorders>
              <w:top w:val="nil"/>
              <w:left w:val="nil"/>
              <w:bottom w:val="nil"/>
              <w:right w:val="nil"/>
            </w:tcBorders>
          </w:tcPr>
          <w:p w14:paraId="30AD8213"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-0.102***</w:t>
            </w:r>
          </w:p>
        </w:tc>
      </w:tr>
      <w:tr w:rsidR="006757F3" w:rsidRPr="00D32171" w14:paraId="4B6EF357" w14:textId="77777777" w:rsidTr="00B768F6">
        <w:trPr>
          <w:trHeight w:val="288"/>
          <w:jc w:val="center"/>
        </w:trPr>
        <w:tc>
          <w:tcPr>
            <w:tcW w:w="865" w:type="pct"/>
            <w:tcBorders>
              <w:top w:val="nil"/>
              <w:left w:val="nil"/>
              <w:bottom w:val="nil"/>
              <w:right w:val="nil"/>
            </w:tcBorders>
          </w:tcPr>
          <w:p w14:paraId="1213D6FE"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997" w:type="pct"/>
            <w:tcBorders>
              <w:top w:val="nil"/>
              <w:left w:val="nil"/>
              <w:bottom w:val="nil"/>
              <w:right w:val="nil"/>
            </w:tcBorders>
          </w:tcPr>
          <w:p w14:paraId="1E2B95D5"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(0.0262)</w:t>
            </w:r>
          </w:p>
        </w:tc>
        <w:tc>
          <w:tcPr>
            <w:tcW w:w="1046" w:type="pct"/>
            <w:tcBorders>
              <w:top w:val="nil"/>
              <w:left w:val="nil"/>
              <w:bottom w:val="nil"/>
              <w:right w:val="nil"/>
            </w:tcBorders>
          </w:tcPr>
          <w:p w14:paraId="091FD1C4"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(0.0239)</w:t>
            </w:r>
          </w:p>
        </w:tc>
        <w:tc>
          <w:tcPr>
            <w:tcW w:w="1045" w:type="pct"/>
            <w:tcBorders>
              <w:top w:val="nil"/>
              <w:left w:val="nil"/>
              <w:bottom w:val="nil"/>
              <w:right w:val="nil"/>
            </w:tcBorders>
          </w:tcPr>
          <w:p w14:paraId="24BF0753"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(0.0616)</w:t>
            </w:r>
          </w:p>
        </w:tc>
        <w:tc>
          <w:tcPr>
            <w:tcW w:w="1047" w:type="pct"/>
            <w:tcBorders>
              <w:top w:val="nil"/>
              <w:left w:val="nil"/>
              <w:bottom w:val="nil"/>
              <w:right w:val="nil"/>
            </w:tcBorders>
          </w:tcPr>
          <w:p w14:paraId="4F88BAB1"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(0.0359)</w:t>
            </w:r>
          </w:p>
        </w:tc>
      </w:tr>
      <w:tr w:rsidR="006757F3" w:rsidRPr="00D32171" w14:paraId="5FB24082" w14:textId="77777777" w:rsidTr="00B768F6">
        <w:trPr>
          <w:trHeight w:val="288"/>
          <w:jc w:val="center"/>
        </w:trPr>
        <w:tc>
          <w:tcPr>
            <w:tcW w:w="865" w:type="pct"/>
            <w:tcBorders>
              <w:top w:val="nil"/>
              <w:left w:val="nil"/>
              <w:bottom w:val="nil"/>
              <w:right w:val="nil"/>
            </w:tcBorders>
          </w:tcPr>
          <w:p w14:paraId="7A7A1EAD"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Profitability</w:t>
            </w:r>
          </w:p>
        </w:tc>
        <w:tc>
          <w:tcPr>
            <w:tcW w:w="997" w:type="pct"/>
            <w:tcBorders>
              <w:top w:val="nil"/>
              <w:left w:val="nil"/>
              <w:bottom w:val="nil"/>
              <w:right w:val="nil"/>
            </w:tcBorders>
          </w:tcPr>
          <w:p w14:paraId="39F7DD64"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0.00350</w:t>
            </w:r>
          </w:p>
        </w:tc>
        <w:tc>
          <w:tcPr>
            <w:tcW w:w="1046" w:type="pct"/>
            <w:tcBorders>
              <w:top w:val="nil"/>
              <w:left w:val="nil"/>
              <w:bottom w:val="nil"/>
              <w:right w:val="nil"/>
            </w:tcBorders>
          </w:tcPr>
          <w:p w14:paraId="74F5199F"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0.00478</w:t>
            </w:r>
          </w:p>
        </w:tc>
        <w:tc>
          <w:tcPr>
            <w:tcW w:w="1045" w:type="pct"/>
            <w:tcBorders>
              <w:top w:val="nil"/>
              <w:left w:val="nil"/>
              <w:bottom w:val="nil"/>
              <w:right w:val="nil"/>
            </w:tcBorders>
          </w:tcPr>
          <w:p w14:paraId="79E4CFDC"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0.0662**</w:t>
            </w:r>
          </w:p>
        </w:tc>
        <w:tc>
          <w:tcPr>
            <w:tcW w:w="1047" w:type="pct"/>
            <w:tcBorders>
              <w:top w:val="nil"/>
              <w:left w:val="nil"/>
              <w:bottom w:val="nil"/>
              <w:right w:val="nil"/>
            </w:tcBorders>
          </w:tcPr>
          <w:p w14:paraId="5A0728BA"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0.0675**</w:t>
            </w:r>
          </w:p>
        </w:tc>
      </w:tr>
      <w:tr w:rsidR="006757F3" w:rsidRPr="00D32171" w14:paraId="3BF4B9A6" w14:textId="77777777" w:rsidTr="00B768F6">
        <w:trPr>
          <w:trHeight w:val="288"/>
          <w:jc w:val="center"/>
        </w:trPr>
        <w:tc>
          <w:tcPr>
            <w:tcW w:w="865" w:type="pct"/>
            <w:tcBorders>
              <w:top w:val="nil"/>
              <w:left w:val="nil"/>
              <w:bottom w:val="nil"/>
              <w:right w:val="nil"/>
            </w:tcBorders>
          </w:tcPr>
          <w:p w14:paraId="5461AC5E"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997" w:type="pct"/>
            <w:tcBorders>
              <w:top w:val="nil"/>
              <w:left w:val="nil"/>
              <w:bottom w:val="nil"/>
              <w:right w:val="nil"/>
            </w:tcBorders>
          </w:tcPr>
          <w:p w14:paraId="421E76A1"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(0.00368)</w:t>
            </w:r>
          </w:p>
        </w:tc>
        <w:tc>
          <w:tcPr>
            <w:tcW w:w="1046" w:type="pct"/>
            <w:tcBorders>
              <w:top w:val="nil"/>
              <w:left w:val="nil"/>
              <w:bottom w:val="nil"/>
              <w:right w:val="nil"/>
            </w:tcBorders>
          </w:tcPr>
          <w:p w14:paraId="25B9C838"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(0.00379)</w:t>
            </w:r>
          </w:p>
        </w:tc>
        <w:tc>
          <w:tcPr>
            <w:tcW w:w="1045" w:type="pct"/>
            <w:tcBorders>
              <w:top w:val="nil"/>
              <w:left w:val="nil"/>
              <w:bottom w:val="nil"/>
              <w:right w:val="nil"/>
            </w:tcBorders>
          </w:tcPr>
          <w:p w14:paraId="6342DBFE"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(0.0330)</w:t>
            </w:r>
          </w:p>
        </w:tc>
        <w:tc>
          <w:tcPr>
            <w:tcW w:w="1047" w:type="pct"/>
            <w:tcBorders>
              <w:top w:val="nil"/>
              <w:left w:val="nil"/>
              <w:bottom w:val="nil"/>
              <w:right w:val="nil"/>
            </w:tcBorders>
          </w:tcPr>
          <w:p w14:paraId="16FE7C56"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(0.0334)</w:t>
            </w:r>
          </w:p>
        </w:tc>
      </w:tr>
      <w:tr w:rsidR="006757F3" w:rsidRPr="00D32171" w14:paraId="13521B7B" w14:textId="77777777" w:rsidTr="00B768F6">
        <w:trPr>
          <w:trHeight w:val="288"/>
          <w:jc w:val="center"/>
        </w:trPr>
        <w:tc>
          <w:tcPr>
            <w:tcW w:w="865" w:type="pct"/>
            <w:tcBorders>
              <w:top w:val="nil"/>
              <w:left w:val="nil"/>
              <w:bottom w:val="nil"/>
              <w:right w:val="nil"/>
            </w:tcBorders>
          </w:tcPr>
          <w:p w14:paraId="3682D6F1"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Debt</w:t>
            </w:r>
          </w:p>
        </w:tc>
        <w:tc>
          <w:tcPr>
            <w:tcW w:w="997" w:type="pct"/>
            <w:tcBorders>
              <w:top w:val="nil"/>
              <w:left w:val="nil"/>
              <w:bottom w:val="nil"/>
              <w:right w:val="nil"/>
            </w:tcBorders>
          </w:tcPr>
          <w:p w14:paraId="547CB9E2"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0.00179</w:t>
            </w:r>
          </w:p>
        </w:tc>
        <w:tc>
          <w:tcPr>
            <w:tcW w:w="1046" w:type="pct"/>
            <w:tcBorders>
              <w:top w:val="nil"/>
              <w:left w:val="nil"/>
              <w:bottom w:val="nil"/>
              <w:right w:val="nil"/>
            </w:tcBorders>
          </w:tcPr>
          <w:p w14:paraId="4FF4073D"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0.00139</w:t>
            </w:r>
          </w:p>
        </w:tc>
        <w:tc>
          <w:tcPr>
            <w:tcW w:w="1045" w:type="pct"/>
            <w:tcBorders>
              <w:top w:val="nil"/>
              <w:left w:val="nil"/>
              <w:bottom w:val="nil"/>
              <w:right w:val="nil"/>
            </w:tcBorders>
          </w:tcPr>
          <w:p w14:paraId="5FC69DD4"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-0.000425</w:t>
            </w:r>
          </w:p>
        </w:tc>
        <w:tc>
          <w:tcPr>
            <w:tcW w:w="1047" w:type="pct"/>
            <w:tcBorders>
              <w:top w:val="nil"/>
              <w:left w:val="nil"/>
              <w:bottom w:val="nil"/>
              <w:right w:val="nil"/>
            </w:tcBorders>
          </w:tcPr>
          <w:p w14:paraId="61A1B2B8"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-0.000326</w:t>
            </w:r>
          </w:p>
        </w:tc>
      </w:tr>
      <w:tr w:rsidR="006757F3" w:rsidRPr="00D32171" w14:paraId="43607939" w14:textId="77777777" w:rsidTr="00B768F6">
        <w:trPr>
          <w:trHeight w:val="288"/>
          <w:jc w:val="center"/>
        </w:trPr>
        <w:tc>
          <w:tcPr>
            <w:tcW w:w="865" w:type="pct"/>
            <w:tcBorders>
              <w:top w:val="nil"/>
              <w:left w:val="nil"/>
              <w:bottom w:val="nil"/>
              <w:right w:val="nil"/>
            </w:tcBorders>
          </w:tcPr>
          <w:p w14:paraId="4FF500F8"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997" w:type="pct"/>
            <w:tcBorders>
              <w:top w:val="nil"/>
              <w:left w:val="nil"/>
              <w:bottom w:val="nil"/>
              <w:right w:val="nil"/>
            </w:tcBorders>
          </w:tcPr>
          <w:p w14:paraId="05330848"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(0.00198)</w:t>
            </w:r>
          </w:p>
        </w:tc>
        <w:tc>
          <w:tcPr>
            <w:tcW w:w="1046" w:type="pct"/>
            <w:tcBorders>
              <w:top w:val="nil"/>
              <w:left w:val="nil"/>
              <w:bottom w:val="nil"/>
              <w:right w:val="nil"/>
            </w:tcBorders>
          </w:tcPr>
          <w:p w14:paraId="11D17200"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(0.00198)</w:t>
            </w:r>
          </w:p>
        </w:tc>
        <w:tc>
          <w:tcPr>
            <w:tcW w:w="1045" w:type="pct"/>
            <w:tcBorders>
              <w:top w:val="nil"/>
              <w:left w:val="nil"/>
              <w:bottom w:val="nil"/>
              <w:right w:val="nil"/>
            </w:tcBorders>
          </w:tcPr>
          <w:p w14:paraId="2B0F1430"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(0.00206)</w:t>
            </w:r>
          </w:p>
        </w:tc>
        <w:tc>
          <w:tcPr>
            <w:tcW w:w="1047" w:type="pct"/>
            <w:tcBorders>
              <w:top w:val="nil"/>
              <w:left w:val="nil"/>
              <w:bottom w:val="nil"/>
              <w:right w:val="nil"/>
            </w:tcBorders>
          </w:tcPr>
          <w:p w14:paraId="7C863306"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(0.00174)</w:t>
            </w:r>
          </w:p>
        </w:tc>
      </w:tr>
      <w:tr w:rsidR="006757F3" w:rsidRPr="00D32171" w14:paraId="47AEAA6C" w14:textId="77777777" w:rsidTr="00B768F6">
        <w:trPr>
          <w:trHeight w:val="288"/>
          <w:jc w:val="center"/>
        </w:trPr>
        <w:tc>
          <w:tcPr>
            <w:tcW w:w="865" w:type="pct"/>
            <w:tcBorders>
              <w:top w:val="nil"/>
              <w:left w:val="nil"/>
              <w:bottom w:val="nil"/>
              <w:right w:val="nil"/>
            </w:tcBorders>
          </w:tcPr>
          <w:p w14:paraId="671745EA"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Cash</w:t>
            </w:r>
          </w:p>
        </w:tc>
        <w:tc>
          <w:tcPr>
            <w:tcW w:w="997" w:type="pct"/>
            <w:tcBorders>
              <w:top w:val="nil"/>
              <w:left w:val="nil"/>
              <w:bottom w:val="nil"/>
              <w:right w:val="nil"/>
            </w:tcBorders>
          </w:tcPr>
          <w:p w14:paraId="02E2036B"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1.766***</w:t>
            </w:r>
          </w:p>
        </w:tc>
        <w:tc>
          <w:tcPr>
            <w:tcW w:w="1046" w:type="pct"/>
            <w:tcBorders>
              <w:top w:val="nil"/>
              <w:left w:val="nil"/>
              <w:bottom w:val="nil"/>
              <w:right w:val="nil"/>
            </w:tcBorders>
          </w:tcPr>
          <w:p w14:paraId="33A9D871"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1.848***</w:t>
            </w:r>
          </w:p>
        </w:tc>
        <w:tc>
          <w:tcPr>
            <w:tcW w:w="1045" w:type="pct"/>
            <w:tcBorders>
              <w:top w:val="nil"/>
              <w:left w:val="nil"/>
              <w:bottom w:val="nil"/>
              <w:right w:val="nil"/>
            </w:tcBorders>
          </w:tcPr>
          <w:p w14:paraId="15E14637"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1.850***</w:t>
            </w:r>
          </w:p>
        </w:tc>
        <w:tc>
          <w:tcPr>
            <w:tcW w:w="1047" w:type="pct"/>
            <w:tcBorders>
              <w:top w:val="nil"/>
              <w:left w:val="nil"/>
              <w:bottom w:val="nil"/>
              <w:right w:val="nil"/>
            </w:tcBorders>
          </w:tcPr>
          <w:p w14:paraId="7E4F6A51"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1.610**</w:t>
            </w:r>
          </w:p>
        </w:tc>
      </w:tr>
      <w:tr w:rsidR="006757F3" w:rsidRPr="00D32171" w14:paraId="78AF51C2" w14:textId="77777777" w:rsidTr="00B768F6">
        <w:trPr>
          <w:trHeight w:val="288"/>
          <w:jc w:val="center"/>
        </w:trPr>
        <w:tc>
          <w:tcPr>
            <w:tcW w:w="865" w:type="pct"/>
            <w:tcBorders>
              <w:top w:val="nil"/>
              <w:left w:val="nil"/>
              <w:bottom w:val="nil"/>
              <w:right w:val="nil"/>
            </w:tcBorders>
          </w:tcPr>
          <w:p w14:paraId="12CCDAF6"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997" w:type="pct"/>
            <w:tcBorders>
              <w:top w:val="nil"/>
              <w:left w:val="nil"/>
              <w:bottom w:val="nil"/>
              <w:right w:val="nil"/>
            </w:tcBorders>
          </w:tcPr>
          <w:p w14:paraId="57F8CE28"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(0.351)</w:t>
            </w:r>
          </w:p>
        </w:tc>
        <w:tc>
          <w:tcPr>
            <w:tcW w:w="1046" w:type="pct"/>
            <w:tcBorders>
              <w:top w:val="nil"/>
              <w:left w:val="nil"/>
              <w:bottom w:val="nil"/>
              <w:right w:val="nil"/>
            </w:tcBorders>
          </w:tcPr>
          <w:p w14:paraId="7F09B69C"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(0.355)</w:t>
            </w:r>
          </w:p>
        </w:tc>
        <w:tc>
          <w:tcPr>
            <w:tcW w:w="1045" w:type="pct"/>
            <w:tcBorders>
              <w:top w:val="nil"/>
              <w:left w:val="nil"/>
              <w:bottom w:val="nil"/>
              <w:right w:val="nil"/>
            </w:tcBorders>
          </w:tcPr>
          <w:p w14:paraId="32AF75F5"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(0.613)</w:t>
            </w:r>
          </w:p>
        </w:tc>
        <w:tc>
          <w:tcPr>
            <w:tcW w:w="1047" w:type="pct"/>
            <w:tcBorders>
              <w:top w:val="nil"/>
              <w:left w:val="nil"/>
              <w:bottom w:val="nil"/>
              <w:right w:val="nil"/>
            </w:tcBorders>
          </w:tcPr>
          <w:p w14:paraId="104D1871"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(0.630)</w:t>
            </w:r>
          </w:p>
        </w:tc>
      </w:tr>
      <w:tr w:rsidR="006757F3" w:rsidRPr="00D32171" w14:paraId="5414E4EE" w14:textId="77777777" w:rsidTr="00B768F6">
        <w:trPr>
          <w:trHeight w:val="288"/>
          <w:jc w:val="center"/>
        </w:trPr>
        <w:tc>
          <w:tcPr>
            <w:tcW w:w="865" w:type="pct"/>
            <w:tcBorders>
              <w:top w:val="nil"/>
              <w:left w:val="nil"/>
              <w:bottom w:val="nil"/>
              <w:right w:val="nil"/>
            </w:tcBorders>
          </w:tcPr>
          <w:p w14:paraId="78E06DD8"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roofErr w:type="spellStart"/>
            <w:r w:rsidRPr="000D5ABB">
              <w:rPr>
                <w:rFonts w:ascii="Times New Roman" w:hAnsi="Times New Roman" w:cs="Times New Roman"/>
                <w:sz w:val="20"/>
                <w:szCs w:val="20"/>
              </w:rPr>
              <w:t>Cap</w:t>
            </w:r>
            <w:r>
              <w:rPr>
                <w:rFonts w:ascii="Times New Roman" w:hAnsi="Times New Roman" w:cs="Times New Roman"/>
                <w:sz w:val="20"/>
                <w:szCs w:val="20"/>
              </w:rPr>
              <w:t>_</w:t>
            </w:r>
            <w:r w:rsidRPr="000D5ABB">
              <w:rPr>
                <w:rFonts w:ascii="Times New Roman" w:hAnsi="Times New Roman" w:cs="Times New Roman"/>
                <w:sz w:val="20"/>
                <w:szCs w:val="20"/>
              </w:rPr>
              <w:t>intensity</w:t>
            </w:r>
            <w:proofErr w:type="spellEnd"/>
          </w:p>
        </w:tc>
        <w:tc>
          <w:tcPr>
            <w:tcW w:w="997" w:type="pct"/>
            <w:tcBorders>
              <w:top w:val="nil"/>
              <w:left w:val="nil"/>
              <w:bottom w:val="nil"/>
              <w:right w:val="nil"/>
            </w:tcBorders>
          </w:tcPr>
          <w:p w14:paraId="54E2E6BC"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0.0918</w:t>
            </w:r>
          </w:p>
        </w:tc>
        <w:tc>
          <w:tcPr>
            <w:tcW w:w="1046" w:type="pct"/>
            <w:tcBorders>
              <w:top w:val="nil"/>
              <w:left w:val="nil"/>
              <w:bottom w:val="nil"/>
              <w:right w:val="nil"/>
            </w:tcBorders>
          </w:tcPr>
          <w:p w14:paraId="1FBAB076"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0.0708</w:t>
            </w:r>
          </w:p>
        </w:tc>
        <w:tc>
          <w:tcPr>
            <w:tcW w:w="1045" w:type="pct"/>
            <w:tcBorders>
              <w:top w:val="nil"/>
              <w:left w:val="nil"/>
              <w:bottom w:val="nil"/>
              <w:right w:val="nil"/>
            </w:tcBorders>
          </w:tcPr>
          <w:p w14:paraId="58106380"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0.686***</w:t>
            </w:r>
          </w:p>
        </w:tc>
        <w:tc>
          <w:tcPr>
            <w:tcW w:w="1047" w:type="pct"/>
            <w:tcBorders>
              <w:top w:val="nil"/>
              <w:left w:val="nil"/>
              <w:bottom w:val="nil"/>
              <w:right w:val="nil"/>
            </w:tcBorders>
          </w:tcPr>
          <w:p w14:paraId="07C60E07"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0.161*</w:t>
            </w:r>
          </w:p>
        </w:tc>
      </w:tr>
      <w:tr w:rsidR="006757F3" w:rsidRPr="00D32171" w14:paraId="29801D37" w14:textId="77777777" w:rsidTr="00B768F6">
        <w:trPr>
          <w:trHeight w:val="288"/>
          <w:jc w:val="center"/>
        </w:trPr>
        <w:tc>
          <w:tcPr>
            <w:tcW w:w="865" w:type="pct"/>
            <w:tcBorders>
              <w:top w:val="nil"/>
              <w:left w:val="nil"/>
              <w:bottom w:val="nil"/>
              <w:right w:val="nil"/>
            </w:tcBorders>
          </w:tcPr>
          <w:p w14:paraId="409F55C1"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997" w:type="pct"/>
            <w:tcBorders>
              <w:top w:val="nil"/>
              <w:left w:val="nil"/>
              <w:bottom w:val="nil"/>
              <w:right w:val="nil"/>
            </w:tcBorders>
          </w:tcPr>
          <w:p w14:paraId="3BA9980B"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(0.0658)</w:t>
            </w:r>
          </w:p>
        </w:tc>
        <w:tc>
          <w:tcPr>
            <w:tcW w:w="1046" w:type="pct"/>
            <w:tcBorders>
              <w:top w:val="nil"/>
              <w:left w:val="nil"/>
              <w:bottom w:val="nil"/>
              <w:right w:val="nil"/>
            </w:tcBorders>
          </w:tcPr>
          <w:p w14:paraId="743AAA0C"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(0.0638)</w:t>
            </w:r>
          </w:p>
        </w:tc>
        <w:tc>
          <w:tcPr>
            <w:tcW w:w="1045" w:type="pct"/>
            <w:tcBorders>
              <w:top w:val="nil"/>
              <w:left w:val="nil"/>
              <w:bottom w:val="nil"/>
              <w:right w:val="nil"/>
            </w:tcBorders>
          </w:tcPr>
          <w:p w14:paraId="099A7637"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(0.152)</w:t>
            </w:r>
          </w:p>
        </w:tc>
        <w:tc>
          <w:tcPr>
            <w:tcW w:w="1047" w:type="pct"/>
            <w:tcBorders>
              <w:top w:val="nil"/>
              <w:left w:val="nil"/>
              <w:bottom w:val="nil"/>
              <w:right w:val="nil"/>
            </w:tcBorders>
          </w:tcPr>
          <w:p w14:paraId="05B5C62B"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(0.0976)</w:t>
            </w:r>
          </w:p>
        </w:tc>
      </w:tr>
      <w:tr w:rsidR="006757F3" w:rsidRPr="00D32171" w14:paraId="08C78A8B" w14:textId="77777777" w:rsidTr="00B768F6">
        <w:trPr>
          <w:trHeight w:val="288"/>
          <w:jc w:val="center"/>
        </w:trPr>
        <w:tc>
          <w:tcPr>
            <w:tcW w:w="865" w:type="pct"/>
            <w:tcBorders>
              <w:top w:val="nil"/>
              <w:left w:val="nil"/>
              <w:bottom w:val="nil"/>
              <w:right w:val="nil"/>
            </w:tcBorders>
          </w:tcPr>
          <w:p w14:paraId="32ED864C"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Capex</w:t>
            </w:r>
            <w:r>
              <w:rPr>
                <w:rFonts w:ascii="Times New Roman" w:hAnsi="Times New Roman" w:cs="Times New Roman"/>
                <w:sz w:val="20"/>
                <w:szCs w:val="20"/>
              </w:rPr>
              <w:t>2S</w:t>
            </w:r>
            <w:r w:rsidRPr="000D5ABB">
              <w:rPr>
                <w:rFonts w:ascii="Times New Roman" w:hAnsi="Times New Roman" w:cs="Times New Roman"/>
                <w:sz w:val="20"/>
                <w:szCs w:val="20"/>
              </w:rPr>
              <w:t>ales</w:t>
            </w:r>
          </w:p>
        </w:tc>
        <w:tc>
          <w:tcPr>
            <w:tcW w:w="997" w:type="pct"/>
            <w:tcBorders>
              <w:top w:val="nil"/>
              <w:left w:val="nil"/>
              <w:bottom w:val="nil"/>
              <w:right w:val="nil"/>
            </w:tcBorders>
          </w:tcPr>
          <w:p w14:paraId="5D45D7BE"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-0.00518**</w:t>
            </w:r>
          </w:p>
        </w:tc>
        <w:tc>
          <w:tcPr>
            <w:tcW w:w="1046" w:type="pct"/>
            <w:tcBorders>
              <w:top w:val="nil"/>
              <w:left w:val="nil"/>
              <w:bottom w:val="nil"/>
              <w:right w:val="nil"/>
            </w:tcBorders>
          </w:tcPr>
          <w:p w14:paraId="5B726E76"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-0.00641**</w:t>
            </w:r>
          </w:p>
        </w:tc>
        <w:tc>
          <w:tcPr>
            <w:tcW w:w="1045" w:type="pct"/>
            <w:tcBorders>
              <w:top w:val="nil"/>
              <w:left w:val="nil"/>
              <w:bottom w:val="nil"/>
              <w:right w:val="nil"/>
            </w:tcBorders>
          </w:tcPr>
          <w:p w14:paraId="500487EC"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-0.00498**</w:t>
            </w:r>
          </w:p>
        </w:tc>
        <w:tc>
          <w:tcPr>
            <w:tcW w:w="1047" w:type="pct"/>
            <w:tcBorders>
              <w:top w:val="nil"/>
              <w:left w:val="nil"/>
              <w:bottom w:val="nil"/>
              <w:right w:val="nil"/>
            </w:tcBorders>
          </w:tcPr>
          <w:p w14:paraId="58DF4784"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-0.00417*</w:t>
            </w:r>
          </w:p>
        </w:tc>
      </w:tr>
      <w:tr w:rsidR="006757F3" w:rsidRPr="00D32171" w14:paraId="38569564" w14:textId="77777777" w:rsidTr="00B768F6">
        <w:trPr>
          <w:trHeight w:val="288"/>
          <w:jc w:val="center"/>
        </w:trPr>
        <w:tc>
          <w:tcPr>
            <w:tcW w:w="865" w:type="pct"/>
            <w:tcBorders>
              <w:top w:val="nil"/>
              <w:left w:val="nil"/>
              <w:bottom w:val="nil"/>
              <w:right w:val="nil"/>
            </w:tcBorders>
          </w:tcPr>
          <w:p w14:paraId="6A1AA613"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997" w:type="pct"/>
            <w:tcBorders>
              <w:top w:val="nil"/>
              <w:left w:val="nil"/>
              <w:bottom w:val="nil"/>
              <w:right w:val="nil"/>
            </w:tcBorders>
          </w:tcPr>
          <w:p w14:paraId="1B620DDB"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(0.00241)</w:t>
            </w:r>
          </w:p>
        </w:tc>
        <w:tc>
          <w:tcPr>
            <w:tcW w:w="1046" w:type="pct"/>
            <w:tcBorders>
              <w:top w:val="nil"/>
              <w:left w:val="nil"/>
              <w:bottom w:val="nil"/>
              <w:right w:val="nil"/>
            </w:tcBorders>
          </w:tcPr>
          <w:p w14:paraId="1BBA5411"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(0.00311)</w:t>
            </w:r>
          </w:p>
        </w:tc>
        <w:tc>
          <w:tcPr>
            <w:tcW w:w="1045" w:type="pct"/>
            <w:tcBorders>
              <w:top w:val="nil"/>
              <w:left w:val="nil"/>
              <w:bottom w:val="nil"/>
              <w:right w:val="nil"/>
            </w:tcBorders>
          </w:tcPr>
          <w:p w14:paraId="5637CAEB"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(0.00223)</w:t>
            </w:r>
          </w:p>
        </w:tc>
        <w:tc>
          <w:tcPr>
            <w:tcW w:w="1047" w:type="pct"/>
            <w:tcBorders>
              <w:top w:val="nil"/>
              <w:left w:val="nil"/>
              <w:bottom w:val="nil"/>
              <w:right w:val="nil"/>
            </w:tcBorders>
          </w:tcPr>
          <w:p w14:paraId="357082CC"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(0.00244)</w:t>
            </w:r>
          </w:p>
        </w:tc>
      </w:tr>
      <w:tr w:rsidR="006757F3" w:rsidRPr="00D32171" w14:paraId="2D798A95" w14:textId="77777777" w:rsidTr="00B768F6">
        <w:trPr>
          <w:trHeight w:val="288"/>
          <w:jc w:val="center"/>
        </w:trPr>
        <w:tc>
          <w:tcPr>
            <w:tcW w:w="865" w:type="pct"/>
            <w:tcBorders>
              <w:top w:val="nil"/>
              <w:left w:val="nil"/>
              <w:bottom w:val="nil"/>
              <w:right w:val="nil"/>
            </w:tcBorders>
          </w:tcPr>
          <w:p w14:paraId="6CADE987"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Market</w:t>
            </w:r>
            <w:r>
              <w:rPr>
                <w:rFonts w:ascii="Times New Roman" w:hAnsi="Times New Roman" w:cs="Times New Roman"/>
                <w:sz w:val="20"/>
                <w:szCs w:val="20"/>
              </w:rPr>
              <w:t>2B</w:t>
            </w:r>
            <w:r w:rsidRPr="000D5ABB">
              <w:rPr>
                <w:rFonts w:ascii="Times New Roman" w:hAnsi="Times New Roman" w:cs="Times New Roman"/>
                <w:sz w:val="20"/>
                <w:szCs w:val="20"/>
              </w:rPr>
              <w:t>ook</w:t>
            </w:r>
          </w:p>
        </w:tc>
        <w:tc>
          <w:tcPr>
            <w:tcW w:w="997" w:type="pct"/>
            <w:tcBorders>
              <w:top w:val="nil"/>
              <w:left w:val="nil"/>
              <w:bottom w:val="nil"/>
              <w:right w:val="nil"/>
            </w:tcBorders>
          </w:tcPr>
          <w:p w14:paraId="66E4D5D4"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0.00217***</w:t>
            </w:r>
          </w:p>
        </w:tc>
        <w:tc>
          <w:tcPr>
            <w:tcW w:w="1046" w:type="pct"/>
            <w:tcBorders>
              <w:top w:val="nil"/>
              <w:left w:val="nil"/>
              <w:bottom w:val="nil"/>
              <w:right w:val="nil"/>
            </w:tcBorders>
          </w:tcPr>
          <w:p w14:paraId="73EC1488"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0.00219***</w:t>
            </w:r>
          </w:p>
        </w:tc>
        <w:tc>
          <w:tcPr>
            <w:tcW w:w="1045" w:type="pct"/>
            <w:tcBorders>
              <w:top w:val="nil"/>
              <w:left w:val="nil"/>
              <w:bottom w:val="nil"/>
              <w:right w:val="nil"/>
            </w:tcBorders>
          </w:tcPr>
          <w:p w14:paraId="42DCA289"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0.00120**</w:t>
            </w:r>
          </w:p>
        </w:tc>
        <w:tc>
          <w:tcPr>
            <w:tcW w:w="1047" w:type="pct"/>
            <w:tcBorders>
              <w:top w:val="nil"/>
              <w:left w:val="nil"/>
              <w:bottom w:val="nil"/>
              <w:right w:val="nil"/>
            </w:tcBorders>
          </w:tcPr>
          <w:p w14:paraId="255448CC"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0.00133***</w:t>
            </w:r>
          </w:p>
        </w:tc>
      </w:tr>
      <w:tr w:rsidR="006757F3" w:rsidRPr="00D32171" w14:paraId="4D0AD769" w14:textId="77777777" w:rsidTr="00B768F6">
        <w:trPr>
          <w:trHeight w:val="288"/>
          <w:jc w:val="center"/>
        </w:trPr>
        <w:tc>
          <w:tcPr>
            <w:tcW w:w="865" w:type="pct"/>
            <w:tcBorders>
              <w:top w:val="nil"/>
              <w:left w:val="nil"/>
              <w:bottom w:val="nil"/>
              <w:right w:val="nil"/>
            </w:tcBorders>
          </w:tcPr>
          <w:p w14:paraId="2AC6531E"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997" w:type="pct"/>
            <w:tcBorders>
              <w:top w:val="nil"/>
              <w:left w:val="nil"/>
              <w:bottom w:val="nil"/>
              <w:right w:val="nil"/>
            </w:tcBorders>
          </w:tcPr>
          <w:p w14:paraId="156F6956"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(0.000145)</w:t>
            </w:r>
          </w:p>
        </w:tc>
        <w:tc>
          <w:tcPr>
            <w:tcW w:w="1046" w:type="pct"/>
            <w:tcBorders>
              <w:top w:val="nil"/>
              <w:left w:val="nil"/>
              <w:bottom w:val="nil"/>
              <w:right w:val="nil"/>
            </w:tcBorders>
          </w:tcPr>
          <w:p w14:paraId="6E28CDFF"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(0.000142)</w:t>
            </w:r>
          </w:p>
        </w:tc>
        <w:tc>
          <w:tcPr>
            <w:tcW w:w="1045" w:type="pct"/>
            <w:tcBorders>
              <w:top w:val="nil"/>
              <w:left w:val="nil"/>
              <w:bottom w:val="nil"/>
              <w:right w:val="nil"/>
            </w:tcBorders>
          </w:tcPr>
          <w:p w14:paraId="2E73B3F6"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(0.000470)</w:t>
            </w:r>
          </w:p>
        </w:tc>
        <w:tc>
          <w:tcPr>
            <w:tcW w:w="1047" w:type="pct"/>
            <w:tcBorders>
              <w:top w:val="nil"/>
              <w:left w:val="nil"/>
              <w:bottom w:val="nil"/>
              <w:right w:val="nil"/>
            </w:tcBorders>
          </w:tcPr>
          <w:p w14:paraId="27CBB5D1"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(0.000436)</w:t>
            </w:r>
          </w:p>
        </w:tc>
      </w:tr>
      <w:tr w:rsidR="006757F3" w:rsidRPr="00D32171" w14:paraId="3DFD7B5E" w14:textId="77777777" w:rsidTr="00B768F6">
        <w:trPr>
          <w:trHeight w:val="288"/>
          <w:jc w:val="center"/>
        </w:trPr>
        <w:tc>
          <w:tcPr>
            <w:tcW w:w="865" w:type="pct"/>
            <w:tcBorders>
              <w:top w:val="nil"/>
              <w:left w:val="nil"/>
              <w:bottom w:val="nil"/>
              <w:right w:val="nil"/>
            </w:tcBorders>
          </w:tcPr>
          <w:p w14:paraId="33F6B1BC"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Constant</w:t>
            </w:r>
          </w:p>
        </w:tc>
        <w:tc>
          <w:tcPr>
            <w:tcW w:w="997" w:type="pct"/>
            <w:tcBorders>
              <w:top w:val="nil"/>
              <w:left w:val="nil"/>
              <w:bottom w:val="nil"/>
              <w:right w:val="nil"/>
            </w:tcBorders>
          </w:tcPr>
          <w:p w14:paraId="1A0D43EE"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1.262***</w:t>
            </w:r>
          </w:p>
        </w:tc>
        <w:tc>
          <w:tcPr>
            <w:tcW w:w="1046" w:type="pct"/>
            <w:tcBorders>
              <w:top w:val="nil"/>
              <w:left w:val="nil"/>
              <w:bottom w:val="nil"/>
              <w:right w:val="nil"/>
            </w:tcBorders>
          </w:tcPr>
          <w:p w14:paraId="09F3B1A5"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1.880***</w:t>
            </w:r>
          </w:p>
        </w:tc>
        <w:tc>
          <w:tcPr>
            <w:tcW w:w="1045" w:type="pct"/>
            <w:tcBorders>
              <w:top w:val="nil"/>
              <w:left w:val="nil"/>
              <w:bottom w:val="nil"/>
              <w:right w:val="nil"/>
            </w:tcBorders>
          </w:tcPr>
          <w:p w14:paraId="64F2B28C"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-0.196</w:t>
            </w:r>
          </w:p>
        </w:tc>
        <w:tc>
          <w:tcPr>
            <w:tcW w:w="1047" w:type="pct"/>
            <w:tcBorders>
              <w:top w:val="nil"/>
              <w:left w:val="nil"/>
              <w:bottom w:val="nil"/>
              <w:right w:val="nil"/>
            </w:tcBorders>
          </w:tcPr>
          <w:p w14:paraId="4DB89A1F"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1.884***</w:t>
            </w:r>
          </w:p>
        </w:tc>
      </w:tr>
      <w:tr w:rsidR="006757F3" w:rsidRPr="00D32171" w14:paraId="7E1508F1" w14:textId="77777777" w:rsidTr="00B768F6">
        <w:trPr>
          <w:trHeight w:val="288"/>
          <w:jc w:val="center"/>
        </w:trPr>
        <w:tc>
          <w:tcPr>
            <w:tcW w:w="865" w:type="pct"/>
            <w:tcBorders>
              <w:top w:val="nil"/>
              <w:left w:val="nil"/>
              <w:bottom w:val="nil"/>
              <w:right w:val="nil"/>
            </w:tcBorders>
          </w:tcPr>
          <w:p w14:paraId="40729266"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997" w:type="pct"/>
            <w:tcBorders>
              <w:top w:val="nil"/>
              <w:left w:val="nil"/>
              <w:bottom w:val="nil"/>
              <w:right w:val="nil"/>
            </w:tcBorders>
          </w:tcPr>
          <w:p w14:paraId="06673750"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(0.441)</w:t>
            </w:r>
          </w:p>
        </w:tc>
        <w:tc>
          <w:tcPr>
            <w:tcW w:w="1046" w:type="pct"/>
            <w:tcBorders>
              <w:top w:val="nil"/>
              <w:left w:val="nil"/>
              <w:bottom w:val="nil"/>
              <w:right w:val="nil"/>
            </w:tcBorders>
          </w:tcPr>
          <w:p w14:paraId="40C1ACE3"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(0.348)</w:t>
            </w:r>
          </w:p>
        </w:tc>
        <w:tc>
          <w:tcPr>
            <w:tcW w:w="1045" w:type="pct"/>
            <w:tcBorders>
              <w:top w:val="nil"/>
              <w:left w:val="nil"/>
              <w:bottom w:val="nil"/>
              <w:right w:val="nil"/>
            </w:tcBorders>
          </w:tcPr>
          <w:p w14:paraId="61125C7A"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(0.568)</w:t>
            </w:r>
          </w:p>
        </w:tc>
        <w:tc>
          <w:tcPr>
            <w:tcW w:w="1047" w:type="pct"/>
            <w:tcBorders>
              <w:top w:val="nil"/>
              <w:left w:val="nil"/>
              <w:bottom w:val="nil"/>
              <w:right w:val="nil"/>
            </w:tcBorders>
          </w:tcPr>
          <w:p w14:paraId="18729043"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(0.331)</w:t>
            </w:r>
          </w:p>
        </w:tc>
      </w:tr>
      <w:tr w:rsidR="006757F3" w:rsidRPr="00D32171" w14:paraId="170C3EFD" w14:textId="77777777" w:rsidTr="00B768F6">
        <w:trPr>
          <w:trHeight w:val="288"/>
          <w:jc w:val="center"/>
        </w:trPr>
        <w:tc>
          <w:tcPr>
            <w:tcW w:w="865" w:type="pct"/>
            <w:tcBorders>
              <w:top w:val="nil"/>
              <w:left w:val="nil"/>
              <w:bottom w:val="nil"/>
              <w:right w:val="nil"/>
            </w:tcBorders>
          </w:tcPr>
          <w:p w14:paraId="08050502"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Country dummies</w:t>
            </w:r>
          </w:p>
        </w:tc>
        <w:tc>
          <w:tcPr>
            <w:tcW w:w="997" w:type="pct"/>
            <w:tcBorders>
              <w:top w:val="nil"/>
              <w:left w:val="nil"/>
              <w:bottom w:val="nil"/>
              <w:right w:val="nil"/>
            </w:tcBorders>
          </w:tcPr>
          <w:p w14:paraId="439DD027"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Yes</w:t>
            </w:r>
          </w:p>
        </w:tc>
        <w:tc>
          <w:tcPr>
            <w:tcW w:w="1046" w:type="pct"/>
            <w:tcBorders>
              <w:top w:val="nil"/>
              <w:left w:val="nil"/>
              <w:bottom w:val="nil"/>
              <w:right w:val="nil"/>
            </w:tcBorders>
          </w:tcPr>
          <w:p w14:paraId="18474B60"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Yes</w:t>
            </w:r>
          </w:p>
        </w:tc>
        <w:tc>
          <w:tcPr>
            <w:tcW w:w="1045" w:type="pct"/>
            <w:tcBorders>
              <w:top w:val="nil"/>
              <w:left w:val="nil"/>
              <w:bottom w:val="nil"/>
              <w:right w:val="nil"/>
            </w:tcBorders>
          </w:tcPr>
          <w:p w14:paraId="0223683D"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Yes</w:t>
            </w:r>
          </w:p>
        </w:tc>
        <w:tc>
          <w:tcPr>
            <w:tcW w:w="1047" w:type="pct"/>
            <w:tcBorders>
              <w:top w:val="nil"/>
              <w:left w:val="nil"/>
              <w:bottom w:val="nil"/>
              <w:right w:val="nil"/>
            </w:tcBorders>
          </w:tcPr>
          <w:p w14:paraId="23628EC7"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Yes</w:t>
            </w:r>
          </w:p>
        </w:tc>
      </w:tr>
      <w:tr w:rsidR="006757F3" w:rsidRPr="00D32171" w14:paraId="76A5D35A" w14:textId="77777777" w:rsidTr="00B768F6">
        <w:trPr>
          <w:trHeight w:val="288"/>
          <w:jc w:val="center"/>
        </w:trPr>
        <w:tc>
          <w:tcPr>
            <w:tcW w:w="865" w:type="pct"/>
            <w:tcBorders>
              <w:top w:val="nil"/>
              <w:left w:val="nil"/>
              <w:bottom w:val="nil"/>
              <w:right w:val="nil"/>
            </w:tcBorders>
          </w:tcPr>
          <w:p w14:paraId="4BD94075"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roofErr w:type="spellStart"/>
            <w:r w:rsidRPr="000D5ABB">
              <w:rPr>
                <w:rFonts w:ascii="Times New Roman" w:hAnsi="Times New Roman" w:cs="Times New Roman"/>
                <w:sz w:val="20"/>
                <w:szCs w:val="20"/>
              </w:rPr>
              <w:t>Obs</w:t>
            </w:r>
            <w:proofErr w:type="spellEnd"/>
          </w:p>
        </w:tc>
        <w:tc>
          <w:tcPr>
            <w:tcW w:w="997" w:type="pct"/>
            <w:tcBorders>
              <w:top w:val="nil"/>
              <w:left w:val="nil"/>
              <w:bottom w:val="nil"/>
              <w:right w:val="nil"/>
            </w:tcBorders>
          </w:tcPr>
          <w:p w14:paraId="688AAC75"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3,845</w:t>
            </w:r>
          </w:p>
        </w:tc>
        <w:tc>
          <w:tcPr>
            <w:tcW w:w="1046" w:type="pct"/>
            <w:tcBorders>
              <w:top w:val="nil"/>
              <w:left w:val="nil"/>
              <w:bottom w:val="nil"/>
              <w:right w:val="nil"/>
            </w:tcBorders>
          </w:tcPr>
          <w:p w14:paraId="2B06EA2F"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3,845</w:t>
            </w:r>
          </w:p>
        </w:tc>
        <w:tc>
          <w:tcPr>
            <w:tcW w:w="1045" w:type="pct"/>
            <w:tcBorders>
              <w:top w:val="nil"/>
              <w:left w:val="nil"/>
              <w:bottom w:val="nil"/>
              <w:right w:val="nil"/>
            </w:tcBorders>
          </w:tcPr>
          <w:p w14:paraId="4352D335"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2,830</w:t>
            </w:r>
          </w:p>
        </w:tc>
        <w:tc>
          <w:tcPr>
            <w:tcW w:w="1047" w:type="pct"/>
            <w:tcBorders>
              <w:top w:val="nil"/>
              <w:left w:val="nil"/>
              <w:bottom w:val="nil"/>
              <w:right w:val="nil"/>
            </w:tcBorders>
          </w:tcPr>
          <w:p w14:paraId="5B7D72B1"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2,830</w:t>
            </w:r>
          </w:p>
        </w:tc>
      </w:tr>
      <w:tr w:rsidR="006757F3" w:rsidRPr="00D32171" w14:paraId="548E3021" w14:textId="77777777" w:rsidTr="00B768F6">
        <w:tblPrEx>
          <w:tblBorders>
            <w:bottom w:val="single" w:sz="6" w:space="0" w:color="auto"/>
          </w:tblBorders>
        </w:tblPrEx>
        <w:trPr>
          <w:trHeight w:val="288"/>
          <w:jc w:val="center"/>
        </w:trPr>
        <w:tc>
          <w:tcPr>
            <w:tcW w:w="865" w:type="pct"/>
            <w:tcBorders>
              <w:top w:val="nil"/>
              <w:left w:val="nil"/>
              <w:bottom w:val="single" w:sz="6" w:space="0" w:color="auto"/>
              <w:right w:val="nil"/>
            </w:tcBorders>
          </w:tcPr>
          <w:p w14:paraId="52AA28D8"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No of firms</w:t>
            </w:r>
          </w:p>
        </w:tc>
        <w:tc>
          <w:tcPr>
            <w:tcW w:w="997" w:type="pct"/>
            <w:tcBorders>
              <w:top w:val="nil"/>
              <w:left w:val="nil"/>
              <w:bottom w:val="single" w:sz="6" w:space="0" w:color="auto"/>
              <w:right w:val="nil"/>
            </w:tcBorders>
          </w:tcPr>
          <w:p w14:paraId="64EDB7C4"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489</w:t>
            </w:r>
          </w:p>
        </w:tc>
        <w:tc>
          <w:tcPr>
            <w:tcW w:w="1046" w:type="pct"/>
            <w:tcBorders>
              <w:top w:val="nil"/>
              <w:left w:val="nil"/>
              <w:bottom w:val="single" w:sz="6" w:space="0" w:color="auto"/>
              <w:right w:val="nil"/>
            </w:tcBorders>
          </w:tcPr>
          <w:p w14:paraId="0EAFB71E"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489</w:t>
            </w:r>
          </w:p>
        </w:tc>
        <w:tc>
          <w:tcPr>
            <w:tcW w:w="1045" w:type="pct"/>
            <w:tcBorders>
              <w:top w:val="nil"/>
              <w:left w:val="nil"/>
              <w:bottom w:val="single" w:sz="6" w:space="0" w:color="auto"/>
              <w:right w:val="nil"/>
            </w:tcBorders>
          </w:tcPr>
          <w:p w14:paraId="0610B65F"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452</w:t>
            </w:r>
          </w:p>
        </w:tc>
        <w:tc>
          <w:tcPr>
            <w:tcW w:w="1047" w:type="pct"/>
            <w:tcBorders>
              <w:top w:val="nil"/>
              <w:left w:val="nil"/>
              <w:bottom w:val="single" w:sz="6" w:space="0" w:color="auto"/>
              <w:right w:val="nil"/>
            </w:tcBorders>
          </w:tcPr>
          <w:p w14:paraId="4A30FE07"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452</w:t>
            </w:r>
          </w:p>
        </w:tc>
      </w:tr>
    </w:tbl>
    <w:p w14:paraId="6DD936CE" w14:textId="77777777" w:rsidR="006757F3" w:rsidRDefault="006757F3" w:rsidP="006757F3">
      <w:pPr>
        <w:spacing w:after="0" w:line="240" w:lineRule="auto"/>
        <w:jc w:val="both"/>
        <w:rPr>
          <w:rFonts w:ascii="Times New Roman" w:hAnsi="Times New Roman" w:cs="Times New Roman"/>
          <w:sz w:val="20"/>
          <w:szCs w:val="20"/>
        </w:rPr>
      </w:pPr>
      <w:r w:rsidRPr="00641DED">
        <w:rPr>
          <w:rFonts w:ascii="Times New Roman" w:hAnsi="Times New Roman" w:cs="Times New Roman"/>
          <w:sz w:val="20"/>
          <w:szCs w:val="20"/>
        </w:rPr>
        <w:t xml:space="preserve">Notes: This table is based on generalized method of moments (GMM) panel data estimator, as proposed by Arellano and Bond (1991) and Blundell and Bond (1998) with </w:t>
      </w:r>
      <w:proofErr w:type="spellStart"/>
      <w:r w:rsidRPr="00641DED">
        <w:rPr>
          <w:rFonts w:ascii="Times New Roman" w:hAnsi="Times New Roman" w:cs="Times New Roman"/>
          <w:sz w:val="20"/>
          <w:szCs w:val="20"/>
        </w:rPr>
        <w:t>Windmeijer’s</w:t>
      </w:r>
      <w:proofErr w:type="spellEnd"/>
      <w:r w:rsidRPr="00641DED">
        <w:rPr>
          <w:rFonts w:ascii="Times New Roman" w:hAnsi="Times New Roman" w:cs="Times New Roman"/>
          <w:sz w:val="20"/>
          <w:szCs w:val="20"/>
        </w:rPr>
        <w:t xml:space="preserve"> (2005) finite sample correction and </w:t>
      </w:r>
      <w:r w:rsidRPr="00641DED">
        <w:rPr>
          <w:rFonts w:ascii="Times New Roman" w:hAnsi="Times New Roman" w:cs="Times New Roman"/>
          <w:sz w:val="20"/>
          <w:szCs w:val="20"/>
        </w:rPr>
        <w:lastRenderedPageBreak/>
        <w:t>heteroskedasticity-adjusted standard errors. ***, ** and * indicate statistical significance at 1, 5 and 10% levels, respectively.</w:t>
      </w:r>
    </w:p>
    <w:p w14:paraId="41186E5A" w14:textId="77777777" w:rsidR="006757F3" w:rsidRDefault="006757F3" w:rsidP="006757F3">
      <w:pPr>
        <w:spacing w:after="0" w:line="240" w:lineRule="auto"/>
        <w:jc w:val="both"/>
        <w:rPr>
          <w:rFonts w:ascii="Times New Roman" w:hAnsi="Times New Roman" w:cs="Times New Roman"/>
          <w:sz w:val="20"/>
          <w:szCs w:val="20"/>
        </w:rPr>
      </w:pPr>
    </w:p>
    <w:p w14:paraId="614E53BA" w14:textId="77777777" w:rsidR="006757F3" w:rsidRPr="002C527A" w:rsidRDefault="006757F3" w:rsidP="006757F3">
      <w:pPr>
        <w:spacing w:after="0" w:line="240" w:lineRule="auto"/>
        <w:jc w:val="both"/>
        <w:rPr>
          <w:rFonts w:ascii="Times New Roman" w:hAnsi="Times New Roman" w:cs="Times New Roman"/>
          <w:sz w:val="20"/>
          <w:szCs w:val="20"/>
        </w:rPr>
      </w:pPr>
    </w:p>
    <w:p w14:paraId="3DFBB0C9" w14:textId="77777777" w:rsidR="0029698B" w:rsidRDefault="0029698B" w:rsidP="006757F3">
      <w:pPr>
        <w:spacing w:after="0" w:line="240" w:lineRule="auto"/>
        <w:jc w:val="both"/>
        <w:rPr>
          <w:rFonts w:ascii="Times New Roman" w:hAnsi="Times New Roman" w:cs="Times New Roman"/>
          <w:i/>
        </w:rPr>
      </w:pPr>
    </w:p>
    <w:p w14:paraId="2455668C" w14:textId="77777777" w:rsidR="0029698B" w:rsidRDefault="0029698B" w:rsidP="006757F3">
      <w:pPr>
        <w:spacing w:after="0" w:line="240" w:lineRule="auto"/>
        <w:jc w:val="both"/>
        <w:rPr>
          <w:rFonts w:ascii="Times New Roman" w:hAnsi="Times New Roman" w:cs="Times New Roman"/>
          <w:i/>
        </w:rPr>
      </w:pPr>
    </w:p>
    <w:p w14:paraId="25C3E70D" w14:textId="77777777" w:rsidR="0029698B" w:rsidRDefault="0029698B" w:rsidP="006757F3">
      <w:pPr>
        <w:spacing w:after="0" w:line="240" w:lineRule="auto"/>
        <w:jc w:val="both"/>
        <w:rPr>
          <w:rFonts w:ascii="Times New Roman" w:hAnsi="Times New Roman" w:cs="Times New Roman"/>
          <w:i/>
        </w:rPr>
      </w:pPr>
    </w:p>
    <w:p w14:paraId="40518193" w14:textId="77777777" w:rsidR="0029698B" w:rsidRDefault="0029698B" w:rsidP="006757F3">
      <w:pPr>
        <w:spacing w:after="0" w:line="240" w:lineRule="auto"/>
        <w:jc w:val="both"/>
        <w:rPr>
          <w:rFonts w:ascii="Times New Roman" w:hAnsi="Times New Roman" w:cs="Times New Roman"/>
          <w:i/>
        </w:rPr>
      </w:pPr>
    </w:p>
    <w:p w14:paraId="0FB95E52" w14:textId="77777777" w:rsidR="0029698B" w:rsidRDefault="0029698B" w:rsidP="006757F3">
      <w:pPr>
        <w:spacing w:after="0" w:line="240" w:lineRule="auto"/>
        <w:jc w:val="both"/>
        <w:rPr>
          <w:rFonts w:ascii="Times New Roman" w:hAnsi="Times New Roman" w:cs="Times New Roman"/>
          <w:i/>
        </w:rPr>
      </w:pPr>
    </w:p>
    <w:p w14:paraId="7C50C8E4" w14:textId="77777777" w:rsidR="0029698B" w:rsidRDefault="0029698B" w:rsidP="006757F3">
      <w:pPr>
        <w:spacing w:after="0" w:line="240" w:lineRule="auto"/>
        <w:jc w:val="both"/>
        <w:rPr>
          <w:rFonts w:ascii="Times New Roman" w:hAnsi="Times New Roman" w:cs="Times New Roman"/>
          <w:i/>
        </w:rPr>
      </w:pPr>
    </w:p>
    <w:p w14:paraId="71F573AB" w14:textId="77777777" w:rsidR="0029698B" w:rsidRDefault="0029698B" w:rsidP="006757F3">
      <w:pPr>
        <w:spacing w:after="0" w:line="240" w:lineRule="auto"/>
        <w:jc w:val="both"/>
        <w:rPr>
          <w:rFonts w:ascii="Times New Roman" w:hAnsi="Times New Roman" w:cs="Times New Roman"/>
          <w:i/>
        </w:rPr>
      </w:pPr>
    </w:p>
    <w:p w14:paraId="2F859814" w14:textId="77777777" w:rsidR="0029698B" w:rsidRDefault="0029698B" w:rsidP="006757F3">
      <w:pPr>
        <w:spacing w:after="0" w:line="240" w:lineRule="auto"/>
        <w:jc w:val="both"/>
        <w:rPr>
          <w:rFonts w:ascii="Times New Roman" w:hAnsi="Times New Roman" w:cs="Times New Roman"/>
          <w:i/>
        </w:rPr>
      </w:pPr>
    </w:p>
    <w:p w14:paraId="1F53B674" w14:textId="77777777" w:rsidR="0029698B" w:rsidRDefault="0029698B" w:rsidP="006757F3">
      <w:pPr>
        <w:spacing w:after="0" w:line="240" w:lineRule="auto"/>
        <w:jc w:val="both"/>
        <w:rPr>
          <w:rFonts w:ascii="Times New Roman" w:hAnsi="Times New Roman" w:cs="Times New Roman"/>
          <w:i/>
        </w:rPr>
      </w:pPr>
    </w:p>
    <w:p w14:paraId="1F392430" w14:textId="77777777" w:rsidR="0029698B" w:rsidRDefault="0029698B" w:rsidP="006757F3">
      <w:pPr>
        <w:spacing w:after="0" w:line="240" w:lineRule="auto"/>
        <w:jc w:val="both"/>
        <w:rPr>
          <w:rFonts w:ascii="Times New Roman" w:hAnsi="Times New Roman" w:cs="Times New Roman"/>
          <w:i/>
        </w:rPr>
      </w:pPr>
    </w:p>
    <w:p w14:paraId="798CC2CF" w14:textId="77777777" w:rsidR="0029698B" w:rsidRDefault="0029698B" w:rsidP="006757F3">
      <w:pPr>
        <w:spacing w:after="0" w:line="240" w:lineRule="auto"/>
        <w:jc w:val="both"/>
        <w:rPr>
          <w:rFonts w:ascii="Times New Roman" w:hAnsi="Times New Roman" w:cs="Times New Roman"/>
          <w:i/>
        </w:rPr>
      </w:pPr>
    </w:p>
    <w:p w14:paraId="1934FF96" w14:textId="77777777" w:rsidR="0029698B" w:rsidRDefault="0029698B" w:rsidP="006757F3">
      <w:pPr>
        <w:spacing w:after="0" w:line="240" w:lineRule="auto"/>
        <w:jc w:val="both"/>
        <w:rPr>
          <w:rFonts w:ascii="Times New Roman" w:hAnsi="Times New Roman" w:cs="Times New Roman"/>
          <w:i/>
        </w:rPr>
      </w:pPr>
    </w:p>
    <w:p w14:paraId="5B332F84" w14:textId="77777777" w:rsidR="0029698B" w:rsidRDefault="0029698B" w:rsidP="006757F3">
      <w:pPr>
        <w:spacing w:after="0" w:line="240" w:lineRule="auto"/>
        <w:jc w:val="both"/>
        <w:rPr>
          <w:rFonts w:ascii="Times New Roman" w:hAnsi="Times New Roman" w:cs="Times New Roman"/>
          <w:i/>
        </w:rPr>
      </w:pPr>
    </w:p>
    <w:p w14:paraId="4466FA90" w14:textId="77777777" w:rsidR="0029698B" w:rsidRDefault="0029698B" w:rsidP="006757F3">
      <w:pPr>
        <w:spacing w:after="0" w:line="240" w:lineRule="auto"/>
        <w:jc w:val="both"/>
        <w:rPr>
          <w:rFonts w:ascii="Times New Roman" w:hAnsi="Times New Roman" w:cs="Times New Roman"/>
          <w:i/>
        </w:rPr>
      </w:pPr>
    </w:p>
    <w:p w14:paraId="5606F650" w14:textId="77777777" w:rsidR="0029698B" w:rsidRDefault="0029698B" w:rsidP="006757F3">
      <w:pPr>
        <w:spacing w:after="0" w:line="240" w:lineRule="auto"/>
        <w:jc w:val="both"/>
        <w:rPr>
          <w:rFonts w:ascii="Times New Roman" w:hAnsi="Times New Roman" w:cs="Times New Roman"/>
          <w:i/>
        </w:rPr>
      </w:pPr>
    </w:p>
    <w:p w14:paraId="5AB842FA" w14:textId="77777777" w:rsidR="0029698B" w:rsidRDefault="0029698B" w:rsidP="006757F3">
      <w:pPr>
        <w:spacing w:after="0" w:line="240" w:lineRule="auto"/>
        <w:jc w:val="both"/>
        <w:rPr>
          <w:rFonts w:ascii="Times New Roman" w:hAnsi="Times New Roman" w:cs="Times New Roman"/>
          <w:i/>
        </w:rPr>
      </w:pPr>
    </w:p>
    <w:p w14:paraId="7A2273FB" w14:textId="77777777" w:rsidR="0029698B" w:rsidRDefault="0029698B" w:rsidP="006757F3">
      <w:pPr>
        <w:spacing w:after="0" w:line="240" w:lineRule="auto"/>
        <w:jc w:val="both"/>
        <w:rPr>
          <w:rFonts w:ascii="Times New Roman" w:hAnsi="Times New Roman" w:cs="Times New Roman"/>
          <w:i/>
        </w:rPr>
      </w:pPr>
    </w:p>
    <w:p w14:paraId="1E3378FF" w14:textId="77777777" w:rsidR="0029698B" w:rsidRDefault="0029698B" w:rsidP="006757F3">
      <w:pPr>
        <w:spacing w:after="0" w:line="240" w:lineRule="auto"/>
        <w:jc w:val="both"/>
        <w:rPr>
          <w:rFonts w:ascii="Times New Roman" w:hAnsi="Times New Roman" w:cs="Times New Roman"/>
          <w:i/>
        </w:rPr>
      </w:pPr>
    </w:p>
    <w:p w14:paraId="4B726B81" w14:textId="77777777" w:rsidR="0029698B" w:rsidRDefault="0029698B" w:rsidP="006757F3">
      <w:pPr>
        <w:spacing w:after="0" w:line="240" w:lineRule="auto"/>
        <w:jc w:val="both"/>
        <w:rPr>
          <w:rFonts w:ascii="Times New Roman" w:hAnsi="Times New Roman" w:cs="Times New Roman"/>
          <w:i/>
        </w:rPr>
      </w:pPr>
    </w:p>
    <w:p w14:paraId="4A3644E5" w14:textId="77777777" w:rsidR="0029698B" w:rsidRDefault="0029698B" w:rsidP="006757F3">
      <w:pPr>
        <w:spacing w:after="0" w:line="240" w:lineRule="auto"/>
        <w:jc w:val="both"/>
        <w:rPr>
          <w:rFonts w:ascii="Times New Roman" w:hAnsi="Times New Roman" w:cs="Times New Roman"/>
          <w:i/>
        </w:rPr>
      </w:pPr>
    </w:p>
    <w:p w14:paraId="0CF780DB" w14:textId="77777777" w:rsidR="0029698B" w:rsidRDefault="0029698B" w:rsidP="006757F3">
      <w:pPr>
        <w:spacing w:after="0" w:line="240" w:lineRule="auto"/>
        <w:jc w:val="both"/>
        <w:rPr>
          <w:rFonts w:ascii="Times New Roman" w:hAnsi="Times New Roman" w:cs="Times New Roman"/>
          <w:i/>
        </w:rPr>
      </w:pPr>
    </w:p>
    <w:p w14:paraId="2679214D" w14:textId="77777777" w:rsidR="0029698B" w:rsidRDefault="0029698B" w:rsidP="006757F3">
      <w:pPr>
        <w:spacing w:after="0" w:line="240" w:lineRule="auto"/>
        <w:jc w:val="both"/>
        <w:rPr>
          <w:rFonts w:ascii="Times New Roman" w:hAnsi="Times New Roman" w:cs="Times New Roman"/>
          <w:i/>
        </w:rPr>
      </w:pPr>
    </w:p>
    <w:p w14:paraId="5262E68C" w14:textId="77777777" w:rsidR="0029698B" w:rsidRDefault="0029698B" w:rsidP="006757F3">
      <w:pPr>
        <w:spacing w:after="0" w:line="240" w:lineRule="auto"/>
        <w:jc w:val="both"/>
        <w:rPr>
          <w:rFonts w:ascii="Times New Roman" w:hAnsi="Times New Roman" w:cs="Times New Roman"/>
          <w:i/>
        </w:rPr>
      </w:pPr>
    </w:p>
    <w:p w14:paraId="47C61110" w14:textId="77777777" w:rsidR="0029698B" w:rsidRDefault="0029698B" w:rsidP="006757F3">
      <w:pPr>
        <w:spacing w:after="0" w:line="240" w:lineRule="auto"/>
        <w:jc w:val="both"/>
        <w:rPr>
          <w:rFonts w:ascii="Times New Roman" w:hAnsi="Times New Roman" w:cs="Times New Roman"/>
          <w:i/>
        </w:rPr>
      </w:pPr>
    </w:p>
    <w:p w14:paraId="787E844D" w14:textId="77777777" w:rsidR="0029698B" w:rsidRDefault="0029698B" w:rsidP="006757F3">
      <w:pPr>
        <w:spacing w:after="0" w:line="240" w:lineRule="auto"/>
        <w:jc w:val="both"/>
        <w:rPr>
          <w:rFonts w:ascii="Times New Roman" w:hAnsi="Times New Roman" w:cs="Times New Roman"/>
          <w:i/>
        </w:rPr>
      </w:pPr>
    </w:p>
    <w:p w14:paraId="145AAC15" w14:textId="77777777" w:rsidR="0029698B" w:rsidRDefault="0029698B" w:rsidP="006757F3">
      <w:pPr>
        <w:spacing w:after="0" w:line="240" w:lineRule="auto"/>
        <w:jc w:val="both"/>
        <w:rPr>
          <w:rFonts w:ascii="Times New Roman" w:hAnsi="Times New Roman" w:cs="Times New Roman"/>
          <w:i/>
        </w:rPr>
      </w:pPr>
    </w:p>
    <w:p w14:paraId="0CB101E7" w14:textId="77777777" w:rsidR="0029698B" w:rsidRDefault="0029698B" w:rsidP="006757F3">
      <w:pPr>
        <w:spacing w:after="0" w:line="240" w:lineRule="auto"/>
        <w:jc w:val="both"/>
        <w:rPr>
          <w:rFonts w:ascii="Times New Roman" w:hAnsi="Times New Roman" w:cs="Times New Roman"/>
          <w:i/>
        </w:rPr>
      </w:pPr>
    </w:p>
    <w:p w14:paraId="667919CF" w14:textId="77777777" w:rsidR="0029698B" w:rsidRDefault="0029698B" w:rsidP="006757F3">
      <w:pPr>
        <w:spacing w:after="0" w:line="240" w:lineRule="auto"/>
        <w:jc w:val="both"/>
        <w:rPr>
          <w:rFonts w:ascii="Times New Roman" w:hAnsi="Times New Roman" w:cs="Times New Roman"/>
          <w:i/>
        </w:rPr>
      </w:pPr>
    </w:p>
    <w:p w14:paraId="02066546" w14:textId="77777777" w:rsidR="0029698B" w:rsidRDefault="0029698B" w:rsidP="006757F3">
      <w:pPr>
        <w:spacing w:after="0" w:line="240" w:lineRule="auto"/>
        <w:jc w:val="both"/>
        <w:rPr>
          <w:rFonts w:ascii="Times New Roman" w:hAnsi="Times New Roman" w:cs="Times New Roman"/>
          <w:i/>
        </w:rPr>
      </w:pPr>
    </w:p>
    <w:p w14:paraId="0C69A8F2" w14:textId="77777777" w:rsidR="0029698B" w:rsidRDefault="0029698B" w:rsidP="006757F3">
      <w:pPr>
        <w:spacing w:after="0" w:line="240" w:lineRule="auto"/>
        <w:jc w:val="both"/>
        <w:rPr>
          <w:rFonts w:ascii="Times New Roman" w:hAnsi="Times New Roman" w:cs="Times New Roman"/>
          <w:i/>
        </w:rPr>
      </w:pPr>
    </w:p>
    <w:p w14:paraId="57AF1AF5" w14:textId="77777777" w:rsidR="0029698B" w:rsidRDefault="0029698B" w:rsidP="006757F3">
      <w:pPr>
        <w:spacing w:after="0" w:line="240" w:lineRule="auto"/>
        <w:jc w:val="both"/>
        <w:rPr>
          <w:rFonts w:ascii="Times New Roman" w:hAnsi="Times New Roman" w:cs="Times New Roman"/>
          <w:i/>
        </w:rPr>
      </w:pPr>
    </w:p>
    <w:p w14:paraId="5DBA38F0" w14:textId="77777777" w:rsidR="0029698B" w:rsidRDefault="0029698B" w:rsidP="006757F3">
      <w:pPr>
        <w:spacing w:after="0" w:line="240" w:lineRule="auto"/>
        <w:jc w:val="both"/>
        <w:rPr>
          <w:rFonts w:ascii="Times New Roman" w:hAnsi="Times New Roman" w:cs="Times New Roman"/>
          <w:i/>
        </w:rPr>
      </w:pPr>
    </w:p>
    <w:p w14:paraId="196894A9" w14:textId="77777777" w:rsidR="0029698B" w:rsidRDefault="0029698B" w:rsidP="006757F3">
      <w:pPr>
        <w:spacing w:after="0" w:line="240" w:lineRule="auto"/>
        <w:jc w:val="both"/>
        <w:rPr>
          <w:rFonts w:ascii="Times New Roman" w:hAnsi="Times New Roman" w:cs="Times New Roman"/>
          <w:i/>
        </w:rPr>
      </w:pPr>
    </w:p>
    <w:p w14:paraId="331449BC" w14:textId="77777777" w:rsidR="0029698B" w:rsidRDefault="0029698B" w:rsidP="006757F3">
      <w:pPr>
        <w:spacing w:after="0" w:line="240" w:lineRule="auto"/>
        <w:jc w:val="both"/>
        <w:rPr>
          <w:rFonts w:ascii="Times New Roman" w:hAnsi="Times New Roman" w:cs="Times New Roman"/>
          <w:i/>
        </w:rPr>
      </w:pPr>
    </w:p>
    <w:p w14:paraId="194E2ACE" w14:textId="77777777" w:rsidR="0029698B" w:rsidRDefault="0029698B" w:rsidP="006757F3">
      <w:pPr>
        <w:spacing w:after="0" w:line="240" w:lineRule="auto"/>
        <w:jc w:val="both"/>
        <w:rPr>
          <w:rFonts w:ascii="Times New Roman" w:hAnsi="Times New Roman" w:cs="Times New Roman"/>
          <w:i/>
        </w:rPr>
      </w:pPr>
    </w:p>
    <w:p w14:paraId="5F5AE04C" w14:textId="77777777" w:rsidR="0029698B" w:rsidRDefault="0029698B" w:rsidP="006757F3">
      <w:pPr>
        <w:spacing w:after="0" w:line="240" w:lineRule="auto"/>
        <w:jc w:val="both"/>
        <w:rPr>
          <w:rFonts w:ascii="Times New Roman" w:hAnsi="Times New Roman" w:cs="Times New Roman"/>
          <w:i/>
        </w:rPr>
      </w:pPr>
    </w:p>
    <w:p w14:paraId="223E103E" w14:textId="77777777" w:rsidR="0029698B" w:rsidRDefault="0029698B" w:rsidP="006757F3">
      <w:pPr>
        <w:spacing w:after="0" w:line="240" w:lineRule="auto"/>
        <w:jc w:val="both"/>
        <w:rPr>
          <w:rFonts w:ascii="Times New Roman" w:hAnsi="Times New Roman" w:cs="Times New Roman"/>
          <w:i/>
        </w:rPr>
      </w:pPr>
    </w:p>
    <w:p w14:paraId="5F113094" w14:textId="77777777" w:rsidR="0029698B" w:rsidRDefault="0029698B" w:rsidP="006757F3">
      <w:pPr>
        <w:spacing w:after="0" w:line="240" w:lineRule="auto"/>
        <w:jc w:val="both"/>
        <w:rPr>
          <w:rFonts w:ascii="Times New Roman" w:hAnsi="Times New Roman" w:cs="Times New Roman"/>
          <w:i/>
        </w:rPr>
      </w:pPr>
    </w:p>
    <w:p w14:paraId="5023B7FA" w14:textId="77777777" w:rsidR="0029698B" w:rsidRDefault="0029698B" w:rsidP="006757F3">
      <w:pPr>
        <w:spacing w:after="0" w:line="240" w:lineRule="auto"/>
        <w:jc w:val="both"/>
        <w:rPr>
          <w:rFonts w:ascii="Times New Roman" w:hAnsi="Times New Roman" w:cs="Times New Roman"/>
          <w:i/>
        </w:rPr>
      </w:pPr>
    </w:p>
    <w:p w14:paraId="4A7B0126" w14:textId="77777777" w:rsidR="0029698B" w:rsidRDefault="0029698B" w:rsidP="006757F3">
      <w:pPr>
        <w:spacing w:after="0" w:line="240" w:lineRule="auto"/>
        <w:jc w:val="both"/>
        <w:rPr>
          <w:rFonts w:ascii="Times New Roman" w:hAnsi="Times New Roman" w:cs="Times New Roman"/>
          <w:i/>
        </w:rPr>
      </w:pPr>
    </w:p>
    <w:p w14:paraId="3ABDD4A6" w14:textId="77777777" w:rsidR="0029698B" w:rsidRDefault="0029698B" w:rsidP="006757F3">
      <w:pPr>
        <w:spacing w:after="0" w:line="240" w:lineRule="auto"/>
        <w:jc w:val="both"/>
        <w:rPr>
          <w:rFonts w:ascii="Times New Roman" w:hAnsi="Times New Roman" w:cs="Times New Roman"/>
          <w:i/>
        </w:rPr>
      </w:pPr>
    </w:p>
    <w:p w14:paraId="0117ECF2" w14:textId="77777777" w:rsidR="0029698B" w:rsidRDefault="0029698B" w:rsidP="006757F3">
      <w:pPr>
        <w:spacing w:after="0" w:line="240" w:lineRule="auto"/>
        <w:jc w:val="both"/>
        <w:rPr>
          <w:rFonts w:ascii="Times New Roman" w:hAnsi="Times New Roman" w:cs="Times New Roman"/>
          <w:i/>
        </w:rPr>
      </w:pPr>
    </w:p>
    <w:p w14:paraId="5A740AEA" w14:textId="77777777" w:rsidR="0029698B" w:rsidRDefault="0029698B" w:rsidP="006757F3">
      <w:pPr>
        <w:spacing w:after="0" w:line="240" w:lineRule="auto"/>
        <w:jc w:val="both"/>
        <w:rPr>
          <w:rFonts w:ascii="Times New Roman" w:hAnsi="Times New Roman" w:cs="Times New Roman"/>
          <w:i/>
        </w:rPr>
      </w:pPr>
    </w:p>
    <w:p w14:paraId="3E49888E" w14:textId="77777777" w:rsidR="0029698B" w:rsidRDefault="0029698B" w:rsidP="006757F3">
      <w:pPr>
        <w:spacing w:after="0" w:line="240" w:lineRule="auto"/>
        <w:jc w:val="both"/>
        <w:rPr>
          <w:rFonts w:ascii="Times New Roman" w:hAnsi="Times New Roman" w:cs="Times New Roman"/>
          <w:i/>
        </w:rPr>
      </w:pPr>
    </w:p>
    <w:p w14:paraId="30FA275B" w14:textId="77777777" w:rsidR="0029698B" w:rsidRDefault="0029698B" w:rsidP="006757F3">
      <w:pPr>
        <w:spacing w:after="0" w:line="240" w:lineRule="auto"/>
        <w:jc w:val="both"/>
        <w:rPr>
          <w:rFonts w:ascii="Times New Roman" w:hAnsi="Times New Roman" w:cs="Times New Roman"/>
          <w:i/>
        </w:rPr>
      </w:pPr>
    </w:p>
    <w:p w14:paraId="14EEE907" w14:textId="26088C46" w:rsidR="006757F3" w:rsidRDefault="006757F3" w:rsidP="006757F3">
      <w:pPr>
        <w:spacing w:after="0" w:line="240" w:lineRule="auto"/>
        <w:jc w:val="both"/>
        <w:rPr>
          <w:rFonts w:ascii="Times New Roman" w:hAnsi="Times New Roman" w:cs="Times New Roman"/>
          <w:i/>
        </w:rPr>
      </w:pPr>
      <w:r w:rsidRPr="002E52D5">
        <w:rPr>
          <w:rFonts w:ascii="Times New Roman" w:hAnsi="Times New Roman" w:cs="Times New Roman"/>
          <w:i/>
        </w:rPr>
        <w:lastRenderedPageBreak/>
        <w:t>Table 8. GMM regression of executive compensation on process-oriented carbon reduction initiatives (PCRI) and actual GHG emissions</w:t>
      </w:r>
    </w:p>
    <w:tbl>
      <w:tblPr>
        <w:tblW w:w="5000" w:type="pct"/>
        <w:jc w:val="center"/>
        <w:tblCellMar>
          <w:left w:w="75" w:type="dxa"/>
          <w:right w:w="75" w:type="dxa"/>
        </w:tblCellMar>
        <w:tblLook w:val="0000" w:firstRow="0" w:lastRow="0" w:firstColumn="0" w:lastColumn="0" w:noHBand="0" w:noVBand="0"/>
      </w:tblPr>
      <w:tblGrid>
        <w:gridCol w:w="1777"/>
        <w:gridCol w:w="1896"/>
        <w:gridCol w:w="1898"/>
        <w:gridCol w:w="1896"/>
        <w:gridCol w:w="1893"/>
      </w:tblGrid>
      <w:tr w:rsidR="006757F3" w:rsidRPr="00B42424" w14:paraId="619CE073" w14:textId="77777777" w:rsidTr="00B768F6">
        <w:trPr>
          <w:trHeight w:val="288"/>
          <w:jc w:val="center"/>
        </w:trPr>
        <w:tc>
          <w:tcPr>
            <w:tcW w:w="949" w:type="pct"/>
            <w:vMerge w:val="restart"/>
            <w:tcBorders>
              <w:top w:val="single" w:sz="4" w:space="0" w:color="auto"/>
              <w:left w:val="nil"/>
              <w:right w:val="nil"/>
            </w:tcBorders>
            <w:vAlign w:val="bottom"/>
          </w:tcPr>
          <w:p w14:paraId="2608D5BE" w14:textId="77777777" w:rsidR="006757F3"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8F6735">
              <w:rPr>
                <w:rFonts w:ascii="Times New Roman" w:hAnsi="Times New Roman" w:cs="Times New Roman"/>
                <w:sz w:val="20"/>
                <w:szCs w:val="20"/>
              </w:rPr>
              <w:t>Variables</w:t>
            </w:r>
          </w:p>
        </w:tc>
        <w:tc>
          <w:tcPr>
            <w:tcW w:w="2027" w:type="pct"/>
            <w:gridSpan w:val="2"/>
            <w:tcBorders>
              <w:top w:val="single" w:sz="4" w:space="0" w:color="auto"/>
              <w:left w:val="nil"/>
              <w:bottom w:val="nil"/>
              <w:right w:val="nil"/>
            </w:tcBorders>
          </w:tcPr>
          <w:p w14:paraId="3BFCACF8"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Symbolic carbon performance (</w:t>
            </w:r>
            <w:r w:rsidRPr="008F6735">
              <w:rPr>
                <w:rFonts w:ascii="Times New Roman" w:hAnsi="Times New Roman" w:cs="Times New Roman"/>
                <w:sz w:val="20"/>
                <w:szCs w:val="20"/>
              </w:rPr>
              <w:t>PCRI</w:t>
            </w:r>
            <w:r>
              <w:rPr>
                <w:rFonts w:ascii="Times New Roman" w:hAnsi="Times New Roman" w:cs="Times New Roman"/>
                <w:sz w:val="20"/>
                <w:szCs w:val="20"/>
              </w:rPr>
              <w:t>)</w:t>
            </w:r>
          </w:p>
        </w:tc>
        <w:tc>
          <w:tcPr>
            <w:tcW w:w="2024" w:type="pct"/>
            <w:gridSpan w:val="2"/>
            <w:tcBorders>
              <w:top w:val="single" w:sz="4" w:space="0" w:color="auto"/>
              <w:left w:val="nil"/>
              <w:bottom w:val="nil"/>
              <w:right w:val="nil"/>
            </w:tcBorders>
          </w:tcPr>
          <w:p w14:paraId="678482DA"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Substantive carbon performance (</w:t>
            </w:r>
            <w:r w:rsidRPr="008F6735">
              <w:rPr>
                <w:rFonts w:ascii="Times New Roman" w:hAnsi="Times New Roman" w:cs="Times New Roman"/>
                <w:sz w:val="20"/>
                <w:szCs w:val="20"/>
              </w:rPr>
              <w:t>GHG</w:t>
            </w:r>
            <w:r>
              <w:rPr>
                <w:rFonts w:ascii="Times New Roman" w:hAnsi="Times New Roman" w:cs="Times New Roman"/>
                <w:sz w:val="20"/>
                <w:szCs w:val="20"/>
              </w:rPr>
              <w:t>)</w:t>
            </w:r>
          </w:p>
        </w:tc>
      </w:tr>
      <w:tr w:rsidR="006757F3" w:rsidRPr="00B42424" w14:paraId="692CC503" w14:textId="77777777" w:rsidTr="00B768F6">
        <w:trPr>
          <w:trHeight w:val="288"/>
          <w:jc w:val="center"/>
        </w:trPr>
        <w:tc>
          <w:tcPr>
            <w:tcW w:w="949" w:type="pct"/>
            <w:vMerge/>
            <w:tcBorders>
              <w:left w:val="nil"/>
              <w:bottom w:val="nil"/>
              <w:right w:val="nil"/>
            </w:tcBorders>
          </w:tcPr>
          <w:p w14:paraId="5A5B9443" w14:textId="77777777" w:rsidR="006757F3"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single" w:sz="4" w:space="0" w:color="auto"/>
              <w:left w:val="nil"/>
              <w:bottom w:val="nil"/>
              <w:right w:val="nil"/>
            </w:tcBorders>
            <w:vAlign w:val="center"/>
          </w:tcPr>
          <w:p w14:paraId="0653AB2E"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D5ABB">
              <w:rPr>
                <w:rFonts w:ascii="Times New Roman" w:hAnsi="Times New Roman" w:cs="Times New Roman"/>
                <w:sz w:val="20"/>
                <w:szCs w:val="20"/>
              </w:rPr>
              <w:t>(1)</w:t>
            </w:r>
          </w:p>
        </w:tc>
        <w:tc>
          <w:tcPr>
            <w:tcW w:w="1014" w:type="pct"/>
            <w:tcBorders>
              <w:top w:val="single" w:sz="4" w:space="0" w:color="auto"/>
              <w:left w:val="nil"/>
              <w:bottom w:val="nil"/>
              <w:right w:val="nil"/>
            </w:tcBorders>
            <w:vAlign w:val="center"/>
          </w:tcPr>
          <w:p w14:paraId="52DAB935"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D5ABB">
              <w:rPr>
                <w:rFonts w:ascii="Times New Roman" w:hAnsi="Times New Roman" w:cs="Times New Roman"/>
                <w:sz w:val="20"/>
                <w:szCs w:val="20"/>
              </w:rPr>
              <w:t>(</w:t>
            </w:r>
            <w:r>
              <w:rPr>
                <w:rFonts w:ascii="Times New Roman" w:hAnsi="Times New Roman" w:cs="Times New Roman"/>
                <w:sz w:val="20"/>
                <w:szCs w:val="20"/>
              </w:rPr>
              <w:t>2</w:t>
            </w:r>
            <w:r w:rsidRPr="000D5ABB">
              <w:rPr>
                <w:rFonts w:ascii="Times New Roman" w:hAnsi="Times New Roman" w:cs="Times New Roman"/>
                <w:sz w:val="20"/>
                <w:szCs w:val="20"/>
              </w:rPr>
              <w:t>)</w:t>
            </w:r>
          </w:p>
        </w:tc>
        <w:tc>
          <w:tcPr>
            <w:tcW w:w="1013" w:type="pct"/>
            <w:tcBorders>
              <w:top w:val="single" w:sz="4" w:space="0" w:color="auto"/>
              <w:left w:val="nil"/>
              <w:bottom w:val="nil"/>
              <w:right w:val="nil"/>
            </w:tcBorders>
            <w:vAlign w:val="center"/>
          </w:tcPr>
          <w:p w14:paraId="2C001A9E"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D5ABB">
              <w:rPr>
                <w:rFonts w:ascii="Times New Roman" w:hAnsi="Times New Roman" w:cs="Times New Roman"/>
                <w:sz w:val="20"/>
                <w:szCs w:val="20"/>
              </w:rPr>
              <w:t>(</w:t>
            </w:r>
            <w:r>
              <w:rPr>
                <w:rFonts w:ascii="Times New Roman" w:hAnsi="Times New Roman" w:cs="Times New Roman"/>
                <w:sz w:val="20"/>
                <w:szCs w:val="20"/>
              </w:rPr>
              <w:t>3</w:t>
            </w:r>
            <w:r w:rsidRPr="000D5ABB">
              <w:rPr>
                <w:rFonts w:ascii="Times New Roman" w:hAnsi="Times New Roman" w:cs="Times New Roman"/>
                <w:sz w:val="20"/>
                <w:szCs w:val="20"/>
              </w:rPr>
              <w:t>)</w:t>
            </w:r>
          </w:p>
        </w:tc>
        <w:tc>
          <w:tcPr>
            <w:tcW w:w="1011" w:type="pct"/>
            <w:tcBorders>
              <w:top w:val="single" w:sz="4" w:space="0" w:color="auto"/>
              <w:left w:val="nil"/>
              <w:bottom w:val="nil"/>
              <w:right w:val="nil"/>
            </w:tcBorders>
            <w:vAlign w:val="center"/>
          </w:tcPr>
          <w:p w14:paraId="1B09FC9D" w14:textId="77777777" w:rsidR="006757F3" w:rsidRPr="008F6735"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D5ABB">
              <w:rPr>
                <w:rFonts w:ascii="Times New Roman" w:hAnsi="Times New Roman" w:cs="Times New Roman"/>
                <w:sz w:val="20"/>
                <w:szCs w:val="20"/>
              </w:rPr>
              <w:t>(</w:t>
            </w:r>
            <w:r>
              <w:rPr>
                <w:rFonts w:ascii="Times New Roman" w:hAnsi="Times New Roman" w:cs="Times New Roman"/>
                <w:sz w:val="20"/>
                <w:szCs w:val="20"/>
              </w:rPr>
              <w:t>4</w:t>
            </w:r>
            <w:r w:rsidRPr="000D5ABB">
              <w:rPr>
                <w:rFonts w:ascii="Times New Roman" w:hAnsi="Times New Roman" w:cs="Times New Roman"/>
                <w:sz w:val="20"/>
                <w:szCs w:val="20"/>
              </w:rPr>
              <w:t>)</w:t>
            </w:r>
          </w:p>
        </w:tc>
      </w:tr>
      <w:tr w:rsidR="006757F3" w:rsidRPr="00B42424" w14:paraId="13EB200C" w14:textId="77777777" w:rsidTr="00B768F6">
        <w:trPr>
          <w:trHeight w:val="288"/>
          <w:jc w:val="center"/>
        </w:trPr>
        <w:tc>
          <w:tcPr>
            <w:tcW w:w="1962" w:type="pct"/>
            <w:gridSpan w:val="2"/>
            <w:tcBorders>
              <w:top w:val="single" w:sz="4" w:space="0" w:color="auto"/>
              <w:left w:val="nil"/>
              <w:bottom w:val="nil"/>
              <w:right w:val="nil"/>
            </w:tcBorders>
          </w:tcPr>
          <w:p w14:paraId="758EE3D8" w14:textId="77777777" w:rsidR="006757F3" w:rsidRPr="0003274A"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6429D0">
              <w:rPr>
                <w:rFonts w:ascii="Times New Roman" w:hAnsi="Times New Roman" w:cs="Times New Roman"/>
                <w:i/>
                <w:iCs/>
                <w:sz w:val="20"/>
                <w:szCs w:val="20"/>
              </w:rPr>
              <w:t>Substantive construct</w:t>
            </w:r>
            <w:r>
              <w:rPr>
                <w:rFonts w:ascii="Times New Roman" w:hAnsi="Times New Roman" w:cs="Times New Roman"/>
                <w:i/>
                <w:iCs/>
                <w:sz w:val="20"/>
                <w:szCs w:val="20"/>
              </w:rPr>
              <w:t>:</w:t>
            </w:r>
          </w:p>
        </w:tc>
        <w:tc>
          <w:tcPr>
            <w:tcW w:w="1014" w:type="pct"/>
            <w:tcBorders>
              <w:top w:val="single" w:sz="4" w:space="0" w:color="auto"/>
              <w:left w:val="nil"/>
              <w:bottom w:val="nil"/>
              <w:right w:val="nil"/>
            </w:tcBorders>
          </w:tcPr>
          <w:p w14:paraId="05C7DAEB"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3" w:type="pct"/>
            <w:tcBorders>
              <w:top w:val="single" w:sz="4" w:space="0" w:color="auto"/>
              <w:left w:val="nil"/>
              <w:bottom w:val="nil"/>
              <w:right w:val="nil"/>
            </w:tcBorders>
          </w:tcPr>
          <w:p w14:paraId="5F26302D"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1" w:type="pct"/>
            <w:tcBorders>
              <w:top w:val="single" w:sz="4" w:space="0" w:color="auto"/>
              <w:left w:val="nil"/>
              <w:bottom w:val="nil"/>
              <w:right w:val="nil"/>
            </w:tcBorders>
          </w:tcPr>
          <w:p w14:paraId="57132123"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B42424" w14:paraId="496A98BD" w14:textId="77777777" w:rsidTr="00B768F6">
        <w:trPr>
          <w:trHeight w:val="288"/>
          <w:jc w:val="center"/>
        </w:trPr>
        <w:tc>
          <w:tcPr>
            <w:tcW w:w="949" w:type="pct"/>
            <w:tcBorders>
              <w:top w:val="single" w:sz="4" w:space="0" w:color="auto"/>
              <w:left w:val="nil"/>
              <w:bottom w:val="nil"/>
              <w:right w:val="nil"/>
            </w:tcBorders>
          </w:tcPr>
          <w:p w14:paraId="3E392827"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EC</w:t>
            </w:r>
          </w:p>
        </w:tc>
        <w:tc>
          <w:tcPr>
            <w:tcW w:w="1013" w:type="pct"/>
            <w:tcBorders>
              <w:top w:val="single" w:sz="4" w:space="0" w:color="auto"/>
              <w:left w:val="nil"/>
              <w:bottom w:val="nil"/>
              <w:right w:val="nil"/>
            </w:tcBorders>
          </w:tcPr>
          <w:p w14:paraId="31C6380F"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0.364***</w:t>
            </w:r>
          </w:p>
        </w:tc>
        <w:tc>
          <w:tcPr>
            <w:tcW w:w="1014" w:type="pct"/>
            <w:tcBorders>
              <w:top w:val="single" w:sz="4" w:space="0" w:color="auto"/>
              <w:left w:val="nil"/>
              <w:bottom w:val="nil"/>
              <w:right w:val="nil"/>
            </w:tcBorders>
          </w:tcPr>
          <w:p w14:paraId="1C6173C3"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3" w:type="pct"/>
            <w:tcBorders>
              <w:top w:val="single" w:sz="4" w:space="0" w:color="auto"/>
              <w:left w:val="nil"/>
              <w:bottom w:val="nil"/>
              <w:right w:val="nil"/>
            </w:tcBorders>
          </w:tcPr>
          <w:p w14:paraId="61A2D149"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0.0552</w:t>
            </w:r>
          </w:p>
        </w:tc>
        <w:tc>
          <w:tcPr>
            <w:tcW w:w="1011" w:type="pct"/>
            <w:tcBorders>
              <w:top w:val="single" w:sz="4" w:space="0" w:color="auto"/>
              <w:left w:val="nil"/>
              <w:bottom w:val="nil"/>
              <w:right w:val="nil"/>
            </w:tcBorders>
          </w:tcPr>
          <w:p w14:paraId="3E43C85E"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B42424" w14:paraId="53F9F17F" w14:textId="77777777" w:rsidTr="00B768F6">
        <w:trPr>
          <w:trHeight w:val="288"/>
          <w:jc w:val="center"/>
        </w:trPr>
        <w:tc>
          <w:tcPr>
            <w:tcW w:w="949" w:type="pct"/>
            <w:tcBorders>
              <w:top w:val="nil"/>
              <w:left w:val="nil"/>
              <w:bottom w:val="nil"/>
              <w:right w:val="nil"/>
            </w:tcBorders>
          </w:tcPr>
          <w:p w14:paraId="1972554B"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523ECE6D"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(0.106)</w:t>
            </w:r>
          </w:p>
        </w:tc>
        <w:tc>
          <w:tcPr>
            <w:tcW w:w="1014" w:type="pct"/>
            <w:tcBorders>
              <w:top w:val="nil"/>
              <w:left w:val="nil"/>
              <w:bottom w:val="nil"/>
              <w:right w:val="nil"/>
            </w:tcBorders>
          </w:tcPr>
          <w:p w14:paraId="4E81FD92"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3" w:type="pct"/>
            <w:tcBorders>
              <w:top w:val="nil"/>
              <w:left w:val="nil"/>
              <w:bottom w:val="nil"/>
              <w:right w:val="nil"/>
            </w:tcBorders>
          </w:tcPr>
          <w:p w14:paraId="6BE998F0"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(0.0547)</w:t>
            </w:r>
          </w:p>
        </w:tc>
        <w:tc>
          <w:tcPr>
            <w:tcW w:w="1011" w:type="pct"/>
            <w:tcBorders>
              <w:top w:val="nil"/>
              <w:left w:val="nil"/>
              <w:bottom w:val="nil"/>
              <w:right w:val="nil"/>
            </w:tcBorders>
          </w:tcPr>
          <w:p w14:paraId="7B9D134A"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B42424" w14:paraId="782B56B4" w14:textId="77777777" w:rsidTr="00B768F6">
        <w:trPr>
          <w:trHeight w:val="288"/>
          <w:jc w:val="center"/>
        </w:trPr>
        <w:tc>
          <w:tcPr>
            <w:tcW w:w="949" w:type="pct"/>
            <w:tcBorders>
              <w:top w:val="nil"/>
              <w:left w:val="nil"/>
              <w:bottom w:val="nil"/>
              <w:right w:val="nil"/>
            </w:tcBorders>
          </w:tcPr>
          <w:p w14:paraId="36B27977"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6429D0">
              <w:rPr>
                <w:rFonts w:ascii="Times New Roman" w:hAnsi="Times New Roman" w:cs="Times New Roman"/>
                <w:i/>
                <w:iCs/>
                <w:sz w:val="20"/>
                <w:szCs w:val="20"/>
              </w:rPr>
              <w:t>Symbolic construct</w:t>
            </w:r>
            <w:r>
              <w:rPr>
                <w:rFonts w:ascii="Times New Roman" w:hAnsi="Times New Roman" w:cs="Times New Roman"/>
                <w:i/>
                <w:iCs/>
                <w:sz w:val="20"/>
                <w:szCs w:val="20"/>
              </w:rPr>
              <w:t>:</w:t>
            </w:r>
          </w:p>
        </w:tc>
        <w:tc>
          <w:tcPr>
            <w:tcW w:w="1013" w:type="pct"/>
            <w:tcBorders>
              <w:top w:val="nil"/>
              <w:left w:val="nil"/>
              <w:bottom w:val="nil"/>
              <w:right w:val="nil"/>
            </w:tcBorders>
          </w:tcPr>
          <w:p w14:paraId="77EAAC62"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4" w:type="pct"/>
            <w:tcBorders>
              <w:top w:val="nil"/>
              <w:left w:val="nil"/>
              <w:bottom w:val="nil"/>
              <w:right w:val="nil"/>
            </w:tcBorders>
          </w:tcPr>
          <w:p w14:paraId="00E429DC"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3" w:type="pct"/>
            <w:tcBorders>
              <w:top w:val="nil"/>
              <w:left w:val="nil"/>
              <w:bottom w:val="nil"/>
              <w:right w:val="nil"/>
            </w:tcBorders>
          </w:tcPr>
          <w:p w14:paraId="4C2692F2"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1" w:type="pct"/>
            <w:tcBorders>
              <w:top w:val="nil"/>
              <w:left w:val="nil"/>
              <w:bottom w:val="nil"/>
              <w:right w:val="nil"/>
            </w:tcBorders>
          </w:tcPr>
          <w:p w14:paraId="7EE02654"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B42424" w14:paraId="3BF5D8B3" w14:textId="77777777" w:rsidTr="00B768F6">
        <w:trPr>
          <w:trHeight w:val="288"/>
          <w:jc w:val="center"/>
        </w:trPr>
        <w:tc>
          <w:tcPr>
            <w:tcW w:w="949" w:type="pct"/>
            <w:tcBorders>
              <w:top w:val="nil"/>
              <w:left w:val="nil"/>
              <w:bottom w:val="nil"/>
              <w:right w:val="nil"/>
            </w:tcBorders>
          </w:tcPr>
          <w:p w14:paraId="31AA30B3"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8F6735">
              <w:rPr>
                <w:rFonts w:ascii="Times New Roman" w:hAnsi="Times New Roman" w:cs="Times New Roman"/>
                <w:sz w:val="20"/>
                <w:szCs w:val="20"/>
              </w:rPr>
              <w:t>ESG</w:t>
            </w:r>
          </w:p>
        </w:tc>
        <w:tc>
          <w:tcPr>
            <w:tcW w:w="1013" w:type="pct"/>
            <w:tcBorders>
              <w:top w:val="nil"/>
              <w:left w:val="nil"/>
              <w:bottom w:val="nil"/>
              <w:right w:val="nil"/>
            </w:tcBorders>
          </w:tcPr>
          <w:p w14:paraId="691B1FDC"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1.448***</w:t>
            </w:r>
          </w:p>
        </w:tc>
        <w:tc>
          <w:tcPr>
            <w:tcW w:w="1014" w:type="pct"/>
            <w:tcBorders>
              <w:top w:val="nil"/>
              <w:left w:val="nil"/>
              <w:bottom w:val="nil"/>
              <w:right w:val="nil"/>
            </w:tcBorders>
          </w:tcPr>
          <w:p w14:paraId="50A23D26"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3" w:type="pct"/>
            <w:tcBorders>
              <w:top w:val="nil"/>
              <w:left w:val="nil"/>
              <w:bottom w:val="nil"/>
              <w:right w:val="nil"/>
            </w:tcBorders>
          </w:tcPr>
          <w:p w14:paraId="7B10A8CD"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-0.455**</w:t>
            </w:r>
          </w:p>
        </w:tc>
        <w:tc>
          <w:tcPr>
            <w:tcW w:w="1011" w:type="pct"/>
            <w:tcBorders>
              <w:top w:val="nil"/>
              <w:left w:val="nil"/>
              <w:bottom w:val="nil"/>
              <w:right w:val="nil"/>
            </w:tcBorders>
          </w:tcPr>
          <w:p w14:paraId="4928C40C"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B42424" w14:paraId="2AFEC423" w14:textId="77777777" w:rsidTr="00B768F6">
        <w:trPr>
          <w:trHeight w:val="288"/>
          <w:jc w:val="center"/>
        </w:trPr>
        <w:tc>
          <w:tcPr>
            <w:tcW w:w="949" w:type="pct"/>
            <w:tcBorders>
              <w:top w:val="nil"/>
              <w:left w:val="nil"/>
              <w:bottom w:val="nil"/>
              <w:right w:val="nil"/>
            </w:tcBorders>
          </w:tcPr>
          <w:p w14:paraId="61872AC9"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1981401B"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(0.493)</w:t>
            </w:r>
          </w:p>
        </w:tc>
        <w:tc>
          <w:tcPr>
            <w:tcW w:w="1014" w:type="pct"/>
            <w:tcBorders>
              <w:top w:val="nil"/>
              <w:left w:val="nil"/>
              <w:bottom w:val="nil"/>
              <w:right w:val="nil"/>
            </w:tcBorders>
          </w:tcPr>
          <w:p w14:paraId="0E85128B"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3" w:type="pct"/>
            <w:tcBorders>
              <w:top w:val="nil"/>
              <w:left w:val="nil"/>
              <w:bottom w:val="nil"/>
              <w:right w:val="nil"/>
            </w:tcBorders>
          </w:tcPr>
          <w:p w14:paraId="222523F5"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(0.205)</w:t>
            </w:r>
          </w:p>
        </w:tc>
        <w:tc>
          <w:tcPr>
            <w:tcW w:w="1011" w:type="pct"/>
            <w:tcBorders>
              <w:top w:val="nil"/>
              <w:left w:val="nil"/>
              <w:bottom w:val="nil"/>
              <w:right w:val="nil"/>
            </w:tcBorders>
          </w:tcPr>
          <w:p w14:paraId="05E13018"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B42424" w14:paraId="6C2DB080" w14:textId="77777777" w:rsidTr="00B768F6">
        <w:trPr>
          <w:trHeight w:val="288"/>
          <w:jc w:val="center"/>
        </w:trPr>
        <w:tc>
          <w:tcPr>
            <w:tcW w:w="949" w:type="pct"/>
            <w:tcBorders>
              <w:top w:val="nil"/>
              <w:left w:val="nil"/>
              <w:bottom w:val="nil"/>
              <w:right w:val="nil"/>
            </w:tcBorders>
          </w:tcPr>
          <w:p w14:paraId="0AB74E22" w14:textId="77777777" w:rsidR="006757F3"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6429D0">
              <w:rPr>
                <w:rFonts w:ascii="Times New Roman" w:hAnsi="Times New Roman" w:cs="Times New Roman"/>
                <w:i/>
                <w:iCs/>
                <w:sz w:val="20"/>
                <w:szCs w:val="20"/>
              </w:rPr>
              <w:t xml:space="preserve">Moderating </w:t>
            </w:r>
            <w:r>
              <w:rPr>
                <w:rFonts w:ascii="Times New Roman" w:hAnsi="Times New Roman" w:cs="Times New Roman"/>
                <w:i/>
                <w:iCs/>
                <w:sz w:val="20"/>
                <w:szCs w:val="20"/>
              </w:rPr>
              <w:t>e</w:t>
            </w:r>
            <w:r w:rsidRPr="006429D0">
              <w:rPr>
                <w:rFonts w:ascii="Times New Roman" w:hAnsi="Times New Roman" w:cs="Times New Roman"/>
                <w:i/>
                <w:iCs/>
                <w:sz w:val="20"/>
                <w:szCs w:val="20"/>
              </w:rPr>
              <w:t>ffect</w:t>
            </w:r>
            <w:r>
              <w:rPr>
                <w:rFonts w:ascii="Times New Roman" w:hAnsi="Times New Roman" w:cs="Times New Roman"/>
                <w:i/>
                <w:iCs/>
                <w:sz w:val="20"/>
                <w:szCs w:val="20"/>
              </w:rPr>
              <w:t>s:</w:t>
            </w:r>
          </w:p>
        </w:tc>
        <w:tc>
          <w:tcPr>
            <w:tcW w:w="1013" w:type="pct"/>
            <w:tcBorders>
              <w:top w:val="nil"/>
              <w:left w:val="nil"/>
              <w:bottom w:val="nil"/>
              <w:right w:val="nil"/>
            </w:tcBorders>
          </w:tcPr>
          <w:p w14:paraId="353D128B"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4" w:type="pct"/>
            <w:tcBorders>
              <w:top w:val="nil"/>
              <w:left w:val="nil"/>
              <w:bottom w:val="nil"/>
              <w:right w:val="nil"/>
            </w:tcBorders>
          </w:tcPr>
          <w:p w14:paraId="02FD2E13"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3" w:type="pct"/>
            <w:tcBorders>
              <w:top w:val="nil"/>
              <w:left w:val="nil"/>
              <w:bottom w:val="nil"/>
              <w:right w:val="nil"/>
            </w:tcBorders>
          </w:tcPr>
          <w:p w14:paraId="45DD3EA2"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1" w:type="pct"/>
            <w:tcBorders>
              <w:top w:val="nil"/>
              <w:left w:val="nil"/>
              <w:bottom w:val="nil"/>
              <w:right w:val="nil"/>
            </w:tcBorders>
          </w:tcPr>
          <w:p w14:paraId="53B89B61"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B42424" w14:paraId="3F4AC053" w14:textId="77777777" w:rsidTr="00B768F6">
        <w:trPr>
          <w:trHeight w:val="288"/>
          <w:jc w:val="center"/>
        </w:trPr>
        <w:tc>
          <w:tcPr>
            <w:tcW w:w="949" w:type="pct"/>
            <w:tcBorders>
              <w:top w:val="nil"/>
              <w:left w:val="nil"/>
              <w:bottom w:val="nil"/>
              <w:right w:val="nil"/>
            </w:tcBorders>
          </w:tcPr>
          <w:p w14:paraId="2FD91DA8"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EC*ESG</w:t>
            </w:r>
          </w:p>
        </w:tc>
        <w:tc>
          <w:tcPr>
            <w:tcW w:w="1013" w:type="pct"/>
            <w:tcBorders>
              <w:top w:val="nil"/>
              <w:left w:val="nil"/>
              <w:bottom w:val="nil"/>
              <w:right w:val="nil"/>
            </w:tcBorders>
          </w:tcPr>
          <w:p w14:paraId="375372F3"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4" w:type="pct"/>
            <w:tcBorders>
              <w:top w:val="nil"/>
              <w:left w:val="nil"/>
              <w:bottom w:val="nil"/>
              <w:right w:val="nil"/>
            </w:tcBorders>
          </w:tcPr>
          <w:p w14:paraId="176DA19B"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0.0465**</w:t>
            </w:r>
          </w:p>
        </w:tc>
        <w:tc>
          <w:tcPr>
            <w:tcW w:w="1013" w:type="pct"/>
            <w:tcBorders>
              <w:top w:val="nil"/>
              <w:left w:val="nil"/>
              <w:bottom w:val="nil"/>
              <w:right w:val="nil"/>
            </w:tcBorders>
          </w:tcPr>
          <w:p w14:paraId="63DD7C2A"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1" w:type="pct"/>
            <w:tcBorders>
              <w:top w:val="nil"/>
              <w:left w:val="nil"/>
              <w:bottom w:val="nil"/>
              <w:right w:val="nil"/>
            </w:tcBorders>
          </w:tcPr>
          <w:p w14:paraId="42F154B0"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-0.0143</w:t>
            </w:r>
          </w:p>
        </w:tc>
      </w:tr>
      <w:tr w:rsidR="006757F3" w:rsidRPr="00B42424" w14:paraId="1975C5EF" w14:textId="77777777" w:rsidTr="00B768F6">
        <w:trPr>
          <w:trHeight w:val="288"/>
          <w:jc w:val="center"/>
        </w:trPr>
        <w:tc>
          <w:tcPr>
            <w:tcW w:w="949" w:type="pct"/>
            <w:tcBorders>
              <w:top w:val="nil"/>
              <w:left w:val="nil"/>
              <w:bottom w:val="nil"/>
              <w:right w:val="nil"/>
            </w:tcBorders>
          </w:tcPr>
          <w:p w14:paraId="31C10892"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55728967"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4" w:type="pct"/>
            <w:tcBorders>
              <w:top w:val="nil"/>
              <w:left w:val="nil"/>
              <w:bottom w:val="nil"/>
              <w:right w:val="nil"/>
            </w:tcBorders>
          </w:tcPr>
          <w:p w14:paraId="260E0F62"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(0.0203)</w:t>
            </w:r>
          </w:p>
        </w:tc>
        <w:tc>
          <w:tcPr>
            <w:tcW w:w="1013" w:type="pct"/>
            <w:tcBorders>
              <w:top w:val="nil"/>
              <w:left w:val="nil"/>
              <w:bottom w:val="nil"/>
              <w:right w:val="nil"/>
            </w:tcBorders>
          </w:tcPr>
          <w:p w14:paraId="0470E9B6"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1" w:type="pct"/>
            <w:tcBorders>
              <w:top w:val="nil"/>
              <w:left w:val="nil"/>
              <w:bottom w:val="nil"/>
              <w:right w:val="nil"/>
            </w:tcBorders>
          </w:tcPr>
          <w:p w14:paraId="7AC2AD0D"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(0.0140)</w:t>
            </w:r>
          </w:p>
        </w:tc>
      </w:tr>
      <w:tr w:rsidR="006757F3" w:rsidRPr="00B42424" w14:paraId="7E0FB903" w14:textId="77777777" w:rsidTr="00B768F6">
        <w:trPr>
          <w:trHeight w:val="288"/>
          <w:jc w:val="center"/>
        </w:trPr>
        <w:tc>
          <w:tcPr>
            <w:tcW w:w="949" w:type="pct"/>
            <w:tcBorders>
              <w:top w:val="nil"/>
              <w:left w:val="nil"/>
              <w:bottom w:val="nil"/>
              <w:right w:val="nil"/>
            </w:tcBorders>
          </w:tcPr>
          <w:p w14:paraId="56371F31"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6429D0">
              <w:rPr>
                <w:rFonts w:ascii="Times New Roman" w:hAnsi="Times New Roman" w:cs="Times New Roman"/>
                <w:i/>
                <w:iCs/>
                <w:sz w:val="20"/>
                <w:szCs w:val="20"/>
              </w:rPr>
              <w:t>Control variables:</w:t>
            </w:r>
          </w:p>
        </w:tc>
        <w:tc>
          <w:tcPr>
            <w:tcW w:w="1013" w:type="pct"/>
            <w:tcBorders>
              <w:top w:val="nil"/>
              <w:left w:val="nil"/>
              <w:bottom w:val="nil"/>
              <w:right w:val="nil"/>
            </w:tcBorders>
          </w:tcPr>
          <w:p w14:paraId="1BB46B93"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4" w:type="pct"/>
            <w:tcBorders>
              <w:top w:val="nil"/>
              <w:left w:val="nil"/>
              <w:bottom w:val="nil"/>
              <w:right w:val="nil"/>
            </w:tcBorders>
          </w:tcPr>
          <w:p w14:paraId="738FB8E5"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3" w:type="pct"/>
            <w:tcBorders>
              <w:top w:val="nil"/>
              <w:left w:val="nil"/>
              <w:bottom w:val="nil"/>
              <w:right w:val="nil"/>
            </w:tcBorders>
          </w:tcPr>
          <w:p w14:paraId="6BB528DE"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c>
          <w:tcPr>
            <w:tcW w:w="1011" w:type="pct"/>
            <w:tcBorders>
              <w:top w:val="nil"/>
              <w:left w:val="nil"/>
              <w:bottom w:val="nil"/>
              <w:right w:val="nil"/>
            </w:tcBorders>
          </w:tcPr>
          <w:p w14:paraId="1FEDBA45"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p>
        </w:tc>
      </w:tr>
      <w:tr w:rsidR="006757F3" w:rsidRPr="00B42424" w14:paraId="02D30B20" w14:textId="77777777" w:rsidTr="00B768F6">
        <w:trPr>
          <w:trHeight w:val="288"/>
          <w:jc w:val="center"/>
        </w:trPr>
        <w:tc>
          <w:tcPr>
            <w:tcW w:w="949" w:type="pct"/>
            <w:tcBorders>
              <w:top w:val="nil"/>
              <w:left w:val="nil"/>
              <w:bottom w:val="nil"/>
              <w:right w:val="nil"/>
            </w:tcBorders>
          </w:tcPr>
          <w:p w14:paraId="3C39A106"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roofErr w:type="spellStart"/>
            <w:r w:rsidRPr="000D5ABB">
              <w:rPr>
                <w:rFonts w:ascii="Times New Roman" w:hAnsi="Times New Roman" w:cs="Times New Roman"/>
                <w:sz w:val="20"/>
                <w:szCs w:val="20"/>
              </w:rPr>
              <w:t>B</w:t>
            </w:r>
            <w:r>
              <w:rPr>
                <w:rFonts w:ascii="Times New Roman" w:hAnsi="Times New Roman" w:cs="Times New Roman"/>
                <w:sz w:val="20"/>
                <w:szCs w:val="20"/>
              </w:rPr>
              <w:t>.</w:t>
            </w:r>
            <w:r w:rsidRPr="000D5ABB">
              <w:rPr>
                <w:rFonts w:ascii="Times New Roman" w:hAnsi="Times New Roman" w:cs="Times New Roman"/>
                <w:sz w:val="20"/>
                <w:szCs w:val="20"/>
              </w:rPr>
              <w:t>size</w:t>
            </w:r>
            <w:proofErr w:type="spellEnd"/>
          </w:p>
        </w:tc>
        <w:tc>
          <w:tcPr>
            <w:tcW w:w="1013" w:type="pct"/>
            <w:tcBorders>
              <w:top w:val="nil"/>
              <w:left w:val="nil"/>
              <w:bottom w:val="nil"/>
              <w:right w:val="nil"/>
            </w:tcBorders>
          </w:tcPr>
          <w:p w14:paraId="09E3439E"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-1.771</w:t>
            </w:r>
          </w:p>
        </w:tc>
        <w:tc>
          <w:tcPr>
            <w:tcW w:w="1014" w:type="pct"/>
            <w:tcBorders>
              <w:top w:val="nil"/>
              <w:left w:val="nil"/>
              <w:bottom w:val="nil"/>
              <w:right w:val="nil"/>
            </w:tcBorders>
          </w:tcPr>
          <w:p w14:paraId="6EA5AF1B"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-1.006</w:t>
            </w:r>
          </w:p>
        </w:tc>
        <w:tc>
          <w:tcPr>
            <w:tcW w:w="1013" w:type="pct"/>
            <w:tcBorders>
              <w:top w:val="nil"/>
              <w:left w:val="nil"/>
              <w:bottom w:val="nil"/>
              <w:right w:val="nil"/>
            </w:tcBorders>
          </w:tcPr>
          <w:p w14:paraId="653B8D2D"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-0.783</w:t>
            </w:r>
          </w:p>
        </w:tc>
        <w:tc>
          <w:tcPr>
            <w:tcW w:w="1011" w:type="pct"/>
            <w:tcBorders>
              <w:top w:val="nil"/>
              <w:left w:val="nil"/>
              <w:bottom w:val="nil"/>
              <w:right w:val="nil"/>
            </w:tcBorders>
          </w:tcPr>
          <w:p w14:paraId="38A3E69E"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-0.712</w:t>
            </w:r>
          </w:p>
        </w:tc>
      </w:tr>
      <w:tr w:rsidR="006757F3" w:rsidRPr="00B42424" w14:paraId="2841D4CE" w14:textId="77777777" w:rsidTr="00B768F6">
        <w:trPr>
          <w:trHeight w:val="288"/>
          <w:jc w:val="center"/>
        </w:trPr>
        <w:tc>
          <w:tcPr>
            <w:tcW w:w="949" w:type="pct"/>
            <w:tcBorders>
              <w:top w:val="nil"/>
              <w:left w:val="nil"/>
              <w:bottom w:val="nil"/>
              <w:right w:val="nil"/>
            </w:tcBorders>
          </w:tcPr>
          <w:p w14:paraId="755E884A"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469F6B88"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(1.141)</w:t>
            </w:r>
          </w:p>
        </w:tc>
        <w:tc>
          <w:tcPr>
            <w:tcW w:w="1014" w:type="pct"/>
            <w:tcBorders>
              <w:top w:val="nil"/>
              <w:left w:val="nil"/>
              <w:bottom w:val="nil"/>
              <w:right w:val="nil"/>
            </w:tcBorders>
          </w:tcPr>
          <w:p w14:paraId="6CED197E"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(1.331)</w:t>
            </w:r>
          </w:p>
        </w:tc>
        <w:tc>
          <w:tcPr>
            <w:tcW w:w="1013" w:type="pct"/>
            <w:tcBorders>
              <w:top w:val="nil"/>
              <w:left w:val="nil"/>
              <w:bottom w:val="nil"/>
              <w:right w:val="nil"/>
            </w:tcBorders>
          </w:tcPr>
          <w:p w14:paraId="5EF7F5DA"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(0.568)</w:t>
            </w:r>
          </w:p>
        </w:tc>
        <w:tc>
          <w:tcPr>
            <w:tcW w:w="1011" w:type="pct"/>
            <w:tcBorders>
              <w:top w:val="nil"/>
              <w:left w:val="nil"/>
              <w:bottom w:val="nil"/>
              <w:right w:val="nil"/>
            </w:tcBorders>
          </w:tcPr>
          <w:p w14:paraId="699F886E"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(0.699)</w:t>
            </w:r>
          </w:p>
        </w:tc>
      </w:tr>
      <w:tr w:rsidR="006757F3" w:rsidRPr="00B42424" w14:paraId="7DF0B9D2" w14:textId="77777777" w:rsidTr="00B768F6">
        <w:trPr>
          <w:trHeight w:val="288"/>
          <w:jc w:val="center"/>
        </w:trPr>
        <w:tc>
          <w:tcPr>
            <w:tcW w:w="949" w:type="pct"/>
            <w:tcBorders>
              <w:top w:val="nil"/>
              <w:left w:val="nil"/>
              <w:bottom w:val="nil"/>
              <w:right w:val="nil"/>
            </w:tcBorders>
          </w:tcPr>
          <w:p w14:paraId="008DAB72"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Separation</w:t>
            </w:r>
          </w:p>
        </w:tc>
        <w:tc>
          <w:tcPr>
            <w:tcW w:w="1013" w:type="pct"/>
            <w:tcBorders>
              <w:top w:val="nil"/>
              <w:left w:val="nil"/>
              <w:bottom w:val="nil"/>
              <w:right w:val="nil"/>
            </w:tcBorders>
          </w:tcPr>
          <w:p w14:paraId="55F6E843"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0.0301</w:t>
            </w:r>
          </w:p>
        </w:tc>
        <w:tc>
          <w:tcPr>
            <w:tcW w:w="1014" w:type="pct"/>
            <w:tcBorders>
              <w:top w:val="nil"/>
              <w:left w:val="nil"/>
              <w:bottom w:val="nil"/>
              <w:right w:val="nil"/>
            </w:tcBorders>
          </w:tcPr>
          <w:p w14:paraId="7C3946DA"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-0.969</w:t>
            </w:r>
          </w:p>
        </w:tc>
        <w:tc>
          <w:tcPr>
            <w:tcW w:w="1013" w:type="pct"/>
            <w:tcBorders>
              <w:top w:val="nil"/>
              <w:left w:val="nil"/>
              <w:bottom w:val="nil"/>
              <w:right w:val="nil"/>
            </w:tcBorders>
          </w:tcPr>
          <w:p w14:paraId="3C600FCF"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0.737</w:t>
            </w:r>
          </w:p>
        </w:tc>
        <w:tc>
          <w:tcPr>
            <w:tcW w:w="1011" w:type="pct"/>
            <w:tcBorders>
              <w:top w:val="nil"/>
              <w:left w:val="nil"/>
              <w:bottom w:val="nil"/>
              <w:right w:val="nil"/>
            </w:tcBorders>
          </w:tcPr>
          <w:p w14:paraId="4C4B405B"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0.841</w:t>
            </w:r>
          </w:p>
        </w:tc>
      </w:tr>
      <w:tr w:rsidR="006757F3" w:rsidRPr="00B42424" w14:paraId="4D9C6BBE" w14:textId="77777777" w:rsidTr="00B768F6">
        <w:trPr>
          <w:trHeight w:val="288"/>
          <w:jc w:val="center"/>
        </w:trPr>
        <w:tc>
          <w:tcPr>
            <w:tcW w:w="949" w:type="pct"/>
            <w:tcBorders>
              <w:top w:val="nil"/>
              <w:left w:val="nil"/>
              <w:bottom w:val="nil"/>
              <w:right w:val="nil"/>
            </w:tcBorders>
          </w:tcPr>
          <w:p w14:paraId="1715BA88"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37A1B605"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(0.677)</w:t>
            </w:r>
          </w:p>
        </w:tc>
        <w:tc>
          <w:tcPr>
            <w:tcW w:w="1014" w:type="pct"/>
            <w:tcBorders>
              <w:top w:val="nil"/>
              <w:left w:val="nil"/>
              <w:bottom w:val="nil"/>
              <w:right w:val="nil"/>
            </w:tcBorders>
          </w:tcPr>
          <w:p w14:paraId="51D0A3A6"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(1.102)</w:t>
            </w:r>
          </w:p>
        </w:tc>
        <w:tc>
          <w:tcPr>
            <w:tcW w:w="1013" w:type="pct"/>
            <w:tcBorders>
              <w:top w:val="nil"/>
              <w:left w:val="nil"/>
              <w:bottom w:val="nil"/>
              <w:right w:val="nil"/>
            </w:tcBorders>
          </w:tcPr>
          <w:p w14:paraId="4C22FC3C"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(0.513)</w:t>
            </w:r>
          </w:p>
        </w:tc>
        <w:tc>
          <w:tcPr>
            <w:tcW w:w="1011" w:type="pct"/>
            <w:tcBorders>
              <w:top w:val="nil"/>
              <w:left w:val="nil"/>
              <w:bottom w:val="nil"/>
              <w:right w:val="nil"/>
            </w:tcBorders>
          </w:tcPr>
          <w:p w14:paraId="753356F8"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(0.579)</w:t>
            </w:r>
          </w:p>
        </w:tc>
      </w:tr>
      <w:tr w:rsidR="006757F3" w:rsidRPr="00B42424" w14:paraId="7A73C1C0" w14:textId="77777777" w:rsidTr="00B768F6">
        <w:trPr>
          <w:trHeight w:val="288"/>
          <w:jc w:val="center"/>
        </w:trPr>
        <w:tc>
          <w:tcPr>
            <w:tcW w:w="949" w:type="pct"/>
            <w:tcBorders>
              <w:top w:val="nil"/>
              <w:left w:val="nil"/>
              <w:bottom w:val="nil"/>
              <w:right w:val="nil"/>
            </w:tcBorders>
          </w:tcPr>
          <w:p w14:paraId="04DE3769"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Independence</w:t>
            </w:r>
          </w:p>
        </w:tc>
        <w:tc>
          <w:tcPr>
            <w:tcW w:w="1013" w:type="pct"/>
            <w:tcBorders>
              <w:top w:val="nil"/>
              <w:left w:val="nil"/>
              <w:bottom w:val="nil"/>
              <w:right w:val="nil"/>
            </w:tcBorders>
          </w:tcPr>
          <w:p w14:paraId="5C007363"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0.00185</w:t>
            </w:r>
          </w:p>
        </w:tc>
        <w:tc>
          <w:tcPr>
            <w:tcW w:w="1014" w:type="pct"/>
            <w:tcBorders>
              <w:top w:val="nil"/>
              <w:left w:val="nil"/>
              <w:bottom w:val="nil"/>
              <w:right w:val="nil"/>
            </w:tcBorders>
          </w:tcPr>
          <w:p w14:paraId="1857784E"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0.00496</w:t>
            </w:r>
          </w:p>
        </w:tc>
        <w:tc>
          <w:tcPr>
            <w:tcW w:w="1013" w:type="pct"/>
            <w:tcBorders>
              <w:top w:val="nil"/>
              <w:left w:val="nil"/>
              <w:bottom w:val="nil"/>
              <w:right w:val="nil"/>
            </w:tcBorders>
          </w:tcPr>
          <w:p w14:paraId="6EAF0BEB"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-0.000668</w:t>
            </w:r>
          </w:p>
        </w:tc>
        <w:tc>
          <w:tcPr>
            <w:tcW w:w="1011" w:type="pct"/>
            <w:tcBorders>
              <w:top w:val="nil"/>
              <w:left w:val="nil"/>
              <w:bottom w:val="nil"/>
              <w:right w:val="nil"/>
            </w:tcBorders>
          </w:tcPr>
          <w:p w14:paraId="4C69306E"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-0.00355</w:t>
            </w:r>
          </w:p>
        </w:tc>
      </w:tr>
      <w:tr w:rsidR="006757F3" w:rsidRPr="00B42424" w14:paraId="5AF860EC" w14:textId="77777777" w:rsidTr="00B768F6">
        <w:trPr>
          <w:trHeight w:val="288"/>
          <w:jc w:val="center"/>
        </w:trPr>
        <w:tc>
          <w:tcPr>
            <w:tcW w:w="949" w:type="pct"/>
            <w:tcBorders>
              <w:top w:val="nil"/>
              <w:left w:val="nil"/>
              <w:bottom w:val="nil"/>
              <w:right w:val="nil"/>
            </w:tcBorders>
          </w:tcPr>
          <w:p w14:paraId="45DCE221"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45DBDDBC"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(0.00752)</w:t>
            </w:r>
          </w:p>
        </w:tc>
        <w:tc>
          <w:tcPr>
            <w:tcW w:w="1014" w:type="pct"/>
            <w:tcBorders>
              <w:top w:val="nil"/>
              <w:left w:val="nil"/>
              <w:bottom w:val="nil"/>
              <w:right w:val="nil"/>
            </w:tcBorders>
          </w:tcPr>
          <w:p w14:paraId="1ED655A8"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(0.0109)</w:t>
            </w:r>
          </w:p>
        </w:tc>
        <w:tc>
          <w:tcPr>
            <w:tcW w:w="1013" w:type="pct"/>
            <w:tcBorders>
              <w:top w:val="nil"/>
              <w:left w:val="nil"/>
              <w:bottom w:val="nil"/>
              <w:right w:val="nil"/>
            </w:tcBorders>
          </w:tcPr>
          <w:p w14:paraId="1FA0D823"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(0.00521)</w:t>
            </w:r>
          </w:p>
        </w:tc>
        <w:tc>
          <w:tcPr>
            <w:tcW w:w="1011" w:type="pct"/>
            <w:tcBorders>
              <w:top w:val="nil"/>
              <w:left w:val="nil"/>
              <w:bottom w:val="nil"/>
              <w:right w:val="nil"/>
            </w:tcBorders>
          </w:tcPr>
          <w:p w14:paraId="789082D7"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(0.00355)</w:t>
            </w:r>
          </w:p>
        </w:tc>
      </w:tr>
      <w:tr w:rsidR="006757F3" w:rsidRPr="00B42424" w14:paraId="7F998107" w14:textId="77777777" w:rsidTr="00B768F6">
        <w:trPr>
          <w:trHeight w:val="288"/>
          <w:jc w:val="center"/>
        </w:trPr>
        <w:tc>
          <w:tcPr>
            <w:tcW w:w="949" w:type="pct"/>
            <w:tcBorders>
              <w:top w:val="nil"/>
              <w:left w:val="nil"/>
              <w:bottom w:val="nil"/>
              <w:right w:val="nil"/>
            </w:tcBorders>
          </w:tcPr>
          <w:p w14:paraId="05AB3074"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8F6735">
              <w:rPr>
                <w:rFonts w:ascii="Times New Roman" w:hAnsi="Times New Roman" w:cs="Times New Roman"/>
                <w:sz w:val="20"/>
                <w:szCs w:val="20"/>
              </w:rPr>
              <w:t>CSR</w:t>
            </w:r>
            <w:r>
              <w:rPr>
                <w:rFonts w:ascii="Times New Roman" w:hAnsi="Times New Roman" w:cs="Times New Roman"/>
                <w:sz w:val="20"/>
                <w:szCs w:val="20"/>
              </w:rPr>
              <w:t xml:space="preserve"> committee</w:t>
            </w:r>
          </w:p>
        </w:tc>
        <w:tc>
          <w:tcPr>
            <w:tcW w:w="1013" w:type="pct"/>
            <w:tcBorders>
              <w:top w:val="nil"/>
              <w:left w:val="nil"/>
              <w:bottom w:val="nil"/>
              <w:right w:val="nil"/>
            </w:tcBorders>
          </w:tcPr>
          <w:p w14:paraId="136E8924"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5.125***</w:t>
            </w:r>
          </w:p>
        </w:tc>
        <w:tc>
          <w:tcPr>
            <w:tcW w:w="1014" w:type="pct"/>
            <w:tcBorders>
              <w:top w:val="nil"/>
              <w:left w:val="nil"/>
              <w:bottom w:val="nil"/>
              <w:right w:val="nil"/>
            </w:tcBorders>
          </w:tcPr>
          <w:p w14:paraId="128FE9FF"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5.871***</w:t>
            </w:r>
          </w:p>
        </w:tc>
        <w:tc>
          <w:tcPr>
            <w:tcW w:w="1013" w:type="pct"/>
            <w:tcBorders>
              <w:top w:val="nil"/>
              <w:left w:val="nil"/>
              <w:bottom w:val="nil"/>
              <w:right w:val="nil"/>
            </w:tcBorders>
          </w:tcPr>
          <w:p w14:paraId="36108CCA"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0.0829</w:t>
            </w:r>
          </w:p>
        </w:tc>
        <w:tc>
          <w:tcPr>
            <w:tcW w:w="1011" w:type="pct"/>
            <w:tcBorders>
              <w:top w:val="nil"/>
              <w:left w:val="nil"/>
              <w:bottom w:val="nil"/>
              <w:right w:val="nil"/>
            </w:tcBorders>
          </w:tcPr>
          <w:p w14:paraId="33F60138"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0.161</w:t>
            </w:r>
          </w:p>
        </w:tc>
      </w:tr>
      <w:tr w:rsidR="006757F3" w:rsidRPr="00B42424" w14:paraId="3EAE212C" w14:textId="77777777" w:rsidTr="00B768F6">
        <w:trPr>
          <w:trHeight w:val="288"/>
          <w:jc w:val="center"/>
        </w:trPr>
        <w:tc>
          <w:tcPr>
            <w:tcW w:w="949" w:type="pct"/>
            <w:tcBorders>
              <w:top w:val="nil"/>
              <w:left w:val="nil"/>
              <w:bottom w:val="nil"/>
              <w:right w:val="nil"/>
            </w:tcBorders>
          </w:tcPr>
          <w:p w14:paraId="3EF7F8E2"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4A13BC02"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(0.395)</w:t>
            </w:r>
          </w:p>
        </w:tc>
        <w:tc>
          <w:tcPr>
            <w:tcW w:w="1014" w:type="pct"/>
            <w:tcBorders>
              <w:top w:val="nil"/>
              <w:left w:val="nil"/>
              <w:bottom w:val="nil"/>
              <w:right w:val="nil"/>
            </w:tcBorders>
          </w:tcPr>
          <w:p w14:paraId="7220849F"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(0.395)</w:t>
            </w:r>
          </w:p>
        </w:tc>
        <w:tc>
          <w:tcPr>
            <w:tcW w:w="1013" w:type="pct"/>
            <w:tcBorders>
              <w:top w:val="nil"/>
              <w:left w:val="nil"/>
              <w:bottom w:val="nil"/>
              <w:right w:val="nil"/>
            </w:tcBorders>
          </w:tcPr>
          <w:p w14:paraId="648CB72E"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(0.181)</w:t>
            </w:r>
          </w:p>
        </w:tc>
        <w:tc>
          <w:tcPr>
            <w:tcW w:w="1011" w:type="pct"/>
            <w:tcBorders>
              <w:top w:val="nil"/>
              <w:left w:val="nil"/>
              <w:bottom w:val="nil"/>
              <w:right w:val="nil"/>
            </w:tcBorders>
          </w:tcPr>
          <w:p w14:paraId="055C3D73"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(0.170)</w:t>
            </w:r>
          </w:p>
        </w:tc>
      </w:tr>
      <w:tr w:rsidR="006757F3" w:rsidRPr="00B42424" w14:paraId="5AF288F9" w14:textId="77777777" w:rsidTr="00B768F6">
        <w:trPr>
          <w:trHeight w:val="288"/>
          <w:jc w:val="center"/>
        </w:trPr>
        <w:tc>
          <w:tcPr>
            <w:tcW w:w="949" w:type="pct"/>
            <w:tcBorders>
              <w:top w:val="nil"/>
              <w:left w:val="nil"/>
              <w:bottom w:val="nil"/>
              <w:right w:val="nil"/>
            </w:tcBorders>
          </w:tcPr>
          <w:p w14:paraId="393B57E5" w14:textId="77777777" w:rsidR="006757F3" w:rsidRDefault="006757F3" w:rsidP="00B768F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Firm size</w:t>
            </w:r>
          </w:p>
        </w:tc>
        <w:tc>
          <w:tcPr>
            <w:tcW w:w="1013" w:type="pct"/>
            <w:tcBorders>
              <w:top w:val="nil"/>
              <w:left w:val="nil"/>
              <w:bottom w:val="nil"/>
              <w:right w:val="nil"/>
            </w:tcBorders>
          </w:tcPr>
          <w:p w14:paraId="34A7CDE6"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0.861***</w:t>
            </w:r>
          </w:p>
        </w:tc>
        <w:tc>
          <w:tcPr>
            <w:tcW w:w="1014" w:type="pct"/>
            <w:tcBorders>
              <w:top w:val="nil"/>
              <w:left w:val="nil"/>
              <w:bottom w:val="nil"/>
              <w:right w:val="nil"/>
            </w:tcBorders>
          </w:tcPr>
          <w:p w14:paraId="2492C500"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1.155***</w:t>
            </w:r>
          </w:p>
        </w:tc>
        <w:tc>
          <w:tcPr>
            <w:tcW w:w="1013" w:type="pct"/>
            <w:tcBorders>
              <w:top w:val="nil"/>
              <w:left w:val="nil"/>
              <w:bottom w:val="nil"/>
              <w:right w:val="nil"/>
            </w:tcBorders>
          </w:tcPr>
          <w:p w14:paraId="2D9C5FAD"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1.272***</w:t>
            </w:r>
          </w:p>
        </w:tc>
        <w:tc>
          <w:tcPr>
            <w:tcW w:w="1011" w:type="pct"/>
            <w:tcBorders>
              <w:top w:val="nil"/>
              <w:left w:val="nil"/>
              <w:bottom w:val="nil"/>
              <w:right w:val="nil"/>
            </w:tcBorders>
          </w:tcPr>
          <w:p w14:paraId="630F3F0C"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1.231***</w:t>
            </w:r>
          </w:p>
        </w:tc>
      </w:tr>
      <w:tr w:rsidR="006757F3" w:rsidRPr="00B42424" w14:paraId="173C9DC4" w14:textId="77777777" w:rsidTr="00B768F6">
        <w:trPr>
          <w:trHeight w:val="288"/>
          <w:jc w:val="center"/>
        </w:trPr>
        <w:tc>
          <w:tcPr>
            <w:tcW w:w="949" w:type="pct"/>
            <w:tcBorders>
              <w:top w:val="nil"/>
              <w:left w:val="nil"/>
              <w:bottom w:val="nil"/>
              <w:right w:val="nil"/>
            </w:tcBorders>
          </w:tcPr>
          <w:p w14:paraId="257D9B97" w14:textId="77777777" w:rsidR="006757F3"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5EC6AF3E"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(0.284)</w:t>
            </w:r>
          </w:p>
        </w:tc>
        <w:tc>
          <w:tcPr>
            <w:tcW w:w="1014" w:type="pct"/>
            <w:tcBorders>
              <w:top w:val="nil"/>
              <w:left w:val="nil"/>
              <w:bottom w:val="nil"/>
              <w:right w:val="nil"/>
            </w:tcBorders>
          </w:tcPr>
          <w:p w14:paraId="073DD0FE"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(0.371)</w:t>
            </w:r>
          </w:p>
        </w:tc>
        <w:tc>
          <w:tcPr>
            <w:tcW w:w="1013" w:type="pct"/>
            <w:tcBorders>
              <w:top w:val="nil"/>
              <w:left w:val="nil"/>
              <w:bottom w:val="nil"/>
              <w:right w:val="nil"/>
            </w:tcBorders>
          </w:tcPr>
          <w:p w14:paraId="6987503A"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(0.140)</w:t>
            </w:r>
          </w:p>
        </w:tc>
        <w:tc>
          <w:tcPr>
            <w:tcW w:w="1011" w:type="pct"/>
            <w:tcBorders>
              <w:top w:val="nil"/>
              <w:left w:val="nil"/>
              <w:bottom w:val="nil"/>
              <w:right w:val="nil"/>
            </w:tcBorders>
          </w:tcPr>
          <w:p w14:paraId="071DA481"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(0.196)</w:t>
            </w:r>
          </w:p>
        </w:tc>
      </w:tr>
      <w:tr w:rsidR="006757F3" w:rsidRPr="00B42424" w14:paraId="5F823FAD" w14:textId="77777777" w:rsidTr="00B768F6">
        <w:trPr>
          <w:trHeight w:val="288"/>
          <w:jc w:val="center"/>
        </w:trPr>
        <w:tc>
          <w:tcPr>
            <w:tcW w:w="949" w:type="pct"/>
            <w:tcBorders>
              <w:top w:val="nil"/>
              <w:left w:val="nil"/>
              <w:bottom w:val="nil"/>
              <w:right w:val="nil"/>
            </w:tcBorders>
          </w:tcPr>
          <w:p w14:paraId="0B7D24D3" w14:textId="77777777" w:rsidR="006757F3" w:rsidRDefault="006757F3" w:rsidP="00B768F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Profitability</w:t>
            </w:r>
          </w:p>
        </w:tc>
        <w:tc>
          <w:tcPr>
            <w:tcW w:w="1013" w:type="pct"/>
            <w:tcBorders>
              <w:top w:val="nil"/>
              <w:left w:val="nil"/>
              <w:bottom w:val="nil"/>
              <w:right w:val="nil"/>
            </w:tcBorders>
          </w:tcPr>
          <w:p w14:paraId="5AFA641B"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-0.0128</w:t>
            </w:r>
          </w:p>
        </w:tc>
        <w:tc>
          <w:tcPr>
            <w:tcW w:w="1014" w:type="pct"/>
            <w:tcBorders>
              <w:top w:val="nil"/>
              <w:left w:val="nil"/>
              <w:bottom w:val="nil"/>
              <w:right w:val="nil"/>
            </w:tcBorders>
          </w:tcPr>
          <w:p w14:paraId="52DF3527"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-0.0287</w:t>
            </w:r>
          </w:p>
        </w:tc>
        <w:tc>
          <w:tcPr>
            <w:tcW w:w="1013" w:type="pct"/>
            <w:tcBorders>
              <w:top w:val="nil"/>
              <w:left w:val="nil"/>
              <w:bottom w:val="nil"/>
              <w:right w:val="nil"/>
            </w:tcBorders>
          </w:tcPr>
          <w:p w14:paraId="5806EEBC"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-0.00680</w:t>
            </w:r>
          </w:p>
        </w:tc>
        <w:tc>
          <w:tcPr>
            <w:tcW w:w="1011" w:type="pct"/>
            <w:tcBorders>
              <w:top w:val="nil"/>
              <w:left w:val="nil"/>
              <w:bottom w:val="nil"/>
              <w:right w:val="nil"/>
            </w:tcBorders>
          </w:tcPr>
          <w:p w14:paraId="1D018CC6"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0.0123</w:t>
            </w:r>
          </w:p>
        </w:tc>
      </w:tr>
      <w:tr w:rsidR="006757F3" w:rsidRPr="00B42424" w14:paraId="74761E34" w14:textId="77777777" w:rsidTr="00B768F6">
        <w:trPr>
          <w:trHeight w:val="288"/>
          <w:jc w:val="center"/>
        </w:trPr>
        <w:tc>
          <w:tcPr>
            <w:tcW w:w="949" w:type="pct"/>
            <w:tcBorders>
              <w:top w:val="nil"/>
              <w:left w:val="nil"/>
              <w:bottom w:val="nil"/>
              <w:right w:val="nil"/>
            </w:tcBorders>
          </w:tcPr>
          <w:p w14:paraId="22D1AF15" w14:textId="77777777" w:rsidR="006757F3"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61368D4C"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(0.0179)</w:t>
            </w:r>
          </w:p>
        </w:tc>
        <w:tc>
          <w:tcPr>
            <w:tcW w:w="1014" w:type="pct"/>
            <w:tcBorders>
              <w:top w:val="nil"/>
              <w:left w:val="nil"/>
              <w:bottom w:val="nil"/>
              <w:right w:val="nil"/>
            </w:tcBorders>
          </w:tcPr>
          <w:p w14:paraId="04D78031"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(0.0191)</w:t>
            </w:r>
          </w:p>
        </w:tc>
        <w:tc>
          <w:tcPr>
            <w:tcW w:w="1013" w:type="pct"/>
            <w:tcBorders>
              <w:top w:val="nil"/>
              <w:left w:val="nil"/>
              <w:bottom w:val="nil"/>
              <w:right w:val="nil"/>
            </w:tcBorders>
          </w:tcPr>
          <w:p w14:paraId="5A5D9AA3"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(0.0107)</w:t>
            </w:r>
          </w:p>
        </w:tc>
        <w:tc>
          <w:tcPr>
            <w:tcW w:w="1011" w:type="pct"/>
            <w:tcBorders>
              <w:top w:val="nil"/>
              <w:left w:val="nil"/>
              <w:bottom w:val="nil"/>
              <w:right w:val="nil"/>
            </w:tcBorders>
          </w:tcPr>
          <w:p w14:paraId="540239F4"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(0.0108)</w:t>
            </w:r>
          </w:p>
        </w:tc>
      </w:tr>
      <w:tr w:rsidR="006757F3" w:rsidRPr="00B42424" w14:paraId="41637047" w14:textId="77777777" w:rsidTr="00B768F6">
        <w:trPr>
          <w:trHeight w:val="288"/>
          <w:jc w:val="center"/>
        </w:trPr>
        <w:tc>
          <w:tcPr>
            <w:tcW w:w="949" w:type="pct"/>
            <w:tcBorders>
              <w:top w:val="nil"/>
              <w:left w:val="nil"/>
              <w:bottom w:val="nil"/>
              <w:right w:val="nil"/>
            </w:tcBorders>
          </w:tcPr>
          <w:p w14:paraId="7271A58D"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Debt</w:t>
            </w:r>
          </w:p>
        </w:tc>
        <w:tc>
          <w:tcPr>
            <w:tcW w:w="1013" w:type="pct"/>
            <w:tcBorders>
              <w:top w:val="nil"/>
              <w:left w:val="nil"/>
              <w:bottom w:val="nil"/>
              <w:right w:val="nil"/>
            </w:tcBorders>
          </w:tcPr>
          <w:p w14:paraId="0CE90B63"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-0.00331</w:t>
            </w:r>
          </w:p>
        </w:tc>
        <w:tc>
          <w:tcPr>
            <w:tcW w:w="1014" w:type="pct"/>
            <w:tcBorders>
              <w:top w:val="nil"/>
              <w:left w:val="nil"/>
              <w:bottom w:val="nil"/>
              <w:right w:val="nil"/>
            </w:tcBorders>
          </w:tcPr>
          <w:p w14:paraId="63667D80"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-0.0147</w:t>
            </w:r>
          </w:p>
        </w:tc>
        <w:tc>
          <w:tcPr>
            <w:tcW w:w="1013" w:type="pct"/>
            <w:tcBorders>
              <w:top w:val="nil"/>
              <w:left w:val="nil"/>
              <w:bottom w:val="nil"/>
              <w:right w:val="nil"/>
            </w:tcBorders>
          </w:tcPr>
          <w:p w14:paraId="6DE97B9A"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0.00559</w:t>
            </w:r>
          </w:p>
        </w:tc>
        <w:tc>
          <w:tcPr>
            <w:tcW w:w="1011" w:type="pct"/>
            <w:tcBorders>
              <w:top w:val="nil"/>
              <w:left w:val="nil"/>
              <w:bottom w:val="nil"/>
              <w:right w:val="nil"/>
            </w:tcBorders>
          </w:tcPr>
          <w:p w14:paraId="3137B690"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0.00183</w:t>
            </w:r>
          </w:p>
        </w:tc>
      </w:tr>
      <w:tr w:rsidR="006757F3" w:rsidRPr="00B42424" w14:paraId="7A8A0E77" w14:textId="77777777" w:rsidTr="00B768F6">
        <w:trPr>
          <w:trHeight w:val="288"/>
          <w:jc w:val="center"/>
        </w:trPr>
        <w:tc>
          <w:tcPr>
            <w:tcW w:w="949" w:type="pct"/>
            <w:tcBorders>
              <w:top w:val="nil"/>
              <w:left w:val="nil"/>
              <w:bottom w:val="nil"/>
              <w:right w:val="nil"/>
            </w:tcBorders>
          </w:tcPr>
          <w:p w14:paraId="1ED735F4"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413D832B"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(0.0135)</w:t>
            </w:r>
          </w:p>
        </w:tc>
        <w:tc>
          <w:tcPr>
            <w:tcW w:w="1014" w:type="pct"/>
            <w:tcBorders>
              <w:top w:val="nil"/>
              <w:left w:val="nil"/>
              <w:bottom w:val="nil"/>
              <w:right w:val="nil"/>
            </w:tcBorders>
          </w:tcPr>
          <w:p w14:paraId="6FDDE4EE"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(0.0144)</w:t>
            </w:r>
          </w:p>
        </w:tc>
        <w:tc>
          <w:tcPr>
            <w:tcW w:w="1013" w:type="pct"/>
            <w:tcBorders>
              <w:top w:val="nil"/>
              <w:left w:val="nil"/>
              <w:bottom w:val="nil"/>
              <w:right w:val="nil"/>
            </w:tcBorders>
          </w:tcPr>
          <w:p w14:paraId="2EA47646"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(0.00862)</w:t>
            </w:r>
          </w:p>
        </w:tc>
        <w:tc>
          <w:tcPr>
            <w:tcW w:w="1011" w:type="pct"/>
            <w:tcBorders>
              <w:top w:val="nil"/>
              <w:left w:val="nil"/>
              <w:bottom w:val="nil"/>
              <w:right w:val="nil"/>
            </w:tcBorders>
          </w:tcPr>
          <w:p w14:paraId="765A1FFC"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(0.00780)</w:t>
            </w:r>
          </w:p>
        </w:tc>
      </w:tr>
      <w:tr w:rsidR="006757F3" w:rsidRPr="00B42424" w14:paraId="67505E16" w14:textId="77777777" w:rsidTr="00B768F6">
        <w:trPr>
          <w:trHeight w:val="288"/>
          <w:jc w:val="center"/>
        </w:trPr>
        <w:tc>
          <w:tcPr>
            <w:tcW w:w="949" w:type="pct"/>
            <w:tcBorders>
              <w:top w:val="nil"/>
              <w:left w:val="nil"/>
              <w:bottom w:val="nil"/>
              <w:right w:val="nil"/>
            </w:tcBorders>
          </w:tcPr>
          <w:p w14:paraId="1D59D841"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Cash</w:t>
            </w:r>
          </w:p>
        </w:tc>
        <w:tc>
          <w:tcPr>
            <w:tcW w:w="1013" w:type="pct"/>
            <w:tcBorders>
              <w:top w:val="nil"/>
              <w:left w:val="nil"/>
              <w:bottom w:val="nil"/>
              <w:right w:val="nil"/>
            </w:tcBorders>
          </w:tcPr>
          <w:p w14:paraId="1AC9F42E"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-1.113</w:t>
            </w:r>
          </w:p>
        </w:tc>
        <w:tc>
          <w:tcPr>
            <w:tcW w:w="1014" w:type="pct"/>
            <w:tcBorders>
              <w:top w:val="nil"/>
              <w:left w:val="nil"/>
              <w:bottom w:val="nil"/>
              <w:right w:val="nil"/>
            </w:tcBorders>
          </w:tcPr>
          <w:p w14:paraId="50A955E3"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-2.474</w:t>
            </w:r>
          </w:p>
        </w:tc>
        <w:tc>
          <w:tcPr>
            <w:tcW w:w="1013" w:type="pct"/>
            <w:tcBorders>
              <w:top w:val="nil"/>
              <w:left w:val="nil"/>
              <w:bottom w:val="nil"/>
              <w:right w:val="nil"/>
            </w:tcBorders>
          </w:tcPr>
          <w:p w14:paraId="0B50C2C1"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2.022</w:t>
            </w:r>
          </w:p>
        </w:tc>
        <w:tc>
          <w:tcPr>
            <w:tcW w:w="1011" w:type="pct"/>
            <w:tcBorders>
              <w:top w:val="nil"/>
              <w:left w:val="nil"/>
              <w:bottom w:val="nil"/>
              <w:right w:val="nil"/>
            </w:tcBorders>
          </w:tcPr>
          <w:p w14:paraId="344C1F0F"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1.828</w:t>
            </w:r>
          </w:p>
        </w:tc>
      </w:tr>
      <w:tr w:rsidR="006757F3" w:rsidRPr="00B42424" w14:paraId="020F0F0E" w14:textId="77777777" w:rsidTr="00B768F6">
        <w:trPr>
          <w:trHeight w:val="288"/>
          <w:jc w:val="center"/>
        </w:trPr>
        <w:tc>
          <w:tcPr>
            <w:tcW w:w="949" w:type="pct"/>
            <w:tcBorders>
              <w:top w:val="nil"/>
              <w:left w:val="nil"/>
              <w:bottom w:val="nil"/>
              <w:right w:val="nil"/>
            </w:tcBorders>
          </w:tcPr>
          <w:p w14:paraId="11365174"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6BDF9259"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(2.104)</w:t>
            </w:r>
          </w:p>
        </w:tc>
        <w:tc>
          <w:tcPr>
            <w:tcW w:w="1014" w:type="pct"/>
            <w:tcBorders>
              <w:top w:val="nil"/>
              <w:left w:val="nil"/>
              <w:bottom w:val="nil"/>
              <w:right w:val="nil"/>
            </w:tcBorders>
          </w:tcPr>
          <w:p w14:paraId="7AFE5DE9"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(3.387)</w:t>
            </w:r>
          </w:p>
        </w:tc>
        <w:tc>
          <w:tcPr>
            <w:tcW w:w="1013" w:type="pct"/>
            <w:tcBorders>
              <w:top w:val="nil"/>
              <w:left w:val="nil"/>
              <w:bottom w:val="nil"/>
              <w:right w:val="nil"/>
            </w:tcBorders>
          </w:tcPr>
          <w:p w14:paraId="0B659DF9"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(1.239)</w:t>
            </w:r>
          </w:p>
        </w:tc>
        <w:tc>
          <w:tcPr>
            <w:tcW w:w="1011" w:type="pct"/>
            <w:tcBorders>
              <w:top w:val="nil"/>
              <w:left w:val="nil"/>
              <w:bottom w:val="nil"/>
              <w:right w:val="nil"/>
            </w:tcBorders>
          </w:tcPr>
          <w:p w14:paraId="546A0357" w14:textId="77777777" w:rsidR="006757F3" w:rsidRPr="0003274A"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3274A">
              <w:rPr>
                <w:rFonts w:ascii="Times New Roman" w:hAnsi="Times New Roman" w:cs="Times New Roman"/>
                <w:sz w:val="20"/>
                <w:szCs w:val="20"/>
              </w:rPr>
              <w:t>(1.384)</w:t>
            </w:r>
          </w:p>
        </w:tc>
      </w:tr>
      <w:tr w:rsidR="006757F3" w:rsidRPr="00B42424" w14:paraId="2BCEB61B" w14:textId="77777777" w:rsidTr="00B768F6">
        <w:trPr>
          <w:trHeight w:val="288"/>
          <w:jc w:val="center"/>
        </w:trPr>
        <w:tc>
          <w:tcPr>
            <w:tcW w:w="949" w:type="pct"/>
            <w:tcBorders>
              <w:top w:val="nil"/>
              <w:left w:val="nil"/>
              <w:bottom w:val="nil"/>
              <w:right w:val="nil"/>
            </w:tcBorders>
          </w:tcPr>
          <w:p w14:paraId="16C13586"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roofErr w:type="spellStart"/>
            <w:r w:rsidRPr="000D5ABB">
              <w:rPr>
                <w:rFonts w:ascii="Times New Roman" w:hAnsi="Times New Roman" w:cs="Times New Roman"/>
                <w:sz w:val="20"/>
                <w:szCs w:val="20"/>
              </w:rPr>
              <w:t>Cap</w:t>
            </w:r>
            <w:r>
              <w:rPr>
                <w:rFonts w:ascii="Times New Roman" w:hAnsi="Times New Roman" w:cs="Times New Roman"/>
                <w:sz w:val="20"/>
                <w:szCs w:val="20"/>
              </w:rPr>
              <w:t>_</w:t>
            </w:r>
            <w:r w:rsidRPr="000D5ABB">
              <w:rPr>
                <w:rFonts w:ascii="Times New Roman" w:hAnsi="Times New Roman" w:cs="Times New Roman"/>
                <w:sz w:val="20"/>
                <w:szCs w:val="20"/>
              </w:rPr>
              <w:t>intensity</w:t>
            </w:r>
            <w:proofErr w:type="spellEnd"/>
          </w:p>
        </w:tc>
        <w:tc>
          <w:tcPr>
            <w:tcW w:w="1013" w:type="pct"/>
            <w:tcBorders>
              <w:top w:val="nil"/>
              <w:left w:val="nil"/>
              <w:bottom w:val="nil"/>
              <w:right w:val="nil"/>
            </w:tcBorders>
          </w:tcPr>
          <w:p w14:paraId="0D2F1A52"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0.863</w:t>
            </w:r>
          </w:p>
        </w:tc>
        <w:tc>
          <w:tcPr>
            <w:tcW w:w="1014" w:type="pct"/>
            <w:tcBorders>
              <w:top w:val="nil"/>
              <w:left w:val="nil"/>
              <w:bottom w:val="nil"/>
              <w:right w:val="nil"/>
            </w:tcBorders>
          </w:tcPr>
          <w:p w14:paraId="63116E97"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0.427</w:t>
            </w:r>
          </w:p>
        </w:tc>
        <w:tc>
          <w:tcPr>
            <w:tcW w:w="1013" w:type="pct"/>
            <w:tcBorders>
              <w:top w:val="nil"/>
              <w:left w:val="nil"/>
              <w:bottom w:val="nil"/>
              <w:right w:val="nil"/>
            </w:tcBorders>
          </w:tcPr>
          <w:p w14:paraId="2ECC768A"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2.394***</w:t>
            </w:r>
          </w:p>
        </w:tc>
        <w:tc>
          <w:tcPr>
            <w:tcW w:w="1011" w:type="pct"/>
            <w:tcBorders>
              <w:top w:val="nil"/>
              <w:left w:val="nil"/>
              <w:bottom w:val="nil"/>
              <w:right w:val="nil"/>
            </w:tcBorders>
          </w:tcPr>
          <w:p w14:paraId="74EC643F"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2.140***</w:t>
            </w:r>
          </w:p>
        </w:tc>
      </w:tr>
      <w:tr w:rsidR="006757F3" w:rsidRPr="00B42424" w14:paraId="4C4A1B82" w14:textId="77777777" w:rsidTr="00B768F6">
        <w:trPr>
          <w:trHeight w:val="288"/>
          <w:jc w:val="center"/>
        </w:trPr>
        <w:tc>
          <w:tcPr>
            <w:tcW w:w="949" w:type="pct"/>
            <w:tcBorders>
              <w:top w:val="nil"/>
              <w:left w:val="nil"/>
              <w:bottom w:val="nil"/>
              <w:right w:val="nil"/>
            </w:tcBorders>
          </w:tcPr>
          <w:p w14:paraId="342CEEF8"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3AD86CAC"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(0.649)</w:t>
            </w:r>
          </w:p>
        </w:tc>
        <w:tc>
          <w:tcPr>
            <w:tcW w:w="1014" w:type="pct"/>
            <w:tcBorders>
              <w:top w:val="nil"/>
              <w:left w:val="nil"/>
              <w:bottom w:val="nil"/>
              <w:right w:val="nil"/>
            </w:tcBorders>
          </w:tcPr>
          <w:p w14:paraId="1BCDCE64"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(0.633)</w:t>
            </w:r>
          </w:p>
        </w:tc>
        <w:tc>
          <w:tcPr>
            <w:tcW w:w="1013" w:type="pct"/>
            <w:tcBorders>
              <w:top w:val="nil"/>
              <w:left w:val="nil"/>
              <w:bottom w:val="nil"/>
              <w:right w:val="nil"/>
            </w:tcBorders>
          </w:tcPr>
          <w:p w14:paraId="417385E1"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(0.361)</w:t>
            </w:r>
          </w:p>
        </w:tc>
        <w:tc>
          <w:tcPr>
            <w:tcW w:w="1011" w:type="pct"/>
            <w:tcBorders>
              <w:top w:val="nil"/>
              <w:left w:val="nil"/>
              <w:bottom w:val="nil"/>
              <w:right w:val="nil"/>
            </w:tcBorders>
          </w:tcPr>
          <w:p w14:paraId="07E3E162"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(0.373)</w:t>
            </w:r>
          </w:p>
        </w:tc>
      </w:tr>
      <w:tr w:rsidR="006757F3" w:rsidRPr="00B42424" w14:paraId="23051913" w14:textId="77777777" w:rsidTr="00B768F6">
        <w:trPr>
          <w:trHeight w:val="288"/>
          <w:jc w:val="center"/>
        </w:trPr>
        <w:tc>
          <w:tcPr>
            <w:tcW w:w="949" w:type="pct"/>
            <w:tcBorders>
              <w:top w:val="nil"/>
              <w:left w:val="nil"/>
              <w:bottom w:val="nil"/>
              <w:right w:val="nil"/>
            </w:tcBorders>
          </w:tcPr>
          <w:p w14:paraId="520E18D3" w14:textId="77777777" w:rsidR="006757F3" w:rsidRPr="000D5ABB"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0D5ABB">
              <w:rPr>
                <w:rFonts w:ascii="Times New Roman" w:hAnsi="Times New Roman" w:cs="Times New Roman"/>
                <w:sz w:val="20"/>
                <w:szCs w:val="20"/>
              </w:rPr>
              <w:t>Capex</w:t>
            </w:r>
            <w:r>
              <w:rPr>
                <w:rFonts w:ascii="Times New Roman" w:hAnsi="Times New Roman" w:cs="Times New Roman"/>
                <w:sz w:val="20"/>
                <w:szCs w:val="20"/>
              </w:rPr>
              <w:t>2Sales</w:t>
            </w:r>
          </w:p>
        </w:tc>
        <w:tc>
          <w:tcPr>
            <w:tcW w:w="1013" w:type="pct"/>
            <w:tcBorders>
              <w:top w:val="nil"/>
              <w:left w:val="nil"/>
              <w:bottom w:val="nil"/>
              <w:right w:val="nil"/>
            </w:tcBorders>
          </w:tcPr>
          <w:p w14:paraId="01DB4540"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-0.0189</w:t>
            </w:r>
          </w:p>
        </w:tc>
        <w:tc>
          <w:tcPr>
            <w:tcW w:w="1014" w:type="pct"/>
            <w:tcBorders>
              <w:top w:val="nil"/>
              <w:left w:val="nil"/>
              <w:bottom w:val="nil"/>
              <w:right w:val="nil"/>
            </w:tcBorders>
          </w:tcPr>
          <w:p w14:paraId="53FC5F9F"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-0.0191</w:t>
            </w:r>
          </w:p>
        </w:tc>
        <w:tc>
          <w:tcPr>
            <w:tcW w:w="1013" w:type="pct"/>
            <w:tcBorders>
              <w:top w:val="nil"/>
              <w:left w:val="nil"/>
              <w:bottom w:val="nil"/>
              <w:right w:val="nil"/>
            </w:tcBorders>
          </w:tcPr>
          <w:p w14:paraId="13ED3986"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-0.00724</w:t>
            </w:r>
          </w:p>
        </w:tc>
        <w:tc>
          <w:tcPr>
            <w:tcW w:w="1011" w:type="pct"/>
            <w:tcBorders>
              <w:top w:val="nil"/>
              <w:left w:val="nil"/>
              <w:bottom w:val="nil"/>
              <w:right w:val="nil"/>
            </w:tcBorders>
          </w:tcPr>
          <w:p w14:paraId="0EC47D3C"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-0.00361</w:t>
            </w:r>
          </w:p>
        </w:tc>
      </w:tr>
      <w:tr w:rsidR="006757F3" w:rsidRPr="00B42424" w14:paraId="79BD769B" w14:textId="77777777" w:rsidTr="00B768F6">
        <w:trPr>
          <w:trHeight w:val="288"/>
          <w:jc w:val="center"/>
        </w:trPr>
        <w:tc>
          <w:tcPr>
            <w:tcW w:w="949" w:type="pct"/>
            <w:tcBorders>
              <w:top w:val="nil"/>
              <w:left w:val="nil"/>
              <w:bottom w:val="nil"/>
              <w:right w:val="nil"/>
            </w:tcBorders>
          </w:tcPr>
          <w:p w14:paraId="159FC32C"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2D0F3D96"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(0.0132)</w:t>
            </w:r>
          </w:p>
        </w:tc>
        <w:tc>
          <w:tcPr>
            <w:tcW w:w="1014" w:type="pct"/>
            <w:tcBorders>
              <w:top w:val="nil"/>
              <w:left w:val="nil"/>
              <w:bottom w:val="nil"/>
              <w:right w:val="nil"/>
            </w:tcBorders>
          </w:tcPr>
          <w:p w14:paraId="3CBA6BB9"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(0.0124)</w:t>
            </w:r>
          </w:p>
        </w:tc>
        <w:tc>
          <w:tcPr>
            <w:tcW w:w="1013" w:type="pct"/>
            <w:tcBorders>
              <w:top w:val="nil"/>
              <w:left w:val="nil"/>
              <w:bottom w:val="nil"/>
              <w:right w:val="nil"/>
            </w:tcBorders>
          </w:tcPr>
          <w:p w14:paraId="56C375F1"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(0.00876)</w:t>
            </w:r>
          </w:p>
        </w:tc>
        <w:tc>
          <w:tcPr>
            <w:tcW w:w="1011" w:type="pct"/>
            <w:tcBorders>
              <w:top w:val="nil"/>
              <w:left w:val="nil"/>
              <w:bottom w:val="nil"/>
              <w:right w:val="nil"/>
            </w:tcBorders>
          </w:tcPr>
          <w:p w14:paraId="2390814F"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(0.00834)</w:t>
            </w:r>
          </w:p>
        </w:tc>
      </w:tr>
      <w:tr w:rsidR="006757F3" w:rsidRPr="00B42424" w14:paraId="778C5B66" w14:textId="77777777" w:rsidTr="00B768F6">
        <w:trPr>
          <w:trHeight w:val="288"/>
          <w:jc w:val="center"/>
        </w:trPr>
        <w:tc>
          <w:tcPr>
            <w:tcW w:w="949" w:type="pct"/>
            <w:tcBorders>
              <w:top w:val="nil"/>
              <w:left w:val="nil"/>
              <w:bottom w:val="nil"/>
              <w:right w:val="nil"/>
            </w:tcBorders>
          </w:tcPr>
          <w:p w14:paraId="747C2060"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8F6735">
              <w:rPr>
                <w:rFonts w:ascii="Times New Roman" w:hAnsi="Times New Roman" w:cs="Times New Roman"/>
                <w:sz w:val="20"/>
                <w:szCs w:val="20"/>
              </w:rPr>
              <w:t>Constant</w:t>
            </w:r>
          </w:p>
        </w:tc>
        <w:tc>
          <w:tcPr>
            <w:tcW w:w="1013" w:type="pct"/>
            <w:tcBorders>
              <w:top w:val="nil"/>
              <w:left w:val="nil"/>
              <w:bottom w:val="nil"/>
              <w:right w:val="nil"/>
            </w:tcBorders>
          </w:tcPr>
          <w:p w14:paraId="58F2FDAE"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-4.941</w:t>
            </w:r>
          </w:p>
        </w:tc>
        <w:tc>
          <w:tcPr>
            <w:tcW w:w="1014" w:type="pct"/>
            <w:tcBorders>
              <w:top w:val="nil"/>
              <w:left w:val="nil"/>
              <w:bottom w:val="nil"/>
              <w:right w:val="nil"/>
            </w:tcBorders>
          </w:tcPr>
          <w:p w14:paraId="7CFAF152"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11.03</w:t>
            </w:r>
          </w:p>
        </w:tc>
        <w:tc>
          <w:tcPr>
            <w:tcW w:w="1013" w:type="pct"/>
            <w:tcBorders>
              <w:top w:val="nil"/>
              <w:left w:val="nil"/>
              <w:bottom w:val="nil"/>
              <w:right w:val="nil"/>
            </w:tcBorders>
          </w:tcPr>
          <w:p w14:paraId="4208D352"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-4.939</w:t>
            </w:r>
          </w:p>
        </w:tc>
        <w:tc>
          <w:tcPr>
            <w:tcW w:w="1011" w:type="pct"/>
            <w:tcBorders>
              <w:top w:val="nil"/>
              <w:left w:val="nil"/>
              <w:bottom w:val="nil"/>
              <w:right w:val="nil"/>
            </w:tcBorders>
          </w:tcPr>
          <w:p w14:paraId="679FC66E"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-4.387</w:t>
            </w:r>
          </w:p>
        </w:tc>
      </w:tr>
      <w:tr w:rsidR="006757F3" w:rsidRPr="00B42424" w14:paraId="5E467F49" w14:textId="77777777" w:rsidTr="00B768F6">
        <w:trPr>
          <w:trHeight w:val="288"/>
          <w:jc w:val="center"/>
        </w:trPr>
        <w:tc>
          <w:tcPr>
            <w:tcW w:w="949" w:type="pct"/>
            <w:tcBorders>
              <w:top w:val="nil"/>
              <w:left w:val="nil"/>
              <w:bottom w:val="nil"/>
              <w:right w:val="nil"/>
            </w:tcBorders>
          </w:tcPr>
          <w:p w14:paraId="5E9B5868"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p>
        </w:tc>
        <w:tc>
          <w:tcPr>
            <w:tcW w:w="1013" w:type="pct"/>
            <w:tcBorders>
              <w:top w:val="nil"/>
              <w:left w:val="nil"/>
              <w:bottom w:val="nil"/>
              <w:right w:val="nil"/>
            </w:tcBorders>
          </w:tcPr>
          <w:p w14:paraId="089B6D78"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(7.498)</w:t>
            </w:r>
          </w:p>
        </w:tc>
        <w:tc>
          <w:tcPr>
            <w:tcW w:w="1014" w:type="pct"/>
            <w:tcBorders>
              <w:top w:val="nil"/>
              <w:left w:val="nil"/>
              <w:bottom w:val="nil"/>
              <w:right w:val="nil"/>
            </w:tcBorders>
          </w:tcPr>
          <w:p w14:paraId="4DC34658"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(16.91)</w:t>
            </w:r>
          </w:p>
        </w:tc>
        <w:tc>
          <w:tcPr>
            <w:tcW w:w="1013" w:type="pct"/>
            <w:tcBorders>
              <w:top w:val="nil"/>
              <w:left w:val="nil"/>
              <w:bottom w:val="nil"/>
              <w:right w:val="nil"/>
            </w:tcBorders>
          </w:tcPr>
          <w:p w14:paraId="576E8F2F"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(9.421)</w:t>
            </w:r>
          </w:p>
        </w:tc>
        <w:tc>
          <w:tcPr>
            <w:tcW w:w="1011" w:type="pct"/>
            <w:tcBorders>
              <w:top w:val="nil"/>
              <w:left w:val="nil"/>
              <w:bottom w:val="nil"/>
              <w:right w:val="nil"/>
            </w:tcBorders>
          </w:tcPr>
          <w:p w14:paraId="4777E985"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(13.16)</w:t>
            </w:r>
          </w:p>
        </w:tc>
      </w:tr>
      <w:tr w:rsidR="006757F3" w:rsidRPr="00B42424" w14:paraId="08C9D689" w14:textId="77777777" w:rsidTr="00B768F6">
        <w:trPr>
          <w:trHeight w:val="288"/>
          <w:jc w:val="center"/>
        </w:trPr>
        <w:tc>
          <w:tcPr>
            <w:tcW w:w="949" w:type="pct"/>
            <w:tcBorders>
              <w:top w:val="nil"/>
              <w:left w:val="nil"/>
              <w:bottom w:val="nil"/>
              <w:right w:val="nil"/>
            </w:tcBorders>
          </w:tcPr>
          <w:p w14:paraId="518E09E8"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Country dummies</w:t>
            </w:r>
          </w:p>
        </w:tc>
        <w:tc>
          <w:tcPr>
            <w:tcW w:w="1013" w:type="pct"/>
            <w:tcBorders>
              <w:top w:val="nil"/>
              <w:left w:val="nil"/>
              <w:bottom w:val="nil"/>
              <w:right w:val="nil"/>
            </w:tcBorders>
          </w:tcPr>
          <w:p w14:paraId="511EE2D2"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Yes</w:t>
            </w:r>
          </w:p>
        </w:tc>
        <w:tc>
          <w:tcPr>
            <w:tcW w:w="1014" w:type="pct"/>
            <w:tcBorders>
              <w:top w:val="nil"/>
              <w:left w:val="nil"/>
              <w:bottom w:val="nil"/>
              <w:right w:val="nil"/>
            </w:tcBorders>
          </w:tcPr>
          <w:p w14:paraId="28F06E74"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Yes</w:t>
            </w:r>
          </w:p>
        </w:tc>
        <w:tc>
          <w:tcPr>
            <w:tcW w:w="1013" w:type="pct"/>
            <w:tcBorders>
              <w:top w:val="nil"/>
              <w:left w:val="nil"/>
              <w:bottom w:val="nil"/>
              <w:right w:val="nil"/>
            </w:tcBorders>
          </w:tcPr>
          <w:p w14:paraId="2ACA1BA7"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Yes</w:t>
            </w:r>
          </w:p>
        </w:tc>
        <w:tc>
          <w:tcPr>
            <w:tcW w:w="1011" w:type="pct"/>
            <w:tcBorders>
              <w:top w:val="nil"/>
              <w:left w:val="nil"/>
              <w:bottom w:val="nil"/>
              <w:right w:val="nil"/>
            </w:tcBorders>
          </w:tcPr>
          <w:p w14:paraId="2693A265"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Yes</w:t>
            </w:r>
          </w:p>
        </w:tc>
      </w:tr>
      <w:tr w:rsidR="006757F3" w:rsidRPr="00B42424" w14:paraId="5A7F7B87" w14:textId="77777777" w:rsidTr="00B768F6">
        <w:trPr>
          <w:trHeight w:val="288"/>
          <w:jc w:val="center"/>
        </w:trPr>
        <w:tc>
          <w:tcPr>
            <w:tcW w:w="949" w:type="pct"/>
            <w:tcBorders>
              <w:top w:val="nil"/>
              <w:left w:val="nil"/>
              <w:bottom w:val="nil"/>
              <w:right w:val="nil"/>
            </w:tcBorders>
          </w:tcPr>
          <w:p w14:paraId="4237F114"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proofErr w:type="spellStart"/>
            <w:r w:rsidRPr="008F6735">
              <w:rPr>
                <w:rFonts w:ascii="Times New Roman" w:hAnsi="Times New Roman" w:cs="Times New Roman"/>
                <w:sz w:val="20"/>
                <w:szCs w:val="20"/>
              </w:rPr>
              <w:t>Obs</w:t>
            </w:r>
            <w:proofErr w:type="spellEnd"/>
          </w:p>
        </w:tc>
        <w:tc>
          <w:tcPr>
            <w:tcW w:w="1013" w:type="pct"/>
            <w:tcBorders>
              <w:top w:val="nil"/>
              <w:left w:val="nil"/>
              <w:bottom w:val="nil"/>
              <w:right w:val="nil"/>
            </w:tcBorders>
          </w:tcPr>
          <w:p w14:paraId="772865A7"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3,995</w:t>
            </w:r>
          </w:p>
        </w:tc>
        <w:tc>
          <w:tcPr>
            <w:tcW w:w="1014" w:type="pct"/>
            <w:tcBorders>
              <w:top w:val="nil"/>
              <w:left w:val="nil"/>
              <w:bottom w:val="nil"/>
              <w:right w:val="nil"/>
            </w:tcBorders>
          </w:tcPr>
          <w:p w14:paraId="63D0AC41"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3,995</w:t>
            </w:r>
          </w:p>
        </w:tc>
        <w:tc>
          <w:tcPr>
            <w:tcW w:w="1013" w:type="pct"/>
            <w:tcBorders>
              <w:top w:val="nil"/>
              <w:left w:val="nil"/>
              <w:bottom w:val="nil"/>
              <w:right w:val="nil"/>
            </w:tcBorders>
          </w:tcPr>
          <w:p w14:paraId="576D2BBA"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3,050</w:t>
            </w:r>
          </w:p>
        </w:tc>
        <w:tc>
          <w:tcPr>
            <w:tcW w:w="1011" w:type="pct"/>
            <w:tcBorders>
              <w:top w:val="nil"/>
              <w:left w:val="nil"/>
              <w:bottom w:val="nil"/>
              <w:right w:val="nil"/>
            </w:tcBorders>
          </w:tcPr>
          <w:p w14:paraId="123370EA"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3,050</w:t>
            </w:r>
          </w:p>
        </w:tc>
      </w:tr>
      <w:tr w:rsidR="006757F3" w:rsidRPr="00B42424" w14:paraId="16F4B6E0" w14:textId="77777777" w:rsidTr="00B768F6">
        <w:tblPrEx>
          <w:tblBorders>
            <w:bottom w:val="single" w:sz="6" w:space="0" w:color="auto"/>
          </w:tblBorders>
        </w:tblPrEx>
        <w:trPr>
          <w:trHeight w:val="288"/>
          <w:jc w:val="center"/>
        </w:trPr>
        <w:tc>
          <w:tcPr>
            <w:tcW w:w="949" w:type="pct"/>
            <w:tcBorders>
              <w:top w:val="nil"/>
              <w:left w:val="nil"/>
              <w:bottom w:val="single" w:sz="6" w:space="0" w:color="auto"/>
              <w:right w:val="nil"/>
            </w:tcBorders>
          </w:tcPr>
          <w:p w14:paraId="67B2BE8F" w14:textId="77777777" w:rsidR="006757F3" w:rsidRPr="008F6735" w:rsidRDefault="006757F3" w:rsidP="00B768F6">
            <w:pPr>
              <w:widowControl w:val="0"/>
              <w:autoSpaceDE w:val="0"/>
              <w:autoSpaceDN w:val="0"/>
              <w:adjustRightInd w:val="0"/>
              <w:spacing w:after="0" w:line="240" w:lineRule="auto"/>
              <w:rPr>
                <w:rFonts w:ascii="Times New Roman" w:hAnsi="Times New Roman" w:cs="Times New Roman"/>
                <w:sz w:val="20"/>
                <w:szCs w:val="20"/>
              </w:rPr>
            </w:pPr>
            <w:r w:rsidRPr="008F6735">
              <w:rPr>
                <w:rFonts w:ascii="Times New Roman" w:hAnsi="Times New Roman" w:cs="Times New Roman"/>
                <w:sz w:val="20"/>
                <w:szCs w:val="20"/>
              </w:rPr>
              <w:t>N</w:t>
            </w:r>
            <w:r>
              <w:rPr>
                <w:rFonts w:ascii="Times New Roman" w:hAnsi="Times New Roman" w:cs="Times New Roman"/>
                <w:sz w:val="20"/>
                <w:szCs w:val="20"/>
              </w:rPr>
              <w:t>o of firms</w:t>
            </w:r>
          </w:p>
        </w:tc>
        <w:tc>
          <w:tcPr>
            <w:tcW w:w="1013" w:type="pct"/>
            <w:tcBorders>
              <w:top w:val="nil"/>
              <w:left w:val="nil"/>
              <w:bottom w:val="single" w:sz="6" w:space="0" w:color="auto"/>
              <w:right w:val="nil"/>
            </w:tcBorders>
          </w:tcPr>
          <w:p w14:paraId="4F456FF4"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495</w:t>
            </w:r>
          </w:p>
        </w:tc>
        <w:tc>
          <w:tcPr>
            <w:tcW w:w="1014" w:type="pct"/>
            <w:tcBorders>
              <w:top w:val="nil"/>
              <w:left w:val="nil"/>
              <w:bottom w:val="single" w:sz="6" w:space="0" w:color="auto"/>
              <w:right w:val="nil"/>
            </w:tcBorders>
          </w:tcPr>
          <w:p w14:paraId="35E4D515"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495</w:t>
            </w:r>
          </w:p>
        </w:tc>
        <w:tc>
          <w:tcPr>
            <w:tcW w:w="1013" w:type="pct"/>
            <w:tcBorders>
              <w:top w:val="nil"/>
              <w:left w:val="nil"/>
              <w:bottom w:val="single" w:sz="6" w:space="0" w:color="auto"/>
              <w:right w:val="nil"/>
            </w:tcBorders>
          </w:tcPr>
          <w:p w14:paraId="26CF609F"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458</w:t>
            </w:r>
          </w:p>
        </w:tc>
        <w:tc>
          <w:tcPr>
            <w:tcW w:w="1011" w:type="pct"/>
            <w:tcBorders>
              <w:top w:val="nil"/>
              <w:left w:val="nil"/>
              <w:bottom w:val="single" w:sz="6" w:space="0" w:color="auto"/>
              <w:right w:val="nil"/>
            </w:tcBorders>
          </w:tcPr>
          <w:p w14:paraId="7CBA6D01" w14:textId="77777777" w:rsidR="006757F3" w:rsidRPr="000A0494" w:rsidRDefault="006757F3" w:rsidP="00B768F6">
            <w:pPr>
              <w:widowControl w:val="0"/>
              <w:autoSpaceDE w:val="0"/>
              <w:autoSpaceDN w:val="0"/>
              <w:adjustRightInd w:val="0"/>
              <w:spacing w:after="0" w:line="240" w:lineRule="auto"/>
              <w:jc w:val="center"/>
              <w:rPr>
                <w:rFonts w:ascii="Times New Roman" w:hAnsi="Times New Roman" w:cs="Times New Roman"/>
                <w:sz w:val="20"/>
                <w:szCs w:val="20"/>
              </w:rPr>
            </w:pPr>
            <w:r w:rsidRPr="000A0494">
              <w:rPr>
                <w:rFonts w:ascii="Times New Roman" w:hAnsi="Times New Roman" w:cs="Times New Roman"/>
                <w:sz w:val="20"/>
                <w:szCs w:val="20"/>
              </w:rPr>
              <w:t>458</w:t>
            </w:r>
          </w:p>
        </w:tc>
      </w:tr>
    </w:tbl>
    <w:p w14:paraId="45187E6D" w14:textId="77777777" w:rsidR="006757F3" w:rsidRPr="00641DED" w:rsidRDefault="006757F3" w:rsidP="006757F3">
      <w:pPr>
        <w:spacing w:after="0" w:line="240" w:lineRule="auto"/>
        <w:jc w:val="both"/>
        <w:rPr>
          <w:rFonts w:ascii="Times New Roman" w:hAnsi="Times New Roman" w:cs="Times New Roman"/>
          <w:sz w:val="20"/>
          <w:szCs w:val="20"/>
        </w:rPr>
      </w:pPr>
      <w:r w:rsidRPr="00641DED">
        <w:rPr>
          <w:rFonts w:ascii="Times New Roman" w:hAnsi="Times New Roman" w:cs="Times New Roman"/>
          <w:sz w:val="20"/>
          <w:szCs w:val="20"/>
        </w:rPr>
        <w:t xml:space="preserve">Notes: This table is based on generalized method of moments (GMM) panel data estimator, as proposed by Arellano and Bond (1991) and Blundell and Bond (1998) with </w:t>
      </w:r>
      <w:proofErr w:type="spellStart"/>
      <w:r w:rsidRPr="00641DED">
        <w:rPr>
          <w:rFonts w:ascii="Times New Roman" w:hAnsi="Times New Roman" w:cs="Times New Roman"/>
          <w:sz w:val="20"/>
          <w:szCs w:val="20"/>
        </w:rPr>
        <w:t>Windmeijer’s</w:t>
      </w:r>
      <w:proofErr w:type="spellEnd"/>
      <w:r w:rsidRPr="00641DED">
        <w:rPr>
          <w:rFonts w:ascii="Times New Roman" w:hAnsi="Times New Roman" w:cs="Times New Roman"/>
          <w:sz w:val="20"/>
          <w:szCs w:val="20"/>
        </w:rPr>
        <w:t xml:space="preserve"> (2005) finite sample correction and heteroskedasticity-adjusted standard errors. ***, ** and * indicate statistical significance at 1, 5 and 10% levels, respectively.</w:t>
      </w:r>
    </w:p>
    <w:p w14:paraId="70AC0C8A" w14:textId="77777777" w:rsidR="00D555E0" w:rsidRDefault="00D555E0" w:rsidP="00693483">
      <w:pPr>
        <w:spacing w:after="0" w:line="240" w:lineRule="auto"/>
        <w:ind w:left="288" w:hanging="288"/>
        <w:jc w:val="both"/>
        <w:rPr>
          <w:rFonts w:ascii="Times New Roman" w:hAnsi="Times New Roman" w:cs="Times New Roman"/>
        </w:rPr>
      </w:pPr>
    </w:p>
    <w:p w14:paraId="5DEB8F48" w14:textId="344212FD" w:rsidR="007E0184" w:rsidRDefault="00434E7B" w:rsidP="002E52D5">
      <w:pPr>
        <w:spacing w:after="0" w:line="240" w:lineRule="auto"/>
        <w:jc w:val="both"/>
        <w:rPr>
          <w:rFonts w:ascii="Times New Roman" w:hAnsi="Times New Roman" w:cs="Times New Roman"/>
          <w:b/>
        </w:rPr>
      </w:pPr>
      <w:r w:rsidRPr="00BE019A">
        <w:rPr>
          <w:rFonts w:ascii="Times New Roman" w:eastAsiaTheme="minorEastAsia" w:hAnsi="Times New Roman" w:cs="Times New Roman"/>
          <w:b/>
          <w:color w:val="000000" w:themeColor="text1"/>
          <w:lang w:eastAsia="en-GB"/>
        </w:rPr>
        <w:lastRenderedPageBreak/>
        <w:t xml:space="preserve">Appendix: </w:t>
      </w:r>
      <w:r w:rsidR="00E2555E">
        <w:rPr>
          <w:rFonts w:ascii="Times New Roman" w:eastAsiaTheme="minorEastAsia" w:hAnsi="Times New Roman" w:cs="Times New Roman"/>
          <w:b/>
          <w:color w:val="000000" w:themeColor="text1"/>
          <w:lang w:eastAsia="en-GB"/>
        </w:rPr>
        <w:t>Process-oriented c</w:t>
      </w:r>
      <w:r w:rsidR="000C15C6">
        <w:rPr>
          <w:rFonts w:ascii="Times New Roman" w:eastAsiaTheme="minorEastAsia" w:hAnsi="Times New Roman" w:cs="Times New Roman"/>
          <w:b/>
          <w:color w:val="000000" w:themeColor="text1"/>
          <w:lang w:eastAsia="en-GB"/>
        </w:rPr>
        <w:t>arbon reduction initiatives</w:t>
      </w:r>
      <w:r w:rsidR="002132E7">
        <w:rPr>
          <w:rFonts w:ascii="Times New Roman" w:eastAsiaTheme="minorEastAsia" w:hAnsi="Times New Roman" w:cs="Times New Roman"/>
          <w:b/>
          <w:color w:val="000000" w:themeColor="text1"/>
          <w:lang w:eastAsia="en-GB"/>
        </w:rPr>
        <w:t xml:space="preserve"> individual</w:t>
      </w:r>
      <w:r w:rsidR="000C15C6">
        <w:rPr>
          <w:rFonts w:ascii="Times New Roman" w:eastAsiaTheme="minorEastAsia" w:hAnsi="Times New Roman" w:cs="Times New Roman"/>
          <w:b/>
          <w:color w:val="000000" w:themeColor="text1"/>
          <w:lang w:eastAsia="en-GB"/>
        </w:rPr>
        <w:t xml:space="preserve"> </w:t>
      </w:r>
      <w:r w:rsidR="002132E7">
        <w:rPr>
          <w:rFonts w:ascii="Times New Roman" w:eastAsiaTheme="minorEastAsia" w:hAnsi="Times New Roman" w:cs="Times New Roman"/>
          <w:b/>
          <w:color w:val="000000" w:themeColor="text1"/>
          <w:lang w:eastAsia="en-GB"/>
        </w:rPr>
        <w:t xml:space="preserve">items </w:t>
      </w:r>
      <w:r w:rsidR="000C15C6">
        <w:rPr>
          <w:rFonts w:ascii="Times New Roman" w:eastAsiaTheme="minorEastAsia" w:hAnsi="Times New Roman" w:cs="Times New Roman"/>
          <w:b/>
          <w:color w:val="000000" w:themeColor="text1"/>
          <w:lang w:eastAsia="en-GB"/>
        </w:rPr>
        <w:t xml:space="preserve">(the </w:t>
      </w:r>
      <w:r w:rsidRPr="00BE019A">
        <w:rPr>
          <w:rFonts w:ascii="Times New Roman" w:hAnsi="Times New Roman" w:cs="Times New Roman"/>
          <w:b/>
        </w:rPr>
        <w:t>PCRI index</w:t>
      </w:r>
      <w:r w:rsidR="000C15C6">
        <w:rPr>
          <w:rFonts w:ascii="Times New Roman" w:hAnsi="Times New Roman" w:cs="Times New Roman"/>
          <w:b/>
        </w:rPr>
        <w:t>)</w:t>
      </w:r>
    </w:p>
    <w:p w14:paraId="0EF71813" w14:textId="77777777" w:rsidR="00192AA1" w:rsidRPr="00BE019A" w:rsidRDefault="00192AA1" w:rsidP="002E52D5">
      <w:pPr>
        <w:spacing w:after="0" w:line="240" w:lineRule="auto"/>
        <w:jc w:val="both"/>
        <w:rPr>
          <w:rFonts w:ascii="Times New Roman" w:eastAsiaTheme="minorEastAsia" w:hAnsi="Times New Roman" w:cs="Times New Roman"/>
          <w:b/>
          <w:color w:val="000000" w:themeColor="text1"/>
          <w:lang w:eastAsia="en-GB"/>
        </w:rPr>
      </w:pPr>
    </w:p>
    <w:tbl>
      <w:tblPr>
        <w:tblStyle w:val="TableGrid"/>
        <w:tblW w:w="0" w:type="auto"/>
        <w:tblLook w:val="04A0" w:firstRow="1" w:lastRow="0" w:firstColumn="1" w:lastColumn="0" w:noHBand="0" w:noVBand="1"/>
      </w:tblPr>
      <w:tblGrid>
        <w:gridCol w:w="704"/>
        <w:gridCol w:w="7513"/>
        <w:gridCol w:w="1133"/>
      </w:tblGrid>
      <w:tr w:rsidR="006959B7" w14:paraId="05955A6B" w14:textId="77777777" w:rsidTr="00BE019A">
        <w:tc>
          <w:tcPr>
            <w:tcW w:w="704" w:type="dxa"/>
          </w:tcPr>
          <w:p w14:paraId="4CF8C631" w14:textId="4DBA8041" w:rsidR="006959B7" w:rsidRPr="00A513A7" w:rsidRDefault="006959B7" w:rsidP="00434E7B">
            <w:pPr>
              <w:jc w:val="both"/>
              <w:rPr>
                <w:rFonts w:ascii="Times New Roman" w:hAnsi="Times New Roman" w:cs="Times New Roman"/>
                <w:b/>
                <w:bCs/>
                <w:sz w:val="20"/>
                <w:szCs w:val="20"/>
              </w:rPr>
            </w:pPr>
            <w:r w:rsidRPr="00A513A7">
              <w:rPr>
                <w:rFonts w:ascii="Times New Roman" w:hAnsi="Times New Roman" w:cs="Times New Roman"/>
                <w:b/>
                <w:bCs/>
                <w:sz w:val="20"/>
                <w:szCs w:val="20"/>
              </w:rPr>
              <w:t>No.</w:t>
            </w:r>
          </w:p>
        </w:tc>
        <w:tc>
          <w:tcPr>
            <w:tcW w:w="7513" w:type="dxa"/>
          </w:tcPr>
          <w:p w14:paraId="7ED81632" w14:textId="1A119268" w:rsidR="006959B7" w:rsidRPr="00A513A7" w:rsidRDefault="000C2227" w:rsidP="00434E7B">
            <w:pPr>
              <w:jc w:val="both"/>
              <w:rPr>
                <w:rFonts w:ascii="Times New Roman" w:hAnsi="Times New Roman" w:cs="Times New Roman"/>
                <w:b/>
                <w:bCs/>
                <w:sz w:val="20"/>
                <w:szCs w:val="20"/>
              </w:rPr>
            </w:pPr>
            <w:r>
              <w:rPr>
                <w:rFonts w:ascii="Times New Roman" w:hAnsi="Times New Roman" w:cs="Times New Roman"/>
                <w:b/>
                <w:bCs/>
                <w:sz w:val="20"/>
                <w:szCs w:val="20"/>
              </w:rPr>
              <w:t>Process-oriented c</w:t>
            </w:r>
            <w:r w:rsidR="006959B7" w:rsidRPr="00A513A7">
              <w:rPr>
                <w:rFonts w:ascii="Times New Roman" w:hAnsi="Times New Roman" w:cs="Times New Roman"/>
                <w:b/>
                <w:bCs/>
                <w:sz w:val="20"/>
                <w:szCs w:val="20"/>
              </w:rPr>
              <w:t>arbon reduction initiative</w:t>
            </w:r>
          </w:p>
        </w:tc>
        <w:tc>
          <w:tcPr>
            <w:tcW w:w="1133" w:type="dxa"/>
          </w:tcPr>
          <w:p w14:paraId="42D8788C" w14:textId="05D0C1A0" w:rsidR="006959B7" w:rsidRPr="00A513A7" w:rsidRDefault="006959B7" w:rsidP="00434E7B">
            <w:pPr>
              <w:jc w:val="both"/>
              <w:rPr>
                <w:rFonts w:ascii="Times New Roman" w:hAnsi="Times New Roman" w:cs="Times New Roman"/>
                <w:b/>
                <w:bCs/>
                <w:sz w:val="20"/>
                <w:szCs w:val="20"/>
              </w:rPr>
            </w:pPr>
            <w:r w:rsidRPr="00A513A7">
              <w:rPr>
                <w:rFonts w:ascii="Times New Roman" w:hAnsi="Times New Roman" w:cs="Times New Roman"/>
                <w:b/>
                <w:bCs/>
                <w:sz w:val="20"/>
                <w:szCs w:val="20"/>
              </w:rPr>
              <w:t>Score</w:t>
            </w:r>
          </w:p>
        </w:tc>
      </w:tr>
      <w:tr w:rsidR="006959B7" w14:paraId="0365063C" w14:textId="77777777" w:rsidTr="006959B7">
        <w:tc>
          <w:tcPr>
            <w:tcW w:w="704" w:type="dxa"/>
          </w:tcPr>
          <w:p w14:paraId="2D534BE0" w14:textId="6B65329E" w:rsidR="006959B7" w:rsidRPr="00A513A7" w:rsidRDefault="006959B7" w:rsidP="00434E7B">
            <w:pPr>
              <w:jc w:val="both"/>
              <w:rPr>
                <w:rFonts w:ascii="Times New Roman" w:hAnsi="Times New Roman" w:cs="Times New Roman"/>
                <w:sz w:val="20"/>
                <w:szCs w:val="20"/>
              </w:rPr>
            </w:pPr>
            <w:r w:rsidRPr="00A513A7">
              <w:rPr>
                <w:rFonts w:ascii="Times New Roman" w:hAnsi="Times New Roman" w:cs="Times New Roman"/>
                <w:sz w:val="20"/>
                <w:szCs w:val="20"/>
              </w:rPr>
              <w:t>1.</w:t>
            </w:r>
          </w:p>
        </w:tc>
        <w:tc>
          <w:tcPr>
            <w:tcW w:w="7513" w:type="dxa"/>
          </w:tcPr>
          <w:p w14:paraId="6F929229" w14:textId="57BD8B82" w:rsidR="006959B7" w:rsidRPr="00A513A7" w:rsidRDefault="006959B7" w:rsidP="00434E7B">
            <w:pPr>
              <w:jc w:val="both"/>
              <w:rPr>
                <w:rFonts w:ascii="Times New Roman" w:hAnsi="Times New Roman" w:cs="Times New Roman"/>
                <w:sz w:val="20"/>
                <w:szCs w:val="20"/>
              </w:rPr>
            </w:pPr>
            <w:r w:rsidRPr="00A513A7">
              <w:rPr>
                <w:rFonts w:ascii="Times New Roman" w:hAnsi="Times New Roman" w:cs="Times New Roman"/>
                <w:sz w:val="20"/>
                <w:szCs w:val="20"/>
                <w:lang w:val="en-US"/>
              </w:rPr>
              <w:t>Does the company engage any emissions trading initiative?</w:t>
            </w:r>
          </w:p>
        </w:tc>
        <w:tc>
          <w:tcPr>
            <w:tcW w:w="1133" w:type="dxa"/>
          </w:tcPr>
          <w:p w14:paraId="64FE1B2A" w14:textId="7105178B" w:rsidR="006959B7" w:rsidRPr="00A513A7" w:rsidRDefault="006959B7" w:rsidP="00434E7B">
            <w:pPr>
              <w:jc w:val="both"/>
              <w:rPr>
                <w:rFonts w:ascii="Times New Roman" w:hAnsi="Times New Roman" w:cs="Times New Roman"/>
                <w:sz w:val="20"/>
                <w:szCs w:val="20"/>
              </w:rPr>
            </w:pPr>
            <w:r w:rsidRPr="00A513A7">
              <w:rPr>
                <w:rFonts w:ascii="Times New Roman" w:hAnsi="Times New Roman" w:cs="Times New Roman"/>
                <w:sz w:val="20"/>
                <w:szCs w:val="20"/>
              </w:rPr>
              <w:t>0 or 1</w:t>
            </w:r>
          </w:p>
        </w:tc>
      </w:tr>
      <w:tr w:rsidR="006959B7" w14:paraId="5EB14EE5" w14:textId="77777777" w:rsidTr="006959B7">
        <w:tc>
          <w:tcPr>
            <w:tcW w:w="704" w:type="dxa"/>
          </w:tcPr>
          <w:p w14:paraId="24C3C4BF" w14:textId="2453D2CF" w:rsidR="006959B7" w:rsidRPr="00A513A7" w:rsidRDefault="006959B7" w:rsidP="00434E7B">
            <w:pPr>
              <w:jc w:val="both"/>
              <w:rPr>
                <w:rFonts w:ascii="Times New Roman" w:hAnsi="Times New Roman" w:cs="Times New Roman"/>
                <w:sz w:val="20"/>
                <w:szCs w:val="20"/>
              </w:rPr>
            </w:pPr>
            <w:r w:rsidRPr="00A513A7">
              <w:rPr>
                <w:rFonts w:ascii="Times New Roman" w:hAnsi="Times New Roman" w:cs="Times New Roman"/>
                <w:sz w:val="20"/>
                <w:szCs w:val="20"/>
              </w:rPr>
              <w:t>2.</w:t>
            </w:r>
          </w:p>
        </w:tc>
        <w:tc>
          <w:tcPr>
            <w:tcW w:w="7513" w:type="dxa"/>
          </w:tcPr>
          <w:p w14:paraId="055F8E0F" w14:textId="46967476" w:rsidR="006959B7" w:rsidRPr="00A513A7" w:rsidRDefault="006959B7" w:rsidP="00434E7B">
            <w:pPr>
              <w:jc w:val="both"/>
              <w:rPr>
                <w:rFonts w:ascii="Times New Roman" w:hAnsi="Times New Roman" w:cs="Times New Roman"/>
                <w:sz w:val="20"/>
                <w:szCs w:val="20"/>
                <w:lang w:val="en-US"/>
              </w:rPr>
            </w:pPr>
            <w:r w:rsidRPr="00A513A7">
              <w:rPr>
                <w:rFonts w:ascii="Times New Roman" w:hAnsi="Times New Roman" w:cs="Times New Roman"/>
                <w:sz w:val="20"/>
                <w:szCs w:val="20"/>
                <w:lang w:val="en-US"/>
              </w:rPr>
              <w:t>Does the company report on initiatives to recycle, reduce, reuse, substitute, treat or phase out total waste, hazardous waste or wastewater?</w:t>
            </w:r>
          </w:p>
        </w:tc>
        <w:tc>
          <w:tcPr>
            <w:tcW w:w="1133" w:type="dxa"/>
          </w:tcPr>
          <w:p w14:paraId="3DD9918B" w14:textId="02E623A9" w:rsidR="006959B7" w:rsidRPr="00A513A7" w:rsidRDefault="006959B7" w:rsidP="00434E7B">
            <w:pPr>
              <w:jc w:val="both"/>
              <w:rPr>
                <w:rFonts w:ascii="Times New Roman" w:hAnsi="Times New Roman" w:cs="Times New Roman"/>
                <w:sz w:val="20"/>
                <w:szCs w:val="20"/>
              </w:rPr>
            </w:pPr>
            <w:r w:rsidRPr="00A513A7">
              <w:rPr>
                <w:rFonts w:ascii="Times New Roman" w:hAnsi="Times New Roman" w:cs="Times New Roman"/>
                <w:sz w:val="20"/>
                <w:szCs w:val="20"/>
              </w:rPr>
              <w:t>0 or 1</w:t>
            </w:r>
          </w:p>
        </w:tc>
      </w:tr>
      <w:tr w:rsidR="006959B7" w14:paraId="6282E81D" w14:textId="77777777" w:rsidTr="006959B7">
        <w:tc>
          <w:tcPr>
            <w:tcW w:w="704" w:type="dxa"/>
          </w:tcPr>
          <w:p w14:paraId="0FDCC204" w14:textId="50517E15"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3.</w:t>
            </w:r>
          </w:p>
        </w:tc>
        <w:tc>
          <w:tcPr>
            <w:tcW w:w="7513" w:type="dxa"/>
          </w:tcPr>
          <w:p w14:paraId="230BC3EF" w14:textId="443D28C8" w:rsidR="006959B7" w:rsidRPr="00A513A7" w:rsidRDefault="006959B7" w:rsidP="006959B7">
            <w:pPr>
              <w:jc w:val="both"/>
              <w:rPr>
                <w:rFonts w:ascii="Times New Roman" w:hAnsi="Times New Roman" w:cs="Times New Roman"/>
                <w:sz w:val="20"/>
                <w:szCs w:val="20"/>
                <w:lang w:val="en-US"/>
              </w:rPr>
            </w:pPr>
            <w:r w:rsidRPr="00A513A7">
              <w:rPr>
                <w:rFonts w:ascii="Times New Roman" w:hAnsi="Times New Roman" w:cs="Times New Roman"/>
                <w:sz w:val="20"/>
                <w:szCs w:val="20"/>
                <w:lang w:val="en-US"/>
              </w:rPr>
              <w:t>Does the company describe, claim to have or mention processes in place to improve its water efficiency?</w:t>
            </w:r>
          </w:p>
        </w:tc>
        <w:tc>
          <w:tcPr>
            <w:tcW w:w="1133" w:type="dxa"/>
          </w:tcPr>
          <w:p w14:paraId="15686F4F" w14:textId="4DB2E3A5"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0 or 1</w:t>
            </w:r>
          </w:p>
        </w:tc>
      </w:tr>
      <w:tr w:rsidR="006959B7" w14:paraId="6B5DD3DE" w14:textId="77777777" w:rsidTr="006959B7">
        <w:tc>
          <w:tcPr>
            <w:tcW w:w="704" w:type="dxa"/>
          </w:tcPr>
          <w:p w14:paraId="7002CF4F" w14:textId="615ED3C7"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4.</w:t>
            </w:r>
          </w:p>
        </w:tc>
        <w:tc>
          <w:tcPr>
            <w:tcW w:w="7513" w:type="dxa"/>
          </w:tcPr>
          <w:p w14:paraId="36D7EC02" w14:textId="21D02294" w:rsidR="006959B7" w:rsidRPr="00A513A7" w:rsidRDefault="006959B7" w:rsidP="006959B7">
            <w:pPr>
              <w:jc w:val="both"/>
              <w:rPr>
                <w:rFonts w:ascii="Times New Roman" w:hAnsi="Times New Roman" w:cs="Times New Roman"/>
                <w:sz w:val="20"/>
                <w:szCs w:val="20"/>
                <w:lang w:val="en-US"/>
              </w:rPr>
            </w:pPr>
            <w:r w:rsidRPr="00A513A7">
              <w:rPr>
                <w:rFonts w:ascii="Times New Roman" w:hAnsi="Times New Roman" w:cs="Times New Roman"/>
                <w:sz w:val="20"/>
                <w:szCs w:val="20"/>
                <w:lang w:val="en-US"/>
              </w:rPr>
              <w:t>Does the company report on initiatives to reduce, substitute, or phase out ozone-depleting substances?</w:t>
            </w:r>
          </w:p>
        </w:tc>
        <w:tc>
          <w:tcPr>
            <w:tcW w:w="1133" w:type="dxa"/>
          </w:tcPr>
          <w:p w14:paraId="1485C832" w14:textId="62D40CBA"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0 or 1</w:t>
            </w:r>
          </w:p>
        </w:tc>
      </w:tr>
      <w:tr w:rsidR="006959B7" w14:paraId="697BE3C2" w14:textId="77777777" w:rsidTr="006959B7">
        <w:tc>
          <w:tcPr>
            <w:tcW w:w="704" w:type="dxa"/>
          </w:tcPr>
          <w:p w14:paraId="60E99C11" w14:textId="0DEF6591"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5.</w:t>
            </w:r>
          </w:p>
        </w:tc>
        <w:tc>
          <w:tcPr>
            <w:tcW w:w="7513" w:type="dxa"/>
          </w:tcPr>
          <w:p w14:paraId="7D15123C" w14:textId="05876EA3" w:rsidR="006959B7" w:rsidRPr="00A513A7" w:rsidRDefault="006959B7" w:rsidP="006959B7">
            <w:pPr>
              <w:jc w:val="both"/>
              <w:rPr>
                <w:rFonts w:ascii="Times New Roman" w:hAnsi="Times New Roman" w:cs="Times New Roman"/>
                <w:sz w:val="20"/>
                <w:szCs w:val="20"/>
                <w:lang w:val="en-US"/>
              </w:rPr>
            </w:pPr>
            <w:r w:rsidRPr="00A513A7">
              <w:rPr>
                <w:rFonts w:ascii="Times New Roman" w:hAnsi="Times New Roman" w:cs="Times New Roman"/>
                <w:sz w:val="20"/>
                <w:szCs w:val="20"/>
                <w:lang w:val="en-US"/>
              </w:rPr>
              <w:t>Does the company make use of renewable energy?</w:t>
            </w:r>
          </w:p>
        </w:tc>
        <w:tc>
          <w:tcPr>
            <w:tcW w:w="1133" w:type="dxa"/>
          </w:tcPr>
          <w:p w14:paraId="2C6994BD" w14:textId="7BF928F6"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0 or 1</w:t>
            </w:r>
          </w:p>
        </w:tc>
      </w:tr>
      <w:tr w:rsidR="006959B7" w14:paraId="27E9930E" w14:textId="77777777" w:rsidTr="006959B7">
        <w:tc>
          <w:tcPr>
            <w:tcW w:w="704" w:type="dxa"/>
          </w:tcPr>
          <w:p w14:paraId="05782279" w14:textId="34183136"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6.</w:t>
            </w:r>
          </w:p>
        </w:tc>
        <w:tc>
          <w:tcPr>
            <w:tcW w:w="7513" w:type="dxa"/>
          </w:tcPr>
          <w:p w14:paraId="6CCF2D68" w14:textId="684C91E3" w:rsidR="006959B7" w:rsidRPr="00A513A7" w:rsidRDefault="006959B7" w:rsidP="006959B7">
            <w:pPr>
              <w:jc w:val="both"/>
              <w:rPr>
                <w:rFonts w:ascii="Times New Roman" w:hAnsi="Times New Roman" w:cs="Times New Roman"/>
                <w:sz w:val="20"/>
                <w:szCs w:val="20"/>
                <w:lang w:val="en-US"/>
              </w:rPr>
            </w:pPr>
            <w:r w:rsidRPr="00A513A7">
              <w:rPr>
                <w:rFonts w:ascii="Times New Roman" w:hAnsi="Times New Roman" w:cs="Times New Roman"/>
                <w:sz w:val="20"/>
                <w:szCs w:val="20"/>
                <w:lang w:val="en-US"/>
              </w:rPr>
              <w:t>Does the company report on initiatives to reduce, reuse or recycle water?</w:t>
            </w:r>
          </w:p>
        </w:tc>
        <w:tc>
          <w:tcPr>
            <w:tcW w:w="1133" w:type="dxa"/>
          </w:tcPr>
          <w:p w14:paraId="630DEA7C" w14:textId="20A56D11"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0 or 1</w:t>
            </w:r>
          </w:p>
        </w:tc>
      </w:tr>
      <w:tr w:rsidR="006959B7" w14:paraId="2A5881F7" w14:textId="77777777" w:rsidTr="006959B7">
        <w:tc>
          <w:tcPr>
            <w:tcW w:w="704" w:type="dxa"/>
          </w:tcPr>
          <w:p w14:paraId="46B46D49" w14:textId="73642226"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7.</w:t>
            </w:r>
          </w:p>
        </w:tc>
        <w:tc>
          <w:tcPr>
            <w:tcW w:w="7513" w:type="dxa"/>
          </w:tcPr>
          <w:p w14:paraId="12D1587F" w14:textId="48F1CFFA" w:rsidR="006959B7" w:rsidRPr="00A513A7" w:rsidRDefault="006959B7" w:rsidP="006959B7">
            <w:pPr>
              <w:jc w:val="both"/>
              <w:rPr>
                <w:rFonts w:ascii="Times New Roman" w:hAnsi="Times New Roman" w:cs="Times New Roman"/>
                <w:sz w:val="20"/>
                <w:szCs w:val="20"/>
                <w:lang w:val="en-US"/>
              </w:rPr>
            </w:pPr>
            <w:r w:rsidRPr="00A513A7">
              <w:rPr>
                <w:rFonts w:ascii="Times New Roman" w:hAnsi="Times New Roman" w:cs="Times New Roman"/>
                <w:sz w:val="20"/>
                <w:szCs w:val="20"/>
                <w:lang w:val="en-US"/>
              </w:rPr>
              <w:t>Does the company have environmentally friendly or green sites or offices?</w:t>
            </w:r>
          </w:p>
        </w:tc>
        <w:tc>
          <w:tcPr>
            <w:tcW w:w="1133" w:type="dxa"/>
          </w:tcPr>
          <w:p w14:paraId="043CC4DA" w14:textId="0555D6DB"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0 or 1</w:t>
            </w:r>
          </w:p>
        </w:tc>
      </w:tr>
      <w:tr w:rsidR="006959B7" w14:paraId="27CFA7AA" w14:textId="77777777" w:rsidTr="006959B7">
        <w:tc>
          <w:tcPr>
            <w:tcW w:w="704" w:type="dxa"/>
          </w:tcPr>
          <w:p w14:paraId="5B0BA5D5" w14:textId="637EF0E2"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8.</w:t>
            </w:r>
          </w:p>
        </w:tc>
        <w:tc>
          <w:tcPr>
            <w:tcW w:w="7513" w:type="dxa"/>
          </w:tcPr>
          <w:p w14:paraId="68E5C61A" w14:textId="36583CC9" w:rsidR="006959B7" w:rsidRPr="00A513A7" w:rsidRDefault="006959B7" w:rsidP="006959B7">
            <w:pPr>
              <w:jc w:val="both"/>
              <w:rPr>
                <w:rFonts w:ascii="Times New Roman" w:hAnsi="Times New Roman" w:cs="Times New Roman"/>
                <w:sz w:val="20"/>
                <w:szCs w:val="20"/>
                <w:lang w:val="en-US"/>
              </w:rPr>
            </w:pPr>
            <w:r w:rsidRPr="00A513A7">
              <w:rPr>
                <w:rFonts w:ascii="Times New Roman" w:hAnsi="Times New Roman" w:cs="Times New Roman"/>
                <w:sz w:val="20"/>
                <w:szCs w:val="20"/>
                <w:lang w:val="en-US"/>
              </w:rPr>
              <w:t>Does the company report on initiatives to reduce the environmental impact on land owned, leased or managed for production activities or extractive use?</w:t>
            </w:r>
          </w:p>
        </w:tc>
        <w:tc>
          <w:tcPr>
            <w:tcW w:w="1133" w:type="dxa"/>
          </w:tcPr>
          <w:p w14:paraId="51EDB899" w14:textId="49205372"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0 or 1</w:t>
            </w:r>
          </w:p>
        </w:tc>
      </w:tr>
      <w:tr w:rsidR="006959B7" w14:paraId="0DC98F14" w14:textId="77777777" w:rsidTr="006959B7">
        <w:tc>
          <w:tcPr>
            <w:tcW w:w="704" w:type="dxa"/>
          </w:tcPr>
          <w:p w14:paraId="3A592E77" w14:textId="17EBE94B"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9.</w:t>
            </w:r>
          </w:p>
        </w:tc>
        <w:tc>
          <w:tcPr>
            <w:tcW w:w="7513" w:type="dxa"/>
          </w:tcPr>
          <w:p w14:paraId="0A586C91" w14:textId="53A164A5" w:rsidR="006959B7" w:rsidRPr="00A513A7" w:rsidRDefault="006959B7" w:rsidP="006959B7">
            <w:pPr>
              <w:jc w:val="both"/>
              <w:rPr>
                <w:rFonts w:ascii="Times New Roman" w:hAnsi="Times New Roman" w:cs="Times New Roman"/>
                <w:sz w:val="20"/>
                <w:szCs w:val="20"/>
                <w:lang w:val="en-US"/>
              </w:rPr>
            </w:pPr>
            <w:r w:rsidRPr="00A513A7">
              <w:rPr>
                <w:rFonts w:ascii="Times New Roman" w:hAnsi="Times New Roman" w:cs="Times New Roman"/>
                <w:sz w:val="20"/>
                <w:szCs w:val="20"/>
                <w:lang w:val="en-US"/>
              </w:rPr>
              <w:t>Does the company report on initiatives to reduce, reuse, substitute or phase out toxic chemicals or substances?</w:t>
            </w:r>
          </w:p>
        </w:tc>
        <w:tc>
          <w:tcPr>
            <w:tcW w:w="1133" w:type="dxa"/>
          </w:tcPr>
          <w:p w14:paraId="7D49A846" w14:textId="782E059E"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0 or 1</w:t>
            </w:r>
          </w:p>
        </w:tc>
      </w:tr>
      <w:tr w:rsidR="006959B7" w14:paraId="5B83DE08" w14:textId="77777777" w:rsidTr="006959B7">
        <w:tc>
          <w:tcPr>
            <w:tcW w:w="704" w:type="dxa"/>
          </w:tcPr>
          <w:p w14:paraId="7254E6A6" w14:textId="506197E5"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10.</w:t>
            </w:r>
          </w:p>
        </w:tc>
        <w:tc>
          <w:tcPr>
            <w:tcW w:w="7513" w:type="dxa"/>
          </w:tcPr>
          <w:p w14:paraId="3E216990" w14:textId="1CE11BA3" w:rsidR="006959B7" w:rsidRPr="00A513A7" w:rsidRDefault="006959B7" w:rsidP="006959B7">
            <w:pPr>
              <w:jc w:val="both"/>
              <w:rPr>
                <w:rFonts w:ascii="Times New Roman" w:hAnsi="Times New Roman" w:cs="Times New Roman"/>
                <w:sz w:val="20"/>
                <w:szCs w:val="20"/>
                <w:lang w:val="en-US"/>
              </w:rPr>
            </w:pPr>
            <w:r w:rsidRPr="00A513A7">
              <w:rPr>
                <w:rFonts w:ascii="Times New Roman" w:hAnsi="Times New Roman" w:cs="Times New Roman"/>
                <w:sz w:val="20"/>
                <w:szCs w:val="20"/>
                <w:lang w:val="en-US"/>
              </w:rPr>
              <w:t>Does the company have a policy to improve its use of sustainable packaging?</w:t>
            </w:r>
          </w:p>
        </w:tc>
        <w:tc>
          <w:tcPr>
            <w:tcW w:w="1133" w:type="dxa"/>
          </w:tcPr>
          <w:p w14:paraId="22DB8B83" w14:textId="189A6A00"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0 or 1</w:t>
            </w:r>
          </w:p>
        </w:tc>
      </w:tr>
      <w:tr w:rsidR="006959B7" w14:paraId="581B372E" w14:textId="77777777" w:rsidTr="006959B7">
        <w:tc>
          <w:tcPr>
            <w:tcW w:w="704" w:type="dxa"/>
          </w:tcPr>
          <w:p w14:paraId="757CEB64" w14:textId="4B0D0821"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11.</w:t>
            </w:r>
          </w:p>
        </w:tc>
        <w:tc>
          <w:tcPr>
            <w:tcW w:w="7513" w:type="dxa"/>
          </w:tcPr>
          <w:p w14:paraId="545F5B14" w14:textId="6FEEA608" w:rsidR="006959B7" w:rsidRPr="00A513A7" w:rsidRDefault="006959B7" w:rsidP="006959B7">
            <w:pPr>
              <w:jc w:val="both"/>
              <w:rPr>
                <w:rFonts w:ascii="Times New Roman" w:hAnsi="Times New Roman" w:cs="Times New Roman"/>
                <w:sz w:val="20"/>
                <w:szCs w:val="20"/>
                <w:lang w:val="en-US"/>
              </w:rPr>
            </w:pPr>
            <w:r w:rsidRPr="00A513A7">
              <w:rPr>
                <w:rFonts w:ascii="Times New Roman" w:hAnsi="Times New Roman" w:cs="Times New Roman"/>
                <w:sz w:val="20"/>
                <w:szCs w:val="20"/>
                <w:lang w:val="en-US"/>
              </w:rPr>
              <w:t>Does the company use environmental criteria (e.g., ISO 14000) in the selection process of its suppliers or sourcing partners?</w:t>
            </w:r>
          </w:p>
        </w:tc>
        <w:tc>
          <w:tcPr>
            <w:tcW w:w="1133" w:type="dxa"/>
          </w:tcPr>
          <w:p w14:paraId="693602ED" w14:textId="76E12F2E"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0 or 1</w:t>
            </w:r>
          </w:p>
        </w:tc>
      </w:tr>
      <w:tr w:rsidR="006959B7" w14:paraId="1D14E12E" w14:textId="77777777" w:rsidTr="006959B7">
        <w:tc>
          <w:tcPr>
            <w:tcW w:w="704" w:type="dxa"/>
          </w:tcPr>
          <w:p w14:paraId="37133A82" w14:textId="4DFDAEF5"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12.</w:t>
            </w:r>
          </w:p>
        </w:tc>
        <w:tc>
          <w:tcPr>
            <w:tcW w:w="7513" w:type="dxa"/>
          </w:tcPr>
          <w:p w14:paraId="77B85A2D" w14:textId="08D17714" w:rsidR="006959B7" w:rsidRPr="00A513A7" w:rsidRDefault="006959B7" w:rsidP="006959B7">
            <w:pPr>
              <w:jc w:val="both"/>
              <w:rPr>
                <w:rFonts w:ascii="Times New Roman" w:hAnsi="Times New Roman" w:cs="Times New Roman"/>
                <w:sz w:val="20"/>
                <w:szCs w:val="20"/>
                <w:lang w:val="en-US"/>
              </w:rPr>
            </w:pPr>
            <w:r w:rsidRPr="00A513A7">
              <w:rPr>
                <w:rFonts w:ascii="Times New Roman" w:hAnsi="Times New Roman" w:cs="Times New Roman"/>
                <w:sz w:val="20"/>
                <w:szCs w:val="20"/>
                <w:lang w:val="en-US"/>
              </w:rPr>
              <w:t>Does the company show an initiative to reduce, reuse, recycle, substitute, phased out or compensate CO2 equivalents in the production process?</w:t>
            </w:r>
          </w:p>
        </w:tc>
        <w:tc>
          <w:tcPr>
            <w:tcW w:w="1133" w:type="dxa"/>
          </w:tcPr>
          <w:p w14:paraId="76685F17" w14:textId="37DBE5DB"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0 or 1</w:t>
            </w:r>
          </w:p>
        </w:tc>
      </w:tr>
      <w:tr w:rsidR="006959B7" w14:paraId="20A8C87D" w14:textId="77777777" w:rsidTr="006959B7">
        <w:tc>
          <w:tcPr>
            <w:tcW w:w="704" w:type="dxa"/>
          </w:tcPr>
          <w:p w14:paraId="2704CD5B" w14:textId="2F155F6F"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13.</w:t>
            </w:r>
          </w:p>
        </w:tc>
        <w:tc>
          <w:tcPr>
            <w:tcW w:w="7513" w:type="dxa"/>
          </w:tcPr>
          <w:p w14:paraId="7E46EF13" w14:textId="411A476F" w:rsidR="006959B7" w:rsidRPr="00A513A7" w:rsidRDefault="006959B7" w:rsidP="006959B7">
            <w:pPr>
              <w:jc w:val="both"/>
              <w:rPr>
                <w:rFonts w:ascii="Times New Roman" w:hAnsi="Times New Roman" w:cs="Times New Roman"/>
                <w:sz w:val="20"/>
                <w:szCs w:val="20"/>
                <w:lang w:val="en-US"/>
              </w:rPr>
            </w:pPr>
            <w:r w:rsidRPr="00A513A7">
              <w:rPr>
                <w:rFonts w:ascii="Times New Roman" w:hAnsi="Times New Roman" w:cs="Times New Roman"/>
                <w:sz w:val="20"/>
                <w:szCs w:val="20"/>
                <w:lang w:val="en-US"/>
              </w:rPr>
              <w:t>Does the company report or show to be ready to end a partnership with a sourcing partner, if environmental criteria are not met?</w:t>
            </w:r>
          </w:p>
        </w:tc>
        <w:tc>
          <w:tcPr>
            <w:tcW w:w="1133" w:type="dxa"/>
          </w:tcPr>
          <w:p w14:paraId="024EB600" w14:textId="0A0DDD00"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0 or 1</w:t>
            </w:r>
          </w:p>
        </w:tc>
      </w:tr>
      <w:tr w:rsidR="006959B7" w14:paraId="0AB72FEC" w14:textId="77777777" w:rsidTr="006959B7">
        <w:tc>
          <w:tcPr>
            <w:tcW w:w="704" w:type="dxa"/>
          </w:tcPr>
          <w:p w14:paraId="35BB7174" w14:textId="61FB018F"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14.</w:t>
            </w:r>
          </w:p>
        </w:tc>
        <w:tc>
          <w:tcPr>
            <w:tcW w:w="7513" w:type="dxa"/>
          </w:tcPr>
          <w:p w14:paraId="72FC4C6C" w14:textId="7DFC7ABC" w:rsidR="006959B7" w:rsidRPr="00A513A7" w:rsidRDefault="006959B7" w:rsidP="006959B7">
            <w:pPr>
              <w:jc w:val="both"/>
              <w:rPr>
                <w:rFonts w:ascii="Times New Roman" w:hAnsi="Times New Roman" w:cs="Times New Roman"/>
                <w:sz w:val="20"/>
                <w:szCs w:val="20"/>
                <w:lang w:val="en-US"/>
              </w:rPr>
            </w:pPr>
            <w:r w:rsidRPr="00A513A7">
              <w:rPr>
                <w:rFonts w:ascii="Times New Roman" w:hAnsi="Times New Roman" w:cs="Times New Roman"/>
                <w:sz w:val="20"/>
                <w:szCs w:val="20"/>
                <w:lang w:val="en-US"/>
              </w:rPr>
              <w:t>Does the company have a policy for reducing the impact of its operations on biodiversity?</w:t>
            </w:r>
          </w:p>
        </w:tc>
        <w:tc>
          <w:tcPr>
            <w:tcW w:w="1133" w:type="dxa"/>
          </w:tcPr>
          <w:p w14:paraId="540CD0E8" w14:textId="50E405B1"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0 or 1</w:t>
            </w:r>
          </w:p>
        </w:tc>
      </w:tr>
      <w:tr w:rsidR="006959B7" w14:paraId="407406DD" w14:textId="77777777" w:rsidTr="006959B7">
        <w:tc>
          <w:tcPr>
            <w:tcW w:w="704" w:type="dxa"/>
          </w:tcPr>
          <w:p w14:paraId="6DE39FDC" w14:textId="7577BBCA"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15.</w:t>
            </w:r>
          </w:p>
        </w:tc>
        <w:tc>
          <w:tcPr>
            <w:tcW w:w="7513" w:type="dxa"/>
          </w:tcPr>
          <w:p w14:paraId="5078B188" w14:textId="1C38B6AA" w:rsidR="006959B7" w:rsidRPr="00A513A7" w:rsidRDefault="006959B7" w:rsidP="006959B7">
            <w:pPr>
              <w:jc w:val="both"/>
              <w:rPr>
                <w:rFonts w:ascii="Times New Roman" w:hAnsi="Times New Roman" w:cs="Times New Roman"/>
                <w:sz w:val="20"/>
                <w:szCs w:val="20"/>
                <w:lang w:val="en-US"/>
              </w:rPr>
            </w:pPr>
            <w:r w:rsidRPr="00A513A7">
              <w:rPr>
                <w:rFonts w:ascii="Times New Roman" w:hAnsi="Times New Roman" w:cs="Times New Roman"/>
                <w:sz w:val="20"/>
                <w:szCs w:val="20"/>
                <w:lang w:val="en-US"/>
              </w:rPr>
              <w:t>Does the company report on initiatives to recycle, reduce, reuse or phase out fluorinated gases such as hydrofluorocarbons, perfluorocarbons or sulfur hexafluoride?</w:t>
            </w:r>
          </w:p>
        </w:tc>
        <w:tc>
          <w:tcPr>
            <w:tcW w:w="1133" w:type="dxa"/>
          </w:tcPr>
          <w:p w14:paraId="413F9CED" w14:textId="56BB3616"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0 or 1</w:t>
            </w:r>
          </w:p>
        </w:tc>
      </w:tr>
      <w:tr w:rsidR="006959B7" w14:paraId="55035C3F" w14:textId="77777777" w:rsidTr="006959B7">
        <w:tc>
          <w:tcPr>
            <w:tcW w:w="704" w:type="dxa"/>
          </w:tcPr>
          <w:p w14:paraId="154D7D82" w14:textId="0D6C235B"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16.</w:t>
            </w:r>
          </w:p>
        </w:tc>
        <w:tc>
          <w:tcPr>
            <w:tcW w:w="7513" w:type="dxa"/>
          </w:tcPr>
          <w:p w14:paraId="58D4B107" w14:textId="7E093453" w:rsidR="006959B7" w:rsidRPr="00A513A7" w:rsidRDefault="006959B7" w:rsidP="006959B7">
            <w:pPr>
              <w:jc w:val="both"/>
              <w:rPr>
                <w:rFonts w:ascii="Times New Roman" w:hAnsi="Times New Roman" w:cs="Times New Roman"/>
                <w:sz w:val="20"/>
                <w:szCs w:val="20"/>
                <w:lang w:val="en-US"/>
              </w:rPr>
            </w:pPr>
            <w:r w:rsidRPr="00A513A7">
              <w:rPr>
                <w:rFonts w:ascii="Times New Roman" w:hAnsi="Times New Roman" w:cs="Times New Roman"/>
                <w:bCs/>
                <w:sz w:val="20"/>
                <w:szCs w:val="20"/>
                <w:lang w:val="en-US"/>
              </w:rPr>
              <w:t>Does the company describe, claim to have or mention processes in place to reduce its impact on biodiversity?</w:t>
            </w:r>
          </w:p>
        </w:tc>
        <w:tc>
          <w:tcPr>
            <w:tcW w:w="1133" w:type="dxa"/>
          </w:tcPr>
          <w:p w14:paraId="72983A59" w14:textId="6716BB36"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0 or 1</w:t>
            </w:r>
          </w:p>
        </w:tc>
      </w:tr>
      <w:tr w:rsidR="006959B7" w14:paraId="0845AF27" w14:textId="77777777" w:rsidTr="006959B7">
        <w:tc>
          <w:tcPr>
            <w:tcW w:w="704" w:type="dxa"/>
          </w:tcPr>
          <w:p w14:paraId="5913DCF9" w14:textId="08950DFD"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17.</w:t>
            </w:r>
          </w:p>
        </w:tc>
        <w:tc>
          <w:tcPr>
            <w:tcW w:w="7513" w:type="dxa"/>
          </w:tcPr>
          <w:p w14:paraId="6A112654" w14:textId="60951F0B" w:rsidR="006959B7" w:rsidRPr="00A513A7" w:rsidRDefault="006959B7" w:rsidP="006959B7">
            <w:pPr>
              <w:jc w:val="both"/>
              <w:rPr>
                <w:rFonts w:ascii="Times New Roman" w:hAnsi="Times New Roman" w:cs="Times New Roman"/>
                <w:sz w:val="20"/>
                <w:szCs w:val="20"/>
                <w:lang w:val="en-US"/>
              </w:rPr>
            </w:pPr>
            <w:r w:rsidRPr="00A513A7">
              <w:rPr>
                <w:rFonts w:ascii="Times New Roman" w:hAnsi="Times New Roman" w:cs="Times New Roman"/>
                <w:bCs/>
                <w:sz w:val="20"/>
                <w:szCs w:val="20"/>
                <w:lang w:val="en-US"/>
              </w:rPr>
              <w:t>Does the company report on initiatives to restore or protect native ecosystems or the biodiversity of protected and sensitive areas?</w:t>
            </w:r>
          </w:p>
        </w:tc>
        <w:tc>
          <w:tcPr>
            <w:tcW w:w="1133" w:type="dxa"/>
          </w:tcPr>
          <w:p w14:paraId="2EF8579B" w14:textId="6E1902EC"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0 or 1</w:t>
            </w:r>
          </w:p>
        </w:tc>
      </w:tr>
      <w:tr w:rsidR="006959B7" w14:paraId="3857FCC3" w14:textId="77777777" w:rsidTr="006959B7">
        <w:tc>
          <w:tcPr>
            <w:tcW w:w="704" w:type="dxa"/>
          </w:tcPr>
          <w:p w14:paraId="72737697" w14:textId="594651AA"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18.</w:t>
            </w:r>
          </w:p>
        </w:tc>
        <w:tc>
          <w:tcPr>
            <w:tcW w:w="7513" w:type="dxa"/>
          </w:tcPr>
          <w:p w14:paraId="52996D13" w14:textId="559030F3" w:rsidR="006959B7" w:rsidRPr="00A513A7" w:rsidRDefault="006959B7" w:rsidP="006959B7">
            <w:pPr>
              <w:jc w:val="both"/>
              <w:rPr>
                <w:rFonts w:ascii="Times New Roman" w:hAnsi="Times New Roman" w:cs="Times New Roman"/>
                <w:sz w:val="20"/>
                <w:szCs w:val="20"/>
                <w:lang w:val="en-US"/>
              </w:rPr>
            </w:pPr>
            <w:r w:rsidRPr="00A513A7">
              <w:rPr>
                <w:rFonts w:ascii="Times New Roman" w:hAnsi="Times New Roman" w:cs="Times New Roman"/>
                <w:sz w:val="20"/>
                <w:szCs w:val="20"/>
                <w:lang w:val="en-US"/>
              </w:rPr>
              <w:t>Does the company report on initiatives to reduce its impact on native ecosystems and biodiversity?</w:t>
            </w:r>
          </w:p>
        </w:tc>
        <w:tc>
          <w:tcPr>
            <w:tcW w:w="1133" w:type="dxa"/>
          </w:tcPr>
          <w:p w14:paraId="62FA533B" w14:textId="5091FEAF"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0 or 1</w:t>
            </w:r>
          </w:p>
        </w:tc>
      </w:tr>
      <w:tr w:rsidR="006959B7" w14:paraId="3C00CAE7" w14:textId="77777777" w:rsidTr="006959B7">
        <w:tc>
          <w:tcPr>
            <w:tcW w:w="704" w:type="dxa"/>
          </w:tcPr>
          <w:p w14:paraId="4FC9BE9F" w14:textId="79B7CDC8"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19.</w:t>
            </w:r>
          </w:p>
        </w:tc>
        <w:tc>
          <w:tcPr>
            <w:tcW w:w="7513" w:type="dxa"/>
          </w:tcPr>
          <w:p w14:paraId="09A2BD1F" w14:textId="3FA3C76B" w:rsidR="006959B7" w:rsidRPr="00A513A7" w:rsidRDefault="006959B7" w:rsidP="006959B7">
            <w:pPr>
              <w:jc w:val="both"/>
              <w:rPr>
                <w:rFonts w:ascii="Times New Roman" w:hAnsi="Times New Roman" w:cs="Times New Roman"/>
                <w:sz w:val="20"/>
                <w:szCs w:val="20"/>
                <w:lang w:val="en-US"/>
              </w:rPr>
            </w:pPr>
            <w:r w:rsidRPr="00A513A7">
              <w:rPr>
                <w:rFonts w:ascii="Times New Roman" w:hAnsi="Times New Roman" w:cs="Times New Roman"/>
                <w:sz w:val="20"/>
                <w:szCs w:val="20"/>
                <w:lang w:val="en-US"/>
              </w:rPr>
              <w:t>Does the company evaluate the commercial risks and/or opportunities in relation to climate change?</w:t>
            </w:r>
          </w:p>
        </w:tc>
        <w:tc>
          <w:tcPr>
            <w:tcW w:w="1133" w:type="dxa"/>
          </w:tcPr>
          <w:p w14:paraId="433DFC31" w14:textId="0BE46F98"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0 or 1</w:t>
            </w:r>
          </w:p>
        </w:tc>
      </w:tr>
      <w:tr w:rsidR="006959B7" w14:paraId="7FA83773" w14:textId="77777777" w:rsidTr="006959B7">
        <w:tc>
          <w:tcPr>
            <w:tcW w:w="704" w:type="dxa"/>
          </w:tcPr>
          <w:p w14:paraId="64F105F9" w14:textId="1B5E687F"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20.</w:t>
            </w:r>
          </w:p>
        </w:tc>
        <w:tc>
          <w:tcPr>
            <w:tcW w:w="7513" w:type="dxa"/>
          </w:tcPr>
          <w:p w14:paraId="0D7F1826" w14:textId="72D8F1B3" w:rsidR="006959B7" w:rsidRPr="00A513A7" w:rsidRDefault="006959B7" w:rsidP="006959B7">
            <w:pPr>
              <w:jc w:val="both"/>
              <w:rPr>
                <w:rFonts w:ascii="Times New Roman" w:hAnsi="Times New Roman" w:cs="Times New Roman"/>
                <w:sz w:val="20"/>
                <w:szCs w:val="20"/>
                <w:lang w:val="en-US"/>
              </w:rPr>
            </w:pPr>
            <w:r w:rsidRPr="00A513A7">
              <w:rPr>
                <w:rFonts w:ascii="Times New Roman" w:hAnsi="Times New Roman" w:cs="Times New Roman"/>
                <w:bCs/>
                <w:sz w:val="20"/>
                <w:szCs w:val="20"/>
                <w:lang w:val="en-US"/>
              </w:rPr>
              <w:t>Does the company claim to use key performance indicators or the balanced scorecard to monitor its impacts on biodiversity?</w:t>
            </w:r>
          </w:p>
        </w:tc>
        <w:tc>
          <w:tcPr>
            <w:tcW w:w="1133" w:type="dxa"/>
          </w:tcPr>
          <w:p w14:paraId="5FCE127D" w14:textId="5599E2E6"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0 or 1</w:t>
            </w:r>
          </w:p>
        </w:tc>
      </w:tr>
      <w:tr w:rsidR="006959B7" w14:paraId="3AA0C994" w14:textId="77777777" w:rsidTr="006959B7">
        <w:tc>
          <w:tcPr>
            <w:tcW w:w="704" w:type="dxa"/>
          </w:tcPr>
          <w:p w14:paraId="0BCE3EAB" w14:textId="45621359"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21.</w:t>
            </w:r>
          </w:p>
        </w:tc>
        <w:tc>
          <w:tcPr>
            <w:tcW w:w="7513" w:type="dxa"/>
          </w:tcPr>
          <w:p w14:paraId="0246D0FC" w14:textId="111AB6FB" w:rsidR="006959B7" w:rsidRPr="00A513A7" w:rsidRDefault="006959B7" w:rsidP="006959B7">
            <w:pPr>
              <w:jc w:val="both"/>
              <w:rPr>
                <w:rFonts w:ascii="Times New Roman" w:hAnsi="Times New Roman" w:cs="Times New Roman"/>
                <w:sz w:val="20"/>
                <w:szCs w:val="20"/>
                <w:lang w:val="en-US"/>
              </w:rPr>
            </w:pPr>
            <w:r w:rsidRPr="00A513A7">
              <w:rPr>
                <w:rFonts w:ascii="Times New Roman" w:hAnsi="Times New Roman" w:cs="Times New Roman"/>
                <w:sz w:val="20"/>
                <w:szCs w:val="20"/>
                <w:lang w:val="en-US"/>
              </w:rPr>
              <w:t>Does the company have processes in place to improve its energy efficiency?</w:t>
            </w:r>
          </w:p>
        </w:tc>
        <w:tc>
          <w:tcPr>
            <w:tcW w:w="1133" w:type="dxa"/>
          </w:tcPr>
          <w:p w14:paraId="71CC0320" w14:textId="0BA272BD" w:rsidR="006959B7" w:rsidRPr="00A513A7" w:rsidRDefault="006959B7" w:rsidP="006959B7">
            <w:pPr>
              <w:jc w:val="both"/>
              <w:rPr>
                <w:rFonts w:ascii="Times New Roman" w:hAnsi="Times New Roman" w:cs="Times New Roman"/>
                <w:sz w:val="20"/>
                <w:szCs w:val="20"/>
              </w:rPr>
            </w:pPr>
            <w:r w:rsidRPr="00A513A7">
              <w:rPr>
                <w:rFonts w:ascii="Times New Roman" w:hAnsi="Times New Roman" w:cs="Times New Roman"/>
                <w:sz w:val="20"/>
                <w:szCs w:val="20"/>
              </w:rPr>
              <w:t>0 or 1</w:t>
            </w:r>
          </w:p>
        </w:tc>
      </w:tr>
      <w:tr w:rsidR="006959B7" w14:paraId="50E1D646" w14:textId="77777777" w:rsidTr="006959B7">
        <w:tc>
          <w:tcPr>
            <w:tcW w:w="704" w:type="dxa"/>
          </w:tcPr>
          <w:p w14:paraId="75DEAD73" w14:textId="77777777" w:rsidR="006959B7" w:rsidRPr="00A513A7" w:rsidRDefault="006959B7" w:rsidP="006959B7">
            <w:pPr>
              <w:jc w:val="both"/>
              <w:rPr>
                <w:rFonts w:ascii="Times New Roman" w:hAnsi="Times New Roman" w:cs="Times New Roman"/>
                <w:sz w:val="20"/>
                <w:szCs w:val="20"/>
              </w:rPr>
            </w:pPr>
          </w:p>
        </w:tc>
        <w:tc>
          <w:tcPr>
            <w:tcW w:w="7513" w:type="dxa"/>
          </w:tcPr>
          <w:p w14:paraId="7AB0FA14" w14:textId="6AA025FD" w:rsidR="006959B7" w:rsidRPr="00A513A7" w:rsidRDefault="006959B7" w:rsidP="006959B7">
            <w:pPr>
              <w:jc w:val="both"/>
              <w:rPr>
                <w:rFonts w:ascii="Times New Roman" w:hAnsi="Times New Roman" w:cs="Times New Roman"/>
                <w:b/>
                <w:bCs/>
                <w:sz w:val="20"/>
                <w:szCs w:val="20"/>
                <w:lang w:val="en-US"/>
              </w:rPr>
            </w:pPr>
            <w:r w:rsidRPr="00A513A7">
              <w:rPr>
                <w:rFonts w:ascii="Times New Roman" w:hAnsi="Times New Roman" w:cs="Times New Roman"/>
                <w:b/>
                <w:bCs/>
                <w:sz w:val="20"/>
                <w:szCs w:val="20"/>
                <w:lang w:val="en-US"/>
              </w:rPr>
              <w:t>Possible total score of a firm</w:t>
            </w:r>
          </w:p>
        </w:tc>
        <w:tc>
          <w:tcPr>
            <w:tcW w:w="1133" w:type="dxa"/>
          </w:tcPr>
          <w:p w14:paraId="7276C148" w14:textId="7D4C13CA" w:rsidR="006959B7" w:rsidRPr="00A513A7" w:rsidRDefault="006959B7" w:rsidP="006959B7">
            <w:pPr>
              <w:jc w:val="both"/>
              <w:rPr>
                <w:rFonts w:ascii="Times New Roman" w:hAnsi="Times New Roman" w:cs="Times New Roman"/>
                <w:b/>
                <w:bCs/>
                <w:sz w:val="20"/>
                <w:szCs w:val="20"/>
              </w:rPr>
            </w:pPr>
            <w:r w:rsidRPr="00A513A7">
              <w:rPr>
                <w:rFonts w:ascii="Times New Roman" w:hAnsi="Times New Roman" w:cs="Times New Roman"/>
                <w:b/>
                <w:bCs/>
                <w:sz w:val="20"/>
                <w:szCs w:val="20"/>
              </w:rPr>
              <w:t>0 or 21</w:t>
            </w:r>
          </w:p>
        </w:tc>
      </w:tr>
    </w:tbl>
    <w:p w14:paraId="0D668AB2" w14:textId="77777777" w:rsidR="000C15C6" w:rsidRDefault="000C15C6" w:rsidP="00434E7B">
      <w:pPr>
        <w:spacing w:after="0"/>
        <w:jc w:val="both"/>
        <w:rPr>
          <w:rFonts w:ascii="Times New Roman" w:hAnsi="Times New Roman" w:cs="Times New Roman"/>
        </w:rPr>
      </w:pPr>
    </w:p>
    <w:p w14:paraId="31E37E65" w14:textId="77777777" w:rsidR="000C15C6" w:rsidRDefault="000C15C6" w:rsidP="00434E7B">
      <w:pPr>
        <w:spacing w:after="0"/>
        <w:jc w:val="both"/>
        <w:rPr>
          <w:rFonts w:ascii="Times New Roman" w:hAnsi="Times New Roman" w:cs="Times New Roman"/>
        </w:rPr>
      </w:pPr>
    </w:p>
    <w:p w14:paraId="3BA5A09B" w14:textId="77777777" w:rsidR="000C15C6" w:rsidRDefault="000C15C6" w:rsidP="00434E7B">
      <w:pPr>
        <w:spacing w:after="0"/>
        <w:jc w:val="both"/>
        <w:rPr>
          <w:rFonts w:ascii="Times New Roman" w:hAnsi="Times New Roman" w:cs="Times New Roman"/>
        </w:rPr>
      </w:pPr>
    </w:p>
    <w:p w14:paraId="5C0F3C3D" w14:textId="77777777" w:rsidR="000C15C6" w:rsidRDefault="000C15C6" w:rsidP="00434E7B">
      <w:pPr>
        <w:spacing w:after="0"/>
        <w:jc w:val="both"/>
        <w:rPr>
          <w:rFonts w:ascii="Times New Roman" w:hAnsi="Times New Roman" w:cs="Times New Roman"/>
        </w:rPr>
      </w:pPr>
    </w:p>
    <w:p w14:paraId="4F86D982" w14:textId="77777777" w:rsidR="000C15C6" w:rsidRDefault="000C15C6" w:rsidP="00434E7B">
      <w:pPr>
        <w:spacing w:after="0"/>
        <w:jc w:val="both"/>
        <w:rPr>
          <w:rFonts w:ascii="Times New Roman" w:hAnsi="Times New Roman" w:cs="Times New Roman"/>
        </w:rPr>
      </w:pPr>
    </w:p>
    <w:p w14:paraId="035338E8" w14:textId="77777777" w:rsidR="000C15C6" w:rsidRDefault="000C15C6" w:rsidP="00434E7B">
      <w:pPr>
        <w:spacing w:after="0"/>
        <w:jc w:val="both"/>
        <w:rPr>
          <w:rFonts w:ascii="Times New Roman" w:hAnsi="Times New Roman" w:cs="Times New Roman"/>
        </w:rPr>
      </w:pPr>
    </w:p>
    <w:p w14:paraId="038BBAE2" w14:textId="77777777" w:rsidR="00434E7B" w:rsidRPr="00434E7B" w:rsidRDefault="00434E7B" w:rsidP="00986981">
      <w:pPr>
        <w:rPr>
          <w:rFonts w:ascii="Times New Roman" w:eastAsiaTheme="minorEastAsia" w:hAnsi="Times New Roman" w:cs="Times New Roman"/>
          <w:color w:val="000000" w:themeColor="text1"/>
          <w:sz w:val="28"/>
          <w:szCs w:val="28"/>
          <w:lang w:eastAsia="en-GB"/>
        </w:rPr>
      </w:pPr>
    </w:p>
    <w:sectPr w:rsidR="00434E7B" w:rsidRPr="00434E7B" w:rsidSect="006757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36024" w14:textId="77777777" w:rsidR="0065489E" w:rsidRDefault="0065489E" w:rsidP="00A413DD">
      <w:pPr>
        <w:spacing w:after="0" w:line="240" w:lineRule="auto"/>
      </w:pPr>
      <w:r>
        <w:separator/>
      </w:r>
    </w:p>
  </w:endnote>
  <w:endnote w:type="continuationSeparator" w:id="0">
    <w:p w14:paraId="5764C37A" w14:textId="77777777" w:rsidR="0065489E" w:rsidRDefault="0065489E" w:rsidP="00A4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TTcbb99584+20">
    <w:altName w:val="Yu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9873686"/>
      <w:docPartObj>
        <w:docPartGallery w:val="Page Numbers (Bottom of Page)"/>
        <w:docPartUnique/>
      </w:docPartObj>
    </w:sdtPr>
    <w:sdtEndPr>
      <w:rPr>
        <w:noProof/>
      </w:rPr>
    </w:sdtEndPr>
    <w:sdtContent>
      <w:p w14:paraId="1D650A33" w14:textId="77777777" w:rsidR="0065489E" w:rsidRDefault="0065489E">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14:paraId="48450E75" w14:textId="77777777" w:rsidR="0065489E" w:rsidRDefault="0065489E">
    <w:pPr>
      <w:pStyle w:val="Footer"/>
    </w:pPr>
  </w:p>
  <w:p w14:paraId="1C4886BB" w14:textId="77777777" w:rsidR="0065489E" w:rsidRDefault="006548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9344703"/>
      <w:docPartObj>
        <w:docPartGallery w:val="Page Numbers (Bottom of Page)"/>
        <w:docPartUnique/>
      </w:docPartObj>
    </w:sdtPr>
    <w:sdtEndPr>
      <w:rPr>
        <w:noProof/>
      </w:rPr>
    </w:sdtEndPr>
    <w:sdtContent>
      <w:p w14:paraId="1DE6B9AD" w14:textId="77777777" w:rsidR="0065489E" w:rsidRDefault="0065489E">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14:paraId="376DEDE7" w14:textId="77777777" w:rsidR="0065489E" w:rsidRDefault="0065489E">
    <w:pPr>
      <w:pStyle w:val="Footer"/>
    </w:pPr>
  </w:p>
  <w:p w14:paraId="2386E91D" w14:textId="77777777" w:rsidR="0065489E" w:rsidRDefault="006548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7C469" w14:textId="77777777" w:rsidR="0065489E" w:rsidRDefault="0065489E" w:rsidP="00A413DD">
      <w:pPr>
        <w:spacing w:after="0" w:line="240" w:lineRule="auto"/>
      </w:pPr>
      <w:r>
        <w:separator/>
      </w:r>
    </w:p>
  </w:footnote>
  <w:footnote w:type="continuationSeparator" w:id="0">
    <w:p w14:paraId="5341E2C1" w14:textId="77777777" w:rsidR="0065489E" w:rsidRDefault="0065489E" w:rsidP="00A413DD">
      <w:pPr>
        <w:spacing w:after="0" w:line="240" w:lineRule="auto"/>
      </w:pPr>
      <w:r>
        <w:continuationSeparator/>
      </w:r>
    </w:p>
  </w:footnote>
  <w:footnote w:id="1">
    <w:p w14:paraId="54934559" w14:textId="77777777" w:rsidR="00D92746" w:rsidRDefault="00D92746" w:rsidP="00D92746">
      <w:pPr>
        <w:pStyle w:val="FootnoteText"/>
      </w:pPr>
      <w:r>
        <w:rPr>
          <w:rStyle w:val="FootnoteReference"/>
        </w:rPr>
        <w:footnoteRef/>
      </w:r>
      <w:r w:rsidRPr="00037AE5">
        <w:rPr>
          <w:rFonts w:ascii="Times New Roman" w:hAnsi="Times New Roman" w:cs="Times New Roman"/>
        </w:rPr>
        <w:t>Corresponding author.</w:t>
      </w:r>
      <w:r>
        <w:t xml:space="preserve"> </w:t>
      </w:r>
    </w:p>
  </w:footnote>
  <w:footnote w:id="2">
    <w:p w14:paraId="76FA453F" w14:textId="7481AAE2" w:rsidR="0065489E" w:rsidRPr="00A820BF" w:rsidRDefault="0065489E" w:rsidP="00F5235A">
      <w:pPr>
        <w:pStyle w:val="FootnoteText"/>
        <w:jc w:val="both"/>
        <w:rPr>
          <w:rFonts w:asciiTheme="majorBidi" w:hAnsiTheme="majorBidi" w:cstheme="majorBidi"/>
        </w:rPr>
      </w:pPr>
      <w:r w:rsidRPr="00A820BF">
        <w:rPr>
          <w:rStyle w:val="FootnoteReference"/>
          <w:rFonts w:asciiTheme="majorBidi" w:hAnsiTheme="majorBidi" w:cstheme="majorBidi"/>
        </w:rPr>
        <w:footnoteRef/>
      </w:r>
      <w:r>
        <w:rPr>
          <w:rFonts w:asciiTheme="majorBidi" w:hAnsiTheme="majorBidi" w:cstheme="majorBidi"/>
        </w:rPr>
        <w:t>P</w:t>
      </w:r>
      <w:r w:rsidRPr="00A820BF">
        <w:rPr>
          <w:rFonts w:asciiTheme="majorBidi" w:hAnsiTheme="majorBidi" w:cstheme="majorBidi"/>
        </w:rPr>
        <w:t xml:space="preserve">rocess-oriented </w:t>
      </w:r>
      <w:r>
        <w:rPr>
          <w:rFonts w:asciiTheme="majorBidi" w:hAnsiTheme="majorBidi" w:cstheme="majorBidi"/>
        </w:rPr>
        <w:t>carbon reduction initiatives (PCRI) refer to managerial initiatives</w:t>
      </w:r>
      <w:r w:rsidRPr="00A820BF">
        <w:rPr>
          <w:rFonts w:asciiTheme="majorBidi" w:hAnsiTheme="majorBidi" w:cstheme="majorBidi"/>
        </w:rPr>
        <w:t xml:space="preserve">, such as </w:t>
      </w:r>
      <w:r>
        <w:rPr>
          <w:rFonts w:asciiTheme="majorBidi" w:hAnsiTheme="majorBidi" w:cstheme="majorBidi"/>
        </w:rPr>
        <w:t xml:space="preserve">plans, </w:t>
      </w:r>
      <w:r w:rsidRPr="00A820BF">
        <w:rPr>
          <w:rFonts w:asciiTheme="majorBidi" w:hAnsiTheme="majorBidi" w:cstheme="majorBidi"/>
        </w:rPr>
        <w:t xml:space="preserve">policies, processes, disclosures and strategic actions that can be used to address the adverse consequences of climate change. </w:t>
      </w:r>
      <w:r>
        <w:rPr>
          <w:rFonts w:asciiTheme="majorBidi" w:hAnsiTheme="majorBidi" w:cstheme="majorBidi"/>
        </w:rPr>
        <w:t xml:space="preserve">In this paper, the full list of items that form this PCRI index have been presented in the Appendix. Also, for brevity, we have used the following abbreviations throughout the paper for their regular re-occurrence: corporate governance (CG), carbon performance (CP), executive compensation (EC), market value (MV) and neo-institutional theory (NIT). </w:t>
      </w:r>
    </w:p>
  </w:footnote>
  <w:footnote w:id="3">
    <w:p w14:paraId="4BE30AD1" w14:textId="7F11117A" w:rsidR="0065489E" w:rsidRDefault="0065489E" w:rsidP="00230F30">
      <w:pPr>
        <w:pStyle w:val="FootnoteText"/>
        <w:jc w:val="both"/>
      </w:pPr>
      <w:r w:rsidRPr="00BE019A">
        <w:rPr>
          <w:rStyle w:val="FootnoteReference"/>
          <w:rFonts w:asciiTheme="majorBidi" w:hAnsiTheme="majorBidi" w:cstheme="majorBidi"/>
        </w:rPr>
        <w:footnoteRef/>
      </w:r>
      <w:r w:rsidRPr="00BE019A">
        <w:rPr>
          <w:rFonts w:asciiTheme="majorBidi" w:hAnsiTheme="majorBidi" w:cstheme="majorBidi"/>
        </w:rPr>
        <w:t xml:space="preserve">We measure total compensation as the natural log of total </w:t>
      </w:r>
      <w:r w:rsidRPr="00080E5E">
        <w:rPr>
          <w:rFonts w:asciiTheme="majorBidi" w:hAnsiTheme="majorBidi" w:cstheme="majorBidi"/>
        </w:rPr>
        <w:t>fixed and variable compensation</w:t>
      </w:r>
      <w:r w:rsidRPr="00BE019A">
        <w:rPr>
          <w:rFonts w:asciiTheme="majorBidi" w:hAnsiTheme="majorBidi" w:cstheme="majorBidi"/>
        </w:rPr>
        <w:t xml:space="preserve"> (in USD</w:t>
      </w:r>
      <w:r>
        <w:rPr>
          <w:rFonts w:asciiTheme="majorBidi" w:hAnsiTheme="majorBidi" w:cstheme="majorBidi"/>
        </w:rPr>
        <w:t>$</w:t>
      </w:r>
      <w:r w:rsidRPr="00BE019A">
        <w:rPr>
          <w:rFonts w:asciiTheme="majorBidi" w:hAnsiTheme="majorBidi" w:cstheme="majorBidi"/>
        </w:rPr>
        <w:t xml:space="preserve">) paid to all senior executives as reported by the firm. The fixed component consists </w:t>
      </w:r>
      <w:r>
        <w:rPr>
          <w:rFonts w:asciiTheme="majorBidi" w:hAnsiTheme="majorBidi" w:cstheme="majorBidi"/>
        </w:rPr>
        <w:t xml:space="preserve">of </w:t>
      </w:r>
      <w:r w:rsidRPr="00BE019A">
        <w:rPr>
          <w:rFonts w:asciiTheme="majorBidi" w:hAnsiTheme="majorBidi" w:cstheme="majorBidi"/>
        </w:rPr>
        <w:t>a base salary and other in-kind benefits, such as accommodation, health and transportation. The variable component consists of bonuses and other long-term incentive plans, such as</w:t>
      </w:r>
      <w:r>
        <w:rPr>
          <w:rFonts w:asciiTheme="majorBidi" w:hAnsiTheme="majorBidi" w:cstheme="majorBidi"/>
        </w:rPr>
        <w:t xml:space="preserve"> equity ownership and</w:t>
      </w:r>
      <w:r w:rsidRPr="00BE019A">
        <w:rPr>
          <w:rFonts w:asciiTheme="majorBidi" w:hAnsiTheme="majorBidi" w:cstheme="majorBidi"/>
        </w:rPr>
        <w:t xml:space="preserve"> </w:t>
      </w:r>
      <w:r>
        <w:rPr>
          <w:rFonts w:asciiTheme="majorBidi" w:hAnsiTheme="majorBidi" w:cstheme="majorBidi"/>
        </w:rPr>
        <w:t xml:space="preserve">long-term </w:t>
      </w:r>
      <w:r w:rsidRPr="00BE019A">
        <w:rPr>
          <w:rFonts w:asciiTheme="majorBidi" w:hAnsiTheme="majorBidi" w:cstheme="majorBidi"/>
        </w:rPr>
        <w:t>share options.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E3712"/>
    <w:multiLevelType w:val="hybridMultilevel"/>
    <w:tmpl w:val="1DD850A2"/>
    <w:lvl w:ilvl="0" w:tplc="DD8E5240">
      <w:start w:val="1"/>
      <w:numFmt w:val="decimal"/>
      <w:lvlText w:val="%1."/>
      <w:lvlJc w:val="left"/>
      <w:pPr>
        <w:tabs>
          <w:tab w:val="num" w:pos="936"/>
        </w:tabs>
        <w:ind w:left="936"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433ADE"/>
    <w:multiLevelType w:val="multilevel"/>
    <w:tmpl w:val="F4D65650"/>
    <w:lvl w:ilvl="0">
      <w:start w:val="1"/>
      <w:numFmt w:val="decimal"/>
      <w:lvlText w:val="%1."/>
      <w:lvlJc w:val="left"/>
      <w:pPr>
        <w:ind w:left="144" w:hanging="144"/>
      </w:pPr>
      <w:rPr>
        <w:rFonts w:hint="default"/>
      </w:rPr>
    </w:lvl>
    <w:lvl w:ilvl="1">
      <w:start w:val="1"/>
      <w:numFmt w:val="decimal"/>
      <w:isLgl/>
      <w:lvlText w:val="%1.%2."/>
      <w:lvlJc w:val="left"/>
      <w:pPr>
        <w:ind w:left="144" w:hanging="144"/>
      </w:pPr>
      <w:rPr>
        <w:rFonts w:hint="default"/>
      </w:rPr>
    </w:lvl>
    <w:lvl w:ilvl="2">
      <w:start w:val="1"/>
      <w:numFmt w:val="decimal"/>
      <w:isLgl/>
      <w:lvlText w:val="%1.%2.%3."/>
      <w:lvlJc w:val="left"/>
      <w:pPr>
        <w:ind w:left="144" w:hanging="144"/>
      </w:pPr>
      <w:rPr>
        <w:rFonts w:hint="default"/>
      </w:rPr>
    </w:lvl>
    <w:lvl w:ilvl="3">
      <w:start w:val="1"/>
      <w:numFmt w:val="decimal"/>
      <w:isLgl/>
      <w:lvlText w:val="%1.%2.%3.%4."/>
      <w:lvlJc w:val="left"/>
      <w:pPr>
        <w:ind w:left="144" w:hanging="144"/>
      </w:pPr>
      <w:rPr>
        <w:rFonts w:hint="default"/>
      </w:rPr>
    </w:lvl>
    <w:lvl w:ilvl="4">
      <w:start w:val="1"/>
      <w:numFmt w:val="decimal"/>
      <w:isLgl/>
      <w:lvlText w:val="%1.%2.%3.%4.%5."/>
      <w:lvlJc w:val="left"/>
      <w:pPr>
        <w:ind w:left="144" w:hanging="144"/>
      </w:pPr>
      <w:rPr>
        <w:rFonts w:hint="default"/>
      </w:rPr>
    </w:lvl>
    <w:lvl w:ilvl="5">
      <w:start w:val="1"/>
      <w:numFmt w:val="decimal"/>
      <w:isLgl/>
      <w:lvlText w:val="%1.%2.%3.%4.%5.%6."/>
      <w:lvlJc w:val="left"/>
      <w:pPr>
        <w:ind w:left="144" w:hanging="144"/>
      </w:pPr>
      <w:rPr>
        <w:rFonts w:hint="default"/>
      </w:rPr>
    </w:lvl>
    <w:lvl w:ilvl="6">
      <w:start w:val="1"/>
      <w:numFmt w:val="decimal"/>
      <w:isLgl/>
      <w:lvlText w:val="%1.%2.%3.%4.%5.%6.%7."/>
      <w:lvlJc w:val="left"/>
      <w:pPr>
        <w:ind w:left="144" w:hanging="144"/>
      </w:pPr>
      <w:rPr>
        <w:rFonts w:hint="default"/>
      </w:rPr>
    </w:lvl>
    <w:lvl w:ilvl="7">
      <w:start w:val="1"/>
      <w:numFmt w:val="decimal"/>
      <w:isLgl/>
      <w:lvlText w:val="%1.%2.%3.%4.%5.%6.%7.%8."/>
      <w:lvlJc w:val="left"/>
      <w:pPr>
        <w:ind w:left="144" w:hanging="144"/>
      </w:pPr>
      <w:rPr>
        <w:rFonts w:hint="default"/>
      </w:rPr>
    </w:lvl>
    <w:lvl w:ilvl="8">
      <w:start w:val="1"/>
      <w:numFmt w:val="decimal"/>
      <w:isLgl/>
      <w:lvlText w:val="%1.%2.%3.%4.%5.%6.%7.%8.%9."/>
      <w:lvlJc w:val="left"/>
      <w:pPr>
        <w:ind w:left="144" w:hanging="144"/>
      </w:pPr>
      <w:rPr>
        <w:rFonts w:hint="default"/>
      </w:rPr>
    </w:lvl>
  </w:abstractNum>
  <w:abstractNum w:abstractNumId="2" w15:restartNumberingAfterBreak="0">
    <w:nsid w:val="61CA5960"/>
    <w:multiLevelType w:val="multilevel"/>
    <w:tmpl w:val="750A73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3BB51CF"/>
    <w:multiLevelType w:val="hybridMultilevel"/>
    <w:tmpl w:val="7700DE72"/>
    <w:lvl w:ilvl="0" w:tplc="AD46C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4157EB"/>
    <w:multiLevelType w:val="hybridMultilevel"/>
    <w:tmpl w:val="73D67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8D735B"/>
    <w:multiLevelType w:val="hybridMultilevel"/>
    <w:tmpl w:val="80221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2F9"/>
    <w:rsid w:val="00000955"/>
    <w:rsid w:val="00000C99"/>
    <w:rsid w:val="00002550"/>
    <w:rsid w:val="00002AD8"/>
    <w:rsid w:val="00002C2D"/>
    <w:rsid w:val="00003163"/>
    <w:rsid w:val="000034B9"/>
    <w:rsid w:val="000035D9"/>
    <w:rsid w:val="00003E34"/>
    <w:rsid w:val="0000445D"/>
    <w:rsid w:val="0000553E"/>
    <w:rsid w:val="00005C01"/>
    <w:rsid w:val="00006D26"/>
    <w:rsid w:val="0000757C"/>
    <w:rsid w:val="00010432"/>
    <w:rsid w:val="00010B58"/>
    <w:rsid w:val="00010FCA"/>
    <w:rsid w:val="00011F44"/>
    <w:rsid w:val="00012D7F"/>
    <w:rsid w:val="00013191"/>
    <w:rsid w:val="00014389"/>
    <w:rsid w:val="00015030"/>
    <w:rsid w:val="0001516C"/>
    <w:rsid w:val="000169DD"/>
    <w:rsid w:val="00016D7C"/>
    <w:rsid w:val="00017F11"/>
    <w:rsid w:val="00020D31"/>
    <w:rsid w:val="00020EB9"/>
    <w:rsid w:val="0002106E"/>
    <w:rsid w:val="00021CFF"/>
    <w:rsid w:val="00022722"/>
    <w:rsid w:val="00022BE4"/>
    <w:rsid w:val="00024B49"/>
    <w:rsid w:val="00024FB5"/>
    <w:rsid w:val="00026F84"/>
    <w:rsid w:val="000278E8"/>
    <w:rsid w:val="00027BE9"/>
    <w:rsid w:val="000311A3"/>
    <w:rsid w:val="00031A0A"/>
    <w:rsid w:val="00031FC3"/>
    <w:rsid w:val="0003274A"/>
    <w:rsid w:val="00033971"/>
    <w:rsid w:val="00034060"/>
    <w:rsid w:val="00034E66"/>
    <w:rsid w:val="0003525E"/>
    <w:rsid w:val="00036900"/>
    <w:rsid w:val="000401BE"/>
    <w:rsid w:val="000403EB"/>
    <w:rsid w:val="00040671"/>
    <w:rsid w:val="00041B3B"/>
    <w:rsid w:val="0004218A"/>
    <w:rsid w:val="000421B8"/>
    <w:rsid w:val="00042205"/>
    <w:rsid w:val="0004220B"/>
    <w:rsid w:val="00042287"/>
    <w:rsid w:val="00042CC1"/>
    <w:rsid w:val="00045872"/>
    <w:rsid w:val="00045F79"/>
    <w:rsid w:val="00046635"/>
    <w:rsid w:val="000466E6"/>
    <w:rsid w:val="00046D27"/>
    <w:rsid w:val="00051887"/>
    <w:rsid w:val="000535C6"/>
    <w:rsid w:val="0005543B"/>
    <w:rsid w:val="00056B31"/>
    <w:rsid w:val="00056FFC"/>
    <w:rsid w:val="00057403"/>
    <w:rsid w:val="00060AAA"/>
    <w:rsid w:val="000612A8"/>
    <w:rsid w:val="00061888"/>
    <w:rsid w:val="000627BE"/>
    <w:rsid w:val="00063308"/>
    <w:rsid w:val="00063F11"/>
    <w:rsid w:val="00064E70"/>
    <w:rsid w:val="00065A7F"/>
    <w:rsid w:val="00066DC7"/>
    <w:rsid w:val="00066F1F"/>
    <w:rsid w:val="000670A8"/>
    <w:rsid w:val="00067A47"/>
    <w:rsid w:val="00070307"/>
    <w:rsid w:val="000705D6"/>
    <w:rsid w:val="00072B76"/>
    <w:rsid w:val="00072B8A"/>
    <w:rsid w:val="00072CD2"/>
    <w:rsid w:val="000736F7"/>
    <w:rsid w:val="00073724"/>
    <w:rsid w:val="00073C1A"/>
    <w:rsid w:val="00073EF0"/>
    <w:rsid w:val="00074018"/>
    <w:rsid w:val="00076739"/>
    <w:rsid w:val="00076785"/>
    <w:rsid w:val="0007760F"/>
    <w:rsid w:val="00077680"/>
    <w:rsid w:val="00077910"/>
    <w:rsid w:val="00077B71"/>
    <w:rsid w:val="00080E18"/>
    <w:rsid w:val="00080E5E"/>
    <w:rsid w:val="00081793"/>
    <w:rsid w:val="000823E7"/>
    <w:rsid w:val="0008321B"/>
    <w:rsid w:val="0008363E"/>
    <w:rsid w:val="000839DB"/>
    <w:rsid w:val="0008407D"/>
    <w:rsid w:val="00084FB0"/>
    <w:rsid w:val="000853DB"/>
    <w:rsid w:val="00086300"/>
    <w:rsid w:val="00087C6C"/>
    <w:rsid w:val="00087E49"/>
    <w:rsid w:val="00090065"/>
    <w:rsid w:val="0009027A"/>
    <w:rsid w:val="0009039F"/>
    <w:rsid w:val="000911E6"/>
    <w:rsid w:val="00091C3F"/>
    <w:rsid w:val="00092DAE"/>
    <w:rsid w:val="000936CB"/>
    <w:rsid w:val="00095DA2"/>
    <w:rsid w:val="000A0494"/>
    <w:rsid w:val="000A058F"/>
    <w:rsid w:val="000A0C5A"/>
    <w:rsid w:val="000A0F5D"/>
    <w:rsid w:val="000A1A92"/>
    <w:rsid w:val="000A279A"/>
    <w:rsid w:val="000A2D1B"/>
    <w:rsid w:val="000A33DC"/>
    <w:rsid w:val="000A444E"/>
    <w:rsid w:val="000A4D4D"/>
    <w:rsid w:val="000A5B49"/>
    <w:rsid w:val="000A6D3C"/>
    <w:rsid w:val="000A7DA2"/>
    <w:rsid w:val="000B0D70"/>
    <w:rsid w:val="000B1230"/>
    <w:rsid w:val="000B344B"/>
    <w:rsid w:val="000B468E"/>
    <w:rsid w:val="000B59A5"/>
    <w:rsid w:val="000B6278"/>
    <w:rsid w:val="000B647B"/>
    <w:rsid w:val="000B666D"/>
    <w:rsid w:val="000B68FB"/>
    <w:rsid w:val="000B7B47"/>
    <w:rsid w:val="000B7BA9"/>
    <w:rsid w:val="000C01B2"/>
    <w:rsid w:val="000C0389"/>
    <w:rsid w:val="000C15C6"/>
    <w:rsid w:val="000C199B"/>
    <w:rsid w:val="000C2227"/>
    <w:rsid w:val="000C312B"/>
    <w:rsid w:val="000C7D4B"/>
    <w:rsid w:val="000D07FF"/>
    <w:rsid w:val="000D386D"/>
    <w:rsid w:val="000D3D6D"/>
    <w:rsid w:val="000D535C"/>
    <w:rsid w:val="000D6F80"/>
    <w:rsid w:val="000D749F"/>
    <w:rsid w:val="000D79F9"/>
    <w:rsid w:val="000E11EA"/>
    <w:rsid w:val="000E1202"/>
    <w:rsid w:val="000E125F"/>
    <w:rsid w:val="000E138F"/>
    <w:rsid w:val="000E16C8"/>
    <w:rsid w:val="000E2A1A"/>
    <w:rsid w:val="000E2B02"/>
    <w:rsid w:val="000E339B"/>
    <w:rsid w:val="000E4ACD"/>
    <w:rsid w:val="000E4CD6"/>
    <w:rsid w:val="000E5938"/>
    <w:rsid w:val="000E6A12"/>
    <w:rsid w:val="000E6D1A"/>
    <w:rsid w:val="000E7C5B"/>
    <w:rsid w:val="000F2362"/>
    <w:rsid w:val="000F2CF1"/>
    <w:rsid w:val="000F31AA"/>
    <w:rsid w:val="000F3BCB"/>
    <w:rsid w:val="000F4242"/>
    <w:rsid w:val="000F439E"/>
    <w:rsid w:val="000F44D3"/>
    <w:rsid w:val="000F62A4"/>
    <w:rsid w:val="000F6357"/>
    <w:rsid w:val="000F7BF6"/>
    <w:rsid w:val="0010145F"/>
    <w:rsid w:val="001033A4"/>
    <w:rsid w:val="00103F4A"/>
    <w:rsid w:val="00104562"/>
    <w:rsid w:val="0010489B"/>
    <w:rsid w:val="001060E6"/>
    <w:rsid w:val="00106535"/>
    <w:rsid w:val="00106B6F"/>
    <w:rsid w:val="00107286"/>
    <w:rsid w:val="001076DB"/>
    <w:rsid w:val="00110260"/>
    <w:rsid w:val="0011175D"/>
    <w:rsid w:val="00111C93"/>
    <w:rsid w:val="0011234F"/>
    <w:rsid w:val="00112542"/>
    <w:rsid w:val="001142D6"/>
    <w:rsid w:val="00114929"/>
    <w:rsid w:val="0011565A"/>
    <w:rsid w:val="00115DED"/>
    <w:rsid w:val="001164A7"/>
    <w:rsid w:val="00116DFD"/>
    <w:rsid w:val="001171BF"/>
    <w:rsid w:val="00117AFD"/>
    <w:rsid w:val="00120A9E"/>
    <w:rsid w:val="00120C6D"/>
    <w:rsid w:val="001212AC"/>
    <w:rsid w:val="001213DF"/>
    <w:rsid w:val="00121806"/>
    <w:rsid w:val="001219BB"/>
    <w:rsid w:val="00122CA6"/>
    <w:rsid w:val="00122FBB"/>
    <w:rsid w:val="00123865"/>
    <w:rsid w:val="001252D2"/>
    <w:rsid w:val="0012559D"/>
    <w:rsid w:val="00126041"/>
    <w:rsid w:val="00126D6F"/>
    <w:rsid w:val="00127F41"/>
    <w:rsid w:val="00127FB9"/>
    <w:rsid w:val="001319FB"/>
    <w:rsid w:val="0013333F"/>
    <w:rsid w:val="001338CA"/>
    <w:rsid w:val="001346E7"/>
    <w:rsid w:val="00134ED8"/>
    <w:rsid w:val="00135A62"/>
    <w:rsid w:val="001360C6"/>
    <w:rsid w:val="0013645D"/>
    <w:rsid w:val="001371D7"/>
    <w:rsid w:val="00137D43"/>
    <w:rsid w:val="00140314"/>
    <w:rsid w:val="00140836"/>
    <w:rsid w:val="00142A56"/>
    <w:rsid w:val="0014487E"/>
    <w:rsid w:val="0014746D"/>
    <w:rsid w:val="00150AA2"/>
    <w:rsid w:val="00150FCB"/>
    <w:rsid w:val="00151870"/>
    <w:rsid w:val="00151898"/>
    <w:rsid w:val="00152163"/>
    <w:rsid w:val="001526E4"/>
    <w:rsid w:val="0015385D"/>
    <w:rsid w:val="001541E7"/>
    <w:rsid w:val="00154A56"/>
    <w:rsid w:val="00154D53"/>
    <w:rsid w:val="00155902"/>
    <w:rsid w:val="00157123"/>
    <w:rsid w:val="0015730C"/>
    <w:rsid w:val="00160699"/>
    <w:rsid w:val="00161AEB"/>
    <w:rsid w:val="00162156"/>
    <w:rsid w:val="00162572"/>
    <w:rsid w:val="00162A4E"/>
    <w:rsid w:val="00163654"/>
    <w:rsid w:val="00163820"/>
    <w:rsid w:val="00164AC3"/>
    <w:rsid w:val="00165DB8"/>
    <w:rsid w:val="00166C19"/>
    <w:rsid w:val="00166E15"/>
    <w:rsid w:val="001706D0"/>
    <w:rsid w:val="00171595"/>
    <w:rsid w:val="00171C11"/>
    <w:rsid w:val="00171E63"/>
    <w:rsid w:val="00172FB7"/>
    <w:rsid w:val="0017350C"/>
    <w:rsid w:val="00173EDE"/>
    <w:rsid w:val="001740D4"/>
    <w:rsid w:val="001744B3"/>
    <w:rsid w:val="001750E3"/>
    <w:rsid w:val="00175512"/>
    <w:rsid w:val="00175653"/>
    <w:rsid w:val="001758DF"/>
    <w:rsid w:val="00177492"/>
    <w:rsid w:val="00177775"/>
    <w:rsid w:val="00177880"/>
    <w:rsid w:val="00177CC1"/>
    <w:rsid w:val="00180604"/>
    <w:rsid w:val="001818FE"/>
    <w:rsid w:val="00181BA1"/>
    <w:rsid w:val="001837F9"/>
    <w:rsid w:val="00185268"/>
    <w:rsid w:val="00186861"/>
    <w:rsid w:val="00186956"/>
    <w:rsid w:val="00187175"/>
    <w:rsid w:val="0019024C"/>
    <w:rsid w:val="00191BA8"/>
    <w:rsid w:val="00191FD2"/>
    <w:rsid w:val="00192637"/>
    <w:rsid w:val="00192AA1"/>
    <w:rsid w:val="00192AA5"/>
    <w:rsid w:val="001939E9"/>
    <w:rsid w:val="00193C46"/>
    <w:rsid w:val="00195C4F"/>
    <w:rsid w:val="00196043"/>
    <w:rsid w:val="001963C8"/>
    <w:rsid w:val="00196DDA"/>
    <w:rsid w:val="00196ED5"/>
    <w:rsid w:val="001A0EE5"/>
    <w:rsid w:val="001A1FF7"/>
    <w:rsid w:val="001A3935"/>
    <w:rsid w:val="001A4705"/>
    <w:rsid w:val="001A5896"/>
    <w:rsid w:val="001A59FC"/>
    <w:rsid w:val="001A6E29"/>
    <w:rsid w:val="001A6F5E"/>
    <w:rsid w:val="001A7594"/>
    <w:rsid w:val="001B0743"/>
    <w:rsid w:val="001B0D4A"/>
    <w:rsid w:val="001B16C6"/>
    <w:rsid w:val="001B197D"/>
    <w:rsid w:val="001B4721"/>
    <w:rsid w:val="001B4950"/>
    <w:rsid w:val="001B5463"/>
    <w:rsid w:val="001C0C3B"/>
    <w:rsid w:val="001C2B93"/>
    <w:rsid w:val="001C4682"/>
    <w:rsid w:val="001C6E9A"/>
    <w:rsid w:val="001C7524"/>
    <w:rsid w:val="001C7D0E"/>
    <w:rsid w:val="001D0192"/>
    <w:rsid w:val="001D1FA4"/>
    <w:rsid w:val="001D3BC0"/>
    <w:rsid w:val="001D47D1"/>
    <w:rsid w:val="001D47D2"/>
    <w:rsid w:val="001D4917"/>
    <w:rsid w:val="001D60F7"/>
    <w:rsid w:val="001D623F"/>
    <w:rsid w:val="001D643B"/>
    <w:rsid w:val="001D76D5"/>
    <w:rsid w:val="001D7B44"/>
    <w:rsid w:val="001D7EFE"/>
    <w:rsid w:val="001E0073"/>
    <w:rsid w:val="001E0C66"/>
    <w:rsid w:val="001E14CD"/>
    <w:rsid w:val="001E2C21"/>
    <w:rsid w:val="001E377F"/>
    <w:rsid w:val="001E3944"/>
    <w:rsid w:val="001E53D0"/>
    <w:rsid w:val="001E57E2"/>
    <w:rsid w:val="001E5C02"/>
    <w:rsid w:val="001E5FBA"/>
    <w:rsid w:val="001E5FBD"/>
    <w:rsid w:val="001E72C7"/>
    <w:rsid w:val="001E7EB6"/>
    <w:rsid w:val="001F0A2D"/>
    <w:rsid w:val="001F0EED"/>
    <w:rsid w:val="001F35DC"/>
    <w:rsid w:val="001F3C3B"/>
    <w:rsid w:val="001F4CD9"/>
    <w:rsid w:val="001F5651"/>
    <w:rsid w:val="001F6C30"/>
    <w:rsid w:val="001F7387"/>
    <w:rsid w:val="001F755D"/>
    <w:rsid w:val="001F7FF5"/>
    <w:rsid w:val="00201C28"/>
    <w:rsid w:val="00203813"/>
    <w:rsid w:val="00204D74"/>
    <w:rsid w:val="00204E6E"/>
    <w:rsid w:val="00205C24"/>
    <w:rsid w:val="00207D7E"/>
    <w:rsid w:val="00211C26"/>
    <w:rsid w:val="00212048"/>
    <w:rsid w:val="00212540"/>
    <w:rsid w:val="0021269A"/>
    <w:rsid w:val="00212830"/>
    <w:rsid w:val="00212857"/>
    <w:rsid w:val="002132E7"/>
    <w:rsid w:val="0021519C"/>
    <w:rsid w:val="00215406"/>
    <w:rsid w:val="0022111B"/>
    <w:rsid w:val="00221180"/>
    <w:rsid w:val="00221412"/>
    <w:rsid w:val="00221D08"/>
    <w:rsid w:val="00221DB4"/>
    <w:rsid w:val="0022213F"/>
    <w:rsid w:val="00223043"/>
    <w:rsid w:val="002232BF"/>
    <w:rsid w:val="00223936"/>
    <w:rsid w:val="00224B43"/>
    <w:rsid w:val="0022521B"/>
    <w:rsid w:val="00225E20"/>
    <w:rsid w:val="00226116"/>
    <w:rsid w:val="00226371"/>
    <w:rsid w:val="00226470"/>
    <w:rsid w:val="00227B45"/>
    <w:rsid w:val="00230247"/>
    <w:rsid w:val="002303CD"/>
    <w:rsid w:val="00230F30"/>
    <w:rsid w:val="00231859"/>
    <w:rsid w:val="0023310A"/>
    <w:rsid w:val="00233BCA"/>
    <w:rsid w:val="002348F6"/>
    <w:rsid w:val="0023501A"/>
    <w:rsid w:val="00236A50"/>
    <w:rsid w:val="00236BC1"/>
    <w:rsid w:val="00237496"/>
    <w:rsid w:val="002404F2"/>
    <w:rsid w:val="00241279"/>
    <w:rsid w:val="00241C7F"/>
    <w:rsid w:val="00242757"/>
    <w:rsid w:val="00242843"/>
    <w:rsid w:val="00242B3D"/>
    <w:rsid w:val="00243157"/>
    <w:rsid w:val="002432C6"/>
    <w:rsid w:val="00243AD0"/>
    <w:rsid w:val="0024454C"/>
    <w:rsid w:val="00244838"/>
    <w:rsid w:val="00244F5B"/>
    <w:rsid w:val="00245B10"/>
    <w:rsid w:val="0024671B"/>
    <w:rsid w:val="0024676D"/>
    <w:rsid w:val="00250C10"/>
    <w:rsid w:val="00251C11"/>
    <w:rsid w:val="002528D9"/>
    <w:rsid w:val="00252C79"/>
    <w:rsid w:val="00252F2B"/>
    <w:rsid w:val="002534C5"/>
    <w:rsid w:val="00253582"/>
    <w:rsid w:val="002537A6"/>
    <w:rsid w:val="002547A8"/>
    <w:rsid w:val="00255414"/>
    <w:rsid w:val="00255875"/>
    <w:rsid w:val="002558F0"/>
    <w:rsid w:val="00256ADE"/>
    <w:rsid w:val="002573F6"/>
    <w:rsid w:val="0026293F"/>
    <w:rsid w:val="00262982"/>
    <w:rsid w:val="00262EC1"/>
    <w:rsid w:val="002646B7"/>
    <w:rsid w:val="0026479F"/>
    <w:rsid w:val="002652F6"/>
    <w:rsid w:val="002659A2"/>
    <w:rsid w:val="002668C6"/>
    <w:rsid w:val="00270437"/>
    <w:rsid w:val="00271D5A"/>
    <w:rsid w:val="0027227A"/>
    <w:rsid w:val="00272718"/>
    <w:rsid w:val="002728D2"/>
    <w:rsid w:val="00272BFD"/>
    <w:rsid w:val="002743BD"/>
    <w:rsid w:val="002752FF"/>
    <w:rsid w:val="00275919"/>
    <w:rsid w:val="002760E5"/>
    <w:rsid w:val="002761AE"/>
    <w:rsid w:val="00276F29"/>
    <w:rsid w:val="002773EE"/>
    <w:rsid w:val="0028005C"/>
    <w:rsid w:val="00280072"/>
    <w:rsid w:val="00281473"/>
    <w:rsid w:val="00281D2E"/>
    <w:rsid w:val="00281F01"/>
    <w:rsid w:val="0028382E"/>
    <w:rsid w:val="00283D9C"/>
    <w:rsid w:val="00283F1F"/>
    <w:rsid w:val="0028517C"/>
    <w:rsid w:val="00285E28"/>
    <w:rsid w:val="00286374"/>
    <w:rsid w:val="00287FD9"/>
    <w:rsid w:val="0029109D"/>
    <w:rsid w:val="002913AA"/>
    <w:rsid w:val="002918D5"/>
    <w:rsid w:val="00291DEF"/>
    <w:rsid w:val="00294C47"/>
    <w:rsid w:val="00295D1C"/>
    <w:rsid w:val="0029698B"/>
    <w:rsid w:val="002969F1"/>
    <w:rsid w:val="00297723"/>
    <w:rsid w:val="00297AA6"/>
    <w:rsid w:val="002A0890"/>
    <w:rsid w:val="002A08DE"/>
    <w:rsid w:val="002A12D7"/>
    <w:rsid w:val="002A1D6A"/>
    <w:rsid w:val="002A2187"/>
    <w:rsid w:val="002A2654"/>
    <w:rsid w:val="002A2A08"/>
    <w:rsid w:val="002A2AA9"/>
    <w:rsid w:val="002A2E21"/>
    <w:rsid w:val="002A41E0"/>
    <w:rsid w:val="002A4561"/>
    <w:rsid w:val="002A4896"/>
    <w:rsid w:val="002A598D"/>
    <w:rsid w:val="002A5B4F"/>
    <w:rsid w:val="002A5ED3"/>
    <w:rsid w:val="002A7181"/>
    <w:rsid w:val="002B098A"/>
    <w:rsid w:val="002B1CFD"/>
    <w:rsid w:val="002B259F"/>
    <w:rsid w:val="002B3C80"/>
    <w:rsid w:val="002B4737"/>
    <w:rsid w:val="002B49D3"/>
    <w:rsid w:val="002B4F65"/>
    <w:rsid w:val="002B5971"/>
    <w:rsid w:val="002B6186"/>
    <w:rsid w:val="002B6736"/>
    <w:rsid w:val="002B6B05"/>
    <w:rsid w:val="002B6BFF"/>
    <w:rsid w:val="002C031E"/>
    <w:rsid w:val="002C0627"/>
    <w:rsid w:val="002C1AFB"/>
    <w:rsid w:val="002C2AD3"/>
    <w:rsid w:val="002C2CED"/>
    <w:rsid w:val="002C3EBF"/>
    <w:rsid w:val="002C527A"/>
    <w:rsid w:val="002C6449"/>
    <w:rsid w:val="002C6E10"/>
    <w:rsid w:val="002C7EA6"/>
    <w:rsid w:val="002C7ECC"/>
    <w:rsid w:val="002D03B1"/>
    <w:rsid w:val="002D12FD"/>
    <w:rsid w:val="002D2AF8"/>
    <w:rsid w:val="002D4956"/>
    <w:rsid w:val="002D4D7F"/>
    <w:rsid w:val="002D5255"/>
    <w:rsid w:val="002D52DD"/>
    <w:rsid w:val="002D60AF"/>
    <w:rsid w:val="002D74DA"/>
    <w:rsid w:val="002D762D"/>
    <w:rsid w:val="002E0BD3"/>
    <w:rsid w:val="002E0E7C"/>
    <w:rsid w:val="002E0FE7"/>
    <w:rsid w:val="002E21D5"/>
    <w:rsid w:val="002E2220"/>
    <w:rsid w:val="002E36C1"/>
    <w:rsid w:val="002E4EFF"/>
    <w:rsid w:val="002E5027"/>
    <w:rsid w:val="002E52D5"/>
    <w:rsid w:val="002F0B60"/>
    <w:rsid w:val="002F1381"/>
    <w:rsid w:val="002F172E"/>
    <w:rsid w:val="002F18A4"/>
    <w:rsid w:val="002F1CCC"/>
    <w:rsid w:val="002F21DB"/>
    <w:rsid w:val="002F2DB5"/>
    <w:rsid w:val="002F45A6"/>
    <w:rsid w:val="002F61E7"/>
    <w:rsid w:val="002F72A7"/>
    <w:rsid w:val="002F77F1"/>
    <w:rsid w:val="00300B58"/>
    <w:rsid w:val="003025A6"/>
    <w:rsid w:val="003029C0"/>
    <w:rsid w:val="003039B5"/>
    <w:rsid w:val="00304C68"/>
    <w:rsid w:val="00304F91"/>
    <w:rsid w:val="00305B2A"/>
    <w:rsid w:val="003073AD"/>
    <w:rsid w:val="003074A4"/>
    <w:rsid w:val="003076F3"/>
    <w:rsid w:val="0031002F"/>
    <w:rsid w:val="0031022A"/>
    <w:rsid w:val="00310279"/>
    <w:rsid w:val="00310D40"/>
    <w:rsid w:val="003114A2"/>
    <w:rsid w:val="003119CD"/>
    <w:rsid w:val="0031307F"/>
    <w:rsid w:val="00313121"/>
    <w:rsid w:val="003131AF"/>
    <w:rsid w:val="00313A57"/>
    <w:rsid w:val="00313F83"/>
    <w:rsid w:val="00314B17"/>
    <w:rsid w:val="00314C29"/>
    <w:rsid w:val="00314D2F"/>
    <w:rsid w:val="00316C91"/>
    <w:rsid w:val="00317D05"/>
    <w:rsid w:val="00320AA0"/>
    <w:rsid w:val="00321687"/>
    <w:rsid w:val="00323098"/>
    <w:rsid w:val="0032468C"/>
    <w:rsid w:val="0032507F"/>
    <w:rsid w:val="0032572F"/>
    <w:rsid w:val="0032640A"/>
    <w:rsid w:val="00326513"/>
    <w:rsid w:val="00326778"/>
    <w:rsid w:val="003268AC"/>
    <w:rsid w:val="00327B67"/>
    <w:rsid w:val="0033137E"/>
    <w:rsid w:val="003336B8"/>
    <w:rsid w:val="00334403"/>
    <w:rsid w:val="00336E2A"/>
    <w:rsid w:val="003371C5"/>
    <w:rsid w:val="00337ECE"/>
    <w:rsid w:val="00341885"/>
    <w:rsid w:val="00342405"/>
    <w:rsid w:val="003430FD"/>
    <w:rsid w:val="00343A95"/>
    <w:rsid w:val="00344BF0"/>
    <w:rsid w:val="00344F4E"/>
    <w:rsid w:val="003453C7"/>
    <w:rsid w:val="00346F58"/>
    <w:rsid w:val="003471FE"/>
    <w:rsid w:val="00347CC0"/>
    <w:rsid w:val="003503B7"/>
    <w:rsid w:val="00350945"/>
    <w:rsid w:val="00351FF9"/>
    <w:rsid w:val="0035255D"/>
    <w:rsid w:val="00352737"/>
    <w:rsid w:val="0035324C"/>
    <w:rsid w:val="00354B00"/>
    <w:rsid w:val="003553EC"/>
    <w:rsid w:val="00360019"/>
    <w:rsid w:val="0036071C"/>
    <w:rsid w:val="003608F3"/>
    <w:rsid w:val="00360F6F"/>
    <w:rsid w:val="00364372"/>
    <w:rsid w:val="0036518C"/>
    <w:rsid w:val="00366E05"/>
    <w:rsid w:val="003674C5"/>
    <w:rsid w:val="003677F3"/>
    <w:rsid w:val="00367A3E"/>
    <w:rsid w:val="00367EC1"/>
    <w:rsid w:val="0037000E"/>
    <w:rsid w:val="00370AA2"/>
    <w:rsid w:val="00370D10"/>
    <w:rsid w:val="00375364"/>
    <w:rsid w:val="003755AA"/>
    <w:rsid w:val="00375FD9"/>
    <w:rsid w:val="00376164"/>
    <w:rsid w:val="0037740E"/>
    <w:rsid w:val="0037746F"/>
    <w:rsid w:val="003807EC"/>
    <w:rsid w:val="00380ABE"/>
    <w:rsid w:val="00381CAF"/>
    <w:rsid w:val="00381E78"/>
    <w:rsid w:val="003829C4"/>
    <w:rsid w:val="00382BDA"/>
    <w:rsid w:val="003835D6"/>
    <w:rsid w:val="00383626"/>
    <w:rsid w:val="0038414B"/>
    <w:rsid w:val="003866D5"/>
    <w:rsid w:val="003907FA"/>
    <w:rsid w:val="00390985"/>
    <w:rsid w:val="00390EA3"/>
    <w:rsid w:val="003910A1"/>
    <w:rsid w:val="00392518"/>
    <w:rsid w:val="00392804"/>
    <w:rsid w:val="0039321E"/>
    <w:rsid w:val="00393496"/>
    <w:rsid w:val="00393A72"/>
    <w:rsid w:val="003945CE"/>
    <w:rsid w:val="003949AD"/>
    <w:rsid w:val="003951D5"/>
    <w:rsid w:val="00395605"/>
    <w:rsid w:val="0039630D"/>
    <w:rsid w:val="00396B00"/>
    <w:rsid w:val="00396D81"/>
    <w:rsid w:val="00397E88"/>
    <w:rsid w:val="003A04C1"/>
    <w:rsid w:val="003A0614"/>
    <w:rsid w:val="003A07A9"/>
    <w:rsid w:val="003A07FC"/>
    <w:rsid w:val="003A08B9"/>
    <w:rsid w:val="003A19BD"/>
    <w:rsid w:val="003A3211"/>
    <w:rsid w:val="003A39F9"/>
    <w:rsid w:val="003A4754"/>
    <w:rsid w:val="003A6058"/>
    <w:rsid w:val="003A6564"/>
    <w:rsid w:val="003A6624"/>
    <w:rsid w:val="003A686D"/>
    <w:rsid w:val="003A709E"/>
    <w:rsid w:val="003A78FC"/>
    <w:rsid w:val="003A7959"/>
    <w:rsid w:val="003B1188"/>
    <w:rsid w:val="003B123F"/>
    <w:rsid w:val="003B15E2"/>
    <w:rsid w:val="003B3A31"/>
    <w:rsid w:val="003B46DE"/>
    <w:rsid w:val="003B4C3E"/>
    <w:rsid w:val="003B4D21"/>
    <w:rsid w:val="003B578B"/>
    <w:rsid w:val="003B6BE0"/>
    <w:rsid w:val="003C07C6"/>
    <w:rsid w:val="003C13CE"/>
    <w:rsid w:val="003C2208"/>
    <w:rsid w:val="003C2502"/>
    <w:rsid w:val="003C2A1E"/>
    <w:rsid w:val="003C354D"/>
    <w:rsid w:val="003C36BC"/>
    <w:rsid w:val="003C431F"/>
    <w:rsid w:val="003C5146"/>
    <w:rsid w:val="003C5706"/>
    <w:rsid w:val="003C6060"/>
    <w:rsid w:val="003C6702"/>
    <w:rsid w:val="003C6C7F"/>
    <w:rsid w:val="003C70E9"/>
    <w:rsid w:val="003C779B"/>
    <w:rsid w:val="003D003F"/>
    <w:rsid w:val="003D0ED8"/>
    <w:rsid w:val="003D18D6"/>
    <w:rsid w:val="003D1A16"/>
    <w:rsid w:val="003D25C8"/>
    <w:rsid w:val="003D37E5"/>
    <w:rsid w:val="003D3DE7"/>
    <w:rsid w:val="003D45BD"/>
    <w:rsid w:val="003D52A2"/>
    <w:rsid w:val="003D615A"/>
    <w:rsid w:val="003D67FF"/>
    <w:rsid w:val="003D6A8F"/>
    <w:rsid w:val="003D7065"/>
    <w:rsid w:val="003D7089"/>
    <w:rsid w:val="003D7C97"/>
    <w:rsid w:val="003E0159"/>
    <w:rsid w:val="003E076C"/>
    <w:rsid w:val="003E097F"/>
    <w:rsid w:val="003E0E68"/>
    <w:rsid w:val="003E18D9"/>
    <w:rsid w:val="003E1E73"/>
    <w:rsid w:val="003E288C"/>
    <w:rsid w:val="003E2CA1"/>
    <w:rsid w:val="003E33FC"/>
    <w:rsid w:val="003E3918"/>
    <w:rsid w:val="003E5EA9"/>
    <w:rsid w:val="003E6254"/>
    <w:rsid w:val="003E6B21"/>
    <w:rsid w:val="003E6BCC"/>
    <w:rsid w:val="003E7ACB"/>
    <w:rsid w:val="003F0268"/>
    <w:rsid w:val="003F0FD0"/>
    <w:rsid w:val="003F1486"/>
    <w:rsid w:val="003F167B"/>
    <w:rsid w:val="003F3C4F"/>
    <w:rsid w:val="003F562C"/>
    <w:rsid w:val="003F6307"/>
    <w:rsid w:val="003F6954"/>
    <w:rsid w:val="003F73AC"/>
    <w:rsid w:val="00404256"/>
    <w:rsid w:val="00404FD8"/>
    <w:rsid w:val="00405CDB"/>
    <w:rsid w:val="004061CE"/>
    <w:rsid w:val="0040657D"/>
    <w:rsid w:val="004072A4"/>
    <w:rsid w:val="00410E43"/>
    <w:rsid w:val="0041101E"/>
    <w:rsid w:val="00411AB8"/>
    <w:rsid w:val="004121C2"/>
    <w:rsid w:val="00412385"/>
    <w:rsid w:val="00413F72"/>
    <w:rsid w:val="0041591C"/>
    <w:rsid w:val="00415DBF"/>
    <w:rsid w:val="00416428"/>
    <w:rsid w:val="00416C7F"/>
    <w:rsid w:val="004173E6"/>
    <w:rsid w:val="0041748C"/>
    <w:rsid w:val="004177E2"/>
    <w:rsid w:val="004179C9"/>
    <w:rsid w:val="00417A4E"/>
    <w:rsid w:val="00420013"/>
    <w:rsid w:val="00420A8A"/>
    <w:rsid w:val="004212C1"/>
    <w:rsid w:val="004223D4"/>
    <w:rsid w:val="00422569"/>
    <w:rsid w:val="004225BB"/>
    <w:rsid w:val="004228F0"/>
    <w:rsid w:val="0042374F"/>
    <w:rsid w:val="00423791"/>
    <w:rsid w:val="00424218"/>
    <w:rsid w:val="00424A21"/>
    <w:rsid w:val="00425051"/>
    <w:rsid w:val="0042588D"/>
    <w:rsid w:val="00425CC1"/>
    <w:rsid w:val="00427F87"/>
    <w:rsid w:val="00430073"/>
    <w:rsid w:val="00430A2F"/>
    <w:rsid w:val="004320A0"/>
    <w:rsid w:val="00432419"/>
    <w:rsid w:val="004325EF"/>
    <w:rsid w:val="00434E7B"/>
    <w:rsid w:val="004370AC"/>
    <w:rsid w:val="0044021D"/>
    <w:rsid w:val="00440E85"/>
    <w:rsid w:val="004414B5"/>
    <w:rsid w:val="00442793"/>
    <w:rsid w:val="004434EC"/>
    <w:rsid w:val="00444124"/>
    <w:rsid w:val="00444407"/>
    <w:rsid w:val="004449BC"/>
    <w:rsid w:val="00444D06"/>
    <w:rsid w:val="0044544A"/>
    <w:rsid w:val="0044584A"/>
    <w:rsid w:val="004459AD"/>
    <w:rsid w:val="00445C4D"/>
    <w:rsid w:val="00445F8F"/>
    <w:rsid w:val="00446409"/>
    <w:rsid w:val="0044703F"/>
    <w:rsid w:val="004472C9"/>
    <w:rsid w:val="00450D05"/>
    <w:rsid w:val="00451225"/>
    <w:rsid w:val="00451AD7"/>
    <w:rsid w:val="004537A8"/>
    <w:rsid w:val="00454670"/>
    <w:rsid w:val="00454D4F"/>
    <w:rsid w:val="00454E6D"/>
    <w:rsid w:val="004551FC"/>
    <w:rsid w:val="00455383"/>
    <w:rsid w:val="00456027"/>
    <w:rsid w:val="00456A3B"/>
    <w:rsid w:val="00456DDB"/>
    <w:rsid w:val="00457B58"/>
    <w:rsid w:val="00457F5F"/>
    <w:rsid w:val="004600EE"/>
    <w:rsid w:val="00460C71"/>
    <w:rsid w:val="00460ED1"/>
    <w:rsid w:val="0046174D"/>
    <w:rsid w:val="00461DD5"/>
    <w:rsid w:val="004629FD"/>
    <w:rsid w:val="00462C53"/>
    <w:rsid w:val="0046396B"/>
    <w:rsid w:val="00463E3C"/>
    <w:rsid w:val="00465931"/>
    <w:rsid w:val="00466710"/>
    <w:rsid w:val="00471863"/>
    <w:rsid w:val="00471E01"/>
    <w:rsid w:val="0047215D"/>
    <w:rsid w:val="004728B7"/>
    <w:rsid w:val="00473441"/>
    <w:rsid w:val="004734EF"/>
    <w:rsid w:val="00473D34"/>
    <w:rsid w:val="00475017"/>
    <w:rsid w:val="004758ED"/>
    <w:rsid w:val="00475B3F"/>
    <w:rsid w:val="00475B7A"/>
    <w:rsid w:val="00476803"/>
    <w:rsid w:val="004773B9"/>
    <w:rsid w:val="00477830"/>
    <w:rsid w:val="00477978"/>
    <w:rsid w:val="00477D2A"/>
    <w:rsid w:val="00480C05"/>
    <w:rsid w:val="004810FB"/>
    <w:rsid w:val="00481153"/>
    <w:rsid w:val="00481403"/>
    <w:rsid w:val="00481945"/>
    <w:rsid w:val="00481C2A"/>
    <w:rsid w:val="00481E94"/>
    <w:rsid w:val="00482A6A"/>
    <w:rsid w:val="00483AA3"/>
    <w:rsid w:val="0048463F"/>
    <w:rsid w:val="00484DC1"/>
    <w:rsid w:val="00485973"/>
    <w:rsid w:val="0048680E"/>
    <w:rsid w:val="00486C97"/>
    <w:rsid w:val="004877CD"/>
    <w:rsid w:val="0049058D"/>
    <w:rsid w:val="00491BCB"/>
    <w:rsid w:val="00491CEA"/>
    <w:rsid w:val="00492024"/>
    <w:rsid w:val="00493B09"/>
    <w:rsid w:val="00493EE0"/>
    <w:rsid w:val="004940B9"/>
    <w:rsid w:val="004952A1"/>
    <w:rsid w:val="004956C8"/>
    <w:rsid w:val="004956CD"/>
    <w:rsid w:val="00495C6A"/>
    <w:rsid w:val="00496373"/>
    <w:rsid w:val="00496C67"/>
    <w:rsid w:val="00496D54"/>
    <w:rsid w:val="00497401"/>
    <w:rsid w:val="004976D9"/>
    <w:rsid w:val="00497C46"/>
    <w:rsid w:val="004A0672"/>
    <w:rsid w:val="004A100F"/>
    <w:rsid w:val="004A21A6"/>
    <w:rsid w:val="004A3494"/>
    <w:rsid w:val="004A3714"/>
    <w:rsid w:val="004A6E42"/>
    <w:rsid w:val="004A73D8"/>
    <w:rsid w:val="004A7435"/>
    <w:rsid w:val="004B23CC"/>
    <w:rsid w:val="004B24B1"/>
    <w:rsid w:val="004B2647"/>
    <w:rsid w:val="004B2C40"/>
    <w:rsid w:val="004B32AE"/>
    <w:rsid w:val="004B4BE8"/>
    <w:rsid w:val="004B4DE8"/>
    <w:rsid w:val="004B5BEB"/>
    <w:rsid w:val="004B77F6"/>
    <w:rsid w:val="004C200A"/>
    <w:rsid w:val="004C2429"/>
    <w:rsid w:val="004C2707"/>
    <w:rsid w:val="004C2919"/>
    <w:rsid w:val="004C3032"/>
    <w:rsid w:val="004C31E9"/>
    <w:rsid w:val="004C3EDC"/>
    <w:rsid w:val="004C3FD5"/>
    <w:rsid w:val="004C4D20"/>
    <w:rsid w:val="004C548C"/>
    <w:rsid w:val="004C5703"/>
    <w:rsid w:val="004C58AF"/>
    <w:rsid w:val="004C59B0"/>
    <w:rsid w:val="004C609B"/>
    <w:rsid w:val="004C6E9C"/>
    <w:rsid w:val="004C7D91"/>
    <w:rsid w:val="004C7E3F"/>
    <w:rsid w:val="004D1715"/>
    <w:rsid w:val="004D2FD2"/>
    <w:rsid w:val="004D457D"/>
    <w:rsid w:val="004D497E"/>
    <w:rsid w:val="004D53DE"/>
    <w:rsid w:val="004D5641"/>
    <w:rsid w:val="004D5826"/>
    <w:rsid w:val="004D6B97"/>
    <w:rsid w:val="004D7026"/>
    <w:rsid w:val="004D72FC"/>
    <w:rsid w:val="004D7FA7"/>
    <w:rsid w:val="004E0BF1"/>
    <w:rsid w:val="004E1340"/>
    <w:rsid w:val="004E3A0D"/>
    <w:rsid w:val="004E4AD1"/>
    <w:rsid w:val="004E60D0"/>
    <w:rsid w:val="004E6FD0"/>
    <w:rsid w:val="004E70C4"/>
    <w:rsid w:val="004E70F2"/>
    <w:rsid w:val="004E7C9C"/>
    <w:rsid w:val="004F0BC5"/>
    <w:rsid w:val="004F10B3"/>
    <w:rsid w:val="004F183D"/>
    <w:rsid w:val="004F190C"/>
    <w:rsid w:val="004F20D9"/>
    <w:rsid w:val="004F3236"/>
    <w:rsid w:val="004F4416"/>
    <w:rsid w:val="004F476D"/>
    <w:rsid w:val="004F49B4"/>
    <w:rsid w:val="004F4EC5"/>
    <w:rsid w:val="004F70C6"/>
    <w:rsid w:val="00500F65"/>
    <w:rsid w:val="0050134D"/>
    <w:rsid w:val="00501B71"/>
    <w:rsid w:val="0050464A"/>
    <w:rsid w:val="0050520A"/>
    <w:rsid w:val="00505B28"/>
    <w:rsid w:val="00505C22"/>
    <w:rsid w:val="00505FCF"/>
    <w:rsid w:val="00507E88"/>
    <w:rsid w:val="005103A1"/>
    <w:rsid w:val="005106B3"/>
    <w:rsid w:val="00511D4F"/>
    <w:rsid w:val="00511F17"/>
    <w:rsid w:val="00512429"/>
    <w:rsid w:val="00512A96"/>
    <w:rsid w:val="00512DAB"/>
    <w:rsid w:val="00513CF7"/>
    <w:rsid w:val="00514B81"/>
    <w:rsid w:val="005152AD"/>
    <w:rsid w:val="00516410"/>
    <w:rsid w:val="00516A06"/>
    <w:rsid w:val="00516CB4"/>
    <w:rsid w:val="0051765B"/>
    <w:rsid w:val="0051778E"/>
    <w:rsid w:val="005179F9"/>
    <w:rsid w:val="005208A4"/>
    <w:rsid w:val="005214B2"/>
    <w:rsid w:val="00523048"/>
    <w:rsid w:val="0052711A"/>
    <w:rsid w:val="00530392"/>
    <w:rsid w:val="00530914"/>
    <w:rsid w:val="005321A9"/>
    <w:rsid w:val="00532D78"/>
    <w:rsid w:val="005338A6"/>
    <w:rsid w:val="005338CA"/>
    <w:rsid w:val="0053390A"/>
    <w:rsid w:val="00533E25"/>
    <w:rsid w:val="00534CE9"/>
    <w:rsid w:val="00534EB0"/>
    <w:rsid w:val="00536D42"/>
    <w:rsid w:val="00536DA9"/>
    <w:rsid w:val="00536E25"/>
    <w:rsid w:val="0053736F"/>
    <w:rsid w:val="00537B79"/>
    <w:rsid w:val="00537DCB"/>
    <w:rsid w:val="00540BCA"/>
    <w:rsid w:val="00540CE1"/>
    <w:rsid w:val="00540F0D"/>
    <w:rsid w:val="00541B24"/>
    <w:rsid w:val="00542E19"/>
    <w:rsid w:val="005432A6"/>
    <w:rsid w:val="005434B6"/>
    <w:rsid w:val="00544C6A"/>
    <w:rsid w:val="00546338"/>
    <w:rsid w:val="0054680E"/>
    <w:rsid w:val="00546E14"/>
    <w:rsid w:val="00546EBB"/>
    <w:rsid w:val="005479D5"/>
    <w:rsid w:val="00547CD6"/>
    <w:rsid w:val="0055187B"/>
    <w:rsid w:val="0055221C"/>
    <w:rsid w:val="00552649"/>
    <w:rsid w:val="00553AF6"/>
    <w:rsid w:val="00553F0F"/>
    <w:rsid w:val="005546D1"/>
    <w:rsid w:val="0055600D"/>
    <w:rsid w:val="00556761"/>
    <w:rsid w:val="0055687E"/>
    <w:rsid w:val="00560EC9"/>
    <w:rsid w:val="00562695"/>
    <w:rsid w:val="00563215"/>
    <w:rsid w:val="00563868"/>
    <w:rsid w:val="00563EC9"/>
    <w:rsid w:val="00564401"/>
    <w:rsid w:val="00564F55"/>
    <w:rsid w:val="005674D7"/>
    <w:rsid w:val="0057076B"/>
    <w:rsid w:val="00570B07"/>
    <w:rsid w:val="005713BA"/>
    <w:rsid w:val="005721E3"/>
    <w:rsid w:val="00573318"/>
    <w:rsid w:val="005745E4"/>
    <w:rsid w:val="005749D8"/>
    <w:rsid w:val="00574F3A"/>
    <w:rsid w:val="00575934"/>
    <w:rsid w:val="00575D17"/>
    <w:rsid w:val="00583065"/>
    <w:rsid w:val="00583F56"/>
    <w:rsid w:val="0058539C"/>
    <w:rsid w:val="0058778E"/>
    <w:rsid w:val="00590F77"/>
    <w:rsid w:val="00590F7D"/>
    <w:rsid w:val="00593331"/>
    <w:rsid w:val="005934C6"/>
    <w:rsid w:val="005934F4"/>
    <w:rsid w:val="00594883"/>
    <w:rsid w:val="00595B2E"/>
    <w:rsid w:val="00597A2F"/>
    <w:rsid w:val="00597A3E"/>
    <w:rsid w:val="00597BF4"/>
    <w:rsid w:val="005A0084"/>
    <w:rsid w:val="005A05A4"/>
    <w:rsid w:val="005A2044"/>
    <w:rsid w:val="005A224D"/>
    <w:rsid w:val="005A2AC7"/>
    <w:rsid w:val="005A300D"/>
    <w:rsid w:val="005A38E6"/>
    <w:rsid w:val="005A3C2D"/>
    <w:rsid w:val="005A4664"/>
    <w:rsid w:val="005A51D0"/>
    <w:rsid w:val="005A574F"/>
    <w:rsid w:val="005A5F50"/>
    <w:rsid w:val="005A680B"/>
    <w:rsid w:val="005A7592"/>
    <w:rsid w:val="005B0082"/>
    <w:rsid w:val="005B1911"/>
    <w:rsid w:val="005B337B"/>
    <w:rsid w:val="005B51E3"/>
    <w:rsid w:val="005B6CF0"/>
    <w:rsid w:val="005B6E6E"/>
    <w:rsid w:val="005B73C4"/>
    <w:rsid w:val="005C01A3"/>
    <w:rsid w:val="005C06FF"/>
    <w:rsid w:val="005C19A4"/>
    <w:rsid w:val="005C388E"/>
    <w:rsid w:val="005C42DC"/>
    <w:rsid w:val="005C5B46"/>
    <w:rsid w:val="005C6234"/>
    <w:rsid w:val="005C77D8"/>
    <w:rsid w:val="005D146F"/>
    <w:rsid w:val="005D22DF"/>
    <w:rsid w:val="005D3AB2"/>
    <w:rsid w:val="005D4456"/>
    <w:rsid w:val="005D5171"/>
    <w:rsid w:val="005D518B"/>
    <w:rsid w:val="005D5A34"/>
    <w:rsid w:val="005D5C09"/>
    <w:rsid w:val="005D5E96"/>
    <w:rsid w:val="005D6B40"/>
    <w:rsid w:val="005D740D"/>
    <w:rsid w:val="005D7D96"/>
    <w:rsid w:val="005E01C5"/>
    <w:rsid w:val="005E08B9"/>
    <w:rsid w:val="005E0927"/>
    <w:rsid w:val="005E0C72"/>
    <w:rsid w:val="005E12CC"/>
    <w:rsid w:val="005E158E"/>
    <w:rsid w:val="005E16CE"/>
    <w:rsid w:val="005E21AC"/>
    <w:rsid w:val="005E299B"/>
    <w:rsid w:val="005E370B"/>
    <w:rsid w:val="005E51A9"/>
    <w:rsid w:val="005E68EE"/>
    <w:rsid w:val="005E7359"/>
    <w:rsid w:val="005E7491"/>
    <w:rsid w:val="005E7D80"/>
    <w:rsid w:val="005F01CC"/>
    <w:rsid w:val="005F038B"/>
    <w:rsid w:val="005F10D5"/>
    <w:rsid w:val="005F11D7"/>
    <w:rsid w:val="005F36DC"/>
    <w:rsid w:val="005F466F"/>
    <w:rsid w:val="005F5D83"/>
    <w:rsid w:val="005F5DDA"/>
    <w:rsid w:val="005F6EF6"/>
    <w:rsid w:val="005F72CD"/>
    <w:rsid w:val="005F7551"/>
    <w:rsid w:val="005F7DBA"/>
    <w:rsid w:val="00600C32"/>
    <w:rsid w:val="00601129"/>
    <w:rsid w:val="00601C1D"/>
    <w:rsid w:val="00601F32"/>
    <w:rsid w:val="006023D2"/>
    <w:rsid w:val="00603FF0"/>
    <w:rsid w:val="0060478D"/>
    <w:rsid w:val="00604B0E"/>
    <w:rsid w:val="00604D6D"/>
    <w:rsid w:val="0060569F"/>
    <w:rsid w:val="0060701C"/>
    <w:rsid w:val="0060772B"/>
    <w:rsid w:val="00610105"/>
    <w:rsid w:val="00610113"/>
    <w:rsid w:val="00610FA6"/>
    <w:rsid w:val="006116B9"/>
    <w:rsid w:val="00611C5A"/>
    <w:rsid w:val="00611C89"/>
    <w:rsid w:val="00614DF2"/>
    <w:rsid w:val="0061502A"/>
    <w:rsid w:val="00616169"/>
    <w:rsid w:val="00616900"/>
    <w:rsid w:val="00616A8A"/>
    <w:rsid w:val="00620B35"/>
    <w:rsid w:val="00620CF5"/>
    <w:rsid w:val="006212BD"/>
    <w:rsid w:val="00621313"/>
    <w:rsid w:val="0062203C"/>
    <w:rsid w:val="006226F8"/>
    <w:rsid w:val="0062299D"/>
    <w:rsid w:val="00623B62"/>
    <w:rsid w:val="0062402F"/>
    <w:rsid w:val="00624982"/>
    <w:rsid w:val="00624C0D"/>
    <w:rsid w:val="0062587C"/>
    <w:rsid w:val="00625A25"/>
    <w:rsid w:val="00626081"/>
    <w:rsid w:val="006269D1"/>
    <w:rsid w:val="00626A4F"/>
    <w:rsid w:val="0062760D"/>
    <w:rsid w:val="00627737"/>
    <w:rsid w:val="0062781D"/>
    <w:rsid w:val="00630682"/>
    <w:rsid w:val="0063127A"/>
    <w:rsid w:val="00631BD0"/>
    <w:rsid w:val="0063461A"/>
    <w:rsid w:val="00635E8D"/>
    <w:rsid w:val="00636701"/>
    <w:rsid w:val="006369F2"/>
    <w:rsid w:val="006369F7"/>
    <w:rsid w:val="0064103E"/>
    <w:rsid w:val="006419F4"/>
    <w:rsid w:val="00641CDC"/>
    <w:rsid w:val="00641DED"/>
    <w:rsid w:val="006429D0"/>
    <w:rsid w:val="00642AF5"/>
    <w:rsid w:val="00643229"/>
    <w:rsid w:val="00643CC4"/>
    <w:rsid w:val="00644E3E"/>
    <w:rsid w:val="00645552"/>
    <w:rsid w:val="00645A46"/>
    <w:rsid w:val="006463A3"/>
    <w:rsid w:val="00647117"/>
    <w:rsid w:val="0064731A"/>
    <w:rsid w:val="00647F26"/>
    <w:rsid w:val="00650055"/>
    <w:rsid w:val="006504BF"/>
    <w:rsid w:val="00652A76"/>
    <w:rsid w:val="006541DB"/>
    <w:rsid w:val="00654599"/>
    <w:rsid w:val="00654765"/>
    <w:rsid w:val="0065489B"/>
    <w:rsid w:val="0065489E"/>
    <w:rsid w:val="006550D3"/>
    <w:rsid w:val="00655249"/>
    <w:rsid w:val="00655AEB"/>
    <w:rsid w:val="00657555"/>
    <w:rsid w:val="006578C1"/>
    <w:rsid w:val="00657CDD"/>
    <w:rsid w:val="00660682"/>
    <w:rsid w:val="00660955"/>
    <w:rsid w:val="00660AC8"/>
    <w:rsid w:val="00661920"/>
    <w:rsid w:val="00661996"/>
    <w:rsid w:val="00661A78"/>
    <w:rsid w:val="006621CA"/>
    <w:rsid w:val="00662DB1"/>
    <w:rsid w:val="00663EE5"/>
    <w:rsid w:val="00664499"/>
    <w:rsid w:val="00664E22"/>
    <w:rsid w:val="006655AA"/>
    <w:rsid w:val="00666AD7"/>
    <w:rsid w:val="006673FA"/>
    <w:rsid w:val="00667A03"/>
    <w:rsid w:val="00670045"/>
    <w:rsid w:val="006701CD"/>
    <w:rsid w:val="00670CD8"/>
    <w:rsid w:val="00670E35"/>
    <w:rsid w:val="00671A51"/>
    <w:rsid w:val="00671BCE"/>
    <w:rsid w:val="006733E7"/>
    <w:rsid w:val="00673CD0"/>
    <w:rsid w:val="00674AFC"/>
    <w:rsid w:val="006757F3"/>
    <w:rsid w:val="00675B3E"/>
    <w:rsid w:val="0067740C"/>
    <w:rsid w:val="00680EDD"/>
    <w:rsid w:val="00681D3B"/>
    <w:rsid w:val="00682358"/>
    <w:rsid w:val="00682557"/>
    <w:rsid w:val="00682F21"/>
    <w:rsid w:val="00682FA3"/>
    <w:rsid w:val="006833D5"/>
    <w:rsid w:val="006836EF"/>
    <w:rsid w:val="00683B05"/>
    <w:rsid w:val="00684B5A"/>
    <w:rsid w:val="006863C6"/>
    <w:rsid w:val="0068640D"/>
    <w:rsid w:val="00686DE8"/>
    <w:rsid w:val="00690EA3"/>
    <w:rsid w:val="00691D3F"/>
    <w:rsid w:val="00693483"/>
    <w:rsid w:val="006936D9"/>
    <w:rsid w:val="00693986"/>
    <w:rsid w:val="00693F7B"/>
    <w:rsid w:val="006946D8"/>
    <w:rsid w:val="00694733"/>
    <w:rsid w:val="006959B7"/>
    <w:rsid w:val="00695D0F"/>
    <w:rsid w:val="00696EB9"/>
    <w:rsid w:val="006A011A"/>
    <w:rsid w:val="006A090D"/>
    <w:rsid w:val="006A0E94"/>
    <w:rsid w:val="006A2063"/>
    <w:rsid w:val="006A3711"/>
    <w:rsid w:val="006A3908"/>
    <w:rsid w:val="006A4123"/>
    <w:rsid w:val="006A516D"/>
    <w:rsid w:val="006A58EC"/>
    <w:rsid w:val="006A5D08"/>
    <w:rsid w:val="006A61F0"/>
    <w:rsid w:val="006A6660"/>
    <w:rsid w:val="006A6C50"/>
    <w:rsid w:val="006A743C"/>
    <w:rsid w:val="006A7BA0"/>
    <w:rsid w:val="006B06DE"/>
    <w:rsid w:val="006B1EE3"/>
    <w:rsid w:val="006B358C"/>
    <w:rsid w:val="006B3772"/>
    <w:rsid w:val="006B4E63"/>
    <w:rsid w:val="006B6288"/>
    <w:rsid w:val="006B692E"/>
    <w:rsid w:val="006B7C19"/>
    <w:rsid w:val="006C034E"/>
    <w:rsid w:val="006C12E6"/>
    <w:rsid w:val="006C1347"/>
    <w:rsid w:val="006C160B"/>
    <w:rsid w:val="006C1D28"/>
    <w:rsid w:val="006C2B46"/>
    <w:rsid w:val="006C35ED"/>
    <w:rsid w:val="006C4D79"/>
    <w:rsid w:val="006C5C77"/>
    <w:rsid w:val="006C6385"/>
    <w:rsid w:val="006C7613"/>
    <w:rsid w:val="006C77F2"/>
    <w:rsid w:val="006C785C"/>
    <w:rsid w:val="006D0A93"/>
    <w:rsid w:val="006D167F"/>
    <w:rsid w:val="006D1D66"/>
    <w:rsid w:val="006D233B"/>
    <w:rsid w:val="006D239B"/>
    <w:rsid w:val="006D27E8"/>
    <w:rsid w:val="006D2FAB"/>
    <w:rsid w:val="006D4A28"/>
    <w:rsid w:val="006D6273"/>
    <w:rsid w:val="006E085D"/>
    <w:rsid w:val="006E0AD3"/>
    <w:rsid w:val="006E0C82"/>
    <w:rsid w:val="006E0D4D"/>
    <w:rsid w:val="006E115D"/>
    <w:rsid w:val="006E1441"/>
    <w:rsid w:val="006E187F"/>
    <w:rsid w:val="006E1C67"/>
    <w:rsid w:val="006E1CCB"/>
    <w:rsid w:val="006E2519"/>
    <w:rsid w:val="006E2938"/>
    <w:rsid w:val="006E2FFE"/>
    <w:rsid w:val="006E3E8C"/>
    <w:rsid w:val="006E4719"/>
    <w:rsid w:val="006E4733"/>
    <w:rsid w:val="006E5D9A"/>
    <w:rsid w:val="006E6161"/>
    <w:rsid w:val="006E690C"/>
    <w:rsid w:val="006E6DCA"/>
    <w:rsid w:val="006E78F9"/>
    <w:rsid w:val="006F072C"/>
    <w:rsid w:val="006F0C57"/>
    <w:rsid w:val="006F3CBB"/>
    <w:rsid w:val="006F571D"/>
    <w:rsid w:val="006F59E6"/>
    <w:rsid w:val="006F5E18"/>
    <w:rsid w:val="0070025A"/>
    <w:rsid w:val="007025BE"/>
    <w:rsid w:val="007037F3"/>
    <w:rsid w:val="00704455"/>
    <w:rsid w:val="007045E1"/>
    <w:rsid w:val="007052E4"/>
    <w:rsid w:val="007068C8"/>
    <w:rsid w:val="007109DD"/>
    <w:rsid w:val="00711916"/>
    <w:rsid w:val="0071206D"/>
    <w:rsid w:val="00714B6C"/>
    <w:rsid w:val="00714E52"/>
    <w:rsid w:val="0071564D"/>
    <w:rsid w:val="007170C4"/>
    <w:rsid w:val="007229A4"/>
    <w:rsid w:val="00722ADC"/>
    <w:rsid w:val="00722CF1"/>
    <w:rsid w:val="00723385"/>
    <w:rsid w:val="00726FE4"/>
    <w:rsid w:val="00727812"/>
    <w:rsid w:val="0072782B"/>
    <w:rsid w:val="00730620"/>
    <w:rsid w:val="00731141"/>
    <w:rsid w:val="00732639"/>
    <w:rsid w:val="007353DD"/>
    <w:rsid w:val="00735BDC"/>
    <w:rsid w:val="007361A3"/>
    <w:rsid w:val="00736636"/>
    <w:rsid w:val="00736811"/>
    <w:rsid w:val="007400D5"/>
    <w:rsid w:val="00740447"/>
    <w:rsid w:val="00741676"/>
    <w:rsid w:val="007435DB"/>
    <w:rsid w:val="0074464D"/>
    <w:rsid w:val="00744940"/>
    <w:rsid w:val="00745C8E"/>
    <w:rsid w:val="007462B1"/>
    <w:rsid w:val="00746F3D"/>
    <w:rsid w:val="00747A8A"/>
    <w:rsid w:val="0075003D"/>
    <w:rsid w:val="0075027F"/>
    <w:rsid w:val="00751949"/>
    <w:rsid w:val="00752227"/>
    <w:rsid w:val="00753751"/>
    <w:rsid w:val="0075499C"/>
    <w:rsid w:val="00755074"/>
    <w:rsid w:val="007552CF"/>
    <w:rsid w:val="007567DA"/>
    <w:rsid w:val="00760413"/>
    <w:rsid w:val="007608BF"/>
    <w:rsid w:val="00760B87"/>
    <w:rsid w:val="007611DF"/>
    <w:rsid w:val="007615D6"/>
    <w:rsid w:val="007642C4"/>
    <w:rsid w:val="007662DB"/>
    <w:rsid w:val="00766AB3"/>
    <w:rsid w:val="0076737B"/>
    <w:rsid w:val="00770253"/>
    <w:rsid w:val="007705C5"/>
    <w:rsid w:val="007706EB"/>
    <w:rsid w:val="0077146B"/>
    <w:rsid w:val="00772E65"/>
    <w:rsid w:val="00773352"/>
    <w:rsid w:val="00773978"/>
    <w:rsid w:val="00777305"/>
    <w:rsid w:val="00777A30"/>
    <w:rsid w:val="00777F47"/>
    <w:rsid w:val="007807D2"/>
    <w:rsid w:val="007808F2"/>
    <w:rsid w:val="00782170"/>
    <w:rsid w:val="0078271E"/>
    <w:rsid w:val="00782B4E"/>
    <w:rsid w:val="00783238"/>
    <w:rsid w:val="007842FD"/>
    <w:rsid w:val="00784776"/>
    <w:rsid w:val="00784E11"/>
    <w:rsid w:val="00784F97"/>
    <w:rsid w:val="00785B7D"/>
    <w:rsid w:val="00785E1E"/>
    <w:rsid w:val="007860B6"/>
    <w:rsid w:val="00786141"/>
    <w:rsid w:val="00786305"/>
    <w:rsid w:val="00786E7B"/>
    <w:rsid w:val="007871B7"/>
    <w:rsid w:val="00787800"/>
    <w:rsid w:val="00787ACF"/>
    <w:rsid w:val="00790FE5"/>
    <w:rsid w:val="007912BD"/>
    <w:rsid w:val="00792A0B"/>
    <w:rsid w:val="00792E45"/>
    <w:rsid w:val="007930B6"/>
    <w:rsid w:val="00794A6B"/>
    <w:rsid w:val="00795A0E"/>
    <w:rsid w:val="00795DA4"/>
    <w:rsid w:val="00795DBD"/>
    <w:rsid w:val="00796760"/>
    <w:rsid w:val="007A0709"/>
    <w:rsid w:val="007A0E23"/>
    <w:rsid w:val="007A0F13"/>
    <w:rsid w:val="007A1E03"/>
    <w:rsid w:val="007A379D"/>
    <w:rsid w:val="007A3FA9"/>
    <w:rsid w:val="007A488E"/>
    <w:rsid w:val="007A5039"/>
    <w:rsid w:val="007A57C4"/>
    <w:rsid w:val="007A59AB"/>
    <w:rsid w:val="007A5F36"/>
    <w:rsid w:val="007A6B32"/>
    <w:rsid w:val="007A7409"/>
    <w:rsid w:val="007B16B2"/>
    <w:rsid w:val="007B1760"/>
    <w:rsid w:val="007B1E7B"/>
    <w:rsid w:val="007B2605"/>
    <w:rsid w:val="007B2A9D"/>
    <w:rsid w:val="007B2D4D"/>
    <w:rsid w:val="007B34F8"/>
    <w:rsid w:val="007B4D4A"/>
    <w:rsid w:val="007B4E48"/>
    <w:rsid w:val="007B67FB"/>
    <w:rsid w:val="007B7D82"/>
    <w:rsid w:val="007C0A71"/>
    <w:rsid w:val="007C0AA9"/>
    <w:rsid w:val="007C18BE"/>
    <w:rsid w:val="007C25FE"/>
    <w:rsid w:val="007C3B77"/>
    <w:rsid w:val="007C3CA9"/>
    <w:rsid w:val="007C4426"/>
    <w:rsid w:val="007C4459"/>
    <w:rsid w:val="007C6CF2"/>
    <w:rsid w:val="007C6DE0"/>
    <w:rsid w:val="007C76D0"/>
    <w:rsid w:val="007D13DB"/>
    <w:rsid w:val="007D26F3"/>
    <w:rsid w:val="007D49E8"/>
    <w:rsid w:val="007D536D"/>
    <w:rsid w:val="007D55CE"/>
    <w:rsid w:val="007D5A8B"/>
    <w:rsid w:val="007D6849"/>
    <w:rsid w:val="007D698A"/>
    <w:rsid w:val="007D736A"/>
    <w:rsid w:val="007D7AD0"/>
    <w:rsid w:val="007D7B42"/>
    <w:rsid w:val="007E0184"/>
    <w:rsid w:val="007E0B2E"/>
    <w:rsid w:val="007E1CAC"/>
    <w:rsid w:val="007E1D57"/>
    <w:rsid w:val="007E2045"/>
    <w:rsid w:val="007E5F43"/>
    <w:rsid w:val="007E7971"/>
    <w:rsid w:val="007F0686"/>
    <w:rsid w:val="007F1EB0"/>
    <w:rsid w:val="007F2156"/>
    <w:rsid w:val="007F2A53"/>
    <w:rsid w:val="007F2A64"/>
    <w:rsid w:val="007F3073"/>
    <w:rsid w:val="007F5280"/>
    <w:rsid w:val="007F65BF"/>
    <w:rsid w:val="007F663B"/>
    <w:rsid w:val="007F776D"/>
    <w:rsid w:val="00800004"/>
    <w:rsid w:val="0080138D"/>
    <w:rsid w:val="00801DBA"/>
    <w:rsid w:val="008024C9"/>
    <w:rsid w:val="0080357A"/>
    <w:rsid w:val="00803603"/>
    <w:rsid w:val="008041E4"/>
    <w:rsid w:val="00804642"/>
    <w:rsid w:val="00805030"/>
    <w:rsid w:val="008054F6"/>
    <w:rsid w:val="008056CB"/>
    <w:rsid w:val="00806EDB"/>
    <w:rsid w:val="008076F8"/>
    <w:rsid w:val="00810D94"/>
    <w:rsid w:val="00811742"/>
    <w:rsid w:val="00812CAE"/>
    <w:rsid w:val="008136E0"/>
    <w:rsid w:val="00813E20"/>
    <w:rsid w:val="00816D57"/>
    <w:rsid w:val="00817894"/>
    <w:rsid w:val="0082118D"/>
    <w:rsid w:val="008222E7"/>
    <w:rsid w:val="0082359D"/>
    <w:rsid w:val="00826FF2"/>
    <w:rsid w:val="00827178"/>
    <w:rsid w:val="00827A90"/>
    <w:rsid w:val="008314F6"/>
    <w:rsid w:val="0083192B"/>
    <w:rsid w:val="00831F7F"/>
    <w:rsid w:val="00832A75"/>
    <w:rsid w:val="00832EB7"/>
    <w:rsid w:val="00833E5D"/>
    <w:rsid w:val="00834878"/>
    <w:rsid w:val="00834AF2"/>
    <w:rsid w:val="00834F3F"/>
    <w:rsid w:val="00835705"/>
    <w:rsid w:val="00835A89"/>
    <w:rsid w:val="00835BAC"/>
    <w:rsid w:val="00835C32"/>
    <w:rsid w:val="0083695E"/>
    <w:rsid w:val="0084167E"/>
    <w:rsid w:val="00842DF5"/>
    <w:rsid w:val="00842F6E"/>
    <w:rsid w:val="008442AE"/>
    <w:rsid w:val="00845385"/>
    <w:rsid w:val="0084566D"/>
    <w:rsid w:val="0084730C"/>
    <w:rsid w:val="008475CE"/>
    <w:rsid w:val="00850A32"/>
    <w:rsid w:val="00850CE2"/>
    <w:rsid w:val="00850D8A"/>
    <w:rsid w:val="00851F1E"/>
    <w:rsid w:val="008523DA"/>
    <w:rsid w:val="0085257A"/>
    <w:rsid w:val="00852801"/>
    <w:rsid w:val="00853DE0"/>
    <w:rsid w:val="00853FBC"/>
    <w:rsid w:val="008541BE"/>
    <w:rsid w:val="00856C0B"/>
    <w:rsid w:val="0085712B"/>
    <w:rsid w:val="0085733A"/>
    <w:rsid w:val="0085785F"/>
    <w:rsid w:val="00857ECD"/>
    <w:rsid w:val="00860B14"/>
    <w:rsid w:val="0086439A"/>
    <w:rsid w:val="00864B6B"/>
    <w:rsid w:val="00864EFA"/>
    <w:rsid w:val="00865309"/>
    <w:rsid w:val="0086539F"/>
    <w:rsid w:val="008660F6"/>
    <w:rsid w:val="00866921"/>
    <w:rsid w:val="00866F1F"/>
    <w:rsid w:val="008730AC"/>
    <w:rsid w:val="00873875"/>
    <w:rsid w:val="00874B66"/>
    <w:rsid w:val="00874BAC"/>
    <w:rsid w:val="00877608"/>
    <w:rsid w:val="00877B5C"/>
    <w:rsid w:val="0088021B"/>
    <w:rsid w:val="00880418"/>
    <w:rsid w:val="00880BF5"/>
    <w:rsid w:val="0088186F"/>
    <w:rsid w:val="008833BF"/>
    <w:rsid w:val="00885266"/>
    <w:rsid w:val="008854C2"/>
    <w:rsid w:val="00885555"/>
    <w:rsid w:val="00885D6C"/>
    <w:rsid w:val="008860F0"/>
    <w:rsid w:val="008865BC"/>
    <w:rsid w:val="00887D75"/>
    <w:rsid w:val="0089125D"/>
    <w:rsid w:val="008948C7"/>
    <w:rsid w:val="00895E44"/>
    <w:rsid w:val="0089764D"/>
    <w:rsid w:val="008A10EF"/>
    <w:rsid w:val="008A2DC8"/>
    <w:rsid w:val="008A3C22"/>
    <w:rsid w:val="008A5375"/>
    <w:rsid w:val="008A5930"/>
    <w:rsid w:val="008A5D86"/>
    <w:rsid w:val="008A65F2"/>
    <w:rsid w:val="008B36D7"/>
    <w:rsid w:val="008B397B"/>
    <w:rsid w:val="008B4595"/>
    <w:rsid w:val="008B4B8E"/>
    <w:rsid w:val="008B4ECA"/>
    <w:rsid w:val="008B58C0"/>
    <w:rsid w:val="008B5A66"/>
    <w:rsid w:val="008C3455"/>
    <w:rsid w:val="008C3617"/>
    <w:rsid w:val="008C3822"/>
    <w:rsid w:val="008C38D2"/>
    <w:rsid w:val="008C4152"/>
    <w:rsid w:val="008C438E"/>
    <w:rsid w:val="008C62D2"/>
    <w:rsid w:val="008C6F4C"/>
    <w:rsid w:val="008C7727"/>
    <w:rsid w:val="008D036D"/>
    <w:rsid w:val="008D1CF5"/>
    <w:rsid w:val="008D24D3"/>
    <w:rsid w:val="008D3AF7"/>
    <w:rsid w:val="008D3DE6"/>
    <w:rsid w:val="008D4F65"/>
    <w:rsid w:val="008D5B32"/>
    <w:rsid w:val="008D5C27"/>
    <w:rsid w:val="008D6534"/>
    <w:rsid w:val="008D7B6D"/>
    <w:rsid w:val="008D7BFE"/>
    <w:rsid w:val="008D7D7C"/>
    <w:rsid w:val="008E0468"/>
    <w:rsid w:val="008E17E7"/>
    <w:rsid w:val="008E205D"/>
    <w:rsid w:val="008E2220"/>
    <w:rsid w:val="008E2F97"/>
    <w:rsid w:val="008E3954"/>
    <w:rsid w:val="008E493E"/>
    <w:rsid w:val="008E4A90"/>
    <w:rsid w:val="008E565C"/>
    <w:rsid w:val="008E5D04"/>
    <w:rsid w:val="008E63DD"/>
    <w:rsid w:val="008E72A7"/>
    <w:rsid w:val="008E7861"/>
    <w:rsid w:val="008E7970"/>
    <w:rsid w:val="008F06D4"/>
    <w:rsid w:val="008F1977"/>
    <w:rsid w:val="008F25F6"/>
    <w:rsid w:val="008F38FB"/>
    <w:rsid w:val="008F3BD3"/>
    <w:rsid w:val="008F4B60"/>
    <w:rsid w:val="008F4CF2"/>
    <w:rsid w:val="008F5EE6"/>
    <w:rsid w:val="008F673C"/>
    <w:rsid w:val="009008B4"/>
    <w:rsid w:val="009010A8"/>
    <w:rsid w:val="009039F8"/>
    <w:rsid w:val="00903A05"/>
    <w:rsid w:val="00904383"/>
    <w:rsid w:val="00906557"/>
    <w:rsid w:val="0090667D"/>
    <w:rsid w:val="00906761"/>
    <w:rsid w:val="00906C20"/>
    <w:rsid w:val="009108DE"/>
    <w:rsid w:val="0091096F"/>
    <w:rsid w:val="00910BBC"/>
    <w:rsid w:val="00910EBB"/>
    <w:rsid w:val="009113D5"/>
    <w:rsid w:val="0091165F"/>
    <w:rsid w:val="00912156"/>
    <w:rsid w:val="00913C2B"/>
    <w:rsid w:val="009147EE"/>
    <w:rsid w:val="00914D51"/>
    <w:rsid w:val="00915CC5"/>
    <w:rsid w:val="00915E59"/>
    <w:rsid w:val="00916174"/>
    <w:rsid w:val="009161B7"/>
    <w:rsid w:val="00916F19"/>
    <w:rsid w:val="009177DC"/>
    <w:rsid w:val="0092029E"/>
    <w:rsid w:val="00921FD0"/>
    <w:rsid w:val="00923284"/>
    <w:rsid w:val="00923CA5"/>
    <w:rsid w:val="00925174"/>
    <w:rsid w:val="009255A9"/>
    <w:rsid w:val="0092690D"/>
    <w:rsid w:val="009279AA"/>
    <w:rsid w:val="0093091F"/>
    <w:rsid w:val="00931277"/>
    <w:rsid w:val="009324D2"/>
    <w:rsid w:val="0093283B"/>
    <w:rsid w:val="00932A0D"/>
    <w:rsid w:val="00932CAD"/>
    <w:rsid w:val="00934411"/>
    <w:rsid w:val="009344E8"/>
    <w:rsid w:val="009348EC"/>
    <w:rsid w:val="009354FE"/>
    <w:rsid w:val="00940320"/>
    <w:rsid w:val="00941042"/>
    <w:rsid w:val="0094134E"/>
    <w:rsid w:val="00941633"/>
    <w:rsid w:val="00941865"/>
    <w:rsid w:val="0094352F"/>
    <w:rsid w:val="0094487D"/>
    <w:rsid w:val="00944D81"/>
    <w:rsid w:val="00944E03"/>
    <w:rsid w:val="00945FED"/>
    <w:rsid w:val="00946485"/>
    <w:rsid w:val="00951239"/>
    <w:rsid w:val="00951BD2"/>
    <w:rsid w:val="00953107"/>
    <w:rsid w:val="00956557"/>
    <w:rsid w:val="0095688E"/>
    <w:rsid w:val="00956CA6"/>
    <w:rsid w:val="00957581"/>
    <w:rsid w:val="0096013B"/>
    <w:rsid w:val="0096095B"/>
    <w:rsid w:val="009612DB"/>
    <w:rsid w:val="00961B7E"/>
    <w:rsid w:val="00961CC0"/>
    <w:rsid w:val="00962F89"/>
    <w:rsid w:val="009639FB"/>
    <w:rsid w:val="00963DF8"/>
    <w:rsid w:val="00965166"/>
    <w:rsid w:val="00965FCD"/>
    <w:rsid w:val="00966D05"/>
    <w:rsid w:val="0097073F"/>
    <w:rsid w:val="009719EA"/>
    <w:rsid w:val="00971DBE"/>
    <w:rsid w:val="0097315C"/>
    <w:rsid w:val="009731AF"/>
    <w:rsid w:val="00973792"/>
    <w:rsid w:val="00974903"/>
    <w:rsid w:val="009750B6"/>
    <w:rsid w:val="00975E74"/>
    <w:rsid w:val="009760F2"/>
    <w:rsid w:val="009762AB"/>
    <w:rsid w:val="009763CE"/>
    <w:rsid w:val="009765DB"/>
    <w:rsid w:val="00977286"/>
    <w:rsid w:val="009779BD"/>
    <w:rsid w:val="00977A25"/>
    <w:rsid w:val="00977FC6"/>
    <w:rsid w:val="0098050B"/>
    <w:rsid w:val="00980F5F"/>
    <w:rsid w:val="00983C48"/>
    <w:rsid w:val="0098505D"/>
    <w:rsid w:val="00985279"/>
    <w:rsid w:val="00985E77"/>
    <w:rsid w:val="00986981"/>
    <w:rsid w:val="00992B83"/>
    <w:rsid w:val="00993B3D"/>
    <w:rsid w:val="009946D2"/>
    <w:rsid w:val="00994919"/>
    <w:rsid w:val="00995C6A"/>
    <w:rsid w:val="009972ED"/>
    <w:rsid w:val="009A16CD"/>
    <w:rsid w:val="009A1758"/>
    <w:rsid w:val="009A1EF3"/>
    <w:rsid w:val="009A2254"/>
    <w:rsid w:val="009A33A0"/>
    <w:rsid w:val="009A3B35"/>
    <w:rsid w:val="009A3DAB"/>
    <w:rsid w:val="009A634D"/>
    <w:rsid w:val="009A64D2"/>
    <w:rsid w:val="009A64EA"/>
    <w:rsid w:val="009A676F"/>
    <w:rsid w:val="009A67C2"/>
    <w:rsid w:val="009A7B1C"/>
    <w:rsid w:val="009B09C6"/>
    <w:rsid w:val="009B3381"/>
    <w:rsid w:val="009B5AC2"/>
    <w:rsid w:val="009B7666"/>
    <w:rsid w:val="009B7ACC"/>
    <w:rsid w:val="009B7E9B"/>
    <w:rsid w:val="009B7F58"/>
    <w:rsid w:val="009C0540"/>
    <w:rsid w:val="009C06A4"/>
    <w:rsid w:val="009C0AD3"/>
    <w:rsid w:val="009C32B3"/>
    <w:rsid w:val="009C32C5"/>
    <w:rsid w:val="009C364D"/>
    <w:rsid w:val="009C3AD8"/>
    <w:rsid w:val="009C3DBD"/>
    <w:rsid w:val="009C429E"/>
    <w:rsid w:val="009C543A"/>
    <w:rsid w:val="009C63F4"/>
    <w:rsid w:val="009C7A60"/>
    <w:rsid w:val="009C7C2F"/>
    <w:rsid w:val="009C7C68"/>
    <w:rsid w:val="009D04EF"/>
    <w:rsid w:val="009D0AFE"/>
    <w:rsid w:val="009D460B"/>
    <w:rsid w:val="009D4C3F"/>
    <w:rsid w:val="009D6003"/>
    <w:rsid w:val="009D6FD0"/>
    <w:rsid w:val="009E1217"/>
    <w:rsid w:val="009E15D6"/>
    <w:rsid w:val="009E1F9B"/>
    <w:rsid w:val="009E28BD"/>
    <w:rsid w:val="009E3D46"/>
    <w:rsid w:val="009E4973"/>
    <w:rsid w:val="009E4B3D"/>
    <w:rsid w:val="009E54FA"/>
    <w:rsid w:val="009E56EE"/>
    <w:rsid w:val="009E5952"/>
    <w:rsid w:val="009E5A91"/>
    <w:rsid w:val="009E61C9"/>
    <w:rsid w:val="009E749F"/>
    <w:rsid w:val="009F03A0"/>
    <w:rsid w:val="009F1ABC"/>
    <w:rsid w:val="009F208D"/>
    <w:rsid w:val="009F288D"/>
    <w:rsid w:val="009F2CC7"/>
    <w:rsid w:val="009F32FB"/>
    <w:rsid w:val="009F3E16"/>
    <w:rsid w:val="009F770A"/>
    <w:rsid w:val="009F7AC2"/>
    <w:rsid w:val="009F7BF8"/>
    <w:rsid w:val="00A002A8"/>
    <w:rsid w:val="00A01A6D"/>
    <w:rsid w:val="00A02CDC"/>
    <w:rsid w:val="00A03B8B"/>
    <w:rsid w:val="00A042FC"/>
    <w:rsid w:val="00A046C6"/>
    <w:rsid w:val="00A04B4D"/>
    <w:rsid w:val="00A059A8"/>
    <w:rsid w:val="00A05E17"/>
    <w:rsid w:val="00A05F6C"/>
    <w:rsid w:val="00A069FA"/>
    <w:rsid w:val="00A1026A"/>
    <w:rsid w:val="00A11A7B"/>
    <w:rsid w:val="00A128E7"/>
    <w:rsid w:val="00A14708"/>
    <w:rsid w:val="00A14B9D"/>
    <w:rsid w:val="00A1571C"/>
    <w:rsid w:val="00A15836"/>
    <w:rsid w:val="00A15C72"/>
    <w:rsid w:val="00A161A3"/>
    <w:rsid w:val="00A17449"/>
    <w:rsid w:val="00A178CA"/>
    <w:rsid w:val="00A17ADE"/>
    <w:rsid w:val="00A20598"/>
    <w:rsid w:val="00A22977"/>
    <w:rsid w:val="00A236C3"/>
    <w:rsid w:val="00A248C2"/>
    <w:rsid w:val="00A255C9"/>
    <w:rsid w:val="00A25BFC"/>
    <w:rsid w:val="00A25CD1"/>
    <w:rsid w:val="00A2656C"/>
    <w:rsid w:val="00A27EF4"/>
    <w:rsid w:val="00A31CCB"/>
    <w:rsid w:val="00A32462"/>
    <w:rsid w:val="00A32CD3"/>
    <w:rsid w:val="00A332BF"/>
    <w:rsid w:val="00A35279"/>
    <w:rsid w:val="00A3608A"/>
    <w:rsid w:val="00A3612E"/>
    <w:rsid w:val="00A362B7"/>
    <w:rsid w:val="00A36558"/>
    <w:rsid w:val="00A3770D"/>
    <w:rsid w:val="00A4042C"/>
    <w:rsid w:val="00A40AA6"/>
    <w:rsid w:val="00A413DD"/>
    <w:rsid w:val="00A426A0"/>
    <w:rsid w:val="00A42ABF"/>
    <w:rsid w:val="00A4323E"/>
    <w:rsid w:val="00A437B2"/>
    <w:rsid w:val="00A43E52"/>
    <w:rsid w:val="00A4408C"/>
    <w:rsid w:val="00A441A9"/>
    <w:rsid w:val="00A44910"/>
    <w:rsid w:val="00A4575B"/>
    <w:rsid w:val="00A45CAA"/>
    <w:rsid w:val="00A460D4"/>
    <w:rsid w:val="00A460DD"/>
    <w:rsid w:val="00A470CC"/>
    <w:rsid w:val="00A4786C"/>
    <w:rsid w:val="00A507C6"/>
    <w:rsid w:val="00A50A24"/>
    <w:rsid w:val="00A50FC7"/>
    <w:rsid w:val="00A513A7"/>
    <w:rsid w:val="00A51B77"/>
    <w:rsid w:val="00A53BB1"/>
    <w:rsid w:val="00A546E4"/>
    <w:rsid w:val="00A54BF7"/>
    <w:rsid w:val="00A55D8E"/>
    <w:rsid w:val="00A56685"/>
    <w:rsid w:val="00A56721"/>
    <w:rsid w:val="00A57642"/>
    <w:rsid w:val="00A6095A"/>
    <w:rsid w:val="00A62050"/>
    <w:rsid w:val="00A62234"/>
    <w:rsid w:val="00A62DB8"/>
    <w:rsid w:val="00A64509"/>
    <w:rsid w:val="00A66F53"/>
    <w:rsid w:val="00A6798A"/>
    <w:rsid w:val="00A706DA"/>
    <w:rsid w:val="00A72294"/>
    <w:rsid w:val="00A736F1"/>
    <w:rsid w:val="00A742B0"/>
    <w:rsid w:val="00A75517"/>
    <w:rsid w:val="00A81105"/>
    <w:rsid w:val="00A81508"/>
    <w:rsid w:val="00A8198D"/>
    <w:rsid w:val="00A820BF"/>
    <w:rsid w:val="00A836F2"/>
    <w:rsid w:val="00A83F63"/>
    <w:rsid w:val="00A843C9"/>
    <w:rsid w:val="00A84B63"/>
    <w:rsid w:val="00A85F5E"/>
    <w:rsid w:val="00A86486"/>
    <w:rsid w:val="00A911F8"/>
    <w:rsid w:val="00A931B2"/>
    <w:rsid w:val="00A9545D"/>
    <w:rsid w:val="00A9775F"/>
    <w:rsid w:val="00A97D87"/>
    <w:rsid w:val="00AA0245"/>
    <w:rsid w:val="00AA025D"/>
    <w:rsid w:val="00AA0767"/>
    <w:rsid w:val="00AA0B3D"/>
    <w:rsid w:val="00AA0D48"/>
    <w:rsid w:val="00AA1AA2"/>
    <w:rsid w:val="00AA3CB0"/>
    <w:rsid w:val="00AA3F73"/>
    <w:rsid w:val="00AA402D"/>
    <w:rsid w:val="00AA5F0B"/>
    <w:rsid w:val="00AA64C2"/>
    <w:rsid w:val="00AA7716"/>
    <w:rsid w:val="00AA7F9C"/>
    <w:rsid w:val="00AB0064"/>
    <w:rsid w:val="00AB025D"/>
    <w:rsid w:val="00AB03E4"/>
    <w:rsid w:val="00AB1143"/>
    <w:rsid w:val="00AB2150"/>
    <w:rsid w:val="00AB225E"/>
    <w:rsid w:val="00AB268F"/>
    <w:rsid w:val="00AB4406"/>
    <w:rsid w:val="00AB462C"/>
    <w:rsid w:val="00AB4B79"/>
    <w:rsid w:val="00AB5B67"/>
    <w:rsid w:val="00AB706C"/>
    <w:rsid w:val="00AC06D3"/>
    <w:rsid w:val="00AC15A1"/>
    <w:rsid w:val="00AC2117"/>
    <w:rsid w:val="00AC4466"/>
    <w:rsid w:val="00AC4C31"/>
    <w:rsid w:val="00AC4EF4"/>
    <w:rsid w:val="00AC5DCB"/>
    <w:rsid w:val="00AC6283"/>
    <w:rsid w:val="00AC6C29"/>
    <w:rsid w:val="00AD01E2"/>
    <w:rsid w:val="00AD07C4"/>
    <w:rsid w:val="00AD08B3"/>
    <w:rsid w:val="00AD1B6E"/>
    <w:rsid w:val="00AD2022"/>
    <w:rsid w:val="00AD2F35"/>
    <w:rsid w:val="00AD4CC4"/>
    <w:rsid w:val="00AD5170"/>
    <w:rsid w:val="00AD53F4"/>
    <w:rsid w:val="00AD596B"/>
    <w:rsid w:val="00AD5AEA"/>
    <w:rsid w:val="00AD5B48"/>
    <w:rsid w:val="00AD6180"/>
    <w:rsid w:val="00AD671D"/>
    <w:rsid w:val="00AD6AFD"/>
    <w:rsid w:val="00AD7413"/>
    <w:rsid w:val="00AD7C90"/>
    <w:rsid w:val="00AD7EF4"/>
    <w:rsid w:val="00AE0AED"/>
    <w:rsid w:val="00AE1791"/>
    <w:rsid w:val="00AE27EE"/>
    <w:rsid w:val="00AE2B1B"/>
    <w:rsid w:val="00AE3F66"/>
    <w:rsid w:val="00AE4F8F"/>
    <w:rsid w:val="00AE5D25"/>
    <w:rsid w:val="00AE64D3"/>
    <w:rsid w:val="00AF03AE"/>
    <w:rsid w:val="00AF237C"/>
    <w:rsid w:val="00AF4BAB"/>
    <w:rsid w:val="00AF559C"/>
    <w:rsid w:val="00AF77D5"/>
    <w:rsid w:val="00B01A37"/>
    <w:rsid w:val="00B01C2B"/>
    <w:rsid w:val="00B02106"/>
    <w:rsid w:val="00B03D90"/>
    <w:rsid w:val="00B04158"/>
    <w:rsid w:val="00B0499E"/>
    <w:rsid w:val="00B05003"/>
    <w:rsid w:val="00B05FF9"/>
    <w:rsid w:val="00B06A33"/>
    <w:rsid w:val="00B07000"/>
    <w:rsid w:val="00B10B5F"/>
    <w:rsid w:val="00B1223C"/>
    <w:rsid w:val="00B12AD1"/>
    <w:rsid w:val="00B13CFD"/>
    <w:rsid w:val="00B13F1A"/>
    <w:rsid w:val="00B14C91"/>
    <w:rsid w:val="00B157D7"/>
    <w:rsid w:val="00B16573"/>
    <w:rsid w:val="00B16DE8"/>
    <w:rsid w:val="00B20C2A"/>
    <w:rsid w:val="00B210B8"/>
    <w:rsid w:val="00B23615"/>
    <w:rsid w:val="00B23A31"/>
    <w:rsid w:val="00B241EA"/>
    <w:rsid w:val="00B24318"/>
    <w:rsid w:val="00B252A4"/>
    <w:rsid w:val="00B26417"/>
    <w:rsid w:val="00B26EA9"/>
    <w:rsid w:val="00B30325"/>
    <w:rsid w:val="00B30767"/>
    <w:rsid w:val="00B30C6F"/>
    <w:rsid w:val="00B3124E"/>
    <w:rsid w:val="00B32898"/>
    <w:rsid w:val="00B336A3"/>
    <w:rsid w:val="00B33992"/>
    <w:rsid w:val="00B34CCD"/>
    <w:rsid w:val="00B34FF2"/>
    <w:rsid w:val="00B36C47"/>
    <w:rsid w:val="00B3718F"/>
    <w:rsid w:val="00B37AAF"/>
    <w:rsid w:val="00B37DF4"/>
    <w:rsid w:val="00B410E9"/>
    <w:rsid w:val="00B42B01"/>
    <w:rsid w:val="00B42EE3"/>
    <w:rsid w:val="00B43E54"/>
    <w:rsid w:val="00B45068"/>
    <w:rsid w:val="00B46D23"/>
    <w:rsid w:val="00B51787"/>
    <w:rsid w:val="00B528C8"/>
    <w:rsid w:val="00B529E9"/>
    <w:rsid w:val="00B52ECC"/>
    <w:rsid w:val="00B54084"/>
    <w:rsid w:val="00B54943"/>
    <w:rsid w:val="00B54C6D"/>
    <w:rsid w:val="00B54D32"/>
    <w:rsid w:val="00B564FA"/>
    <w:rsid w:val="00B57AC4"/>
    <w:rsid w:val="00B601CF"/>
    <w:rsid w:val="00B60D9B"/>
    <w:rsid w:val="00B60E9A"/>
    <w:rsid w:val="00B61290"/>
    <w:rsid w:val="00B62C4D"/>
    <w:rsid w:val="00B631CA"/>
    <w:rsid w:val="00B65296"/>
    <w:rsid w:val="00B6617F"/>
    <w:rsid w:val="00B67689"/>
    <w:rsid w:val="00B67AE9"/>
    <w:rsid w:val="00B70305"/>
    <w:rsid w:val="00B72175"/>
    <w:rsid w:val="00B723BF"/>
    <w:rsid w:val="00B7376E"/>
    <w:rsid w:val="00B73F90"/>
    <w:rsid w:val="00B74F43"/>
    <w:rsid w:val="00B76893"/>
    <w:rsid w:val="00B768F6"/>
    <w:rsid w:val="00B76AA2"/>
    <w:rsid w:val="00B774A3"/>
    <w:rsid w:val="00B77E4F"/>
    <w:rsid w:val="00B802F9"/>
    <w:rsid w:val="00B80702"/>
    <w:rsid w:val="00B8082A"/>
    <w:rsid w:val="00B8122B"/>
    <w:rsid w:val="00B82365"/>
    <w:rsid w:val="00B83825"/>
    <w:rsid w:val="00B85506"/>
    <w:rsid w:val="00B8670A"/>
    <w:rsid w:val="00B86A22"/>
    <w:rsid w:val="00B86A4E"/>
    <w:rsid w:val="00B8783D"/>
    <w:rsid w:val="00B878AD"/>
    <w:rsid w:val="00B87A1E"/>
    <w:rsid w:val="00B9008A"/>
    <w:rsid w:val="00B90520"/>
    <w:rsid w:val="00B90899"/>
    <w:rsid w:val="00B90963"/>
    <w:rsid w:val="00B91F19"/>
    <w:rsid w:val="00B94AF1"/>
    <w:rsid w:val="00B95275"/>
    <w:rsid w:val="00B95A9F"/>
    <w:rsid w:val="00B961C6"/>
    <w:rsid w:val="00B965C6"/>
    <w:rsid w:val="00B97203"/>
    <w:rsid w:val="00B9744E"/>
    <w:rsid w:val="00BA050D"/>
    <w:rsid w:val="00BA0A04"/>
    <w:rsid w:val="00BA0A3F"/>
    <w:rsid w:val="00BA3056"/>
    <w:rsid w:val="00BA3759"/>
    <w:rsid w:val="00BA45F5"/>
    <w:rsid w:val="00BA472D"/>
    <w:rsid w:val="00BA5CE7"/>
    <w:rsid w:val="00BA5EC7"/>
    <w:rsid w:val="00BA65CD"/>
    <w:rsid w:val="00BA792D"/>
    <w:rsid w:val="00BA7AD6"/>
    <w:rsid w:val="00BB2301"/>
    <w:rsid w:val="00BB2676"/>
    <w:rsid w:val="00BB34DB"/>
    <w:rsid w:val="00BB4A70"/>
    <w:rsid w:val="00BB5220"/>
    <w:rsid w:val="00BB5557"/>
    <w:rsid w:val="00BB5C2B"/>
    <w:rsid w:val="00BB655D"/>
    <w:rsid w:val="00BB67C9"/>
    <w:rsid w:val="00BB6B47"/>
    <w:rsid w:val="00BC0441"/>
    <w:rsid w:val="00BC1147"/>
    <w:rsid w:val="00BC12DA"/>
    <w:rsid w:val="00BC2F48"/>
    <w:rsid w:val="00BC440B"/>
    <w:rsid w:val="00BC50A7"/>
    <w:rsid w:val="00BC51A5"/>
    <w:rsid w:val="00BC5923"/>
    <w:rsid w:val="00BC70FC"/>
    <w:rsid w:val="00BC7193"/>
    <w:rsid w:val="00BC74C0"/>
    <w:rsid w:val="00BD2418"/>
    <w:rsid w:val="00BD3C19"/>
    <w:rsid w:val="00BD484E"/>
    <w:rsid w:val="00BD4D0F"/>
    <w:rsid w:val="00BD759C"/>
    <w:rsid w:val="00BD771F"/>
    <w:rsid w:val="00BE001B"/>
    <w:rsid w:val="00BE019A"/>
    <w:rsid w:val="00BE05C5"/>
    <w:rsid w:val="00BE09BB"/>
    <w:rsid w:val="00BE1B35"/>
    <w:rsid w:val="00BE1D03"/>
    <w:rsid w:val="00BE20AC"/>
    <w:rsid w:val="00BE269D"/>
    <w:rsid w:val="00BE2C5E"/>
    <w:rsid w:val="00BE3869"/>
    <w:rsid w:val="00BE3A8E"/>
    <w:rsid w:val="00BE3D77"/>
    <w:rsid w:val="00BE585B"/>
    <w:rsid w:val="00BE5B84"/>
    <w:rsid w:val="00BE60B5"/>
    <w:rsid w:val="00BE689A"/>
    <w:rsid w:val="00BE6C23"/>
    <w:rsid w:val="00BE78C8"/>
    <w:rsid w:val="00BE7FBC"/>
    <w:rsid w:val="00BF1DF2"/>
    <w:rsid w:val="00BF292A"/>
    <w:rsid w:val="00BF3C5E"/>
    <w:rsid w:val="00BF4331"/>
    <w:rsid w:val="00BF6BF7"/>
    <w:rsid w:val="00C001D5"/>
    <w:rsid w:val="00C00B04"/>
    <w:rsid w:val="00C00DDD"/>
    <w:rsid w:val="00C01142"/>
    <w:rsid w:val="00C015D9"/>
    <w:rsid w:val="00C01DAA"/>
    <w:rsid w:val="00C036FA"/>
    <w:rsid w:val="00C0405A"/>
    <w:rsid w:val="00C057CB"/>
    <w:rsid w:val="00C07BD0"/>
    <w:rsid w:val="00C07F0C"/>
    <w:rsid w:val="00C10004"/>
    <w:rsid w:val="00C112CA"/>
    <w:rsid w:val="00C115D5"/>
    <w:rsid w:val="00C12DD3"/>
    <w:rsid w:val="00C12DD7"/>
    <w:rsid w:val="00C13115"/>
    <w:rsid w:val="00C13539"/>
    <w:rsid w:val="00C13C2F"/>
    <w:rsid w:val="00C141BD"/>
    <w:rsid w:val="00C14877"/>
    <w:rsid w:val="00C153E5"/>
    <w:rsid w:val="00C1554E"/>
    <w:rsid w:val="00C15A36"/>
    <w:rsid w:val="00C17CB9"/>
    <w:rsid w:val="00C201EF"/>
    <w:rsid w:val="00C23CD1"/>
    <w:rsid w:val="00C23E4D"/>
    <w:rsid w:val="00C25101"/>
    <w:rsid w:val="00C25688"/>
    <w:rsid w:val="00C25AE7"/>
    <w:rsid w:val="00C269EB"/>
    <w:rsid w:val="00C3049D"/>
    <w:rsid w:val="00C306CD"/>
    <w:rsid w:val="00C30AD3"/>
    <w:rsid w:val="00C30CFF"/>
    <w:rsid w:val="00C31DD5"/>
    <w:rsid w:val="00C3246F"/>
    <w:rsid w:val="00C32885"/>
    <w:rsid w:val="00C3389F"/>
    <w:rsid w:val="00C33ED9"/>
    <w:rsid w:val="00C356DC"/>
    <w:rsid w:val="00C35822"/>
    <w:rsid w:val="00C36849"/>
    <w:rsid w:val="00C370A4"/>
    <w:rsid w:val="00C374DB"/>
    <w:rsid w:val="00C37B59"/>
    <w:rsid w:val="00C409B2"/>
    <w:rsid w:val="00C40EDA"/>
    <w:rsid w:val="00C4131F"/>
    <w:rsid w:val="00C4175B"/>
    <w:rsid w:val="00C41E90"/>
    <w:rsid w:val="00C41FAC"/>
    <w:rsid w:val="00C4218F"/>
    <w:rsid w:val="00C435A3"/>
    <w:rsid w:val="00C43FC7"/>
    <w:rsid w:val="00C440C6"/>
    <w:rsid w:val="00C441F0"/>
    <w:rsid w:val="00C4506C"/>
    <w:rsid w:val="00C458FC"/>
    <w:rsid w:val="00C45D61"/>
    <w:rsid w:val="00C46C8B"/>
    <w:rsid w:val="00C474AC"/>
    <w:rsid w:val="00C47A50"/>
    <w:rsid w:val="00C5037B"/>
    <w:rsid w:val="00C506CE"/>
    <w:rsid w:val="00C51227"/>
    <w:rsid w:val="00C528BD"/>
    <w:rsid w:val="00C5439C"/>
    <w:rsid w:val="00C54775"/>
    <w:rsid w:val="00C56244"/>
    <w:rsid w:val="00C56C28"/>
    <w:rsid w:val="00C60055"/>
    <w:rsid w:val="00C6122C"/>
    <w:rsid w:val="00C64B34"/>
    <w:rsid w:val="00C657B8"/>
    <w:rsid w:val="00C667D4"/>
    <w:rsid w:val="00C706F7"/>
    <w:rsid w:val="00C70701"/>
    <w:rsid w:val="00C72835"/>
    <w:rsid w:val="00C728B8"/>
    <w:rsid w:val="00C72B70"/>
    <w:rsid w:val="00C7488C"/>
    <w:rsid w:val="00C74DCB"/>
    <w:rsid w:val="00C75DF8"/>
    <w:rsid w:val="00C7742F"/>
    <w:rsid w:val="00C83E3D"/>
    <w:rsid w:val="00C83E76"/>
    <w:rsid w:val="00C84384"/>
    <w:rsid w:val="00C846AD"/>
    <w:rsid w:val="00C84D91"/>
    <w:rsid w:val="00C851E1"/>
    <w:rsid w:val="00C92122"/>
    <w:rsid w:val="00C929E0"/>
    <w:rsid w:val="00C933EE"/>
    <w:rsid w:val="00C94FD8"/>
    <w:rsid w:val="00C950FF"/>
    <w:rsid w:val="00C95849"/>
    <w:rsid w:val="00C95EE7"/>
    <w:rsid w:val="00C9687C"/>
    <w:rsid w:val="00C973E0"/>
    <w:rsid w:val="00C97BE4"/>
    <w:rsid w:val="00CA05D3"/>
    <w:rsid w:val="00CA0CCF"/>
    <w:rsid w:val="00CA0E42"/>
    <w:rsid w:val="00CA1B35"/>
    <w:rsid w:val="00CA26B3"/>
    <w:rsid w:val="00CA2A5A"/>
    <w:rsid w:val="00CA304E"/>
    <w:rsid w:val="00CA35E2"/>
    <w:rsid w:val="00CA48C7"/>
    <w:rsid w:val="00CA5EB9"/>
    <w:rsid w:val="00CA7176"/>
    <w:rsid w:val="00CA7731"/>
    <w:rsid w:val="00CA7CCB"/>
    <w:rsid w:val="00CB1996"/>
    <w:rsid w:val="00CB21AD"/>
    <w:rsid w:val="00CB21F8"/>
    <w:rsid w:val="00CB2F4A"/>
    <w:rsid w:val="00CB33B3"/>
    <w:rsid w:val="00CB41FC"/>
    <w:rsid w:val="00CB4DB3"/>
    <w:rsid w:val="00CB4DD9"/>
    <w:rsid w:val="00CB6939"/>
    <w:rsid w:val="00CB6C41"/>
    <w:rsid w:val="00CB6E18"/>
    <w:rsid w:val="00CB75B8"/>
    <w:rsid w:val="00CC0A60"/>
    <w:rsid w:val="00CC4025"/>
    <w:rsid w:val="00CC548D"/>
    <w:rsid w:val="00CC56A4"/>
    <w:rsid w:val="00CC5D27"/>
    <w:rsid w:val="00CC7371"/>
    <w:rsid w:val="00CC74C0"/>
    <w:rsid w:val="00CC7824"/>
    <w:rsid w:val="00CD0327"/>
    <w:rsid w:val="00CD1871"/>
    <w:rsid w:val="00CD2CDE"/>
    <w:rsid w:val="00CD3928"/>
    <w:rsid w:val="00CD42A8"/>
    <w:rsid w:val="00CD519E"/>
    <w:rsid w:val="00CD5465"/>
    <w:rsid w:val="00CD5BDF"/>
    <w:rsid w:val="00CD6B9A"/>
    <w:rsid w:val="00CD6E7A"/>
    <w:rsid w:val="00CD7A42"/>
    <w:rsid w:val="00CD7B91"/>
    <w:rsid w:val="00CD7BC8"/>
    <w:rsid w:val="00CD7C48"/>
    <w:rsid w:val="00CE2493"/>
    <w:rsid w:val="00CE31EA"/>
    <w:rsid w:val="00CE3879"/>
    <w:rsid w:val="00CE5E74"/>
    <w:rsid w:val="00CE789D"/>
    <w:rsid w:val="00CE7948"/>
    <w:rsid w:val="00CF1851"/>
    <w:rsid w:val="00CF2331"/>
    <w:rsid w:val="00CF38D7"/>
    <w:rsid w:val="00CF3B41"/>
    <w:rsid w:val="00CF49BC"/>
    <w:rsid w:val="00CF5F4D"/>
    <w:rsid w:val="00CF64B7"/>
    <w:rsid w:val="00CF6720"/>
    <w:rsid w:val="00CF68D3"/>
    <w:rsid w:val="00CF779A"/>
    <w:rsid w:val="00D0074F"/>
    <w:rsid w:val="00D01AE7"/>
    <w:rsid w:val="00D030EC"/>
    <w:rsid w:val="00D0519E"/>
    <w:rsid w:val="00D0607E"/>
    <w:rsid w:val="00D063F3"/>
    <w:rsid w:val="00D07189"/>
    <w:rsid w:val="00D0778E"/>
    <w:rsid w:val="00D12F8E"/>
    <w:rsid w:val="00D14487"/>
    <w:rsid w:val="00D14E06"/>
    <w:rsid w:val="00D14FD0"/>
    <w:rsid w:val="00D16935"/>
    <w:rsid w:val="00D2019F"/>
    <w:rsid w:val="00D205FE"/>
    <w:rsid w:val="00D216B9"/>
    <w:rsid w:val="00D217C1"/>
    <w:rsid w:val="00D2191F"/>
    <w:rsid w:val="00D21A38"/>
    <w:rsid w:val="00D227CB"/>
    <w:rsid w:val="00D23A14"/>
    <w:rsid w:val="00D27FA6"/>
    <w:rsid w:val="00D30204"/>
    <w:rsid w:val="00D30E5B"/>
    <w:rsid w:val="00D31FA6"/>
    <w:rsid w:val="00D3270D"/>
    <w:rsid w:val="00D32B6E"/>
    <w:rsid w:val="00D32CB8"/>
    <w:rsid w:val="00D3402A"/>
    <w:rsid w:val="00D341C6"/>
    <w:rsid w:val="00D34D35"/>
    <w:rsid w:val="00D368A8"/>
    <w:rsid w:val="00D40845"/>
    <w:rsid w:val="00D40B2A"/>
    <w:rsid w:val="00D40CD4"/>
    <w:rsid w:val="00D40FC7"/>
    <w:rsid w:val="00D411C5"/>
    <w:rsid w:val="00D42195"/>
    <w:rsid w:val="00D42D9D"/>
    <w:rsid w:val="00D42F2F"/>
    <w:rsid w:val="00D432A2"/>
    <w:rsid w:val="00D442E3"/>
    <w:rsid w:val="00D451B2"/>
    <w:rsid w:val="00D4670B"/>
    <w:rsid w:val="00D50393"/>
    <w:rsid w:val="00D506B6"/>
    <w:rsid w:val="00D508BD"/>
    <w:rsid w:val="00D50B7C"/>
    <w:rsid w:val="00D51908"/>
    <w:rsid w:val="00D52662"/>
    <w:rsid w:val="00D532EB"/>
    <w:rsid w:val="00D54AE2"/>
    <w:rsid w:val="00D5508B"/>
    <w:rsid w:val="00D555E0"/>
    <w:rsid w:val="00D56C68"/>
    <w:rsid w:val="00D57A89"/>
    <w:rsid w:val="00D57D15"/>
    <w:rsid w:val="00D61F82"/>
    <w:rsid w:val="00D62DA1"/>
    <w:rsid w:val="00D63D78"/>
    <w:rsid w:val="00D646E0"/>
    <w:rsid w:val="00D6578B"/>
    <w:rsid w:val="00D665B9"/>
    <w:rsid w:val="00D67826"/>
    <w:rsid w:val="00D67FA3"/>
    <w:rsid w:val="00D71693"/>
    <w:rsid w:val="00D74472"/>
    <w:rsid w:val="00D75A10"/>
    <w:rsid w:val="00D75E95"/>
    <w:rsid w:val="00D7607D"/>
    <w:rsid w:val="00D76B83"/>
    <w:rsid w:val="00D77734"/>
    <w:rsid w:val="00D77B59"/>
    <w:rsid w:val="00D80191"/>
    <w:rsid w:val="00D8039B"/>
    <w:rsid w:val="00D81BFC"/>
    <w:rsid w:val="00D82420"/>
    <w:rsid w:val="00D8252A"/>
    <w:rsid w:val="00D8261F"/>
    <w:rsid w:val="00D8505B"/>
    <w:rsid w:val="00D8641B"/>
    <w:rsid w:val="00D86C37"/>
    <w:rsid w:val="00D86CFD"/>
    <w:rsid w:val="00D87CD0"/>
    <w:rsid w:val="00D91420"/>
    <w:rsid w:val="00D92746"/>
    <w:rsid w:val="00D9280A"/>
    <w:rsid w:val="00D9309E"/>
    <w:rsid w:val="00D93F4E"/>
    <w:rsid w:val="00D959A2"/>
    <w:rsid w:val="00D97196"/>
    <w:rsid w:val="00D97A71"/>
    <w:rsid w:val="00DA085C"/>
    <w:rsid w:val="00DA1109"/>
    <w:rsid w:val="00DA1299"/>
    <w:rsid w:val="00DA2820"/>
    <w:rsid w:val="00DA2B39"/>
    <w:rsid w:val="00DA3DB8"/>
    <w:rsid w:val="00DA3FA2"/>
    <w:rsid w:val="00DA5FEB"/>
    <w:rsid w:val="00DA602E"/>
    <w:rsid w:val="00DA630F"/>
    <w:rsid w:val="00DA6D5C"/>
    <w:rsid w:val="00DA6DAD"/>
    <w:rsid w:val="00DB01E8"/>
    <w:rsid w:val="00DB0CC4"/>
    <w:rsid w:val="00DB2809"/>
    <w:rsid w:val="00DB4066"/>
    <w:rsid w:val="00DB6A76"/>
    <w:rsid w:val="00DB77C4"/>
    <w:rsid w:val="00DC0804"/>
    <w:rsid w:val="00DC08E6"/>
    <w:rsid w:val="00DC0C56"/>
    <w:rsid w:val="00DC12D5"/>
    <w:rsid w:val="00DC2389"/>
    <w:rsid w:val="00DC2A5F"/>
    <w:rsid w:val="00DC33DF"/>
    <w:rsid w:val="00DC3D44"/>
    <w:rsid w:val="00DC489C"/>
    <w:rsid w:val="00DC577F"/>
    <w:rsid w:val="00DC5FE6"/>
    <w:rsid w:val="00DC70E0"/>
    <w:rsid w:val="00DC76F6"/>
    <w:rsid w:val="00DC799E"/>
    <w:rsid w:val="00DD0561"/>
    <w:rsid w:val="00DD089B"/>
    <w:rsid w:val="00DD1034"/>
    <w:rsid w:val="00DD2082"/>
    <w:rsid w:val="00DD335C"/>
    <w:rsid w:val="00DD3A08"/>
    <w:rsid w:val="00DD4620"/>
    <w:rsid w:val="00DD61C6"/>
    <w:rsid w:val="00DD7E3F"/>
    <w:rsid w:val="00DE0226"/>
    <w:rsid w:val="00DE0CC6"/>
    <w:rsid w:val="00DE1A48"/>
    <w:rsid w:val="00DE1F6E"/>
    <w:rsid w:val="00DE33BF"/>
    <w:rsid w:val="00DE5061"/>
    <w:rsid w:val="00DE5085"/>
    <w:rsid w:val="00DE577D"/>
    <w:rsid w:val="00DE603A"/>
    <w:rsid w:val="00DE67A0"/>
    <w:rsid w:val="00DE73BC"/>
    <w:rsid w:val="00DE7553"/>
    <w:rsid w:val="00DE7CE0"/>
    <w:rsid w:val="00DF11EC"/>
    <w:rsid w:val="00DF1658"/>
    <w:rsid w:val="00DF2FD7"/>
    <w:rsid w:val="00DF45EC"/>
    <w:rsid w:val="00DF4B2B"/>
    <w:rsid w:val="00DF5874"/>
    <w:rsid w:val="00DF7033"/>
    <w:rsid w:val="00DF7147"/>
    <w:rsid w:val="00E00A40"/>
    <w:rsid w:val="00E00CA5"/>
    <w:rsid w:val="00E011C7"/>
    <w:rsid w:val="00E012FC"/>
    <w:rsid w:val="00E0234C"/>
    <w:rsid w:val="00E03672"/>
    <w:rsid w:val="00E04A52"/>
    <w:rsid w:val="00E04BB2"/>
    <w:rsid w:val="00E05323"/>
    <w:rsid w:val="00E06709"/>
    <w:rsid w:val="00E07E4D"/>
    <w:rsid w:val="00E07F53"/>
    <w:rsid w:val="00E1019F"/>
    <w:rsid w:val="00E10C90"/>
    <w:rsid w:val="00E1197B"/>
    <w:rsid w:val="00E14D4D"/>
    <w:rsid w:val="00E1587A"/>
    <w:rsid w:val="00E159E6"/>
    <w:rsid w:val="00E1692B"/>
    <w:rsid w:val="00E17C7E"/>
    <w:rsid w:val="00E20D46"/>
    <w:rsid w:val="00E23F94"/>
    <w:rsid w:val="00E248BF"/>
    <w:rsid w:val="00E2555E"/>
    <w:rsid w:val="00E25B22"/>
    <w:rsid w:val="00E26E49"/>
    <w:rsid w:val="00E3050E"/>
    <w:rsid w:val="00E31DEE"/>
    <w:rsid w:val="00E3361E"/>
    <w:rsid w:val="00E339B0"/>
    <w:rsid w:val="00E34A37"/>
    <w:rsid w:val="00E3500C"/>
    <w:rsid w:val="00E35090"/>
    <w:rsid w:val="00E35746"/>
    <w:rsid w:val="00E357D6"/>
    <w:rsid w:val="00E35C10"/>
    <w:rsid w:val="00E432E6"/>
    <w:rsid w:val="00E44970"/>
    <w:rsid w:val="00E44B22"/>
    <w:rsid w:val="00E45E41"/>
    <w:rsid w:val="00E46676"/>
    <w:rsid w:val="00E46B2C"/>
    <w:rsid w:val="00E47DFA"/>
    <w:rsid w:val="00E5002E"/>
    <w:rsid w:val="00E50BB5"/>
    <w:rsid w:val="00E50BEE"/>
    <w:rsid w:val="00E51673"/>
    <w:rsid w:val="00E51AA5"/>
    <w:rsid w:val="00E51EB9"/>
    <w:rsid w:val="00E52DCA"/>
    <w:rsid w:val="00E52E13"/>
    <w:rsid w:val="00E56004"/>
    <w:rsid w:val="00E57546"/>
    <w:rsid w:val="00E57A18"/>
    <w:rsid w:val="00E57F80"/>
    <w:rsid w:val="00E61772"/>
    <w:rsid w:val="00E62498"/>
    <w:rsid w:val="00E63C92"/>
    <w:rsid w:val="00E63D5B"/>
    <w:rsid w:val="00E641CC"/>
    <w:rsid w:val="00E644A3"/>
    <w:rsid w:val="00E65788"/>
    <w:rsid w:val="00E65C52"/>
    <w:rsid w:val="00E669C2"/>
    <w:rsid w:val="00E66BDB"/>
    <w:rsid w:val="00E66E0F"/>
    <w:rsid w:val="00E71EED"/>
    <w:rsid w:val="00E722C1"/>
    <w:rsid w:val="00E72A67"/>
    <w:rsid w:val="00E72BA9"/>
    <w:rsid w:val="00E732A6"/>
    <w:rsid w:val="00E73CF4"/>
    <w:rsid w:val="00E73E92"/>
    <w:rsid w:val="00E74C1B"/>
    <w:rsid w:val="00E7502D"/>
    <w:rsid w:val="00E75182"/>
    <w:rsid w:val="00E76577"/>
    <w:rsid w:val="00E77070"/>
    <w:rsid w:val="00E80CB1"/>
    <w:rsid w:val="00E82DED"/>
    <w:rsid w:val="00E86C23"/>
    <w:rsid w:val="00E87BDA"/>
    <w:rsid w:val="00E87DE1"/>
    <w:rsid w:val="00E905D1"/>
    <w:rsid w:val="00E90703"/>
    <w:rsid w:val="00E92144"/>
    <w:rsid w:val="00E942FC"/>
    <w:rsid w:val="00E94AED"/>
    <w:rsid w:val="00E966C9"/>
    <w:rsid w:val="00E9674F"/>
    <w:rsid w:val="00E970E2"/>
    <w:rsid w:val="00EA0E65"/>
    <w:rsid w:val="00EA2B2D"/>
    <w:rsid w:val="00EA599A"/>
    <w:rsid w:val="00EA5A1B"/>
    <w:rsid w:val="00EA743C"/>
    <w:rsid w:val="00EA7FA6"/>
    <w:rsid w:val="00EB110E"/>
    <w:rsid w:val="00EB1F5E"/>
    <w:rsid w:val="00EB2C4A"/>
    <w:rsid w:val="00EB3883"/>
    <w:rsid w:val="00EB45C0"/>
    <w:rsid w:val="00EB50AA"/>
    <w:rsid w:val="00EB5361"/>
    <w:rsid w:val="00EB6897"/>
    <w:rsid w:val="00EB7A7C"/>
    <w:rsid w:val="00EC0AF9"/>
    <w:rsid w:val="00EC3652"/>
    <w:rsid w:val="00EC4101"/>
    <w:rsid w:val="00EC6712"/>
    <w:rsid w:val="00EC6AA6"/>
    <w:rsid w:val="00ED1B1E"/>
    <w:rsid w:val="00ED2A5F"/>
    <w:rsid w:val="00ED4497"/>
    <w:rsid w:val="00ED56A4"/>
    <w:rsid w:val="00ED5853"/>
    <w:rsid w:val="00ED6460"/>
    <w:rsid w:val="00ED6C83"/>
    <w:rsid w:val="00ED7E93"/>
    <w:rsid w:val="00EE13A8"/>
    <w:rsid w:val="00EE170D"/>
    <w:rsid w:val="00EE1AAD"/>
    <w:rsid w:val="00EE24E9"/>
    <w:rsid w:val="00EE3655"/>
    <w:rsid w:val="00EE3721"/>
    <w:rsid w:val="00EE4DE5"/>
    <w:rsid w:val="00EE4E1B"/>
    <w:rsid w:val="00EE59BD"/>
    <w:rsid w:val="00EE6602"/>
    <w:rsid w:val="00EE6B7A"/>
    <w:rsid w:val="00EE72F8"/>
    <w:rsid w:val="00EE7701"/>
    <w:rsid w:val="00EF105E"/>
    <w:rsid w:val="00EF1D90"/>
    <w:rsid w:val="00EF256C"/>
    <w:rsid w:val="00EF3CB7"/>
    <w:rsid w:val="00EF42E7"/>
    <w:rsid w:val="00EF46DE"/>
    <w:rsid w:val="00EF64AC"/>
    <w:rsid w:val="00EF6FC3"/>
    <w:rsid w:val="00EF78DC"/>
    <w:rsid w:val="00F000AD"/>
    <w:rsid w:val="00F00147"/>
    <w:rsid w:val="00F016A9"/>
    <w:rsid w:val="00F0191B"/>
    <w:rsid w:val="00F02344"/>
    <w:rsid w:val="00F02416"/>
    <w:rsid w:val="00F028AA"/>
    <w:rsid w:val="00F0375B"/>
    <w:rsid w:val="00F04A3E"/>
    <w:rsid w:val="00F05064"/>
    <w:rsid w:val="00F07043"/>
    <w:rsid w:val="00F102AF"/>
    <w:rsid w:val="00F11614"/>
    <w:rsid w:val="00F13624"/>
    <w:rsid w:val="00F14685"/>
    <w:rsid w:val="00F147AC"/>
    <w:rsid w:val="00F1500C"/>
    <w:rsid w:val="00F15079"/>
    <w:rsid w:val="00F171F4"/>
    <w:rsid w:val="00F1773F"/>
    <w:rsid w:val="00F20736"/>
    <w:rsid w:val="00F20B37"/>
    <w:rsid w:val="00F21628"/>
    <w:rsid w:val="00F21DF3"/>
    <w:rsid w:val="00F2313D"/>
    <w:rsid w:val="00F2461F"/>
    <w:rsid w:val="00F24CFB"/>
    <w:rsid w:val="00F252A3"/>
    <w:rsid w:val="00F26E9F"/>
    <w:rsid w:val="00F27A5F"/>
    <w:rsid w:val="00F3086B"/>
    <w:rsid w:val="00F327F0"/>
    <w:rsid w:val="00F341A7"/>
    <w:rsid w:val="00F3480B"/>
    <w:rsid w:val="00F34DA7"/>
    <w:rsid w:val="00F371E8"/>
    <w:rsid w:val="00F37F87"/>
    <w:rsid w:val="00F42C11"/>
    <w:rsid w:val="00F43C79"/>
    <w:rsid w:val="00F43DCA"/>
    <w:rsid w:val="00F44BBD"/>
    <w:rsid w:val="00F45B42"/>
    <w:rsid w:val="00F46E8E"/>
    <w:rsid w:val="00F507D9"/>
    <w:rsid w:val="00F50AA4"/>
    <w:rsid w:val="00F519F8"/>
    <w:rsid w:val="00F5225F"/>
    <w:rsid w:val="00F5235A"/>
    <w:rsid w:val="00F5272A"/>
    <w:rsid w:val="00F52768"/>
    <w:rsid w:val="00F554F3"/>
    <w:rsid w:val="00F55BE8"/>
    <w:rsid w:val="00F5632C"/>
    <w:rsid w:val="00F56894"/>
    <w:rsid w:val="00F570EF"/>
    <w:rsid w:val="00F60043"/>
    <w:rsid w:val="00F60924"/>
    <w:rsid w:val="00F61719"/>
    <w:rsid w:val="00F623DE"/>
    <w:rsid w:val="00F62B16"/>
    <w:rsid w:val="00F6385C"/>
    <w:rsid w:val="00F64A20"/>
    <w:rsid w:val="00F65E6A"/>
    <w:rsid w:val="00F70D8D"/>
    <w:rsid w:val="00F71EF1"/>
    <w:rsid w:val="00F72198"/>
    <w:rsid w:val="00F757B1"/>
    <w:rsid w:val="00F765BE"/>
    <w:rsid w:val="00F76D76"/>
    <w:rsid w:val="00F77F65"/>
    <w:rsid w:val="00F80D3D"/>
    <w:rsid w:val="00F81EAA"/>
    <w:rsid w:val="00F820F7"/>
    <w:rsid w:val="00F82FA7"/>
    <w:rsid w:val="00F83389"/>
    <w:rsid w:val="00F863BC"/>
    <w:rsid w:val="00F87DF0"/>
    <w:rsid w:val="00F90668"/>
    <w:rsid w:val="00F919F0"/>
    <w:rsid w:val="00F9252E"/>
    <w:rsid w:val="00F93E4C"/>
    <w:rsid w:val="00F94799"/>
    <w:rsid w:val="00F95353"/>
    <w:rsid w:val="00F957CD"/>
    <w:rsid w:val="00F957F6"/>
    <w:rsid w:val="00F95B74"/>
    <w:rsid w:val="00F96804"/>
    <w:rsid w:val="00FA061D"/>
    <w:rsid w:val="00FA088E"/>
    <w:rsid w:val="00FA0903"/>
    <w:rsid w:val="00FA12A0"/>
    <w:rsid w:val="00FA1937"/>
    <w:rsid w:val="00FA2CCE"/>
    <w:rsid w:val="00FA41A1"/>
    <w:rsid w:val="00FA498D"/>
    <w:rsid w:val="00FA55F5"/>
    <w:rsid w:val="00FA577D"/>
    <w:rsid w:val="00FA6857"/>
    <w:rsid w:val="00FA7B23"/>
    <w:rsid w:val="00FB001D"/>
    <w:rsid w:val="00FB0937"/>
    <w:rsid w:val="00FB0BC5"/>
    <w:rsid w:val="00FB0BCE"/>
    <w:rsid w:val="00FB0D7E"/>
    <w:rsid w:val="00FB1904"/>
    <w:rsid w:val="00FB21E2"/>
    <w:rsid w:val="00FB37D5"/>
    <w:rsid w:val="00FB38D4"/>
    <w:rsid w:val="00FB3918"/>
    <w:rsid w:val="00FB4B13"/>
    <w:rsid w:val="00FB579C"/>
    <w:rsid w:val="00FB5D11"/>
    <w:rsid w:val="00FB6DD0"/>
    <w:rsid w:val="00FB7C05"/>
    <w:rsid w:val="00FB7F53"/>
    <w:rsid w:val="00FC02A7"/>
    <w:rsid w:val="00FC0BE0"/>
    <w:rsid w:val="00FC1388"/>
    <w:rsid w:val="00FC155B"/>
    <w:rsid w:val="00FC1CAC"/>
    <w:rsid w:val="00FC22E5"/>
    <w:rsid w:val="00FC2B8A"/>
    <w:rsid w:val="00FC3850"/>
    <w:rsid w:val="00FC3B88"/>
    <w:rsid w:val="00FC474E"/>
    <w:rsid w:val="00FC4A35"/>
    <w:rsid w:val="00FC518B"/>
    <w:rsid w:val="00FD18BF"/>
    <w:rsid w:val="00FD1F18"/>
    <w:rsid w:val="00FD2CDF"/>
    <w:rsid w:val="00FD5B31"/>
    <w:rsid w:val="00FD6A05"/>
    <w:rsid w:val="00FE04F4"/>
    <w:rsid w:val="00FE0ED5"/>
    <w:rsid w:val="00FE1188"/>
    <w:rsid w:val="00FE1364"/>
    <w:rsid w:val="00FE1ACF"/>
    <w:rsid w:val="00FE1EDD"/>
    <w:rsid w:val="00FE2BC9"/>
    <w:rsid w:val="00FE5260"/>
    <w:rsid w:val="00FE5893"/>
    <w:rsid w:val="00FE5F0A"/>
    <w:rsid w:val="00FE7EEB"/>
    <w:rsid w:val="00FF0C03"/>
    <w:rsid w:val="00FF1DD9"/>
    <w:rsid w:val="00FF50BB"/>
    <w:rsid w:val="00FF54F1"/>
    <w:rsid w:val="00FF5F94"/>
    <w:rsid w:val="00FF61F2"/>
    <w:rsid w:val="00FF6201"/>
    <w:rsid w:val="00FF63EE"/>
    <w:rsid w:val="00FF791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7D65D"/>
  <w15:docId w15:val="{5FB0A8BB-5877-4F66-A281-8015ADB7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17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3DD"/>
    <w:rPr>
      <w:lang w:val="en-GB"/>
    </w:rPr>
  </w:style>
  <w:style w:type="paragraph" w:styleId="Footer">
    <w:name w:val="footer"/>
    <w:basedOn w:val="Normal"/>
    <w:link w:val="FooterChar"/>
    <w:uiPriority w:val="99"/>
    <w:unhideWhenUsed/>
    <w:rsid w:val="00A41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3DD"/>
    <w:rPr>
      <w:lang w:val="en-GB"/>
    </w:rPr>
  </w:style>
  <w:style w:type="paragraph" w:styleId="ListParagraph">
    <w:name w:val="List Paragraph"/>
    <w:basedOn w:val="Normal"/>
    <w:uiPriority w:val="34"/>
    <w:qFormat/>
    <w:rsid w:val="00051887"/>
    <w:pPr>
      <w:ind w:left="720"/>
      <w:contextualSpacing/>
    </w:pPr>
    <w:rPr>
      <w:rFonts w:eastAsiaTheme="minorEastAsia"/>
      <w:lang w:eastAsia="en-GB"/>
    </w:rPr>
  </w:style>
  <w:style w:type="paragraph" w:styleId="FootnoteText">
    <w:name w:val="footnote text"/>
    <w:basedOn w:val="Normal"/>
    <w:link w:val="FootnoteTextChar"/>
    <w:uiPriority w:val="99"/>
    <w:unhideWhenUsed/>
    <w:rsid w:val="00051887"/>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uiPriority w:val="99"/>
    <w:rsid w:val="00051887"/>
    <w:rPr>
      <w:rFonts w:eastAsiaTheme="minorEastAsia"/>
      <w:sz w:val="20"/>
      <w:szCs w:val="20"/>
      <w:lang w:val="en-GB" w:eastAsia="en-GB"/>
    </w:rPr>
  </w:style>
  <w:style w:type="character" w:styleId="FootnoteReference">
    <w:name w:val="footnote reference"/>
    <w:basedOn w:val="DefaultParagraphFont"/>
    <w:uiPriority w:val="99"/>
    <w:semiHidden/>
    <w:unhideWhenUsed/>
    <w:rsid w:val="00051887"/>
    <w:rPr>
      <w:vertAlign w:val="superscript"/>
    </w:rPr>
  </w:style>
  <w:style w:type="character" w:styleId="Hyperlink">
    <w:name w:val="Hyperlink"/>
    <w:basedOn w:val="DefaultParagraphFont"/>
    <w:uiPriority w:val="99"/>
    <w:unhideWhenUsed/>
    <w:rsid w:val="00051887"/>
    <w:rPr>
      <w:color w:val="0000FF" w:themeColor="hyperlink"/>
      <w:u w:val="single"/>
    </w:rPr>
  </w:style>
  <w:style w:type="paragraph" w:styleId="BalloonText">
    <w:name w:val="Balloon Text"/>
    <w:basedOn w:val="Normal"/>
    <w:link w:val="BalloonTextChar"/>
    <w:uiPriority w:val="99"/>
    <w:semiHidden/>
    <w:unhideWhenUsed/>
    <w:rsid w:val="00986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981"/>
    <w:rPr>
      <w:rFonts w:ascii="Segoe UI" w:hAnsi="Segoe UI" w:cs="Segoe UI"/>
      <w:sz w:val="18"/>
      <w:szCs w:val="18"/>
      <w:lang w:val="en-GB"/>
    </w:rPr>
  </w:style>
  <w:style w:type="character" w:styleId="CommentReference">
    <w:name w:val="annotation reference"/>
    <w:basedOn w:val="DefaultParagraphFont"/>
    <w:uiPriority w:val="99"/>
    <w:semiHidden/>
    <w:unhideWhenUsed/>
    <w:rsid w:val="004A0672"/>
    <w:rPr>
      <w:sz w:val="16"/>
      <w:szCs w:val="16"/>
    </w:rPr>
  </w:style>
  <w:style w:type="paragraph" w:styleId="CommentText">
    <w:name w:val="annotation text"/>
    <w:basedOn w:val="Normal"/>
    <w:link w:val="CommentTextChar"/>
    <w:uiPriority w:val="99"/>
    <w:semiHidden/>
    <w:unhideWhenUsed/>
    <w:rsid w:val="004A0672"/>
    <w:pPr>
      <w:spacing w:line="240" w:lineRule="auto"/>
    </w:pPr>
    <w:rPr>
      <w:sz w:val="20"/>
      <w:szCs w:val="20"/>
    </w:rPr>
  </w:style>
  <w:style w:type="character" w:customStyle="1" w:styleId="CommentTextChar">
    <w:name w:val="Comment Text Char"/>
    <w:basedOn w:val="DefaultParagraphFont"/>
    <w:link w:val="CommentText"/>
    <w:uiPriority w:val="99"/>
    <w:semiHidden/>
    <w:rsid w:val="004A0672"/>
    <w:rPr>
      <w:sz w:val="20"/>
      <w:szCs w:val="20"/>
      <w:lang w:val="en-GB"/>
    </w:rPr>
  </w:style>
  <w:style w:type="paragraph" w:styleId="CommentSubject">
    <w:name w:val="annotation subject"/>
    <w:basedOn w:val="CommentText"/>
    <w:next w:val="CommentText"/>
    <w:link w:val="CommentSubjectChar"/>
    <w:uiPriority w:val="99"/>
    <w:semiHidden/>
    <w:unhideWhenUsed/>
    <w:rsid w:val="004A0672"/>
    <w:rPr>
      <w:b/>
      <w:bCs/>
    </w:rPr>
  </w:style>
  <w:style w:type="character" w:customStyle="1" w:styleId="CommentSubjectChar">
    <w:name w:val="Comment Subject Char"/>
    <w:basedOn w:val="CommentTextChar"/>
    <w:link w:val="CommentSubject"/>
    <w:uiPriority w:val="99"/>
    <w:semiHidden/>
    <w:rsid w:val="004A0672"/>
    <w:rPr>
      <w:b/>
      <w:bCs/>
      <w:sz w:val="20"/>
      <w:szCs w:val="20"/>
      <w:lang w:val="en-GB"/>
    </w:rPr>
  </w:style>
  <w:style w:type="character" w:styleId="FollowedHyperlink">
    <w:name w:val="FollowedHyperlink"/>
    <w:basedOn w:val="DefaultParagraphFont"/>
    <w:uiPriority w:val="99"/>
    <w:semiHidden/>
    <w:unhideWhenUsed/>
    <w:rsid w:val="009161B7"/>
    <w:rPr>
      <w:color w:val="800080" w:themeColor="followedHyperlink"/>
      <w:u w:val="single"/>
    </w:rPr>
  </w:style>
  <w:style w:type="paragraph" w:styleId="PlainText">
    <w:name w:val="Plain Text"/>
    <w:basedOn w:val="Normal"/>
    <w:link w:val="PlainTextChar"/>
    <w:uiPriority w:val="99"/>
    <w:unhideWhenUsed/>
    <w:rsid w:val="0052711A"/>
    <w:pPr>
      <w:spacing w:after="0" w:line="240" w:lineRule="auto"/>
    </w:pPr>
    <w:rPr>
      <w:rFonts w:ascii="Calibri" w:eastAsiaTheme="minorEastAsia" w:hAnsi="Calibri"/>
      <w:szCs w:val="21"/>
      <w:lang w:eastAsia="en-GB"/>
    </w:rPr>
  </w:style>
  <w:style w:type="character" w:customStyle="1" w:styleId="PlainTextChar">
    <w:name w:val="Plain Text Char"/>
    <w:basedOn w:val="DefaultParagraphFont"/>
    <w:link w:val="PlainText"/>
    <w:uiPriority w:val="99"/>
    <w:rsid w:val="0052711A"/>
    <w:rPr>
      <w:rFonts w:ascii="Calibri" w:eastAsiaTheme="minorEastAsia" w:hAnsi="Calibri"/>
      <w:szCs w:val="21"/>
      <w:lang w:val="en-GB" w:eastAsia="en-GB"/>
    </w:rPr>
  </w:style>
  <w:style w:type="character" w:customStyle="1" w:styleId="UnresolvedMention1">
    <w:name w:val="Unresolved Mention1"/>
    <w:basedOn w:val="DefaultParagraphFont"/>
    <w:uiPriority w:val="99"/>
    <w:semiHidden/>
    <w:unhideWhenUsed/>
    <w:rsid w:val="001212AC"/>
    <w:rPr>
      <w:color w:val="808080"/>
      <w:shd w:val="clear" w:color="auto" w:fill="E6E6E6"/>
    </w:rPr>
  </w:style>
  <w:style w:type="paragraph" w:customStyle="1" w:styleId="Default">
    <w:name w:val="Default"/>
    <w:rsid w:val="002D5255"/>
    <w:pPr>
      <w:autoSpaceDE w:val="0"/>
      <w:autoSpaceDN w:val="0"/>
      <w:adjustRightInd w:val="0"/>
      <w:spacing w:after="0" w:line="240" w:lineRule="auto"/>
    </w:pPr>
    <w:rPr>
      <w:rFonts w:ascii="Times New Roman" w:eastAsia="Arial" w:hAnsi="Times New Roman" w:cs="Times New Roman"/>
      <w:color w:val="000000"/>
      <w:sz w:val="24"/>
      <w:szCs w:val="24"/>
    </w:rPr>
  </w:style>
  <w:style w:type="character" w:styleId="PlaceholderText">
    <w:name w:val="Placeholder Text"/>
    <w:basedOn w:val="DefaultParagraphFont"/>
    <w:uiPriority w:val="99"/>
    <w:semiHidden/>
    <w:rsid w:val="005F36DC"/>
    <w:rPr>
      <w:color w:val="808080"/>
    </w:rPr>
  </w:style>
  <w:style w:type="paragraph" w:styleId="NormalWeb">
    <w:name w:val="Normal (Web)"/>
    <w:basedOn w:val="Normal"/>
    <w:uiPriority w:val="99"/>
    <w:semiHidden/>
    <w:unhideWhenUsed/>
    <w:rsid w:val="00BB34DB"/>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styleId="Revision">
    <w:name w:val="Revision"/>
    <w:hidden/>
    <w:uiPriority w:val="99"/>
    <w:semiHidden/>
    <w:rsid w:val="00E57A18"/>
    <w:pPr>
      <w:spacing w:after="0" w:line="240" w:lineRule="auto"/>
    </w:pPr>
    <w:rPr>
      <w:lang w:val="en-GB"/>
    </w:rPr>
  </w:style>
  <w:style w:type="table" w:styleId="TableGrid">
    <w:name w:val="Table Grid"/>
    <w:basedOn w:val="TableNormal"/>
    <w:uiPriority w:val="59"/>
    <w:rsid w:val="000C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40B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0BCA"/>
    <w:rPr>
      <w:sz w:val="20"/>
      <w:szCs w:val="20"/>
      <w:lang w:val="en-GB"/>
    </w:rPr>
  </w:style>
  <w:style w:type="character" w:styleId="EndnoteReference">
    <w:name w:val="endnote reference"/>
    <w:basedOn w:val="DefaultParagraphFont"/>
    <w:uiPriority w:val="99"/>
    <w:semiHidden/>
    <w:unhideWhenUsed/>
    <w:rsid w:val="00540B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739570">
      <w:bodyDiv w:val="1"/>
      <w:marLeft w:val="0"/>
      <w:marRight w:val="0"/>
      <w:marTop w:val="0"/>
      <w:marBottom w:val="0"/>
      <w:divBdr>
        <w:top w:val="none" w:sz="0" w:space="0" w:color="auto"/>
        <w:left w:val="none" w:sz="0" w:space="0" w:color="auto"/>
        <w:bottom w:val="none" w:sz="0" w:space="0" w:color="auto"/>
        <w:right w:val="none" w:sz="0" w:space="0" w:color="auto"/>
      </w:divBdr>
      <w:divsChild>
        <w:div w:id="1149712706">
          <w:marLeft w:val="0"/>
          <w:marRight w:val="0"/>
          <w:marTop w:val="0"/>
          <w:marBottom w:val="0"/>
          <w:divBdr>
            <w:top w:val="none" w:sz="0" w:space="0" w:color="auto"/>
            <w:left w:val="none" w:sz="0" w:space="0" w:color="auto"/>
            <w:bottom w:val="none" w:sz="0" w:space="0" w:color="auto"/>
            <w:right w:val="none" w:sz="0" w:space="0" w:color="auto"/>
          </w:divBdr>
          <w:divsChild>
            <w:div w:id="1179078006">
              <w:marLeft w:val="0"/>
              <w:marRight w:val="0"/>
              <w:marTop w:val="0"/>
              <w:marBottom w:val="0"/>
              <w:divBdr>
                <w:top w:val="none" w:sz="0" w:space="0" w:color="auto"/>
                <w:left w:val="none" w:sz="0" w:space="0" w:color="auto"/>
                <w:bottom w:val="none" w:sz="0" w:space="0" w:color="auto"/>
                <w:right w:val="none" w:sz="0" w:space="0" w:color="auto"/>
              </w:divBdr>
              <w:divsChild>
                <w:div w:id="491674986">
                  <w:marLeft w:val="0"/>
                  <w:marRight w:val="0"/>
                  <w:marTop w:val="0"/>
                  <w:marBottom w:val="0"/>
                  <w:divBdr>
                    <w:top w:val="none" w:sz="0" w:space="0" w:color="auto"/>
                    <w:left w:val="none" w:sz="0" w:space="0" w:color="auto"/>
                    <w:bottom w:val="none" w:sz="0" w:space="0" w:color="auto"/>
                    <w:right w:val="none" w:sz="0" w:space="0" w:color="auto"/>
                  </w:divBdr>
                  <w:divsChild>
                    <w:div w:id="596523790">
                      <w:marLeft w:val="0"/>
                      <w:marRight w:val="0"/>
                      <w:marTop w:val="0"/>
                      <w:marBottom w:val="0"/>
                      <w:divBdr>
                        <w:top w:val="none" w:sz="0" w:space="0" w:color="auto"/>
                        <w:left w:val="none" w:sz="0" w:space="0" w:color="auto"/>
                        <w:bottom w:val="none" w:sz="0" w:space="0" w:color="auto"/>
                        <w:right w:val="none" w:sz="0" w:space="0" w:color="auto"/>
                      </w:divBdr>
                      <w:divsChild>
                        <w:div w:id="953831831">
                          <w:marLeft w:val="0"/>
                          <w:marRight w:val="5250"/>
                          <w:marTop w:val="0"/>
                          <w:marBottom w:val="0"/>
                          <w:divBdr>
                            <w:top w:val="none" w:sz="0" w:space="0" w:color="auto"/>
                            <w:left w:val="none" w:sz="0" w:space="0" w:color="auto"/>
                            <w:bottom w:val="none" w:sz="0" w:space="0" w:color="auto"/>
                            <w:right w:val="none" w:sz="0" w:space="0" w:color="auto"/>
                          </w:divBdr>
                          <w:divsChild>
                            <w:div w:id="1535655822">
                              <w:marLeft w:val="0"/>
                              <w:marRight w:val="0"/>
                              <w:marTop w:val="0"/>
                              <w:marBottom w:val="0"/>
                              <w:divBdr>
                                <w:top w:val="none" w:sz="0" w:space="0" w:color="auto"/>
                                <w:left w:val="none" w:sz="0" w:space="0" w:color="auto"/>
                                <w:bottom w:val="none" w:sz="0" w:space="0" w:color="auto"/>
                                <w:right w:val="none" w:sz="0" w:space="0" w:color="auto"/>
                              </w:divBdr>
                              <w:divsChild>
                                <w:div w:id="13589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39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Haque@hw.ac.uk" TargetMode="External"/><Relationship Id="rId13" Type="http://schemas.openxmlformats.org/officeDocument/2006/relationships/hyperlink" Target="javascript:void(0)" TargetMode="External"/><Relationship Id="rId18" Type="http://schemas.openxmlformats.org/officeDocument/2006/relationships/hyperlink" Target="https://ec.europa.eu/clima/sites/clima/files/eu_progress_report_2016_en.pdf" TargetMode="External"/><Relationship Id="rId3" Type="http://schemas.openxmlformats.org/officeDocument/2006/relationships/styles" Target="styles.xml"/><Relationship Id="rId21" Type="http://schemas.openxmlformats.org/officeDocument/2006/relationships/hyperlink" Target="http://www.theguardian.com/sustainable-business/2014/aug/11/executive-compensation-bonuses-sustainability-goals-energy-water-carbon-dsm?CMP=share_btn_link" TargetMode="External"/><Relationship Id="rId7" Type="http://schemas.openxmlformats.org/officeDocument/2006/relationships/endnotes" Target="endnotes.xml"/><Relationship Id="rId12" Type="http://schemas.openxmlformats.org/officeDocument/2006/relationships/hyperlink" Target="https://www.journals.elsevier.com/the-british-accounting-review/call-for-papers/special-issue-green-accounting-and-finance" TargetMode="External"/><Relationship Id="rId17" Type="http://schemas.openxmlformats.org/officeDocument/2006/relationships/hyperlink" Target="https://ec.europa.eu/clima/sites/clima/files/docs/ets_handbook_en.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ilium.europa.eu/en/press/press-releases/2017/04/03-shareholder-rights-eu-companies/" TargetMode="External"/><Relationship Id="rId20" Type="http://schemas.openxmlformats.org/officeDocument/2006/relationships/hyperlink" Target="http://www.newsweek.com/corporations-are-going-green-linking-executive-pay-energy-and-emissions-3387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rposeofcorporation.org/documents/briefing-shareholder-rights-directive.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clima/sites/clima/files/eu_climate_policy_explained_en.pdf" TargetMode="External"/><Relationship Id="rId23"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hyperlink" Target="https://www.bonddata.org/" TargetMode="External"/><Relationship Id="rId4" Type="http://schemas.openxmlformats.org/officeDocument/2006/relationships/settings" Target="settings.xml"/><Relationship Id="rId9" Type="http://schemas.openxmlformats.org/officeDocument/2006/relationships/hyperlink" Target="mailto:c.g.ntim@soton.ac.uk" TargetMode="External"/><Relationship Id="rId14" Type="http://schemas.openxmlformats.org/officeDocument/2006/relationships/hyperlink" Target="https://www.climatebonds.net/abou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4BC5E4-3156-4DDA-B42C-0C374810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12194</Words>
  <Characters>76405</Characters>
  <Application>Microsoft Office Word</Application>
  <DocSecurity>0</DocSecurity>
  <Lines>636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faizul pc</dc:creator>
  <cp:lastModifiedBy>Ntim C.G.</cp:lastModifiedBy>
  <cp:revision>3</cp:revision>
  <cp:lastPrinted>2017-12-03T11:49:00Z</cp:lastPrinted>
  <dcterms:created xsi:type="dcterms:W3CDTF">2020-01-01T19:16:00Z</dcterms:created>
  <dcterms:modified xsi:type="dcterms:W3CDTF">2020-01-01T19:19:00Z</dcterms:modified>
</cp:coreProperties>
</file>