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7E0" w:rsidRPr="00E2535D" w:rsidRDefault="002147E0" w:rsidP="002147E0">
      <w:pPr>
        <w:spacing w:line="480" w:lineRule="auto"/>
        <w:jc w:val="both"/>
        <w:rPr>
          <w:rFonts w:ascii="Arial" w:hAnsi="Arial" w:cs="Arial"/>
          <w:sz w:val="28"/>
          <w:szCs w:val="24"/>
        </w:rPr>
      </w:pPr>
      <w:r w:rsidRPr="00E2535D">
        <w:rPr>
          <w:rFonts w:ascii="Arial" w:hAnsi="Arial" w:cs="Arial"/>
          <w:sz w:val="28"/>
          <w:szCs w:val="24"/>
        </w:rPr>
        <w:t xml:space="preserve">Children and young people with inflammatory bowel disease attend less school than their healthy peers  </w:t>
      </w:r>
    </w:p>
    <w:p w:rsidR="002147E0" w:rsidRPr="001C6026" w:rsidRDefault="002147E0" w:rsidP="002147E0">
      <w:pPr>
        <w:spacing w:line="480" w:lineRule="auto"/>
        <w:jc w:val="both"/>
        <w:rPr>
          <w:rFonts w:ascii="Arial" w:hAnsi="Arial" w:cs="Arial"/>
          <w:sz w:val="24"/>
          <w:szCs w:val="24"/>
          <w:vertAlign w:val="superscript"/>
        </w:rPr>
      </w:pPr>
      <w:r w:rsidRPr="001C6026">
        <w:rPr>
          <w:rFonts w:ascii="Arial" w:hAnsi="Arial" w:cs="Arial"/>
          <w:sz w:val="24"/>
          <w:szCs w:val="24"/>
        </w:rPr>
        <w:t>CL</w:t>
      </w:r>
      <w:r>
        <w:rPr>
          <w:rFonts w:ascii="Arial" w:hAnsi="Arial" w:cs="Arial"/>
          <w:sz w:val="24"/>
          <w:szCs w:val="24"/>
        </w:rPr>
        <w:t xml:space="preserve"> Barnes</w:t>
      </w:r>
      <w:r w:rsidRPr="001C6026">
        <w:rPr>
          <w:rFonts w:ascii="Arial" w:hAnsi="Arial" w:cs="Arial"/>
          <w:sz w:val="24"/>
          <w:szCs w:val="24"/>
          <w:vertAlign w:val="superscript"/>
        </w:rPr>
        <w:t>1</w:t>
      </w:r>
      <w:r>
        <w:rPr>
          <w:rFonts w:ascii="Arial" w:hAnsi="Arial" w:cs="Arial"/>
          <w:sz w:val="24"/>
          <w:szCs w:val="24"/>
        </w:rPr>
        <w:t>, JJ Ashton</w:t>
      </w:r>
      <w:r w:rsidRPr="001C6026">
        <w:rPr>
          <w:rFonts w:ascii="Arial" w:hAnsi="Arial" w:cs="Arial"/>
          <w:sz w:val="24"/>
          <w:szCs w:val="24"/>
          <w:vertAlign w:val="superscript"/>
        </w:rPr>
        <w:t>1,2</w:t>
      </w:r>
      <w:r>
        <w:rPr>
          <w:rFonts w:ascii="Arial" w:hAnsi="Arial" w:cs="Arial"/>
          <w:sz w:val="24"/>
          <w:szCs w:val="24"/>
        </w:rPr>
        <w:t>, F Borca</w:t>
      </w:r>
      <w:r w:rsidRPr="001C6026">
        <w:rPr>
          <w:rFonts w:ascii="Arial" w:hAnsi="Arial" w:cs="Arial"/>
          <w:sz w:val="24"/>
          <w:szCs w:val="24"/>
          <w:vertAlign w:val="superscript"/>
        </w:rPr>
        <w:t>3</w:t>
      </w:r>
      <w:r>
        <w:rPr>
          <w:rFonts w:ascii="Arial" w:hAnsi="Arial" w:cs="Arial"/>
          <w:sz w:val="24"/>
          <w:szCs w:val="24"/>
        </w:rPr>
        <w:t>, M Cullen</w:t>
      </w:r>
      <w:r w:rsidRPr="001C6026">
        <w:rPr>
          <w:rFonts w:ascii="Arial" w:hAnsi="Arial" w:cs="Arial"/>
          <w:sz w:val="24"/>
          <w:szCs w:val="24"/>
          <w:vertAlign w:val="superscript"/>
        </w:rPr>
        <w:t>1</w:t>
      </w:r>
      <w:r w:rsidRPr="001C6026">
        <w:rPr>
          <w:rFonts w:ascii="Arial" w:hAnsi="Arial" w:cs="Arial"/>
          <w:sz w:val="24"/>
          <w:szCs w:val="24"/>
        </w:rPr>
        <w:t xml:space="preserve">, </w:t>
      </w:r>
      <w:r w:rsidRPr="000A3C6F">
        <w:rPr>
          <w:rFonts w:ascii="Arial" w:hAnsi="Arial" w:cs="Arial"/>
          <w:sz w:val="24"/>
          <w:szCs w:val="24"/>
        </w:rPr>
        <w:t>D-M Walker</w:t>
      </w:r>
      <w:r w:rsidRPr="000A3C6F">
        <w:rPr>
          <w:rFonts w:ascii="Arial" w:hAnsi="Arial" w:cs="Arial"/>
          <w:sz w:val="24"/>
          <w:szCs w:val="24"/>
          <w:vertAlign w:val="superscript"/>
        </w:rPr>
        <w:t>4</w:t>
      </w:r>
      <w:r>
        <w:rPr>
          <w:rFonts w:ascii="Arial" w:hAnsi="Arial" w:cs="Arial"/>
          <w:sz w:val="24"/>
          <w:szCs w:val="24"/>
        </w:rPr>
        <w:t>,</w:t>
      </w:r>
      <w:r w:rsidRPr="001C6026">
        <w:rPr>
          <w:rFonts w:ascii="Arial" w:hAnsi="Arial" w:cs="Arial"/>
          <w:sz w:val="24"/>
          <w:szCs w:val="24"/>
        </w:rPr>
        <w:t xml:space="preserve"> and </w:t>
      </w:r>
      <w:r>
        <w:rPr>
          <w:rFonts w:ascii="Arial" w:hAnsi="Arial" w:cs="Arial"/>
          <w:sz w:val="24"/>
          <w:szCs w:val="24"/>
        </w:rPr>
        <w:t>RM Beattie</w:t>
      </w:r>
      <w:r>
        <w:rPr>
          <w:rFonts w:ascii="Arial" w:hAnsi="Arial" w:cs="Arial"/>
          <w:sz w:val="24"/>
          <w:szCs w:val="24"/>
          <w:vertAlign w:val="superscript"/>
        </w:rPr>
        <w:t>1</w:t>
      </w:r>
    </w:p>
    <w:p w:rsidR="002147E0" w:rsidRPr="001C6026" w:rsidRDefault="002147E0" w:rsidP="002147E0">
      <w:pPr>
        <w:numPr>
          <w:ilvl w:val="0"/>
          <w:numId w:val="2"/>
        </w:numPr>
        <w:spacing w:line="480" w:lineRule="auto"/>
        <w:jc w:val="both"/>
        <w:rPr>
          <w:rFonts w:ascii="Arial" w:hAnsi="Arial" w:cs="Arial"/>
          <w:sz w:val="24"/>
          <w:szCs w:val="24"/>
        </w:rPr>
      </w:pPr>
      <w:r w:rsidRPr="001C6026">
        <w:rPr>
          <w:rFonts w:ascii="Arial" w:hAnsi="Arial" w:cs="Arial"/>
          <w:sz w:val="24"/>
          <w:szCs w:val="24"/>
        </w:rPr>
        <w:t xml:space="preserve">Department of Paediatric Gastroenterology, Southampton Children’s Hospital, Southampton, UK </w:t>
      </w:r>
    </w:p>
    <w:p w:rsidR="002147E0" w:rsidRPr="001C6026" w:rsidRDefault="002147E0" w:rsidP="002147E0">
      <w:pPr>
        <w:numPr>
          <w:ilvl w:val="0"/>
          <w:numId w:val="2"/>
        </w:numPr>
        <w:spacing w:line="480" w:lineRule="auto"/>
        <w:jc w:val="both"/>
        <w:rPr>
          <w:rFonts w:ascii="Arial" w:hAnsi="Arial" w:cs="Arial"/>
          <w:sz w:val="24"/>
          <w:szCs w:val="24"/>
        </w:rPr>
      </w:pPr>
      <w:r w:rsidRPr="001C6026">
        <w:rPr>
          <w:rFonts w:ascii="Arial" w:hAnsi="Arial" w:cs="Arial"/>
          <w:sz w:val="24"/>
          <w:szCs w:val="24"/>
        </w:rPr>
        <w:t>Department of Human Genetics and Genomic Medicine, University of Southampton, Southampton, UK</w:t>
      </w:r>
    </w:p>
    <w:p w:rsidR="002147E0" w:rsidRDefault="002147E0" w:rsidP="002147E0">
      <w:pPr>
        <w:numPr>
          <w:ilvl w:val="0"/>
          <w:numId w:val="2"/>
        </w:numPr>
        <w:spacing w:line="480" w:lineRule="auto"/>
        <w:jc w:val="both"/>
        <w:rPr>
          <w:rFonts w:ascii="Arial" w:hAnsi="Arial" w:cs="Arial"/>
          <w:sz w:val="24"/>
          <w:szCs w:val="24"/>
        </w:rPr>
      </w:pPr>
      <w:r w:rsidRPr="001C6026">
        <w:rPr>
          <w:rFonts w:ascii="Arial" w:hAnsi="Arial" w:cs="Arial"/>
          <w:sz w:val="24"/>
          <w:szCs w:val="24"/>
        </w:rPr>
        <w:t xml:space="preserve">NIHR Southampton Biomedical Research Centre, University Hospital Southampton, Southampton, </w:t>
      </w:r>
      <w:r>
        <w:rPr>
          <w:rFonts w:ascii="Arial" w:hAnsi="Arial" w:cs="Arial"/>
          <w:sz w:val="24"/>
          <w:szCs w:val="24"/>
        </w:rPr>
        <w:t>UK</w:t>
      </w:r>
    </w:p>
    <w:p w:rsidR="002147E0" w:rsidRDefault="002147E0" w:rsidP="002147E0">
      <w:pPr>
        <w:numPr>
          <w:ilvl w:val="0"/>
          <w:numId w:val="2"/>
        </w:numPr>
        <w:spacing w:line="480" w:lineRule="auto"/>
        <w:jc w:val="both"/>
        <w:rPr>
          <w:rFonts w:ascii="Arial" w:hAnsi="Arial" w:cs="Arial"/>
          <w:sz w:val="24"/>
          <w:szCs w:val="24"/>
        </w:rPr>
      </w:pPr>
      <w:r>
        <w:rPr>
          <w:rFonts w:ascii="Arial" w:hAnsi="Arial" w:cs="Arial"/>
          <w:sz w:val="24"/>
          <w:szCs w:val="24"/>
        </w:rPr>
        <w:t>Health Sciences, University of Southampton, UK</w:t>
      </w:r>
    </w:p>
    <w:p w:rsidR="00A15913" w:rsidRPr="00A15913" w:rsidRDefault="00A15913" w:rsidP="00A15913">
      <w:pPr>
        <w:spacing w:line="480" w:lineRule="auto"/>
        <w:jc w:val="both"/>
        <w:rPr>
          <w:rFonts w:ascii="Arial" w:hAnsi="Arial" w:cs="Arial"/>
          <w:sz w:val="24"/>
          <w:szCs w:val="24"/>
        </w:rPr>
      </w:pPr>
      <w:r w:rsidRPr="00A15913">
        <w:rPr>
          <w:rFonts w:ascii="Arial" w:hAnsi="Arial" w:cs="Arial"/>
          <w:sz w:val="24"/>
          <w:szCs w:val="24"/>
        </w:rPr>
        <w:t>Correspondence to</w:t>
      </w:r>
    </w:p>
    <w:p w:rsidR="00A15913" w:rsidRPr="00A15913" w:rsidRDefault="00A15913" w:rsidP="00A15913">
      <w:pPr>
        <w:spacing w:line="480" w:lineRule="auto"/>
        <w:jc w:val="both"/>
        <w:rPr>
          <w:rFonts w:ascii="Arial" w:hAnsi="Arial" w:cs="Arial"/>
          <w:sz w:val="24"/>
          <w:szCs w:val="24"/>
        </w:rPr>
      </w:pPr>
      <w:r w:rsidRPr="00A15913">
        <w:rPr>
          <w:rFonts w:ascii="Arial" w:hAnsi="Arial" w:cs="Arial"/>
          <w:sz w:val="24"/>
          <w:szCs w:val="24"/>
        </w:rPr>
        <w:t xml:space="preserve">Professor R Mark Beattie, </w:t>
      </w:r>
    </w:p>
    <w:p w:rsidR="00A15913" w:rsidRPr="00A15913" w:rsidRDefault="00A15913" w:rsidP="00A15913">
      <w:pPr>
        <w:spacing w:line="480" w:lineRule="auto"/>
        <w:jc w:val="both"/>
        <w:rPr>
          <w:rFonts w:ascii="Arial" w:hAnsi="Arial" w:cs="Arial"/>
          <w:sz w:val="24"/>
          <w:szCs w:val="24"/>
        </w:rPr>
      </w:pPr>
      <w:r w:rsidRPr="00A15913">
        <w:rPr>
          <w:rFonts w:ascii="Arial" w:hAnsi="Arial" w:cs="Arial"/>
          <w:sz w:val="24"/>
          <w:szCs w:val="24"/>
        </w:rPr>
        <w:t xml:space="preserve">Department of Paediatric Gastroenterology, </w:t>
      </w:r>
    </w:p>
    <w:p w:rsidR="00A15913" w:rsidRPr="00A15913" w:rsidRDefault="00A15913" w:rsidP="00A15913">
      <w:pPr>
        <w:spacing w:line="480" w:lineRule="auto"/>
        <w:jc w:val="both"/>
        <w:rPr>
          <w:rFonts w:ascii="Arial" w:hAnsi="Arial" w:cs="Arial"/>
          <w:sz w:val="24"/>
          <w:szCs w:val="24"/>
        </w:rPr>
      </w:pPr>
      <w:r w:rsidRPr="00A15913">
        <w:rPr>
          <w:rFonts w:ascii="Arial" w:hAnsi="Arial" w:cs="Arial"/>
          <w:sz w:val="24"/>
          <w:szCs w:val="24"/>
        </w:rPr>
        <w:t>Southampton Children’s Hospital</w:t>
      </w:r>
    </w:p>
    <w:p w:rsidR="00A15913" w:rsidRPr="00A15913" w:rsidRDefault="00A15913" w:rsidP="00A15913">
      <w:pPr>
        <w:spacing w:line="480" w:lineRule="auto"/>
        <w:jc w:val="both"/>
        <w:rPr>
          <w:rFonts w:ascii="Arial" w:hAnsi="Arial" w:cs="Arial"/>
          <w:sz w:val="24"/>
          <w:szCs w:val="24"/>
        </w:rPr>
      </w:pPr>
      <w:proofErr w:type="spellStart"/>
      <w:r w:rsidRPr="00A15913">
        <w:rPr>
          <w:rFonts w:ascii="Arial" w:hAnsi="Arial" w:cs="Arial"/>
          <w:sz w:val="24"/>
          <w:szCs w:val="24"/>
        </w:rPr>
        <w:t>Tremona</w:t>
      </w:r>
      <w:proofErr w:type="spellEnd"/>
      <w:r w:rsidRPr="00A15913">
        <w:rPr>
          <w:rFonts w:ascii="Arial" w:hAnsi="Arial" w:cs="Arial"/>
          <w:sz w:val="24"/>
          <w:szCs w:val="24"/>
        </w:rPr>
        <w:t xml:space="preserve"> road, </w:t>
      </w:r>
    </w:p>
    <w:p w:rsidR="00A15913" w:rsidRPr="00A15913" w:rsidRDefault="00A15913" w:rsidP="00A15913">
      <w:pPr>
        <w:spacing w:line="480" w:lineRule="auto"/>
        <w:jc w:val="both"/>
        <w:rPr>
          <w:rFonts w:ascii="Arial" w:hAnsi="Arial" w:cs="Arial"/>
          <w:sz w:val="24"/>
          <w:szCs w:val="24"/>
        </w:rPr>
      </w:pPr>
      <w:r w:rsidRPr="00A15913">
        <w:rPr>
          <w:rFonts w:ascii="Arial" w:hAnsi="Arial" w:cs="Arial"/>
          <w:sz w:val="24"/>
          <w:szCs w:val="24"/>
        </w:rPr>
        <w:t>Southampton,</w:t>
      </w:r>
    </w:p>
    <w:p w:rsidR="00A15913" w:rsidRPr="00A15913" w:rsidRDefault="00A15913" w:rsidP="00A15913">
      <w:pPr>
        <w:spacing w:line="480" w:lineRule="auto"/>
        <w:jc w:val="both"/>
        <w:rPr>
          <w:rFonts w:ascii="Arial" w:hAnsi="Arial" w:cs="Arial"/>
          <w:sz w:val="24"/>
          <w:szCs w:val="24"/>
        </w:rPr>
      </w:pPr>
      <w:r w:rsidRPr="00A15913">
        <w:rPr>
          <w:rFonts w:ascii="Arial" w:hAnsi="Arial" w:cs="Arial"/>
          <w:sz w:val="24"/>
          <w:szCs w:val="24"/>
        </w:rPr>
        <w:t xml:space="preserve">SO16 6YD, </w:t>
      </w:r>
    </w:p>
    <w:p w:rsidR="00A15913" w:rsidRPr="00A15913" w:rsidRDefault="00A15913" w:rsidP="00A15913">
      <w:pPr>
        <w:spacing w:line="480" w:lineRule="auto"/>
        <w:jc w:val="both"/>
        <w:rPr>
          <w:rFonts w:ascii="Arial" w:hAnsi="Arial" w:cs="Arial"/>
          <w:sz w:val="24"/>
          <w:szCs w:val="24"/>
        </w:rPr>
      </w:pPr>
      <w:r w:rsidRPr="00A15913">
        <w:rPr>
          <w:rFonts w:ascii="Arial" w:hAnsi="Arial" w:cs="Arial"/>
          <w:sz w:val="24"/>
          <w:szCs w:val="24"/>
        </w:rPr>
        <w:t>UK</w:t>
      </w:r>
    </w:p>
    <w:p w:rsidR="000710EA" w:rsidRDefault="00A15913" w:rsidP="00A15913">
      <w:pPr>
        <w:spacing w:line="480" w:lineRule="auto"/>
        <w:jc w:val="both"/>
        <w:rPr>
          <w:rFonts w:ascii="Arial" w:hAnsi="Arial" w:cs="Arial"/>
          <w:sz w:val="24"/>
          <w:szCs w:val="24"/>
        </w:rPr>
      </w:pPr>
      <w:r w:rsidRPr="00A15913">
        <w:rPr>
          <w:rFonts w:ascii="Arial" w:hAnsi="Arial" w:cs="Arial"/>
          <w:sz w:val="24"/>
          <w:szCs w:val="24"/>
        </w:rPr>
        <w:t>Mark.beattie@uhs.nhs.uk</w:t>
      </w:r>
    </w:p>
    <w:p w:rsidR="000710EA" w:rsidRDefault="000710EA" w:rsidP="002147E0">
      <w:pPr>
        <w:spacing w:line="480" w:lineRule="auto"/>
        <w:jc w:val="both"/>
        <w:rPr>
          <w:rFonts w:ascii="Arial" w:hAnsi="Arial" w:cs="Arial"/>
          <w:sz w:val="24"/>
          <w:szCs w:val="24"/>
        </w:rPr>
      </w:pPr>
      <w:r>
        <w:rPr>
          <w:rFonts w:ascii="Arial" w:hAnsi="Arial" w:cs="Arial"/>
          <w:sz w:val="24"/>
          <w:szCs w:val="24"/>
        </w:rPr>
        <w:t>Word count- 2961</w:t>
      </w:r>
    </w:p>
    <w:p w:rsidR="002147E0" w:rsidRDefault="002147E0" w:rsidP="002147E0">
      <w:pPr>
        <w:spacing w:line="480" w:lineRule="auto"/>
        <w:jc w:val="both"/>
        <w:rPr>
          <w:rFonts w:ascii="Arial" w:hAnsi="Arial" w:cs="Arial"/>
          <w:sz w:val="24"/>
          <w:szCs w:val="24"/>
        </w:rPr>
      </w:pPr>
      <w:r>
        <w:rPr>
          <w:rFonts w:ascii="Arial" w:hAnsi="Arial" w:cs="Arial"/>
          <w:sz w:val="24"/>
          <w:szCs w:val="24"/>
        </w:rPr>
        <w:lastRenderedPageBreak/>
        <w:t>Key words- School, education, inflammatory bowel disease, paediatric, chronic illness</w:t>
      </w:r>
    </w:p>
    <w:p w:rsidR="000710EA" w:rsidRDefault="000710EA" w:rsidP="000710EA">
      <w:pPr>
        <w:spacing w:line="480" w:lineRule="auto"/>
        <w:jc w:val="both"/>
        <w:rPr>
          <w:rFonts w:ascii="Arial" w:hAnsi="Arial" w:cs="Arial"/>
          <w:sz w:val="24"/>
          <w:szCs w:val="24"/>
          <w:u w:val="single"/>
        </w:rPr>
      </w:pPr>
      <w:r>
        <w:rPr>
          <w:rFonts w:ascii="Arial" w:hAnsi="Arial" w:cs="Arial"/>
          <w:sz w:val="24"/>
          <w:szCs w:val="24"/>
          <w:u w:val="single"/>
        </w:rPr>
        <w:t>Funding statement</w:t>
      </w:r>
    </w:p>
    <w:p w:rsidR="000710EA" w:rsidRPr="000710EA" w:rsidRDefault="000710EA" w:rsidP="000710EA">
      <w:pPr>
        <w:spacing w:line="480" w:lineRule="auto"/>
        <w:jc w:val="both"/>
        <w:rPr>
          <w:rFonts w:ascii="Arial" w:hAnsi="Arial" w:cs="Arial"/>
          <w:sz w:val="24"/>
          <w:szCs w:val="24"/>
        </w:rPr>
      </w:pPr>
      <w:r>
        <w:rPr>
          <w:rFonts w:ascii="Arial" w:hAnsi="Arial" w:cs="Arial"/>
          <w:sz w:val="24"/>
          <w:szCs w:val="24"/>
        </w:rPr>
        <w:t>T</w:t>
      </w:r>
      <w:r w:rsidRPr="000710EA">
        <w:rPr>
          <w:rFonts w:ascii="Arial" w:hAnsi="Arial" w:cs="Arial"/>
          <w:sz w:val="24"/>
          <w:szCs w:val="24"/>
        </w:rPr>
        <w:t>his research received no specific grant from any funding agency in the public, commercial or not-for-profit sectors</w:t>
      </w:r>
      <w:r>
        <w:rPr>
          <w:rFonts w:ascii="Arial" w:hAnsi="Arial" w:cs="Arial"/>
          <w:sz w:val="24"/>
          <w:szCs w:val="24"/>
        </w:rPr>
        <w:t xml:space="preserve">. JJA is funded by an Action Medical Research Clinical fellowship and by a personal ESPEN fellowship. </w:t>
      </w:r>
    </w:p>
    <w:p w:rsidR="000710EA" w:rsidRDefault="000710EA" w:rsidP="000710EA">
      <w:pPr>
        <w:spacing w:line="480" w:lineRule="auto"/>
        <w:jc w:val="both"/>
        <w:rPr>
          <w:rFonts w:ascii="Arial" w:hAnsi="Arial" w:cs="Arial"/>
          <w:sz w:val="24"/>
          <w:szCs w:val="24"/>
          <w:u w:val="single"/>
        </w:rPr>
      </w:pPr>
      <w:r w:rsidRPr="001C6026">
        <w:rPr>
          <w:rFonts w:ascii="Arial" w:hAnsi="Arial" w:cs="Arial"/>
          <w:sz w:val="24"/>
          <w:szCs w:val="24"/>
          <w:u w:val="single"/>
        </w:rPr>
        <w:t>Contributorship statement</w:t>
      </w:r>
    </w:p>
    <w:p w:rsidR="000710EA" w:rsidRPr="001C6026" w:rsidRDefault="000710EA" w:rsidP="000710EA">
      <w:pPr>
        <w:spacing w:line="480" w:lineRule="auto"/>
        <w:jc w:val="both"/>
        <w:rPr>
          <w:rFonts w:ascii="Arial" w:hAnsi="Arial" w:cs="Arial"/>
          <w:sz w:val="24"/>
          <w:szCs w:val="24"/>
        </w:rPr>
      </w:pPr>
      <w:r>
        <w:rPr>
          <w:rFonts w:ascii="Arial" w:hAnsi="Arial" w:cs="Arial"/>
          <w:sz w:val="24"/>
          <w:szCs w:val="24"/>
        </w:rPr>
        <w:t>CB, JJA and RMB conceived the study. The study was designed by CB, JJA, DMW and RMB. Data were collected by CB with help from JJA, FB and MC. Data were analysed by CB and JJA. CB wrote the manuscript with help from all authors. All authors approved the final version prior to submission</w:t>
      </w:r>
    </w:p>
    <w:p w:rsidR="000710EA" w:rsidRDefault="000710EA" w:rsidP="000710EA">
      <w:pPr>
        <w:spacing w:line="480" w:lineRule="auto"/>
        <w:jc w:val="both"/>
        <w:rPr>
          <w:rFonts w:ascii="Arial" w:hAnsi="Arial" w:cs="Arial"/>
          <w:sz w:val="24"/>
          <w:szCs w:val="24"/>
          <w:u w:val="single"/>
        </w:rPr>
      </w:pPr>
      <w:r w:rsidRPr="001C6026">
        <w:rPr>
          <w:rFonts w:ascii="Arial" w:hAnsi="Arial" w:cs="Arial"/>
          <w:sz w:val="24"/>
          <w:szCs w:val="24"/>
          <w:u w:val="single"/>
        </w:rPr>
        <w:t>Conflicts of interest</w:t>
      </w:r>
    </w:p>
    <w:p w:rsidR="000710EA" w:rsidRPr="00095A43" w:rsidRDefault="000710EA" w:rsidP="000710EA">
      <w:pPr>
        <w:spacing w:line="480" w:lineRule="auto"/>
        <w:jc w:val="both"/>
        <w:rPr>
          <w:rFonts w:ascii="Arial" w:hAnsi="Arial" w:cs="Arial"/>
          <w:sz w:val="24"/>
          <w:szCs w:val="24"/>
        </w:rPr>
      </w:pPr>
      <w:r>
        <w:rPr>
          <w:rFonts w:ascii="Arial" w:hAnsi="Arial" w:cs="Arial"/>
          <w:sz w:val="24"/>
          <w:szCs w:val="24"/>
        </w:rPr>
        <w:t xml:space="preserve">The authors have no conflicts of interest to declare. </w:t>
      </w:r>
    </w:p>
    <w:p w:rsidR="000710EA" w:rsidRPr="001C6026" w:rsidRDefault="000710EA" w:rsidP="000710EA">
      <w:pPr>
        <w:spacing w:line="480" w:lineRule="auto"/>
        <w:jc w:val="both"/>
        <w:rPr>
          <w:rFonts w:ascii="Arial" w:hAnsi="Arial" w:cs="Arial"/>
          <w:sz w:val="24"/>
          <w:szCs w:val="24"/>
          <w:u w:val="single"/>
        </w:rPr>
      </w:pPr>
      <w:r w:rsidRPr="001C6026">
        <w:rPr>
          <w:rFonts w:ascii="Arial" w:hAnsi="Arial" w:cs="Arial"/>
          <w:sz w:val="24"/>
          <w:szCs w:val="24"/>
          <w:u w:val="single"/>
        </w:rPr>
        <w:t>Data sharing</w:t>
      </w:r>
    </w:p>
    <w:p w:rsidR="000710EA" w:rsidRDefault="000710EA" w:rsidP="000710EA">
      <w:pPr>
        <w:spacing w:line="480" w:lineRule="auto"/>
        <w:jc w:val="both"/>
        <w:rPr>
          <w:rFonts w:ascii="Arial" w:hAnsi="Arial" w:cs="Arial"/>
          <w:sz w:val="24"/>
          <w:szCs w:val="24"/>
        </w:rPr>
      </w:pPr>
      <w:r w:rsidRPr="001C6026">
        <w:rPr>
          <w:rFonts w:ascii="Arial" w:hAnsi="Arial" w:cs="Arial"/>
          <w:sz w:val="24"/>
          <w:szCs w:val="24"/>
        </w:rPr>
        <w:t xml:space="preserve">All data relevant to the study are included in the article or uploaded as supplementary information </w:t>
      </w:r>
    </w:p>
    <w:p w:rsidR="000710EA" w:rsidRDefault="000710EA" w:rsidP="002147E0">
      <w:pPr>
        <w:spacing w:line="360" w:lineRule="auto"/>
        <w:jc w:val="both"/>
        <w:rPr>
          <w:rFonts w:ascii="Arial" w:hAnsi="Arial" w:cs="Arial"/>
          <w:b/>
          <w:sz w:val="24"/>
          <w:szCs w:val="24"/>
          <w:u w:val="single"/>
        </w:rPr>
      </w:pPr>
    </w:p>
    <w:p w:rsidR="000710EA" w:rsidRDefault="000710EA" w:rsidP="002147E0">
      <w:pPr>
        <w:spacing w:line="360" w:lineRule="auto"/>
        <w:jc w:val="both"/>
        <w:rPr>
          <w:rFonts w:ascii="Arial" w:hAnsi="Arial" w:cs="Arial"/>
          <w:b/>
          <w:sz w:val="24"/>
          <w:szCs w:val="24"/>
          <w:u w:val="single"/>
        </w:rPr>
      </w:pPr>
    </w:p>
    <w:p w:rsidR="000710EA" w:rsidRDefault="000710EA" w:rsidP="002147E0">
      <w:pPr>
        <w:spacing w:line="360" w:lineRule="auto"/>
        <w:jc w:val="both"/>
        <w:rPr>
          <w:rFonts w:ascii="Arial" w:hAnsi="Arial" w:cs="Arial"/>
          <w:b/>
          <w:sz w:val="24"/>
          <w:szCs w:val="24"/>
          <w:u w:val="single"/>
        </w:rPr>
      </w:pPr>
    </w:p>
    <w:p w:rsidR="000710EA" w:rsidRDefault="000710EA" w:rsidP="002147E0">
      <w:pPr>
        <w:spacing w:line="360" w:lineRule="auto"/>
        <w:jc w:val="both"/>
        <w:rPr>
          <w:rFonts w:ascii="Arial" w:hAnsi="Arial" w:cs="Arial"/>
          <w:b/>
          <w:sz w:val="24"/>
          <w:szCs w:val="24"/>
          <w:u w:val="single"/>
        </w:rPr>
      </w:pPr>
    </w:p>
    <w:p w:rsidR="000710EA" w:rsidRDefault="000710EA" w:rsidP="002147E0">
      <w:pPr>
        <w:spacing w:line="360" w:lineRule="auto"/>
        <w:jc w:val="both"/>
        <w:rPr>
          <w:rFonts w:ascii="Arial" w:hAnsi="Arial" w:cs="Arial"/>
          <w:b/>
          <w:sz w:val="24"/>
          <w:szCs w:val="24"/>
          <w:u w:val="single"/>
        </w:rPr>
      </w:pPr>
    </w:p>
    <w:p w:rsidR="000710EA" w:rsidRDefault="000710EA" w:rsidP="002147E0">
      <w:pPr>
        <w:spacing w:line="360" w:lineRule="auto"/>
        <w:jc w:val="both"/>
        <w:rPr>
          <w:rFonts w:ascii="Arial" w:hAnsi="Arial" w:cs="Arial"/>
          <w:b/>
          <w:sz w:val="24"/>
          <w:szCs w:val="24"/>
          <w:u w:val="single"/>
        </w:rPr>
      </w:pPr>
    </w:p>
    <w:p w:rsidR="000710EA" w:rsidRDefault="000710EA" w:rsidP="002147E0">
      <w:pPr>
        <w:spacing w:line="360" w:lineRule="auto"/>
        <w:jc w:val="both"/>
        <w:rPr>
          <w:rFonts w:ascii="Arial" w:hAnsi="Arial" w:cs="Arial"/>
          <w:b/>
          <w:sz w:val="24"/>
          <w:szCs w:val="24"/>
          <w:u w:val="single"/>
        </w:rPr>
      </w:pPr>
    </w:p>
    <w:p w:rsidR="002147E0" w:rsidRPr="00D42D05" w:rsidRDefault="002147E0" w:rsidP="002147E0">
      <w:pPr>
        <w:spacing w:line="360" w:lineRule="auto"/>
        <w:jc w:val="both"/>
        <w:rPr>
          <w:rFonts w:ascii="Arial" w:hAnsi="Arial" w:cs="Arial"/>
          <w:b/>
          <w:sz w:val="24"/>
          <w:szCs w:val="24"/>
          <w:u w:val="single"/>
        </w:rPr>
      </w:pPr>
      <w:r w:rsidRPr="00D42D05">
        <w:rPr>
          <w:rFonts w:ascii="Arial" w:hAnsi="Arial" w:cs="Arial"/>
          <w:b/>
          <w:sz w:val="24"/>
          <w:szCs w:val="24"/>
          <w:u w:val="single"/>
        </w:rPr>
        <w:lastRenderedPageBreak/>
        <w:t>Abstract</w:t>
      </w:r>
    </w:p>
    <w:p w:rsidR="002147E0" w:rsidRPr="00A72606" w:rsidRDefault="002147E0" w:rsidP="002147E0">
      <w:pPr>
        <w:spacing w:line="480" w:lineRule="auto"/>
        <w:jc w:val="both"/>
        <w:rPr>
          <w:rFonts w:ascii="Arial" w:hAnsi="Arial" w:cs="Arial"/>
          <w:sz w:val="24"/>
          <w:szCs w:val="24"/>
        </w:rPr>
      </w:pPr>
      <w:r w:rsidRPr="00D42D05">
        <w:rPr>
          <w:rFonts w:ascii="Arial" w:hAnsi="Arial" w:cs="Arial"/>
          <w:b/>
          <w:sz w:val="24"/>
          <w:szCs w:val="24"/>
        </w:rPr>
        <w:t>Objective</w:t>
      </w:r>
      <w:r w:rsidRPr="00A72606">
        <w:rPr>
          <w:rFonts w:ascii="Arial" w:hAnsi="Arial" w:cs="Arial"/>
          <w:sz w:val="24"/>
          <w:szCs w:val="24"/>
        </w:rPr>
        <w:t xml:space="preserve">: Chronic diseases, such as inflammatory bowel disease (IBD), </w:t>
      </w:r>
      <w:r>
        <w:rPr>
          <w:rFonts w:ascii="Arial" w:hAnsi="Arial" w:cs="Arial"/>
          <w:sz w:val="24"/>
          <w:szCs w:val="24"/>
        </w:rPr>
        <w:t>can impact negatively on education and social development</w:t>
      </w:r>
      <w:r w:rsidRPr="00A72606">
        <w:rPr>
          <w:rFonts w:ascii="Arial" w:hAnsi="Arial" w:cs="Arial"/>
          <w:sz w:val="24"/>
          <w:szCs w:val="24"/>
        </w:rPr>
        <w:t xml:space="preserve">. Examining the impact of IBD on school/college attendance for children and young people (CYP) is vital to provide targeted support to patients, families and schools.   </w:t>
      </w:r>
    </w:p>
    <w:p w:rsidR="002147E0" w:rsidRDefault="002147E0" w:rsidP="002147E0">
      <w:pPr>
        <w:spacing w:line="480" w:lineRule="auto"/>
        <w:jc w:val="both"/>
        <w:rPr>
          <w:rFonts w:ascii="Arial" w:hAnsi="Arial" w:cs="Arial"/>
          <w:sz w:val="24"/>
          <w:szCs w:val="24"/>
        </w:rPr>
      </w:pPr>
      <w:r w:rsidRPr="00D42D05">
        <w:rPr>
          <w:rFonts w:ascii="Arial" w:hAnsi="Arial" w:cs="Arial"/>
          <w:b/>
          <w:sz w:val="24"/>
          <w:szCs w:val="24"/>
        </w:rPr>
        <w:t>Methods</w:t>
      </w:r>
      <w:r w:rsidRPr="00A72606">
        <w:rPr>
          <w:rFonts w:ascii="Arial" w:hAnsi="Arial" w:cs="Arial"/>
          <w:sz w:val="24"/>
          <w:szCs w:val="24"/>
        </w:rPr>
        <w:t>: We performed a cross-sectional survey to determine the school/college attendance rates, the reas</w:t>
      </w:r>
      <w:r>
        <w:rPr>
          <w:rFonts w:ascii="Arial" w:hAnsi="Arial" w:cs="Arial"/>
          <w:sz w:val="24"/>
          <w:szCs w:val="24"/>
        </w:rPr>
        <w:t xml:space="preserve">ons for absence related to IBD and </w:t>
      </w:r>
      <w:r w:rsidRPr="00A72606">
        <w:rPr>
          <w:rFonts w:ascii="Arial" w:hAnsi="Arial" w:cs="Arial"/>
          <w:sz w:val="24"/>
          <w:szCs w:val="24"/>
        </w:rPr>
        <w:t>facilitators</w:t>
      </w:r>
      <w:r>
        <w:rPr>
          <w:rFonts w:ascii="Arial" w:hAnsi="Arial" w:cs="Arial"/>
          <w:sz w:val="24"/>
          <w:szCs w:val="24"/>
        </w:rPr>
        <w:t>/</w:t>
      </w:r>
      <w:r w:rsidRPr="00A72606">
        <w:rPr>
          <w:rFonts w:ascii="Arial" w:hAnsi="Arial" w:cs="Arial"/>
          <w:sz w:val="24"/>
          <w:szCs w:val="24"/>
        </w:rPr>
        <w:t>barriers to school/college a</w:t>
      </w:r>
      <w:r>
        <w:rPr>
          <w:rFonts w:ascii="Arial" w:hAnsi="Arial" w:cs="Arial"/>
          <w:sz w:val="24"/>
          <w:szCs w:val="24"/>
        </w:rPr>
        <w:t>ttendance</w:t>
      </w:r>
      <w:r w:rsidRPr="00A72606">
        <w:rPr>
          <w:rFonts w:ascii="Arial" w:hAnsi="Arial" w:cs="Arial"/>
          <w:sz w:val="24"/>
          <w:szCs w:val="24"/>
        </w:rPr>
        <w:t>. In</w:t>
      </w:r>
      <w:r>
        <w:rPr>
          <w:rFonts w:ascii="Arial" w:hAnsi="Arial" w:cs="Arial"/>
          <w:sz w:val="24"/>
          <w:szCs w:val="24"/>
        </w:rPr>
        <w:t xml:space="preserve"> </w:t>
      </w:r>
      <w:r w:rsidRPr="00A72606">
        <w:rPr>
          <w:rFonts w:ascii="Arial" w:hAnsi="Arial" w:cs="Arial"/>
          <w:sz w:val="24"/>
          <w:szCs w:val="24"/>
        </w:rPr>
        <w:t xml:space="preserve">a </w:t>
      </w:r>
      <w:r>
        <w:rPr>
          <w:rFonts w:ascii="Arial" w:hAnsi="Arial" w:cs="Arial"/>
          <w:sz w:val="24"/>
          <w:szCs w:val="24"/>
        </w:rPr>
        <w:t xml:space="preserve">subset followed-up locally, we performed a detailed review </w:t>
      </w:r>
      <w:r w:rsidRPr="00A72606">
        <w:rPr>
          <w:rFonts w:ascii="Arial" w:hAnsi="Arial" w:cs="Arial"/>
          <w:sz w:val="24"/>
          <w:szCs w:val="24"/>
        </w:rPr>
        <w:t>of hospital</w:t>
      </w:r>
      <w:r>
        <w:rPr>
          <w:rFonts w:ascii="Arial" w:hAnsi="Arial" w:cs="Arial"/>
          <w:sz w:val="24"/>
          <w:szCs w:val="24"/>
        </w:rPr>
        <w:t xml:space="preserve"> attendance data</w:t>
      </w:r>
      <w:r w:rsidRPr="00A72606">
        <w:rPr>
          <w:rFonts w:ascii="Arial" w:hAnsi="Arial" w:cs="Arial"/>
          <w:sz w:val="24"/>
          <w:szCs w:val="24"/>
        </w:rPr>
        <w:t xml:space="preserve">, to assess </w:t>
      </w:r>
      <w:r>
        <w:rPr>
          <w:rFonts w:ascii="Arial" w:hAnsi="Arial" w:cs="Arial"/>
          <w:sz w:val="24"/>
          <w:szCs w:val="24"/>
        </w:rPr>
        <w:t xml:space="preserve">the </w:t>
      </w:r>
      <w:r w:rsidRPr="00A72606">
        <w:rPr>
          <w:rFonts w:ascii="Arial" w:hAnsi="Arial" w:cs="Arial"/>
          <w:sz w:val="24"/>
          <w:szCs w:val="24"/>
        </w:rPr>
        <w:t>healthcare burden</w:t>
      </w:r>
      <w:r>
        <w:rPr>
          <w:rFonts w:ascii="Arial" w:hAnsi="Arial" w:cs="Arial"/>
          <w:sz w:val="24"/>
          <w:szCs w:val="24"/>
        </w:rPr>
        <w:t>.</w:t>
      </w:r>
    </w:p>
    <w:p w:rsidR="002147E0" w:rsidRPr="00A72606" w:rsidRDefault="002147E0" w:rsidP="002147E0">
      <w:pPr>
        <w:spacing w:line="480" w:lineRule="auto"/>
        <w:jc w:val="both"/>
        <w:rPr>
          <w:rFonts w:ascii="Arial" w:hAnsi="Arial" w:cs="Arial"/>
          <w:sz w:val="24"/>
          <w:szCs w:val="24"/>
        </w:rPr>
      </w:pPr>
      <w:r w:rsidRPr="00D42D05">
        <w:rPr>
          <w:rFonts w:ascii="Arial" w:hAnsi="Arial" w:cs="Arial"/>
          <w:b/>
          <w:sz w:val="24"/>
          <w:szCs w:val="24"/>
        </w:rPr>
        <w:t>Results</w:t>
      </w:r>
      <w:r w:rsidRPr="00A72606">
        <w:rPr>
          <w:rFonts w:ascii="Arial" w:hAnsi="Arial" w:cs="Arial"/>
          <w:sz w:val="24"/>
          <w:szCs w:val="24"/>
        </w:rPr>
        <w:t>: Two-hundred-and-thirty-one questionnaires w</w:t>
      </w:r>
      <w:r>
        <w:rPr>
          <w:rFonts w:ascii="Arial" w:hAnsi="Arial" w:cs="Arial"/>
          <w:sz w:val="24"/>
          <w:szCs w:val="24"/>
        </w:rPr>
        <w:t>ere given to CYP with IBD aged 5</w:t>
      </w:r>
      <w:r w:rsidRPr="00A72606">
        <w:rPr>
          <w:rFonts w:ascii="Arial" w:hAnsi="Arial" w:cs="Arial"/>
          <w:sz w:val="24"/>
          <w:szCs w:val="24"/>
        </w:rPr>
        <w:t>-17 years.  Response rate was 74% (final sample</w:t>
      </w:r>
      <w:r>
        <w:rPr>
          <w:rFonts w:ascii="Arial" w:hAnsi="Arial" w:cs="Arial"/>
          <w:sz w:val="24"/>
          <w:szCs w:val="24"/>
        </w:rPr>
        <w:t xml:space="preserve"> </w:t>
      </w:r>
      <w:r w:rsidRPr="00A72606">
        <w:rPr>
          <w:rFonts w:ascii="Arial" w:hAnsi="Arial" w:cs="Arial"/>
          <w:sz w:val="24"/>
          <w:szCs w:val="24"/>
        </w:rPr>
        <w:t xml:space="preserve">169).  The median school/college attendance rate was 92.5%; significantly </w:t>
      </w:r>
      <w:r>
        <w:rPr>
          <w:rFonts w:ascii="Arial" w:hAnsi="Arial" w:cs="Arial"/>
          <w:sz w:val="24"/>
          <w:szCs w:val="24"/>
        </w:rPr>
        <w:t>lower than</w:t>
      </w:r>
      <w:r w:rsidRPr="00A72606">
        <w:rPr>
          <w:rFonts w:ascii="Arial" w:hAnsi="Arial" w:cs="Arial"/>
          <w:sz w:val="24"/>
          <w:szCs w:val="24"/>
        </w:rPr>
        <w:t xml:space="preserve"> </w:t>
      </w:r>
      <w:r>
        <w:rPr>
          <w:rFonts w:ascii="Arial" w:hAnsi="Arial" w:cs="Arial"/>
          <w:sz w:val="24"/>
          <w:szCs w:val="24"/>
        </w:rPr>
        <w:t>all children in England (95.2%). 39.6% of children with IBD were persistently absent, defined nationally as missing 10% or more of school.  Only</w:t>
      </w:r>
      <w:r w:rsidRPr="00A72606">
        <w:rPr>
          <w:rFonts w:ascii="Arial" w:hAnsi="Arial" w:cs="Arial"/>
          <w:sz w:val="24"/>
          <w:szCs w:val="24"/>
        </w:rPr>
        <w:t xml:space="preserve"> </w:t>
      </w:r>
      <w:r>
        <w:rPr>
          <w:rFonts w:ascii="Arial" w:hAnsi="Arial" w:cs="Arial"/>
          <w:sz w:val="24"/>
          <w:szCs w:val="24"/>
        </w:rPr>
        <w:t xml:space="preserve">five children </w:t>
      </w:r>
      <w:r w:rsidRPr="00A72606">
        <w:rPr>
          <w:rFonts w:ascii="Arial" w:hAnsi="Arial" w:cs="Arial"/>
          <w:sz w:val="24"/>
          <w:szCs w:val="24"/>
        </w:rPr>
        <w:t xml:space="preserve">(3%) had a 100% attendance record.  Increasing age and use of monoclonal therapy </w:t>
      </w:r>
      <w:r>
        <w:rPr>
          <w:rFonts w:ascii="Arial" w:hAnsi="Arial" w:cs="Arial"/>
          <w:sz w:val="24"/>
          <w:szCs w:val="24"/>
        </w:rPr>
        <w:t>were</w:t>
      </w:r>
      <w:r w:rsidRPr="00A72606">
        <w:rPr>
          <w:rFonts w:ascii="Arial" w:hAnsi="Arial" w:cs="Arial"/>
          <w:sz w:val="24"/>
          <w:szCs w:val="24"/>
        </w:rPr>
        <w:t xml:space="preserve"> predictors of poor school attendance.  Concern</w:t>
      </w:r>
      <w:r>
        <w:rPr>
          <w:rFonts w:ascii="Arial" w:hAnsi="Arial" w:cs="Arial"/>
          <w:sz w:val="24"/>
          <w:szCs w:val="24"/>
        </w:rPr>
        <w:t>s</w:t>
      </w:r>
      <w:r w:rsidRPr="00A72606">
        <w:rPr>
          <w:rFonts w:ascii="Arial" w:hAnsi="Arial" w:cs="Arial"/>
          <w:sz w:val="24"/>
          <w:szCs w:val="24"/>
        </w:rPr>
        <w:t xml:space="preserve"> about feeling unwell at school/college, access to toilets, keeping up with work</w:t>
      </w:r>
      <w:r>
        <w:rPr>
          <w:rFonts w:ascii="Arial" w:hAnsi="Arial" w:cs="Arial"/>
          <w:sz w:val="24"/>
          <w:szCs w:val="24"/>
        </w:rPr>
        <w:t>,</w:t>
      </w:r>
      <w:r w:rsidRPr="00A72606">
        <w:rPr>
          <w:rFonts w:ascii="Arial" w:hAnsi="Arial" w:cs="Arial"/>
          <w:sz w:val="24"/>
          <w:szCs w:val="24"/>
        </w:rPr>
        <w:t xml:space="preserve"> and teachers’ understanding of IBD are the main issues </w:t>
      </w:r>
      <w:r>
        <w:rPr>
          <w:rFonts w:ascii="Arial" w:hAnsi="Arial" w:cs="Arial"/>
          <w:sz w:val="24"/>
          <w:szCs w:val="24"/>
        </w:rPr>
        <w:t xml:space="preserve">for CYP with IBD. </w:t>
      </w:r>
      <w:r w:rsidRPr="00A72606">
        <w:rPr>
          <w:rFonts w:ascii="Arial" w:hAnsi="Arial" w:cs="Arial"/>
          <w:sz w:val="24"/>
          <w:szCs w:val="24"/>
        </w:rPr>
        <w:t xml:space="preserve"> </w:t>
      </w:r>
      <w:r>
        <w:rPr>
          <w:rFonts w:ascii="Arial" w:hAnsi="Arial" w:cs="Arial"/>
          <w:sz w:val="24"/>
          <w:szCs w:val="24"/>
        </w:rPr>
        <w:t xml:space="preserve">There was a </w:t>
      </w:r>
      <w:r w:rsidRPr="00A72606">
        <w:rPr>
          <w:rFonts w:ascii="Arial" w:hAnsi="Arial" w:cs="Arial"/>
          <w:sz w:val="24"/>
          <w:szCs w:val="24"/>
        </w:rPr>
        <w:t>significant negative correlation between number of days in hospital and school attendance</w:t>
      </w:r>
      <w:r>
        <w:rPr>
          <w:rFonts w:ascii="Arial" w:hAnsi="Arial" w:cs="Arial"/>
          <w:sz w:val="24"/>
          <w:szCs w:val="24"/>
        </w:rPr>
        <w:t>.</w:t>
      </w:r>
    </w:p>
    <w:p w:rsidR="002147E0" w:rsidRPr="00957B64" w:rsidRDefault="002147E0" w:rsidP="002147E0">
      <w:pPr>
        <w:spacing w:line="480" w:lineRule="auto"/>
        <w:jc w:val="both"/>
        <w:rPr>
          <w:rFonts w:ascii="Arial" w:hAnsi="Arial" w:cs="Arial"/>
          <w:sz w:val="24"/>
          <w:szCs w:val="24"/>
        </w:rPr>
      </w:pPr>
      <w:r w:rsidRPr="00D42D05">
        <w:rPr>
          <w:rFonts w:ascii="Arial" w:hAnsi="Arial" w:cs="Arial"/>
          <w:b/>
          <w:sz w:val="24"/>
          <w:szCs w:val="24"/>
        </w:rPr>
        <w:t>Conclusion</w:t>
      </w:r>
      <w:r w:rsidRPr="00A72606">
        <w:rPr>
          <w:rFonts w:ascii="Arial" w:hAnsi="Arial" w:cs="Arial"/>
          <w:sz w:val="24"/>
          <w:szCs w:val="24"/>
        </w:rPr>
        <w:t>: IBD has a significant impact on school/college attendance, with hospital attendance, disease burden</w:t>
      </w:r>
      <w:r>
        <w:rPr>
          <w:rFonts w:ascii="Arial" w:hAnsi="Arial" w:cs="Arial"/>
          <w:sz w:val="24"/>
          <w:szCs w:val="24"/>
        </w:rPr>
        <w:t>,</w:t>
      </w:r>
      <w:r w:rsidRPr="00A72606">
        <w:rPr>
          <w:rFonts w:ascii="Arial" w:hAnsi="Arial" w:cs="Arial"/>
          <w:sz w:val="24"/>
          <w:szCs w:val="24"/>
        </w:rPr>
        <w:t xml:space="preserve"> and school difficulties being major factors. Employing strategies to minimise health care burden and developing a partnership between health and education to support children with IBD </w:t>
      </w:r>
      <w:r>
        <w:rPr>
          <w:rFonts w:ascii="Arial" w:hAnsi="Arial" w:cs="Arial"/>
          <w:sz w:val="24"/>
          <w:szCs w:val="24"/>
        </w:rPr>
        <w:t xml:space="preserve">will </w:t>
      </w:r>
      <w:r w:rsidRPr="00A72606">
        <w:rPr>
          <w:rFonts w:ascii="Arial" w:hAnsi="Arial" w:cs="Arial"/>
          <w:sz w:val="24"/>
          <w:szCs w:val="24"/>
        </w:rPr>
        <w:t xml:space="preserve">serve to facilitate school/college attendance.  </w:t>
      </w:r>
    </w:p>
    <w:p w:rsidR="002147E0" w:rsidRPr="00D42D05" w:rsidRDefault="002147E0" w:rsidP="002147E0">
      <w:pPr>
        <w:spacing w:line="480" w:lineRule="auto"/>
        <w:jc w:val="both"/>
        <w:rPr>
          <w:rFonts w:ascii="Arial" w:hAnsi="Arial" w:cs="Arial"/>
          <w:b/>
          <w:sz w:val="24"/>
          <w:szCs w:val="24"/>
          <w:u w:val="single"/>
        </w:rPr>
      </w:pPr>
      <w:r w:rsidRPr="00D42D05">
        <w:rPr>
          <w:rFonts w:ascii="Arial" w:hAnsi="Arial" w:cs="Arial"/>
          <w:b/>
          <w:sz w:val="24"/>
          <w:szCs w:val="24"/>
          <w:u w:val="single"/>
        </w:rPr>
        <w:lastRenderedPageBreak/>
        <w:t xml:space="preserve">Introduction </w:t>
      </w:r>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Inflammatory bowel disease (IBD) is a chronic, multifactorial condition, encompassing Crohn’s disease, ulcerative colitis and inflammatory bowel disease unclassified (IBDU).  An estimated 25% of IBD presents in childhood or adolescence</w:t>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{"citationItems":[{"id":"ITEM-1","itemData":{"DOI":"10.1016/j.bpg.2004.01.002","ISSN":"15216918","abstract":"In parallel with overall population trends, the incidence of paediatric ulcerative colitis (UC) has remained stable, whereas that of paediatric Crohn's disease (CD) has increased in recent decades. Still rare among preschool children, the incidence of both UC and CD rises steadily from middle childhood through adolescence. There is an unexplained preponderance of males with early-onset CD, and an equal gender distribution in paediatric UC. Observations on the familiality of paediatric inflammatory bowel disease (IBD) suggest that genetic susceptibility is particularly important to disease pathogenesis in young patients. In comparison to adult-onset disease, childhood UC is usually extensive but the anatomic localization of paediatric CD varies, as in adults. UC manifests uniformly as bloody diarrhea whereas the symptomatology of paediatric CD is much more diverse. Linear growth impairment frequently complicates chronic intestinal inflammation in paediatric CD. Key contributing factors have been defined; better immunomodulatory therapy and emerging biologic agents will potentially reduce its prevalence. © 2004 Elsevier Ltd. All rights reserved.","author":[{"dropping-particle":"","family":"Griffiths","given":"Anne M.","non-dropping-particle":"","parse-names":false,"suffix":""}],"container-title":"Best Practice and Research: Clinical Gastroenterology","id":"ITEM-1","issued":{"date-parts":[["2004"]]},"title":"Specificities of inflammatory bowel disease in childhood","type":"article"},"uris":["http://www.mendeley.com/documents/?uuid=683c3b47-bd92-404a-86a6-dc44b1861b2d","http://www.mendeley.com/documents/?uuid=0d34a780-1ae3-4412-806b-7fd4780475f2"]}],"mendeley":{"formattedCitation":"[1]","plainTextFormattedCitation":"[1]","previouslyFormattedCitation":"[1]"},"properties":{"noteIndex":0},"schema":"https://github.com/citation-style-language/schema/raw/master/csl-citation.json"}</w:instrText>
      </w:r>
      <w:r w:rsidR="003E61C5">
        <w:rPr>
          <w:rFonts w:ascii="Arial" w:hAnsi="Arial" w:cs="Arial"/>
          <w:sz w:val="24"/>
          <w:szCs w:val="24"/>
        </w:rPr>
        <w:fldChar w:fldCharType="separate"/>
      </w:r>
      <w:r w:rsidRPr="00B30F87">
        <w:rPr>
          <w:rFonts w:ascii="Arial" w:hAnsi="Arial" w:cs="Arial"/>
          <w:noProof/>
          <w:sz w:val="24"/>
          <w:szCs w:val="24"/>
        </w:rPr>
        <w:t>[1]</w:t>
      </w:r>
      <w:r w:rsidR="003E61C5">
        <w:rPr>
          <w:rFonts w:ascii="Arial" w:hAnsi="Arial" w:cs="Arial"/>
          <w:sz w:val="24"/>
          <w:szCs w:val="24"/>
        </w:rPr>
        <w:fldChar w:fldCharType="end"/>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{"citationItems":[{"id":"ITEM-1","itemData":{"DOI":"10.1136/adc.2005.080481","ISSN":"1468-2044","PMID":"16632672","abstract":"Twenty five per cent of inflammatory bowel disease presents in childhood. Growth and nutrition are key issues in the management with the aim of treatment being to induce and then maintain disease remission with minimal side effects. Only 25% of Crohn's disease presents with the classic triad of abdominal pain, weight loss, and diarrhoea. Most children with ulcerative colitis have blood in the stool at presentation. Inflammatory markers are usually although not invariably raised at presentation (particularly in Crohn's disease). Full investigation includes upper gastrointestinal endoscopy and ileocolonoscopy. Treatment requires multidisciplinary input as part of a clinical network led by a paediatrician with special expertise in the management of the condition.","author":[{"dropping-particle":"","family":"Beattie","given":"R M","non-dropping-particle":"","parse-names":false,"suffix":""},{"dropping-particle":"","family":"Croft","given":"N M","non-dropping-particle":"","parse-names":false,"suffix":""},{"dropping-particle":"","family":"Fell","given":"J M","non-dropping-particle":"","parse-names":false,"suffix":""},{"dropping-particle":"","family":"Afzal","given":"N A","non-dropping-particle":"","parse-names":false,"suffix":""},{"dropping-particle":"","family":"Heuschkel","given":"R B","non-dropping-particle":"","parse-names":false,"suffix":""}],"container-title":"Archives of disease in childhood","id":"ITEM-1","issue":"5","issued":{"date-parts":[["2006","5"]]},"page":"426-32","publisher":"BMJ Publishing Group Ltd","title":"Inflammatory bowel disease.","type":"article-journal","volume":"91"},"uris":["http://www.mendeley.com/documents/?uuid=66b941d9-1e19-354b-9793-a703e0f0d21a","http://www.mendeley.com/documents/?uuid=92cf7abb-7362-488f-82a1-9b1e1ede8c28"]}],"mendeley":{"formattedCitation":"[2]","plainTextFormattedCitation":"[2]","previouslyFormattedCitation":"[2]"},"properties":{"noteIndex":0},"schema":"https://github.com/citation-style-language/schema/raw/master/csl-citation.json"}</w:instrText>
      </w:r>
      <w:r w:rsidR="003E61C5">
        <w:rPr>
          <w:rFonts w:ascii="Arial" w:hAnsi="Arial" w:cs="Arial"/>
          <w:sz w:val="24"/>
          <w:szCs w:val="24"/>
        </w:rPr>
        <w:fldChar w:fldCharType="separate"/>
      </w:r>
      <w:r w:rsidRPr="002134E2">
        <w:rPr>
          <w:rFonts w:ascii="Arial" w:hAnsi="Arial" w:cs="Arial"/>
          <w:noProof/>
          <w:sz w:val="24"/>
          <w:szCs w:val="24"/>
        </w:rPr>
        <w:t>[2]</w:t>
      </w:r>
      <w:r w:rsidR="003E61C5">
        <w:rPr>
          <w:rFonts w:ascii="Arial" w:hAnsi="Arial" w:cs="Arial"/>
          <w:sz w:val="24"/>
          <w:szCs w:val="24"/>
        </w:rPr>
        <w:fldChar w:fldCharType="end"/>
      </w:r>
      <w:r w:rsidRPr="00A72606">
        <w:rPr>
          <w:rFonts w:ascii="Arial" w:hAnsi="Arial" w:cs="Arial"/>
          <w:sz w:val="24"/>
          <w:szCs w:val="24"/>
        </w:rPr>
        <w:t>, with a twofold increase in incidence in the pa</w:t>
      </w:r>
      <w:r>
        <w:rPr>
          <w:rFonts w:ascii="Arial" w:hAnsi="Arial" w:cs="Arial"/>
          <w:sz w:val="24"/>
          <w:szCs w:val="24"/>
        </w:rPr>
        <w:t xml:space="preserve">st 20 years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{"citationItems":[{"id":"ITEM-1","itemData":{"DOI":"10.1111/apa.13017","ISSN":"16512227","abstract":"©2015 Foundation Acta Pædiatrica. Published by John Wiley  &amp;  Sons Ltd. Aim There has been at least a twofold increase in the incidence of paediatric inflammatory bowel disease (PIBD) over the last 20 years; we report the presenting features from 2010 to 2013 and compare with previous data. Methods All patients diagnosed with PIBD at University Hospitals Southampton from 2010 to 2013 were identified from an in-house database. Data were obtained from paper and electronic notes. Height, weight and BMI SDS are presented as median values (95% CI). Results One hundred and seventy-two patients were included (median age at diagnosis 13.5, 115 male); Crohn's disease (CD) - 107, UC - 50, inflammatory bowel disease unclassified (IBDU) - 15. The most common presenting features of CD were abdominal pain (86%), diarrhoea (78.5%) and weight loss (56.1%); 42.1% of patients had all three. In UC blood in stool (92%), diarrhoea (92%) and abdominal pain (88%) were the most common; all three in 76% of patients. CD presented with ileocolonic disease in 52.5%. UC presented with pancolitis in 64%. There was growth delay in CD: height -0.37 (-0.60 to -0.14); weight -1.09 (-1.35 to -0.83). Growth was maintained in UC: height 0.53 (0.19 to 0.87); weight 0.14 (-0.20 to 0.48). Conclusion Paediatric inflammatory bowel disease phenotype remains as extensive despite increasing incidence. Although the classical phenotype is common, a reasonable proportion present with atypical features, normal growth and normal blood markers.","author":[{"dropping-particle":"","family":"Ashton","given":"J.J.","non-dropping-particle":"","parse-names":false,"suffix":""},{"dropping-particle":"","family":"Coelho","given":"T.","non-dropping-particle":"","parse-names":false,"suffix":""},{"dropping-particle":"","family":"Ennis","given":"S.","non-dropping-particle":"","parse-names":false,"suffix":""},{"dropping-particle":"","family":"Batra","given":"A.","non-dropping-particle":"","parse-names":false,"suffix":""},{"dropping-particle":"","family":"Afzal","given":"N.A.","non-dropping-particle":"","parse-names":false,"suffix":""},{"dropping-particle":"","family":"Beattie","given":"R.M.","non-dropping-particle":"","parse-names":false,"suffix":""}],"container-title":"Acta Paediatrica, International Journal of Paediatrics","id":"ITEM-1","issue":"8","issued":{"date-parts":[["2015"]]},"title":"Presenting phenotype of paediatric inflammatory bowel disease in Wessex, Southern England 2010-2013","type":"article-journal","volume":"104"},"uris":["http://www.mendeley.com/documents/?uuid=25481076-1513-3b06-9a6e-d22b625a66b1"]}],"mendeley":{"formattedCitation":"[3]","plainTextFormattedCitation":"[3]","previouslyFormattedCitation":"[3]"},"properties":{"noteIndex":0},"schema":"https://github.com/citation-style-language/schema/raw/master/csl-citation.json"}</w:instrText>
      </w:r>
      <w:r w:rsidR="003E61C5">
        <w:rPr>
          <w:rFonts w:ascii="Arial" w:hAnsi="Arial" w:cs="Arial"/>
          <w:sz w:val="24"/>
          <w:szCs w:val="24"/>
        </w:rPr>
        <w:fldChar w:fldCharType="separate"/>
      </w:r>
      <w:r w:rsidRPr="002134E2">
        <w:rPr>
          <w:rFonts w:ascii="Arial" w:hAnsi="Arial" w:cs="Arial"/>
          <w:noProof/>
          <w:sz w:val="24"/>
          <w:szCs w:val="24"/>
        </w:rPr>
        <w:t>[3]</w:t>
      </w:r>
      <w:r w:rsidR="003E61C5">
        <w:rPr>
          <w:rFonts w:ascii="Arial" w:hAnsi="Arial" w:cs="Arial"/>
          <w:sz w:val="24"/>
          <w:szCs w:val="24"/>
        </w:rPr>
        <w:fldChar w:fldCharType="end"/>
      </w:r>
      <w:r w:rsidRPr="00A7260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{"citationItems":[{"id":"ITEM-1","itemData":{"DOI":"10.1136/archdischild-2018-315038","ISSN":"1468-2044","PMID":"29519945","abstract":"There has been an increase in the incidence of paediatric inflammatory bowel disease (PIBD) over the last 20 years.1 2 We have previously published data from Wessex, England, reporting an incidence of 9.37/100 000/year (2008–2012), which significantly increased from 5.2/100 000/year in 1998–1999, 6.39/100 000/year in 2002–2006, and 7.82/100 000/year in 2003–2008.1 2 We now report the most recent disease incidence figures for Wessex, England (1 January 2013 to 31 December 2017) and analyse them with previously published Wessex data (1 January 2002 to 21 December 2012) demonstrating the most contemporary incidence and the trend over 16 years. The ‘Wessex’ population was estimated from the Office for National Statistics using defined postcodes, based on the contemporary referral area.1 3 Statistical analyses of the data were conducted …","author":[{"dropping-particle":"","family":"Ashton","given":"James John","non-dropping-particle":"","parse-names":false,"suffix":""},{"dropping-particle":"","family":"Cullen","given":"Mick","non-dropping-particle":"","parse-names":false,"suffix":""},{"dropping-particle":"","family":"Afzal","given":"Nadeem A","non-dropping-particle":"","parse-names":false,"suffix":""},{"dropping-particle":"","family":"Coelho","given":"Tracy","non-dropping-particle":"","parse-names":false,"suffix":""},{"dropping-particle":"","family":"Batra","given":"Akshay","non-dropping-particle":"","parse-names":false,"suffix":""},{"dropping-particle":"","family":"Beattie","given":"R Mark","non-dropping-particle":"","parse-names":false,"suffix":""}],"container-title":"Archives of disease in childhood","id":"ITEM-1","issued":{"date-parts":[["2018","3","8"]]},"page":"archdischild-2018-315038","publisher":"BMJ Publishing Group Ltd","title":"Is the incidence of paediatric inflammatory bowel disease still increasing?","type":"article-journal"},"uris":["http://www.mendeley.com/documents/?uuid=c57f7098-2a98-3e63-8ae2-8444e81959ca"]}],"mendeley":{"formattedCitation":"[4]","plainTextFormattedCitation":"[4]","previouslyFormattedCitation":"[4]"},"properties":{"noteIndex":0},"schema":"https://github.com/citation-style-language/schema/raw/master/csl-citation.json"}</w:instrText>
      </w:r>
      <w:r w:rsidR="003E61C5">
        <w:rPr>
          <w:rFonts w:ascii="Arial" w:hAnsi="Arial" w:cs="Arial"/>
          <w:sz w:val="24"/>
          <w:szCs w:val="24"/>
        </w:rPr>
        <w:fldChar w:fldCharType="separate"/>
      </w:r>
      <w:r w:rsidRPr="002134E2">
        <w:rPr>
          <w:rFonts w:ascii="Arial" w:hAnsi="Arial" w:cs="Arial"/>
          <w:noProof/>
          <w:sz w:val="24"/>
          <w:szCs w:val="24"/>
        </w:rPr>
        <w:t>[4]</w:t>
      </w:r>
      <w:r w:rsidR="003E61C5">
        <w:rPr>
          <w:rFonts w:ascii="Arial" w:hAnsi="Arial" w:cs="Arial"/>
          <w:sz w:val="24"/>
          <w:szCs w:val="24"/>
        </w:rPr>
        <w:fldChar w:fldCharType="end"/>
      </w:r>
      <w:r>
        <w:rPr>
          <w:rFonts w:ascii="Arial" w:hAnsi="Arial" w:cs="Arial"/>
          <w:sz w:val="24"/>
          <w:szCs w:val="24"/>
        </w:rPr>
        <w:t xml:space="preserve">.  </w:t>
      </w:r>
      <w:r w:rsidRPr="00A72606">
        <w:rPr>
          <w:rFonts w:ascii="Arial" w:hAnsi="Arial" w:cs="Arial"/>
          <w:sz w:val="24"/>
          <w:szCs w:val="24"/>
        </w:rPr>
        <w:t>This chronic condition can place a significant burden on children and adolescents, impacting physical, social, psychological well-being and education</w:t>
      </w:r>
      <w:r>
        <w:rPr>
          <w:rFonts w:ascii="Arial" w:hAnsi="Arial" w:cs="Arial"/>
          <w:sz w:val="24"/>
          <w:szCs w:val="24"/>
        </w:rPr>
        <w:t>.</w:t>
      </w:r>
      <w:r w:rsidRPr="00A7260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{"citationItems":[{"id":"ITEM-1","itemData":{"DOI":"10.1097/00001610-200003000-00003","ISSN":"15389766","abstract":"Adolescence is a time of profound change for individuals. It is a period that witnesses biologic, social, and psychological change in the individual as well as role changes within the family and peer groups. Compounding these difficult transitions with the onset of inflammatory bowel disease leads to additional problems with adolescence adjustment. In the limited studies that have addressed the adolescent and inflammatory bowel disease, several key concepts emerge that point to ways for successfully dealing with these adolescent adjustment problems. Roy's Adaptation Model provides a foundation for identifying and selecting interventions in working with adolescents and chronic illness. A review of the literature finds the need for further study of the difficulties encountered by the changes of adolescence coupled with the onset of inflammatory bowel disease.","author":[{"dropping-particle":"","family":"Decker","given":"Jonathan W.","non-dropping-particle":"","parse-names":false,"suffix":""}],"container-title":"Gastroenterology Nursing","id":"ITEM-1","issued":{"date-parts":[["2000"]]},"title":"The effects of inflammatory bowel disease on adolescents","type":"article-journal"},"uris":["http://www.mendeley.com/documents/?uuid=45bf148d-7f8e-4f99-94ee-eaec2b7cec85","http://www.mendeley.com/documents/?uuid=0be781a5-2f8b-4828-bfec-f160b1ceb917"]}],"mendeley":{"formattedCitation":"[5]","plainTextFormattedCitation":"[5]","previouslyFormattedCitation":"[5]"},"properties":{"noteIndex":0},"schema":"https://github.com/citation-style-language/schema/raw/master/csl-citation.json"}</w:instrText>
      </w:r>
      <w:r w:rsidR="003E61C5">
        <w:rPr>
          <w:rFonts w:ascii="Arial" w:hAnsi="Arial" w:cs="Arial"/>
          <w:sz w:val="24"/>
          <w:szCs w:val="24"/>
        </w:rPr>
        <w:fldChar w:fldCharType="separate"/>
      </w:r>
      <w:r w:rsidRPr="002134E2">
        <w:rPr>
          <w:rFonts w:ascii="Arial" w:hAnsi="Arial" w:cs="Arial"/>
          <w:noProof/>
          <w:sz w:val="24"/>
          <w:szCs w:val="24"/>
        </w:rPr>
        <w:t>[5]</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{"citationItems":[{"id":"ITEM-1","itemData":{"DOI":"10.1097/01.MIB.0000217769.83142.c6","ISSN":"10780998","abstract":"Background: The purpose of this article is to review research on\\npsychosocial functioning in pediatric inflammatory bowel disease (IBD)\\nand to provide recommendations for future research.\\nMethods: A literature search was conducted using the MEDLINE and\\nPsychInfo computerized databases and bibliographies of relevant\\narticles.\\nResults: Compared with healthy children, children with IBD are at\\ngreater risk of difficulties ibehavioral/emotional functioning,\\nparticularly depression and anxiety, social functioning, and\\nself-esteem. Conflicting results have been reported for the areas of\\nfamily dysfunction and body image, and few studies have been published\\nin the areas of stress and coping and eating problems. Psychosocial\\ndifficulties are clinically significant in only a subset of those with\\nIBD and are generally similar to those found in other pediatric chronic\\nillnesses.\\nConclusions: The scant existing research limits conclusions about which\\nchildren are most likely to experience problems. Future research should\\ninvestigate a range of psychosocial outcomes, including developmentally\\nappropriate outcomes for adolescents, and risk factors for developing\\nproblems. Prevention and intervention strategies aimed at improving\\npsychosocial functioning in children with IBD should be developed and\\nevaluated.","author":[{"dropping-particle":"","family":"Mackner","given":"Laura M.","non-dropping-particle":"","parse-names":false,"suffix":""},{"dropping-particle":"V.","family":"Crandall","given":"Wallace","non-dropping-particle":"","parse-names":false,"suffix":""},{"dropping-particle":"","family":"Szigethy","given":"Eva M.","non-dropping-particle":"","parse-names":false,"suffix":""}],"container-title":"Inflammatory Bowel Diseases","id":"ITEM-1","issued":{"date-parts":[["2006"]]},"title":"Psychosocial functioning in pediatric inflammatory bowel disease","type":"article"},"uris":["http://www.mendeley.com/documents/?uuid=e031b605-1051-4cb3-a458-4da0738c41b3","http://www.mendeley.com/documents/?uuid=93e7ff66-b777-456a-ac12-0309c781be6c"]}],"mendeley":{"formattedCitation":"[6]","plainTextFormattedCitation":"[6]","previouslyFormattedCitation":"[6]"},"properties":{"noteIndex":0},"schema":"https://github.com/citation-style-language/schema/raw/master/csl-citation.json"}</w:instrText>
      </w:r>
      <w:r w:rsidR="003E61C5">
        <w:rPr>
          <w:rFonts w:ascii="Arial" w:hAnsi="Arial" w:cs="Arial"/>
          <w:sz w:val="24"/>
          <w:szCs w:val="24"/>
        </w:rPr>
        <w:fldChar w:fldCharType="separate"/>
      </w:r>
      <w:r w:rsidRPr="002134E2">
        <w:rPr>
          <w:rFonts w:ascii="Arial" w:hAnsi="Arial" w:cs="Arial"/>
          <w:noProof/>
          <w:sz w:val="24"/>
          <w:szCs w:val="24"/>
        </w:rPr>
        <w:t>[6]</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{"citationItems":[{"id":"ITEM-1","itemData":{"ISSN":"2772116 ST - Psychosocial developmental trajectory of adolescents with inflammatory bowel disease","abstract":"BACKGROUND AND OBJECTIVES: Inflammatory bowel disease (IBD) is a chronic, debilitating disorder occurring in young patients in the most productive period of their lives. Little is known about the effect on the developmental trajectory of adolescents growing up with IBD. The purpose of this study was to assess the psychosocial developmental trajectory (course of life) and sociodemographic outcomes in adolescents with IBD compared with peers from the general population. METHODS: A total of 62 adolescents (response rate 74%, boys 51.6%, mean age 18.6 years) completed the course of life questionnaire. RESULTS: Patients with IBD achieved fewer milestones on the domains of autonomy and social and psychosexual development compared with their healthy peers. They went less frequently on holidays without adults, had fewer jobs during secondary school, were less frequently going out to a bar/disco during secondary school, and were older when falling in love for the first time. After secondary school, patients with IBD were more often unemployed. CONCLUSIONS: Negative consequences in terms of psychosocial development are prevalent in adolescents with IBD. Physicians should be attentive to these consequences and provide additional support if necessary. During transition to adult clinic, these topics are of major importance and should be an integral component of the comprehensive care of chronically ill adolescents and young adults. Copyright © 2013 by European Society for Pediatric Gastroenterology, Hepatology, and Nutrition and North American Society for Pediatric Gastroenterology, Hepatology, and Nutrition.","author":[{"dropping-particle":"","family":"Hummel","given":"T.Z.","non-dropping-particle":"","parse-names":false,"suffix":""},{"dropping-particle":"","family":"Tak","given":"E.","non-dropping-particle":"","parse-names":false,"suffix":""},{"dropping-particle":"","family":"Maurice-Stam","given":"H.","non-dropping-particle":"","parse-names":false,"suffix":""},{"dropping-particle":"","family":"Benninga","given":"M.A.","non-dropping-particle":"","parse-names":false,"suffix":""},{"dropping-particle":"","family":"Kindermann","given":"A.","non-dropping-particle":"","parse-names":false,"suffix":""},{"dropping-particle":"","family":"Grootenhuis","given":"M.A.","non-dropping-particle":"","parse-names":false,"suffix":""}],"container-title":"Journal of Pediatric Gastroenterology and Nutrition","id":"ITEM-1","issued":{"date-parts":[["2013"]]},"title":"Psychosocial developmental trajectory of adolescents with inflammatory bowel disease","type":"article-journal"},"uris":["http://www.mendeley.com/documents/?uuid=5bb2cc86-fdd9-455a-b048-7b8f88419c26","http://www.mendeley.com/documents/?uuid=88e2268d-c477-459a-98c6-29654f7d28b4"]}],"mendeley":{"formattedCitation":"[7]","plainTextFormattedCitation":"[7]","previouslyFormattedCitation":"[7]"},"properties":{"noteIndex":0},"schema":"https://github.com/citation-style-language/schema/raw/master/csl-citation.json"}</w:instrText>
      </w:r>
      <w:r w:rsidR="003E61C5">
        <w:rPr>
          <w:rFonts w:ascii="Arial" w:hAnsi="Arial" w:cs="Arial"/>
          <w:sz w:val="24"/>
          <w:szCs w:val="24"/>
        </w:rPr>
        <w:fldChar w:fldCharType="separate"/>
      </w:r>
      <w:r w:rsidRPr="002134E2">
        <w:rPr>
          <w:rFonts w:ascii="Arial" w:hAnsi="Arial" w:cs="Arial"/>
          <w:noProof/>
          <w:sz w:val="24"/>
          <w:szCs w:val="24"/>
        </w:rPr>
        <w:t>[7]</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{"citationItems":[{"id":"ITEM-1","itemData":{"DOI":"10.1111/apt.13645","ISSN":"1365-2036","abstract":"Background: Psychological morbidity in young people aged 10-24 years, with inflammatory bowel disease (IBD) is increased, but risk factors for and impacts of this are unclear. Aim: To undertake a systematic literature review of the risk factors for and impact of psychological morbidity in young people with IBD. Methods: Electronic searches for English-language articles were performed with keywords relating to psychological morbidity according to DSM-IV and subsequent criteria; young people; and IBD in the MEDLINE, PsychInfo, Web of Science and CINAHL databases for studies published from 1994 to September 2014. Results: One thousand four hundred and forty-four studies were identified, of which 30 met the inclusion criteria. The majority measured depression and anxiety symptoms, with a small proportion examining externalising behaviours. Identifiable risk factors for psychological morbidity included: increased disease severity (r2 = 0.152, P &lt;0.001), lower socioeconomic status (r2 = 0.046, P &lt;0.001), corticosteroids (P &lt;= 0.001), parental stress (r = 0.35, P &lt;0.001) and older age at diagnosis (r = 0.28, P = 0.0006). Impacts of psychological morbidity in young people with IBD were wide-ranging and included abdominal pain (r = 0.33; P &lt;0.001), sleep dysfunction (P &lt;0.05), psychotropic drug use (HR 4.16, 95% CI 2.76-6.27), non-adherence to medication (12.6% reduction) and negative illness perceptions (r = -0.43). Conclusions: Psychological morbidity affects young people with IBD in a range of ways, highlighting the need for psychological interventions to improve outcomes. Identified risk factors provide an opportunity to develop targeted therapies for a vulnerable group. Further research is required to examine groups under-represented in this review, such as those with severe IBD and those from ethnic minorities.Copyright © 2016 John Wiley &amp; Sons Ltd","author":[{"dropping-particle":"","family":"Brooks","given":"A.J.","non-dropping-particle":"","parse-names":false,"suffix":""},{"dropping-particle":"","family":"Rowse","given":"G.","non-dropping-particle":"","parse-names":false,"suffix":""},{"dropping-particle":"","family":"Ryder","given":"A.","non-dropping-particle":"","parse-names":false,"suffix":""},{"dropping-particle":"","family":"Peach","given":"E.J.","non-dropping-particle":"","parse-names":false,"suffix":""},{"dropping-particle":"","family":"Corfe","given":"B.M.","non-dropping-particle":"","parse-names":false,"suffix":""},{"dropping-particle":"","family":"Lobo","given":"A.J.","non-dropping-particle":"","parse-names":false,"suffix":""}],"container-title":"Alimentary Pharmacology and Therapeutics","id":"ITEM-1","issued":{"date-parts":[["2016"]]},"title":"Systematic review: Psychological morbidity in young people with inflammatory bowel disease - risk factors and impacts","type":"article-journal"},"uris":["http://www.mendeley.com/documents/?uuid=09193dae-cecc-469c-9941-eb6d5744a440","http://www.mendeley.com/documents/?uuid=9256cc9c-ad24-4dec-8aa5-e754bf1b1e7f"]}],"mendeley":{"formattedCitation":"[8]","plainTextFormattedCitation":"[8]","previouslyFormattedCitation":"[8]"},"properties":{"noteIndex":0},"schema":"https://github.com/citation-style-language/schema/raw/master/csl-citation.json"}</w:instrText>
      </w:r>
      <w:r w:rsidR="003E61C5">
        <w:rPr>
          <w:rFonts w:ascii="Arial" w:hAnsi="Arial" w:cs="Arial"/>
          <w:sz w:val="24"/>
          <w:szCs w:val="24"/>
        </w:rPr>
        <w:fldChar w:fldCharType="separate"/>
      </w:r>
      <w:r w:rsidRPr="002134E2">
        <w:rPr>
          <w:rFonts w:ascii="Arial" w:hAnsi="Arial" w:cs="Arial"/>
          <w:noProof/>
          <w:sz w:val="24"/>
          <w:szCs w:val="24"/>
        </w:rPr>
        <w:t>[8]</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{"citationItems":[{"id":"ITEM-1","itemData":{"ISBN":"0962-9343","abstract":"Purpose: Little is known about disease-specific health-related quality-of-life (HRQoL) changes over time in paediatric patients with inflammatory bowel disease (IBD), and about their associations with baseline medical characteristics. Methods: In this study, 153 paediatric patients with IBD from the multicentre prospective Swiss IBD cohort study were included at baseline. Of these, 90 patients were analysed at a 1-year follow-up. Medical data were extracted from hospital records, while HRQoL data were measured using the standardized, self-report disease-specific IMPACT-III questionnaire. Results: The IBD diagnosis of the included children was made an average of 2.0 years before their baseline assessment. Over the 1-year follow-up period, a significant increase in overall HRQoL and in the HRQoL domain ‘physical functioning’ was evident. On multivariate analysis, overall HRQoL changes over time were predicted by baseline HRQoL, baseline disease activity, and disease activity changes over time. HRQoL improvements were significantly associated with decreases in physician-assessed disease activity. Children reporting a low baseline HRQoL and children with inactive or mildly-active disease experienced greater improvements. Conclusions: Children with more severe baseline disease activity had the greatest risk for HRQoL deterioration over the 1-year follow-up period. However, among possible factors that might influence HRQoL changes over time, the child’s medical characteristics explained only a small proportion of their variability in our sample. We, therefore, recommend that researchers and clinicians focus on factors that are not incorporated within the multidimensional HRQoL concept if they seek to gain better insights into factors that influence HRQoL changes over time in children with IBD.","author":[{"dropping-particle":"","family":"Werner","given":"H.","non-dropping-particle":"","parse-names":false,"suffix":""},{"dropping-particle":"","family":"Landolt","given":"M.A.","non-dropping-particle":"","parse-names":false,"suffix":""},{"dropping-particle":"","family":"Buehr","given":"P.","non-dropping-particle":"","parse-names":false,"suffix":""},{"dropping-particle":"","family":"Koller","given":"R.","non-dropping-particle":"","parse-names":false,"suffix":""},{"dropping-particle":"","family":"Nydegger","given":"A.","non-dropping-particle":"","parse-names":false,"suffix":""},{"dropping-particle":"","family":"Spalinger","given":"J.","non-dropping-particle":"","parse-names":false,"suffix":""},{"dropping-particle":"","family":"Heyland","given":"K.","non-dropping-particle":"","parse-names":false,"suffix":""},{"dropping-particle":"","family":"Schibli","given":"S.","non-dropping-particle":"","parse-names":false,"suffix":""}],"container-title":"Quality of Life Research","id":"ITEM-1","issued":{"date-parts":[["2017"]]},"title":"Changes in health-related quality of life over a 1-year follow-up period in children with inflammatory bowel disease","type":"article"},"uris":["http://www.mendeley.com/documents/?uuid=15c0c6b5-e6db-4653-b8fb-eb903a9a7f5d","http://www.mendeley.com/documents/?uuid=a2c4e3f1-80b0-49f8-af23-b3f70f25ef78"]}],"mendeley":{"formattedCitation":"[9]","plainTextFormattedCitation":"[9]","previouslyFormattedCitation":"[9]"},"properties":{"noteIndex":0},"schema":"https://github.com/citation-style-language/schema/raw/master/csl-citation.json"}</w:instrText>
      </w:r>
      <w:r w:rsidR="003E61C5">
        <w:rPr>
          <w:rFonts w:ascii="Arial" w:hAnsi="Arial" w:cs="Arial"/>
          <w:sz w:val="24"/>
          <w:szCs w:val="24"/>
        </w:rPr>
        <w:fldChar w:fldCharType="separate"/>
      </w:r>
      <w:r w:rsidRPr="002134E2">
        <w:rPr>
          <w:rFonts w:ascii="Arial" w:hAnsi="Arial" w:cs="Arial"/>
          <w:noProof/>
          <w:sz w:val="24"/>
          <w:szCs w:val="24"/>
        </w:rPr>
        <w:t>[9]</w:t>
      </w:r>
      <w:r w:rsidR="003E61C5">
        <w:rPr>
          <w:rFonts w:ascii="Arial" w:hAnsi="Arial" w:cs="Arial"/>
          <w:sz w:val="24"/>
          <w:szCs w:val="24"/>
        </w:rPr>
        <w:fldChar w:fldCharType="end"/>
      </w:r>
      <w:r>
        <w:rPr>
          <w:rFonts w:ascii="Arial" w:hAnsi="Arial" w:cs="Arial"/>
          <w:sz w:val="24"/>
          <w:szCs w:val="24"/>
        </w:rPr>
        <w:t>.</w:t>
      </w:r>
      <w:bookmarkStart w:id="0" w:name="_GoBack"/>
      <w:r w:rsidR="006B7034">
        <w:rPr>
          <w:rFonts w:ascii="Arial" w:hAnsi="Arial" w:cs="Arial"/>
          <w:sz w:val="24"/>
          <w:szCs w:val="24"/>
        </w:rPr>
        <w:t xml:space="preserve"> </w:t>
      </w:r>
      <w:bookmarkEnd w:id="0"/>
      <w:r w:rsidRPr="00A72606">
        <w:rPr>
          <w:rFonts w:ascii="Arial" w:hAnsi="Arial" w:cs="Arial"/>
          <w:sz w:val="24"/>
          <w:szCs w:val="24"/>
        </w:rPr>
        <w:t xml:space="preserve">IBD </w:t>
      </w:r>
      <w:r>
        <w:rPr>
          <w:rFonts w:ascii="Arial" w:hAnsi="Arial" w:cs="Arial"/>
          <w:sz w:val="24"/>
          <w:szCs w:val="24"/>
        </w:rPr>
        <w:t>may</w:t>
      </w:r>
      <w:r w:rsidRPr="00A72606">
        <w:rPr>
          <w:rFonts w:ascii="Arial" w:hAnsi="Arial" w:cs="Arial"/>
          <w:sz w:val="24"/>
          <w:szCs w:val="24"/>
        </w:rPr>
        <w:t xml:space="preserve"> adversely affect school or college attendance</w:t>
      </w:r>
      <w:r>
        <w:rPr>
          <w:rFonts w:ascii="Arial" w:hAnsi="Arial" w:cs="Arial"/>
          <w:sz w:val="24"/>
          <w:szCs w:val="24"/>
        </w:rPr>
        <w:t xml:space="preserve"> which</w:t>
      </w:r>
      <w:r w:rsidRPr="00A72606">
        <w:rPr>
          <w:rFonts w:ascii="Arial" w:hAnsi="Arial" w:cs="Arial"/>
          <w:sz w:val="24"/>
          <w:szCs w:val="24"/>
        </w:rPr>
        <w:t xml:space="preserve"> is associated with a negative </w:t>
      </w:r>
      <w:r>
        <w:rPr>
          <w:rFonts w:ascii="Arial" w:hAnsi="Arial" w:cs="Arial"/>
          <w:sz w:val="24"/>
          <w:szCs w:val="24"/>
        </w:rPr>
        <w:t>effect</w:t>
      </w:r>
      <w:r w:rsidRPr="00A72606">
        <w:rPr>
          <w:rFonts w:ascii="Arial" w:hAnsi="Arial" w:cs="Arial"/>
          <w:sz w:val="24"/>
          <w:szCs w:val="24"/>
        </w:rPr>
        <w:t xml:space="preserve"> on  development</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{"citationItems":[{"id":"ITEM-1","itemData":{"DOI":"10.1111/j.1746-1561.2007.00276.x","ISSN":"0022-4391","abstract":"Background: Children with asthma experience more absenteeism from school compared with their nonasthma peers. Excessive absenteeism is related to lower student grades, psychological, social, and educational adjustment. Less is known about the relationship between the presence of asthma and the academic achievement in school-aged children. Since students with asthma miss more days from school, this may negatively impact their academic achievement. The goal of this study was to investigate the relationships between absenteeism, presence of asthma, and asthma severity level with standardized test level performance in a predominantly African American urban school district. Methods: A cross-sectional analysis was conducted of 3812 students (aged 8-17 years) who took the Missouri Assessment Program (MAP) standardized test during the 2002-2003 academic year. Results: After adjustment for covariates, a significant inverse relationship was found between absenteeism and test level performance on the MAP standardized test in all children (F = 203.9, p &lt; .001). There was no overall difference in test level achievement between those with and without asthma (p = .12). Though not statistically different, those with persistent asthma showed a modestly increased likelihood of scoring below Nearing Proficient compared with those with mild intermittent asthma (adjusted odds ratio = 1.93, 95% confidence intervals = 0.93-4.01, p = .08). Conclusions: A negative impact of absenteeism on standardized test level achievement was demonstrated in children from an urban African American school district. Children with asthma perform the same academically as their nonasthma peers. However, those with persistent asthma show a trend of performing worse on MAP standardized test scores and have more absence days compared with other students. More research is warranted on the effects of persistent asthma on academic achievement.","author":[{"dropping-particle":"","family":"Moonie S","given":"","non-dropping-particle":"","parse-names":false,"suffix":""},{"dropping-particle":"","family":"Sterling DA","given":"","non-dropping-particle":"","parse-names":false,"suffix":""},{"dropping-particle":"","family":"Figgs LW","given":"","non-dropping-particle":"","parse-names":false,"suffix":""},{"dropping-particle":"","family":"Castro M","given":"","non-dropping-particle":"","parse-names":false,"suffix":""}],"container-title":"Journal of School Health","id":"ITEM-1","issued":{"date-parts":[["2008"]]},"title":"The relationship between school absence, academic performance, and asthma status","type":"article-journal"},"uris":["http://www.mendeley.com/documents/?uuid=e88d3887-15aa-4776-9c81-d9310cb9282b","http://www.mendeley.com/documents/?uuid=7e74a880-6ac7-4607-aeac-ffc13b01c5fe","http://www.mendeley.com/documents/?uuid=6676a39a-a0f9-4f23-bf36-b7cb90745763"]}],"mendeley":{"formattedCitation":"[10]","plainTextFormattedCitation":"[10]","previouslyFormattedCitation":"[10]"},"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[10]</w:t>
      </w:r>
      <w:r w:rsidR="003E61C5">
        <w:rPr>
          <w:rFonts w:ascii="Arial" w:hAnsi="Arial" w:cs="Arial"/>
          <w:sz w:val="24"/>
          <w:szCs w:val="24"/>
        </w:rPr>
        <w:fldChar w:fldCharType="end"/>
      </w:r>
      <w:r w:rsidRPr="00A7260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{"citationItems":[{"id":"ITEM-1","itemData":{"author":[{"dropping-particle":"","family":"Commons","given":"Creative","non-dropping-particle":"","parse-names":false,"suffix":""}],"id":"ITEM-1","issued":{"date-parts":[["2013"]]},"title":"The Longitudinal Study of Australian Children Australian Institute of Family Studies","type":"report"},"uris":["http://www.mendeley.com/documents/?uuid=e8b0f57d-c943-37fe-9013-b92dd0755f7b","http://www.mendeley.com/documents/?uuid=0e0b9370-0198-45a3-8104-62163569ed5b"]}],"mendeley":{"formattedCitation":"[11]","plainTextFormattedCitation":"[11]","previouslyFormattedCitation":"[11]"},"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[11]</w:t>
      </w:r>
      <w:r w:rsidR="003E61C5">
        <w:rPr>
          <w:rFonts w:ascii="Arial" w:hAnsi="Arial" w:cs="Arial"/>
          <w:sz w:val="24"/>
          <w:szCs w:val="24"/>
        </w:rPr>
        <w:fldChar w:fldCharType="end"/>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{"citationItems":[{"id":"ITEM-1","itemData":{"DOI":"10.1002/14651858.CD011538","ISSN":"1469493X","abstract":"This is the protocol for a review and there is no abstract. The objectives are as follows:To describe the nature of educational support interventions for children and adolescents with a chronic health condition, and to examine the effectiveness of these educational support interventions on school engagement and academic achievement.","author":[{"dropping-particle":"","family":"Tollit","given":"Michelle A.","non-dropping-particle":"","parse-names":false,"suffix":""},{"dropping-particle":"","family":"Sawyer","given":"Susan M.","non-dropping-particle":"","parse-names":false,"suffix":""},{"dropping-particle":"","family":"Ratnapalan","given":"Savithiri","non-dropping-particle":"","parse-names":false,"suffix":""},{"dropping-particle":"","family":"Barnett","given":"Tony","non-dropping-particle":"","parse-names":false,"suffix":""}],"container-title":"Cochrane Database of Systematic Reviews","id":"ITEM-1","issued":{"date-parts":[["2015"]]},"title":"Education support services for improving school engagement and academic performance of children and adolescents with a chronic health condition","type":"article-journal"},"uris":["http://www.mendeley.com/documents/?uuid=b2797232-f842-45d2-98dc-bfc7cc4caec0","http://www.mendeley.com/documents/?uuid=7c6b3f91-70a6-4033-8d0f-1507f8ca4f5d"]}],"mendeley":{"formattedCitation":"[12]","plainTextFormattedCitation":"[12]","previouslyFormattedCitation":"[12]"},"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[12]</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{"citationItems":[{"id":"ITEM-1","itemData":{"DOI":"10.1177/1059840515615401","ISSN":"15468364","abstract":"© The Author(s) 2015. Objective: Children and adolescents with a chronic illness (CI) tend to demonstrate diminished physical and social functioning, which contribute to school attendance issues. We investigated the role of social and physical functioning in reducing school absenteeism in children participating in Mastering Each New Direction (MEND), a family-based psychosocial intervention for youths with CI. Methods: Forty-eight children and adolescents with a CI (70.8% female, Mage = 14.922, SD = 2.143) and their parent(s) completed a health-related quality of life (HRQOL) measure pre- and postintervention. Using multiple mediation, we examined whether parent- and child-rated physical and social HRQOL mediated the relationship between school attendance before and after MEND. Once the mediational model was not supported, we investigated whether HRQOL moderated the relationship between missed school days pre- and postintervention. Results: Neither physical nor social functioning mediated or moderated the relationship between missed school days pre- and postintervention. Instead, higher parent-rated physical functioning directly predicted decreased number of missed school days, while lower parent-rated social and child-rated physical functioning predicted increased missed school days. Conclusions: Parent-perceived HRQOL may have a direct effect on health-related behaviors such as school attendance. Future research should determine whether gains in parent-rated QOL are maintained in the long term and whether these continue to impact markers of functional well-being.","author":[{"dropping-particle":"","family":"Emerson","given":"Natacha D.","non-dropping-particle":"","parse-names":false,"suffix":""},{"dropping-particle":"","family":"Distelberg","given":"Brian","non-dropping-particle":"","parse-names":false,"suffix":""},{"dropping-particle":"","family":"Morrell","given":"Holly E.R.","non-dropping-particle":"","parse-names":false,"suffix":""},{"dropping-particle":"","family":"Williams-Reade","given":"Jackie","non-dropping-particle":"","parse-names":false,"suffix":""},{"dropping-particle":"","family":"Tapanes","given":"Daniel","non-dropping-particle":"","parse-names":false,"suffix":""},{"dropping-particle":"","family":"Montgomery","given":"Susanne","non-dropping-particle":"","parse-names":false,"suffix":""}],"container-title":"Journal of School Nursing","id":"ITEM-1","issued":{"date-parts":[["2016"]]},"title":"Quality of Life and School Absenteeism in Children With Chronic Illness","type":"article-journal"},"uris":["http://www.mendeley.com/documents/?uuid=f25b4656-d567-4a06-b6dd-0bd002b54477","http://www.mendeley.com/documents/?uuid=fcc4fe2a-1923-44cb-9033-2153919d6a1d"]}],"mendeley":{"formattedCitation":"[13]","plainTextFormattedCitation":"[13]","previouslyFormattedCitation":"[13]"},"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[13]</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{"citationItems":[{"id":"ITEM-1","itemData":{"DOI":"10.1111/cch.12475","ISSN":"13652214","abstract":"© 2017 John Wiley  &amp;  Sons Ltd Background: Serious chronic illness can have a detrimental effect on school attendance, participation and engagement, leaving affected students at risk of failing to meet their developmental potential. An improved understanding of factors that help to explain or mitigate this risk can help educators and health professionals deliver the most effective support. This meta-review critiqued the available evidence examining the link between six chronic illnesses (asthma, cancer, chronic kidney diseases, heart diseases, cystic fibrosis and gastrointestinal diseases) and children's and adolescents' school experiences and outcomes, as well as investigating the medical, school, psychosocial and sociodemographic factors that are linked to poorer or better school outcomes. Methods: We searched CINAHL, Cochrane Database, EMBASE, ERIC, MEDLINE, ProQuest Theses and Dissertations, and PsycINFO (2000–2015). Systematic and narrative reviews, and meta-analyses, of original studies examining students' subjective school experiences and objective school outcomes were eligible. We used the Preferred Reporting Items for Systematic Reviews and Meta-analyses criteria to critically appraise all systematic reviews. The Grading of Recommendations Assessment, Development, and Evaluation system guided our recommendations for practice and research. Results: Eighteen reviews of 172 studies including more than 40 000 students were eligible. Therefore, we chose to conduct a meta-review to provide an overview of the literature on the relationship between chronic illness and school experiences and outcomes. We also explored the associated medical, school, psychosocial and sociodemographic factors affecting the relationship between illness and school experiences and outcomes. Conclusion: Students with chronic illness demonstrate mixed school experiences and outcomes that are often worse than students without chronic illness. Modifiable factors, such as students' engagement with school, may be novel yet appropriate targets of educational support to ensure that these students reach their full schooling potential.","author":[{"dropping-particle":"","family":"Lum","given":"A.","non-dropping-particle":"","parse-names":false,"suffix":""},{"dropping-particle":"","family":"Wakefield","given":"C. E.","non-dropping-particle":"","parse-names":false,"suffix":""},{"dropping-particle":"","family":"Donnan","given":"B.","non-dropping-particle":"","parse-names":false,"suffix":""},{"dropping-particle":"","family":"Burns","given":"M. A.","non-dropping-particle":"","parse-names":false,"suffix":""},{"dropping-particle":"","family":"Fardell","given":"J. E.","non-dropping-particle":"","parse-names":false,"suffix":""},{"dropping-particle":"","family":"Marshall","given":"G. M.","non-dropping-particle":"","parse-names":false,"suffix":""}],"container-title":"Child: Care, Health and Development","id":"ITEM-1","issued":{"date-parts":[["2017"]]},"title":"Understanding the school experiences of children and adolescents with serious chronic illness: a systematic meta-review","type":"article"},"uris":["http://www.mendeley.com/documents/?uuid=10642b4f-5b12-4380-a832-4014d4147dc6","http://www.mendeley.com/documents/?uuid=36e0b66d-9a3f-4928-8bfd-2e88dc4364e7"]}],"mendeley":{"formattedCitation":"[14]","plainTextFormattedCitation":"[14]","previouslyFormattedCitation":"[14]"},"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[14]</w:t>
      </w:r>
      <w:r w:rsidR="003E61C5">
        <w:rPr>
          <w:rFonts w:ascii="Arial" w:hAnsi="Arial" w:cs="Arial"/>
          <w:sz w:val="24"/>
          <w:szCs w:val="24"/>
        </w:rPr>
        <w:fldChar w:fldCharType="end"/>
      </w:r>
      <w:r w:rsidRPr="00A72606">
        <w:rPr>
          <w:rFonts w:ascii="Arial" w:hAnsi="Arial" w:cs="Arial"/>
          <w:sz w:val="24"/>
          <w:szCs w:val="24"/>
        </w:rPr>
        <w:t xml:space="preserve">.  Regular school attendance </w:t>
      </w:r>
      <w:r>
        <w:rPr>
          <w:rFonts w:ascii="Arial" w:hAnsi="Arial" w:cs="Arial"/>
          <w:sz w:val="24"/>
          <w:szCs w:val="24"/>
        </w:rPr>
        <w:t xml:space="preserve">helps </w:t>
      </w:r>
      <w:r w:rsidRPr="00A72606">
        <w:rPr>
          <w:rFonts w:ascii="Arial" w:hAnsi="Arial" w:cs="Arial"/>
          <w:sz w:val="24"/>
          <w:szCs w:val="24"/>
        </w:rPr>
        <w:t>shape later life outcomes</w:t>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{"citationItems":[{"id":"ITEM-1","itemData":{"author":[{"dropping-particle":"","family":"Commons","given":"Creative","non-dropping-particle":"","parse-names":false,"suffix":""}],"id":"ITEM-1","issued":{"date-parts":[["2013"]]},"title":"The Longitudinal Study of Australian Children Australian Institute of Family Studies","type":"report"},"uris":["http://www.mendeley.com/documents/?uuid=0e0b9370-0198-45a3-8104-62163569ed5b","http://www.mendeley.com/documents/?uuid=e8b0f57d-c943-37fe-9013-b92dd0755f7b"]}],"mendeley":{"formattedCitation":"[11]","plainTextFormattedCitation":"[11]","previouslyFormattedCitation":"[11]"},"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[11]</w:t>
      </w:r>
      <w:r w:rsidR="003E61C5">
        <w:rPr>
          <w:rFonts w:ascii="Arial" w:hAnsi="Arial" w:cs="Arial"/>
          <w:sz w:val="24"/>
          <w:szCs w:val="24"/>
        </w:rPr>
        <w:fldChar w:fldCharType="end"/>
      </w:r>
      <w:r w:rsidRPr="00A72606">
        <w:rPr>
          <w:rFonts w:ascii="Arial" w:hAnsi="Arial" w:cs="Arial"/>
          <w:sz w:val="24"/>
          <w:szCs w:val="24"/>
        </w:rPr>
        <w:t xml:space="preserve">.  </w:t>
      </w:r>
    </w:p>
    <w:p w:rsidR="002147E0" w:rsidRPr="00A72606" w:rsidRDefault="002147E0" w:rsidP="002147E0">
      <w:pPr>
        <w:spacing w:line="480" w:lineRule="auto"/>
        <w:jc w:val="both"/>
        <w:rPr>
          <w:rFonts w:ascii="Arial" w:hAnsi="Arial" w:cs="Arial"/>
          <w:sz w:val="24"/>
          <w:szCs w:val="24"/>
        </w:rPr>
      </w:pPr>
      <w:r>
        <w:rPr>
          <w:rFonts w:ascii="Arial" w:hAnsi="Arial" w:cs="Arial"/>
          <w:sz w:val="24"/>
          <w:szCs w:val="24"/>
        </w:rPr>
        <w:t>Multiple studies examine the impact of IBD on health-related quality of life</w:t>
      </w:r>
      <w:r w:rsidRPr="00A7260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{"citationItems":[{"id":"ITEM-1","itemData":{"DOI":"10.1097/00042737-200205000-00012","ISSN":"0954691X","abstract":"Objective: To investigate the consequences of having a chronic digestive disorder on the social position of adolescents. Methods: Five diagnostic groups, including inflammatory bowel disease (IBD), chronic liver diseases, congenital digestive disorders, coeliac disease and food allergy (total n = 758, ages 12-25 years), were each compared with a population-based control group in a multicentre study using a cross-sectional design. Social position was assessed by a mailed questionnaire measuring 24 aspects, categorized as education, leisure activities, friendship, labour participation, financial situation, partnership and sexuality. Results: Eight aspects of social position were found to be affected negatively by one or more chronic digestive diseases: absence from school due to illness, going out, having a paid job, needing re-education in order to get a job, getting benefits as main income source, encountering bottlenecks in establishing financial commitments, having self-confidence in making a pass at someone, and restrictions in making love. Adolescents with chronic liver disease and IBD were found to experience more restrictions in social position. Adolescents with food allergy and congenital digestive disorders appear to experience some restrictions, but to a lesser degree, and adolescents with coeliac disease do not appear to have any problems regarding social position compared with controls. Conclusion: The social position of adolescents is affected negatively by having a chronic digestive disease, in particular chronic liver disease and IBD. Negative consequences occur in education, leisure ac tivities, labour participation, financial situation, partnership and sexuality. © 2002 Lippincott Williams  &amp;  Wilkins.","author":[{"dropping-particle":"","family":"Calsbeek","given":"Hiske","non-dropping-particle":"","parse-names":false,"suffix":""},{"dropping-particle":"","family":"Rijken","given":"Mieke","non-dropping-particle":"","parse-names":false,"suffix":""},{"dropping-particle":"","family":"Bekkers","given":"Marc J.T.M.","non-dropping-particle":"","parse-names":false,"suffix":""},{"dropping-particle":"","family":"Kerssens","given":"Jan J.","non-dropping-particle":"","parse-names":false,"suffix":""},{"dropping-particle":"","family":"Dekker","given":"Joost","non-dropping-particle":"","parse-names":false,"suffix":""},{"dropping-particle":"","family":"Berge Henegouwen","given":"Gerard P.","non-dropping-particle":"Van","parse-names":false,"suffix":""},{"dropping-particle":"","family":"Hopman","given":"W.","non-dropping-particle":"","parse-names":false,"suffix":""},{"dropping-particle":"","family":"Jansen","given":"J. B.M.J.","non-dropping-particle":"","parse-names":false,"suffix":""},{"dropping-particle":"","family":"Severijnen","given":"R. S.V.M.","non-dropping-particle":"","parse-names":false,"suffix":""},{"dropping-particle":"","family":"Tolboom","given":"J. J.M.","non-dropping-particle":"","parse-names":false,"suffix":""},{"dropping-particle":"","family":"Bergmeijer","given":"J. H.L.J.","non-dropping-particle":"","parse-names":false,"suffix":""},{"dropping-particle":"","family":"Buuren","given":"H. R.","non-dropping-particle":"Van","parse-names":false,"suffix":""},{"dropping-particle":"","family":"Dees","given":"J.","non-dropping-particle":"","parse-names":false,"suffix":""},{"dropping-particle":"","family":"Gerth van Wijk","given":"R.","non-dropping-particle":"","parse-names":false,"suffix":""},{"dropping-particle":"","family":"Groot","given":"H.","non-dropping-particle":"De","parse-names":false,"suffix":""},{"dropping-particle":"","family":"Sinaasappel","given":"M.","non-dropping-particle":"","parse-names":false,"suffix":""},{"dropping-particle":"","family":"Bruijnzeel-Koomen","given":"C. A.F.M.","non-dropping-particle":"","parse-names":false,"suffix":""},{"dropping-particle":"","family":"Hattum","given":"J.","non-dropping-particle":"Van","parse-names":false,"suffix":""},{"dropping-particle":"","family":"Houwen","given":"R. H.J.","non-dropping-particle":"","parse-names":false,"suffix":""},{"dropping-particle":"","family":"Knulst","given":"A. C.","non-dropping-particle":"","parse-names":false,"suffix":""},{"dropping-particle":"","family":"Oldenburg","given":"B.","non-dropping-particle":"","parse-names":false,"suffix":""},{"dropping-particle":"","family":"Sinnema","given":"G.","non-dropping-particle":"","parse-names":false,"suffix":""},{"dropping-particle":"","family":"Cooreman","given":"M. P.R.","non-dropping-particle":"","parse-names":false,"suffix":""},{"dropping-particle":"","family":"Derkx","given":"H. H.F.","non-dropping-particle":"","parse-names":false,"suffix":""},{"dropping-particle":"","family":"Deventer","given":"S. J.H.","non-dropping-particle":"Van","parse-names":false,"suffix":""},{"dropping-particle":"","family":"Loonen","given":"H. J.","non-dropping-particle":"","parse-names":false,"suffix":""},{"dropping-particle":"","family":"Rauws","given":"E. A.J.","non-dropping-particle":"","parse-names":false,"suffix":""},{"dropping-particle":"","family":"Bijleveld","given":"Ch M.A.","non-dropping-particle":"","parse-names":false,"suffix":""},{"dropping-particle":"","family":"Jansen","given":"P. L.M.","non-dropping-particle":"","parse-names":false,"suffix":""},{"dropping-particle":"","family":"Monchy","given":"J. G.R.","non-dropping-particle":"De","parse-names":false,"suffix":""},{"dropping-particle":"","family":"Groep","given":"K.","non-dropping-particle":"Van de","parse-names":false,"suffix":""},{"dropping-particle":"","family":"Schalekamp","given":"G.","non-dropping-particle":"","parse-names":false,"suffix":""},{"dropping-particle":"","family":"Hesselink-van de Kruijs","given":"M.","non-dropping-particle":"","parse-names":false,"suffix":""},{"dropping-particle":"","family":"Russel","given":"M. G.V.M.","non-dropping-particle":"","parse-names":false,"suffix":""},{"dropping-particle":"","family":"Mearin Manrique","given":"M.","non-dropping-particle":"","parse-names":false,"suffix":""},{"dropping-particle":"","family":"Mulder","given":"C. J.J.","non-dropping-particle":"","parse-names":false,"suffix":""},{"dropping-particle":"","family":"Verhage","given":"J.","non-dropping-particle":"","parse-names":false,"suffix":""},{"dropping-particle":"","family":"Phaff","given":"R. A.S.","non-dropping-particle":"","parse-names":false,"suffix":""},{"dropping-particle":"","family":"Gijsbers","given":"C. F.M.","non-dropping-particle":"","parse-names":false,"suffix":""},{"dropping-particle":"","family":"Ditshuijsen","given":"Th J.M.","non-dropping-particle":"Van","parse-names":false,"suffix":""}],"container-title":"European Journal of Gastroenterology and Hepatology","id":"ITEM-1","issued":{"date-parts":[["2002"]]},"title":"Social position of adolescents with chronic digestive disorders","type":"article-journal"},"uris":["http://www.mendeley.com/documents/?uuid=03ce6503-a045-4417-8391-84cf985e6425","http://www.mendeley.com/documents/?uuid=eff7099e-faca-4354-93fa-983bc74df22a","http://www.mendeley.com/documents/?uuid=e2bb8b40-a69e-4ea1-a3dc-13d51fc24706"]}],"mendeley":{"formattedCitation":"[15]","plainTextFormattedCitation":"[15]","previouslyFormattedCitation":"[15]"},"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[15]</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{"citationItems":[{"id":"ITEM-1","itemData":{"ISSN":"1078-0998","PMID":"16917222","abstract":"BACKGROUND AND AIMS Assessment of health-related quality of life (HRQOL) is of increasing importance in the evaluation of new therapies for inflammatory bowel disease (IBD). Available data concerning HRQOL in pediatric patients are sparse and uniformly cross-sectional. The aim of this study was to describe HRQOL and influential factors in newly diagnosed pediatric patients with Crohn's disease and ulcerative colitis during the first 12 months after diagnosis. MATERIALS AND METHODS Participants were drawn from a large, prospectively derived observational IBD registry of pediatric patients studied through 18 U.S. and Canadian centers. Patients who had completed a baseline IMPACT questionnaire and for whom there were 12 months of follow-up data available were included. In addition to description of cohort, factors that were believed to influence HLQOL were assessed during the course of the year from diagnosis. RESULTS Two hundred eighteen children met inclusion criteria (77% Crohn's disease, 23 % ulcerative colitis, mean age 12.7 +/- 1.9 years). Mean total IMPACT score at baseline was 154, 181 at 6 months, and 191 at 1 year (possible range 0-238, with increasing scores representing better quality of life). Repeated measures analysis showed that age and disease severity significantly negatively affected the IMPACT scores during the course of the year. CONCLUSIONS In this large prospective pediatric IBD cohort, significant improvement in HRQOL is noted during the year from diagnosis. Mean IMPACT scores varied significantly depending on the disease severity and also decreased with increasing age.","author":[{"dropping-particle":"","family":"Otley","given":"Anthony R","non-dropping-particle":"","parse-names":false,"suffix":""},{"dropping-particle":"","family":"Griffiths","given":"Anne M","non-dropping-particle":"","parse-names":false,"suffix":""},{"dropping-particle":"","family":"Hale","given":"Sandra","non-dropping-particle":"","parse-names":false,"suffix":""},{"dropping-particle":"","family":"Kugathasan","given":"Subra","non-dropping-particle":"","parse-names":false,"suffix":""},{"dropping-particle":"","family":"Pfefferkorn","given":"Marian","non-dropping-particle":"","parse-names":false,"suffix":""},{"dropping-particle":"","family":"Mezoff","given":"Adam","non-dropping-particle":"","parse-names":false,"suffix":""},{"dropping-particle":"","family":"Rosh","given":"Joel","non-dropping-particle":"","parse-names":false,"suffix":""},{"dropping-particle":"","family":"Tolia","given":"Vasundhara","non-dropping-particle":"","parse-names":false,"suffix":""},{"dropping-particle":"","family":"Markowitz","given":"James","non-dropping-particle":"","parse-names":false,"suffix":""},{"dropping-particle":"","family":"Mack","given":"David","non-dropping-particle":"","parse-names":false,"suffix":""},{"dropping-particle":"","family":"Oliva-Hemker","given":"Maria","non-dropping-particle":"","parse-names":false,"suffix":""},{"dropping-particle":"","family":"Wyllie","given":"Robert","non-dropping-particle":"","parse-names":false,"suffix":""},{"dropping-particle":"","family":"Rothbaum","given":"Robert","non-dropping-particle":"","parse-names":false,"suffix":""},{"dropping-particle":"","family":"Bousvaros","given":"Athos","non-dropping-particle":"","parse-names":false,"suffix":""},{"dropping-particle":"","family":"Rosario","given":"J Fernando","non-dropping-particle":"Del","parse-names":false,"suffix":""},{"dropping-particle":"","family":"Evans","given":"Jonathan","non-dropping-particle":"","parse-names":false,"suffix":""},{"dropping-particle":"","family":"Blanchard","given":"Wade","non-dropping-particle":"","parse-names":false,"suffix":""},{"dropping-particle":"","family":"Hyams","given":"Jeffrey","non-dropping-particle":"","parse-names":false,"suffix":""},{"dropping-particle":"","family":"Pediatric IBD Collaborative Research Group","given":"","non-dropping-particle":"","parse-names":false,"suffix":""}],"container-title":"Inflammatory bowel diseases","id":"ITEM-1","issued":{"date-parts":[["2006"]]},"title":"Health-related quality of life in the first year after a diagnosis of pediatric inflammatory bowel disease.","type":"article-journal"},"uris":["http://www.mendeley.com/documents/?uuid=357c4c96-4b8f-448f-999b-823571146ab5","http://www.mendeley.com/documents/?uuid=3bb0aa65-3b2d-4ab1-9bbb-5dd3ad5fd935"]}],"mendeley":{"formattedCitation":"[16]","plainTextFormattedCitation":"[16]","previouslyFormattedCitation":"[16]"},"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[16]</w:t>
      </w:r>
      <w:r w:rsidR="003E61C5">
        <w:rPr>
          <w:rFonts w:ascii="Arial" w:hAnsi="Arial" w:cs="Arial"/>
          <w:sz w:val="24"/>
          <w:szCs w:val="24"/>
        </w:rPr>
        <w:fldChar w:fldCharType="end"/>
      </w:r>
      <w:r w:rsidRPr="00A7260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{"citationItems":[{"id":"ITEM-1","itemData":{"abstract":"Objective To compare health-related quality of life (HRQOL) in pediatric patients with functional gastrointestinal disorders (FGIDs) and organic gastrointestinal (GI) diseases with an age-, sex-, and race/ethnicity-matched healthy sample across GI diagnostic groups and with one another. Study design The Pediatric Quality of Life Inventory 4.0 Generic Core Scales were completed in a 9-site study by 689 families. Patients had 1 of 7 physician-diagnosed GI disorders: chronic constipation, functional abdominal pain, irritable bowel syndrome, functional dyspepsia, Crohn's disease, ulcerative colitis, and gastroesophageal reflux disease. The healthy control sample included 1114 families. School days missed, days in bed and needing care, parent missed workdays, work impact, and healthcare utilization were compared as well. Results Patients with an FGID or organic GI disease demonstrated lower HRQOL than the healthy controls across all dimensions (physical, emotional, social, and school; P &lt; .001 for all), with larger effect sizes for patients with an FGID. Patients with an FGID manifested lower HRQOL than those with an organic GI disease. Patients with an FGID or organic GI disease missed more school, spent more days in bed and needing care, had greater healthcare utilization, and had parents who missed more workdays with greater work impact (P &lt; .001 for most), with larger effect sizes for the patients with an FGID. Conclusion Patients with an FGID or organic GI disease demonstrate impaired HRQOL compared with healthy children. HRQOL can be used as a common metric to compare patient outcomes in clinical research and practice both within and across groups of patients with FGIDs and organic GI diseases. Copyright &amp;#xa9; 2015 Elsevier Inc. All rights reserved.","author":[{"dropping-particle":"","family":"Varni","given":"J.W.","non-dropping-particle":"","parse-names":false,"suffix":""},{"dropping-particle":"","family":"Bendo","given":"C.B.","non-dropping-particle":"","parse-names":false,"suffix":""},{"dropping-particle":"","family":"Nurko","given":"S.","non-dropping-particle":"","parse-names":false,"suffix":""},{"dropping-particle":"","family":"Shulman","given":"R.J.","non-dropping-particle":"","parse-names":false,"suffix":""},{"dropping-particle":"","family":"Self","given":"M.M.","non-dropping-particle":"","parse-names":false,"suffix":""},{"dropping-particle":"","family":"Franciosi","given":"J.P.","non-dropping-particle":"","parse-names":false,"suffix":""},{"dropping-particle":"","family":"Saps","given":"M.","non-dropping-particle":"","parse-names":false,"suffix":""},{"dropping-particle":"","family":"Pohl","given":"J.F.","non-dropping-particle":"","parse-names":false,"suffix":""}],"container-title":"Journal of Pediatrics","id":"ITEM-1","issued":{"date-parts":[["2015"]]},"title":"Health-related quality of life in pediatric patients with functional and organic gastrointestinal diseases","type":"article"},"uris":["http://www.mendeley.com/documents/?uuid=4236f3be-8861-4643-be63-a0e811fb826f","http://www.mendeley.com/documents/?uuid=105448ab-b20f-4724-96d3-66d485e743c9","http://www.mendeley.com/documents/?uuid=54c2643f-6c4c-4db6-a0f0-8a1fac091f21"]}],"mendeley":{"formattedCitation":"[17]","plainTextFormattedCitation":"[17]","previouslyFormattedCitation":"[17]"},"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[17]</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{"citationItems":[{"id":"ITEM-1","itemData":{"DOI":"10.1097/MIB.0000000000000742","ISSN":"15364844","abstract":"BACKGROUND Approximately 593,000 to 780,000 people in the United States (US) have been diagnosed with Crohn's disease (CD), and an additional 33,000 are diagnosed yearly. Our objective was to estimate CD's impact on medical costs, lost earnings, work and school absences, health status, and health-related quality of life (HRQOL) in the US and to compute current and forecasted national costs. METHODS We used the nationally representative Medical Expenditure Panel Survey to match 539 respondents with CD to similar respondents without any inflammatory bowel disease (IBD). We estimated annual costs, work and school absences, and self-assessed health status. HRQOL was assessed by the SF-12 Physical Component Summary and Mental Component Summary (PCS and MCS) scores. CD prevalence rates, population counts, and costs were used to forecast total national costs. RESULTS CD is associated with higher medical costs ($13,446 versus $6029) and lost earnings ($1249 versus $644) and is responsible for $3.48 billion in total national costs (expected to increase to $3.72 billion in 2025). Respondents with CD were more likely to miss work (38% versus 33%) or school (64% versus 33%), less likely to report being in excellent or very good physical health (24% versus 63%), and experienced lower HRQOL measured by the Physical Component Summary (43.4 versus 48.5) and Mental Component Summary (48.6 versus 50.0) than those without IBD. CONCLUSIONS CD is responsible for increased medical care costs and lower earnings, health status, and HRQOL. These data can serve as benchmarks when examining future CD-related costs and HRQOL.","author":[{"dropping-particle":"","family":"Ganz","given":"Michael L.","non-dropping-particle":"","parse-names":false,"suffix":""},{"dropping-particle":"","family":"Sugarman","given":"Rebecca","non-dropping-particle":"","parse-names":false,"suffix":""},{"dropping-particle":"","family":"Wang","given":"Rosa","non-dropping-particle":"","parse-names":false,"suffix":""},{"dropping-particle":"","family":"Hansen","given":"Brian Bekker","non-dropping-particle":"","parse-names":false,"suffix":""},{"dropping-particle":"","family":"Hakan-Bloch","given":"Jonas","non-dropping-particle":"","parse-names":false,"suffix":""}],"container-title":"Inflammatory Bowel Diseases","id":"ITEM-1","issued":{"date-parts":[["2016"]]},"title":"The economic and health-related impact of Crohn's disease in the United States: Evidence from a nationally representative survey","type":"article"},"uris":["http://www.mendeley.com/documents/?uuid=b1e4b00b-7e92-42de-bb51-6b8ead66dc0f","http://www.mendeley.com/documents/?uuid=de5f74eb-3022-4ecc-ad58-b48aa10dd7ad"]}],"mendeley":{"formattedCitation":"[18]","plainTextFormattedCitation":"[18]","previouslyFormattedCitation":"[18]"},"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[18]</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{"citationItems":[{"id":"ITEM-1","itemData":{"DOI":"10.1097/MPG.0000000000001756","ISSN":"15364801","abstract":"© 2018 by European Society for Pediatric Gastroenterology, Hepatology, and Nutrition and North American Society for Pediatric Gastroenterology, Hepatology, and Nutrition. Objectives: The interrelation between the course of inflammatory bowel disease (IBD) in children and parent's distress, and the subsequent impact this may have on health-related quality of life (HRQOL) of the child is unclear. Therefore, we investigated patient's HRQOL and parental distress and the association between the course of IBD, parental distress, and HRQOL of pediatric patients with IBD. Methods: Pediatric patients with IBD (8-18 years) and parents were invited. Patients completed the Pediatric Quality of Life Inventory, and parents the Distress Thermometer for Parents, simultaneously. Disease course was expressed as current clinical disease activity or months since last IBD flare. Patient's HRQOL and parental distress were compared to healthy controls. Results: In total, 87 patients (71% response rate, 59% boys, median age 15.2 years) and parents were included. Patients had an impaired total HRQOL (β = 0.125, P = 0.010), driven by lower physical (0.196, P = 0.001) and school (β = 0.232, P  &lt;  0.001) functioning. Parents of children with IBD exhibited comparable levels of distress to parents of healthy children on the total problem and most subdomain problem scores (practical, social, emotional, physical, and cognitive), yet experienced more frequent parenting problems (P = 0.025). More severe disease course (months since last IBD flare) was indirectly associated, through parental distress, with decreased HRQOL of patients. Conclusions: Worse disease course is directly associated with increased distress of parents and indirectly with lower HRQOL of children and adolescents with IBD. Distress of parents may be considered in management of pediatric IBD to improve HRQOL of children.","author":[{"dropping-particle":"","family":"Diederen","given":"Kay","non-dropping-particle":"","parse-names":false,"suffix":""},{"dropping-particle":"","family":"Haverman","given":"Lotte","non-dropping-particle":"","parse-names":false,"suffix":""},{"dropping-particle":"","family":"Grootenhuis","given":"Martha A.","non-dropping-particle":"","parse-names":false,"suffix":""},{"dropping-particle":"","family":"Benninga","given":"Marc A.","non-dropping-particle":"","parse-names":false,"suffix":""},{"dropping-particle":"","family":"Kindermann","given":"Angelika","non-dropping-particle":"","parse-names":false,"suffix":""}],"container-title":"Journal of Pediatric Gastroenterology and Nutrition","id":"ITEM-1","issued":{"date-parts":[["2018"]]},"title":"Parental Distress and Quality of Life in Pediatric Inflammatory Bowel Disease: Implications for the Outpatient Clinic","type":"article-journal"},"uris":["http://www.mendeley.com/documents/?uuid=1d1e9cf5-4354-4f3a-8e58-df1e085562d7","http://www.mendeley.com/documents/?uuid=a8645263-b7d9-4cf4-bca5-8e3c874ee56f"]}],"mendeley":{"formattedCitation":"[19]","plainTextFormattedCitation":"[19]","previouslyFormattedCitation":"[19]"},"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[19]</w:t>
      </w:r>
      <w:r w:rsidR="003E61C5">
        <w:rPr>
          <w:rFonts w:ascii="Arial" w:hAnsi="Arial" w:cs="Arial"/>
          <w:sz w:val="24"/>
          <w:szCs w:val="24"/>
        </w:rPr>
        <w:fldChar w:fldCharType="end"/>
      </w:r>
      <w:r w:rsidRPr="00A72606">
        <w:rPr>
          <w:rFonts w:ascii="Arial" w:hAnsi="Arial" w:cs="Arial"/>
          <w:sz w:val="24"/>
          <w:szCs w:val="24"/>
        </w:rPr>
        <w:t xml:space="preserve">, </w:t>
      </w:r>
      <w:r>
        <w:rPr>
          <w:rFonts w:ascii="Arial" w:hAnsi="Arial" w:cs="Arial"/>
          <w:sz w:val="24"/>
          <w:szCs w:val="24"/>
        </w:rPr>
        <w:t xml:space="preserve">showing that the symptoms and complications can have a negative impact on the daily lives of CYP and their families, </w:t>
      </w:r>
      <w:r w:rsidRPr="00A72606">
        <w:rPr>
          <w:rFonts w:ascii="Arial" w:hAnsi="Arial" w:cs="Arial"/>
          <w:sz w:val="24"/>
          <w:szCs w:val="24"/>
        </w:rPr>
        <w:t>affecting all domains of heal</w:t>
      </w:r>
      <w:r>
        <w:rPr>
          <w:rFonts w:ascii="Arial" w:hAnsi="Arial" w:cs="Arial"/>
          <w:sz w:val="24"/>
          <w:szCs w:val="24"/>
        </w:rPr>
        <w:t xml:space="preserve">th.  </w:t>
      </w:r>
      <w:r w:rsidRPr="00A72606">
        <w:rPr>
          <w:rFonts w:ascii="Arial" w:hAnsi="Arial" w:cs="Arial"/>
          <w:sz w:val="24"/>
          <w:szCs w:val="24"/>
        </w:rPr>
        <w:t xml:space="preserve">However, </w:t>
      </w:r>
      <w:r>
        <w:rPr>
          <w:rFonts w:ascii="Arial" w:hAnsi="Arial" w:cs="Arial"/>
          <w:sz w:val="24"/>
          <w:szCs w:val="24"/>
        </w:rPr>
        <w:t xml:space="preserve"> some data </w:t>
      </w:r>
      <w:r w:rsidRPr="00A72606">
        <w:rPr>
          <w:rFonts w:ascii="Arial" w:hAnsi="Arial" w:cs="Arial"/>
          <w:sz w:val="24"/>
          <w:szCs w:val="24"/>
        </w:rPr>
        <w:t>suggest</w:t>
      </w:r>
      <w:r>
        <w:rPr>
          <w:rFonts w:ascii="Arial" w:hAnsi="Arial" w:cs="Arial"/>
          <w:sz w:val="24"/>
          <w:szCs w:val="24"/>
        </w:rPr>
        <w:t>s</w:t>
      </w:r>
      <w:r w:rsidRPr="00A72606">
        <w:rPr>
          <w:rFonts w:ascii="Arial" w:hAnsi="Arial" w:cs="Arial"/>
          <w:sz w:val="24"/>
          <w:szCs w:val="24"/>
        </w:rPr>
        <w:t xml:space="preserve"> that heal</w:t>
      </w:r>
      <w:r>
        <w:rPr>
          <w:rFonts w:ascii="Arial" w:hAnsi="Arial" w:cs="Arial"/>
          <w:sz w:val="24"/>
          <w:szCs w:val="24"/>
        </w:rPr>
        <w:t>th-related quality of life and education attainment is not</w:t>
      </w:r>
      <w:r w:rsidRPr="00A72606">
        <w:rPr>
          <w:rFonts w:ascii="Arial" w:hAnsi="Arial" w:cs="Arial"/>
          <w:sz w:val="24"/>
          <w:szCs w:val="24"/>
        </w:rPr>
        <w:t xml:space="preserve"> always impaired in </w:t>
      </w:r>
      <w:r>
        <w:rPr>
          <w:rFonts w:ascii="Arial" w:hAnsi="Arial" w:cs="Arial"/>
          <w:sz w:val="24"/>
          <w:szCs w:val="24"/>
        </w:rPr>
        <w:t>children with IBD, if</w:t>
      </w:r>
      <w:r w:rsidRPr="00A72606">
        <w:rPr>
          <w:rFonts w:ascii="Arial" w:hAnsi="Arial" w:cs="Arial"/>
          <w:sz w:val="24"/>
          <w:szCs w:val="24"/>
        </w:rPr>
        <w:t xml:space="preserve"> coping and support strategies are effective</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{"citationItems":[{"id":"ITEM-1","itemData":{"DOI":"10.1186/1477-7525-5-28","ISSN":"14777525","abstract":"BACKGROUND: The aims of this study were to understand the lived experience and elements of quality of life as depicted by children and adolescents with inflammatory bowel disease (IBD). METHODS: Eighty participants with IBD, ranging in age from 7 to 19 years, were interviewed about the impact of IBD on their daily lives. RESULTS: Findings demonstrated that IBD profoundly affects children and adolescents. These young patients experience concerns and discomfort as a result of IBD symptoms and treatments. They commonly feel, in varying degrees, a sense of vulnerability and diminished control over their lives and future, and perceive themselves as \"different\" from healthy peers and siblings. Despite these negative impacts, participants also described effective means of coping with IBD, and reported that support from family members and friends contributes to coping. A positive attitude and other strategies were also described as strengths contributing to quality of life. CONCLUSION: Clinical assessments need to consider the experiences and perceptions of children as they manage their IBD. Implications for clinical practice are discussed.","author":[{"dropping-particle":"","family":"Nicholas","given":"David B.","non-dropping-particle":"","parse-names":false,"suffix":""},{"dropping-particle":"","family":"Otley","given":"Anthony","non-dropping-particle":"","parse-names":false,"suffix":""},{"dropping-particle":"","family":"Smith","given":"Claire","non-dropping-particle":"","parse-names":false,"suffix":""},{"dropping-particle":"","family":"Avolio","given":"Julie","non-dropping-particle":"","parse-names":false,"suffix":""},{"dropping-particle":"","family":"Munk","given":"Marla","non-dropping-particle":"","parse-names":false,"suffix":""},{"dropping-particle":"","family":"Griffiths","given":"Anne M.","non-dropping-particle":"","parse-names":false,"suffix":""}],"container-title":"Health and Quality of Life Outcomes","id":"ITEM-1","issued":{"date-parts":[["2007"]]},"title":"Challenges and strategies of children and adolescents with inflammatory bowel disease: A qualitative examination","type":"article-journal"},"uris":["http://www.mendeley.com/documents/?uuid=466a61e3-3369-49eb-bd2c-3e9913c7f8da","http://www.mendeley.com/documents/?uuid=91df47b0-7e6e-42fc-a5c2-3cc7276b59a4","http://www.mendeley.com/documents/?uuid=67946980-c654-4a45-af35-dccec6477a50"]}],"mendeley":{"formattedCitation":"[20]","plainTextFormattedCitation":"[20]","previouslyFormattedCitation":"[20]"},"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[20]</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{"citationItems":[{"id":"ITEM-1","itemData":{"DOI":"10.1016/j.crohns.2013.10.004","ISSN":"18764479","abstract":"Background: Inflammatory bowel disease (IBD) starting during childhood has been assumed to impair quality of life (QoL) of affected children. As this aspect is crucial for further personality development, the health-related quality of life (HRQOL) was assessed in a Swiss nationwide cohort to obtain detailed information on the fields of impairment. Methods: Data were prospectively acquired from pediatric patients included in the Swiss IBD Cohort Study. IBD activity was evaluated by PCDAI and PUCAI. The age adapted KIDSCREEN questionnaire was evaluated for 110 children with IBD (64 with Crohn's disease 46 with ulcerative colitis). Data were analyzed with respect to established reference values of healthy controls. Results: In the KIDSCREEN index a moderate impairment was only found for physical wellbeing due to disease activity. In contrast, mental well-being and social support were even better as compared to control values. A subgroup analysis revealed that this observation was restricted to the children in the German speaking part of Switzerland, whereas there was no difference compared to controls in the French part of Switzerland. Furthermore, autonomy and school variables were significantly higher in the IBD patients as compared to controls. Conclusions: The social support for children with IBD is excellent in this cohort. Only physical well-being was impaired due to disease activity, whereas all other KIDSCREEN parameters were better as compared to controls. This indicates that effective coping and support strategies may be able to compensate the burden of disease in pediatric IBD patients. © 2013 European Crohn's and Colitis Organisation.","author":[{"dropping-particle":"","family":"Rogler","given":"Daniela","non-dropping-particle":"","parse-names":false,"suffix":""},{"dropping-particle":"","family":"Fournier","given":"Nicolas","non-dropping-particle":"","parse-names":false,"suffix":""},{"dropping-particle":"","family":"Pittet","given":"Valérie","non-dropping-particle":"","parse-names":false,"suffix":""},{"dropping-particle":"","family":"Bühr","given":"Patrick","non-dropping-particle":"","parse-names":false,"suffix":""},{"dropping-particle":"","family":"Heyland","given":"Klaas","non-dropping-particle":"","parse-names":false,"suffix":""},{"dropping-particle":"","family":"Friedt","given":"Michael","non-dropping-particle":"","parse-names":false,"suffix":""},{"dropping-particle":"","family":"Koller","given":"Rebekka","non-dropping-particle":"","parse-names":false,"suffix":""},{"dropping-particle":"","family":"Rueger","given":"Vanessa","non-dropping-particle":"","parse-names":false,"suffix":""},{"dropping-particle":"","family":"Herzog","given":"Denise","non-dropping-particle":"","parse-names":false,"suffix":""},{"dropping-particle":"","family":"Nydegger","given":"Andreas","non-dropping-particle":"","parse-names":false,"suffix":""},{"dropping-particle":"","family":"Schäppi","given":"Michela","non-dropping-particle":"","parse-names":false,"suffix":""},{"dropping-particle":"","family":"Schibli","given":"Susanne","non-dropping-particle":"","parse-names":false,"suffix":""},{"dropping-particle":"","family":"Spalinger","given":"Johannes","non-dropping-particle":"","parse-names":false,"suffix":""},{"dropping-particle":"","family":"Rogler","given":"Gerhard","non-dropping-particle":"","parse-names":false,"suffix":""},{"dropping-particle":"","family":"Braegger","given":"Christian P.","non-dropping-particle":"","parse-names":false,"suffix":""}],"container-title":"Journal of Crohn's and Colitis","id":"ITEM-1","issued":{"date-parts":[["2014"]]},"title":"Coping is excellent in Swiss Children with inflammatory bowel disease: Results from the Swiss IBD cohort study","type":"article-journal"},"uris":["http://www.mendeley.com/documents/?uuid=47f2bf0d-ef12-44b8-9989-09a70448983c","http://www.mendeley.com/documents/?uuid=2e5cf2b6-eb30-4885-8d58-103b918c01f5","http://www.mendeley.com/documents/?uuid=928a40e8-c3fe-4818-8fbc-89aaeab39041"]}],"mendeley":{"formattedCitation":"[21]","plainTextFormattedCitation":"[21]","previouslyFormattedCitation":"[21]"},"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[21]</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{"citationItems":[{"id":"ITEM-1","itemData":{"DOI":"10.1136/gut.33.3.312","ISSN":"00175749","abstract":"Eighty three patients in whom the diagnosis of Crohn's disease had been made before the age of 40 years and who had been resident in the city of Cardiff were asked to complete a detailed questionnaire about their educational and employment experiences. Responses were obtained from 58 patients (response rate = 70%), 23 buddy controls, and 27 community controls. The mean (SD) age of patients at the time of the survey was 31 (5) years. Twenty four of the patients were diagnosed before leaving secondary education, at a mean age of 17 years. They had lost significantly more days' schooling than controls (chi 2 = 14.3 p less than 0.001) but had achieved similar academic success as measured by examination passes and attendance at tertiary institutes of education. Similar numbers of patients and controls were employed at the time of the survey, although significantly more patients had experienced long term unemployment (z = 2.6 p less than 0.01). As a result of their experiences up to 30% actively concealed their illness from employers.","author":[{"dropping-particle":"","family":"Mayberry","given":"M. K.","non-dropping-particle":"","parse-names":false,"suffix":""},{"dropping-particle":"","family":"Probert","given":"C.","non-dropping-particle":"","parse-names":false,"suffix":""},{"dropping-particle":"","family":"Srivastava","given":"E.","non-dropping-particle":"","parse-names":false,"suffix":""},{"dropping-particle":"","family":"Rhodes","given":"J.","non-dropping-particle":"","parse-names":false,"suffix":""},{"dropping-particle":"","family":"Mayberry","given":"J. F.","non-dropping-particle":"","parse-names":false,"suffix":""}],"container-title":"Gut","id":"ITEM-1","issue":"3","issued":{"date-parts":[["1992"]]},"page":"312-314","title":"Perceived discrimination in education and employment by people with Crohn's disease: A case control study of educational achievement and employment","type":"article-journal","volume":"33"},"uris":["http://www.mendeley.com/documents/?uuid=ef944f3a-3de5-3745-947e-af1ca322e4fc"]}],"mendeley":{"formattedCitation":"[22]","plainTextFormattedCitation":"[22]","previouslyFormattedCitation":"[22]"},"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[22]</w:t>
      </w:r>
      <w:r w:rsidR="003E61C5">
        <w:rPr>
          <w:rFonts w:ascii="Arial" w:hAnsi="Arial" w:cs="Arial"/>
          <w:sz w:val="24"/>
          <w:szCs w:val="24"/>
        </w:rPr>
        <w:fldChar w:fldCharType="end"/>
      </w:r>
      <w:r w:rsidRPr="00A72606">
        <w:rPr>
          <w:rFonts w:ascii="Arial" w:hAnsi="Arial" w:cs="Arial"/>
          <w:sz w:val="24"/>
          <w:szCs w:val="24"/>
        </w:rPr>
        <w:t>.</w:t>
      </w:r>
    </w:p>
    <w:p w:rsidR="002147E0" w:rsidRDefault="002147E0" w:rsidP="002147E0">
      <w:pPr>
        <w:spacing w:line="480" w:lineRule="auto"/>
        <w:jc w:val="both"/>
        <w:rPr>
          <w:rFonts w:ascii="Arial" w:hAnsi="Arial" w:cs="Arial"/>
          <w:sz w:val="24"/>
          <w:szCs w:val="24"/>
        </w:rPr>
      </w:pPr>
      <w:r>
        <w:rPr>
          <w:rFonts w:ascii="Arial" w:hAnsi="Arial" w:cs="Arial"/>
          <w:sz w:val="24"/>
          <w:szCs w:val="24"/>
        </w:rPr>
        <w:t xml:space="preserve">Studies examining children with chronic illness, </w:t>
      </w:r>
      <w:r w:rsidRPr="00A72606">
        <w:rPr>
          <w:rFonts w:ascii="Arial" w:hAnsi="Arial" w:cs="Arial"/>
          <w:sz w:val="24"/>
          <w:szCs w:val="24"/>
        </w:rPr>
        <w:t xml:space="preserve">including </w:t>
      </w:r>
      <w:r>
        <w:rPr>
          <w:rFonts w:ascii="Arial" w:hAnsi="Arial" w:cs="Arial"/>
          <w:sz w:val="24"/>
          <w:szCs w:val="24"/>
        </w:rPr>
        <w:t xml:space="preserve">those with </w:t>
      </w:r>
      <w:r w:rsidRPr="00A72606">
        <w:rPr>
          <w:rFonts w:ascii="Arial" w:hAnsi="Arial" w:cs="Arial"/>
          <w:sz w:val="24"/>
          <w:szCs w:val="24"/>
        </w:rPr>
        <w:t>cancer, asthma, heart disease, cystic fibrosis</w:t>
      </w:r>
      <w:r>
        <w:rPr>
          <w:rFonts w:ascii="Arial" w:hAnsi="Arial" w:cs="Arial"/>
          <w:sz w:val="24"/>
          <w:szCs w:val="24"/>
        </w:rPr>
        <w:t>,</w:t>
      </w:r>
      <w:r w:rsidRPr="00A72606">
        <w:rPr>
          <w:rFonts w:ascii="Arial" w:hAnsi="Arial" w:cs="Arial"/>
          <w:sz w:val="24"/>
          <w:szCs w:val="24"/>
        </w:rPr>
        <w:t xml:space="preserve"> and gastrointestinal disease</w:t>
      </w:r>
      <w:r>
        <w:rPr>
          <w:rFonts w:ascii="Arial" w:hAnsi="Arial" w:cs="Arial"/>
          <w:sz w:val="24"/>
          <w:szCs w:val="24"/>
        </w:rPr>
        <w:t xml:space="preserve"> show  lower school attendance</w:t>
      </w:r>
      <w:r w:rsidRPr="00A7260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{"citationItems":[{"id":"ITEM-1","itemData":{"DOI":"10.1111/j.1746-1561.2007.00276.x","ISSN":"0022-4391","abstract":"Background: Children with asthma experience more absenteeism from school compared with their nonasthma peers. Excessive absenteeism is related to lower student grades, psychological, social, and educational adjustment. Less is known about the relationship between the presence of asthma and the academic achievement in school-aged children. Since students with asthma miss more days from school, this may negatively impact their academic achievement. The goal of this study was to investigate the relationships between absenteeism, presence of asthma, and asthma severity level with standardized test level performance in a predominantly African American urban school district. Methods: A cross-sectional analysis was conducted of 3812 students (aged 8-17 years) who took the Missouri Assessment Program (MAP) standardized test during the 2002-2003 academic year. Results: After adjustment for covariates, a significant inverse relationship was found between absenteeism and test level performance on the MAP standardized test in all children (F = 203.9, p &lt; .001). There was no overall difference in test level achievement between those with and without asthma (p = .12). Though not statistically different, those with persistent asthma showed a modestly increased likelihood of scoring below Nearing Proficient compared with those with mild intermittent asthma (adjusted odds ratio = 1.93, 95% confidence intervals = 0.93-4.01, p = .08). Conclusions: A negative impact of absenteeism on standardized test level achievement was demonstrated in children from an urban African American school district. Children with asthma perform the same academically as their nonasthma peers. However, those with persistent asthma show a trend of performing worse on MAP standardized test scores and have more absence days compared with other students. More research is warranted on the effects of persistent asthma on academic achievement.","author":[{"dropping-particle":"","family":"Moonie S","given":"","non-dropping-particle":"","parse-names":false,"suffix":""},{"dropping-particle":"","family":"Sterling DA","given":"","non-dropping-particle":"","parse-names":false,"suffix":""},{"dropping-particle":"","family":"Figgs LW","given":"","non-dropping-particle":"","parse-names":false,"suffix":""},{"dropping-particle":"","family":"Castro M","given":"","non-dropping-particle":"","parse-names":false,"suffix":""}],"container-title":"Journal of School Health","id":"ITEM-1","issued":{"date-parts":[["2008"]]},"title":"The relationship between school absence, academic performance, and asthma status","type":"article-journal"},"uris":["http://www.mendeley.com/documents/?uuid=6676a39a-a0f9-4f23-bf36-b7cb90745763","http://www.mendeley.com/documents/?uuid=7e74a880-6ac7-4607-aeac-ffc13b01c5fe"]}],"mendeley":{"formattedCitation":"[10]","plainTextFormattedCitation":"[10]","previouslyFormattedCitation":"[10]"},"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[10]</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{"citationItems":[{"id":"ITEM-1","itemData":{"DOI":"10.1016/j.annepidem.2013.01.001","ISSN":"10472797","abstract":"Purpose: Chronic health conditions are common and increasing among U.S. children and youth. We examined whether chronic health conditions are associated with low school performance. Methods: This retrospective cohort study of 22,730 children and youth (grades 2-11) in San Jose, California, was conducted from 2007 through 2010. Health conditions were defined as chronic if reported in each of the first 2 years, and school performance was measured using standardized English language arts (ELA) and math assessments. Results: Chronic health conditions were independently associated with low ELA and math performance, irrespective of ethnicity, socioeconomic status, or grade level. Adjusted odds ratios for the association between any chronic health condition and low (\" basic or below\" ) performance were 1.25 (95% confidence interval [CI], 1.16-1.36; P &lt; .001) for ELA and 1.28 (95% CI, 1.18-1.38; P &lt; .001) for math, relative to students without reported health conditions. Further adjustment for absenteeism had little effect on these results. The strongest associations were found for ADHD, autism, and seizure disorders, whereas a weak association was found for asthma before but not after adjusting for absenteeism, and no associations were found for cardiovascular disorders or diabetes. Conclusions: Chronic neurodevelopmental and seizure disorders, but not cardiovascular disorders or diabetes, were independently associated with low school performance among children and youth. © 2013 Elsevier Inc..","author":[{"dropping-particle":"","family":"Crump","given":"Casey","non-dropping-particle":"","parse-names":false,"suffix":""},{"dropping-particle":"","family":"Rivera","given":"Diana","non-dropping-particle":"","parse-names":false,"suffix":""},{"dropping-particle":"","family":"London","given":"Rebecca","non-dropping-particle":"","parse-names":false,"suffix":""},{"dropping-particle":"","family":"Landau","given":"Melinda","non-dropping-particle":"","parse-names":false,"suffix":""},{"dropping-particle":"","family":"Erlendson","given":"Bill","non-dropping-particle":"","parse-names":false,"suffix":""},{"dropping-particle":"","family":"Rodriguez","given":"Eunice","non-dropping-particle":"","parse-names":false,"suffix":""}],"container-title":"Annals of Epidemiology","id":"ITEM-1","issued":{"date-parts":[["2013"]]},"title":"Chronic health conditions and school performance among children and youth","type":"article-journal"},"uris":["http://www.mendeley.com/documents/?uuid=2f5dc18f-96b5-474e-b282-ee8618c44670","http://www.mendeley.com/documents/?uuid=bebf787d-86fd-47e5-854b-cda8f5bc9875","http://www.mendeley.com/documents/?uuid=e8fdb2fd-5f67-4adf-8ce8-b33d25983ef8"]}],"mendeley":{"formattedCitation":"[23]","plainTextFormattedCitation":"[23]","previouslyFormattedCitation":"[23]"},"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[23]</w:t>
      </w:r>
      <w:r w:rsidR="003E61C5">
        <w:rPr>
          <w:rFonts w:ascii="Arial" w:hAnsi="Arial" w:cs="Arial"/>
          <w:sz w:val="24"/>
          <w:szCs w:val="24"/>
        </w:rPr>
        <w:fldChar w:fldCharType="end"/>
      </w:r>
      <w:r w:rsidRPr="00A72606">
        <w:rPr>
          <w:rFonts w:ascii="Arial" w:hAnsi="Arial" w:cs="Arial"/>
          <w:sz w:val="24"/>
          <w:szCs w:val="24"/>
        </w:rPr>
        <w:t xml:space="preserve">.   </w:t>
      </w:r>
      <w:r>
        <w:rPr>
          <w:rFonts w:ascii="Arial" w:hAnsi="Arial" w:cs="Arial"/>
          <w:sz w:val="24"/>
          <w:szCs w:val="24"/>
        </w:rPr>
        <w:t>Considerable differences in education exist between illnesses, although significant themes emerge across the spectrum, including worse school experiences, performance, outcomes, and lowered attendance rates</w:t>
      </w:r>
      <w:r w:rsidRPr="00A7260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{"citationItems":[{"id":"ITEM-1","itemData":{"DOI":"10.1111/cch.12475","ISSN":"13652214","abstract":"© 2017 John Wiley  &amp;  Sons Ltd Background: Serious chronic illness can have a detrimental effect on school attendance, participation and engagement, leaving affected students at risk of failing to meet their developmental potential. An improved understanding of factors that help to explain or mitigate this risk can help educators and health professionals deliver the most effective support. This meta-review critiqued the available evidence examining the link between six chronic illnesses (asthma, cancer, chronic kidney diseases, heart diseases, cystic fibrosis and gastrointestinal diseases) and children's and adolescents' school experiences and outcomes, as well as investigating the medical, school, psychosocial and sociodemographic factors that are linked to poorer or better school outcomes. Methods: We searched CINAHL, Cochrane Database, EMBASE, ERIC, MEDLINE, ProQuest Theses and Dissertations, and PsycINFO (2000–2015). Systematic and narrative reviews, and meta-analyses, of original studies examining students' subjective school experiences and objective school outcomes were eligible. We used the Preferred Reporting Items for Systematic Reviews and Meta-analyses criteria to critically appraise all systematic reviews. The Grading of Recommendations Assessment, Development, and Evaluation system guided our recommendations for practice and research. Results: Eighteen reviews of 172 studies including more than 40 000 students were eligible. Therefore, we chose to conduct a meta-review to provide an overview of the literature on the relationship between chronic illness and school experiences and outcomes. We also explored the associated medical, school, psychosocial and sociodemographic factors affecting the relationship between illness and school experiences and outcomes. Conclusion: Students with chronic illness demonstrate mixed school experiences and outcomes that are often worse than students without chronic illness. Modifiable factors, such as students' engagement with school, may be novel yet appropriate targets of educational support to ensure that these students reach their full schooling potential.","author":[{"dropping-particle":"","family":"Lum","given":"A.","non-dropping-particle":"","parse-names":false,"suffix":""},{"dropping-particle":"","family":"Wakefield","given":"C. E.","non-dropping-particle":"","parse-names":false,"suffix":""},{"dropping-particle":"","family":"Donnan","given":"B.","non-dropping-particle":"","parse-names":false,"suffix":""},{"dropping-particle":"","family":"Burns","given":"M. A.","non-dropping-particle":"","parse-names":false,"suffix":""},{"dropping-particle":"","family":"Fardell","given":"J. E.","non-dropping-particle":"","parse-names":false,"suffix":""},{"dropping-particle":"","family":"Marshall","given":"G. M.","non-dropping-particle":"","parse-names":false,"suffix":""}],"container-title":"Child: Care, Health and Development","id":"ITEM-1","issued":{"date-parts":[["2017"]]},"title":"Understanding the school experiences of children and adolescents with serious chronic illness: a systematic meta-review","type":"article"},"uris":["http://www.mendeley.com/documents/?uuid=36e0b66d-9a3f-4928-8bfd-2e88dc4364e7","http://www.mendeley.com/documents/?uuid=10642b4f-5b12-4380-a832-4014d4147dc6"]}],"mendeley":{"formattedCitation":"[14]","plainTextFormattedCitation":"[14]","previouslyFormattedCitation":"[14]"},"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[14]</w:t>
      </w:r>
      <w:r w:rsidR="003E61C5">
        <w:rPr>
          <w:rFonts w:ascii="Arial" w:hAnsi="Arial" w:cs="Arial"/>
          <w:sz w:val="24"/>
          <w:szCs w:val="24"/>
        </w:rPr>
        <w:fldChar w:fldCharType="end"/>
      </w:r>
      <w:r w:rsidRPr="00A7260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{"citationItems":[{"id":"ITEM-1","itemData":{"DOI":"10.1093/jpepsy/jsr106","ISSN":"01468693","abstract":"OBJECTIVE: We compared the levels of academic, physical, and social functioning of children and adolescents with chronic physical diseases with those of healthy peers or test norms.\\n\\nMETHODS: A random effects meta-analysis was computed to integrate the results of 954 studies.\\n\\nRESULTS: Impairments of physical functioning (g = 0.82 standard deviation units) were stronger than impairments of academic (g = 0.53) and social functioning (g = 0.43). Children with cerebral palsy and spina bifida showed the largest levels of functional impairments. The levels of functional impairments also varied by year of publication, source of information, ethnicity, country, and sociodemographic equivalence of the compared groups.\\n\\nCONCLUSIONS: More efforts are needed to develop and implement measures for the prevention of impaired functioning of children and adolescents with chronic physical illness and for the reduction of already existing impairments of their functioning.","author":[{"dropping-particle":"","family":"Pinquart","given":"Martin","non-dropping-particle":"","parse-names":false,"suffix":""},{"dropping-particle":"","family":"Teubert","given":"Daniela","non-dropping-particle":"","parse-names":false,"suffix":""}],"container-title":"Journal of Pediatric Psychology","id":"ITEM-1","issued":{"date-parts":[["2012"]]},"title":"Academic, physical, and social functioning of children and adolescents with chronic physical illness: A meta-analysis","type":"article"},"uris":["http://www.mendeley.com/documents/?uuid=5591d09d-b4e4-42a1-9638-2ff607ffc553","http://www.mendeley.com/documents/?uuid=f4531b86-558c-4d51-a078-9bf769e9c3a1","http://www.mendeley.com/documents/?uuid=b2c129b7-d405-491f-ac83-65c325686f61"]}],"mendeley":{"formattedCitation":"[24]","plainTextFormattedCitation":"[24]","previouslyFormattedCitation":"[24]"},"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[24]</w:t>
      </w:r>
      <w:r w:rsidR="003E61C5">
        <w:rPr>
          <w:rFonts w:ascii="Arial" w:hAnsi="Arial" w:cs="Arial"/>
          <w:sz w:val="24"/>
          <w:szCs w:val="24"/>
        </w:rPr>
        <w:fldChar w:fldCharType="end"/>
      </w:r>
      <w:r>
        <w:rPr>
          <w:rFonts w:ascii="Arial" w:hAnsi="Arial" w:cs="Arial"/>
          <w:sz w:val="24"/>
          <w:szCs w:val="24"/>
        </w:rPr>
        <w:t xml:space="preserve">.  </w:t>
      </w:r>
      <w:r w:rsidRPr="00A72606">
        <w:rPr>
          <w:rFonts w:ascii="Arial" w:hAnsi="Arial" w:cs="Arial"/>
          <w:sz w:val="24"/>
          <w:szCs w:val="24"/>
        </w:rPr>
        <w:t>Studies that specific</w:t>
      </w:r>
      <w:r>
        <w:rPr>
          <w:rFonts w:ascii="Arial" w:hAnsi="Arial" w:cs="Arial"/>
          <w:sz w:val="24"/>
          <w:szCs w:val="24"/>
        </w:rPr>
        <w:t>ally examine IBD also demonstrate these patients miss</w:t>
      </w:r>
      <w:r w:rsidRPr="00A72606">
        <w:rPr>
          <w:rFonts w:ascii="Arial" w:hAnsi="Arial" w:cs="Arial"/>
          <w:sz w:val="24"/>
          <w:szCs w:val="24"/>
        </w:rPr>
        <w:t xml:space="preserve"> more school than their healthy peers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{"citationItems":[{"id":"ITEM-1","itemData":{"DOI":"10.1097/DBP.0b013e318240cf68","ISSN":"0196206X","abstract":"Objective: Inflammatory bowel disease (IBD) and its treatment have the potential to disrupt school functioning. Some research suggests that youth with IBD may have increased absences, but little is known about other areas of school functioning or related factors. This study examined school functioning (absences, achievement, grade retention, special education, and school-related quality of life) in adolescents with IBD compared with healthy adolescents and investigated demographic, disease, and psychosocial vari-ables as predictors. Methods: Participants were 92 adolescents 11 to 17 years (50 with IBD and 42 healthy) and parents who completed questionnaires assessing psychosocial and school functioning. Report cards and school absence information were obtained from schools. Results: Youth with IBD had poorer school function-ing in all areas, although only absences were significantly different between groups. Among those with IBD, internalizing problems predicted absences, income and externalizing problems predicted grade point average, and parent marital status and somatic complaints predicted school quality of life. Disease factors, including but not limited disease activity, were not significant predictors. Conclusions: Adolescents with IBD are at risk for school difficulty, and demographic and psychosocial factors are better predictors than disease factors. Interventions aimed at improving behavioral/emotional problems may improve school functioning. (J Dev Behav Pediatr 33:106 –111, 2012) Index terms: inflammatory bowel disease, school functioning, adolescent development. Inf lammatory bowel disease (IBD) is a relapsing-remit-ting chronic illness commonly diagnosed during adoles-cence. It is typically divided into the 2 subtypes of Crohn's disease and ulcerative colitis (UC), which differ in anatomical location and the nature of the inflamma-tion. The primary symptoms of IBD, abdominal pain, fatigue, and diarrhea occur in both Crohn's disease and UC and likely affect school functioning in a similar man-ner. Both IBD and its treatment have the potential to disrupt school functioning. When the disease is active, the symptoms can require a need for bathroom proxim-ity, increased clinic visits, and an increased risk for hos-pitalization. Treatment for IBD includes corticosteroids, which affect learning and memory, 1 and intravenous medication requiring hours in an infusion clinic. Further-more, a recent meta-analysis noted increased rates of depression …","author":[{"dropping-particle":"","family":"MacKner","given":"Laura M.","non-dropping-particle":"","parse-names":false,"suffix":""},{"dropping-particle":"","family":"Bickmeier","given":"Robert M.","non-dropping-particle":"","parse-names":false,"suffix":""},{"dropping-particle":"V.","family":"Crandall","given":"Wallace","non-dropping-particle":"","parse-names":false,"suffix":""}],"container-title":"Journal of Developmental and Behavioral Pediatrics","id":"ITEM-1","issued":{"date-parts":[["2012"]]},"title":"Academic achievement, attendance, and school-related quality of life in pediatric inflammatory bowel disease","type":"article-journal"},"uris":["http://www.mendeley.com/documents/?uuid=946f3f79-505a-4a5a-9816-0e0a1f6eea22","http://www.mendeley.com/documents/?uuid=354863ad-61b2-4aeb-8821-4b34874034cc","http://www.mendeley.com/documents/?uuid=8d0ba40e-2727-4e31-b9a3-4e4e2997b767"]}],"mendeley":{"formattedCitation":"[25]","plainTextFormattedCitation":"[25]","previouslyFormattedCitation":"[25]"},"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[25]</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{"citationItems":[{"id":"ITEM-1","itemData":{"DOI":"10.1097/MPG.0000000000000850","ISSN":"15364801","abstract":"Copyright © 2015 by ESPGHAN and NASPGHAN. Objective: Inflammatory bowel disease (IBD) and functional abdominal pain (FAP) are associated with debilitating symptoms and frequent medical visits that may disrupt school functioning. The aim of this study was to assess school-related quality of life and school absenteeism in children with IBD, compared with FAP and healthy controls. Methods: School absenteeism and participation in school and after-school activities data were obtained for 43 children with Crohn disease (CD), 31 children with ulcerative colitis (UC), 42 children with FAP, and 30 agematched healthy controls for the 2013-2014 school year. We used a semistructured questionnaire for both children and parents. For diminishing recall bias, absenteeism data were cross-matched with the patient's school annual report cards. Results: Children with FAP, CD, and UC missed significantly more school days than age-matched healthy controls (17.6 [8.75-30], 24 [14-30] , and 21 [12-25] vs 5.1 [3.75-6.25] , respectively, P &lt; 0.001). Compared with children with FAP, absenteeism because of medical appointments and hospitalization was significantly greater in children with CD and UC (8.8 [4-14] and 7.1 [3-10]  vs 4.4 [2-6.25], P=0.001). Participation of children with FAP and IBD in various school and after-school activities was significantly reduced compared with healthy controls. There was no difference in school attendance and functioning between children with IBD and FAP. Conclusions: FAP has a significant impact on school attendance and functioning similar to IBD. These findings show that significant psychosocial and academic difficulties are faced not only by children with chronic diseases like IBD but also by children with FAP.","author":[{"dropping-particle":"","family":"Assa","given":"Amit","non-dropping-particle":"","parse-names":false,"suffix":""},{"dropping-particle":"","family":"Ish-Tov","given":"Alona","non-dropping-particle":"","parse-names":false,"suffix":""},{"dropping-particle":"","family":"Rinawi","given":"Firas","non-dropping-particle":"","parse-names":false,"suffix":""},{"dropping-particle":"","family":"Shamir","given":"Raanan","non-dropping-particle":"","parse-names":false,"suffix":""}],"container-title":"Journal of Pediatric Gastroenterology and Nutrition","id":"ITEM-1","issued":{"date-parts":[["2015"]]},"title":"School attendance in children with functional abdominal pain and inflammatory bowel diseases","type":"article-journal"},"uris":["http://www.mendeley.com/documents/?uuid=9881b1fe-f0f9-4b00-9e73-1a8929b02e89","http://www.mendeley.com/documents/?uuid=f2350fbd-2d34-4f42-a305-4a01b9e321c7","http://www.mendeley.com/documents/?uuid=30caf3d4-8296-4b90-8d1e-ac8ad1df32b3"]}],"mendeley":{"formattedCitation":"[26]","plainTextFormattedCitation":"[26]","previouslyFormattedCitation":"[26]"},"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[26]</w:t>
      </w:r>
      <w:r w:rsidR="003E61C5">
        <w:rPr>
          <w:rFonts w:ascii="Arial" w:hAnsi="Arial" w:cs="Arial"/>
          <w:sz w:val="24"/>
          <w:szCs w:val="24"/>
        </w:rPr>
        <w:fldChar w:fldCharType="end"/>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{"citationItems":[{"id":"ITEM-1","itemData":{"DOI":"10.1097/MPG.0000000000002207","ISSN":"15364801","abstract":"OBJECTIVES Inflammatory Bowel Diseases (IBD) are chronic diseases which negatively affect the schooling of children. The aim is to analyze school absenteeism and its causes in children followed for IBD. METHODS A prospective multicenter study of IBD patients aged from 5 to 18 years old, from September 2016 to June 2017. Data on absenteeism and its causes were collected via a monthly questionnaire completed by patients or their family by mail. The results were compared with existing data supplied by the school authorities (497 students without IBD divided by class). RESULTS 106 patients (62 boys), median age of 14 (5 to 18), were included. The global response rate was 83.1%. The IBD patients were absent an average of 4.8 +/- 5.5% of school days during the school year, against 3.2 +/- 1.6% for non IBD group (p = 0.034). Digestive disorders accounted for 34% of the causes of absenteeism. 27% of the absences were due to scheduled events (hospitalizations, endoscopy, or consultations). By excluding the absences for scheduled care, the rate of school absenteeism of IBD patients is significantly lower than that of non-IBD group. CONCLUSION Children with IBD are more frequently absent from school than non IBD group. The main cause of school absenteeism appears to be associated with the disease itself. The share of scheduled absenteeism is quite large. The organization and scheduling of the patients' care path must be a priority to maximally limit the negative impact of their disease on the patients' schooling.","author":[{"dropping-particle":"","family":"Eloi","given":"Clémentine","non-dropping-particle":"","parse-names":false,"suffix":""},{"dropping-particle":"","family":"Foulon","given":"Gauthier","non-dropping-particle":"","parse-names":false,"suffix":""},{"dropping-particle":"","family":"Bridoux-Henno","given":"Laure","non-dropping-particle":"","parse-names":false,"suffix":""},{"dropping-particle":"","family":"Breton","given":"Estelle","non-dropping-particle":"","parse-names":false,"suffix":""},{"dropping-particle":"","family":"Pelatan","given":"Cecile","non-dropping-particle":"","parse-names":false,"suffix":""},{"dropping-particle":"","family":"Chaillou","given":"Emilie","non-dropping-particle":"","parse-names":false,"suffix":""},{"dropping-particle":"","family":"Grimal","given":"Isabelle","non-dropping-particle":"","parse-names":false,"suffix":""},{"dropping-particle":"","family":"Darviot","given":"Estelle","non-dropping-particle":"","parse-names":false,"suffix":""},{"dropping-particle":"","family":"Carré","given":"Emilie","non-dropping-particle":"","parse-names":false,"suffix":""},{"dropping-particle":"","family":"Gastineau","given":"Swellen","non-dropping-particle":"","parse-names":false,"suffix":""},{"dropping-particle":"","family":"Tourtelier","given":"Yann","non-dropping-particle":"","parse-names":false,"suffix":""},{"dropping-particle":"","family":"Nicaise","given":"Dorothee","non-dropping-particle":"","parse-names":false,"suffix":""},{"dropping-particle":"","family":"Rousseau","given":"Chloe","non-dropping-particle":"","parse-names":false,"suffix":""},{"dropping-particle":"","family":"Dabadie","given":"Alain","non-dropping-particle":"","parse-names":false,"suffix":""}],"container-title":"Journal of pediatric gastroenterology and nutrition","id":"ITEM-1","issued":{"date-parts":[["2019"]]},"title":"Inflammatory Bowel Diseases and School Absenteeism","type":"article-journal"},"uris":["http://www.mendeley.com/documents/?uuid=3078736a-d006-4eb0-8808-a20eeb2c8c5b","http://www.mendeley.com/documents/?uuid=03d1263f-cc66-4729-a894-6f9bb082b538"]}],"mendeley":{"formattedCitation":"[27]","plainTextFormattedCitation":"[27]","previouslyFormattedCitation":"[27]"},"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[27]</w:t>
      </w:r>
      <w:r w:rsidR="003E61C5">
        <w:rPr>
          <w:rFonts w:ascii="Arial" w:hAnsi="Arial" w:cs="Arial"/>
          <w:sz w:val="24"/>
          <w:szCs w:val="24"/>
        </w:rPr>
        <w:fldChar w:fldCharType="end"/>
      </w:r>
      <w:r>
        <w:rPr>
          <w:rFonts w:ascii="Arial" w:hAnsi="Arial" w:cs="Arial"/>
          <w:sz w:val="24"/>
          <w:szCs w:val="24"/>
        </w:rPr>
        <w:t>, although this</w:t>
      </w:r>
      <w:r w:rsidRPr="00A72606">
        <w:rPr>
          <w:rFonts w:ascii="Arial" w:hAnsi="Arial" w:cs="Arial"/>
          <w:sz w:val="24"/>
          <w:szCs w:val="24"/>
        </w:rPr>
        <w:t xml:space="preserve"> is not necessarily linked to poorer educational outcomes </w:t>
      </w:r>
      <w:r w:rsidR="003E61C5">
        <w:rPr>
          <w:rFonts w:ascii="Arial" w:hAnsi="Arial" w:cs="Arial"/>
          <w:sz w:val="24"/>
          <w:szCs w:val="24"/>
        </w:rPr>
        <w:fldChar w:fldCharType="begin" w:fldLock="1"/>
      </w:r>
      <w:r>
        <w:rPr>
          <w:rFonts w:ascii="Arial" w:hAnsi="Arial" w:cs="Arial"/>
          <w:sz w:val="24"/>
          <w:szCs w:val="24"/>
        </w:rPr>
        <w:instrText>ADDIN CSL_CITATION {"citationItems":[{"id":"ITEM-1","itemData":{"ISSN":"1097-6833","abstract":"Objectives To determine grade 12 academic performance for children with inflammatory bowel disease (IBD). Study design Children diagnosed with IBD at age &lt;17 years identified from the population-based University of Manitoba IBD Epidemiology Database were matched by age-, sex-, and area of residence to 10 randomly selected controls. Grade 12 educational outcomes (scores on the provincial grade 12 language arts and mathematics standards tests, and enrollment-in-grade-12-by- age-17) were determined by linkage to the province wide Manitoba Education Database. Linear and logistic regression analysis were used to compare the educational outcomes, adjusting for socioeconomic status and comorbidities and evaluate predictors of educational outcomes among children with IBD. Results Grade 12 educational outcomes among 337 children with IBD were compared with 3093 without IBD. There were no significant differences among the 2 groups in the standardized scores (language arts: P =.31; mathematics: P =.48) or enrollment-in-grade-12-by- age-17 (P =.25). Lower socioeconomic status and diagnosis with mental health problems 6 months prior to and 6 months post-IBD diagnosis were independent predictors of worse educational outcomes. There was no significant effect of age of diagnosis of IBD, type of IBD (ulcerative colitis vs Crohn's disease), use of corticosteroids or immunomodulator agents, hospitalizations, or surgery for IBD. Conclusions Children with IBD on average achieve similar levels of academic achievement in grade 12 as those without IBD. This study underscores the educational impact of mental health conditions at IBD diagnosis among children.","author":[{"dropping-particle":"","family":"Singh","given":"H.","non-dropping-particle":"","parse-names":false,"suffix":""},{"dropping-particle":"","family":"Nugent","given":"Z.","non-dropping-particle":"","parse-names":false,"suffix":""},{"dropping-particle":"","family":"Brownell","given":"M.","non-dropping-particle":"","parse-names":false,"suffix":""},{"dropping-particle":"","family":"Targownik","given":"L.E.","non-dropping-particle":"","parse-names":false,"suffix":""},{"dropping-particle":"","family":"Roos","given":"L.L.","non-dropping-particle":"","parse-names":false,"suffix":""},{"dropping-particle":"","family":"Bernstein","given":"C.N.","non-dropping-particle":"","parse-names":false,"suffix":""}],"container-title":"Journal of Pediatrics","id":"ITEM-1","issued":{"date-parts":[["2015"]]},"title":"Academic performance among children with inflammatory bowel disease: A population-based study","type":"article-journal"},"uris":["http://www.mendeley.com/documents/?uuid=00967f5a-09f5-432c-a907-7690c3f03703","http://www.mendeley.com/documents/?uuid=91129c0a-928e-4b44-9d6b-8a4595f9aa86","http://www.mendeley.com/documents/?uuid=367b7d13-0c2b-401b-a8bc-ce6fb1ba684c"]}],"mendeley":{"formattedCitation":"[28]","plainTextFormattedCitation":"[28]","previouslyFormattedCitation":"[28]"},"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[28]</w:t>
      </w:r>
      <w:r w:rsidR="003E61C5">
        <w:rPr>
          <w:rFonts w:ascii="Arial" w:hAnsi="Arial" w:cs="Arial"/>
          <w:sz w:val="24"/>
          <w:szCs w:val="24"/>
        </w:rPr>
        <w:fldChar w:fldCharType="end"/>
      </w:r>
      <w:r w:rsidRPr="00A72606">
        <w:rPr>
          <w:rFonts w:ascii="Arial" w:hAnsi="Arial" w:cs="Arial"/>
          <w:sz w:val="24"/>
          <w:szCs w:val="24"/>
        </w:rPr>
        <w:t>. Lower school/college attendan</w:t>
      </w:r>
      <w:r>
        <w:rPr>
          <w:rFonts w:ascii="Arial" w:hAnsi="Arial" w:cs="Arial"/>
          <w:sz w:val="24"/>
          <w:szCs w:val="24"/>
        </w:rPr>
        <w:t>ce rates are</w:t>
      </w:r>
      <w:r w:rsidRPr="00A72606">
        <w:rPr>
          <w:rFonts w:ascii="Arial" w:hAnsi="Arial" w:cs="Arial"/>
          <w:sz w:val="24"/>
          <w:szCs w:val="24"/>
        </w:rPr>
        <w:t xml:space="preserve"> correlated with </w:t>
      </w:r>
      <w:r w:rsidRPr="00A72606">
        <w:rPr>
          <w:rFonts w:ascii="Arial" w:hAnsi="Arial" w:cs="Arial"/>
          <w:sz w:val="24"/>
          <w:szCs w:val="24"/>
        </w:rPr>
        <w:lastRenderedPageBreak/>
        <w:t>disease, demographic</w:t>
      </w:r>
      <w:r>
        <w:rPr>
          <w:rFonts w:ascii="Arial" w:hAnsi="Arial" w:cs="Arial"/>
          <w:sz w:val="24"/>
          <w:szCs w:val="24"/>
        </w:rPr>
        <w:t>,</w:t>
      </w:r>
      <w:r w:rsidRPr="00A72606">
        <w:rPr>
          <w:rFonts w:ascii="Arial" w:hAnsi="Arial" w:cs="Arial"/>
          <w:sz w:val="24"/>
          <w:szCs w:val="24"/>
        </w:rPr>
        <w:t xml:space="preserve"> and psychosocial variables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{"citationItems":[{"id":"ITEM-1","itemData":{"DOI":"10.1097/DBP.0b013e318240cf68","ISSN":"0196206X","abstract":"Objective: Inflammatory bowel disease (IBD) and its treatment have the potential to disrupt school functioning. Some research suggests that youth with IBD may have increased absences, but little is known about other areas of school functioning or related factors. This study examined school functioning (absences, achievement, grade retention, special education, and school-related quality of life) in adolescents with IBD compared with healthy adolescents and investigated demographic, disease, and psychosocial vari-ables as predictors. Methods: Participants were 92 adolescents 11 to 17 years (50 with IBD and 42 healthy) and parents who completed questionnaires assessing psychosocial and school functioning. Report cards and school absence information were obtained from schools. Results: Youth with IBD had poorer school function-ing in all areas, although only absences were significantly different between groups. Among those with IBD, internalizing problems predicted absences, income and externalizing problems predicted grade point average, and parent marital status and somatic complaints predicted school quality of life. Disease factors, including but not limited disease activity, were not significant predictors. Conclusions: Adolescents with IBD are at risk for school difficulty, and demographic and psychosocial factors are better predictors than disease factors. Interventions aimed at improving behavioral/emotional problems may improve school functioning. (J Dev Behav Pediatr 33:106 –111, 2012) Index terms: inflammatory bowel disease, school functioning, adolescent development. Inf lammatory bowel disease (IBD) is a relapsing-remit-ting chronic illness commonly diagnosed during adoles-cence. It is typically divided into the 2 subtypes of Crohn's disease and ulcerative colitis (UC), which differ in anatomical location and the nature of the inflamma-tion. The primary symptoms of IBD, abdominal pain, fatigue, and diarrhea occur in both Crohn's disease and UC and likely affect school functioning in a similar man-ner. Both IBD and its treatment have the potential to disrupt school functioning. When the disease is active, the symptoms can require a need for bathroom proxim-ity, increased clinic visits, and an increased risk for hos-pitalization. Treatment for IBD includes corticosteroids, which affect learning and memory, 1 and intravenous medication requiring hours in an infusion clinic. Further-more, a recent meta-analysis noted increased rates of depression …","author":[{"dropping-particle":"","family":"MacKner","given":"Laura M.","non-dropping-particle":"","parse-names":false,"suffix":""},{"dropping-particle":"","family":"Bickmeier","given":"Robert M.","non-dropping-particle":"","parse-names":false,"suffix":""},{"dropping-particle":"V.","family":"Crandall","given":"Wallace","non-dropping-particle":"","parse-names":false,"suffix":""}],"container-title":"Journal of Developmental and Behavioral Pediatrics","id":"ITEM-1","issued":{"date-parts":[["2012"]]},"title":"Academic achievement, attendance, and school-related quality of life in pediatric inflammatory bowel disease","type":"article-journal"},"uris":["http://www.mendeley.com/documents/?uuid=8d0ba40e-2727-4e31-b9a3-4e4e2997b767","http://www.mendeley.com/documents/?uuid=354863ad-61b2-4aeb-8821-4b34874034cc"]}],"mendeley":{"formattedCitation":"[25]","plainTextFormattedCitation":"[25]","previouslyFormattedCitation":"[25]"},"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[25]</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{"citationItems":[{"id":"ITEM-1","itemData":{"DOI":"10.1016/j.cgh.2014.03.032","ISSN":"15427714","abstract":"Background &amp; Aims: Successful adjustment to college is required for academic success. We investigated whether inflammatory bowel disease (IBD) activity affects this adjustment process. Methods: We created an online survey that included a Student Adaptation to College Questionnaire (SACQ), a general quality of life survey (SF-12), a disease-specific short IBD quality of life survey (SIBDQ), and disease activity indices. Undergraduate students across the United States were recruited via social media. Results: Surveys were completed by 65 students with Crohn's disease (CD), 28 with ulcerative colitis, and 214 healthy students (controls). Disease-specific quality of life (SIBDQ results) correlated with IBD disease activity (rho= -0.79; P &lt; .0001). High college adjustment scores (SACQ results) were associated with high SIBDQ scores. Students with IBD had lower mean SACQ scores than controls (307 vs 290; P &lt; .0001). There was a modest inverse correlation between CD activity and SACQ (rho= -0.24; P &lt; .04). Disease activity in students with CD was associated strongly with their self-reported ability to keep up with academic work (P &lt; .0089) and confidence in their ability to meet future academic challenges (P &lt; .0015). Students with active IBD reported feeling as if they were not academically successful (P&lt;.018), and students with ulcerative colitis reported irregular class attendance (P &lt; .043). Conclusions: Students with IBD do not adjust to college as well as healthy students. Disease activity affects their adjustment and attitudes about academics-especially among students with CD. Successful adjustment is important for academic success, affecting graduation rates and future economic success. Strategies to increase disease control and provide social and emotional support during college could improve adjustment to college and academic performance, and increase patients' potential.","author":[{"dropping-particle":"","family":"Almadani","given":"S. Bashar","non-dropping-particle":"","parse-names":false,"suffix":""},{"dropping-particle":"","family":"Adler","given":"Jeremy","non-dropping-particle":"","parse-names":false,"suffix":""},{"dropping-particle":"","family":"Browning","given":"Jeff","non-dropping-particle":"","parse-names":false,"suffix":""},{"dropping-particle":"","family":"Green","given":"Elan H.","non-dropping-particle":"","parse-names":false,"suffix":""},{"dropping-particle":"","family":"Helvie","given":"Karla","non-dropping-particle":"","parse-names":false,"suffix":""},{"dropping-particle":"","family":"Rizk","given":"Rafat S.","non-dropping-particle":"","parse-names":false,"suffix":""},{"dropping-particle":"","family":"Zimmermann","given":"Ellen M.","non-dropping-particle":"","parse-names":false,"suffix":""}],"container-title":"Clinical Gastroenterology and Hepatology","id":"ITEM-1","issued":{"date-parts":[["2014"]]},"title":"Effects of Inflammatory Bowel Disease on Students' Adjustment to College","type":"article-journal"},"uris":["http://www.mendeley.com/documents/?uuid=cd7d3b08-a498-476e-a0ba-7c2c74562602","http://www.mendeley.com/documents/?uuid=1c29789e-1447-481e-aeb2-b472a852ab6c","http://www.mendeley.com/documents/?uuid=1d1a00b8-17e1-41c0-b759-77407b30779b"]}],"mendeley":{"formattedCitation":"[29]","plainTextFormattedCitation":"[29]","previouslyFormattedCitation":"[29]"},"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[29]</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{"citationItems":[{"id":"ITEM-1","itemData":{"DOI":"10.1093/ibd/izy026","ISSN":"15364844","abstract":"Background: Symptoms of inflammatory bowel diseases (IBD) can interfere with optimal psychosocial functioning of adolescents, including school functioning. School functioning can be broadly conceptualized as involving attendance, academic performance, and participation in academic and extracurricular activities. However, previous research has largely examined the impact of IBD on school attendance. The present study aimed to describe school attendance, performance, and participation in a sample of adolescents with IBD and to examine demographic and disease-related correlates of poorer school functioning. Methods: One-hundred sixty-one adolescent-parent dyads (M [SD] adolescent age = 14.5 [1.9] years, 43% female) completed questionnaires assessing demographics, school attendance, performance, and participation. Clinical disease activity was rated by physicians at the time of study enrollment. Results: Difficulties with school attendance were reported, with nearly three-quarters of participants reporting school absences due to visits with doctors or hospitalizations and just under half of the sample reporting general school absences and missing school due to not feeling well. In bivariate analyses, older age was associated with poorer school performance and participation, whereas greater disease activity was associated with poorer school attendance. In regression analyses, greater disease activity and older age emerged as the most salient predictors of poorer school attendance. Older age also emerged as the most salient predictor of school performance and participation. Conclusions: Demographic factors and age in particular were more consistent predictors of school functioning than disease factors. Special attention to older youth and those with active disease may be important to ensure optimal school functioning.","author":[{"dropping-particle":"","family":"Carreon","given":"Samantha A.","non-dropping-particle":"","parse-names":false,"suffix":""},{"dropping-particle":"","family":"Bugno","given":"Lindsey T.","non-dropping-particle":"","parse-names":false,"suffix":""},{"dropping-particle":"","family":"Wojtowicz","given":"Andrea A.","non-dropping-particle":"","parse-names":false,"suffix":""},{"dropping-particle":"","family":"Greenley","given":"Rachel N.","non-dropping-particle":"","parse-names":false,"suffix":""}],"container-title":"Inflammatory Bowel Diseases","id":"ITEM-1","issued":{"date-parts":[["2018"]]},"title":"School Functioning in Adolescents with Inflammatory Bowel Diseases: An Examination of Disease and Demographic Correlates","type":"article-journal"},"uris":["http://www.mendeley.com/documents/?uuid=eddd031f-f36e-4a10-9bb7-32e605a88ef4","http://www.mendeley.com/documents/?uuid=2a5bdeee-5150-4314-b0b1-3b4b214b04ec","http://www.mendeley.com/documents/?uuid=39b8a584-89de-447e-bd8c-cc6365bf6ab1"]}],"mendeley":{"formattedCitation":"[30]","plainTextFormattedCitation":"[30]","previouslyFormattedCitation":"[30]"},"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[30]</w:t>
      </w:r>
      <w:r w:rsidR="003E61C5">
        <w:rPr>
          <w:rFonts w:ascii="Arial" w:hAnsi="Arial" w:cs="Arial"/>
          <w:sz w:val="24"/>
          <w:szCs w:val="24"/>
        </w:rPr>
        <w:fldChar w:fldCharType="end"/>
      </w:r>
      <w:r w:rsidRPr="00A72606">
        <w:rPr>
          <w:rFonts w:ascii="Arial" w:hAnsi="Arial" w:cs="Arial"/>
          <w:sz w:val="24"/>
          <w:szCs w:val="24"/>
        </w:rPr>
        <w:t>. However</w:t>
      </w:r>
      <w:r>
        <w:rPr>
          <w:rFonts w:ascii="Arial" w:hAnsi="Arial" w:cs="Arial"/>
          <w:sz w:val="24"/>
          <w:szCs w:val="24"/>
        </w:rPr>
        <w:t>, disease factors/treatments are</w:t>
      </w:r>
      <w:r w:rsidRPr="00A72606">
        <w:rPr>
          <w:rFonts w:ascii="Arial" w:hAnsi="Arial" w:cs="Arial"/>
          <w:sz w:val="24"/>
          <w:szCs w:val="24"/>
        </w:rPr>
        <w:t xml:space="preserve"> not predictive of worse educat</w:t>
      </w:r>
      <w:r>
        <w:rPr>
          <w:rFonts w:ascii="Arial" w:hAnsi="Arial" w:cs="Arial"/>
          <w:sz w:val="24"/>
          <w:szCs w:val="24"/>
        </w:rPr>
        <w:t>ional outcomes</w:t>
      </w:r>
      <w:r w:rsidRPr="00A72606">
        <w:rPr>
          <w:rFonts w:ascii="Arial" w:hAnsi="Arial" w:cs="Arial"/>
          <w:sz w:val="24"/>
          <w:szCs w:val="24"/>
        </w:rPr>
        <w:t xml:space="preserve"> </w:t>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{"citationItems":[{"id":"ITEM-1","itemData":{"DOI":"10.1097/DBP.0b013e318240cf68","ISSN":"0196206X","abstract":"Objective: Inflammatory bowel disease (IBD) and its treatment have the potential to disrupt school functioning. Some research suggests that youth with IBD may have increased absences, but little is known about other areas of school functioning or related factors. This study examined school functioning (absences, achievement, grade retention, special education, and school-related quality of life) in adolescents with IBD compared with healthy adolescents and investigated demographic, disease, and psychosocial vari-ables as predictors. Methods: Participants were 92 adolescents 11 to 17 years (50 with IBD and 42 healthy) and parents who completed questionnaires assessing psychosocial and school functioning. Report cards and school absence information were obtained from schools. Results: Youth with IBD had poorer school function-ing in all areas, although only absences were significantly different between groups. Among those with IBD, internalizing problems predicted absences, income and externalizing problems predicted grade point average, and parent marital status and somatic complaints predicted school quality of life. Disease factors, including but not limited disease activity, were not significant predictors. Conclusions: Adolescents with IBD are at risk for school difficulty, and demographic and psychosocial factors are better predictors than disease factors. Interventions aimed at improving behavioral/emotional problems may improve school functioning. (J Dev Behav Pediatr 33:106 –111, 2012) Index terms: inflammatory bowel disease, school functioning, adolescent development. Inf lammatory bowel disease (IBD) is a relapsing-remit-ting chronic illness commonly diagnosed during adoles-cence. It is typically divided into the 2 subtypes of Crohn's disease and ulcerative colitis (UC), which differ in anatomical location and the nature of the inflamma-tion. The primary symptoms of IBD, abdominal pain, fatigue, and diarrhea occur in both Crohn's disease and UC and likely affect school functioning in a similar man-ner. Both IBD and its treatment have the potential to disrupt school functioning. When the disease is active, the symptoms can require a need for bathroom proxim-ity, increased clinic visits, and an increased risk for hos-pitalization. Treatment for IBD includes corticosteroids, which affect learning and memory, 1 and intravenous medication requiring hours in an infusion clinic. Further-more, a recent meta-analysis noted increased rates of depression …","author":[{"dropping-particle":"","family":"MacKner","given":"Laura M.","non-dropping-particle":"","parse-names":false,"suffix":""},{"dropping-particle":"","family":"Bickmeier","given":"Robert M.","non-dropping-particle":"","parse-names":false,"suffix":""},{"dropping-particle":"V.","family":"Crandall","given":"Wallace","non-dropping-particle":"","parse-names":false,"suffix":""}],"container-title":"Journal of Developmental and Behavioral Pediatrics","id":"ITEM-1","issued":{"date-parts":[["2012"]]},"title":"Academic achievement, attendance, and school-related quality of life in pediatric inflammatory bowel disease","type":"article-journal"},"uris":["http://www.mendeley.com/documents/?uuid=8d0ba40e-2727-4e31-b9a3-4e4e2997b767","http://www.mendeley.com/documents/?uuid=354863ad-61b2-4aeb-8821-4b34874034cc"]}],"mendeley":{"formattedCitation":"[25]","plainTextFormattedCitation":"[25]","previouslyFormattedCitation":"[25]"},"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[25]</w:t>
      </w:r>
      <w:r w:rsidR="003E61C5">
        <w:rPr>
          <w:rFonts w:ascii="Arial" w:hAnsi="Arial" w:cs="Arial"/>
          <w:sz w:val="24"/>
          <w:szCs w:val="24"/>
        </w:rPr>
        <w:fldChar w:fldCharType="end"/>
      </w:r>
      <w:r w:rsidRPr="001D3FC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{"citationItems":[{"id":"ITEM-1","itemData":{"ISSN":"1097-6833","abstract":"Objectives To determine grade 12 academic performance for children with inflammatory bowel disease (IBD). Study design Children diagnosed with IBD at age &lt;17 years identified from the population-based University of Manitoba IBD Epidemiology Database were matched by age-, sex-, and area of residence to 10 randomly selected controls. Grade 12 educational outcomes (scores on the provincial grade 12 language arts and mathematics standards tests, and enrollment-in-grade-12-by- age-17) were determined by linkage to the province wide Manitoba Education Database. Linear and logistic regression analysis were used to compare the educational outcomes, adjusting for socioeconomic status and comorbidities and evaluate predictors of educational outcomes among children with IBD. Results Grade 12 educational outcomes among 337 children with IBD were compared with 3093 without IBD. There were no significant differences among the 2 groups in the standardized scores (language arts: P =.31; mathematics: P =.48) or enrollment-in-grade-12-by- age-17 (P =.25). Lower socioeconomic status and diagnosis with mental health problems 6 months prior to and 6 months post-IBD diagnosis were independent predictors of worse educational outcomes. There was no significant effect of age of diagnosis of IBD, type of IBD (ulcerative colitis vs Crohn's disease), use of corticosteroids or immunomodulator agents, hospitalizations, or surgery for IBD. Conclusions Children with IBD on average achieve similar levels of academic achievement in grade 12 as those without IBD. This study underscores the educational impact of mental health conditions at IBD diagnosis among children.","author":[{"dropping-particle":"","family":"Singh","given":"H.","non-dropping-particle":"","parse-names":false,"suffix":""},{"dropping-particle":"","family":"Nugent","given":"Z.","non-dropping-particle":"","parse-names":false,"suffix":""},{"dropping-particle":"","family":"Brownell","given":"M.","non-dropping-particle":"","parse-names":false,"suffix":""},{"dropping-particle":"","family":"Targownik","given":"L.E.","non-dropping-particle":"","parse-names":false,"suffix":""},{"dropping-particle":"","family":"Roos","given":"L.L.","non-dropping-particle":"","parse-names":false,"suffix":""},{"dropping-particle":"","family":"Bernstein","given":"C.N.","non-dropping-particle":"","parse-names":false,"suffix":""}],"container-title":"Journal of Pediatrics","id":"ITEM-1","issued":{"date-parts":[["2015"]]},"title":"Academic performance among children with inflammatory bowel disease: A population-based study","type":"article-journal"},"uris":["http://www.mendeley.com/documents/?uuid=367b7d13-0c2b-401b-a8bc-ce6fb1ba684c","http://www.mendeley.com/documents/?uuid=91129c0a-928e-4b44-9d6b-8a4595f9aa86"]}],"mendeley":{"formattedCitation":"[28]","plainTextFormattedCitation":"[28]","previouslyFormattedCitation":"[28]"},"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[28]</w:t>
      </w:r>
      <w:r w:rsidR="003E61C5">
        <w:rPr>
          <w:rFonts w:ascii="Arial" w:hAnsi="Arial" w:cs="Arial"/>
          <w:sz w:val="24"/>
          <w:szCs w:val="24"/>
        </w:rPr>
        <w:fldChar w:fldCharType="end"/>
      </w:r>
      <w:r w:rsidRPr="00A7260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{"citationItems":[{"id":"ITEM-1","itemData":{"DOI":"10.1093/ibd/izy026","ISSN":"15364844","abstract":"Background: Symptoms of inflammatory bowel diseases (IBD) can interfere with optimal psychosocial functioning of adolescents, including school functioning. School functioning can be broadly conceptualized as involving attendance, academic performance, and participation in academic and extracurricular activities. However, previous research has largely examined the impact of IBD on school attendance. The present study aimed to describe school attendance, performance, and participation in a sample of adolescents with IBD and to examine demographic and disease-related correlates of poorer school functioning. Methods: One-hundred sixty-one adolescent-parent dyads (M [SD] adolescent age = 14.5 [1.9] years, 43% female) completed questionnaires assessing demographics, school attendance, performance, and participation. Clinical disease activity was rated by physicians at the time of study enrollment. Results: Difficulties with school attendance were reported, with nearly three-quarters of participants reporting school absences due to visits with doctors or hospitalizations and just under half of the sample reporting general school absences and missing school due to not feeling well. In bivariate analyses, older age was associated with poorer school performance and participation, whereas greater disease activity was associated with poorer school attendance. In regression analyses, greater disease activity and older age emerged as the most salient predictors of poorer school attendance. Older age also emerged as the most salient predictor of school performance and participation. Conclusions: Demographic factors and age in particular were more consistent predictors of school functioning than disease factors. Special attention to older youth and those with active disease may be important to ensure optimal school functioning.","author":[{"dropping-particle":"","family":"Carreon","given":"Samantha A.","non-dropping-particle":"","parse-names":false,"suffix":""},{"dropping-particle":"","family":"Bugno","given":"Lindsey T.","non-dropping-particle":"","parse-names":false,"suffix":""},{"dropping-particle":"","family":"Wojtowicz","given":"Andrea A.","non-dropping-particle":"","parse-names":false,"suffix":""},{"dropping-particle":"","family":"Greenley","given":"Rachel N.","non-dropping-particle":"","parse-names":false,"suffix":""}],"container-title":"Inflammatory Bowel Diseases","id":"ITEM-1","issued":{"date-parts":[["2018"]]},"title":"School Functioning in Adolescents with Inflammatory Bowel Diseases: An Examination of Disease and Demographic Correlates","type":"article-journal"},"uris":["http://www.mendeley.com/documents/?uuid=39b8a584-89de-447e-bd8c-cc6365bf6ab1","http://www.mendeley.com/documents/?uuid=2a5bdeee-5150-4314-b0b1-3b4b214b04ec"]}],"mendeley":{"formattedCitation":"[30]","plainTextFormattedCitation":"[30]","previouslyFormattedCitation":"[30]"},"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[30]</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{"citationItems":[{"id":"ITEM-1","itemData":{"DOI":"10.1136/bmjgast-2018-000236","ISSN":"20544774","abstract":"Objective We describe school performance and experience in children with inflammatory bowel disease (IBD) across Germany and Austria. Predictors of compromised performance and satisfaction were evaluated to identify subgroups of increased risk. Design This cross-sectional analysis was based on a postal survey in children aged 10–15 with Crohn’s disease, ulcerative colitis or unclassified IBD and their families. Multivariate regression analysis was used to assess influential factors on parental satisfaction with school, attending advanced secondary education (ASE), having good marks and having to repeat a class. Satisfaction was assessed based on the Child Healthcare–Satisfaction, Utilisation and Needs instrument (possible range 1.00–5.00). Results Of 1367 families contacted, 675 participated in the study (49.4%). Sixty-eight participants (10.2%) had repeated a year, 312 (46.2%) attended ASE. The median school satisfaction score was 2.67 (IQR 2.00–3.33). High socioeconomic status (SES) and region within Germany were predictive for ASE (OR high SES 8.2, 95% CI 4.7 to 14.2). SES, female sex and region of residence predicted good marks. Grade retention was associated with an active disease course (OR 2.7, 95% CI 1.4 to 5.3) and prolonged periods off school due to IBD (OR 3.9, 95% CI 1.8 to 8.6). Conclusions A severe disease course impacted on the risk of grade retention, but not on type of school attended and school marks. Low satisfaction of parents of chronically ill children with the school situation underlines the need for a more interdisciplinary approach in health services and health services research in young people.","author":[{"dropping-particle":"","family":"Freckmann","given":"Magdalena","non-dropping-particle":"","parse-names":false,"suffix":""},{"dropping-particle":"","family":"Seipp","given":"Alexander","non-dropping-particle":"","parse-names":false,"suffix":""},{"dropping-particle":"","family":"Laass","given":"Martin W.","non-dropping-particle":"","parse-names":false,"suffix":""},{"dropping-particle":"","family":"Koletzko","given":"Sibylle","non-dropping-particle":"","parse-names":false,"suffix":""},{"dropping-particle":"","family":"Claßen","given":"Martin","non-dropping-particle":"","parse-names":false,"suffix":""},{"dropping-particle":"","family":"Ballauff","given":"Antje","non-dropping-particle":"","parse-names":false,"suffix":""},{"dropping-particle":"","family":"Peplies","given":"Jenny","non-dropping-particle":"","parse-names":false,"suffix":""},{"dropping-particle":"","family":"Timmer","given":"Antje","non-dropping-particle":"","parse-names":false,"suffix":""}],"container-title":"BMJ Open Gastroenterology","id":"ITEM-1","issued":{"date-parts":[["2018"]]},"title":"School-related experience and performance with inflammatory bowel disease: Results from a cross-sectional survey in 675 children and their parents","type":"article-journal"},"uris":["http://www.mendeley.com/documents/?uuid=e9802bdd-2b13-4b61-b6dd-5f8a3aa7f375","http://www.mendeley.com/documents/?uuid=7636df4b-5e20-4de2-8eda-d6132fc65181","http://www.mendeley.com/documents/?uuid=af487504-1ff7-461c-bcf9-6dc91b9792cf"]}],"mendeley":{"formattedCitation":"[31]","plainTextFormattedCitation":"[31]","previouslyFormattedCitation":"[31]"},"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[31]</w:t>
      </w:r>
      <w:r w:rsidR="003E61C5">
        <w:rPr>
          <w:rFonts w:ascii="Arial" w:hAnsi="Arial" w:cs="Arial"/>
          <w:sz w:val="24"/>
          <w:szCs w:val="24"/>
        </w:rPr>
        <w:fldChar w:fldCharType="end"/>
      </w:r>
      <w:r w:rsidRPr="00A72606">
        <w:rPr>
          <w:rFonts w:ascii="Arial" w:hAnsi="Arial" w:cs="Arial"/>
          <w:sz w:val="24"/>
          <w:szCs w:val="24"/>
        </w:rPr>
        <w:t xml:space="preserve">.  </w:t>
      </w:r>
    </w:p>
    <w:p w:rsidR="002147E0" w:rsidRDefault="002147E0" w:rsidP="002147E0">
      <w:pPr>
        <w:spacing w:line="480" w:lineRule="auto"/>
        <w:jc w:val="both"/>
        <w:rPr>
          <w:rFonts w:ascii="Arial" w:hAnsi="Arial" w:cs="Arial"/>
          <w:sz w:val="24"/>
          <w:szCs w:val="24"/>
        </w:rPr>
      </w:pPr>
      <w:bookmarkStart w:id="1" w:name="_Hlk20140482"/>
      <w:r>
        <w:rPr>
          <w:rFonts w:ascii="Arial" w:hAnsi="Arial" w:cs="Arial"/>
          <w:sz w:val="24"/>
          <w:szCs w:val="24"/>
        </w:rPr>
        <w:t>The</w:t>
      </w:r>
      <w:r w:rsidRPr="00A72606">
        <w:rPr>
          <w:rFonts w:ascii="Arial" w:hAnsi="Arial" w:cs="Arial"/>
          <w:sz w:val="24"/>
          <w:szCs w:val="24"/>
        </w:rPr>
        <w:t xml:space="preserve"> aim of this study was to examine the extent to which IBD affects school/college attendance for children</w:t>
      </w:r>
      <w:r>
        <w:rPr>
          <w:rFonts w:ascii="Arial" w:hAnsi="Arial" w:cs="Arial"/>
          <w:sz w:val="24"/>
          <w:szCs w:val="24"/>
        </w:rPr>
        <w:t>, determine</w:t>
      </w:r>
      <w:r w:rsidRPr="00A72606">
        <w:rPr>
          <w:rFonts w:ascii="Arial" w:hAnsi="Arial" w:cs="Arial"/>
          <w:sz w:val="24"/>
          <w:szCs w:val="24"/>
        </w:rPr>
        <w:t xml:space="preserve"> </w:t>
      </w:r>
      <w:r>
        <w:rPr>
          <w:rFonts w:ascii="Arial" w:hAnsi="Arial" w:cs="Arial"/>
          <w:sz w:val="24"/>
          <w:szCs w:val="24"/>
        </w:rPr>
        <w:t>contributing</w:t>
      </w:r>
      <w:r w:rsidRPr="00A72606">
        <w:rPr>
          <w:rFonts w:ascii="Arial" w:hAnsi="Arial" w:cs="Arial"/>
          <w:sz w:val="24"/>
          <w:szCs w:val="24"/>
        </w:rPr>
        <w:t xml:space="preserve"> factors</w:t>
      </w:r>
      <w:r>
        <w:rPr>
          <w:rFonts w:ascii="Arial" w:hAnsi="Arial" w:cs="Arial"/>
          <w:sz w:val="24"/>
          <w:szCs w:val="24"/>
        </w:rPr>
        <w:t xml:space="preserve"> for absences and perform thematic analysis of CYP comments</w:t>
      </w:r>
      <w:r w:rsidRPr="00A72606">
        <w:rPr>
          <w:rFonts w:ascii="Arial" w:hAnsi="Arial" w:cs="Arial"/>
          <w:sz w:val="24"/>
          <w:szCs w:val="24"/>
        </w:rPr>
        <w:t>.</w:t>
      </w:r>
    </w:p>
    <w:bookmarkEnd w:id="1"/>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Default="002147E0" w:rsidP="002147E0">
      <w:pPr>
        <w:spacing w:line="480" w:lineRule="auto"/>
        <w:jc w:val="both"/>
        <w:rPr>
          <w:rFonts w:ascii="Arial" w:hAnsi="Arial" w:cs="Arial"/>
          <w:sz w:val="24"/>
          <w:szCs w:val="24"/>
        </w:rPr>
      </w:pPr>
    </w:p>
    <w:p w:rsidR="002147E0" w:rsidRPr="00D42D05" w:rsidRDefault="002147E0" w:rsidP="002147E0">
      <w:pPr>
        <w:spacing w:line="480" w:lineRule="auto"/>
        <w:jc w:val="both"/>
        <w:rPr>
          <w:rFonts w:ascii="Arial" w:hAnsi="Arial" w:cs="Arial"/>
          <w:b/>
          <w:sz w:val="24"/>
          <w:szCs w:val="24"/>
          <w:u w:val="single"/>
        </w:rPr>
      </w:pPr>
      <w:r w:rsidRPr="00D42D05">
        <w:rPr>
          <w:rFonts w:ascii="Arial" w:hAnsi="Arial" w:cs="Arial"/>
          <w:b/>
          <w:sz w:val="24"/>
          <w:szCs w:val="24"/>
          <w:u w:val="single"/>
        </w:rPr>
        <w:lastRenderedPageBreak/>
        <w:t>Methods</w:t>
      </w:r>
    </w:p>
    <w:p w:rsidR="002147E0" w:rsidRPr="00D42D05" w:rsidRDefault="002147E0" w:rsidP="002147E0">
      <w:pPr>
        <w:spacing w:line="480" w:lineRule="auto"/>
        <w:jc w:val="both"/>
        <w:rPr>
          <w:rFonts w:ascii="Arial" w:hAnsi="Arial" w:cs="Arial"/>
          <w:sz w:val="24"/>
          <w:szCs w:val="24"/>
          <w:u w:val="single"/>
        </w:rPr>
      </w:pPr>
      <w:r w:rsidRPr="00D42D05">
        <w:rPr>
          <w:rFonts w:ascii="Arial" w:hAnsi="Arial" w:cs="Arial"/>
          <w:sz w:val="24"/>
          <w:szCs w:val="24"/>
          <w:u w:val="single"/>
        </w:rPr>
        <w:t>Study population</w:t>
      </w:r>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The Paediatric Gastroenterology Service at University Hospitals Southampton</w:t>
      </w:r>
      <w:r>
        <w:rPr>
          <w:rFonts w:ascii="Arial" w:hAnsi="Arial" w:cs="Arial"/>
          <w:sz w:val="24"/>
          <w:szCs w:val="24"/>
        </w:rPr>
        <w:t xml:space="preserve"> (UHS)</w:t>
      </w:r>
      <w:r w:rsidRPr="00A72606">
        <w:rPr>
          <w:rFonts w:ascii="Arial" w:hAnsi="Arial" w:cs="Arial"/>
          <w:sz w:val="24"/>
          <w:szCs w:val="24"/>
        </w:rPr>
        <w:t xml:space="preserve"> provide</w:t>
      </w:r>
      <w:r>
        <w:rPr>
          <w:rFonts w:ascii="Arial" w:hAnsi="Arial" w:cs="Arial"/>
          <w:sz w:val="24"/>
          <w:szCs w:val="24"/>
        </w:rPr>
        <w:t>s</w:t>
      </w:r>
      <w:r w:rsidRPr="00A72606">
        <w:rPr>
          <w:rFonts w:ascii="Arial" w:hAnsi="Arial" w:cs="Arial"/>
          <w:sz w:val="24"/>
          <w:szCs w:val="24"/>
        </w:rPr>
        <w:t xml:space="preserve"> </w:t>
      </w:r>
      <w:r>
        <w:rPr>
          <w:rFonts w:ascii="Arial" w:hAnsi="Arial" w:cs="Arial"/>
          <w:sz w:val="24"/>
          <w:szCs w:val="24"/>
        </w:rPr>
        <w:t>specialist</w:t>
      </w:r>
      <w:r w:rsidRPr="00A72606">
        <w:rPr>
          <w:rFonts w:ascii="Arial" w:hAnsi="Arial" w:cs="Arial"/>
          <w:sz w:val="24"/>
          <w:szCs w:val="24"/>
        </w:rPr>
        <w:t xml:space="preserve"> care for over 650,000 children, covering 12 regional hospitals.</w:t>
      </w:r>
      <w:r>
        <w:rPr>
          <w:rFonts w:ascii="Arial" w:hAnsi="Arial" w:cs="Arial"/>
          <w:sz w:val="24"/>
          <w:szCs w:val="24"/>
        </w:rPr>
        <w:t xml:space="preserve">  CYP are managed in conjunction with local clinical teams as part of a network. </w:t>
      </w:r>
      <w:bookmarkStart w:id="2" w:name="_Hlk20141501"/>
      <w:r w:rsidRPr="00D935EC">
        <w:rPr>
          <w:rFonts w:ascii="Arial" w:hAnsi="Arial" w:cs="Arial"/>
          <w:sz w:val="24"/>
          <w:szCs w:val="24"/>
        </w:rPr>
        <w:t xml:space="preserve">CYP with IBD are </w:t>
      </w:r>
      <w:r>
        <w:rPr>
          <w:rFonts w:ascii="Arial" w:hAnsi="Arial" w:cs="Arial"/>
          <w:sz w:val="24"/>
          <w:szCs w:val="24"/>
        </w:rPr>
        <w:t>typically</w:t>
      </w:r>
      <w:r w:rsidRPr="00D935EC">
        <w:rPr>
          <w:rFonts w:ascii="Arial" w:hAnsi="Arial" w:cs="Arial"/>
          <w:sz w:val="24"/>
          <w:szCs w:val="24"/>
        </w:rPr>
        <w:t xml:space="preserve"> seen 3 monthly</w:t>
      </w:r>
      <w:r>
        <w:rPr>
          <w:rFonts w:ascii="Arial" w:hAnsi="Arial" w:cs="Arial"/>
          <w:sz w:val="24"/>
          <w:szCs w:val="24"/>
        </w:rPr>
        <w:t xml:space="preserve"> in the year following diagnosis</w:t>
      </w:r>
      <w:r w:rsidRPr="00D935EC">
        <w:rPr>
          <w:rFonts w:ascii="Arial" w:hAnsi="Arial" w:cs="Arial"/>
          <w:sz w:val="24"/>
          <w:szCs w:val="24"/>
        </w:rPr>
        <w:t xml:space="preserve">, </w:t>
      </w:r>
      <w:r>
        <w:rPr>
          <w:rFonts w:ascii="Arial" w:hAnsi="Arial" w:cs="Arial"/>
          <w:sz w:val="24"/>
          <w:szCs w:val="24"/>
        </w:rPr>
        <w:t>with well controlled patients seen</w:t>
      </w:r>
      <w:r w:rsidR="00F16D7F">
        <w:rPr>
          <w:rFonts w:ascii="Arial" w:hAnsi="Arial" w:cs="Arial"/>
          <w:sz w:val="24"/>
          <w:szCs w:val="24"/>
        </w:rPr>
        <w:t xml:space="preserve"> 6 monthly, or, if very well, </w:t>
      </w:r>
      <w:r w:rsidRPr="00D935EC">
        <w:rPr>
          <w:rFonts w:ascii="Arial" w:hAnsi="Arial" w:cs="Arial"/>
          <w:sz w:val="24"/>
          <w:szCs w:val="24"/>
        </w:rPr>
        <w:t>yearly.</w:t>
      </w:r>
      <w:r>
        <w:rPr>
          <w:rFonts w:ascii="Arial" w:hAnsi="Arial" w:cs="Arial"/>
          <w:sz w:val="24"/>
          <w:szCs w:val="24"/>
        </w:rPr>
        <w:t xml:space="preserve"> </w:t>
      </w:r>
      <w:bookmarkEnd w:id="2"/>
      <w:r w:rsidRPr="00A72606">
        <w:rPr>
          <w:rFonts w:ascii="Arial" w:hAnsi="Arial" w:cs="Arial"/>
          <w:sz w:val="24"/>
          <w:szCs w:val="24"/>
        </w:rPr>
        <w:t>Patients with IBD diagnosed prior to 1st January 2</w:t>
      </w:r>
      <w:r>
        <w:rPr>
          <w:rFonts w:ascii="Arial" w:hAnsi="Arial" w:cs="Arial"/>
          <w:sz w:val="24"/>
          <w:szCs w:val="24"/>
        </w:rPr>
        <w:t xml:space="preserve">018 and </w:t>
      </w:r>
      <w:r w:rsidRPr="00A72606">
        <w:rPr>
          <w:rFonts w:ascii="Arial" w:hAnsi="Arial" w:cs="Arial"/>
          <w:sz w:val="24"/>
          <w:szCs w:val="24"/>
        </w:rPr>
        <w:t xml:space="preserve">of school/college age were identified from </w:t>
      </w:r>
      <w:r>
        <w:rPr>
          <w:rFonts w:ascii="Arial" w:hAnsi="Arial" w:cs="Arial"/>
          <w:sz w:val="24"/>
          <w:szCs w:val="24"/>
        </w:rPr>
        <w:t>our in-house</w:t>
      </w:r>
      <w:r w:rsidRPr="00A72606">
        <w:rPr>
          <w:rFonts w:ascii="Arial" w:hAnsi="Arial" w:cs="Arial"/>
          <w:sz w:val="24"/>
          <w:szCs w:val="24"/>
        </w:rPr>
        <w:t xml:space="preserve"> </w:t>
      </w:r>
      <w:r>
        <w:rPr>
          <w:rFonts w:ascii="Arial" w:hAnsi="Arial" w:cs="Arial"/>
          <w:sz w:val="24"/>
          <w:szCs w:val="24"/>
        </w:rPr>
        <w:t>IBD database.</w:t>
      </w:r>
      <w:r w:rsidRPr="00A72606">
        <w:rPr>
          <w:rFonts w:ascii="Arial" w:hAnsi="Arial" w:cs="Arial"/>
          <w:sz w:val="24"/>
          <w:szCs w:val="24"/>
        </w:rPr>
        <w:t xml:space="preserve"> </w:t>
      </w:r>
    </w:p>
    <w:p w:rsidR="002147E0" w:rsidRDefault="002147E0" w:rsidP="002147E0">
      <w:pPr>
        <w:spacing w:line="480" w:lineRule="auto"/>
        <w:jc w:val="both"/>
        <w:rPr>
          <w:rFonts w:ascii="Arial" w:hAnsi="Arial" w:cs="Arial"/>
          <w:sz w:val="24"/>
          <w:szCs w:val="24"/>
          <w:u w:val="single"/>
        </w:rPr>
      </w:pPr>
      <w:r w:rsidRPr="00D42D05">
        <w:rPr>
          <w:rFonts w:ascii="Arial" w:hAnsi="Arial" w:cs="Arial"/>
          <w:sz w:val="24"/>
          <w:szCs w:val="24"/>
          <w:u w:val="single"/>
        </w:rPr>
        <w:t>Questionnaire</w:t>
      </w:r>
    </w:p>
    <w:p w:rsidR="002147E0" w:rsidRDefault="002147E0" w:rsidP="002147E0">
      <w:pPr>
        <w:spacing w:line="480" w:lineRule="auto"/>
        <w:jc w:val="both"/>
        <w:rPr>
          <w:rFonts w:ascii="Arial" w:hAnsi="Arial" w:cs="Arial"/>
          <w:sz w:val="24"/>
          <w:szCs w:val="24"/>
        </w:rPr>
      </w:pPr>
      <w:r>
        <w:rPr>
          <w:rFonts w:ascii="Arial" w:hAnsi="Arial" w:cs="Arial"/>
          <w:sz w:val="24"/>
          <w:szCs w:val="24"/>
        </w:rPr>
        <w:t>A</w:t>
      </w:r>
      <w:r w:rsidRPr="00A72606">
        <w:rPr>
          <w:rFonts w:ascii="Arial" w:hAnsi="Arial" w:cs="Arial"/>
          <w:sz w:val="24"/>
          <w:szCs w:val="24"/>
        </w:rPr>
        <w:t xml:space="preserve"> questionnaire </w:t>
      </w:r>
      <w:r>
        <w:rPr>
          <w:rFonts w:ascii="Arial" w:hAnsi="Arial" w:cs="Arial"/>
          <w:sz w:val="24"/>
          <w:szCs w:val="24"/>
        </w:rPr>
        <w:t xml:space="preserve">(supplementary file 1) </w:t>
      </w:r>
      <w:r w:rsidRPr="00A72606">
        <w:rPr>
          <w:rFonts w:ascii="Arial" w:hAnsi="Arial" w:cs="Arial"/>
          <w:sz w:val="24"/>
          <w:szCs w:val="24"/>
        </w:rPr>
        <w:t>was constructed to determine the school/college attendance rates in the last year, the reasons for a</w:t>
      </w:r>
      <w:r>
        <w:rPr>
          <w:rFonts w:ascii="Arial" w:hAnsi="Arial" w:cs="Arial"/>
          <w:sz w:val="24"/>
          <w:szCs w:val="24"/>
        </w:rPr>
        <w:t>bsence related to IBD, facilitators/</w:t>
      </w:r>
      <w:r w:rsidRPr="00A72606">
        <w:rPr>
          <w:rFonts w:ascii="Arial" w:hAnsi="Arial" w:cs="Arial"/>
          <w:sz w:val="24"/>
          <w:szCs w:val="24"/>
        </w:rPr>
        <w:t>barriers to school/college attendance</w:t>
      </w:r>
      <w:r>
        <w:rPr>
          <w:rFonts w:ascii="Arial" w:hAnsi="Arial" w:cs="Arial"/>
          <w:sz w:val="24"/>
          <w:szCs w:val="24"/>
        </w:rPr>
        <w:t>,</w:t>
      </w:r>
      <w:r w:rsidRPr="00A72606">
        <w:rPr>
          <w:rFonts w:ascii="Arial" w:hAnsi="Arial" w:cs="Arial"/>
          <w:sz w:val="24"/>
          <w:szCs w:val="24"/>
        </w:rPr>
        <w:t xml:space="preserve"> and current treatments. </w:t>
      </w:r>
      <w:bookmarkStart w:id="3" w:name="_Hlk20125482"/>
      <w:r>
        <w:rPr>
          <w:rFonts w:ascii="Arial" w:hAnsi="Arial" w:cs="Arial"/>
          <w:sz w:val="24"/>
          <w:szCs w:val="24"/>
        </w:rPr>
        <w:t>As no validated tool is available</w:t>
      </w:r>
      <w:r w:rsidR="006B7034">
        <w:rPr>
          <w:rFonts w:ascii="Arial" w:hAnsi="Arial" w:cs="Arial"/>
          <w:sz w:val="24"/>
          <w:szCs w:val="24"/>
        </w:rPr>
        <w:t>,</w:t>
      </w:r>
      <w:r>
        <w:rPr>
          <w:rFonts w:ascii="Arial" w:hAnsi="Arial" w:cs="Arial"/>
          <w:sz w:val="24"/>
          <w:szCs w:val="24"/>
        </w:rPr>
        <w:t xml:space="preserve"> a questionnaire was designed with input from several CYP with IBD and their families, a </w:t>
      </w:r>
      <w:r w:rsidR="00A3781F">
        <w:rPr>
          <w:rFonts w:ascii="Arial" w:hAnsi="Arial" w:cs="Arial"/>
          <w:sz w:val="24"/>
          <w:szCs w:val="24"/>
        </w:rPr>
        <w:t>head teacher</w:t>
      </w:r>
      <w:r>
        <w:rPr>
          <w:rFonts w:ascii="Arial" w:hAnsi="Arial" w:cs="Arial"/>
          <w:sz w:val="24"/>
          <w:szCs w:val="24"/>
        </w:rPr>
        <w:t xml:space="preserve"> and members of the paediatric gastroenterology team.  All school children in England receive their attendance as a percentage on a yearly school report, enabling accurate and reliable collection of attendance figures. </w:t>
      </w:r>
      <w:bookmarkEnd w:id="3"/>
      <w:r w:rsidRPr="00A72606">
        <w:rPr>
          <w:rFonts w:ascii="Arial" w:hAnsi="Arial" w:cs="Arial"/>
          <w:sz w:val="24"/>
          <w:szCs w:val="24"/>
        </w:rPr>
        <w:t>All eligible patients and their families were invited to complete the questionnaire while attending hospital for clini</w:t>
      </w:r>
      <w:r>
        <w:rPr>
          <w:rFonts w:ascii="Arial" w:hAnsi="Arial" w:cs="Arial"/>
          <w:sz w:val="24"/>
          <w:szCs w:val="24"/>
        </w:rPr>
        <w:t>c, day case</w:t>
      </w:r>
      <w:r w:rsidRPr="00A72606">
        <w:rPr>
          <w:rFonts w:ascii="Arial" w:hAnsi="Arial" w:cs="Arial"/>
          <w:sz w:val="24"/>
          <w:szCs w:val="24"/>
        </w:rPr>
        <w:t xml:space="preserve"> or inpatient management.  Any IBD patients who had not been given a questionnaire within 4 months of data collection commencing, were mailed with a covering letter and enclosed pre-paid return envelope. </w:t>
      </w:r>
      <w:bookmarkStart w:id="4" w:name="_Hlk20126538"/>
      <w:r>
        <w:rPr>
          <w:rFonts w:ascii="Arial" w:hAnsi="Arial" w:cs="Arial"/>
          <w:sz w:val="24"/>
          <w:szCs w:val="24"/>
        </w:rPr>
        <w:t>All questionnaires were returned in a sealed envelope to a tray in the clinic or ward, or to the post room. This was to ensure that CYP answers were not influenced by giv</w:t>
      </w:r>
      <w:r w:rsidR="006B7034">
        <w:rPr>
          <w:rFonts w:ascii="Arial" w:hAnsi="Arial" w:cs="Arial"/>
          <w:sz w:val="24"/>
          <w:szCs w:val="24"/>
        </w:rPr>
        <w:t>ing</w:t>
      </w:r>
      <w:r>
        <w:rPr>
          <w:rFonts w:ascii="Arial" w:hAnsi="Arial" w:cs="Arial"/>
          <w:sz w:val="24"/>
          <w:szCs w:val="24"/>
        </w:rPr>
        <w:t xml:space="preserve"> completed questionnaires to members of the clinical team. </w:t>
      </w:r>
      <w:bookmarkEnd w:id="4"/>
    </w:p>
    <w:p w:rsidR="002147E0" w:rsidRDefault="002147E0" w:rsidP="002147E0">
      <w:pPr>
        <w:spacing w:line="480" w:lineRule="auto"/>
        <w:jc w:val="both"/>
        <w:rPr>
          <w:rFonts w:ascii="Arial" w:hAnsi="Arial" w:cs="Arial"/>
          <w:sz w:val="24"/>
          <w:szCs w:val="24"/>
        </w:rPr>
      </w:pPr>
      <w:r>
        <w:rPr>
          <w:rFonts w:ascii="Arial" w:hAnsi="Arial" w:cs="Arial"/>
          <w:sz w:val="24"/>
          <w:szCs w:val="24"/>
        </w:rPr>
        <w:lastRenderedPageBreak/>
        <w:t xml:space="preserve">CYP and their families were asked for the percentage school attendance for the previous academic year, or if unknown, the number of school/college days missed.  </w:t>
      </w:r>
      <w:r w:rsidRPr="00A72606">
        <w:rPr>
          <w:rFonts w:ascii="Arial" w:hAnsi="Arial" w:cs="Arial"/>
          <w:sz w:val="24"/>
          <w:szCs w:val="24"/>
        </w:rPr>
        <w:t>For those patients/families who did not know the exact perc</w:t>
      </w:r>
      <w:r>
        <w:rPr>
          <w:rFonts w:ascii="Arial" w:hAnsi="Arial" w:cs="Arial"/>
          <w:sz w:val="24"/>
          <w:szCs w:val="24"/>
        </w:rPr>
        <w:t>entage</w:t>
      </w:r>
      <w:r w:rsidRPr="00A72606">
        <w:rPr>
          <w:rFonts w:ascii="Arial" w:hAnsi="Arial" w:cs="Arial"/>
          <w:sz w:val="24"/>
          <w:szCs w:val="24"/>
        </w:rPr>
        <w:t xml:space="preserve">, an estimate of school attendance was calculated based on the number of school days missed.  </w:t>
      </w:r>
      <w:bookmarkStart w:id="5" w:name="_Hlk26366623"/>
      <w:r w:rsidRPr="00A72606">
        <w:rPr>
          <w:rFonts w:ascii="Arial" w:hAnsi="Arial" w:cs="Arial"/>
          <w:sz w:val="24"/>
          <w:szCs w:val="24"/>
        </w:rPr>
        <w:t>For those missing &gt;38 days per year, attendance was assumed to be 80%; a likely over estimate of attendance, to avoid biasing results to lower attendance.</w:t>
      </w:r>
      <w:bookmarkEnd w:id="5"/>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Free text comments on the questionnaire were collated and manually searched for recurrent themes.  Following classification of themes, a correlation/enrichment of these themes in different groups were identified</w:t>
      </w:r>
      <w:r>
        <w:rPr>
          <w:rFonts w:ascii="Arial" w:hAnsi="Arial" w:cs="Arial"/>
          <w:sz w:val="24"/>
          <w:szCs w:val="24"/>
        </w:rPr>
        <w:t xml:space="preserve"> through structured thematic </w:t>
      </w:r>
      <w:r w:rsidR="002047F6">
        <w:rPr>
          <w:rFonts w:ascii="Arial" w:hAnsi="Arial" w:cs="Arial"/>
          <w:sz w:val="24"/>
          <w:szCs w:val="24"/>
        </w:rPr>
        <w:t xml:space="preserve">analysis. </w:t>
      </w:r>
    </w:p>
    <w:p w:rsidR="002147E0" w:rsidRPr="00D42D05" w:rsidRDefault="002147E0" w:rsidP="002147E0">
      <w:pPr>
        <w:spacing w:line="480" w:lineRule="auto"/>
        <w:jc w:val="both"/>
        <w:rPr>
          <w:rFonts w:ascii="Arial" w:hAnsi="Arial" w:cs="Arial"/>
          <w:sz w:val="24"/>
          <w:szCs w:val="24"/>
          <w:u w:val="single"/>
        </w:rPr>
      </w:pPr>
      <w:r w:rsidRPr="00D42D05">
        <w:rPr>
          <w:rFonts w:ascii="Arial" w:hAnsi="Arial" w:cs="Arial"/>
          <w:sz w:val="24"/>
          <w:szCs w:val="24"/>
          <w:u w:val="single"/>
        </w:rPr>
        <w:t>Review of hospital</w:t>
      </w:r>
      <w:r>
        <w:rPr>
          <w:rFonts w:ascii="Arial" w:hAnsi="Arial" w:cs="Arial"/>
          <w:sz w:val="24"/>
          <w:szCs w:val="24"/>
          <w:u w:val="single"/>
        </w:rPr>
        <w:t xml:space="preserve"> attendance data for local</w:t>
      </w:r>
      <w:r w:rsidRPr="00D42D05">
        <w:rPr>
          <w:rFonts w:ascii="Arial" w:hAnsi="Arial" w:cs="Arial"/>
          <w:sz w:val="24"/>
          <w:szCs w:val="24"/>
          <w:u w:val="single"/>
        </w:rPr>
        <w:t xml:space="preserve"> patients</w:t>
      </w:r>
    </w:p>
    <w:p w:rsidR="002147E0" w:rsidRPr="00A72606" w:rsidRDefault="002147E0" w:rsidP="002147E0">
      <w:pPr>
        <w:spacing w:line="480" w:lineRule="auto"/>
        <w:jc w:val="both"/>
        <w:rPr>
          <w:rFonts w:ascii="Arial" w:hAnsi="Arial" w:cs="Arial"/>
          <w:sz w:val="24"/>
          <w:szCs w:val="24"/>
        </w:rPr>
      </w:pPr>
      <w:r>
        <w:rPr>
          <w:rFonts w:ascii="Arial" w:hAnsi="Arial" w:cs="Arial"/>
          <w:sz w:val="24"/>
          <w:szCs w:val="24"/>
        </w:rPr>
        <w:t>D</w:t>
      </w:r>
      <w:r w:rsidRPr="00A72606">
        <w:rPr>
          <w:rFonts w:ascii="Arial" w:hAnsi="Arial" w:cs="Arial"/>
          <w:sz w:val="24"/>
          <w:szCs w:val="24"/>
        </w:rPr>
        <w:t>etailed review of h</w:t>
      </w:r>
      <w:r>
        <w:rPr>
          <w:rFonts w:ascii="Arial" w:hAnsi="Arial" w:cs="Arial"/>
          <w:sz w:val="24"/>
          <w:szCs w:val="24"/>
        </w:rPr>
        <w:t>ospital attendance</w:t>
      </w:r>
      <w:r w:rsidRPr="00A72606">
        <w:rPr>
          <w:rFonts w:ascii="Arial" w:hAnsi="Arial" w:cs="Arial"/>
          <w:sz w:val="24"/>
          <w:szCs w:val="24"/>
        </w:rPr>
        <w:t xml:space="preserve"> was performed for all patients with IBD whose local hospital was Southampton Childr</w:t>
      </w:r>
      <w:r>
        <w:rPr>
          <w:rFonts w:ascii="Arial" w:hAnsi="Arial" w:cs="Arial"/>
          <w:sz w:val="24"/>
          <w:szCs w:val="24"/>
        </w:rPr>
        <w:t>en’s, i.e. receiving specialist and local care from the same unit.</w:t>
      </w:r>
      <w:r w:rsidRPr="00A72606">
        <w:rPr>
          <w:rFonts w:ascii="Arial" w:hAnsi="Arial" w:cs="Arial"/>
          <w:sz w:val="24"/>
          <w:szCs w:val="24"/>
        </w:rPr>
        <w:t xml:space="preserve"> </w:t>
      </w:r>
      <w:r>
        <w:rPr>
          <w:rFonts w:ascii="Arial" w:hAnsi="Arial" w:cs="Arial"/>
          <w:sz w:val="24"/>
          <w:szCs w:val="24"/>
        </w:rPr>
        <w:t xml:space="preserve"> </w:t>
      </w:r>
      <w:r w:rsidRPr="00A72606">
        <w:rPr>
          <w:rFonts w:ascii="Arial" w:hAnsi="Arial" w:cs="Arial"/>
          <w:sz w:val="24"/>
          <w:szCs w:val="24"/>
        </w:rPr>
        <w:t xml:space="preserve">For each patient, all hospital clinic appointments, admissions, reviews and investigations </w:t>
      </w:r>
      <w:r>
        <w:rPr>
          <w:rFonts w:ascii="Arial" w:hAnsi="Arial" w:cs="Arial"/>
          <w:sz w:val="24"/>
          <w:szCs w:val="24"/>
        </w:rPr>
        <w:t>from</w:t>
      </w:r>
      <w:r w:rsidRPr="00A72606">
        <w:rPr>
          <w:rFonts w:ascii="Arial" w:hAnsi="Arial" w:cs="Arial"/>
          <w:sz w:val="24"/>
          <w:szCs w:val="24"/>
        </w:rPr>
        <w:t xml:space="preserve"> September 2017 to August 2018 inclusive, were identified and recorded from the patient’s electronic health record.  These data were used to calculate the number of days of attendance for each category of heal</w:t>
      </w:r>
      <w:r>
        <w:rPr>
          <w:rFonts w:ascii="Arial" w:hAnsi="Arial" w:cs="Arial"/>
          <w:sz w:val="24"/>
          <w:szCs w:val="24"/>
        </w:rPr>
        <w:t>thcare</w:t>
      </w:r>
      <w:r w:rsidRPr="00A72606">
        <w:rPr>
          <w:rFonts w:ascii="Arial" w:hAnsi="Arial" w:cs="Arial"/>
          <w:sz w:val="24"/>
          <w:szCs w:val="24"/>
        </w:rPr>
        <w:t xml:space="preserve">.  An overall total number of days of hospital attendance for the year was calculated; removing duplicates where children had more than one attendance per day (e.g. clinic and </w:t>
      </w:r>
      <w:r>
        <w:rPr>
          <w:rFonts w:ascii="Arial" w:hAnsi="Arial" w:cs="Arial"/>
          <w:sz w:val="24"/>
          <w:szCs w:val="24"/>
        </w:rPr>
        <w:t>radiology</w:t>
      </w:r>
      <w:r w:rsidRPr="00A72606">
        <w:rPr>
          <w:rFonts w:ascii="Arial" w:hAnsi="Arial" w:cs="Arial"/>
          <w:sz w:val="24"/>
          <w:szCs w:val="24"/>
        </w:rPr>
        <w:t xml:space="preserve"> on the same day). This data was then </w:t>
      </w:r>
      <w:r>
        <w:rPr>
          <w:rFonts w:ascii="Arial" w:hAnsi="Arial" w:cs="Arial"/>
          <w:sz w:val="24"/>
          <w:szCs w:val="24"/>
        </w:rPr>
        <w:t>compared to</w:t>
      </w:r>
      <w:r w:rsidRPr="00A72606">
        <w:rPr>
          <w:rFonts w:ascii="Arial" w:hAnsi="Arial" w:cs="Arial"/>
          <w:sz w:val="24"/>
          <w:szCs w:val="24"/>
        </w:rPr>
        <w:t xml:space="preserve"> school attendance data.</w:t>
      </w:r>
    </w:p>
    <w:p w:rsidR="002147E0" w:rsidRPr="0070112D" w:rsidRDefault="002147E0" w:rsidP="002147E0">
      <w:pPr>
        <w:spacing w:line="480" w:lineRule="auto"/>
        <w:jc w:val="both"/>
        <w:rPr>
          <w:rFonts w:ascii="Arial" w:hAnsi="Arial" w:cs="Arial"/>
          <w:sz w:val="24"/>
          <w:szCs w:val="24"/>
          <w:u w:val="single"/>
        </w:rPr>
      </w:pPr>
      <w:r>
        <w:rPr>
          <w:rFonts w:ascii="Arial" w:hAnsi="Arial" w:cs="Arial"/>
          <w:sz w:val="24"/>
          <w:szCs w:val="24"/>
          <w:u w:val="single"/>
        </w:rPr>
        <w:t>Statistical analysis</w:t>
      </w:r>
    </w:p>
    <w:p w:rsidR="002147E0" w:rsidRPr="00A72606" w:rsidRDefault="002147E0" w:rsidP="002147E0">
      <w:pPr>
        <w:spacing w:line="480" w:lineRule="auto"/>
        <w:jc w:val="both"/>
        <w:rPr>
          <w:rFonts w:ascii="Arial" w:hAnsi="Arial" w:cs="Arial"/>
          <w:sz w:val="24"/>
          <w:szCs w:val="24"/>
        </w:rPr>
      </w:pPr>
      <w:r>
        <w:rPr>
          <w:rFonts w:ascii="Arial" w:hAnsi="Arial" w:cs="Arial"/>
          <w:sz w:val="24"/>
          <w:szCs w:val="24"/>
        </w:rPr>
        <w:t xml:space="preserve">To assess </w:t>
      </w:r>
      <w:r w:rsidRPr="00A72606">
        <w:rPr>
          <w:rFonts w:ascii="Arial" w:hAnsi="Arial" w:cs="Arial"/>
          <w:sz w:val="24"/>
          <w:szCs w:val="24"/>
        </w:rPr>
        <w:t>differences between our IBD patients and the general population</w:t>
      </w:r>
      <w:r>
        <w:rPr>
          <w:rFonts w:ascii="Arial" w:hAnsi="Arial" w:cs="Arial"/>
          <w:sz w:val="24"/>
          <w:szCs w:val="24"/>
        </w:rPr>
        <w:t>,</w:t>
      </w:r>
      <w:r w:rsidRPr="00A72606">
        <w:rPr>
          <w:rFonts w:ascii="Arial" w:hAnsi="Arial" w:cs="Arial"/>
          <w:sz w:val="24"/>
          <w:szCs w:val="24"/>
        </w:rPr>
        <w:t xml:space="preserve"> school attendance figures for England were obtained from the Department for Education</w:t>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{"citationItems":[{"id":"ITEM-1","itemData":{"URL":"https://www.gov.uk/government/organisations/department-for-education/about/statistics","accessed":{"date-parts":[["2019","6","17"]]},"author":[{"dropping-particle":"","family":"Department for Education","given":"","non-dropping-particle":"","parse-names":false,"suffix":""}],"id":"ITEM-1","issued":{"date-parts":[["0"]]},"title":"Statistics at DfE - Department for Education - GOV.UK","type":"webpage"},"uris":["http://www.mendeley.com/documents/?uuid=81accd5f-9d17-3f8a-a520-dd7a8d0d5f39"]}],"mendeley":{"formattedCitation":"[32]","plainTextFormattedCitation":"[32]","previouslyFormattedCitation":"[32]"},"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[32]</w:t>
      </w:r>
      <w:r w:rsidR="003E61C5">
        <w:rPr>
          <w:rFonts w:ascii="Arial" w:hAnsi="Arial" w:cs="Arial"/>
          <w:sz w:val="24"/>
          <w:szCs w:val="24"/>
        </w:rPr>
        <w:fldChar w:fldCharType="end"/>
      </w:r>
      <w:r w:rsidRPr="00A72606">
        <w:rPr>
          <w:rFonts w:ascii="Arial" w:hAnsi="Arial" w:cs="Arial"/>
          <w:sz w:val="24"/>
          <w:szCs w:val="24"/>
        </w:rPr>
        <w:t xml:space="preserve">. These data were converted into number of school days missed across England </w:t>
      </w:r>
      <w:r>
        <w:rPr>
          <w:rFonts w:ascii="Arial" w:hAnsi="Arial" w:cs="Arial"/>
          <w:sz w:val="24"/>
          <w:szCs w:val="24"/>
        </w:rPr>
        <w:t xml:space="preserve">for all children </w:t>
      </w:r>
      <w:r w:rsidRPr="00A72606">
        <w:rPr>
          <w:rFonts w:ascii="Arial" w:hAnsi="Arial" w:cs="Arial"/>
          <w:sz w:val="24"/>
          <w:szCs w:val="24"/>
        </w:rPr>
        <w:t>and compared to the number of days missed</w:t>
      </w:r>
      <w:r>
        <w:rPr>
          <w:rFonts w:ascii="Arial" w:hAnsi="Arial" w:cs="Arial"/>
          <w:sz w:val="24"/>
          <w:szCs w:val="24"/>
        </w:rPr>
        <w:t xml:space="preserve"> by children in our IBD sample</w:t>
      </w:r>
      <w:r w:rsidRPr="00A72606">
        <w:rPr>
          <w:rFonts w:ascii="Arial" w:hAnsi="Arial" w:cs="Arial"/>
          <w:sz w:val="24"/>
          <w:szCs w:val="24"/>
        </w:rPr>
        <w:t xml:space="preserve"> </w:t>
      </w:r>
      <w:r w:rsidRPr="00A72606">
        <w:rPr>
          <w:rFonts w:ascii="Arial" w:hAnsi="Arial" w:cs="Arial"/>
          <w:sz w:val="24"/>
          <w:szCs w:val="24"/>
        </w:rPr>
        <w:lastRenderedPageBreak/>
        <w:t xml:space="preserve">using a </w:t>
      </w:r>
      <w:r w:rsidRPr="004430BC">
        <w:rPr>
          <w:rFonts w:ascii="Symbol" w:hAnsi="Symbol" w:cs="Arial"/>
          <w:sz w:val="24"/>
          <w:szCs w:val="24"/>
        </w:rPr>
        <w:t></w:t>
      </w:r>
      <w:r w:rsidRPr="004430BC">
        <w:rPr>
          <w:rFonts w:ascii="Arial" w:hAnsi="Arial" w:cs="Arial"/>
          <w:sz w:val="24"/>
          <w:szCs w:val="24"/>
          <w:vertAlign w:val="superscript"/>
        </w:rPr>
        <w:t>2</w:t>
      </w:r>
      <w:r>
        <w:rPr>
          <w:rFonts w:ascii="Arial" w:hAnsi="Arial" w:cs="Arial"/>
          <w:sz w:val="24"/>
          <w:szCs w:val="24"/>
        </w:rPr>
        <w:t xml:space="preserve"> </w:t>
      </w:r>
      <w:r w:rsidRPr="00A72606">
        <w:rPr>
          <w:rFonts w:ascii="Arial" w:hAnsi="Arial" w:cs="Arial"/>
          <w:sz w:val="24"/>
          <w:szCs w:val="24"/>
        </w:rPr>
        <w:t>test</w:t>
      </w:r>
      <w:r>
        <w:rPr>
          <w:rFonts w:ascii="Arial" w:hAnsi="Arial" w:cs="Arial"/>
          <w:sz w:val="24"/>
          <w:szCs w:val="24"/>
        </w:rPr>
        <w:t xml:space="preserve"> (supplementary table 1).  The number of children who were persistently absent from school (defined by the Department for Education as missing 10% or more) were compared to the number persistently absent across England through a </w:t>
      </w:r>
      <w:r w:rsidRPr="004430BC">
        <w:rPr>
          <w:rFonts w:ascii="Symbol" w:hAnsi="Symbol" w:cs="Arial"/>
          <w:sz w:val="24"/>
          <w:szCs w:val="24"/>
        </w:rPr>
        <w:t></w:t>
      </w:r>
      <w:r w:rsidRPr="004430BC">
        <w:rPr>
          <w:rFonts w:ascii="Arial" w:hAnsi="Arial" w:cs="Arial"/>
          <w:sz w:val="24"/>
          <w:szCs w:val="24"/>
          <w:vertAlign w:val="superscript"/>
        </w:rPr>
        <w:t>2</w:t>
      </w:r>
      <w:r>
        <w:rPr>
          <w:rFonts w:ascii="Arial" w:hAnsi="Arial" w:cs="Arial"/>
          <w:sz w:val="24"/>
          <w:szCs w:val="24"/>
        </w:rPr>
        <w:t xml:space="preserve"> test (supplementary table 2). </w:t>
      </w:r>
      <w:bookmarkStart w:id="6" w:name="_Hlk26366089"/>
      <w:r w:rsidR="009D7E7B">
        <w:rPr>
          <w:rFonts w:ascii="Arial" w:hAnsi="Arial" w:cs="Arial"/>
          <w:sz w:val="24"/>
          <w:szCs w:val="24"/>
        </w:rPr>
        <w:t xml:space="preserve">National attendance figures are not available for students aged &gt;15 years at the start of the academic year. Following discussion with the statistics team at the Department for Education, data for school attendance was used as a comparison for college attendance. </w:t>
      </w:r>
      <w:bookmarkEnd w:id="6"/>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Median values were compared using the Kruskal-Wallis Test. A stepwise forward multiv</w:t>
      </w:r>
      <w:r>
        <w:rPr>
          <w:rFonts w:ascii="Arial" w:hAnsi="Arial" w:cs="Arial"/>
          <w:sz w:val="24"/>
          <w:szCs w:val="24"/>
        </w:rPr>
        <w:t>ariable</w:t>
      </w:r>
      <w:r w:rsidRPr="00A72606">
        <w:rPr>
          <w:rFonts w:ascii="Arial" w:hAnsi="Arial" w:cs="Arial"/>
          <w:sz w:val="24"/>
          <w:szCs w:val="24"/>
        </w:rPr>
        <w:t xml:space="preserve"> </w:t>
      </w:r>
      <w:r>
        <w:rPr>
          <w:rFonts w:ascii="Arial" w:hAnsi="Arial" w:cs="Arial"/>
          <w:sz w:val="24"/>
          <w:szCs w:val="24"/>
        </w:rPr>
        <w:t>linear</w:t>
      </w:r>
      <w:r w:rsidRPr="00A72606">
        <w:rPr>
          <w:rFonts w:ascii="Arial" w:hAnsi="Arial" w:cs="Arial"/>
          <w:sz w:val="24"/>
          <w:szCs w:val="24"/>
        </w:rPr>
        <w:t xml:space="preserve"> regression was used to assess factors associated with school attendance. Pearson’s </w:t>
      </w:r>
      <w:r>
        <w:rPr>
          <w:rFonts w:ascii="Arial" w:hAnsi="Arial" w:cs="Arial"/>
          <w:sz w:val="24"/>
          <w:szCs w:val="24"/>
        </w:rPr>
        <w:t>correlation</w:t>
      </w:r>
      <w:r w:rsidRPr="00A72606">
        <w:rPr>
          <w:rFonts w:ascii="Arial" w:hAnsi="Arial" w:cs="Arial"/>
          <w:sz w:val="24"/>
          <w:szCs w:val="24"/>
        </w:rPr>
        <w:t xml:space="preserve"> was used to assess the relationship between hospital attendance and school attendance. </w:t>
      </w:r>
    </w:p>
    <w:p w:rsidR="002147E0" w:rsidRPr="00A72606" w:rsidRDefault="002147E0" w:rsidP="002147E0">
      <w:pPr>
        <w:spacing w:line="480" w:lineRule="auto"/>
        <w:jc w:val="both"/>
        <w:rPr>
          <w:rFonts w:ascii="Arial" w:hAnsi="Arial" w:cs="Arial"/>
          <w:sz w:val="24"/>
          <w:szCs w:val="24"/>
        </w:rPr>
      </w:pPr>
      <w:r>
        <w:rPr>
          <w:rFonts w:ascii="Arial" w:hAnsi="Arial" w:cs="Arial"/>
          <w:sz w:val="24"/>
          <w:szCs w:val="24"/>
        </w:rPr>
        <w:t>All statistical analysis was performed with SPSS (IBM v25). Statistical significance was considered to be p=&lt;0.05.</w:t>
      </w:r>
    </w:p>
    <w:p w:rsidR="002147E0" w:rsidRPr="00D42D05" w:rsidRDefault="002147E0" w:rsidP="002147E0">
      <w:pPr>
        <w:spacing w:line="480" w:lineRule="auto"/>
        <w:jc w:val="both"/>
        <w:rPr>
          <w:rFonts w:ascii="Arial" w:hAnsi="Arial" w:cs="Arial"/>
          <w:sz w:val="24"/>
          <w:szCs w:val="24"/>
          <w:u w:val="single"/>
        </w:rPr>
      </w:pPr>
      <w:r w:rsidRPr="00D42D05">
        <w:rPr>
          <w:rFonts w:ascii="Arial" w:hAnsi="Arial" w:cs="Arial"/>
          <w:sz w:val="24"/>
          <w:szCs w:val="24"/>
          <w:u w:val="single"/>
        </w:rPr>
        <w:t>Ethical approval</w:t>
      </w:r>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 xml:space="preserve">The study was registered as a service evaluation following </w:t>
      </w:r>
      <w:r>
        <w:rPr>
          <w:rFonts w:ascii="Arial" w:hAnsi="Arial" w:cs="Arial"/>
          <w:sz w:val="24"/>
          <w:szCs w:val="24"/>
        </w:rPr>
        <w:t>review</w:t>
      </w:r>
      <w:r w:rsidRPr="00A72606">
        <w:rPr>
          <w:rFonts w:ascii="Arial" w:hAnsi="Arial" w:cs="Arial"/>
          <w:sz w:val="24"/>
          <w:szCs w:val="24"/>
        </w:rPr>
        <w:t xml:space="preserve"> by U</w:t>
      </w:r>
      <w:r>
        <w:rPr>
          <w:rFonts w:ascii="Arial" w:hAnsi="Arial" w:cs="Arial"/>
          <w:sz w:val="24"/>
          <w:szCs w:val="24"/>
        </w:rPr>
        <w:t>HS Research and Development Department</w:t>
      </w:r>
      <w:r w:rsidRPr="00A72606">
        <w:rPr>
          <w:rFonts w:ascii="Arial" w:hAnsi="Arial" w:cs="Arial"/>
          <w:sz w:val="24"/>
          <w:szCs w:val="24"/>
        </w:rPr>
        <w:t>.  Ethical approval for the study was obtained from the University of Southampton.</w:t>
      </w: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Pr="00D42D05" w:rsidRDefault="002147E0" w:rsidP="002147E0">
      <w:pPr>
        <w:spacing w:line="480" w:lineRule="auto"/>
        <w:jc w:val="both"/>
        <w:rPr>
          <w:rFonts w:ascii="Arial" w:hAnsi="Arial" w:cs="Arial"/>
          <w:b/>
          <w:sz w:val="24"/>
          <w:szCs w:val="24"/>
          <w:u w:val="single"/>
        </w:rPr>
      </w:pPr>
      <w:r w:rsidRPr="00D42D05">
        <w:rPr>
          <w:rFonts w:ascii="Arial" w:hAnsi="Arial" w:cs="Arial"/>
          <w:b/>
          <w:sz w:val="24"/>
          <w:szCs w:val="24"/>
          <w:u w:val="single"/>
        </w:rPr>
        <w:t xml:space="preserve">Results </w:t>
      </w:r>
    </w:p>
    <w:p w:rsidR="002147E0" w:rsidRPr="003C3722" w:rsidRDefault="002147E0" w:rsidP="002147E0">
      <w:pPr>
        <w:spacing w:line="480" w:lineRule="auto"/>
        <w:jc w:val="both"/>
        <w:rPr>
          <w:rFonts w:ascii="Arial" w:hAnsi="Arial" w:cs="Arial"/>
          <w:sz w:val="24"/>
          <w:szCs w:val="24"/>
          <w:u w:val="single"/>
        </w:rPr>
      </w:pPr>
      <w:r w:rsidRPr="00A72606">
        <w:rPr>
          <w:rFonts w:ascii="Arial" w:hAnsi="Arial" w:cs="Arial"/>
          <w:sz w:val="24"/>
          <w:szCs w:val="24"/>
        </w:rPr>
        <w:t>Questionnaires were distributed to 231 patients; 151 in hospital</w:t>
      </w:r>
      <w:r>
        <w:rPr>
          <w:rFonts w:ascii="Arial" w:hAnsi="Arial" w:cs="Arial"/>
          <w:sz w:val="24"/>
          <w:szCs w:val="24"/>
        </w:rPr>
        <w:t>,</w:t>
      </w:r>
      <w:r w:rsidRPr="00A72606">
        <w:rPr>
          <w:rFonts w:ascii="Arial" w:hAnsi="Arial" w:cs="Arial"/>
          <w:sz w:val="24"/>
          <w:szCs w:val="24"/>
        </w:rPr>
        <w:t xml:space="preserve"> and 80 by post.  There was an overall response rate of 74% (97% for questionnaires distributed in </w:t>
      </w:r>
      <w:r>
        <w:rPr>
          <w:rFonts w:ascii="Arial" w:hAnsi="Arial" w:cs="Arial"/>
          <w:sz w:val="24"/>
          <w:szCs w:val="24"/>
        </w:rPr>
        <w:t xml:space="preserve">hospital, and 30% postal). Two </w:t>
      </w:r>
      <w:r w:rsidRPr="00A72606">
        <w:rPr>
          <w:rFonts w:ascii="Arial" w:hAnsi="Arial" w:cs="Arial"/>
          <w:sz w:val="24"/>
          <w:szCs w:val="24"/>
        </w:rPr>
        <w:t>patients were excluded as one was home-schooled</w:t>
      </w:r>
      <w:r>
        <w:rPr>
          <w:rFonts w:ascii="Arial" w:hAnsi="Arial" w:cs="Arial"/>
          <w:sz w:val="24"/>
          <w:szCs w:val="24"/>
        </w:rPr>
        <w:t>,</w:t>
      </w:r>
      <w:r w:rsidRPr="00A72606">
        <w:rPr>
          <w:rFonts w:ascii="Arial" w:hAnsi="Arial" w:cs="Arial"/>
          <w:sz w:val="24"/>
          <w:szCs w:val="24"/>
        </w:rPr>
        <w:t xml:space="preserve"> and one </w:t>
      </w:r>
      <w:r>
        <w:rPr>
          <w:rFonts w:ascii="Arial" w:hAnsi="Arial" w:cs="Arial"/>
          <w:sz w:val="24"/>
          <w:szCs w:val="24"/>
        </w:rPr>
        <w:t xml:space="preserve">had </w:t>
      </w:r>
      <w:r w:rsidRPr="00A72606">
        <w:rPr>
          <w:rFonts w:ascii="Arial" w:hAnsi="Arial" w:cs="Arial"/>
          <w:sz w:val="24"/>
          <w:szCs w:val="24"/>
        </w:rPr>
        <w:t xml:space="preserve">dropped out of school and went into employment, giving a final sample of 169.  </w:t>
      </w:r>
      <w:r>
        <w:rPr>
          <w:rFonts w:ascii="Arial" w:hAnsi="Arial" w:cs="Arial"/>
          <w:sz w:val="24"/>
          <w:szCs w:val="24"/>
        </w:rPr>
        <w:t>Table 1</w:t>
      </w:r>
      <w:r w:rsidRPr="00A72606">
        <w:rPr>
          <w:rFonts w:ascii="Arial" w:hAnsi="Arial" w:cs="Arial"/>
          <w:sz w:val="24"/>
          <w:szCs w:val="24"/>
        </w:rPr>
        <w:t>.</w:t>
      </w:r>
      <w:r>
        <w:rPr>
          <w:rFonts w:ascii="Arial" w:hAnsi="Arial" w:cs="Arial"/>
          <w:sz w:val="24"/>
          <w:szCs w:val="24"/>
        </w:rPr>
        <w:t xml:space="preserve"> </w:t>
      </w:r>
      <w:bookmarkStart w:id="7" w:name="_Hlk20126001"/>
      <w:proofErr w:type="gramStart"/>
      <w:r>
        <w:rPr>
          <w:rFonts w:ascii="Arial" w:hAnsi="Arial" w:cs="Arial"/>
          <w:sz w:val="24"/>
          <w:szCs w:val="24"/>
        </w:rPr>
        <w:t>The majority of</w:t>
      </w:r>
      <w:proofErr w:type="gramEnd"/>
      <w:r>
        <w:rPr>
          <w:rFonts w:ascii="Arial" w:hAnsi="Arial" w:cs="Arial"/>
          <w:sz w:val="24"/>
          <w:szCs w:val="24"/>
        </w:rPr>
        <w:t xml:space="preserve"> questionnaires were completed with direct input from CYP, with </w:t>
      </w:r>
      <w:r w:rsidRPr="00B518F9">
        <w:rPr>
          <w:rFonts w:ascii="Arial" w:hAnsi="Arial" w:cs="Arial"/>
          <w:sz w:val="24"/>
          <w:szCs w:val="24"/>
        </w:rPr>
        <w:t xml:space="preserve">64% of questionnaires completed by the parent and child, 30% by </w:t>
      </w:r>
      <w:r>
        <w:rPr>
          <w:rFonts w:ascii="Arial" w:hAnsi="Arial" w:cs="Arial"/>
          <w:sz w:val="24"/>
          <w:szCs w:val="24"/>
        </w:rPr>
        <w:t>CYP alone</w:t>
      </w:r>
      <w:r w:rsidRPr="00B518F9">
        <w:rPr>
          <w:rFonts w:ascii="Arial" w:hAnsi="Arial" w:cs="Arial"/>
          <w:sz w:val="24"/>
          <w:szCs w:val="24"/>
        </w:rPr>
        <w:t xml:space="preserve"> and 6% by the parent.</w:t>
      </w:r>
      <w:bookmarkEnd w:id="7"/>
      <w:r>
        <w:rPr>
          <w:rFonts w:ascii="Arial" w:hAnsi="Arial" w:cs="Arial"/>
          <w:sz w:val="24"/>
          <w:szCs w:val="24"/>
        </w:rPr>
        <w:t xml:space="preserve"> The only significant differences between the questionnaires returned in hospital and returned by post were the duration of disease; 2.32 years vs 4.53 years, p=0.007, and the proportion of patients on immunomodulator therapy, 69.9% vs 45.8%, p=0.02. Supplementary table 3.</w:t>
      </w:r>
    </w:p>
    <w:p w:rsidR="002147E0" w:rsidRPr="00D42D05" w:rsidRDefault="002147E0" w:rsidP="002147E0">
      <w:pPr>
        <w:spacing w:line="480" w:lineRule="auto"/>
        <w:jc w:val="both"/>
        <w:rPr>
          <w:rFonts w:ascii="Arial" w:hAnsi="Arial" w:cs="Arial"/>
          <w:sz w:val="24"/>
          <w:szCs w:val="24"/>
          <w:u w:val="single"/>
        </w:rPr>
      </w:pPr>
      <w:r w:rsidRPr="00D42D05">
        <w:rPr>
          <w:rFonts w:ascii="Arial" w:hAnsi="Arial" w:cs="Arial"/>
          <w:sz w:val="24"/>
          <w:szCs w:val="24"/>
          <w:u w:val="single"/>
        </w:rPr>
        <w:t xml:space="preserve">School attendance </w:t>
      </w:r>
    </w:p>
    <w:p w:rsidR="002147E0" w:rsidRDefault="002147E0" w:rsidP="002147E0">
      <w:pPr>
        <w:spacing w:line="480" w:lineRule="auto"/>
        <w:jc w:val="both"/>
        <w:rPr>
          <w:rFonts w:ascii="Arial" w:hAnsi="Arial" w:cs="Arial"/>
          <w:sz w:val="24"/>
          <w:szCs w:val="24"/>
        </w:rPr>
      </w:pPr>
      <w:bookmarkStart w:id="8" w:name="_Hlk20125674"/>
      <w:r>
        <w:rPr>
          <w:rFonts w:ascii="Arial" w:hAnsi="Arial" w:cs="Arial"/>
          <w:sz w:val="24"/>
          <w:szCs w:val="24"/>
        </w:rPr>
        <w:t>State educated school children in England are expected to attend 191 days of school per year</w:t>
      </w:r>
      <w:bookmarkEnd w:id="8"/>
      <w:r w:rsidRPr="00A72606">
        <w:rPr>
          <w:rFonts w:ascii="Arial" w:hAnsi="Arial" w:cs="Arial"/>
          <w:sz w:val="24"/>
          <w:szCs w:val="24"/>
        </w:rPr>
        <w:t xml:space="preserve">.  </w:t>
      </w:r>
      <w:r w:rsidR="0080026B" w:rsidRPr="00A72606">
        <w:rPr>
          <w:rFonts w:ascii="Arial" w:hAnsi="Arial" w:cs="Arial"/>
          <w:sz w:val="24"/>
          <w:szCs w:val="24"/>
        </w:rPr>
        <w:t xml:space="preserve">The median school/college attendance rate </w:t>
      </w:r>
      <w:r w:rsidR="0080026B">
        <w:rPr>
          <w:rFonts w:ascii="Arial" w:hAnsi="Arial" w:cs="Arial"/>
          <w:sz w:val="24"/>
          <w:szCs w:val="24"/>
        </w:rPr>
        <w:t xml:space="preserve">overall for CYP with IBD </w:t>
      </w:r>
      <w:r w:rsidR="0080026B" w:rsidRPr="00A72606">
        <w:rPr>
          <w:rFonts w:ascii="Arial" w:hAnsi="Arial" w:cs="Arial"/>
          <w:sz w:val="24"/>
          <w:szCs w:val="24"/>
        </w:rPr>
        <w:t>was 92.5%</w:t>
      </w:r>
      <w:r w:rsidR="0080026B">
        <w:rPr>
          <w:rFonts w:ascii="Arial" w:hAnsi="Arial" w:cs="Arial"/>
          <w:sz w:val="24"/>
          <w:szCs w:val="24"/>
        </w:rPr>
        <w:t xml:space="preserve">. </w:t>
      </w:r>
      <w:r w:rsidRPr="00A72606">
        <w:rPr>
          <w:rFonts w:ascii="Arial" w:hAnsi="Arial" w:cs="Arial"/>
          <w:sz w:val="24"/>
          <w:szCs w:val="24"/>
        </w:rPr>
        <w:t xml:space="preserve">This is significantly lower than average attendance in England where the attendance rate is 95.2% </w:t>
      </w:r>
      <w:r w:rsidR="003E61C5">
        <w:rPr>
          <w:rFonts w:ascii="Arial" w:hAnsi="Arial" w:cs="Arial"/>
          <w:sz w:val="24"/>
          <w:szCs w:val="24"/>
        </w:rPr>
        <w:fldChar w:fldCharType="begin" w:fldLock="1"/>
      </w:r>
      <w:r>
        <w:rPr>
          <w:rFonts w:ascii="Arial" w:hAnsi="Arial" w:cs="Arial"/>
          <w:sz w:val="24"/>
          <w:szCs w:val="24"/>
        </w:rPr>
        <w:instrText>ADDIN CSL_CITATION {"citationItems":[{"id":"ITEM-1","itemData":{"URL":"https://www.gov.uk/government/organisations/department-for-education/about/statistics","accessed":{"date-parts":[["2019","6","17"]]},"author":[{"dropping-particle":"","family":"Department for Education","given":"","non-dropping-particle":"","parse-names":false,"suffix":""}],"id":"ITEM-1","issued":{"date-parts":[["0"]]},"title":"Statistics at DfE - Department for Education - GOV.UK","type":"webpage"},"uris":["http://www.mendeley.com/documents/?uuid=81accd5f-9d17-3f8a-a520-dd7a8d0d5f39"]}],"mendeley":{"formattedCitation":"[32]","plainTextFormattedCitation":"[32]","previouslyFormattedCitation":"[32]"},"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[32]</w:t>
      </w:r>
      <w:r w:rsidR="003E61C5">
        <w:rPr>
          <w:rFonts w:ascii="Arial" w:hAnsi="Arial" w:cs="Arial"/>
          <w:sz w:val="24"/>
          <w:szCs w:val="24"/>
        </w:rPr>
        <w:fldChar w:fldCharType="end"/>
      </w:r>
      <w:r>
        <w:rPr>
          <w:rFonts w:ascii="Arial" w:hAnsi="Arial" w:cs="Arial"/>
          <w:sz w:val="24"/>
          <w:szCs w:val="24"/>
        </w:rPr>
        <w:t xml:space="preserve"> (</w:t>
      </w:r>
      <w:r w:rsidRPr="00F316B2">
        <w:rPr>
          <w:rFonts w:ascii="Symbol" w:hAnsi="Symbol" w:cs="Arial"/>
          <w:sz w:val="24"/>
          <w:szCs w:val="24"/>
        </w:rPr>
        <w:t></w:t>
      </w:r>
      <w:r w:rsidRPr="00F316B2">
        <w:rPr>
          <w:rFonts w:ascii="Arial" w:hAnsi="Arial" w:cs="Arial"/>
          <w:sz w:val="24"/>
          <w:szCs w:val="24"/>
          <w:vertAlign w:val="superscript"/>
        </w:rPr>
        <w:t>2</w:t>
      </w:r>
      <w:r>
        <w:rPr>
          <w:rFonts w:ascii="Arial" w:hAnsi="Arial" w:cs="Arial"/>
          <w:sz w:val="24"/>
          <w:szCs w:val="24"/>
        </w:rPr>
        <w:t xml:space="preserve"> test=515.02, p&lt;0.0001)</w:t>
      </w:r>
      <w:r w:rsidRPr="00A72606">
        <w:rPr>
          <w:rFonts w:ascii="Arial" w:hAnsi="Arial" w:cs="Arial"/>
          <w:sz w:val="24"/>
          <w:szCs w:val="24"/>
        </w:rPr>
        <w:t xml:space="preserve">.  </w:t>
      </w:r>
      <w:r>
        <w:rPr>
          <w:rFonts w:ascii="Arial" w:hAnsi="Arial" w:cs="Arial"/>
          <w:sz w:val="24"/>
          <w:szCs w:val="24"/>
        </w:rPr>
        <w:t>Supplementary table 1</w:t>
      </w:r>
      <w:r w:rsidRPr="00A72606">
        <w:rPr>
          <w:rFonts w:ascii="Arial" w:hAnsi="Arial" w:cs="Arial"/>
          <w:sz w:val="24"/>
          <w:szCs w:val="24"/>
        </w:rPr>
        <w:t>.  The median attendance for primary school children was 95% versus 92.5% for secondary school/colle</w:t>
      </w:r>
      <w:r>
        <w:rPr>
          <w:rFonts w:ascii="Arial" w:hAnsi="Arial" w:cs="Arial"/>
          <w:sz w:val="24"/>
          <w:szCs w:val="24"/>
        </w:rPr>
        <w:t>ge students.  This difference was</w:t>
      </w:r>
      <w:r w:rsidRPr="00A72606">
        <w:rPr>
          <w:rFonts w:ascii="Arial" w:hAnsi="Arial" w:cs="Arial"/>
          <w:sz w:val="24"/>
          <w:szCs w:val="24"/>
        </w:rPr>
        <w:t xml:space="preserve"> not significant (p=0.071).</w:t>
      </w:r>
    </w:p>
    <w:p w:rsidR="002147E0" w:rsidRPr="00F43094" w:rsidRDefault="002147E0" w:rsidP="002147E0">
      <w:pPr>
        <w:spacing w:line="480" w:lineRule="auto"/>
        <w:jc w:val="both"/>
        <w:rPr>
          <w:rFonts w:ascii="Arial" w:hAnsi="Arial" w:cs="Arial"/>
          <w:sz w:val="24"/>
          <w:szCs w:val="24"/>
          <w:u w:val="single"/>
        </w:rPr>
      </w:pPr>
      <w:r>
        <w:rPr>
          <w:rFonts w:ascii="Arial" w:hAnsi="Arial" w:cs="Arial"/>
          <w:sz w:val="24"/>
          <w:szCs w:val="24"/>
          <w:u w:val="single"/>
        </w:rPr>
        <w:t>Children classified as persistently absent</w:t>
      </w:r>
    </w:p>
    <w:p w:rsidR="002147E0" w:rsidRPr="00A72606" w:rsidRDefault="002147E0" w:rsidP="002147E0">
      <w:pPr>
        <w:spacing w:line="480" w:lineRule="auto"/>
        <w:jc w:val="both"/>
        <w:rPr>
          <w:rFonts w:ascii="Arial" w:hAnsi="Arial" w:cs="Arial"/>
          <w:sz w:val="24"/>
          <w:szCs w:val="24"/>
        </w:rPr>
      </w:pPr>
      <w:r w:rsidRPr="00A72606">
        <w:rPr>
          <w:rFonts w:ascii="Arial" w:hAnsi="Arial" w:cs="Arial"/>
          <w:sz w:val="24"/>
          <w:szCs w:val="24"/>
        </w:rPr>
        <w:lastRenderedPageBreak/>
        <w:t>39.6%</w:t>
      </w:r>
      <w:r>
        <w:rPr>
          <w:rFonts w:ascii="Arial" w:hAnsi="Arial" w:cs="Arial"/>
          <w:sz w:val="24"/>
          <w:szCs w:val="24"/>
        </w:rPr>
        <w:t xml:space="preserve"> (n=67)</w:t>
      </w:r>
      <w:r w:rsidRPr="00A72606">
        <w:rPr>
          <w:rFonts w:ascii="Arial" w:hAnsi="Arial" w:cs="Arial"/>
          <w:sz w:val="24"/>
          <w:szCs w:val="24"/>
        </w:rPr>
        <w:t xml:space="preserve"> of patients missed 10% or more of school/college, meeting the </w:t>
      </w:r>
      <w:r>
        <w:rPr>
          <w:rFonts w:ascii="Arial" w:hAnsi="Arial" w:cs="Arial"/>
          <w:sz w:val="24"/>
          <w:szCs w:val="24"/>
        </w:rPr>
        <w:t xml:space="preserve">Department of Education </w:t>
      </w:r>
      <w:r w:rsidRPr="00A72606">
        <w:rPr>
          <w:rFonts w:ascii="Arial" w:hAnsi="Arial" w:cs="Arial"/>
          <w:sz w:val="24"/>
          <w:szCs w:val="24"/>
        </w:rPr>
        <w:t>criteria for being persistently absent</w:t>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{"citationItems":[{"id":"ITEM-1","itemData":{"URL":"https://www.gov.uk/government/organisations/department-for-education/about/statistics","accessed":{"date-parts":[["2019","6","17"]]},"author":[{"dropping-particle":"","family":"Department for Education","given":"","non-dropping-particle":"","parse-names":false,"suffix":""}],"id":"ITEM-1","issued":{"date-parts":[["0"]]},"title":"Statistics at DfE - Department for Education - GOV.UK","type":"webpage"},"uris":["http://www.mendeley.com/documents/?uuid=81accd5f-9d17-3f8a-a520-dd7a8d0d5f39"]}],"mendeley":{"formattedCitation":"[32]","plainTextFormattedCitation":"[32]","previouslyFormattedCitation":"[32]"},"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[32]</w:t>
      </w:r>
      <w:r w:rsidR="003E61C5">
        <w:rPr>
          <w:rFonts w:ascii="Arial" w:hAnsi="Arial" w:cs="Arial"/>
          <w:sz w:val="24"/>
          <w:szCs w:val="24"/>
        </w:rPr>
        <w:fldChar w:fldCharType="end"/>
      </w:r>
      <w:r w:rsidRPr="00A72606">
        <w:rPr>
          <w:rFonts w:ascii="Arial" w:hAnsi="Arial" w:cs="Arial"/>
          <w:sz w:val="24"/>
          <w:szCs w:val="24"/>
        </w:rPr>
        <w:t>.</w:t>
      </w:r>
      <w:r>
        <w:rPr>
          <w:rFonts w:ascii="Arial" w:hAnsi="Arial" w:cs="Arial"/>
          <w:sz w:val="24"/>
          <w:szCs w:val="24"/>
        </w:rPr>
        <w:t xml:space="preserve">  This is significantly more than all primary and secondary school children in England, where the rate is 11.2% </w:t>
      </w:r>
      <w:r w:rsidR="003E61C5">
        <w:rPr>
          <w:rFonts w:ascii="Arial" w:hAnsi="Arial" w:cs="Arial"/>
          <w:sz w:val="24"/>
          <w:szCs w:val="24"/>
        </w:rPr>
        <w:fldChar w:fldCharType="begin" w:fldLock="1"/>
      </w:r>
      <w:r>
        <w:rPr>
          <w:rFonts w:ascii="Arial" w:hAnsi="Arial" w:cs="Arial"/>
          <w:sz w:val="24"/>
          <w:szCs w:val="24"/>
        </w:rPr>
        <w:instrText>ADDIN CSL_CITATION {"citationItems":[{"id":"ITEM-1","itemData":{"URL":"https://www.gov.uk/government/organisations/department-for-education/about/statistics","accessed":{"date-parts":[["2019","6","17"]]},"author":[{"dropping-particle":"","family":"Department for Education","given":"","non-dropping-particle":"","parse-names":false,"suffix":""}],"id":"ITEM-1","issued":{"date-parts":[["0"]]},"title":"Statistics at DfE - Department for Education - GOV.UK","type":"webpage"},"uris":["http://www.mendeley.com/documents/?uuid=81accd5f-9d17-3f8a-a520-dd7a8d0d5f39"]}],"mendeley":{"formattedCitation":"[32]","plainTextFormattedCitation":"[32]","previouslyFormattedCitation":"[32]"},"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[32]</w:t>
      </w:r>
      <w:r w:rsidR="003E61C5">
        <w:rPr>
          <w:rFonts w:ascii="Arial" w:hAnsi="Arial" w:cs="Arial"/>
          <w:sz w:val="24"/>
          <w:szCs w:val="24"/>
        </w:rPr>
        <w:fldChar w:fldCharType="end"/>
      </w:r>
      <w:r>
        <w:rPr>
          <w:rFonts w:ascii="Arial" w:hAnsi="Arial" w:cs="Arial"/>
          <w:sz w:val="24"/>
          <w:szCs w:val="24"/>
        </w:rPr>
        <w:t xml:space="preserve"> (</w:t>
      </w:r>
      <w:r>
        <w:rPr>
          <w:rFonts w:ascii="Symbol" w:hAnsi="Symbol"/>
        </w:rPr>
        <w:t></w:t>
      </w:r>
      <w:r>
        <w:rPr>
          <w:rFonts w:ascii="Symbol" w:hAnsi="Symbol"/>
          <w:vertAlign w:val="superscript"/>
        </w:rPr>
        <w:t></w:t>
      </w:r>
      <w:r>
        <w:rPr>
          <w:rFonts w:ascii="Symbol" w:hAnsi="Symbol"/>
        </w:rPr>
        <w:t></w:t>
      </w:r>
      <w:r>
        <w:rPr>
          <w:rFonts w:ascii="Arial" w:hAnsi="Arial" w:cs="Arial"/>
          <w:sz w:val="24"/>
          <w:szCs w:val="24"/>
        </w:rPr>
        <w:t>=137.492, p=&lt;0.00001).</w:t>
      </w:r>
      <w:r w:rsidRPr="00A72606">
        <w:rPr>
          <w:rFonts w:ascii="Arial" w:hAnsi="Arial" w:cs="Arial"/>
          <w:sz w:val="24"/>
          <w:szCs w:val="24"/>
        </w:rPr>
        <w:t xml:space="preserve">  </w:t>
      </w:r>
      <w:r>
        <w:rPr>
          <w:rFonts w:ascii="Arial" w:hAnsi="Arial" w:cs="Arial"/>
          <w:sz w:val="24"/>
          <w:szCs w:val="24"/>
        </w:rPr>
        <w:t xml:space="preserve">In our dataset </w:t>
      </w:r>
      <w:r w:rsidRPr="00A72606">
        <w:rPr>
          <w:rFonts w:ascii="Arial" w:hAnsi="Arial" w:cs="Arial"/>
          <w:sz w:val="24"/>
          <w:szCs w:val="24"/>
        </w:rPr>
        <w:t>33%</w:t>
      </w:r>
      <w:r>
        <w:rPr>
          <w:rFonts w:ascii="Arial" w:hAnsi="Arial" w:cs="Arial"/>
          <w:sz w:val="24"/>
          <w:szCs w:val="24"/>
        </w:rPr>
        <w:t xml:space="preserve"> (8/24 patients)</w:t>
      </w:r>
      <w:r w:rsidRPr="00A72606">
        <w:rPr>
          <w:rFonts w:ascii="Arial" w:hAnsi="Arial" w:cs="Arial"/>
          <w:sz w:val="24"/>
          <w:szCs w:val="24"/>
        </w:rPr>
        <w:t xml:space="preserve"> of primary school children were persistently absent versus 40% </w:t>
      </w:r>
      <w:r>
        <w:rPr>
          <w:rFonts w:ascii="Arial" w:hAnsi="Arial" w:cs="Arial"/>
          <w:sz w:val="24"/>
          <w:szCs w:val="24"/>
        </w:rPr>
        <w:t xml:space="preserve">(58/145 patients) </w:t>
      </w:r>
      <w:r w:rsidRPr="00A72606">
        <w:rPr>
          <w:rFonts w:ascii="Arial" w:hAnsi="Arial" w:cs="Arial"/>
          <w:sz w:val="24"/>
          <w:szCs w:val="24"/>
        </w:rPr>
        <w:t>of secondary/college studen</w:t>
      </w:r>
      <w:r>
        <w:rPr>
          <w:rFonts w:ascii="Arial" w:hAnsi="Arial" w:cs="Arial"/>
          <w:sz w:val="24"/>
          <w:szCs w:val="24"/>
        </w:rPr>
        <w:t xml:space="preserve">ts; greater than the rate of 8.7% and 13.9%, respectively, in the general school population </w:t>
      </w:r>
      <w:r w:rsidR="003E61C5">
        <w:rPr>
          <w:rFonts w:ascii="Arial" w:hAnsi="Arial" w:cs="Arial"/>
          <w:sz w:val="24"/>
          <w:szCs w:val="24"/>
        </w:rPr>
        <w:fldChar w:fldCharType="begin" w:fldLock="1"/>
      </w:r>
      <w:r>
        <w:rPr>
          <w:rFonts w:ascii="Arial" w:hAnsi="Arial" w:cs="Arial"/>
          <w:sz w:val="24"/>
          <w:szCs w:val="24"/>
        </w:rPr>
        <w:instrText>ADDIN CSL_CITATION {"citationItems":[{"id":"ITEM-1","itemData":{"URL":"https://www.gov.uk/government/organisations/department-for-education/about/statistics","accessed":{"date-parts":[["2019","6","17"]]},"author":[{"dropping-particle":"","family":"Department for Education","given":"","non-dropping-particle":"","parse-names":false,"suffix":""}],"id":"ITEM-1","issued":{"date-parts":[["0"]]},"title":"Statistics at DfE - Department for Education - GOV.UK","type":"webpage"},"uris":["http://www.mendeley.com/documents/?uuid=81accd5f-9d17-3f8a-a520-dd7a8d0d5f39"]}],"mendeley":{"formattedCitation":"[32]","plainTextFormattedCitation":"[32]","previouslyFormattedCitation":"[32]"},"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[32]</w:t>
      </w:r>
      <w:r w:rsidR="003E61C5">
        <w:rPr>
          <w:rFonts w:ascii="Arial" w:hAnsi="Arial" w:cs="Arial"/>
          <w:sz w:val="24"/>
          <w:szCs w:val="24"/>
        </w:rPr>
        <w:fldChar w:fldCharType="end"/>
      </w:r>
      <w:r>
        <w:rPr>
          <w:rFonts w:ascii="Arial" w:hAnsi="Arial" w:cs="Arial"/>
          <w:sz w:val="24"/>
          <w:szCs w:val="24"/>
        </w:rPr>
        <w:t xml:space="preserve">. </w:t>
      </w:r>
      <w:r w:rsidRPr="00A72606">
        <w:rPr>
          <w:rFonts w:ascii="Arial" w:hAnsi="Arial" w:cs="Arial"/>
          <w:sz w:val="24"/>
          <w:szCs w:val="24"/>
        </w:rPr>
        <w:t xml:space="preserve"> Only five CYP (3%) had 100% attendance rates</w:t>
      </w:r>
      <w:r w:rsidR="001024B3">
        <w:rPr>
          <w:rFonts w:ascii="Arial" w:hAnsi="Arial" w:cs="Arial"/>
          <w:sz w:val="24"/>
          <w:szCs w:val="24"/>
        </w:rPr>
        <w:t xml:space="preserve">, </w:t>
      </w:r>
      <w:r w:rsidR="00EA4DAB">
        <w:rPr>
          <w:rFonts w:ascii="Arial" w:hAnsi="Arial" w:cs="Arial"/>
          <w:sz w:val="24"/>
          <w:szCs w:val="24"/>
        </w:rPr>
        <w:t xml:space="preserve">45.6% (77 patients) missed &gt;3 weeks of school (&lt;92% attendance). </w:t>
      </w:r>
      <w:r w:rsidRPr="00A72606">
        <w:rPr>
          <w:rFonts w:ascii="Arial" w:hAnsi="Arial" w:cs="Arial"/>
          <w:sz w:val="24"/>
          <w:szCs w:val="24"/>
        </w:rPr>
        <w:t xml:space="preserve"> Almost half (44%</w:t>
      </w:r>
      <w:r>
        <w:rPr>
          <w:rFonts w:ascii="Arial" w:hAnsi="Arial" w:cs="Arial"/>
          <w:sz w:val="24"/>
          <w:szCs w:val="24"/>
        </w:rPr>
        <w:t>, n=74</w:t>
      </w:r>
      <w:r w:rsidRPr="00A72606">
        <w:rPr>
          <w:rFonts w:ascii="Arial" w:hAnsi="Arial" w:cs="Arial"/>
          <w:sz w:val="24"/>
          <w:szCs w:val="24"/>
        </w:rPr>
        <w:t xml:space="preserve">) of respondents reported that all their absences were due to IBD, 18% </w:t>
      </w:r>
      <w:r>
        <w:rPr>
          <w:rFonts w:ascii="Arial" w:hAnsi="Arial" w:cs="Arial"/>
          <w:sz w:val="24"/>
          <w:szCs w:val="24"/>
        </w:rPr>
        <w:t xml:space="preserve">(n= 30) </w:t>
      </w:r>
      <w:r w:rsidRPr="00A72606">
        <w:rPr>
          <w:rFonts w:ascii="Arial" w:hAnsi="Arial" w:cs="Arial"/>
          <w:sz w:val="24"/>
          <w:szCs w:val="24"/>
        </w:rPr>
        <w:t>reported ¾ or more absence</w:t>
      </w:r>
      <w:r>
        <w:rPr>
          <w:rFonts w:ascii="Arial" w:hAnsi="Arial" w:cs="Arial"/>
          <w:sz w:val="24"/>
          <w:szCs w:val="24"/>
        </w:rPr>
        <w:t>s</w:t>
      </w:r>
      <w:r w:rsidRPr="00A72606">
        <w:rPr>
          <w:rFonts w:ascii="Arial" w:hAnsi="Arial" w:cs="Arial"/>
          <w:sz w:val="24"/>
          <w:szCs w:val="24"/>
        </w:rPr>
        <w:t xml:space="preserve"> due to IBD, 13% </w:t>
      </w:r>
      <w:r>
        <w:rPr>
          <w:rFonts w:ascii="Arial" w:hAnsi="Arial" w:cs="Arial"/>
          <w:sz w:val="24"/>
          <w:szCs w:val="24"/>
        </w:rPr>
        <w:t xml:space="preserve">(n=22) </w:t>
      </w:r>
      <w:r w:rsidRPr="00A72606">
        <w:rPr>
          <w:rFonts w:ascii="Arial" w:hAnsi="Arial" w:cs="Arial"/>
          <w:sz w:val="24"/>
          <w:szCs w:val="24"/>
        </w:rPr>
        <w:t>reported 50-74</w:t>
      </w:r>
      <w:proofErr w:type="gramStart"/>
      <w:r w:rsidRPr="00A72606">
        <w:rPr>
          <w:rFonts w:ascii="Arial" w:hAnsi="Arial" w:cs="Arial"/>
          <w:sz w:val="24"/>
          <w:szCs w:val="24"/>
        </w:rPr>
        <w:t xml:space="preserve">% </w:t>
      </w:r>
      <w:r>
        <w:rPr>
          <w:rFonts w:ascii="Arial" w:hAnsi="Arial" w:cs="Arial"/>
          <w:sz w:val="24"/>
          <w:szCs w:val="24"/>
        </w:rPr>
        <w:t xml:space="preserve"> </w:t>
      </w:r>
      <w:r w:rsidRPr="00A72606">
        <w:rPr>
          <w:rFonts w:ascii="Arial" w:hAnsi="Arial" w:cs="Arial"/>
          <w:sz w:val="24"/>
          <w:szCs w:val="24"/>
        </w:rPr>
        <w:t>absence</w:t>
      </w:r>
      <w:r>
        <w:rPr>
          <w:rFonts w:ascii="Arial" w:hAnsi="Arial" w:cs="Arial"/>
          <w:sz w:val="24"/>
          <w:szCs w:val="24"/>
        </w:rPr>
        <w:t>s</w:t>
      </w:r>
      <w:proofErr w:type="gramEnd"/>
      <w:r>
        <w:rPr>
          <w:rFonts w:ascii="Arial" w:hAnsi="Arial" w:cs="Arial"/>
          <w:sz w:val="24"/>
          <w:szCs w:val="24"/>
        </w:rPr>
        <w:t xml:space="preserve"> </w:t>
      </w:r>
      <w:r w:rsidRPr="00A72606">
        <w:rPr>
          <w:rFonts w:ascii="Arial" w:hAnsi="Arial" w:cs="Arial"/>
          <w:sz w:val="24"/>
          <w:szCs w:val="24"/>
        </w:rPr>
        <w:t>due to IBD</w:t>
      </w:r>
      <w:r>
        <w:rPr>
          <w:rFonts w:ascii="Arial" w:hAnsi="Arial" w:cs="Arial"/>
          <w:sz w:val="24"/>
          <w:szCs w:val="24"/>
        </w:rPr>
        <w:t>,</w:t>
      </w:r>
      <w:r w:rsidRPr="00A72606">
        <w:rPr>
          <w:rFonts w:ascii="Arial" w:hAnsi="Arial" w:cs="Arial"/>
          <w:sz w:val="24"/>
          <w:szCs w:val="24"/>
        </w:rPr>
        <w:t xml:space="preserve"> </w:t>
      </w:r>
      <w:r>
        <w:rPr>
          <w:rFonts w:ascii="Arial" w:hAnsi="Arial" w:cs="Arial"/>
          <w:sz w:val="24"/>
          <w:szCs w:val="24"/>
        </w:rPr>
        <w:t>and the remainder (n=43) less than 50%</w:t>
      </w:r>
      <w:r w:rsidRPr="00A72606">
        <w:rPr>
          <w:rFonts w:ascii="Arial" w:hAnsi="Arial" w:cs="Arial"/>
          <w:sz w:val="24"/>
          <w:szCs w:val="24"/>
        </w:rPr>
        <w:t>.</w:t>
      </w:r>
    </w:p>
    <w:p w:rsidR="002147E0" w:rsidRPr="00D42D05" w:rsidRDefault="002147E0" w:rsidP="002147E0">
      <w:pPr>
        <w:spacing w:line="480" w:lineRule="auto"/>
        <w:jc w:val="both"/>
        <w:rPr>
          <w:rFonts w:ascii="Arial" w:hAnsi="Arial" w:cs="Arial"/>
          <w:sz w:val="24"/>
          <w:szCs w:val="24"/>
          <w:u w:val="single"/>
        </w:rPr>
      </w:pPr>
      <w:r w:rsidRPr="00D42D05">
        <w:rPr>
          <w:rFonts w:ascii="Arial" w:hAnsi="Arial" w:cs="Arial"/>
          <w:sz w:val="24"/>
          <w:szCs w:val="24"/>
          <w:u w:val="single"/>
        </w:rPr>
        <w:t>Factors associated with school attendance</w:t>
      </w:r>
    </w:p>
    <w:p w:rsidR="002147E0" w:rsidRDefault="002147E0" w:rsidP="002147E0">
      <w:pPr>
        <w:spacing w:line="480" w:lineRule="auto"/>
        <w:jc w:val="both"/>
        <w:rPr>
          <w:rFonts w:ascii="Arial" w:hAnsi="Arial" w:cs="Arial"/>
          <w:sz w:val="24"/>
          <w:szCs w:val="24"/>
        </w:rPr>
      </w:pPr>
      <w:r>
        <w:rPr>
          <w:rFonts w:ascii="Arial" w:hAnsi="Arial" w:cs="Arial"/>
          <w:sz w:val="24"/>
          <w:szCs w:val="24"/>
        </w:rPr>
        <w:t>Following multivariable linear regression, the significant predictors of reduced school attendance were i</w:t>
      </w:r>
      <w:r w:rsidRPr="00A72606">
        <w:rPr>
          <w:rFonts w:ascii="Arial" w:hAnsi="Arial" w:cs="Arial"/>
          <w:sz w:val="24"/>
          <w:szCs w:val="24"/>
        </w:rPr>
        <w:t>ncreasing age</w:t>
      </w:r>
      <w:r w:rsidR="00583D82">
        <w:rPr>
          <w:rFonts w:ascii="Arial" w:hAnsi="Arial" w:cs="Arial"/>
          <w:sz w:val="24"/>
          <w:szCs w:val="24"/>
        </w:rPr>
        <w:t xml:space="preserve"> (</w:t>
      </w:r>
      <w:r w:rsidR="00583D82" w:rsidRPr="00583D82">
        <w:rPr>
          <w:rFonts w:ascii="Arial" w:hAnsi="Arial" w:cs="Arial"/>
          <w:sz w:val="24"/>
          <w:szCs w:val="24"/>
        </w:rPr>
        <w:t xml:space="preserve">β-coefficient </w:t>
      </w:r>
      <w:r w:rsidR="00583D82">
        <w:rPr>
          <w:rFonts w:ascii="Arial" w:hAnsi="Arial" w:cs="Arial"/>
          <w:sz w:val="24"/>
          <w:szCs w:val="24"/>
        </w:rPr>
        <w:t>-0.203, 95% CI -0.350 to -0.057, p=0.007)</w:t>
      </w:r>
      <w:r>
        <w:rPr>
          <w:rFonts w:ascii="Arial" w:hAnsi="Arial" w:cs="Arial"/>
          <w:sz w:val="24"/>
          <w:szCs w:val="24"/>
        </w:rPr>
        <w:t xml:space="preserve"> and use of monoclonal therapy</w:t>
      </w:r>
      <w:r w:rsidR="00583D82">
        <w:rPr>
          <w:rFonts w:ascii="Arial" w:hAnsi="Arial" w:cs="Arial"/>
          <w:sz w:val="24"/>
          <w:szCs w:val="24"/>
        </w:rPr>
        <w:t xml:space="preserve"> (</w:t>
      </w:r>
      <w:r w:rsidR="00583D82" w:rsidRPr="00583D82">
        <w:rPr>
          <w:rFonts w:ascii="Arial" w:hAnsi="Arial" w:cs="Arial"/>
          <w:sz w:val="24"/>
          <w:szCs w:val="24"/>
        </w:rPr>
        <w:t xml:space="preserve">β-coefficient </w:t>
      </w:r>
      <w:r w:rsidR="00583D82">
        <w:rPr>
          <w:rFonts w:ascii="Arial" w:hAnsi="Arial" w:cs="Arial"/>
          <w:sz w:val="24"/>
          <w:szCs w:val="24"/>
        </w:rPr>
        <w:t>-0.212, 95% CI -0.358 to -0.066, p=0.005)</w:t>
      </w:r>
      <w:r>
        <w:rPr>
          <w:rFonts w:ascii="Arial" w:hAnsi="Arial" w:cs="Arial"/>
          <w:sz w:val="24"/>
          <w:szCs w:val="24"/>
        </w:rPr>
        <w:t xml:space="preserve"> -</w:t>
      </w:r>
      <w:r w:rsidRPr="00A72606">
        <w:rPr>
          <w:rFonts w:ascii="Arial" w:hAnsi="Arial" w:cs="Arial"/>
          <w:sz w:val="24"/>
          <w:szCs w:val="24"/>
        </w:rPr>
        <w:t xml:space="preserve"> </w:t>
      </w:r>
      <w:r>
        <w:rPr>
          <w:rFonts w:ascii="Arial" w:hAnsi="Arial" w:cs="Arial"/>
          <w:sz w:val="24"/>
          <w:szCs w:val="24"/>
        </w:rPr>
        <w:t>t</w:t>
      </w:r>
      <w:r w:rsidRPr="00A72606">
        <w:rPr>
          <w:rFonts w:ascii="Arial" w:hAnsi="Arial" w:cs="Arial"/>
          <w:sz w:val="24"/>
          <w:szCs w:val="24"/>
        </w:rPr>
        <w:t xml:space="preserve">able </w:t>
      </w:r>
      <w:r>
        <w:rPr>
          <w:rFonts w:ascii="Arial" w:hAnsi="Arial" w:cs="Arial"/>
          <w:sz w:val="24"/>
          <w:szCs w:val="24"/>
        </w:rPr>
        <w:t>2</w:t>
      </w:r>
      <w:r w:rsidRPr="00A72606">
        <w:rPr>
          <w:rFonts w:ascii="Arial" w:hAnsi="Arial" w:cs="Arial"/>
          <w:sz w:val="24"/>
          <w:szCs w:val="24"/>
        </w:rPr>
        <w:t>.</w:t>
      </w:r>
      <w:r>
        <w:rPr>
          <w:rFonts w:ascii="Arial" w:hAnsi="Arial" w:cs="Arial"/>
          <w:sz w:val="24"/>
          <w:szCs w:val="24"/>
        </w:rPr>
        <w:t xml:space="preserve">  Non-significant variables were, age at questionnaire, age at diagnosis, sex, thiopurine/methotrexate treatment, diagnosis, and time with disease. </w:t>
      </w:r>
      <w:bookmarkStart w:id="9" w:name="_Hlk20128466"/>
      <w:r>
        <w:rPr>
          <w:rFonts w:ascii="Arial" w:hAnsi="Arial" w:cs="Arial"/>
          <w:sz w:val="24"/>
          <w:szCs w:val="24"/>
        </w:rPr>
        <w:t xml:space="preserve">Regarding monoclonal therapy, </w:t>
      </w:r>
      <w:r w:rsidRPr="00FD7112">
        <w:rPr>
          <w:rFonts w:ascii="Arial" w:hAnsi="Arial" w:cs="Arial"/>
          <w:sz w:val="24"/>
          <w:szCs w:val="24"/>
        </w:rPr>
        <w:t xml:space="preserve">80% </w:t>
      </w:r>
      <w:r>
        <w:rPr>
          <w:rFonts w:ascii="Arial" w:hAnsi="Arial" w:cs="Arial"/>
          <w:sz w:val="24"/>
          <w:szCs w:val="24"/>
        </w:rPr>
        <w:t xml:space="preserve">(n=57) were </w:t>
      </w:r>
      <w:r w:rsidRPr="00FD7112">
        <w:rPr>
          <w:rFonts w:ascii="Arial" w:hAnsi="Arial" w:cs="Arial"/>
          <w:sz w:val="24"/>
          <w:szCs w:val="24"/>
        </w:rPr>
        <w:t xml:space="preserve">on </w:t>
      </w:r>
      <w:r>
        <w:rPr>
          <w:rFonts w:ascii="Arial" w:hAnsi="Arial" w:cs="Arial"/>
          <w:sz w:val="24"/>
          <w:szCs w:val="24"/>
        </w:rPr>
        <w:t>I</w:t>
      </w:r>
      <w:r w:rsidRPr="00FD7112">
        <w:rPr>
          <w:rFonts w:ascii="Arial" w:hAnsi="Arial" w:cs="Arial"/>
          <w:sz w:val="24"/>
          <w:szCs w:val="24"/>
        </w:rPr>
        <w:t xml:space="preserve">nfliximab, 11% </w:t>
      </w:r>
      <w:r>
        <w:rPr>
          <w:rFonts w:ascii="Arial" w:hAnsi="Arial" w:cs="Arial"/>
          <w:sz w:val="24"/>
          <w:szCs w:val="24"/>
        </w:rPr>
        <w:t>(n=8) A</w:t>
      </w:r>
      <w:r w:rsidRPr="00FD7112">
        <w:rPr>
          <w:rFonts w:ascii="Arial" w:hAnsi="Arial" w:cs="Arial"/>
          <w:sz w:val="24"/>
          <w:szCs w:val="24"/>
        </w:rPr>
        <w:t xml:space="preserve">dalimumab, 8% </w:t>
      </w:r>
      <w:r>
        <w:rPr>
          <w:rFonts w:ascii="Arial" w:hAnsi="Arial" w:cs="Arial"/>
          <w:sz w:val="24"/>
          <w:szCs w:val="24"/>
        </w:rPr>
        <w:t xml:space="preserve">(n=6) </w:t>
      </w:r>
      <w:r w:rsidRPr="00FD7112">
        <w:rPr>
          <w:rFonts w:ascii="Arial" w:hAnsi="Arial" w:cs="Arial"/>
          <w:sz w:val="24"/>
          <w:szCs w:val="24"/>
        </w:rPr>
        <w:t xml:space="preserve">Ustekinumab and 1% </w:t>
      </w:r>
      <w:r>
        <w:rPr>
          <w:rFonts w:ascii="Arial" w:hAnsi="Arial" w:cs="Arial"/>
          <w:sz w:val="24"/>
          <w:szCs w:val="24"/>
        </w:rPr>
        <w:t>V</w:t>
      </w:r>
      <w:r w:rsidRPr="00FD7112">
        <w:rPr>
          <w:rFonts w:ascii="Arial" w:hAnsi="Arial" w:cs="Arial"/>
          <w:sz w:val="24"/>
          <w:szCs w:val="24"/>
        </w:rPr>
        <w:t>edolizumab</w:t>
      </w:r>
      <w:r>
        <w:rPr>
          <w:rFonts w:ascii="Arial" w:hAnsi="Arial" w:cs="Arial"/>
          <w:sz w:val="24"/>
          <w:szCs w:val="24"/>
        </w:rPr>
        <w:t xml:space="preserve"> (n=1).</w:t>
      </w:r>
      <w:r w:rsidR="00583D82">
        <w:rPr>
          <w:rFonts w:ascii="Arial" w:hAnsi="Arial" w:cs="Arial"/>
          <w:sz w:val="24"/>
          <w:szCs w:val="24"/>
        </w:rPr>
        <w:t xml:space="preserve"> </w:t>
      </w:r>
      <w:r>
        <w:rPr>
          <w:rFonts w:ascii="Arial" w:hAnsi="Arial" w:cs="Arial"/>
          <w:sz w:val="24"/>
          <w:szCs w:val="24"/>
        </w:rPr>
        <w:t xml:space="preserve">This reflects &gt;81% of patients receiving therapy as an infusion, including all Infliximab patients, the single patient on Vedolizumab (who had also been on Adalimumab during the year) and induction therapy with Ustekinumab. </w:t>
      </w:r>
      <w:bookmarkStart w:id="10" w:name="_Hlk20138750"/>
      <w:bookmarkEnd w:id="9"/>
      <w:r>
        <w:rPr>
          <w:rFonts w:ascii="Arial" w:hAnsi="Arial" w:cs="Arial"/>
          <w:sz w:val="24"/>
          <w:szCs w:val="24"/>
        </w:rPr>
        <w:t xml:space="preserve">When separating monoclonal usage into infusions and injections, neither was significant in the regression model, infusion </w:t>
      </w:r>
      <w:r w:rsidR="00583D82" w:rsidRPr="00583D82">
        <w:rPr>
          <w:rFonts w:ascii="Arial" w:hAnsi="Arial" w:cs="Arial"/>
          <w:sz w:val="24"/>
          <w:szCs w:val="24"/>
        </w:rPr>
        <w:t xml:space="preserve">β-coefficient </w:t>
      </w:r>
      <w:r>
        <w:rPr>
          <w:rFonts w:ascii="Arial" w:hAnsi="Arial" w:cs="Arial"/>
          <w:sz w:val="24"/>
          <w:szCs w:val="24"/>
        </w:rPr>
        <w:t xml:space="preserve">-0.142 p=0.06, injection </w:t>
      </w:r>
      <w:r w:rsidR="00583D82" w:rsidRPr="00583D82">
        <w:rPr>
          <w:rFonts w:ascii="Arial" w:hAnsi="Arial" w:cs="Arial"/>
          <w:sz w:val="24"/>
          <w:szCs w:val="24"/>
        </w:rPr>
        <w:t xml:space="preserve">β-coefficient </w:t>
      </w:r>
      <w:r>
        <w:rPr>
          <w:rFonts w:ascii="Arial" w:hAnsi="Arial" w:cs="Arial"/>
          <w:sz w:val="24"/>
          <w:szCs w:val="24"/>
        </w:rPr>
        <w:t xml:space="preserve">-0.136 p=0.073. </w:t>
      </w:r>
      <w:bookmarkEnd w:id="10"/>
    </w:p>
    <w:p w:rsidR="002147E0" w:rsidRDefault="002147E0" w:rsidP="002147E0">
      <w:pPr>
        <w:spacing w:line="480" w:lineRule="auto"/>
        <w:jc w:val="both"/>
        <w:rPr>
          <w:rFonts w:ascii="Arial" w:hAnsi="Arial" w:cs="Arial"/>
          <w:sz w:val="24"/>
          <w:szCs w:val="24"/>
        </w:rPr>
      </w:pPr>
      <w:r>
        <w:rPr>
          <w:rFonts w:ascii="Arial" w:hAnsi="Arial" w:cs="Arial"/>
          <w:sz w:val="24"/>
          <w:szCs w:val="24"/>
        </w:rPr>
        <w:lastRenderedPageBreak/>
        <w:t xml:space="preserve">Commonly reported factors </w:t>
      </w:r>
      <w:r w:rsidRPr="00A72606">
        <w:rPr>
          <w:rFonts w:ascii="Arial" w:hAnsi="Arial" w:cs="Arial"/>
          <w:sz w:val="24"/>
          <w:szCs w:val="24"/>
        </w:rPr>
        <w:t xml:space="preserve">impacting </w:t>
      </w:r>
      <w:r>
        <w:rPr>
          <w:rFonts w:ascii="Arial" w:hAnsi="Arial" w:cs="Arial"/>
          <w:sz w:val="24"/>
          <w:szCs w:val="24"/>
        </w:rPr>
        <w:t xml:space="preserve">on </w:t>
      </w:r>
      <w:r w:rsidRPr="00A72606">
        <w:rPr>
          <w:rFonts w:ascii="Arial" w:hAnsi="Arial" w:cs="Arial"/>
          <w:sz w:val="24"/>
          <w:szCs w:val="24"/>
        </w:rPr>
        <w:t>school/college attendance</w:t>
      </w:r>
      <w:r>
        <w:rPr>
          <w:rFonts w:ascii="Arial" w:hAnsi="Arial" w:cs="Arial"/>
          <w:sz w:val="24"/>
          <w:szCs w:val="24"/>
        </w:rPr>
        <w:t xml:space="preserve"> included;</w:t>
      </w:r>
      <w:r w:rsidRPr="00A72606">
        <w:rPr>
          <w:rFonts w:ascii="Arial" w:hAnsi="Arial" w:cs="Arial"/>
          <w:sz w:val="24"/>
          <w:szCs w:val="24"/>
        </w:rPr>
        <w:t xml:space="preserve"> hospital appointments, feeling unwell</w:t>
      </w:r>
      <w:r>
        <w:rPr>
          <w:rFonts w:ascii="Arial" w:hAnsi="Arial" w:cs="Arial"/>
          <w:sz w:val="24"/>
          <w:szCs w:val="24"/>
        </w:rPr>
        <w:t>,</w:t>
      </w:r>
      <w:r w:rsidRPr="00A72606">
        <w:rPr>
          <w:rFonts w:ascii="Arial" w:hAnsi="Arial" w:cs="Arial"/>
          <w:sz w:val="24"/>
          <w:szCs w:val="24"/>
        </w:rPr>
        <w:t xml:space="preserve"> and access to a t</w:t>
      </w:r>
      <w:r>
        <w:rPr>
          <w:rFonts w:ascii="Arial" w:hAnsi="Arial" w:cs="Arial"/>
          <w:sz w:val="24"/>
          <w:szCs w:val="24"/>
        </w:rPr>
        <w:t>oilet</w:t>
      </w:r>
      <w:r w:rsidRPr="00A72606">
        <w:rPr>
          <w:rFonts w:ascii="Arial" w:hAnsi="Arial" w:cs="Arial"/>
          <w:sz w:val="24"/>
          <w:szCs w:val="24"/>
        </w:rPr>
        <w:t>.</w:t>
      </w:r>
      <w:r>
        <w:rPr>
          <w:rFonts w:ascii="Arial" w:hAnsi="Arial" w:cs="Arial"/>
          <w:sz w:val="24"/>
          <w:szCs w:val="24"/>
        </w:rPr>
        <w:t xml:space="preserve"> </w:t>
      </w:r>
      <w:r w:rsidRPr="00A72606">
        <w:rPr>
          <w:rFonts w:ascii="Arial" w:hAnsi="Arial" w:cs="Arial"/>
          <w:sz w:val="24"/>
          <w:szCs w:val="24"/>
        </w:rPr>
        <w:t xml:space="preserve"> Improved access to after school appointments, better teacher/school education</w:t>
      </w:r>
      <w:r>
        <w:rPr>
          <w:rFonts w:ascii="Arial" w:hAnsi="Arial" w:cs="Arial"/>
          <w:sz w:val="24"/>
          <w:szCs w:val="24"/>
        </w:rPr>
        <w:t>,</w:t>
      </w:r>
      <w:r w:rsidRPr="00A72606">
        <w:rPr>
          <w:rFonts w:ascii="Arial" w:hAnsi="Arial" w:cs="Arial"/>
          <w:sz w:val="24"/>
          <w:szCs w:val="24"/>
        </w:rPr>
        <w:t xml:space="preserve"> and sending work home </w:t>
      </w:r>
      <w:r>
        <w:rPr>
          <w:rFonts w:ascii="Arial" w:hAnsi="Arial" w:cs="Arial"/>
          <w:sz w:val="24"/>
          <w:szCs w:val="24"/>
        </w:rPr>
        <w:t>were all reported as facilitators</w:t>
      </w:r>
      <w:r w:rsidRPr="00A72606">
        <w:rPr>
          <w:rFonts w:ascii="Arial" w:hAnsi="Arial" w:cs="Arial"/>
          <w:sz w:val="24"/>
          <w:szCs w:val="24"/>
        </w:rPr>
        <w:t xml:space="preserve"> to improve school attendance. </w:t>
      </w:r>
    </w:p>
    <w:p w:rsidR="002147E0" w:rsidRPr="00A72606" w:rsidRDefault="002147E0" w:rsidP="002147E0">
      <w:pPr>
        <w:spacing w:line="480" w:lineRule="auto"/>
        <w:jc w:val="both"/>
        <w:rPr>
          <w:rFonts w:ascii="Arial" w:hAnsi="Arial" w:cs="Arial"/>
          <w:sz w:val="24"/>
          <w:szCs w:val="24"/>
        </w:rPr>
      </w:pPr>
      <w:r w:rsidRPr="00A72606">
        <w:rPr>
          <w:rFonts w:ascii="Arial" w:hAnsi="Arial" w:cs="Arial"/>
          <w:sz w:val="24"/>
          <w:szCs w:val="24"/>
        </w:rPr>
        <w:t>The heat map (Figure 1) illustrates the frequency of responses, highlighting factors influencing school attendance.</w:t>
      </w:r>
    </w:p>
    <w:p w:rsidR="002147E0" w:rsidRPr="00D42D05" w:rsidRDefault="002147E0" w:rsidP="002147E0">
      <w:pPr>
        <w:spacing w:line="480" w:lineRule="auto"/>
        <w:jc w:val="both"/>
        <w:rPr>
          <w:rFonts w:ascii="Arial" w:hAnsi="Arial" w:cs="Arial"/>
          <w:sz w:val="24"/>
          <w:szCs w:val="24"/>
          <w:u w:val="single"/>
        </w:rPr>
      </w:pPr>
      <w:r w:rsidRPr="00D42D05">
        <w:rPr>
          <w:rFonts w:ascii="Arial" w:hAnsi="Arial" w:cs="Arial"/>
          <w:sz w:val="24"/>
          <w:szCs w:val="24"/>
          <w:u w:val="single"/>
        </w:rPr>
        <w:t xml:space="preserve">Thematic analysis </w:t>
      </w:r>
      <w:r>
        <w:rPr>
          <w:rFonts w:ascii="Arial" w:hAnsi="Arial" w:cs="Arial"/>
          <w:sz w:val="24"/>
          <w:szCs w:val="24"/>
          <w:u w:val="single"/>
        </w:rPr>
        <w:t>of free text</w:t>
      </w:r>
      <w:r w:rsidRPr="00D42D05">
        <w:rPr>
          <w:rFonts w:ascii="Arial" w:hAnsi="Arial" w:cs="Arial"/>
          <w:sz w:val="24"/>
          <w:szCs w:val="24"/>
          <w:u w:val="single"/>
        </w:rPr>
        <w:t xml:space="preserve"> comments</w:t>
      </w:r>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Free text comments were included on 38% of questionnaires.  Figure 2 illustrat</w:t>
      </w:r>
      <w:r>
        <w:rPr>
          <w:rFonts w:ascii="Arial" w:hAnsi="Arial" w:cs="Arial"/>
          <w:sz w:val="24"/>
          <w:szCs w:val="24"/>
        </w:rPr>
        <w:t>es a word cloud of the comments and table 3 illustrates the main themes with direct quotes.</w:t>
      </w:r>
    </w:p>
    <w:p w:rsidR="002147E0" w:rsidRPr="00D42D05" w:rsidRDefault="002147E0" w:rsidP="002147E0">
      <w:pPr>
        <w:spacing w:line="480" w:lineRule="auto"/>
        <w:jc w:val="both"/>
        <w:rPr>
          <w:rFonts w:ascii="Arial" w:hAnsi="Arial" w:cs="Arial"/>
          <w:sz w:val="24"/>
          <w:szCs w:val="24"/>
          <w:u w:val="single"/>
        </w:rPr>
      </w:pPr>
      <w:r w:rsidRPr="00D42D05">
        <w:rPr>
          <w:rFonts w:ascii="Arial" w:hAnsi="Arial" w:cs="Arial"/>
          <w:sz w:val="24"/>
          <w:szCs w:val="24"/>
          <w:u w:val="single"/>
        </w:rPr>
        <w:t>Review of hospital attendance data for Southampton patients</w:t>
      </w:r>
    </w:p>
    <w:p w:rsidR="002147E0" w:rsidRPr="00A72606" w:rsidRDefault="002147E0" w:rsidP="002147E0">
      <w:pPr>
        <w:spacing w:line="480" w:lineRule="auto"/>
        <w:jc w:val="both"/>
        <w:rPr>
          <w:rFonts w:ascii="Arial" w:hAnsi="Arial" w:cs="Arial"/>
          <w:sz w:val="24"/>
          <w:szCs w:val="24"/>
        </w:rPr>
      </w:pPr>
      <w:r w:rsidRPr="00A72606">
        <w:rPr>
          <w:rFonts w:ascii="Arial" w:hAnsi="Arial" w:cs="Arial"/>
          <w:sz w:val="24"/>
          <w:szCs w:val="24"/>
        </w:rPr>
        <w:t>A review of hospital attendance data for all local patients</w:t>
      </w:r>
      <w:r>
        <w:rPr>
          <w:rFonts w:ascii="Arial" w:hAnsi="Arial" w:cs="Arial"/>
          <w:sz w:val="24"/>
          <w:szCs w:val="24"/>
        </w:rPr>
        <w:t xml:space="preserve"> with IBD included 39 patients. </w:t>
      </w:r>
      <w:r w:rsidRPr="00A72606">
        <w:rPr>
          <w:rFonts w:ascii="Arial" w:hAnsi="Arial" w:cs="Arial"/>
          <w:sz w:val="24"/>
          <w:szCs w:val="24"/>
        </w:rPr>
        <w:t>The questionnaire response rate for this group of patients was 87%</w:t>
      </w:r>
      <w:r>
        <w:rPr>
          <w:rFonts w:ascii="Arial" w:hAnsi="Arial" w:cs="Arial"/>
          <w:sz w:val="24"/>
          <w:szCs w:val="24"/>
        </w:rPr>
        <w:t xml:space="preserve"> (n=34)</w:t>
      </w:r>
      <w:r w:rsidRPr="00A72606">
        <w:rPr>
          <w:rFonts w:ascii="Arial" w:hAnsi="Arial" w:cs="Arial"/>
          <w:sz w:val="24"/>
          <w:szCs w:val="24"/>
        </w:rPr>
        <w:t xml:space="preserve">.  </w:t>
      </w:r>
    </w:p>
    <w:p w:rsidR="002147E0" w:rsidRPr="00A72606" w:rsidRDefault="002147E0" w:rsidP="002147E0">
      <w:pPr>
        <w:spacing w:line="480" w:lineRule="auto"/>
        <w:jc w:val="both"/>
        <w:rPr>
          <w:rFonts w:ascii="Arial" w:hAnsi="Arial" w:cs="Arial"/>
          <w:sz w:val="24"/>
          <w:szCs w:val="24"/>
        </w:rPr>
      </w:pPr>
      <w:bookmarkStart w:id="11" w:name="_Hlk20127525"/>
      <w:r>
        <w:rPr>
          <w:rFonts w:ascii="Arial" w:hAnsi="Arial" w:cs="Arial"/>
          <w:sz w:val="24"/>
          <w:szCs w:val="24"/>
        </w:rPr>
        <w:t xml:space="preserve">In this group there were a total of 416 hospital attendance days from </w:t>
      </w:r>
      <w:r w:rsidRPr="00A72606">
        <w:rPr>
          <w:rFonts w:ascii="Arial" w:hAnsi="Arial" w:cs="Arial"/>
          <w:sz w:val="24"/>
          <w:szCs w:val="24"/>
        </w:rPr>
        <w:t>September 2017 to August 2018</w:t>
      </w:r>
      <w:r>
        <w:rPr>
          <w:rFonts w:ascii="Arial" w:hAnsi="Arial" w:cs="Arial"/>
          <w:sz w:val="24"/>
          <w:szCs w:val="24"/>
        </w:rPr>
        <w:t xml:space="preserve">. </w:t>
      </w:r>
      <w:r w:rsidRPr="00A72606">
        <w:rPr>
          <w:rFonts w:ascii="Arial" w:hAnsi="Arial" w:cs="Arial"/>
          <w:sz w:val="24"/>
          <w:szCs w:val="24"/>
        </w:rPr>
        <w:t>Hospital attendance rates for</w:t>
      </w:r>
      <w:r>
        <w:rPr>
          <w:rFonts w:ascii="Arial" w:hAnsi="Arial" w:cs="Arial"/>
          <w:sz w:val="24"/>
          <w:szCs w:val="24"/>
        </w:rPr>
        <w:t xml:space="preserve"> individuals</w:t>
      </w:r>
      <w:r w:rsidRPr="00A72606">
        <w:rPr>
          <w:rFonts w:ascii="Arial" w:hAnsi="Arial" w:cs="Arial"/>
          <w:sz w:val="24"/>
          <w:szCs w:val="24"/>
        </w:rPr>
        <w:t xml:space="preserve"> ranged from 2-3</w:t>
      </w:r>
      <w:r>
        <w:rPr>
          <w:rFonts w:ascii="Arial" w:hAnsi="Arial" w:cs="Arial"/>
          <w:sz w:val="24"/>
          <w:szCs w:val="24"/>
        </w:rPr>
        <w:t xml:space="preserve">8 days, with a median of 9 days (supplementary table 4). </w:t>
      </w:r>
      <w:r w:rsidRPr="00A72606">
        <w:rPr>
          <w:rFonts w:ascii="Arial" w:hAnsi="Arial" w:cs="Arial"/>
          <w:sz w:val="24"/>
          <w:szCs w:val="24"/>
        </w:rPr>
        <w:t>Clinic appointments accounted for the most days (</w:t>
      </w:r>
      <w:r>
        <w:rPr>
          <w:rFonts w:ascii="Arial" w:hAnsi="Arial" w:cs="Arial"/>
          <w:sz w:val="24"/>
          <w:szCs w:val="24"/>
        </w:rPr>
        <w:t>n=</w:t>
      </w:r>
      <w:r w:rsidRPr="00A72606">
        <w:rPr>
          <w:rFonts w:ascii="Arial" w:hAnsi="Arial" w:cs="Arial"/>
          <w:sz w:val="24"/>
          <w:szCs w:val="24"/>
        </w:rPr>
        <w:t xml:space="preserve">275), </w:t>
      </w:r>
      <w:r>
        <w:rPr>
          <w:rFonts w:ascii="Arial" w:hAnsi="Arial" w:cs="Arial"/>
          <w:sz w:val="24"/>
          <w:szCs w:val="24"/>
        </w:rPr>
        <w:t>then</w:t>
      </w:r>
      <w:r w:rsidRPr="00A72606">
        <w:rPr>
          <w:rFonts w:ascii="Arial" w:hAnsi="Arial" w:cs="Arial"/>
          <w:sz w:val="24"/>
          <w:szCs w:val="24"/>
        </w:rPr>
        <w:t xml:space="preserve"> day case admissions (</w:t>
      </w:r>
      <w:r>
        <w:rPr>
          <w:rFonts w:ascii="Arial" w:hAnsi="Arial" w:cs="Arial"/>
          <w:sz w:val="24"/>
          <w:szCs w:val="24"/>
        </w:rPr>
        <w:t>n=</w:t>
      </w:r>
      <w:r w:rsidRPr="00A72606">
        <w:rPr>
          <w:rFonts w:ascii="Arial" w:hAnsi="Arial" w:cs="Arial"/>
          <w:sz w:val="24"/>
          <w:szCs w:val="24"/>
        </w:rPr>
        <w:t>117)</w:t>
      </w:r>
      <w:r>
        <w:rPr>
          <w:rFonts w:ascii="Arial" w:hAnsi="Arial" w:cs="Arial"/>
          <w:sz w:val="24"/>
          <w:szCs w:val="24"/>
        </w:rPr>
        <w:t>.</w:t>
      </w:r>
      <w:r w:rsidRPr="00A72606">
        <w:rPr>
          <w:rFonts w:ascii="Arial" w:hAnsi="Arial" w:cs="Arial"/>
          <w:sz w:val="24"/>
          <w:szCs w:val="24"/>
        </w:rPr>
        <w:t xml:space="preserve"> </w:t>
      </w:r>
      <w:r>
        <w:rPr>
          <w:rFonts w:ascii="Arial" w:hAnsi="Arial" w:cs="Arial"/>
          <w:sz w:val="24"/>
          <w:szCs w:val="24"/>
        </w:rPr>
        <w:t>The</w:t>
      </w:r>
      <w:r w:rsidRPr="00A72606">
        <w:rPr>
          <w:rFonts w:ascii="Arial" w:hAnsi="Arial" w:cs="Arial"/>
          <w:sz w:val="24"/>
          <w:szCs w:val="24"/>
        </w:rPr>
        <w:t xml:space="preserve"> least number of days </w:t>
      </w:r>
      <w:r>
        <w:rPr>
          <w:rFonts w:ascii="Arial" w:hAnsi="Arial" w:cs="Arial"/>
          <w:sz w:val="24"/>
          <w:szCs w:val="24"/>
        </w:rPr>
        <w:t xml:space="preserve">was </w:t>
      </w:r>
      <w:r w:rsidRPr="00A72606">
        <w:rPr>
          <w:rFonts w:ascii="Arial" w:hAnsi="Arial" w:cs="Arial"/>
          <w:sz w:val="24"/>
          <w:szCs w:val="24"/>
        </w:rPr>
        <w:t>for inpatient admissions</w:t>
      </w:r>
      <w:r>
        <w:rPr>
          <w:rFonts w:ascii="Arial" w:hAnsi="Arial" w:cs="Arial"/>
          <w:sz w:val="24"/>
          <w:szCs w:val="24"/>
        </w:rPr>
        <w:t xml:space="preserve"> (n=24). Inpatient admission days reflect all unplanned admissions and account for only 5.8% of the total hospital attendances.  </w:t>
      </w:r>
      <w:bookmarkEnd w:id="11"/>
      <w:r>
        <w:rPr>
          <w:rFonts w:ascii="Arial" w:hAnsi="Arial" w:cs="Arial"/>
          <w:sz w:val="24"/>
          <w:szCs w:val="24"/>
        </w:rPr>
        <w:t>The median number of days attended per patient for monoclonal treatment/review was 7 days; 5 days for attending clinics and 1 day for endoscopy, radiology investigation, day case or inpatient admissions.</w:t>
      </w:r>
      <w:r w:rsidRPr="00A72606">
        <w:rPr>
          <w:rFonts w:ascii="Arial" w:hAnsi="Arial" w:cs="Arial"/>
          <w:sz w:val="24"/>
          <w:szCs w:val="24"/>
        </w:rPr>
        <w:t xml:space="preserve"> </w:t>
      </w:r>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There was a significant negative correlation between</w:t>
      </w:r>
      <w:r>
        <w:rPr>
          <w:rFonts w:ascii="Arial" w:hAnsi="Arial" w:cs="Arial"/>
          <w:sz w:val="24"/>
          <w:szCs w:val="24"/>
        </w:rPr>
        <w:t xml:space="preserve"> the</w:t>
      </w:r>
      <w:r w:rsidRPr="00A72606">
        <w:rPr>
          <w:rFonts w:ascii="Arial" w:hAnsi="Arial" w:cs="Arial"/>
          <w:sz w:val="24"/>
          <w:szCs w:val="24"/>
        </w:rPr>
        <w:t xml:space="preserve"> number of days in </w:t>
      </w:r>
      <w:proofErr w:type="gramStart"/>
      <w:r w:rsidRPr="00A72606">
        <w:rPr>
          <w:rFonts w:ascii="Arial" w:hAnsi="Arial" w:cs="Arial"/>
          <w:sz w:val="24"/>
          <w:szCs w:val="24"/>
        </w:rPr>
        <w:t>hospital  and</w:t>
      </w:r>
      <w:proofErr w:type="gramEnd"/>
      <w:r w:rsidRPr="00A72606">
        <w:rPr>
          <w:rFonts w:ascii="Arial" w:hAnsi="Arial" w:cs="Arial"/>
          <w:sz w:val="24"/>
          <w:szCs w:val="24"/>
        </w:rPr>
        <w:t xml:space="preserve"> school attendance, Pearson’s correlation coefficient -0.</w:t>
      </w:r>
      <w:r w:rsidRPr="002071A8">
        <w:rPr>
          <w:rFonts w:ascii="Arial" w:hAnsi="Arial" w:cs="Arial"/>
          <w:sz w:val="24"/>
          <w:szCs w:val="24"/>
        </w:rPr>
        <w:t>373, p=0.037.</w:t>
      </w:r>
      <w:r w:rsidRPr="00A72606">
        <w:rPr>
          <w:rFonts w:ascii="Arial" w:hAnsi="Arial" w:cs="Arial"/>
          <w:sz w:val="24"/>
          <w:szCs w:val="24"/>
        </w:rPr>
        <w:t xml:space="preserve">  </w:t>
      </w:r>
    </w:p>
    <w:p w:rsidR="002147E0" w:rsidRPr="00A72606" w:rsidRDefault="002147E0" w:rsidP="002147E0">
      <w:pPr>
        <w:spacing w:line="480" w:lineRule="auto"/>
        <w:jc w:val="both"/>
        <w:rPr>
          <w:rFonts w:ascii="Arial" w:hAnsi="Arial" w:cs="Arial"/>
          <w:sz w:val="24"/>
          <w:szCs w:val="24"/>
        </w:rPr>
      </w:pPr>
      <w:bookmarkStart w:id="12" w:name="_Hlk20136302"/>
      <w:r>
        <w:rPr>
          <w:rFonts w:ascii="Arial" w:hAnsi="Arial" w:cs="Arial"/>
          <w:sz w:val="24"/>
          <w:szCs w:val="24"/>
        </w:rPr>
        <w:lastRenderedPageBreak/>
        <w:t xml:space="preserve">Based on these data we hypothesised that if days off for hospital attendance are excluded, school attendance would increase by a median of 9 days per child, or 4.7% attendance, based on 191 school days per year. This would increase the median attendance to 97.2%, exceeding the national average in the general population.  </w:t>
      </w:r>
    </w:p>
    <w:bookmarkEnd w:id="12"/>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Default="002147E0" w:rsidP="002147E0">
      <w:pPr>
        <w:spacing w:line="480" w:lineRule="auto"/>
        <w:jc w:val="both"/>
        <w:rPr>
          <w:rFonts w:ascii="Arial" w:hAnsi="Arial" w:cs="Arial"/>
          <w:b/>
          <w:sz w:val="24"/>
          <w:szCs w:val="24"/>
          <w:u w:val="single"/>
        </w:rPr>
      </w:pPr>
    </w:p>
    <w:p w:rsidR="002147E0" w:rsidRPr="00D42D05" w:rsidRDefault="002147E0" w:rsidP="002147E0">
      <w:pPr>
        <w:spacing w:line="480" w:lineRule="auto"/>
        <w:jc w:val="both"/>
        <w:rPr>
          <w:rFonts w:ascii="Arial" w:hAnsi="Arial" w:cs="Arial"/>
          <w:b/>
          <w:sz w:val="24"/>
          <w:szCs w:val="24"/>
          <w:u w:val="single"/>
        </w:rPr>
      </w:pPr>
      <w:r w:rsidRPr="00D42D05">
        <w:rPr>
          <w:rFonts w:ascii="Arial" w:hAnsi="Arial" w:cs="Arial"/>
          <w:b/>
          <w:sz w:val="24"/>
          <w:szCs w:val="24"/>
          <w:u w:val="single"/>
        </w:rPr>
        <w:t>Discussion</w:t>
      </w:r>
    </w:p>
    <w:p w:rsidR="002147E0" w:rsidRPr="00A72606" w:rsidRDefault="002147E0" w:rsidP="002147E0">
      <w:pPr>
        <w:spacing w:line="480" w:lineRule="auto"/>
        <w:jc w:val="both"/>
        <w:rPr>
          <w:rFonts w:ascii="Arial" w:hAnsi="Arial" w:cs="Arial"/>
          <w:sz w:val="24"/>
          <w:szCs w:val="24"/>
        </w:rPr>
      </w:pPr>
      <w:r w:rsidRPr="00A72606">
        <w:rPr>
          <w:rFonts w:ascii="Arial" w:hAnsi="Arial" w:cs="Arial"/>
          <w:sz w:val="24"/>
          <w:szCs w:val="24"/>
        </w:rPr>
        <w:t>Median school attendance is significantly reduced in children with IBD</w:t>
      </w:r>
      <w:r>
        <w:rPr>
          <w:rFonts w:ascii="Arial" w:hAnsi="Arial" w:cs="Arial"/>
          <w:sz w:val="24"/>
          <w:szCs w:val="24"/>
        </w:rPr>
        <w:t>, compared to the general school attendance</w:t>
      </w:r>
      <w:r w:rsidRPr="00A72606">
        <w:rPr>
          <w:rFonts w:ascii="Arial" w:hAnsi="Arial" w:cs="Arial"/>
          <w:sz w:val="24"/>
          <w:szCs w:val="24"/>
        </w:rPr>
        <w:t xml:space="preserve"> in England</w:t>
      </w:r>
      <w:r>
        <w:rPr>
          <w:rFonts w:ascii="Arial" w:hAnsi="Arial" w:cs="Arial"/>
          <w:sz w:val="24"/>
          <w:szCs w:val="24"/>
        </w:rPr>
        <w:t>. Almost 40% of children with IBD</w:t>
      </w:r>
      <w:r w:rsidRPr="00A72606">
        <w:rPr>
          <w:rFonts w:ascii="Arial" w:hAnsi="Arial" w:cs="Arial"/>
          <w:sz w:val="24"/>
          <w:szCs w:val="24"/>
        </w:rPr>
        <w:t xml:space="preserve"> are classified as persistently absent, missing 10% or more of school/college</w:t>
      </w:r>
      <w:r>
        <w:rPr>
          <w:rFonts w:ascii="Arial" w:hAnsi="Arial" w:cs="Arial"/>
          <w:sz w:val="24"/>
          <w:szCs w:val="24"/>
        </w:rPr>
        <w:t>; significantly greater than the rate for school children in England (11.2%).  O</w:t>
      </w:r>
      <w:r w:rsidRPr="00A72606">
        <w:rPr>
          <w:rFonts w:ascii="Arial" w:hAnsi="Arial" w:cs="Arial"/>
          <w:sz w:val="24"/>
          <w:szCs w:val="24"/>
        </w:rPr>
        <w:t xml:space="preserve">nly </w:t>
      </w:r>
      <w:r>
        <w:rPr>
          <w:rFonts w:ascii="Arial" w:hAnsi="Arial" w:cs="Arial"/>
          <w:sz w:val="24"/>
          <w:szCs w:val="24"/>
        </w:rPr>
        <w:t>five with IBD</w:t>
      </w:r>
      <w:r w:rsidRPr="00A72606">
        <w:rPr>
          <w:rFonts w:ascii="Arial" w:hAnsi="Arial" w:cs="Arial"/>
          <w:sz w:val="24"/>
          <w:szCs w:val="24"/>
        </w:rPr>
        <w:t xml:space="preserve"> achieved 100% attendance rates.</w:t>
      </w:r>
      <w:r>
        <w:rPr>
          <w:rFonts w:ascii="Arial" w:hAnsi="Arial" w:cs="Arial"/>
          <w:sz w:val="24"/>
          <w:szCs w:val="24"/>
        </w:rPr>
        <w:t xml:space="preserve">  Poor school attendance</w:t>
      </w:r>
      <w:r w:rsidRPr="00A72606">
        <w:rPr>
          <w:rFonts w:ascii="Arial" w:hAnsi="Arial" w:cs="Arial"/>
          <w:sz w:val="24"/>
          <w:szCs w:val="24"/>
        </w:rPr>
        <w:t xml:space="preserve"> is largely driven by</w:t>
      </w:r>
      <w:r>
        <w:rPr>
          <w:rFonts w:ascii="Arial" w:hAnsi="Arial" w:cs="Arial"/>
          <w:sz w:val="24"/>
          <w:szCs w:val="24"/>
        </w:rPr>
        <w:t xml:space="preserve"> attending hospital</w:t>
      </w:r>
      <w:r w:rsidRPr="00A72606">
        <w:rPr>
          <w:rFonts w:ascii="Arial" w:hAnsi="Arial" w:cs="Arial"/>
          <w:sz w:val="24"/>
          <w:szCs w:val="24"/>
        </w:rPr>
        <w:t xml:space="preserve"> for appointments and treatments. Patients requiring mon</w:t>
      </w:r>
      <w:r>
        <w:rPr>
          <w:rFonts w:ascii="Arial" w:hAnsi="Arial" w:cs="Arial"/>
          <w:sz w:val="24"/>
          <w:szCs w:val="24"/>
        </w:rPr>
        <w:t>oclonal therapy/older age</w:t>
      </w:r>
      <w:r w:rsidRPr="00A72606">
        <w:rPr>
          <w:rFonts w:ascii="Arial" w:hAnsi="Arial" w:cs="Arial"/>
          <w:sz w:val="24"/>
          <w:szCs w:val="24"/>
        </w:rPr>
        <w:t xml:space="preserve"> have a significantly lower school attendance</w:t>
      </w:r>
      <w:r>
        <w:rPr>
          <w:rFonts w:ascii="Arial" w:hAnsi="Arial" w:cs="Arial"/>
          <w:sz w:val="24"/>
          <w:szCs w:val="24"/>
        </w:rPr>
        <w:t xml:space="preserve"> in the multivariate analysis</w:t>
      </w:r>
      <w:r w:rsidRPr="00A72606">
        <w:rPr>
          <w:rFonts w:ascii="Arial" w:hAnsi="Arial" w:cs="Arial"/>
          <w:sz w:val="24"/>
          <w:szCs w:val="24"/>
        </w:rPr>
        <w:t>. Self-reported factors associated with inability to attend school were frequent appointments, lack of toilet access</w:t>
      </w:r>
      <w:r>
        <w:rPr>
          <w:rFonts w:ascii="Arial" w:hAnsi="Arial" w:cs="Arial"/>
          <w:sz w:val="24"/>
          <w:szCs w:val="24"/>
        </w:rPr>
        <w:t>,</w:t>
      </w:r>
      <w:r w:rsidRPr="00A72606">
        <w:rPr>
          <w:rFonts w:ascii="Arial" w:hAnsi="Arial" w:cs="Arial"/>
          <w:sz w:val="24"/>
          <w:szCs w:val="24"/>
        </w:rPr>
        <w:t xml:space="preserve"> an</w:t>
      </w:r>
      <w:r>
        <w:rPr>
          <w:rFonts w:ascii="Arial" w:hAnsi="Arial" w:cs="Arial"/>
          <w:sz w:val="24"/>
          <w:szCs w:val="24"/>
        </w:rPr>
        <w:t>d feeling unwell.  Respondents felt improved school attendance</w:t>
      </w:r>
      <w:r w:rsidRPr="00A72606">
        <w:rPr>
          <w:rFonts w:ascii="Arial" w:hAnsi="Arial" w:cs="Arial"/>
          <w:sz w:val="24"/>
          <w:szCs w:val="24"/>
        </w:rPr>
        <w:t xml:space="preserve"> may be achieved with better teacher/school education, better toilet access</w:t>
      </w:r>
      <w:r>
        <w:rPr>
          <w:rFonts w:ascii="Arial" w:hAnsi="Arial" w:cs="Arial"/>
          <w:sz w:val="24"/>
          <w:szCs w:val="24"/>
        </w:rPr>
        <w:t>,</w:t>
      </w:r>
      <w:r w:rsidRPr="00A72606">
        <w:rPr>
          <w:rFonts w:ascii="Arial" w:hAnsi="Arial" w:cs="Arial"/>
          <w:sz w:val="24"/>
          <w:szCs w:val="24"/>
        </w:rPr>
        <w:t xml:space="preserve"> and hospital appointments </w:t>
      </w:r>
      <w:r>
        <w:rPr>
          <w:rFonts w:ascii="Arial" w:hAnsi="Arial" w:cs="Arial"/>
          <w:sz w:val="24"/>
          <w:szCs w:val="24"/>
        </w:rPr>
        <w:t xml:space="preserve">after </w:t>
      </w:r>
      <w:r w:rsidRPr="00A72606">
        <w:rPr>
          <w:rFonts w:ascii="Arial" w:hAnsi="Arial" w:cs="Arial"/>
          <w:sz w:val="24"/>
          <w:szCs w:val="24"/>
        </w:rPr>
        <w:t xml:space="preserve">school .  </w:t>
      </w:r>
    </w:p>
    <w:p w:rsidR="002147E0" w:rsidRPr="00A72606" w:rsidRDefault="002147E0" w:rsidP="002147E0">
      <w:pPr>
        <w:spacing w:line="480" w:lineRule="auto"/>
        <w:jc w:val="both"/>
        <w:rPr>
          <w:rFonts w:ascii="Arial" w:hAnsi="Arial" w:cs="Arial"/>
          <w:sz w:val="24"/>
          <w:szCs w:val="24"/>
        </w:rPr>
      </w:pPr>
      <w:r w:rsidRPr="00A72606">
        <w:rPr>
          <w:rFonts w:ascii="Arial" w:hAnsi="Arial" w:cs="Arial"/>
          <w:sz w:val="24"/>
          <w:szCs w:val="24"/>
        </w:rPr>
        <w:t>These findings are in line with other studies showing</w:t>
      </w:r>
      <w:r>
        <w:rPr>
          <w:rFonts w:ascii="Arial" w:hAnsi="Arial" w:cs="Arial"/>
          <w:sz w:val="24"/>
          <w:szCs w:val="24"/>
        </w:rPr>
        <w:t xml:space="preserve"> that</w:t>
      </w:r>
      <w:r w:rsidRPr="00A72606">
        <w:rPr>
          <w:rFonts w:ascii="Arial" w:hAnsi="Arial" w:cs="Arial"/>
          <w:sz w:val="24"/>
          <w:szCs w:val="24"/>
        </w:rPr>
        <w:t xml:space="preserve"> children with IBD miss significantly more school than their healthy peers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{"citationItems":[{"id":"ITEM-1","itemData":{"DOI":"10.1097/DBP.0b013e318240cf68","ISSN":"0196206X","abstract":"Objective: Inflammatory bowel disease (IBD) and its treatment have the potential to disrupt school functioning. Some research suggests that youth with IBD may have increased absences, but little is known about other areas of school functioning or related factors. This study examined school functioning (absences, achievement, grade retention, special education, and school-related quality of life) in adolescents with IBD compared with healthy adolescents and investigated demographic, disease, and psychosocial vari-ables as predictors. Methods: Participants were 92 adolescents 11 to 17 years (50 with IBD and 42 healthy) and parents who completed questionnaires assessing psychosocial and school functioning. Report cards and school absence information were obtained from schools. Results: Youth with IBD had poorer school function-ing in all areas, although only absences were significantly different between groups. Among those with IBD, internalizing problems predicted absences, income and externalizing problems predicted grade point average, and parent marital status and somatic complaints predicted school quality of life. Disease factors, including but not limited disease activity, were not significant predictors. Conclusions: Adolescents with IBD are at risk for school difficulty, and demographic and psychosocial factors are better predictors than disease factors. Interventions aimed at improving behavioral/emotional problems may improve school functioning. (J Dev Behav Pediatr 33:106 –111, 2012) Index terms: inflammatory bowel disease, school functioning, adolescent development. Inf lammatory bowel disease (IBD) is a relapsing-remit-ting chronic illness commonly diagnosed during adoles-cence. It is typically divided into the 2 subtypes of Crohn's disease and ulcerative colitis (UC), which differ in anatomical location and the nature of the inflamma-tion. The primary symptoms of IBD, abdominal pain, fatigue, and diarrhea occur in both Crohn's disease and UC and likely affect school functioning in a similar man-ner. Both IBD and its treatment have the potential to disrupt school functioning. When the disease is active, the symptoms can require a need for bathroom proxim-ity, increased clinic visits, and an increased risk for hos-pitalization. Treatment for IBD includes corticosteroids, which affect learning and memory, 1 and intravenous medication requiring hours in an infusion clinic. Further-more, a recent meta-analysis noted increased rates of depression …","author":[{"dropping-particle":"","family":"MacKner","given":"Laura M.","non-dropping-particle":"","parse-names":false,"suffix":""},{"dropping-particle":"","family":"Bickmeier","given":"Robert M.","non-dropping-particle":"","parse-names":false,"suffix":""},{"dropping-particle":"V.","family":"Crandall","given":"Wallace","non-dropping-particle":"","parse-names":false,"suffix":""}],"container-title":"Journal of Developmental and Behavioral Pediatrics","id":"ITEM-1","issued":{"date-parts":[["2012"]]},"title":"Academic achievement, attendance, and school-related quality of life in pediatric inflammatory bowel disease","type":"article-journal"},"uris":["http://www.mendeley.com/documents/?uuid=8d0ba40e-2727-4e31-b9a3-4e4e2997b767","http://www.mendeley.com/documents/?uuid=354863ad-61b2-4aeb-8821-4b34874034cc"]}],"mendeley":{"formattedCitation":"[25]","plainTextFormattedCitation":"[25]","previouslyFormattedCitation":"[25]"},"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[25]</w:t>
      </w:r>
      <w:r w:rsidR="003E61C5">
        <w:rPr>
          <w:rFonts w:ascii="Arial" w:hAnsi="Arial" w:cs="Arial"/>
          <w:sz w:val="24"/>
          <w:szCs w:val="24"/>
        </w:rPr>
        <w:fldChar w:fldCharType="end"/>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{"citationItems":[{"id":"ITEM-1","itemData":{"DOI":"10.1097/MPG.0000000000000850","ISSN":"15364801","abstract":"Copyright © 2015 by ESPGHAN and NASPGHAN. Objective: Inflammatory bowel disease (IBD) and functional abdominal pain (FAP) are associated with debilitating symptoms and frequent medical visits that may disrupt school functioning. The aim of this study was to assess school-related quality of life and school absenteeism in children with IBD, compared with FAP and healthy controls. Methods: School absenteeism and participation in school and after-school activities data were obtained for 43 children with Crohn disease (CD), 31 children with ulcerative colitis (UC), 42 children with FAP, and 30 agematched healthy controls for the 2013-2014 school year. We used a semistructured questionnaire for both children and parents. For diminishing recall bias, absenteeism data were cross-matched with the patient's school annual report cards. Results: Children with FAP, CD, and UC missed significantly more school days than age-matched healthy controls (17.6 [8.75-30], 24 [14-30] , and 21 [12-25] vs 5.1 [3.75-6.25] , respectively, P &lt; 0.001). Compared with children with FAP, absenteeism because of medical appointments and hospitalization was significantly greater in children with CD and UC (8.8 [4-14] and 7.1 [3-10]  vs 4.4 [2-6.25], P=0.001). Participation of children with FAP and IBD in various school and after-school activities was significantly reduced compared with healthy controls. There was no difference in school attendance and functioning between children with IBD and FAP. Conclusions: FAP has a significant impact on school attendance and functioning similar to IBD. These findings show that significant psychosocial and academic difficulties are faced not only by children with chronic diseases like IBD but also by children with FAP.","author":[{"dropping-particle":"","family":"Assa","given":"Amit","non-dropping-particle":"","parse-names":false,"suffix":""},{"dropping-particle":"","family":"Ish-Tov","given":"Alona","non-dropping-particle":"","parse-names":false,"suffix":""},{"dropping-particle":"","family":"Rinawi","given":"Firas","non-dropping-particle":"","parse-names":false,"suffix":""},{"dropping-particle":"","family":"Shamir","given":"Raanan","non-dropping-particle":"","parse-names":false,"suffix":""}],"container-title":"Journal of Pediatric Gastroenterology and Nutrition","id":"ITEM-1","issued":{"date-parts":[["2015"]]},"title":"School attendance in children with functional abdominal pain and inflammatory bowel diseases","type":"article-journal"},"uris":["http://www.mendeley.com/documents/?uuid=30caf3d4-8296-4b90-8d1e-ac8ad1df32b3","http://www.mendeley.com/documents/?uuid=f2350fbd-2d34-4f42-a305-4a01b9e321c7"]}],"mendeley":{"formattedCitation":"[26]","plainTextFormattedCitation":"[26]","previouslyFormattedCitation":"[26]"},"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[26]</w:t>
      </w:r>
      <w:r w:rsidR="003E61C5">
        <w:rPr>
          <w:rFonts w:ascii="Arial" w:hAnsi="Arial" w:cs="Arial"/>
          <w:sz w:val="24"/>
          <w:szCs w:val="24"/>
        </w:rPr>
        <w:fldChar w:fldCharType="end"/>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{"citationItems":[{"id":"ITEM-1","itemData":{"DOI":"10.1097/MPG.0000000000002207","ISSN":"15364801","abstract":"OBJECTIVES Inflammatory Bowel Diseases (IBD) are chronic diseases which negatively affect the schooling of children. The aim is to analyze school absenteeism and its causes in children followed for IBD. METHODS A prospective multicenter study of IBD patients aged from 5 to 18 years old, from September 2016 to June 2017. Data on absenteeism and its causes were collected via a monthly questionnaire completed by patients or their family by mail. The results were compared with existing data supplied by the school authorities (497 students without IBD divided by class). RESULTS 106 patients (62 boys), median age of 14 (5 to 18), were included. The global response rate was 83.1%. The IBD patients were absent an average of 4.8 +/- 5.5% of school days during the school year, against 3.2 +/- 1.6% for non IBD group (p = 0.034). Digestive disorders accounted for 34% of the causes of absenteeism. 27% of the absences were due to scheduled events (hospitalizations, endoscopy, or consultations). By excluding the absences for scheduled care, the rate of school absenteeism of IBD patients is significantly lower than that of non-IBD group. CONCLUSION Children with IBD are more frequently absent from school than non IBD group. The main cause of school absenteeism appears to be associated with the disease itself. The share of scheduled absenteeism is quite large. The organization and scheduling of the patients' care path must be a priority to maximally limit the negative impact of their disease on the patients' schooling.","author":[{"dropping-particle":"","family":"Eloi","given":"Clémentine","non-dropping-particle":"","parse-names":false,"suffix":""},{"dropping-particle":"","family":"Foulon","given":"Gauthier","non-dropping-particle":"","parse-names":false,"suffix":""},{"dropping-particle":"","family":"Bridoux-Henno","given":"Laure","non-dropping-particle":"","parse-names":false,"suffix":""},{"dropping-particle":"","family":"Breton","given":"Estelle","non-dropping-particle":"","parse-names":false,"suffix":""},{"dropping-particle":"","family":"Pelatan","given":"Cecile","non-dropping-particle":"","parse-names":false,"suffix":""},{"dropping-particle":"","family":"Chaillou","given":"Emilie","non-dropping-particle":"","parse-names":false,"suffix":""},{"dropping-particle":"","family":"Grimal","given":"Isabelle","non-dropping-particle":"","parse-names":false,"suffix":""},{"dropping-particle":"","family":"Darviot","given":"Estelle","non-dropping-particle":"","parse-names":false,"suffix":""},{"dropping-particle":"","family":"Carré","given":"Emilie","non-dropping-particle":"","parse-names":false,"suffix":""},{"dropping-particle":"","family":"Gastineau","given":"Swellen","non-dropping-particle":"","parse-names":false,"suffix":""},{"dropping-particle":"","family":"Tourtelier","given":"Yann","non-dropping-particle":"","parse-names":false,"suffix":""},{"dropping-particle":"","family":"Nicaise","given":"Dorothee","non-dropping-particle":"","parse-names":false,"suffix":""},{"dropping-particle":"","family":"Rousseau","given":"Chloe","non-dropping-particle":"","parse-names":false,"suffix":""},{"dropping-particle":"","family":"Dabadie","given":"Alain","non-dropping-particle":"","parse-names":false,"suffix":""}],"container-title":"Journal of pediatric gastroenterology and nutrition","id":"ITEM-1","issued":{"date-parts":[["2019"]]},"title":"Inflammatory Bowel Diseases and School Absenteeism","type":"article-journal"},"uris":["http://www.mendeley.com/documents/?uuid=03d1263f-cc66-4729-a894-6f9bb082b538","http://www.mendeley.com/documents/?uuid=3078736a-d006-4eb0-8808-a20eeb2c8c5b"]}],"mendeley":{"formattedCitation":"[27]","plainTextFormattedCitation":"[27]","previouslyFormattedCitation":"[27]"},"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[27]</w:t>
      </w:r>
      <w:r w:rsidR="003E61C5">
        <w:rPr>
          <w:rFonts w:ascii="Arial" w:hAnsi="Arial" w:cs="Arial"/>
          <w:sz w:val="24"/>
          <w:szCs w:val="24"/>
        </w:rPr>
        <w:fldChar w:fldCharType="end"/>
      </w:r>
      <w:r>
        <w:rPr>
          <w:rFonts w:ascii="Arial" w:hAnsi="Arial" w:cs="Arial"/>
          <w:sz w:val="24"/>
          <w:szCs w:val="24"/>
        </w:rPr>
        <w:t xml:space="preserve">.  </w:t>
      </w:r>
      <w:proofErr w:type="spellStart"/>
      <w:r>
        <w:rPr>
          <w:rFonts w:ascii="Arial" w:hAnsi="Arial" w:cs="Arial"/>
          <w:sz w:val="24"/>
          <w:szCs w:val="24"/>
        </w:rPr>
        <w:t>Mackner</w:t>
      </w:r>
      <w:proofErr w:type="spellEnd"/>
      <w:r>
        <w:rPr>
          <w:rFonts w:ascii="Arial" w:hAnsi="Arial" w:cs="Arial"/>
          <w:sz w:val="24"/>
          <w:szCs w:val="24"/>
        </w:rPr>
        <w:t xml:space="preserve"> </w:t>
      </w:r>
      <w:r w:rsidRPr="00156C70">
        <w:rPr>
          <w:rFonts w:ascii="Arial" w:hAnsi="Arial" w:cs="Arial"/>
          <w:i/>
          <w:sz w:val="24"/>
          <w:szCs w:val="24"/>
        </w:rPr>
        <w:t xml:space="preserve">et al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{"citationItems":[{"id":"ITEM-1","itemData":{"DOI":"10.1097/DBP.0b013e318240cf68","ISSN":"0196206X","abstract":"Objective: Inflammatory bowel disease (IBD) and its treatment have the potential to disrupt school functioning. Some research suggests that youth with IBD may have increased absences, but little is known about other areas of school functioning or related factors. This study examined school functioning (absences, achievement, grade retention, special education, and school-related quality of life) in adolescents with IBD compared with healthy adolescents and investigated demographic, disease, and psychosocial vari-ables as predictors. Methods: Participants were 92 adolescents 11 to 17 years (50 with IBD and 42 healthy) and parents who completed questionnaires assessing psychosocial and school functioning. Report cards and school absence information were obtained from schools. Results: Youth with IBD had poorer school function-ing in all areas, although only absences were significantly different between groups. Among those with IBD, internalizing problems predicted absences, income and externalizing problems predicted grade point average, and parent marital status and somatic complaints predicted school quality of life. Disease factors, including but not limited disease activity, were not significant predictors. Conclusions: Adolescents with IBD are at risk for school difficulty, and demographic and psychosocial factors are better predictors than disease factors. Interventions aimed at improving behavioral/emotional problems may improve school functioning. (J Dev Behav Pediatr 33:106 –111, 2012) Index terms: inflammatory bowel disease, school functioning, adolescent development. Inf lammatory bowel disease (IBD) is a relapsing-remit-ting chronic illness commonly diagnosed during adoles-cence. It is typically divided into the 2 subtypes of Crohn's disease and ulcerative colitis (UC), which differ in anatomical location and the nature of the inflamma-tion. The primary symptoms of IBD, abdominal pain, fatigue, and diarrhea occur in both Crohn's disease and UC and likely affect school functioning in a similar man-ner. Both IBD and its treatment have the potential to disrupt school functioning. When the disease is active, the symptoms can require a need for bathroom proxim-ity, increased clinic visits, and an increased risk for hos-pitalization. Treatment for IBD includes corticosteroids, which affect learning and memory, 1 and intravenous medication requiring hours in an infusion clinic. Further-more, a recent meta-analysis noted increased rates of depression …","author":[{"dropping-particle":"","family":"MacKner","given":"Laura M.","non-dropping-particle":"","parse-names":false,"suffix":""},{"dropping-particle":"","family":"Bickmeier","given":"Robert M.","non-dropping-particle":"","parse-names":false,"suffix":""},{"dropping-particle":"V.","family":"Crandall","given":"Wallace","non-dropping-particle":"","parse-names":false,"suffix":""}],"container-title":"Journal of Developmental and Behavioral Pediatrics","id":"ITEM-1","issued":{"date-parts":[["2012"]]},"title":"Academic achievement, attendance, and school-related quality of life in pediatric inflammatory bowel disease","type":"article-journal"},"uris":["http://www.mendeley.com/documents/?uuid=8d0ba40e-2727-4e31-b9a3-4e4e2997b767","http://www.mendeley.com/documents/?uuid=354863ad-61b2-4aeb-8821-4b34874034cc"]}],"mendeley":{"formattedCitation":"[25]","plainTextFormattedCitation":"[25]","previouslyFormattedCitation":"[25]"},"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[25]</w:t>
      </w:r>
      <w:r w:rsidR="003E61C5">
        <w:rPr>
          <w:rFonts w:ascii="Arial" w:hAnsi="Arial" w:cs="Arial"/>
          <w:sz w:val="24"/>
          <w:szCs w:val="24"/>
        </w:rPr>
        <w:fldChar w:fldCharType="end"/>
      </w:r>
      <w:r w:rsidRPr="00A72606">
        <w:rPr>
          <w:rFonts w:ascii="Arial" w:hAnsi="Arial" w:cs="Arial"/>
          <w:sz w:val="24"/>
          <w:szCs w:val="24"/>
        </w:rPr>
        <w:t xml:space="preserve"> found that 20% of those with IBD missed &gt;3</w:t>
      </w:r>
      <w:r>
        <w:rPr>
          <w:rFonts w:ascii="Arial" w:hAnsi="Arial" w:cs="Arial"/>
          <w:sz w:val="24"/>
          <w:szCs w:val="24"/>
        </w:rPr>
        <w:t xml:space="preserve"> weeks</w:t>
      </w:r>
      <w:r w:rsidRPr="00A72606">
        <w:rPr>
          <w:rFonts w:ascii="Arial" w:hAnsi="Arial" w:cs="Arial"/>
          <w:sz w:val="24"/>
          <w:szCs w:val="24"/>
        </w:rPr>
        <w:t xml:space="preserve"> of school </w:t>
      </w:r>
      <w:r>
        <w:rPr>
          <w:rFonts w:ascii="Arial" w:hAnsi="Arial" w:cs="Arial"/>
          <w:sz w:val="24"/>
          <w:szCs w:val="24"/>
        </w:rPr>
        <w:t xml:space="preserve">(&lt;92% attendance) </w:t>
      </w:r>
      <w:r w:rsidRPr="00A72606">
        <w:rPr>
          <w:rFonts w:ascii="Arial" w:hAnsi="Arial" w:cs="Arial"/>
          <w:sz w:val="24"/>
          <w:szCs w:val="24"/>
        </w:rPr>
        <w:t xml:space="preserve">compared to 4% </w:t>
      </w:r>
      <w:r>
        <w:rPr>
          <w:rFonts w:ascii="Arial" w:hAnsi="Arial" w:cs="Arial"/>
          <w:sz w:val="24"/>
          <w:szCs w:val="24"/>
        </w:rPr>
        <w:t xml:space="preserve">of </w:t>
      </w:r>
      <w:r w:rsidRPr="00A72606">
        <w:rPr>
          <w:rFonts w:ascii="Arial" w:hAnsi="Arial" w:cs="Arial"/>
          <w:sz w:val="24"/>
          <w:szCs w:val="24"/>
        </w:rPr>
        <w:t>healthy adoles</w:t>
      </w:r>
      <w:r>
        <w:rPr>
          <w:rFonts w:ascii="Arial" w:hAnsi="Arial" w:cs="Arial"/>
          <w:sz w:val="24"/>
          <w:szCs w:val="24"/>
        </w:rPr>
        <w:t xml:space="preserve">cents, whilst </w:t>
      </w:r>
      <w:proofErr w:type="spellStart"/>
      <w:r>
        <w:rPr>
          <w:rFonts w:ascii="Arial" w:hAnsi="Arial" w:cs="Arial"/>
          <w:sz w:val="24"/>
          <w:szCs w:val="24"/>
        </w:rPr>
        <w:t>Assa</w:t>
      </w:r>
      <w:proofErr w:type="spellEnd"/>
      <w:r>
        <w:rPr>
          <w:rFonts w:ascii="Arial" w:hAnsi="Arial" w:cs="Arial"/>
          <w:sz w:val="24"/>
          <w:szCs w:val="24"/>
        </w:rPr>
        <w:t xml:space="preserve"> </w:t>
      </w:r>
      <w:r w:rsidRPr="00156C70">
        <w:rPr>
          <w:rFonts w:ascii="Arial" w:hAnsi="Arial" w:cs="Arial"/>
          <w:i/>
          <w:sz w:val="24"/>
          <w:szCs w:val="24"/>
        </w:rPr>
        <w:t>et al</w:t>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{"citationItems":[{"id":"ITEM-1","itemData":{"DOI":"10.1097/MPG.0000000000000850","ISSN":"15364801","abstract":"Copyright © 2015 by ESPGHAN and NASPGHAN. Objective: Inflammatory bowel disease (IBD) and functional abdominal pain (FAP) are associated with debilitating symptoms and frequent medical visits that may disrupt school functioning. The aim of this study was to assess school-related quality of life and school absenteeism in children with IBD, compared with FAP and healthy controls. Methods: School absenteeism and participation in school and after-school activities data were obtained for 43 children with Crohn disease (CD), 31 children with ulcerative colitis (UC), 42 children with FAP, and 30 agematched healthy controls for the 2013-2014 school year. We used a semistructured questionnaire for both children and parents. For diminishing recall bias, absenteeism data were cross-matched with the patient's school annual report cards. Results: Children with FAP, CD, and UC missed significantly more school days than age-matched healthy controls (17.6 [8.75-30], 24 [14-30] , and 21 [12-25] vs 5.1 [3.75-6.25] , respectively, P &lt; 0.001). Compared with children with FAP, absenteeism because of medical appointments and hospitalization was significantly greater in children with CD and UC (8.8 [4-14] and 7.1 [3-10]  vs 4.4 [2-6.25], P=0.001). Participation of children with FAP and IBD in various school and after-school activities was significantly reduced compared with healthy controls. There was no difference in school attendance and functioning between children with IBD and FAP. Conclusions: FAP has a significant impact on school attendance and functioning similar to IBD. These findings show that significant psychosocial and academic difficulties are faced not only by children with chronic diseases like IBD but also by children with FAP.","author":[{"dropping-particle":"","family":"Assa","given":"Amit","non-dropping-particle":"","parse-names":false,"suffix":""},{"dropping-particle":"","family":"Ish-Tov","given":"Alona","non-dropping-particle":"","parse-names":false,"suffix":""},{"dropping-particle":"","family":"Rinawi","given":"Firas","non-dropping-particle":"","parse-names":false,"suffix":""},{"dropping-particle":"","family":"Shamir","given":"Raanan","non-dropping-particle":"","parse-names":false,"suffix":""}],"container-title":"Journal of Pediatric Gastroenterology and Nutrition","id":"ITEM-1","issued":{"date-parts":[["2015"]]},"title":"School attendance in children with functional abdominal pain and inflammatory bowel diseases","type":"article-journal"},"uris":["http://www.mendeley.com/documents/?uuid=30caf3d4-8296-4b90-8d1e-ac8ad1df32b3","http://www.mendeley.com/documents/?uuid=f2350fbd-2d34-4f42-a305-4a01b9e321c7"]}],"mendeley":{"formattedCitation":"[26]","plainTextFormattedCitation":"[26]","previouslyFormattedCitation":"[26]"},"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[26]</w:t>
      </w:r>
      <w:r w:rsidR="003E61C5">
        <w:rPr>
          <w:rFonts w:ascii="Arial" w:hAnsi="Arial" w:cs="Arial"/>
          <w:sz w:val="24"/>
          <w:szCs w:val="24"/>
        </w:rPr>
        <w:fldChar w:fldCharType="end"/>
      </w:r>
      <w:r>
        <w:rPr>
          <w:rFonts w:ascii="Arial" w:hAnsi="Arial" w:cs="Arial"/>
          <w:sz w:val="24"/>
          <w:szCs w:val="24"/>
        </w:rPr>
        <w:t xml:space="preserve"> found that</w:t>
      </w:r>
      <w:r w:rsidRPr="00A72606">
        <w:rPr>
          <w:rFonts w:ascii="Arial" w:hAnsi="Arial" w:cs="Arial"/>
          <w:sz w:val="24"/>
          <w:szCs w:val="24"/>
        </w:rPr>
        <w:t xml:space="preserve"> the difference was greater, with 64% of tho</w:t>
      </w:r>
      <w:r>
        <w:rPr>
          <w:rFonts w:ascii="Arial" w:hAnsi="Arial" w:cs="Arial"/>
          <w:sz w:val="24"/>
          <w:szCs w:val="24"/>
        </w:rPr>
        <w:t xml:space="preserve">se with IBD missing </w:t>
      </w:r>
      <w:r w:rsidRPr="00A72606">
        <w:rPr>
          <w:rFonts w:ascii="Arial" w:hAnsi="Arial" w:cs="Arial"/>
          <w:sz w:val="24"/>
          <w:szCs w:val="24"/>
        </w:rPr>
        <w:t xml:space="preserve"> </w:t>
      </w:r>
      <w:r>
        <w:rPr>
          <w:rFonts w:ascii="Arial" w:hAnsi="Arial" w:cs="Arial"/>
          <w:sz w:val="24"/>
          <w:szCs w:val="24"/>
        </w:rPr>
        <w:t>&gt;</w:t>
      </w:r>
      <w:r w:rsidRPr="00A72606">
        <w:rPr>
          <w:rFonts w:ascii="Arial" w:hAnsi="Arial" w:cs="Arial"/>
          <w:sz w:val="24"/>
          <w:szCs w:val="24"/>
        </w:rPr>
        <w:t xml:space="preserve">3 weeks compared to 3% </w:t>
      </w:r>
      <w:r>
        <w:rPr>
          <w:rFonts w:ascii="Arial" w:hAnsi="Arial" w:cs="Arial"/>
          <w:sz w:val="24"/>
          <w:szCs w:val="24"/>
        </w:rPr>
        <w:t xml:space="preserve">of </w:t>
      </w:r>
      <w:r w:rsidRPr="00A72606">
        <w:rPr>
          <w:rFonts w:ascii="Arial" w:hAnsi="Arial" w:cs="Arial"/>
          <w:sz w:val="24"/>
          <w:szCs w:val="24"/>
        </w:rPr>
        <w:t>healthy</w:t>
      </w:r>
      <w:r>
        <w:rPr>
          <w:rFonts w:ascii="Arial" w:hAnsi="Arial" w:cs="Arial"/>
          <w:sz w:val="24"/>
          <w:szCs w:val="24"/>
        </w:rPr>
        <w:t xml:space="preserve"> adolescents, although they had a relatively small sample</w:t>
      </w:r>
      <w:r w:rsidRPr="00A72606">
        <w:rPr>
          <w:rFonts w:ascii="Arial" w:hAnsi="Arial" w:cs="Arial"/>
          <w:sz w:val="24"/>
          <w:szCs w:val="24"/>
        </w:rPr>
        <w:t xml:space="preserve"> of IBD patients</w:t>
      </w:r>
      <w:r>
        <w:rPr>
          <w:rFonts w:ascii="Arial" w:hAnsi="Arial" w:cs="Arial"/>
          <w:sz w:val="24"/>
          <w:szCs w:val="24"/>
        </w:rPr>
        <w:t xml:space="preserve">. </w:t>
      </w:r>
      <w:bookmarkStart w:id="13" w:name="_Hlk20140818"/>
      <w:r>
        <w:rPr>
          <w:rFonts w:ascii="Arial" w:hAnsi="Arial" w:cs="Arial"/>
          <w:sz w:val="24"/>
          <w:szCs w:val="24"/>
        </w:rPr>
        <w:t xml:space="preserve">In our study 45.6% (77 patients) missed &gt;3 weeks of school (&lt;92% attendance). </w:t>
      </w:r>
      <w:bookmarkEnd w:id="13"/>
      <w:r>
        <w:rPr>
          <w:rFonts w:ascii="Arial" w:hAnsi="Arial" w:cs="Arial"/>
          <w:sz w:val="24"/>
          <w:szCs w:val="24"/>
        </w:rPr>
        <w:t xml:space="preserve">Nevertheless, Eloi </w:t>
      </w:r>
      <w:r w:rsidRPr="00156C70">
        <w:rPr>
          <w:rFonts w:ascii="Arial" w:hAnsi="Arial" w:cs="Arial"/>
          <w:i/>
          <w:sz w:val="24"/>
          <w:szCs w:val="24"/>
        </w:rPr>
        <w:t>et al</w:t>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{"citationItems":[{"id":"ITEM-1","itemData":{"DOI":"10.1097/MPG.0000000000002207","ISSN":"15364801","abstract":"OBJECTIVES Inflammatory Bowel Diseases (IBD) are chronic diseases which negatively affect the schooling of children. The aim is to analyze school absenteeism and its causes in children followed for IBD. METHODS A prospective multicenter study of IBD patients aged from 5 to 18 years old, from September 2016 to June 2017. Data on absenteeism and its causes were collected via a monthly questionnaire completed by patients or their family by mail. The results were compared with existing data supplied by the school authorities (497 students without IBD divided by class). RESULTS 106 patients (62 boys), median age of 14 (5 to 18), were included. The global response rate was 83.1%. The IBD patients were absent an average of 4.8 +/- 5.5% of school days during the school year, against 3.2 +/- 1.6% for non IBD group (p = 0.034). Digestive disorders accounted for 34% of the causes of absenteeism. 27% of the absences were due to scheduled events (hospitalizations, endoscopy, or consultations). By excluding the absences for scheduled care, the rate of school absenteeism of IBD patients is significantly lower than that of non-IBD group. CONCLUSION Children with IBD are more frequently absent from school than non IBD group. The main cause of school absenteeism appears to be associated with the disease itself. The share of scheduled absenteeism is quite large. The organization and scheduling of the patients' care path must be a priority to maximally limit the negative impact of their disease on the patients' schooling.","author":[{"dropping-particle":"","family":"Eloi","given":"Clémentine","non-dropping-particle":"","parse-names":false,"suffix":""},{"dropping-particle":"","family":"Foulon","given":"Gauthier","non-dropping-particle":"","parse-names":false,"suffix":""},{"dropping-particle":"","family":"Bridoux-Henno","given":"Laure","non-dropping-particle":"","parse-names":false,"suffix":""},{"dropping-particle":"","family":"Breton","given":"Estelle","non-dropping-particle":"","parse-names":false,"suffix":""},{"dropping-particle":"","family":"Pelatan","given":"Cecile","non-dropping-particle":"","parse-names":false,"suffix":""},{"dropping-particle":"","family":"Chaillou","given":"Emilie","non-dropping-particle":"","parse-names":false,"suffix":""},{"dropping-particle":"","family":"Grimal","given":"Isabelle","non-dropping-particle":"","parse-names":false,"suffix":""},{"dropping-particle":"","family":"Darviot","given":"Estelle","non-dropping-particle":"","parse-names":false,"suffix":""},{"dropping-particle":"","family":"Carré","given":"Emilie","non-dropping-particle":"","parse-names":false,"suffix":""},{"dropping-particle":"","family":"Gastineau","given":"Swellen","non-dropping-particle":"","parse-names":false,"suffix":""},{"dropping-particle":"","family":"Tourtelier","given":"Yann","non-dropping-particle":"","parse-names":false,"suffix":""},{"dropping-particle":"","family":"Nicaise","given":"Dorothee","non-dropping-particle":"","parse-names":false,"suffix":""},{"dropping-particle":"","family":"Rousseau","given":"Chloe","non-dropping-particle":"","parse-names":false,"suffix":""},{"dropping-particle":"","family":"Dabadie","given":"Alain","non-dropping-particle":"","parse-names":false,"suffix":""}],"container-title":"Journal of pediatric gastroenterology and nutrition","id":"ITEM-1","issued":{"date-parts":[["2019"]]},"title":"Inflammatory Bowel Diseases and School Absenteeism","type":"article-journal"},"uris":["http://www.mendeley.com/documents/?uuid=03d1263f-cc66-4729-a894-6f9bb082b538","http://www.mendeley.com/documents/?uuid=3078736a-d006-4eb0-8808-a20eeb2c8c5b"]}],"mendeley":{"formattedCitation":"[27]","plainTextFormattedCitation":"[27]","previouslyFormattedCitation":"[27]"},"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[27]</w:t>
      </w:r>
      <w:r w:rsidR="003E61C5">
        <w:rPr>
          <w:rFonts w:ascii="Arial" w:hAnsi="Arial" w:cs="Arial"/>
          <w:sz w:val="24"/>
          <w:szCs w:val="24"/>
        </w:rPr>
        <w:fldChar w:fldCharType="end"/>
      </w:r>
      <w:r w:rsidRPr="00A72606">
        <w:rPr>
          <w:rFonts w:ascii="Arial" w:hAnsi="Arial" w:cs="Arial"/>
          <w:sz w:val="24"/>
          <w:szCs w:val="24"/>
        </w:rPr>
        <w:t xml:space="preserve"> </w:t>
      </w:r>
      <w:r>
        <w:rPr>
          <w:rFonts w:ascii="Arial" w:hAnsi="Arial" w:cs="Arial"/>
          <w:sz w:val="24"/>
          <w:szCs w:val="24"/>
        </w:rPr>
        <w:t>found</w:t>
      </w:r>
      <w:r w:rsidRPr="00A72606">
        <w:rPr>
          <w:rFonts w:ascii="Arial" w:hAnsi="Arial" w:cs="Arial"/>
          <w:sz w:val="24"/>
          <w:szCs w:val="24"/>
        </w:rPr>
        <w:t xml:space="preserve"> </w:t>
      </w:r>
      <w:r>
        <w:rPr>
          <w:rFonts w:ascii="Arial" w:hAnsi="Arial" w:cs="Arial"/>
          <w:sz w:val="24"/>
          <w:szCs w:val="24"/>
        </w:rPr>
        <w:t xml:space="preserve">that </w:t>
      </w:r>
      <w:r w:rsidRPr="00A72606">
        <w:rPr>
          <w:rFonts w:ascii="Arial" w:hAnsi="Arial" w:cs="Arial"/>
          <w:sz w:val="24"/>
          <w:szCs w:val="24"/>
        </w:rPr>
        <w:t xml:space="preserve">IBD patients were absent </w:t>
      </w:r>
      <w:r>
        <w:rPr>
          <w:rFonts w:ascii="Arial" w:hAnsi="Arial" w:cs="Arial"/>
          <w:sz w:val="24"/>
          <w:szCs w:val="24"/>
        </w:rPr>
        <w:t xml:space="preserve"> 4.</w:t>
      </w:r>
      <w:r w:rsidRPr="00A72606">
        <w:rPr>
          <w:rFonts w:ascii="Arial" w:hAnsi="Arial" w:cs="Arial"/>
          <w:sz w:val="24"/>
          <w:szCs w:val="24"/>
        </w:rPr>
        <w:t>8</w:t>
      </w:r>
      <w:r>
        <w:rPr>
          <w:rFonts w:ascii="Arial" w:hAnsi="Arial" w:cs="Arial"/>
          <w:sz w:val="24"/>
          <w:szCs w:val="24"/>
        </w:rPr>
        <w:t xml:space="preserve"> days  per year on average, versus  3.2 </w:t>
      </w:r>
      <w:r w:rsidRPr="00A72606">
        <w:rPr>
          <w:rFonts w:ascii="Arial" w:hAnsi="Arial" w:cs="Arial"/>
          <w:sz w:val="24"/>
          <w:szCs w:val="24"/>
        </w:rPr>
        <w:t xml:space="preserve"> for the non-IBD group.   </w:t>
      </w:r>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 xml:space="preserve"> </w:t>
      </w:r>
      <w:bookmarkStart w:id="14" w:name="_Hlk20136539"/>
      <w:r>
        <w:rPr>
          <w:rFonts w:ascii="Arial" w:hAnsi="Arial" w:cs="Arial"/>
          <w:sz w:val="24"/>
          <w:szCs w:val="24"/>
        </w:rPr>
        <w:t>I</w:t>
      </w:r>
      <w:r w:rsidRPr="00A72606">
        <w:rPr>
          <w:rFonts w:ascii="Arial" w:hAnsi="Arial" w:cs="Arial"/>
          <w:sz w:val="24"/>
          <w:szCs w:val="24"/>
        </w:rPr>
        <w:t xml:space="preserve">f days off for hospital attendance </w:t>
      </w:r>
      <w:r>
        <w:rPr>
          <w:rFonts w:ascii="Arial" w:hAnsi="Arial" w:cs="Arial"/>
          <w:sz w:val="24"/>
          <w:szCs w:val="24"/>
        </w:rPr>
        <w:t>were</w:t>
      </w:r>
      <w:r w:rsidRPr="00A72606">
        <w:rPr>
          <w:rFonts w:ascii="Arial" w:hAnsi="Arial" w:cs="Arial"/>
          <w:sz w:val="24"/>
          <w:szCs w:val="24"/>
        </w:rPr>
        <w:t xml:space="preserve"> excluded the school attendance rates </w:t>
      </w:r>
      <w:r>
        <w:rPr>
          <w:rFonts w:ascii="Arial" w:hAnsi="Arial" w:cs="Arial"/>
          <w:sz w:val="24"/>
          <w:szCs w:val="24"/>
        </w:rPr>
        <w:t>were</w:t>
      </w:r>
      <w:r w:rsidRPr="00A72606">
        <w:rPr>
          <w:rFonts w:ascii="Arial" w:hAnsi="Arial" w:cs="Arial"/>
          <w:sz w:val="24"/>
          <w:szCs w:val="24"/>
        </w:rPr>
        <w:t xml:space="preserve"> </w:t>
      </w:r>
      <w:r>
        <w:rPr>
          <w:rFonts w:ascii="Arial" w:hAnsi="Arial" w:cs="Arial"/>
          <w:sz w:val="24"/>
          <w:szCs w:val="24"/>
        </w:rPr>
        <w:t>increased to 97.2%</w:t>
      </w:r>
      <w:r w:rsidRPr="00A72606">
        <w:rPr>
          <w:rFonts w:ascii="Arial" w:hAnsi="Arial" w:cs="Arial"/>
          <w:sz w:val="24"/>
          <w:szCs w:val="24"/>
        </w:rPr>
        <w:t xml:space="preserve"> </w:t>
      </w:r>
      <w:r>
        <w:rPr>
          <w:rFonts w:ascii="Arial" w:hAnsi="Arial" w:cs="Arial"/>
          <w:sz w:val="24"/>
          <w:szCs w:val="24"/>
        </w:rPr>
        <w:t xml:space="preserve">exceeding the national average </w:t>
      </w:r>
      <w:r w:rsidRPr="00A72606">
        <w:rPr>
          <w:rFonts w:ascii="Arial" w:hAnsi="Arial" w:cs="Arial"/>
          <w:sz w:val="24"/>
          <w:szCs w:val="24"/>
        </w:rPr>
        <w:t>in England</w:t>
      </w:r>
      <w:r>
        <w:rPr>
          <w:rFonts w:ascii="Arial" w:hAnsi="Arial" w:cs="Arial"/>
          <w:sz w:val="24"/>
          <w:szCs w:val="24"/>
        </w:rPr>
        <w:t xml:space="preserve">, although these data </w:t>
      </w:r>
      <w:r>
        <w:rPr>
          <w:rFonts w:ascii="Arial" w:hAnsi="Arial" w:cs="Arial"/>
          <w:sz w:val="24"/>
          <w:szCs w:val="24"/>
        </w:rPr>
        <w:lastRenderedPageBreak/>
        <w:t>are hypothetical at this stage and would require validation by moving hospital appointments to outside school hours in a cohort</w:t>
      </w:r>
      <w:r w:rsidRPr="00A72606">
        <w:rPr>
          <w:rFonts w:ascii="Arial" w:hAnsi="Arial" w:cs="Arial"/>
          <w:sz w:val="24"/>
          <w:szCs w:val="24"/>
        </w:rPr>
        <w:t>.</w:t>
      </w:r>
      <w:r>
        <w:rPr>
          <w:rFonts w:ascii="Arial" w:hAnsi="Arial" w:cs="Arial"/>
          <w:sz w:val="24"/>
          <w:szCs w:val="24"/>
        </w:rPr>
        <w:t xml:space="preserve">    </w:t>
      </w:r>
      <w:bookmarkEnd w:id="14"/>
      <w:r>
        <w:rPr>
          <w:rFonts w:ascii="Arial" w:hAnsi="Arial" w:cs="Arial"/>
          <w:sz w:val="24"/>
          <w:szCs w:val="24"/>
        </w:rPr>
        <w:t xml:space="preserve">Similarly, Eloi </w:t>
      </w:r>
      <w:r w:rsidRPr="00156C70">
        <w:rPr>
          <w:rFonts w:ascii="Arial" w:hAnsi="Arial" w:cs="Arial"/>
          <w:i/>
          <w:sz w:val="24"/>
          <w:szCs w:val="24"/>
        </w:rPr>
        <w:t>et al</w:t>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{"citationItems":[{"id":"ITEM-1","itemData":{"DOI":"10.1097/MPG.0000000000002207","ISSN":"15364801","abstract":"OBJECTIVES Inflammatory Bowel Diseases (IBD) are chronic diseases which negatively affect the schooling of children. The aim is to analyze school absenteeism and its causes in children followed for IBD. METHODS A prospective multicenter study of IBD patients aged from 5 to 18 years old, from September 2016 to June 2017. Data on absenteeism and its causes were collected via a monthly questionnaire completed by patients or their family by mail. The results were compared with existing data supplied by the school authorities (497 students without IBD divided by class). RESULTS 106 patients (62 boys), median age of 14 (5 to 18), were included. The global response rate was 83.1%. The IBD patients were absent an average of 4.8 +/- 5.5% of school days during the school year, against 3.2 +/- 1.6% for non IBD group (p = 0.034). Digestive disorders accounted for 34% of the causes of absenteeism. 27% of the absences were due to scheduled events (hospitalizations, endoscopy, or consultations). By excluding the absences for scheduled care, the rate of school absenteeism of IBD patients is significantly lower than that of non-IBD group. CONCLUSION Children with IBD are more frequently absent from school than non IBD group. The main cause of school absenteeism appears to be associated with the disease itself. The share of scheduled absenteeism is quite large. The organization and scheduling of the patients' care path must be a priority to maximally limit the negative impact of their disease on the patients' schooling.","author":[{"dropping-particle":"","family":"Eloi","given":"Clémentine","non-dropping-particle":"","parse-names":false,"suffix":""},{"dropping-particle":"","family":"Foulon","given":"Gauthier","non-dropping-particle":"","parse-names":false,"suffix":""},{"dropping-particle":"","family":"Bridoux-Henno","given":"Laure","non-dropping-particle":"","parse-names":false,"suffix":""},{"dropping-particle":"","family":"Breton","given":"Estelle","non-dropping-particle":"","parse-names":false,"suffix":""},{"dropping-particle":"","family":"Pelatan","given":"Cecile","non-dropping-particle":"","parse-names":false,"suffix":""},{"dropping-particle":"","family":"Chaillou","given":"Emilie","non-dropping-particle":"","parse-names":false,"suffix":""},{"dropping-particle":"","family":"Grimal","given":"Isabelle","non-dropping-particle":"","parse-names":false,"suffix":""},{"dropping-particle":"","family":"Darviot","given":"Estelle","non-dropping-particle":"","parse-names":false,"suffix":""},{"dropping-particle":"","family":"Carré","given":"Emilie","non-dropping-particle":"","parse-names":false,"suffix":""},{"dropping-particle":"","family":"Gastineau","given":"Swellen","non-dropping-particle":"","parse-names":false,"suffix":""},{"dropping-particle":"","family":"Tourtelier","given":"Yann","non-dropping-particle":"","parse-names":false,"suffix":""},{"dropping-particle":"","family":"Nicaise","given":"Dorothee","non-dropping-particle":"","parse-names":false,"suffix":""},{"dropping-particle":"","family":"Rousseau","given":"Chloe","non-dropping-particle":"","parse-names":false,"suffix":""},{"dropping-particle":"","family":"Dabadie","given":"Alain","non-dropping-particle":"","parse-names":false,"suffix":""}],"container-title":"Journal of pediatric gastroenterology and nutrition","id":"ITEM-1","issued":{"date-parts":[["2019"]]},"title":"Inflammatory Bowel Diseases and School Absenteeism","type":"article-journal"},"uris":["http://www.mendeley.com/documents/?uuid=03d1263f-cc66-4729-a894-6f9bb082b538","http://www.mendeley.com/documents/?uuid=3078736a-d006-4eb0-8808-a20eeb2c8c5b"]}],"mendeley":{"formattedCitation":"[27]","plainTextFormattedCitation":"[27]","previouslyFormattedCitation":"[27]"},"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[27]</w:t>
      </w:r>
      <w:r w:rsidR="003E61C5">
        <w:rPr>
          <w:rFonts w:ascii="Arial" w:hAnsi="Arial" w:cs="Arial"/>
          <w:sz w:val="24"/>
          <w:szCs w:val="24"/>
        </w:rPr>
        <w:fldChar w:fldCharType="end"/>
      </w:r>
      <w:r w:rsidRPr="00A72606">
        <w:rPr>
          <w:rFonts w:ascii="Arial" w:hAnsi="Arial" w:cs="Arial"/>
          <w:sz w:val="24"/>
          <w:szCs w:val="24"/>
        </w:rPr>
        <w:t xml:space="preserve"> found after excluding absences for scheduled care, the rate of school absenteeism of IBD patients was significantly lower than the non-IBD group.</w:t>
      </w:r>
      <w:r>
        <w:rPr>
          <w:rFonts w:ascii="Arial" w:hAnsi="Arial" w:cs="Arial"/>
          <w:sz w:val="24"/>
          <w:szCs w:val="24"/>
        </w:rPr>
        <w:t xml:space="preserve"> </w:t>
      </w:r>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 xml:space="preserve">Increasing age and </w:t>
      </w:r>
      <w:r>
        <w:rPr>
          <w:rFonts w:ascii="Arial" w:hAnsi="Arial" w:cs="Arial"/>
          <w:sz w:val="24"/>
          <w:szCs w:val="24"/>
        </w:rPr>
        <w:t xml:space="preserve">the </w:t>
      </w:r>
      <w:r w:rsidRPr="00A72606">
        <w:rPr>
          <w:rFonts w:ascii="Arial" w:hAnsi="Arial" w:cs="Arial"/>
          <w:sz w:val="24"/>
          <w:szCs w:val="24"/>
        </w:rPr>
        <w:t>use of monoclonal therapy are predictors of reduced school attendance.  This is consis</w:t>
      </w:r>
      <w:r>
        <w:rPr>
          <w:rFonts w:ascii="Arial" w:hAnsi="Arial" w:cs="Arial"/>
          <w:sz w:val="24"/>
          <w:szCs w:val="24"/>
        </w:rPr>
        <w:t xml:space="preserve">tent with Carreon </w:t>
      </w:r>
      <w:r w:rsidRPr="00156C70">
        <w:rPr>
          <w:rFonts w:ascii="Arial" w:hAnsi="Arial" w:cs="Arial"/>
          <w:i/>
          <w:sz w:val="24"/>
          <w:szCs w:val="24"/>
        </w:rPr>
        <w:t xml:space="preserve">et </w:t>
      </w:r>
      <w:proofErr w:type="spellStart"/>
      <w:r w:rsidRPr="00156C70">
        <w:rPr>
          <w:rFonts w:ascii="Arial" w:hAnsi="Arial" w:cs="Arial"/>
          <w:i/>
          <w:sz w:val="24"/>
          <w:szCs w:val="24"/>
        </w:rPr>
        <w:t>al</w:t>
      </w:r>
      <w:r>
        <w:rPr>
          <w:rFonts w:ascii="Arial" w:hAnsi="Arial" w:cs="Arial"/>
          <w:sz w:val="24"/>
          <w:szCs w:val="24"/>
        </w:rPr>
        <w:t>’s</w:t>
      </w:r>
      <w:proofErr w:type="spellEnd"/>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{"citationItems":[{"id":"ITEM-1","itemData":{"DOI":"10.1093/ibd/izy026","ISSN":"15364844","abstract":"Background: Symptoms of inflammatory bowel diseases (IBD) can interfere with optimal psychosocial functioning of adolescents, including school functioning. School functioning can be broadly conceptualized as involving attendance, academic performance, and participation in academic and extracurricular activities. However, previous research has largely examined the impact of IBD on school attendance. The present study aimed to describe school attendance, performance, and participation in a sample of adolescents with IBD and to examine demographic and disease-related correlates of poorer school functioning. Methods: One-hundred sixty-one adolescent-parent dyads (M [SD] adolescent age = 14.5 [1.9] years, 43% female) completed questionnaires assessing demographics, school attendance, performance, and participation. Clinical disease activity was rated by physicians at the time of study enrollment. Results: Difficulties with school attendance were reported, with nearly three-quarters of participants reporting school absences due to visits with doctors or hospitalizations and just under half of the sample reporting general school absences and missing school due to not feeling well. In bivariate analyses, older age was associated with poorer school performance and participation, whereas greater disease activity was associated with poorer school attendance. In regression analyses, greater disease activity and older age emerged as the most salient predictors of poorer school attendance. Older age also emerged as the most salient predictor of school performance and participation. Conclusions: Demographic factors and age in particular were more consistent predictors of school functioning than disease factors. Special attention to older youth and those with active disease may be important to ensure optimal school functioning.","author":[{"dropping-particle":"","family":"Carreon","given":"Samantha A.","non-dropping-particle":"","parse-names":false,"suffix":""},{"dropping-particle":"","family":"Bugno","given":"Lindsey T.","non-dropping-particle":"","parse-names":false,"suffix":""},{"dropping-particle":"","family":"Wojtowicz","given":"Andrea A.","non-dropping-particle":"","parse-names":false,"suffix":""},{"dropping-particle":"","family":"Greenley","given":"Rachel N.","non-dropping-particle":"","parse-names":false,"suffix":""}],"container-title":"Inflammatory Bowel Diseases","id":"ITEM-1","issued":{"date-parts":[["2018"]]},"title":"School Functioning in Adolescents with Inflammatory Bowel Diseases: An Examination of Disease and Demographic Correlates","type":"article-journal"},"uris":["http://www.mendeley.com/documents/?uuid=39b8a584-89de-447e-bd8c-cc6365bf6ab1","http://www.mendeley.com/documents/?uuid=2a5bdeee-5150-4314-b0b1-3b4b214b04ec"]}],"mendeley":{"formattedCitation":"[30]","plainTextFormattedCitation":"[30]","previouslyFormattedCitation":"[30]"},"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[30]</w:t>
      </w:r>
      <w:r w:rsidR="003E61C5">
        <w:rPr>
          <w:rFonts w:ascii="Arial" w:hAnsi="Arial" w:cs="Arial"/>
          <w:sz w:val="24"/>
          <w:szCs w:val="24"/>
        </w:rPr>
        <w:fldChar w:fldCharType="end"/>
      </w:r>
      <w:r>
        <w:rPr>
          <w:rFonts w:ascii="Arial" w:hAnsi="Arial" w:cs="Arial"/>
          <w:sz w:val="24"/>
          <w:szCs w:val="24"/>
        </w:rPr>
        <w:t xml:space="preserve"> </w:t>
      </w:r>
      <w:r w:rsidRPr="00A72606">
        <w:rPr>
          <w:rFonts w:ascii="Arial" w:hAnsi="Arial" w:cs="Arial"/>
          <w:sz w:val="24"/>
          <w:szCs w:val="24"/>
        </w:rPr>
        <w:t>study examining  adolescents with IBD</w:t>
      </w:r>
      <w:r>
        <w:rPr>
          <w:rFonts w:ascii="Arial" w:hAnsi="Arial" w:cs="Arial"/>
          <w:sz w:val="24"/>
          <w:szCs w:val="24"/>
        </w:rPr>
        <w:t>;</w:t>
      </w:r>
      <w:r w:rsidRPr="00A72606">
        <w:rPr>
          <w:rFonts w:ascii="Arial" w:hAnsi="Arial" w:cs="Arial"/>
          <w:sz w:val="24"/>
          <w:szCs w:val="24"/>
        </w:rPr>
        <w:t xml:space="preserve"> greater disease activity (p=&lt;0.01 in child report and p=0.03 for parent report)</w:t>
      </w:r>
      <w:r>
        <w:rPr>
          <w:rFonts w:ascii="Arial" w:hAnsi="Arial" w:cs="Arial"/>
          <w:sz w:val="24"/>
          <w:szCs w:val="24"/>
        </w:rPr>
        <w:t>,</w:t>
      </w:r>
      <w:r w:rsidRPr="00A72606">
        <w:rPr>
          <w:rFonts w:ascii="Arial" w:hAnsi="Arial" w:cs="Arial"/>
          <w:sz w:val="24"/>
          <w:szCs w:val="24"/>
        </w:rPr>
        <w:t xml:space="preserve"> and older age (p=0.03 for child report and parent report p=0.02) were the most significant predictors of poorer school attendance. </w:t>
      </w:r>
    </w:p>
    <w:p w:rsidR="002147E0" w:rsidRPr="00A72606" w:rsidRDefault="002147E0" w:rsidP="002147E0">
      <w:pPr>
        <w:spacing w:line="480" w:lineRule="auto"/>
        <w:jc w:val="both"/>
        <w:rPr>
          <w:rFonts w:ascii="Arial" w:hAnsi="Arial" w:cs="Arial"/>
          <w:sz w:val="24"/>
          <w:szCs w:val="24"/>
        </w:rPr>
      </w:pPr>
      <w:r w:rsidRPr="00A72606">
        <w:rPr>
          <w:rFonts w:ascii="Arial" w:hAnsi="Arial" w:cs="Arial"/>
          <w:sz w:val="24"/>
          <w:szCs w:val="24"/>
        </w:rPr>
        <w:t xml:space="preserve">Monoclonal therapy </w:t>
      </w:r>
      <w:r>
        <w:rPr>
          <w:rFonts w:ascii="Arial" w:hAnsi="Arial" w:cs="Arial"/>
          <w:sz w:val="24"/>
          <w:szCs w:val="24"/>
        </w:rPr>
        <w:t>is</w:t>
      </w:r>
      <w:r w:rsidRPr="00A72606">
        <w:rPr>
          <w:rFonts w:ascii="Arial" w:hAnsi="Arial" w:cs="Arial"/>
          <w:sz w:val="24"/>
          <w:szCs w:val="24"/>
        </w:rPr>
        <w:t xml:space="preserve"> a marker</w:t>
      </w:r>
      <w:r>
        <w:rPr>
          <w:rFonts w:ascii="Arial" w:hAnsi="Arial" w:cs="Arial"/>
          <w:sz w:val="24"/>
          <w:szCs w:val="24"/>
        </w:rPr>
        <w:t xml:space="preserve"> of greater disease severity which</w:t>
      </w:r>
      <w:r w:rsidRPr="00A72606">
        <w:rPr>
          <w:rFonts w:ascii="Arial" w:hAnsi="Arial" w:cs="Arial"/>
          <w:sz w:val="24"/>
          <w:szCs w:val="24"/>
        </w:rPr>
        <w:t xml:space="preserve"> lead</w:t>
      </w:r>
      <w:r>
        <w:rPr>
          <w:rFonts w:ascii="Arial" w:hAnsi="Arial" w:cs="Arial"/>
          <w:sz w:val="24"/>
          <w:szCs w:val="24"/>
        </w:rPr>
        <w:t>s</w:t>
      </w:r>
      <w:r w:rsidRPr="00A72606">
        <w:rPr>
          <w:rFonts w:ascii="Arial" w:hAnsi="Arial" w:cs="Arial"/>
          <w:sz w:val="24"/>
          <w:szCs w:val="24"/>
        </w:rPr>
        <w:t xml:space="preserve"> to a higher healt</w:t>
      </w:r>
      <w:r>
        <w:rPr>
          <w:rFonts w:ascii="Arial" w:hAnsi="Arial" w:cs="Arial"/>
          <w:sz w:val="24"/>
          <w:szCs w:val="24"/>
        </w:rPr>
        <w:t>hcare burden.</w:t>
      </w:r>
      <w:r w:rsidRPr="00A72606">
        <w:rPr>
          <w:rFonts w:ascii="Arial" w:hAnsi="Arial" w:cs="Arial"/>
          <w:sz w:val="24"/>
          <w:szCs w:val="24"/>
        </w:rPr>
        <w:t xml:space="preserve"> </w:t>
      </w:r>
      <w:bookmarkStart w:id="15" w:name="_Hlk20139459"/>
      <w:r>
        <w:rPr>
          <w:rFonts w:ascii="Arial" w:hAnsi="Arial" w:cs="Arial"/>
          <w:sz w:val="24"/>
          <w:szCs w:val="24"/>
        </w:rPr>
        <w:t xml:space="preserve">When separating infusions in hospital and injectable monoclonal therapy at home, neither was independently predictive of school attendance, indicating that it is not only the increased number of hospital attendances for infusions that contributes to worse attendance. </w:t>
      </w:r>
      <w:bookmarkEnd w:id="15"/>
      <w:r w:rsidRPr="00A72606">
        <w:rPr>
          <w:rFonts w:ascii="Arial" w:hAnsi="Arial" w:cs="Arial"/>
          <w:sz w:val="24"/>
          <w:szCs w:val="24"/>
        </w:rPr>
        <w:t xml:space="preserve">This is revealed in the detailed review of </w:t>
      </w:r>
      <w:r>
        <w:rPr>
          <w:rFonts w:ascii="Arial" w:hAnsi="Arial" w:cs="Arial"/>
          <w:sz w:val="24"/>
          <w:szCs w:val="24"/>
        </w:rPr>
        <w:t xml:space="preserve">the </w:t>
      </w:r>
      <w:r w:rsidRPr="00A72606">
        <w:rPr>
          <w:rFonts w:ascii="Arial" w:hAnsi="Arial" w:cs="Arial"/>
          <w:sz w:val="24"/>
          <w:szCs w:val="24"/>
        </w:rPr>
        <w:t>local hospital attendance data, with monoclonal therapy being the second most common reason for ho</w:t>
      </w:r>
      <w:r>
        <w:rPr>
          <w:rFonts w:ascii="Arial" w:hAnsi="Arial" w:cs="Arial"/>
          <w:sz w:val="24"/>
          <w:szCs w:val="24"/>
        </w:rPr>
        <w:t>spital attendance</w:t>
      </w:r>
      <w:r w:rsidRPr="00A72606">
        <w:rPr>
          <w:rFonts w:ascii="Arial" w:hAnsi="Arial" w:cs="Arial"/>
          <w:sz w:val="24"/>
          <w:szCs w:val="24"/>
        </w:rPr>
        <w:t xml:space="preserve">. Likewise, Eloi </w:t>
      </w:r>
      <w:r w:rsidRPr="00156C70">
        <w:rPr>
          <w:rFonts w:ascii="Arial" w:hAnsi="Arial" w:cs="Arial"/>
          <w:i/>
          <w:sz w:val="24"/>
          <w:szCs w:val="24"/>
        </w:rPr>
        <w:t>et al</w:t>
      </w:r>
      <w:r w:rsidRPr="00A72606">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{"citationItems":[{"id":"ITEM-1","itemData":{"DOI":"10.1097/MPG.0000000000002207","ISSN":"15364801","abstract":"OBJECTIVES Inflammatory Bowel Diseases (IBD) are chronic diseases which negatively affect the schooling of children. The aim is to analyze school absenteeism and its causes in children followed for IBD. METHODS A prospective multicenter study of IBD patients aged from 5 to 18 years old, from September 2016 to June 2017. Data on absenteeism and its causes were collected via a monthly questionnaire completed by patients or their family by mail. The results were compared with existing data supplied by the school authorities (497 students without IBD divided by class). RESULTS 106 patients (62 boys), median age of 14 (5 to 18), were included. The global response rate was 83.1%. The IBD patients were absent an average of 4.8 +/- 5.5% of school days during the school year, against 3.2 +/- 1.6% for non IBD group (p = 0.034). Digestive disorders accounted for 34% of the causes of absenteeism. 27% of the absences were due to scheduled events (hospitalizations, endoscopy, or consultations). By excluding the absences for scheduled care, the rate of school absenteeism of IBD patients is significantly lower than that of non-IBD group. CONCLUSION Children with IBD are more frequently absent from school than non IBD group. The main cause of school absenteeism appears to be associated with the disease itself. The share of scheduled absenteeism is quite large. The organization and scheduling of the patients' care path must be a priority to maximally limit the negative impact of their disease on the patients' schooling.","author":[{"dropping-particle":"","family":"Eloi","given":"Clémentine","non-dropping-particle":"","parse-names":false,"suffix":""},{"dropping-particle":"","family":"Foulon","given":"Gauthier","non-dropping-particle":"","parse-names":false,"suffix":""},{"dropping-particle":"","family":"Bridoux-Henno","given":"Laure","non-dropping-particle":"","parse-names":false,"suffix":""},{"dropping-particle":"","family":"Breton","given":"Estelle","non-dropping-particle":"","parse-names":false,"suffix":""},{"dropping-particle":"","family":"Pelatan","given":"Cecile","non-dropping-particle":"","parse-names":false,"suffix":""},{"dropping-particle":"","family":"Chaillou","given":"Emilie","non-dropping-particle":"","parse-names":false,"suffix":""},{"dropping-particle":"","family":"Grimal","given":"Isabelle","non-dropping-particle":"","parse-names":false,"suffix":""},{"dropping-particle":"","family":"Darviot","given":"Estelle","non-dropping-particle":"","parse-names":false,"suffix":""},{"dropping-particle":"","family":"Carré","given":"Emilie","non-dropping-particle":"","parse-names":false,"suffix":""},{"dropping-particle":"","family":"Gastineau","given":"Swellen","non-dropping-particle":"","parse-names":false,"suffix":""},{"dropping-particle":"","family":"Tourtelier","given":"Yann","non-dropping-particle":"","parse-names":false,"suffix":""},{"dropping-particle":"","family":"Nicaise","given":"Dorothee","non-dropping-particle":"","parse-names":false,"suffix":""},{"dropping-particle":"","family":"Rousseau","given":"Chloe","non-dropping-particle":"","parse-names":false,"suffix":""},{"dropping-particle":"","family":"Dabadie","given":"Alain","non-dropping-particle":"","parse-names":false,"suffix":""}],"container-title":"Journal of pediatric gastroenterology and nutrition","id":"ITEM-1","issued":{"date-parts":[["2019"]]},"title":"Inflammatory Bowel Diseases and School Absenteeism","type":"article-journal"},"uris":["http://www.mendeley.com/documents/?uuid=03d1263f-cc66-4729-a894-6f9bb082b538","http://www.mendeley.com/documents/?uuid=753c6a21-2470-4195-9729-045efcb320a1","http://www.mendeley.com/documents/?uuid=3078736a-d006-4eb0-8808-a20eeb2c8c5b"]}],"mendeley":{"formattedCitation":"[27]","plainTextFormattedCitation":"[27]","previouslyFormattedCitation":"[27]"},"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[27]</w:t>
      </w:r>
      <w:r w:rsidR="003E61C5">
        <w:rPr>
          <w:rFonts w:ascii="Arial" w:hAnsi="Arial" w:cs="Arial"/>
          <w:sz w:val="24"/>
          <w:szCs w:val="24"/>
        </w:rPr>
        <w:fldChar w:fldCharType="end"/>
      </w:r>
      <w:r w:rsidRPr="00A72606">
        <w:rPr>
          <w:rFonts w:ascii="Arial" w:hAnsi="Arial" w:cs="Arial"/>
          <w:sz w:val="24"/>
          <w:szCs w:val="24"/>
        </w:rPr>
        <w:t xml:space="preserve"> showed greater absenteeism in those on biologic treat</w:t>
      </w:r>
      <w:r>
        <w:rPr>
          <w:rFonts w:ascii="Arial" w:hAnsi="Arial" w:cs="Arial"/>
          <w:sz w:val="24"/>
          <w:szCs w:val="24"/>
        </w:rPr>
        <w:t>ment</w:t>
      </w:r>
      <w:r w:rsidRPr="00A72606">
        <w:rPr>
          <w:rFonts w:ascii="Arial" w:hAnsi="Arial" w:cs="Arial"/>
          <w:sz w:val="24"/>
          <w:szCs w:val="24"/>
        </w:rPr>
        <w:t>.  This has implications for practice in terms of which type of monoclonal treatment is used and when infusions should take place (evenings or weekends).  Inject</w:t>
      </w:r>
      <w:r>
        <w:rPr>
          <w:rFonts w:ascii="Arial" w:hAnsi="Arial" w:cs="Arial"/>
          <w:sz w:val="24"/>
          <w:szCs w:val="24"/>
        </w:rPr>
        <w:t>ed</w:t>
      </w:r>
      <w:r w:rsidRPr="00A72606">
        <w:rPr>
          <w:rFonts w:ascii="Arial" w:hAnsi="Arial" w:cs="Arial"/>
          <w:sz w:val="24"/>
          <w:szCs w:val="24"/>
        </w:rPr>
        <w:t xml:space="preserve"> forms of treatment such as adalimumab and </w:t>
      </w:r>
      <w:proofErr w:type="spellStart"/>
      <w:r w:rsidRPr="00A72606">
        <w:rPr>
          <w:rFonts w:ascii="Arial" w:hAnsi="Arial" w:cs="Arial"/>
          <w:sz w:val="24"/>
          <w:szCs w:val="24"/>
        </w:rPr>
        <w:t>ustekinumab</w:t>
      </w:r>
      <w:proofErr w:type="spellEnd"/>
      <w:r w:rsidRPr="00A72606">
        <w:rPr>
          <w:rFonts w:ascii="Arial" w:hAnsi="Arial" w:cs="Arial"/>
          <w:sz w:val="24"/>
          <w:szCs w:val="24"/>
        </w:rPr>
        <w:t>,</w:t>
      </w:r>
      <w:r w:rsidR="00F16D7F">
        <w:rPr>
          <w:rFonts w:ascii="Arial" w:hAnsi="Arial" w:cs="Arial"/>
          <w:sz w:val="24"/>
          <w:szCs w:val="24"/>
        </w:rPr>
        <w:t xml:space="preserve"> </w:t>
      </w:r>
      <w:r w:rsidRPr="00A72606">
        <w:rPr>
          <w:rFonts w:ascii="Arial" w:hAnsi="Arial" w:cs="Arial"/>
          <w:sz w:val="24"/>
          <w:szCs w:val="24"/>
        </w:rPr>
        <w:t>can be administered</w:t>
      </w:r>
      <w:r>
        <w:rPr>
          <w:rFonts w:ascii="Arial" w:hAnsi="Arial" w:cs="Arial"/>
          <w:sz w:val="24"/>
          <w:szCs w:val="24"/>
        </w:rPr>
        <w:t xml:space="preserve"> at home, reducing</w:t>
      </w:r>
      <w:r w:rsidRPr="00A72606">
        <w:rPr>
          <w:rFonts w:ascii="Arial" w:hAnsi="Arial" w:cs="Arial"/>
          <w:sz w:val="24"/>
          <w:szCs w:val="24"/>
        </w:rPr>
        <w:t xml:space="preserve"> time off school</w:t>
      </w:r>
      <w:r>
        <w:rPr>
          <w:rFonts w:ascii="Arial" w:hAnsi="Arial" w:cs="Arial"/>
          <w:sz w:val="24"/>
          <w:szCs w:val="24"/>
        </w:rPr>
        <w:t>/</w:t>
      </w:r>
      <w:r w:rsidRPr="00A72606">
        <w:rPr>
          <w:rFonts w:ascii="Arial" w:hAnsi="Arial" w:cs="Arial"/>
          <w:sz w:val="24"/>
          <w:szCs w:val="24"/>
        </w:rPr>
        <w:t>college</w:t>
      </w:r>
      <w:r>
        <w:rPr>
          <w:rFonts w:ascii="Arial" w:hAnsi="Arial" w:cs="Arial"/>
          <w:sz w:val="24"/>
          <w:szCs w:val="24"/>
        </w:rPr>
        <w:t>.</w:t>
      </w:r>
      <w:r w:rsidRPr="00A72606">
        <w:rPr>
          <w:rFonts w:ascii="Arial" w:hAnsi="Arial" w:cs="Arial"/>
          <w:sz w:val="24"/>
          <w:szCs w:val="24"/>
        </w:rPr>
        <w:t xml:space="preserve">   </w:t>
      </w:r>
      <w:bookmarkStart w:id="16" w:name="_Hlk20132172"/>
      <w:r>
        <w:rPr>
          <w:rFonts w:ascii="Arial" w:hAnsi="Arial" w:cs="Arial"/>
          <w:sz w:val="24"/>
          <w:szCs w:val="24"/>
        </w:rPr>
        <w:t xml:space="preserve">Only 19% of our patients were on an injectable form of monoclonal, with 81% attending hospital 6-9 times per year for infusions, accounting for </w:t>
      </w:r>
      <w:proofErr w:type="gramStart"/>
      <w:r>
        <w:rPr>
          <w:rFonts w:ascii="Arial" w:hAnsi="Arial" w:cs="Arial"/>
          <w:sz w:val="24"/>
          <w:szCs w:val="24"/>
        </w:rPr>
        <w:t>a large number of</w:t>
      </w:r>
      <w:proofErr w:type="gramEnd"/>
      <w:r>
        <w:rPr>
          <w:rFonts w:ascii="Arial" w:hAnsi="Arial" w:cs="Arial"/>
          <w:sz w:val="24"/>
          <w:szCs w:val="24"/>
        </w:rPr>
        <w:t xml:space="preserve"> missed school days. </w:t>
      </w:r>
      <w:bookmarkEnd w:id="16"/>
      <w:r>
        <w:rPr>
          <w:rFonts w:ascii="Arial" w:hAnsi="Arial" w:cs="Arial"/>
          <w:sz w:val="24"/>
          <w:szCs w:val="24"/>
        </w:rPr>
        <w:t xml:space="preserve"> Facilitating shared care with regional </w:t>
      </w:r>
      <w:r w:rsidR="00A3781F">
        <w:rPr>
          <w:rFonts w:ascii="Arial" w:hAnsi="Arial" w:cs="Arial"/>
          <w:sz w:val="24"/>
          <w:szCs w:val="24"/>
        </w:rPr>
        <w:t>hospitals reduces</w:t>
      </w:r>
      <w:r>
        <w:rPr>
          <w:rFonts w:ascii="Arial" w:hAnsi="Arial" w:cs="Arial"/>
          <w:sz w:val="24"/>
          <w:szCs w:val="24"/>
        </w:rPr>
        <w:t xml:space="preserve"> travelling time and</w:t>
      </w:r>
      <w:r w:rsidRPr="00A72606">
        <w:rPr>
          <w:rFonts w:ascii="Arial" w:hAnsi="Arial" w:cs="Arial"/>
          <w:sz w:val="24"/>
          <w:szCs w:val="24"/>
        </w:rPr>
        <w:t xml:space="preserve"> </w:t>
      </w:r>
      <w:r>
        <w:rPr>
          <w:rFonts w:ascii="Arial" w:hAnsi="Arial" w:cs="Arial"/>
          <w:sz w:val="24"/>
          <w:szCs w:val="24"/>
        </w:rPr>
        <w:t>minimises</w:t>
      </w:r>
      <w:r w:rsidRPr="00A72606">
        <w:rPr>
          <w:rFonts w:ascii="Arial" w:hAnsi="Arial" w:cs="Arial"/>
          <w:sz w:val="24"/>
          <w:szCs w:val="24"/>
        </w:rPr>
        <w:t xml:space="preserve"> time out of school.</w:t>
      </w:r>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lastRenderedPageBreak/>
        <w:t xml:space="preserve">Southampton hospital attendance data showed a significant negative correlation between number of days in hospital and school attendance.  Most absences for IBD </w:t>
      </w:r>
      <w:r w:rsidR="00E51A32" w:rsidRPr="00A72606">
        <w:rPr>
          <w:rFonts w:ascii="Arial" w:hAnsi="Arial" w:cs="Arial"/>
          <w:sz w:val="24"/>
          <w:szCs w:val="24"/>
        </w:rPr>
        <w:t>are</w:t>
      </w:r>
      <w:r w:rsidRPr="00A72606">
        <w:rPr>
          <w:rFonts w:ascii="Arial" w:hAnsi="Arial" w:cs="Arial"/>
          <w:sz w:val="24"/>
          <w:szCs w:val="24"/>
        </w:rPr>
        <w:t xml:space="preserve"> for hospital</w:t>
      </w:r>
      <w:r>
        <w:rPr>
          <w:rFonts w:ascii="Arial" w:hAnsi="Arial" w:cs="Arial"/>
          <w:sz w:val="24"/>
          <w:szCs w:val="24"/>
        </w:rPr>
        <w:t xml:space="preserve"> appointments (supplementary table 3</w:t>
      </w:r>
      <w:r w:rsidRPr="00A72606">
        <w:rPr>
          <w:rFonts w:ascii="Arial" w:hAnsi="Arial" w:cs="Arial"/>
          <w:sz w:val="24"/>
          <w:szCs w:val="24"/>
        </w:rPr>
        <w:t xml:space="preserve">).  This is consistent with previous studies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{"citationItems":[{"id":"ITEM-1","itemData":{"DOI":"10.1002/ibd.21371","ISSN":"10780998","abstract":"BACKGROUND: The inflammatory bowel diseases (IBDs) Crohn's disease (CD) and ulcerative colitis (UC) affect over 1 million people in the United States, yet little is known about healthcare utilization by affected individuals. The objectives were to describe the healthcare utilization associated with IBD in an insured U.S. population and to determine how sociodemographic factors impact healthcare utilization in this population.\\n\\nMETHODS: Using an administrative database comprised of 87 health plans, we ascertained cases of CD and UC using an administrative definition. We identified inpatient, office-based, emergency (ED), and endoscopy services occurring between 2003-2004 in IBD patients and matched controls. For each case, excess utilization was determined by subtracting the mean number of control visits from the number of case visits. Multivariate logistic and linear regressions were used to identify the sociodemographic factors associated with excess utilization.\\n\\nRESULTS: We identified 9056 CD patients and 10,364 UC patients. The mean number of annual excess hospitalizations, ED visits, and office visits per 100 patients for CD were 21.7, 20.1, and 493, respectively. These values for UC were 13.3, 10.3, and 364, respectively. In general, utilization was higher in CD compared with UC, and in younger patients compared with older patients. Utilization also varied by gender, geographical region, and insurance type (Medicaid versus commercial).\\n\\nCONCLUSIONS: In the U.S., patients with IBD consume substantial healthcare resources. Resource utilization varies by patient age and disease type, and to a lesser extent, gender, geographical region, and insurance type. These findings may be used to inform health policy.","author":[{"dropping-particle":"","family":"Kappelman","given":"Michael D.","non-dropping-particle":"","parse-names":false,"suffix":""},{"dropping-particle":"","family":"Porter","given":"Carol Q.","non-dropping-particle":"","parse-names":false,"suffix":""},{"dropping-particle":"","family":"Galanko","given":"Joseph A.","non-dropping-particle":"","parse-names":false,"suffix":""},{"dropping-particle":"","family":"Rifas-Shiman","given":"Sheryl L.","non-dropping-particle":"","parse-names":false,"suffix":""},{"dropping-particle":"","family":"Ollendorf","given":"Daniel A.","non-dropping-particle":"","parse-names":false,"suffix":""},{"dropping-particle":"","family":"Sandler","given":"Robert S.","non-dropping-particle":"","parse-names":false,"suffix":""},{"dropping-particle":"","family":"Finkelstein","given":"Jonathan A.","non-dropping-particle":"","parse-names":false,"suffix":""}],"container-title":"Inflammatory Bowel Diseases","id":"ITEM-1","issued":{"date-parts":[["2011"]]},"title":"Utilization of healthcare resources by U.S. children and adults with inflammatory bowel disease","type":"article-journal"},"uris":["http://www.mendeley.com/documents/?uuid=2883a6a9-e2c0-408e-8838-d78041d93a94","http://www.mendeley.com/documents/?uuid=d1140245-fd9e-44fe-a654-c78f1d52384b","http://www.mendeley.com/documents/?uuid=93eaa8bb-a5a8-49f4-8dbd-9ccc0a50044c"]},{"id":"ITEM-2","itemData":{"DOI":"10.1097/MPG.0000000000000850","ISSN":"15364801","abstract":"Copyright © 2015 by ESPGHAN and NASPGHAN. Objective: Inflammatory bowel disease (IBD) and functional abdominal pain (FAP) are associated with debilitating symptoms and frequent medical visits that may disrupt school functioning. The aim of this study was to assess school-related quality of life and school absenteeism in children with IBD, compared with FAP and healthy controls. Methods: School absenteeism and participation in school and after-school activities data were obtained for 43 children with Crohn disease (CD), 31 children with ulcerative colitis (UC), 42 children with FAP, and 30 agematched healthy controls for the 2013-2014 school year. We used a semistructured questionnaire for both children and parents. For diminishing recall bias, absenteeism data were cross-matched with the patient's school annual report cards. Results: Children with FAP, CD, and UC missed significantly more school days than age-matched healthy controls (17.6 [8.75-30], 24 [14-30] , and 21 [12-25] vs 5.1 [3.75-6.25] , respectively, P &lt; 0.001). Compared with children with FAP, absenteeism because of medical appointments and hospitalization was significantly greater in children with CD and UC (8.8 [4-14] and 7.1 [3-10]  vs 4.4 [2-6.25], P=0.001). Participation of children with FAP and IBD in various school and after-school activities was significantly reduced compared with healthy controls. There was no difference in school attendance and functioning between children with IBD and FAP. Conclusions: FAP has a significant impact on school attendance and functioning similar to IBD. These findings show that significant psychosocial and academic difficulties are faced not only by children with chronic diseases like IBD but also by children with FAP.","author":[{"dropping-particle":"","family":"Assa","given":"Amit","non-dropping-particle":"","parse-names":false,"suffix":""},{"dropping-particle":"","family":"Ish-Tov","given":"Alona","non-dropping-particle":"","parse-names":false,"suffix":""},{"dropping-particle":"","family":"Rinawi","given":"Firas","non-dropping-particle":"","parse-names":false,"suffix":""},{"dropping-particle":"","family":"Shamir","given":"Raanan","non-dropping-particle":"","parse-names":false,"suffix":""}],"container-title":"Journal of Pediatric Gastroenterology and Nutrition","id":"ITEM-2","issued":{"date-parts":[["2015"]]},"title":"School attendance in children with functional abdominal pain and inflammatory bowel diseases","type":"article-journal"},"uris":["http://www.mendeley.com/documents/?uuid=30caf3d4-8296-4b90-8d1e-ac8ad1df32b3","http://www.mendeley.com/documents/?uuid=f2350fbd-2d34-4f42-a305-4a01b9e321c7"]},{"id":"ITEM-3","itemData":{"DOI":"10.1097/MEG.0000000000000540","ISSN":"14735687","abstract":"© Copyright 2016 Wolters Kluwer Health, Inc. All rights reserved. Background and aims: Traditional definitions of healthcare utilization (HCU) emphasize clinical visits and procedures. Clinic calls, an understudied form of HCU, occur with high frequency. Understanding and examining predictors of HCU, such as disease activity and parent distress, may help reduce overutilization. Methods: A total of 68 adolescents with inflammatory bowel disease [IBD; mean (SD) =14.18 (1.92) years] and their parents participated. Parent distress was assessed through parent report on the PedsQL Family Impact Module, and physicians provided ratings of patient disease activity using the Physician's Global Assessment index. Medical record reviews yielded HCU and clinic call information for 12 months after enrollment. HCU was operationalized as the total number of routine and sick gastrointestinal clinic visits, Emergency room visits, and IBD-related hospitalizations. A call composite reflected the total number of calls related to IBD symptoms/illness. Results: Disease activity and parent distress predicted 12% of the variance in calls and 12% of the variance in HCU. Disease activity was the only significant predictor of clinic calls after accounting for the impact of other predictors; however, parent distress was the only individual variable that contributed significant variance to the prediction of HCU after accounting for other predictors. Conclusion: Greater parent distress and disease activity together predicted HCU and clinic calls. Disease activity was the most salient predictor of calls, whereas parent distress was the most salient predictor of in-person HCU. Clinic calls should not be overlooked as a form of HCU, as communication that takes place outside of scheduled appointments utilizes resources and may indicate poorer disease control.","author":[{"dropping-particle":"","family":"Wojtowicz","given":"Andrea A.","non-dropping-particle":"","parse-names":false,"suffix":""},{"dropping-particle":"","family":"Plevinsky","given":"Jill M.","non-dropping-particle":"","parse-names":false,"suffix":""},{"dropping-particle":"","family":"Poulopoulos","given":"Natasha","non-dropping-particle":"","parse-names":false,"suffix":""},{"dropping-particle":"V.","family":"Schurman","given":"Jennifer","non-dropping-particle":"","parse-names":false,"suffix":""},{"dropping-particle":"","family":"Greenley","given":"Rachel N.","non-dropping-particle":"","parse-names":false,"suffix":""}],"container-title":"European Journal of Gastroenterology and Hepatology","id":"ITEM-3","issued":{"date-parts":[["2016"]]},"title":"Examining predictors of healthcare utilization in youth with inflammatory bowel disease","type":"article-journal"},"uris":["http://www.mendeley.com/documents/?uuid=641bcc94-790f-4883-8d22-4ebb0a24e99d","http://www.mendeley.com/documents/?uuid=c74ad30e-746d-4c38-a434-9e1a4c5403ae","http://www.mendeley.com/documents/?uuid=4475b41c-b54b-454a-9cd8-3c500eec504b"]},{"id":"ITEM-4","itemData":{"DOI":"10.1093/ibd/izy026","ISSN":"15364844","abstract":"Background: Symptoms of inflammatory bowel diseases (IBD) can interfere with optimal psychosocial functioning of adolescents, including school functioning. School functioning can be broadly conceptualized as involving attendance, academic performance, and participation in academic and extracurricular activities. However, previous research has largely examined the impact of IBD on school attendance. The present study aimed to describe school attendance, performance, and participation in a sample of adolescents with IBD and to examine demographic and disease-related correlates of poorer school functioning. Methods: One-hundred sixty-one adolescent-parent dyads (M [SD] adolescent age = 14.5 [1.9] years, 43% female) completed questionnaires assessing demographics, school attendance, performance, and participation. Clinical disease activity was rated by physicians at the time of study enrollment. Results: Difficulties with school attendance were reported, with nearly three-quarters of participants reporting school absences due to visits with doctors or hospitalizations and just under half of the sample reporting general school absences and missing school due to not feeling well. In bivariate analyses, older age was associated with poorer school performance and participation, whereas greater disease activity was associated with poorer school attendance. In regression analyses, greater disease activity and older age emerged as the most salient predictors of poorer school attendance. Older age also emerged as the most salient predictor of school performance and participation. Conclusions: Demographic factors and age in particular were more consistent predictors of school functioning than disease factors. Special attention to older youth and those with active disease may be important to ensure optimal school functioning.","author":[{"dropping-particle":"","family":"Carreon","given":"Samantha A.","non-dropping-particle":"","parse-names":false,"suffix":""},{"dropping-particle":"","family":"Bugno","given":"Lindsey T.","non-dropping-particle":"","parse-names":false,"suffix":""},{"dropping-particle":"","family":"Wojtowicz","given":"Andrea A.","non-dropping-particle":"","parse-names":false,"suffix":""},{"dropping-particle":"","family":"Greenley","given":"Rachel N.","non-dropping-particle":"","parse-names":false,"suffix":""}],"container-title":"Inflammatory Bowel Diseases","id":"ITEM-4","issued":{"date-parts":[["2018"]]},"title":"School Functioning in Adolescents with Inflammatory Bowel Diseases: An Examination of Disease and Demographic Correlates","type":"article-journal"},"uris":["http://www.mendeley.com/documents/?uuid=39b8a584-89de-447e-bd8c-cc6365bf6ab1","http://www.mendeley.com/documents/?uuid=2a5bdeee-5150-4314-b0b1-3b4b214b04ec"]}],"mendeley":{"formattedCitation":"[26,30,33,34]","plainTextFormattedCitation":"[26,30,33,34]","previouslyFormattedCitation":"[26,30,33,34]"},"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[26,30,33,34]</w:t>
      </w:r>
      <w:r w:rsidR="003E61C5">
        <w:rPr>
          <w:rFonts w:ascii="Arial" w:hAnsi="Arial" w:cs="Arial"/>
          <w:sz w:val="24"/>
          <w:szCs w:val="24"/>
        </w:rPr>
        <w:fldChar w:fldCharType="end"/>
      </w:r>
      <w:r w:rsidRPr="00A72606">
        <w:rPr>
          <w:rFonts w:ascii="Arial" w:hAnsi="Arial" w:cs="Arial"/>
          <w:sz w:val="24"/>
          <w:szCs w:val="24"/>
        </w:rPr>
        <w:t xml:space="preserve">, </w:t>
      </w:r>
      <w:r>
        <w:rPr>
          <w:rFonts w:ascii="Arial" w:hAnsi="Arial" w:cs="Arial"/>
          <w:sz w:val="24"/>
          <w:szCs w:val="24"/>
        </w:rPr>
        <w:t>demonstrating</w:t>
      </w:r>
      <w:r w:rsidRPr="00A72606">
        <w:rPr>
          <w:rFonts w:ascii="Arial" w:hAnsi="Arial" w:cs="Arial"/>
          <w:sz w:val="24"/>
          <w:szCs w:val="24"/>
        </w:rPr>
        <w:t xml:space="preserve"> IBD related clinic visits were the most frequent form of health care utilisation. </w:t>
      </w:r>
      <w:r>
        <w:rPr>
          <w:rFonts w:ascii="Arial" w:hAnsi="Arial" w:cs="Arial"/>
          <w:sz w:val="24"/>
          <w:szCs w:val="24"/>
        </w:rPr>
        <w:t>Overall t</w:t>
      </w:r>
      <w:r w:rsidRPr="00A72606">
        <w:rPr>
          <w:rFonts w:ascii="Arial" w:hAnsi="Arial" w:cs="Arial"/>
          <w:sz w:val="24"/>
          <w:szCs w:val="24"/>
        </w:rPr>
        <w:t xml:space="preserve">he majority (62%) report that at least ¾ of their absences were due to IBD. This is a likely underestimation of the true figure, as families may not have linked certain absences, such as symptoms of stress or infections due to immunosuppression to IBD.    </w:t>
      </w:r>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 xml:space="preserve">These findings </w:t>
      </w:r>
      <w:r>
        <w:rPr>
          <w:rFonts w:ascii="Arial" w:hAnsi="Arial" w:cs="Arial"/>
          <w:sz w:val="24"/>
          <w:szCs w:val="24"/>
        </w:rPr>
        <w:t xml:space="preserve">illustrate the </w:t>
      </w:r>
      <w:r w:rsidRPr="00A72606">
        <w:rPr>
          <w:rFonts w:ascii="Arial" w:hAnsi="Arial" w:cs="Arial"/>
          <w:sz w:val="24"/>
          <w:szCs w:val="24"/>
        </w:rPr>
        <w:t>need for after school/college appointments; a measure identified by respondents as the most important factor</w:t>
      </w:r>
      <w:r>
        <w:rPr>
          <w:rFonts w:ascii="Arial" w:hAnsi="Arial" w:cs="Arial"/>
          <w:sz w:val="24"/>
          <w:szCs w:val="24"/>
        </w:rPr>
        <w:t xml:space="preserve"> that would improve attendance</w:t>
      </w:r>
      <w:r w:rsidRPr="00A72606">
        <w:rPr>
          <w:rFonts w:ascii="Arial" w:hAnsi="Arial" w:cs="Arial"/>
          <w:sz w:val="24"/>
          <w:szCs w:val="24"/>
        </w:rPr>
        <w:t>.</w:t>
      </w:r>
      <w:r w:rsidR="00DE658A">
        <w:rPr>
          <w:rFonts w:ascii="Arial" w:hAnsi="Arial" w:cs="Arial"/>
          <w:sz w:val="24"/>
          <w:szCs w:val="24"/>
        </w:rPr>
        <w:t xml:space="preserve">  Also, p</w:t>
      </w:r>
      <w:r w:rsidR="00DE658A">
        <w:rPr>
          <w:rFonts w:ascii="Arial" w:hAnsi="Arial" w:cs="Arial"/>
          <w:sz w:val="24"/>
          <w:szCs w:val="24"/>
        </w:rPr>
        <w:t xml:space="preserve">atients are likely to benefit from tailored clinic appointment intervals, or perhaps telephone appointments, depending on their disease activity </w:t>
      </w:r>
      <w:r w:rsidR="00DE658A">
        <w:rPr>
          <w:rFonts w:ascii="Arial" w:hAnsi="Arial" w:cs="Arial"/>
          <w:sz w:val="24"/>
          <w:szCs w:val="24"/>
        </w:rPr>
        <w:fldChar w:fldCharType="begin" w:fldLock="1"/>
      </w:r>
      <w:r w:rsidR="00DE658A">
        <w:rPr>
          <w:rFonts w:ascii="Arial" w:hAnsi="Arial" w:cs="Arial"/>
          <w:sz w:val="24"/>
          <w:szCs w:val="24"/>
        </w:rPr>
        <w:instrText>ADDIN CSL_CITATION {"citationItems":[{"id":"ITEM-1","itemData":{"DOI":"10.1016/j.ebiom.2015.08.011","ISSN":"2352-3964","PMID":"26501125","abstract":"BACKGROUND Evidence for the use of telephone consultation in childhood inflammatory bowel disease (IBD) is lacking. We aimed to assess the effectiveness and cost consequences of telephone consultation compared with the usual out-patient face-to-face consultation for young people with IBD. METHODS We conducted a randomised-controlled trial in Manchester, UK, between July 12, 2010 and June 30, 2013. Young people (aged 8-16 years) with IBD were randomized to receive telephone consultation or face-to-face consultation for 24 months. The primary outcome measure was the paediatric IBD-specific IMPACT quality of life (QOL) score at 12 months. Secondary outcome measures included patient satisfaction with consultations, disease course, anthropometric measures, proportion of consultations attended, duration of consultations, and costs to the UK National Health Service (NHS). Analysis was by intention to treat. This trial is registered with ClinicalTrials.gov, number NCT02319798. FINDINGS Eighty six patients were randomised to receive either telephone consultation (n = 44) or face-to-face consultation (n = 42). Baseline characteristics of the two groups were well balanced. At 12 months, there was no evidence of difference in QOL scores (estimated treatment effect in favour of the telephone consultation group was 5.7 points, 95% CI - 2.9 to 14.3; p = 0.19). Mean consultation times were 9.8 min (IQR 8 to 12.3) for telephone consultation, and 14.3 min (11.6 to 17.0) for face-to-face consultation with an estimated reduction (95% CI) of 4.3 (2.8 to 5.7) min in consultation times (p &lt; 0.001). Telephone consultation had a mean cost of UK£35.41 per patient consultation compared with £51.12 for face-face consultation, difference £15.71 (95% CI 11.8-19.6; P &lt; 0.001). INTERPRETATION We found no suggestion of inferiority of telephone consultation compared with face-to-face consultation with regard to improvements in QOL scores, and telephone consultation reduced consultation time and NHS costs. Telephone consultation is a cost-effective alternative to face-to-face consultation for the routine outpatient follow-up of children and adolescents with IBD. FUNDING Research for Patient Benefit Programme, UK National Institute for Health Research.","author":[{"dropping-particle":"","family":"Akobeng","given":"Anthony K","non-dropping-particle":"","parse-names":false,"suffix":""},{"dropping-particle":"","family":"O'Leary","given":"Neil","non-dropping-particle":"","parse-names":false,"suffix":""},{"dropping-particle":"","family":"Vail","given":"Andy","non-dropping-particle":"","parse-names":false,"suffix":""},{"dropping-particle":"","family":"Brown","given":"Nailah","non-dropping-particle":"","parse-names":false,"suffix":""},{"dropping-particle":"","family":"Widiatmoko","given":"Dono","non-dropping-particle":"","parse-names":false,"suffix":""},{"dropping-particle":"","family":"Fagbemi","given":"Andrew","non-dropping-particle":"","parse-names":false,"suffix":""},{"dropping-particle":"","family":"Thomas","given":"Adrian G","non-dropping-particle":"","parse-names":false,"suffix":""}],"container-title":"EBioMedicine","id":"ITEM-1","issue":"9","issued":{"date-parts":[["2015","9"]]},"page":"1251-6","title":"Telephone Consultation as a Substitute for Routine Out-patient Face-to-face Consultation for Children With Inflammatory Bowel Disease: Randomised Controlled Trial and Economic Evaluation.","type":"article-journal","volume":"2"},"uris":["http://www.mendeley.com/documents/?uuid=6a253d71-8e1b-3a02-882f-ccdaaa980e56"]}],"mendeley":{"formattedCitation":"[41]","plainTextFormattedCitation":"[41]"},"properties":{"noteIndex":0},"schema":"https://github.com/citation-style-language/schema/raw/master/csl-citation.json"}</w:instrText>
      </w:r>
      <w:r w:rsidR="00DE658A">
        <w:rPr>
          <w:rFonts w:ascii="Arial" w:hAnsi="Arial" w:cs="Arial"/>
          <w:sz w:val="24"/>
          <w:szCs w:val="24"/>
        </w:rPr>
        <w:fldChar w:fldCharType="separate"/>
      </w:r>
      <w:r w:rsidR="00DE658A" w:rsidRPr="005631E1">
        <w:rPr>
          <w:rFonts w:ascii="Arial" w:hAnsi="Arial" w:cs="Arial"/>
          <w:noProof/>
          <w:sz w:val="24"/>
          <w:szCs w:val="24"/>
        </w:rPr>
        <w:t>[41]</w:t>
      </w:r>
      <w:r w:rsidR="00DE658A">
        <w:rPr>
          <w:rFonts w:ascii="Arial" w:hAnsi="Arial" w:cs="Arial"/>
          <w:sz w:val="24"/>
          <w:szCs w:val="24"/>
        </w:rPr>
        <w:fldChar w:fldCharType="end"/>
      </w:r>
      <w:r w:rsidR="00DE658A">
        <w:rPr>
          <w:rFonts w:ascii="Arial" w:hAnsi="Arial" w:cs="Arial"/>
          <w:sz w:val="24"/>
          <w:szCs w:val="24"/>
        </w:rPr>
        <w:t>.</w:t>
      </w:r>
    </w:p>
    <w:p w:rsidR="002147E0" w:rsidRDefault="002147E0" w:rsidP="002147E0">
      <w:pPr>
        <w:spacing w:line="480" w:lineRule="auto"/>
        <w:jc w:val="both"/>
        <w:rPr>
          <w:rFonts w:ascii="Arial" w:hAnsi="Arial" w:cs="Arial"/>
          <w:sz w:val="24"/>
          <w:szCs w:val="24"/>
        </w:rPr>
      </w:pPr>
      <w:r w:rsidRPr="00A72606">
        <w:rPr>
          <w:rFonts w:ascii="Arial" w:hAnsi="Arial" w:cs="Arial"/>
          <w:sz w:val="24"/>
          <w:szCs w:val="24"/>
        </w:rPr>
        <w:t>Feeling unwell at school/college is the biggest concern for these patients (</w:t>
      </w:r>
      <w:r>
        <w:rPr>
          <w:rFonts w:ascii="Arial" w:hAnsi="Arial" w:cs="Arial"/>
          <w:sz w:val="24"/>
          <w:szCs w:val="24"/>
        </w:rPr>
        <w:t>Figure</w:t>
      </w:r>
      <w:r w:rsidRPr="00A72606">
        <w:rPr>
          <w:rFonts w:ascii="Arial" w:hAnsi="Arial" w:cs="Arial"/>
          <w:sz w:val="24"/>
          <w:szCs w:val="24"/>
        </w:rPr>
        <w:t xml:space="preserve"> 1).      The Children and Famili</w:t>
      </w:r>
      <w:r>
        <w:rPr>
          <w:rFonts w:ascii="Arial" w:hAnsi="Arial" w:cs="Arial"/>
          <w:sz w:val="24"/>
          <w:szCs w:val="24"/>
        </w:rPr>
        <w:t xml:space="preserve">es Act  </w:t>
      </w:r>
      <w:r w:rsidR="003E61C5">
        <w:rPr>
          <w:rFonts w:ascii="Arial" w:hAnsi="Arial" w:cs="Arial"/>
          <w:sz w:val="24"/>
          <w:szCs w:val="24"/>
        </w:rPr>
        <w:fldChar w:fldCharType="begin" w:fldLock="1"/>
      </w:r>
      <w:r>
        <w:rPr>
          <w:rFonts w:ascii="Arial" w:hAnsi="Arial" w:cs="Arial"/>
          <w:sz w:val="24"/>
          <w:szCs w:val="24"/>
        </w:rPr>
        <w:instrText>ADDIN CSL_CITATION {"citationItems":[{"id":"ITEM-1","itemData":{"abstract":"An Act to make provision about children, families, and people with special educational needs or disabilities; to make provision about the right to request flexible working; and for connected purposes. [13th March 2014]","author":[{"dropping-particle":"","family":"Legislation.gov.uk","given":"","non-dropping-particle":"","parse-names":false,"suffix":""}],"container-title":"Children and Families Act","id":"ITEM-1","issued":{"date-parts":[["2014"]]},"title":"Children and Families Act 2014","type":"article-journal"},"uris":["http://www.mendeley.com/documents/?uuid=bbd5c5fd-b9e6-454d-9c31-7b67dcd179e4","http://www.mendeley.com/documents/?uuid=a1a945ff-f945-4ac5-be4b-f47cf04d9ae0","http://www.mendeley.com/documents/?uuid=8c3dfaaf-3af7-409a-aea5-318029b49261"]}],"mendeley":{"formattedCitation":"[35]","plainTextFormattedCitation":"[35]","previouslyFormattedCitation":"[35]"},"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[35]</w:t>
      </w:r>
      <w:r w:rsidR="003E61C5">
        <w:rPr>
          <w:rFonts w:ascii="Arial" w:hAnsi="Arial" w:cs="Arial"/>
          <w:sz w:val="24"/>
          <w:szCs w:val="24"/>
        </w:rPr>
        <w:fldChar w:fldCharType="end"/>
      </w:r>
      <w:r w:rsidRPr="00A72606">
        <w:rPr>
          <w:rFonts w:ascii="Arial" w:hAnsi="Arial" w:cs="Arial"/>
          <w:sz w:val="24"/>
          <w:szCs w:val="24"/>
        </w:rPr>
        <w:t xml:space="preserve"> outlines the duty of schools’ to ensure pupils with medical conditions are supported </w:t>
      </w:r>
      <w:r w:rsidR="003E61C5">
        <w:rPr>
          <w:rFonts w:ascii="Arial" w:hAnsi="Arial" w:cs="Arial"/>
          <w:sz w:val="24"/>
          <w:szCs w:val="24"/>
        </w:rPr>
        <w:fldChar w:fldCharType="begin" w:fldLock="1"/>
      </w:r>
      <w:r>
        <w:rPr>
          <w:rFonts w:ascii="Arial" w:hAnsi="Arial" w:cs="Arial"/>
          <w:sz w:val="24"/>
          <w:szCs w:val="24"/>
        </w:rPr>
        <w:instrText>ADDIN CSL_CITATION {"citationItems":[{"id":"ITEM-1","itemData":{"id":"ITEM-1","issued":{"date-parts":[["2015"]]},"title":"Supporting pupils at school with medical conditions Statutory guidance for governing bodies of maintained schools and proprietors of academies in England","type":"report"},"uris":["http://www.mendeley.com/documents/?uuid=d35ddfae-cfea-3ff4-84e1-bc9d3d855083","http://www.mendeley.com/documents/?uuid=47d3b072-3896-4b47-a79a-9234340d5f1c"]}],"mendeley":{"formattedCitation":"[36]","plainTextFormattedCitation":"[36]","previouslyFormattedCitation":"[36]"},"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[36]</w:t>
      </w:r>
      <w:r w:rsidR="003E61C5">
        <w:rPr>
          <w:rFonts w:ascii="Arial" w:hAnsi="Arial" w:cs="Arial"/>
          <w:sz w:val="24"/>
          <w:szCs w:val="24"/>
        </w:rPr>
        <w:fldChar w:fldCharType="end"/>
      </w:r>
      <w:r w:rsidRPr="00A72606">
        <w:rPr>
          <w:rFonts w:ascii="Arial" w:hAnsi="Arial" w:cs="Arial"/>
          <w:sz w:val="24"/>
          <w:szCs w:val="24"/>
        </w:rPr>
        <w:t>.  However, the literature indicates a gap in the knowledge of school</w:t>
      </w:r>
      <w:r>
        <w:rPr>
          <w:rFonts w:ascii="Arial" w:hAnsi="Arial" w:cs="Arial"/>
          <w:sz w:val="24"/>
          <w:szCs w:val="24"/>
        </w:rPr>
        <w:t>s</w:t>
      </w:r>
      <w:r w:rsidRPr="00A72606">
        <w:rPr>
          <w:rFonts w:ascii="Arial" w:hAnsi="Arial" w:cs="Arial"/>
          <w:sz w:val="24"/>
          <w:szCs w:val="24"/>
        </w:rPr>
        <w:t xml:space="preserve"> </w:t>
      </w:r>
      <w:r>
        <w:rPr>
          <w:rFonts w:ascii="Arial" w:hAnsi="Arial" w:cs="Arial"/>
          <w:sz w:val="24"/>
          <w:szCs w:val="24"/>
        </w:rPr>
        <w:t>about</w:t>
      </w:r>
      <w:r w:rsidRPr="00A72606">
        <w:rPr>
          <w:rFonts w:ascii="Arial" w:hAnsi="Arial" w:cs="Arial"/>
          <w:sz w:val="24"/>
          <w:szCs w:val="24"/>
        </w:rPr>
        <w:t xml:space="preserve"> chronic disease</w:t>
      </w:r>
      <w:r>
        <w:rPr>
          <w:rFonts w:ascii="Arial" w:hAnsi="Arial" w:cs="Arial"/>
          <w:sz w:val="24"/>
          <w:szCs w:val="24"/>
        </w:rPr>
        <w:t>s,</w:t>
      </w:r>
      <w:r w:rsidRPr="00A72606">
        <w:rPr>
          <w:rFonts w:ascii="Arial" w:hAnsi="Arial" w:cs="Arial"/>
          <w:sz w:val="24"/>
          <w:szCs w:val="24"/>
        </w:rPr>
        <w:t xml:space="preserve"> such as IBD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{"citationItems":[{"id":"ITEM-1","itemData":{"DOI":"10.1111/josh.12646","ISSN":"17461561","abstract":"ABSTRACT: BACKGROUND: Existing research demonstrates that youth with chronic illness often experience challenges including poor academic performance, attendance, and social success. However, past research demonstrates a lack of support for teachers to best educate students with chronic illness. In this study, we aim to describe the needs of local educators when working with students with chronic illness. METHODS: A questionnaire was completed by 383 middle or high school professionals. Responses were analyzed using descriptive statistics. ANOVA was used to examine differences between school professional groups and chronic illness types. RESULTS: Participants tended to disagree that students with chronic illness faced challenges in school and agreed that they had enough support to meet students' needs. They tended to agree that more collaboration between the health care team, schools, and families was needed. Participants reported feeling least prepared in working with students who had cystic fibrosis, epilepsy, or sickle cell disease. School nurses were more likely to recognize the challenges, supports, and collaboration needed. CONCLUSIONS: More training and support is needed for school professionals in their work with students with chronic illness. Assessments may be useful at a local level to help schools develop better policies and plans for educating youth with chronic illness.","author":[{"dropping-particle":"","family":"Berger","given":"Carolyn","non-dropping-particle":"","parse-names":false,"suffix":""},{"dropping-particle":"","family":"Valenzuela","given":"Jessica","non-dropping-particle":"","parse-names":false,"suffix":""},{"dropping-particle":"","family":"Tsikis","given":"Joanna","non-dropping-particle":"","parse-names":false,"suffix":""},{"dropping-particle":"","family":"Fletcher","given":"Cynthia","non-dropping-particle":"","parse-names":false,"suffix":""}],"container-title":"Journal of School Health","id":"ITEM-1","issued":{"date-parts":[["2018"]]},"title":"School Professionals' Knowledge and Beliefs About Youth With Chronic Illness","type":"article-journal"},"uris":["http://www.mendeley.com/documents/?uuid=d7f77f36-bc51-4a82-ab77-764883731b3a","http://www.mendeley.com/documents/?uuid=06b7e4ca-2fe9-4cdb-8e24-235e20649c63","http://www.mendeley.com/documents/?uuid=03bfb986-e945-420e-92fc-bd9dd7a61f93"]}],"mendeley":{"formattedCitation":"[37]","plainTextFormattedCitation":"[37]","previouslyFormattedCitation":"[37]"},"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[37]</w:t>
      </w:r>
      <w:r w:rsidR="003E61C5">
        <w:rPr>
          <w:rFonts w:ascii="Arial" w:hAnsi="Arial" w:cs="Arial"/>
          <w:sz w:val="24"/>
          <w:szCs w:val="24"/>
        </w:rPr>
        <w:fldChar w:fldCharType="end"/>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{"citationItems":[{"id":"ITEM-1","itemData":{"DOI":"10.5009/gnl18139","ISSN":"1976-2283","abstract":"Background/Aims: School nurses' knowledge of inflammatory bowel disease\n(IBD) has not been evaluated. We aimed to investigate school nurses'\nknowledge of IBD and determine whether education could improve this\nknowledge. Methods: School nurses were invited to complete self-reported\nquestionnaires on IBD. Then, IBD specialists from tertiary referral\nhospitals provided a 60-minute lecture with educational brochures on two\noccasions, with a 3-month interval. Within 6 months after the\neducational interventions, school nurses were asked to complete the same\nIBD questionnaire via e-mail. Results: Among 101 school nurses who were\ninvited to participate, 54 nurses (53.5%) who completed two consecutive\nquestionnaires were included in this study (median age, 45 years; range,\n25 to 59 years; 100% female); 11.1% and 7.4% of the study\nparticipants had no knowledge regarding ulcerative colitis and Crohn's\ndisease, respectively. They had heard of IBD most frequently from\ndoctors (33.3%), followed by internet sources (25.9%). After 6 months,\nthe number of nurses who could explain IBD to students with over 30%\nconfidence increased from 24 (44.5%) to 42 (77.8%) (p&lt;0.001). Most\nnurses (81.5%) reported that the educational intervention was helpful\nfor managing students with abdominal pain or diarrhea. The number of\nstudents who received IBD-related welfare services from the Daegu\nMetropolitan Office of Education doubled when compared with the\ncorresponding number during the prior educational year. Conclusions:\nThere is room for improvement in school nurses' knowledge of IBD. A\nsystematic educational program on IBD should be implemented for these\nnurses.","author":[{"dropping-particle":"","family":"Kim","given":"Eun Soo","non-dropping-particle":"","parse-names":false,"suffix":""},{"dropping-particle":"","family":"Kwon","given":"Ki Tae","non-dropping-particle":"","parse-names":false,"suffix":""},{"dropping-particle":"","family":"Kim","given":"Sung Kook","non-dropping-particle":"","parse-names":false,"suffix":""},{"dropping-particle":"","family":"Kim","given":"Miyoung","non-dropping-particle":"","parse-names":false,"suffix":""},{"dropping-particle":"","family":"Lee","given":"Hyun Seok","non-dropping-particle":"","parse-names":false,"suffix":""},{"dropping-particle":"","family":"Jang","given":"Byung Ik","non-dropping-particle":"","parse-names":false,"suffix":""},{"dropping-particle":"","family":"Kim","given":"Kyeong Ok","non-dropping-particle":"","parse-names":false,"suffix":""},{"dropping-particle":"","family":"Kim","given":"Eun Young","non-dropping-particle":"","parse-names":false,"suffix":""},{"dropping-particle":"","family":"Lee","given":"Yoo Jin","non-dropping-particle":"","parse-names":false,"suffix":""},{"dropping-particle":"","family":"Hong","given":"Suk Jin","non-dropping-particle":"","parse-names":false,"suffix":""},{"dropping-particle":"","family":"Yang","given":"Chang Heon","non-dropping-particle":"","parse-names":false,"suffix":""},{"dropping-particle":"","family":"Kang","given":"Ben","non-dropping-particle":"","parse-names":false,"suffix":""},{"dropping-particle":"","family":"Choe","given":"Byung-Ho","non-dropping-particle":"","parse-names":false,"suffix":""}],"container-title":"Gut and Liver","id":"ITEM-1","issued":{"date-parts":[["2018"]]},"title":"Impact of Education on School Nurses' Knowledge of Inflammatory Bowel Disease","type":"article-journal"},"uris":["http://www.mendeley.com/documents/?uuid=ac1d7ab1-043b-4c94-89c7-7197f4d3179f","http://www.mendeley.com/documents/?uuid=2ba7959e-e5ff-49bf-a240-7b805979c4ff","http://www.mendeley.com/documents/?uuid=60affcae-f6eb-4e49-a372-2cdb9f45d533"]}],"mendeley":{"formattedCitation":"[38]","plainTextFormattedCitation":"[38]","previouslyFormattedCitation":"[38]"},"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[38]</w:t>
      </w:r>
      <w:r w:rsidR="003E61C5">
        <w:rPr>
          <w:rFonts w:ascii="Arial" w:hAnsi="Arial" w:cs="Arial"/>
          <w:sz w:val="24"/>
          <w:szCs w:val="24"/>
        </w:rPr>
        <w:fldChar w:fldCharType="end"/>
      </w:r>
      <w:r w:rsidRPr="00A72606">
        <w:rPr>
          <w:rFonts w:ascii="Arial" w:hAnsi="Arial" w:cs="Arial"/>
          <w:sz w:val="24"/>
          <w:szCs w:val="24"/>
        </w:rPr>
        <w:t xml:space="preserve">.  This illustrates the vital role of effective liaison between health and education, with the provision of training/support; further highlighted by </w:t>
      </w:r>
      <w:r>
        <w:rPr>
          <w:rFonts w:ascii="Arial" w:hAnsi="Arial" w:cs="Arial"/>
          <w:sz w:val="24"/>
          <w:szCs w:val="24"/>
        </w:rPr>
        <w:t>many</w:t>
      </w:r>
      <w:r w:rsidRPr="00A72606">
        <w:rPr>
          <w:rFonts w:ascii="Arial" w:hAnsi="Arial" w:cs="Arial"/>
          <w:sz w:val="24"/>
          <w:szCs w:val="24"/>
        </w:rPr>
        <w:t xml:space="preserve"> responses indicating nurse </w:t>
      </w:r>
      <w:r>
        <w:rPr>
          <w:rFonts w:ascii="Arial" w:hAnsi="Arial" w:cs="Arial"/>
          <w:sz w:val="24"/>
          <w:szCs w:val="24"/>
        </w:rPr>
        <w:t xml:space="preserve">specialists </w:t>
      </w:r>
      <w:r w:rsidRPr="00A72606">
        <w:rPr>
          <w:rFonts w:ascii="Arial" w:hAnsi="Arial" w:cs="Arial"/>
          <w:sz w:val="24"/>
          <w:szCs w:val="24"/>
        </w:rPr>
        <w:t xml:space="preserve">educating teachers </w:t>
      </w:r>
      <w:r>
        <w:rPr>
          <w:rFonts w:ascii="Arial" w:hAnsi="Arial" w:cs="Arial"/>
          <w:sz w:val="24"/>
          <w:szCs w:val="24"/>
        </w:rPr>
        <w:t xml:space="preserve">could result in </w:t>
      </w:r>
      <w:r w:rsidRPr="00A72606">
        <w:rPr>
          <w:rFonts w:ascii="Arial" w:hAnsi="Arial" w:cs="Arial"/>
          <w:sz w:val="24"/>
          <w:szCs w:val="24"/>
        </w:rPr>
        <w:t>improve</w:t>
      </w:r>
      <w:r>
        <w:rPr>
          <w:rFonts w:ascii="Arial" w:hAnsi="Arial" w:cs="Arial"/>
          <w:sz w:val="24"/>
          <w:szCs w:val="24"/>
        </w:rPr>
        <w:t>d</w:t>
      </w:r>
      <w:r w:rsidRPr="00A72606">
        <w:rPr>
          <w:rFonts w:ascii="Arial" w:hAnsi="Arial" w:cs="Arial"/>
          <w:sz w:val="24"/>
          <w:szCs w:val="24"/>
        </w:rPr>
        <w:t xml:space="preserve"> attendance (</w:t>
      </w:r>
      <w:r>
        <w:rPr>
          <w:rFonts w:ascii="Arial" w:hAnsi="Arial" w:cs="Arial"/>
          <w:sz w:val="24"/>
          <w:szCs w:val="24"/>
        </w:rPr>
        <w:t>Figure</w:t>
      </w:r>
      <w:r w:rsidRPr="00A72606">
        <w:rPr>
          <w:rFonts w:ascii="Arial" w:hAnsi="Arial" w:cs="Arial"/>
          <w:sz w:val="24"/>
          <w:szCs w:val="24"/>
        </w:rPr>
        <w:t xml:space="preserve"> 1).  </w:t>
      </w:r>
      <w:r>
        <w:rPr>
          <w:rFonts w:ascii="Arial" w:hAnsi="Arial" w:cs="Arial"/>
          <w:sz w:val="24"/>
          <w:szCs w:val="24"/>
        </w:rPr>
        <w:t>O</w:t>
      </w:r>
      <w:r w:rsidRPr="00A72606">
        <w:rPr>
          <w:rFonts w:ascii="Arial" w:hAnsi="Arial" w:cs="Arial"/>
          <w:sz w:val="24"/>
          <w:szCs w:val="24"/>
        </w:rPr>
        <w:t>the</w:t>
      </w:r>
      <w:r>
        <w:rPr>
          <w:rFonts w:ascii="Arial" w:hAnsi="Arial" w:cs="Arial"/>
          <w:sz w:val="24"/>
          <w:szCs w:val="24"/>
        </w:rPr>
        <w:t xml:space="preserve">r school-related issues can be </w:t>
      </w:r>
      <w:r w:rsidRPr="00A72606">
        <w:rPr>
          <w:rFonts w:ascii="Arial" w:hAnsi="Arial" w:cs="Arial"/>
          <w:sz w:val="24"/>
          <w:szCs w:val="24"/>
        </w:rPr>
        <w:t>addressed by</w:t>
      </w:r>
      <w:r>
        <w:rPr>
          <w:rFonts w:ascii="Arial" w:hAnsi="Arial" w:cs="Arial"/>
          <w:sz w:val="24"/>
          <w:szCs w:val="24"/>
        </w:rPr>
        <w:t xml:space="preserve"> the</w:t>
      </w:r>
      <w:r w:rsidRPr="00A72606">
        <w:rPr>
          <w:rFonts w:ascii="Arial" w:hAnsi="Arial" w:cs="Arial"/>
          <w:sz w:val="24"/>
          <w:szCs w:val="24"/>
        </w:rPr>
        <w:t xml:space="preserve"> provision of toilet passes, sending work home</w:t>
      </w:r>
      <w:r>
        <w:rPr>
          <w:rFonts w:ascii="Arial" w:hAnsi="Arial" w:cs="Arial"/>
          <w:sz w:val="24"/>
          <w:szCs w:val="24"/>
        </w:rPr>
        <w:t>, and</w:t>
      </w:r>
      <w:r w:rsidRPr="00A72606">
        <w:rPr>
          <w:rFonts w:ascii="Arial" w:hAnsi="Arial" w:cs="Arial"/>
          <w:sz w:val="24"/>
          <w:szCs w:val="24"/>
        </w:rPr>
        <w:t xml:space="preserve"> IT portals to access lessons missed.  Nevertheless, there are contrasting reports from families on </w:t>
      </w:r>
      <w:r>
        <w:rPr>
          <w:rFonts w:ascii="Arial" w:hAnsi="Arial" w:cs="Arial"/>
          <w:sz w:val="24"/>
          <w:szCs w:val="24"/>
        </w:rPr>
        <w:t>their experiences;</w:t>
      </w:r>
      <w:r w:rsidRPr="00A72606">
        <w:rPr>
          <w:rFonts w:ascii="Arial" w:hAnsi="Arial" w:cs="Arial"/>
          <w:sz w:val="24"/>
          <w:szCs w:val="24"/>
        </w:rPr>
        <w:t xml:space="preserve"> some describe a lack of aware</w:t>
      </w:r>
      <w:r>
        <w:rPr>
          <w:rFonts w:ascii="Arial" w:hAnsi="Arial" w:cs="Arial"/>
          <w:sz w:val="24"/>
          <w:szCs w:val="24"/>
        </w:rPr>
        <w:t>ness, understanding and support,</w:t>
      </w:r>
      <w:r w:rsidRPr="00A72606">
        <w:rPr>
          <w:rFonts w:ascii="Arial" w:hAnsi="Arial" w:cs="Arial"/>
          <w:sz w:val="24"/>
          <w:szCs w:val="24"/>
        </w:rPr>
        <w:t xml:space="preserve"> which is congruent with research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{"citationItems":[{"id":"ITEM-1","itemData":{"DOI":"10.1136/bmjgast-2018-000236","ISSN":"20544774","abstract":"Objective We describe school performance and experience in children with inflammatory bowel disease (IBD) across Germany and Austria. Predictors of compromised performance and satisfaction were evaluated to identify subgroups of increased risk. Design This cross-sectional analysis was based on a postal survey in children aged 10–15 with Crohn’s disease, ulcerative colitis or unclassified IBD and their families. Multivariate regression analysis was used to assess influential factors on parental satisfaction with school, attending advanced secondary education (ASE), having good marks and having to repeat a class. Satisfaction was assessed based on the Child Healthcare–Satisfaction, Utilisation and Needs instrument (possible range 1.00–5.00). Results Of 1367 families contacted, 675 participated in the study (49.4%). Sixty-eight participants (10.2%) had repeated a year, 312 (46.2%) attended ASE. The median school satisfaction score was 2.67 (IQR 2.00–3.33). High socioeconomic status (SES) and region within Germany were predictive for ASE (OR high SES 8.2, 95% CI 4.7 to 14.2). SES, female sex and region of residence predicted good marks. Grade retention was associated with an active disease course (OR 2.7, 95% CI 1.4 to 5.3) and prolonged periods off school due to IBD (OR 3.9, 95% CI 1.8 to 8.6). Conclusions A severe disease course impacted on the risk of grade retention, but not on type of school attended and school marks. Low satisfaction of parents of chronically ill children with the school situation underlines the need for a more interdisciplinary approach in health services and health services research in young people.","author":[{"dropping-particle":"","family":"Freckmann","given":"Magdalena","non-dropping-particle":"","parse-names":false,"suffix":""},{"dropping-particle":"","family":"Seipp","given":"Alexander","non-dropping-particle":"","parse-names":false,"suffix":""},{"dropping-particle":"","family":"Laass","given":"Martin W.","non-dropping-particle":"","parse-names":false,"suffix":""},{"dropping-particle":"","family":"Koletzko","given":"Sibylle","non-dropping-particle":"","parse-names":false,"suffix":""},{"dropping-particle":"","family":"Claßen","given":"Martin","non-dropping-particle":"","parse-names":false,"suffix":""},{"dropping-particle":"","family":"Ballauff","given":"Antje","non-dropping-particle":"","parse-names":false,"suffix":""},{"dropping-particle":"","family":"Peplies","given":"Jenny","non-dropping-particle":"","parse-names":false,"suffix":""},{"dropping-particle":"","family":"Timmer","given":"Antje","non-dropping-particle":"","parse-names":false,"suffix":""}],"container-title":"BMJ Open Gastroenterology","id":"ITEM-1","issued":{"date-parts":[["2018"]]},"title":"School-related experience and performance with inflammatory bowel disease: Results from a cross-sectional survey in 675 children and their parents","type":"article-journal"},"uris":["http://www.mendeley.com/documents/?uuid=af487504-1ff7-461c-bcf9-6dc91b9792cf","http://www.mendeley.com/documents/?uuid=7636df4b-5e20-4de2-8eda-d6132fc65181"]}],"mendeley":{"formattedCitation":"[31]","plainTextFormattedCitation":"[31]","previouslyFormattedCitation":"[31]"},"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[31]</w:t>
      </w:r>
      <w:r w:rsidR="003E61C5">
        <w:rPr>
          <w:rFonts w:ascii="Arial" w:hAnsi="Arial" w:cs="Arial"/>
          <w:sz w:val="24"/>
          <w:szCs w:val="24"/>
        </w:rPr>
        <w:fldChar w:fldCharType="end"/>
      </w:r>
      <w:r w:rsidRPr="00A72606">
        <w:rPr>
          <w:rFonts w:ascii="Arial" w:hAnsi="Arial" w:cs="Arial"/>
          <w:sz w:val="24"/>
          <w:szCs w:val="24"/>
        </w:rPr>
        <w:t>.  Others reveal</w:t>
      </w:r>
      <w:r>
        <w:rPr>
          <w:rFonts w:ascii="Arial" w:hAnsi="Arial" w:cs="Arial"/>
          <w:sz w:val="24"/>
          <w:szCs w:val="24"/>
        </w:rPr>
        <w:t xml:space="preserve"> that</w:t>
      </w:r>
      <w:r w:rsidRPr="00A72606">
        <w:rPr>
          <w:rFonts w:ascii="Arial" w:hAnsi="Arial" w:cs="Arial"/>
          <w:sz w:val="24"/>
          <w:szCs w:val="24"/>
        </w:rPr>
        <w:t xml:space="preserve"> schools are accommodating and supportive</w:t>
      </w:r>
      <w:r>
        <w:rPr>
          <w:rFonts w:ascii="Arial" w:hAnsi="Arial" w:cs="Arial"/>
          <w:sz w:val="24"/>
          <w:szCs w:val="24"/>
        </w:rPr>
        <w:t xml:space="preserve"> and this may reflect better sharing of information by health</w:t>
      </w:r>
      <w:r w:rsidRPr="00A72606">
        <w:rPr>
          <w:rFonts w:ascii="Arial" w:hAnsi="Arial" w:cs="Arial"/>
          <w:sz w:val="24"/>
          <w:szCs w:val="24"/>
        </w:rPr>
        <w:t>.  A significant proportion report</w:t>
      </w:r>
      <w:r>
        <w:rPr>
          <w:rFonts w:ascii="Arial" w:hAnsi="Arial" w:cs="Arial"/>
          <w:sz w:val="24"/>
          <w:szCs w:val="24"/>
        </w:rPr>
        <w:t>ed</w:t>
      </w:r>
      <w:r w:rsidRPr="00A72606">
        <w:rPr>
          <w:rFonts w:ascii="Arial" w:hAnsi="Arial" w:cs="Arial"/>
          <w:sz w:val="24"/>
          <w:szCs w:val="24"/>
        </w:rPr>
        <w:t xml:space="preserve"> no issue</w:t>
      </w:r>
      <w:r>
        <w:rPr>
          <w:rFonts w:ascii="Arial" w:hAnsi="Arial" w:cs="Arial"/>
          <w:sz w:val="24"/>
          <w:szCs w:val="24"/>
        </w:rPr>
        <w:t xml:space="preserve">s with IBD and school/college.  </w:t>
      </w:r>
      <w:r>
        <w:rPr>
          <w:rFonts w:ascii="Arial" w:hAnsi="Arial" w:cs="Arial"/>
          <w:sz w:val="24"/>
          <w:szCs w:val="24"/>
        </w:rPr>
        <w:lastRenderedPageBreak/>
        <w:t xml:space="preserve">Absenteeism </w:t>
      </w:r>
      <w:r w:rsidRPr="00A72606">
        <w:rPr>
          <w:rFonts w:ascii="Arial" w:hAnsi="Arial" w:cs="Arial"/>
          <w:sz w:val="24"/>
          <w:szCs w:val="24"/>
        </w:rPr>
        <w:t>at diagnosis and early treatment is common; associated with the lower health-related quality of life</w:t>
      </w:r>
      <w:r>
        <w:rPr>
          <w:rFonts w:ascii="Arial" w:hAnsi="Arial" w:cs="Arial"/>
          <w:sz w:val="24"/>
          <w:szCs w:val="24"/>
        </w:rPr>
        <w:t>,</w:t>
      </w:r>
      <w:r w:rsidRPr="00A72606">
        <w:rPr>
          <w:rFonts w:ascii="Arial" w:hAnsi="Arial" w:cs="Arial"/>
          <w:sz w:val="24"/>
          <w:szCs w:val="24"/>
        </w:rPr>
        <w:t xml:space="preserve"> and increased disease severity </w:t>
      </w:r>
      <w:r w:rsidR="003E61C5">
        <w:rPr>
          <w:rFonts w:ascii="Arial" w:hAnsi="Arial" w:cs="Arial"/>
          <w:sz w:val="24"/>
          <w:szCs w:val="24"/>
        </w:rPr>
        <w:fldChar w:fldCharType="begin" w:fldLock="1"/>
      </w:r>
      <w:r>
        <w:rPr>
          <w:rFonts w:ascii="Arial" w:hAnsi="Arial" w:cs="Arial"/>
          <w:sz w:val="24"/>
          <w:szCs w:val="24"/>
        </w:rPr>
        <w:instrText>ADDIN CSL_CITATION {"citationItems":[{"id":"ITEM-1","itemData":{"ISSN":"1078-0998","PMID":"16917222","abstract":"BACKGROUND AND AIMS Assessment of health-related quality of life (HRQOL) is of increasing importance in the evaluation of new therapies for inflammatory bowel disease (IBD). Available data concerning HRQOL in pediatric patients are sparse and uniformly cross-sectional. The aim of this study was to describe HRQOL and influential factors in newly diagnosed pediatric patients with Crohn's disease and ulcerative colitis during the first 12 months after diagnosis. MATERIALS AND METHODS Participants were drawn from a large, prospectively derived observational IBD registry of pediatric patients studied through 18 U.S. and Canadian centers. Patients who had completed a baseline IMPACT questionnaire and for whom there were 12 months of follow-up data available were included. In addition to description of cohort, factors that were believed to influence HLQOL were assessed during the course of the year from diagnosis. RESULTS Two hundred eighteen children met inclusion criteria (77% Crohn's disease, 23 % ulcerative colitis, mean age 12.7 +/- 1.9 years). Mean total IMPACT score at baseline was 154, 181 at 6 months, and 191 at 1 year (possible range 0-238, with increasing scores representing better quality of life). Repeated measures analysis showed that age and disease severity significantly negatively affected the IMPACT scores during the course of the year. CONCLUSIONS In this large prospective pediatric IBD cohort, significant improvement in HRQOL is noted during the year from diagnosis. Mean IMPACT scores varied significantly depending on the disease severity and also decreased with increasing age.","author":[{"dropping-particle":"","family":"Otley","given":"Anthony R","non-dropping-particle":"","parse-names":false,"suffix":""},{"dropping-particle":"","family":"Griffiths","given":"Anne M","non-dropping-particle":"","parse-names":false,"suffix":""},{"dropping-particle":"","family":"Hale","given":"Sandra","non-dropping-particle":"","parse-names":false,"suffix":""},{"dropping-particle":"","family":"Kugathasan","given":"Subra","non-dropping-particle":"","parse-names":false,"suffix":""},{"dropping-particle":"","family":"Pfefferkorn","given":"Marian","non-dropping-particle":"","parse-names":false,"suffix":""},{"dropping-particle":"","family":"Mezoff","given":"Adam","non-dropping-particle":"","parse-names":false,"suffix":""},{"dropping-particle":"","family":"Rosh","given":"Joel","non-dropping-particle":"","parse-names":false,"suffix":""},{"dropping-particle":"","family":"Tolia","given":"Vasundhara","non-dropping-particle":"","parse-names":false,"suffix":""},{"dropping-particle":"","family":"Markowitz","given":"James","non-dropping-particle":"","parse-names":false,"suffix":""},{"dropping-particle":"","family":"Mack","given":"David","non-dropping-particle":"","parse-names":false,"suffix":""},{"dropping-particle":"","family":"Oliva-Hemker","given":"Maria","non-dropping-particle":"","parse-names":false,"suffix":""},{"dropping-particle":"","family":"Wyllie","given":"Robert","non-dropping-particle":"","parse-names":false,"suffix":""},{"dropping-particle":"","family":"Rothbaum","given":"Robert","non-dropping-particle":"","parse-names":false,"suffix":""},{"dropping-particle":"","family":"Bousvaros","given":"Athos","non-dropping-particle":"","parse-names":false,"suffix":""},{"dropping-particle":"","family":"Rosario","given":"J Fernando","non-dropping-particle":"Del","parse-names":false,"suffix":""},{"dropping-particle":"","family":"Evans","given":"Jonathan","non-dropping-particle":"","parse-names":false,"suffix":""},{"dropping-particle":"","family":"Blanchard","given":"Wade","non-dropping-particle":"","parse-names":false,"suffix":""},{"dropping-particle":"","family":"Hyams","given":"Jeffrey","non-dropping-particle":"","parse-names":false,"suffix":""},{"dropping-particle":"","family":"Pediatric IBD Collaborative Research Group","given":"","non-dropping-particle":"","parse-names":false,"suffix":""}],"container-title":"Inflammatory bowel diseases","id":"ITEM-1","issued":{"date-parts":[["2006"]]},"title":"Health-related quality of life in the first year after a diagnosis of pediatric inflammatory bowel disease.","type":"article-journal"},"uris":["http://www.mendeley.com/documents/?uuid=3bb0aa65-3b2d-4ab1-9bbb-5dd3ad5fd935","http://www.mendeley.com/documents/?uuid=357c4c96-4b8f-448f-999b-823571146ab5"]}],"mendeley":{"formattedCitation":"[16]","plainTextFormattedCitation":"[16]","previouslyFormattedCitation":"[16]"},"properties":{"noteIndex":0},"schema":"https://github.com/citation-style-language/schema/raw/master/csl-citation.json"}</w:instrText>
      </w:r>
      <w:r w:rsidR="003E61C5">
        <w:rPr>
          <w:rFonts w:ascii="Arial" w:hAnsi="Arial" w:cs="Arial"/>
          <w:sz w:val="24"/>
          <w:szCs w:val="24"/>
        </w:rPr>
        <w:fldChar w:fldCharType="separate"/>
      </w:r>
      <w:r w:rsidRPr="00001D6C">
        <w:rPr>
          <w:rFonts w:ascii="Arial" w:hAnsi="Arial" w:cs="Arial"/>
          <w:noProof/>
          <w:sz w:val="24"/>
          <w:szCs w:val="24"/>
        </w:rPr>
        <w:t>[16]</w:t>
      </w:r>
      <w:r w:rsidR="003E61C5">
        <w:rPr>
          <w:rFonts w:ascii="Arial" w:hAnsi="Arial" w:cs="Arial"/>
          <w:sz w:val="24"/>
          <w:szCs w:val="24"/>
        </w:rPr>
        <w:fldChar w:fldCharType="end"/>
      </w:r>
      <w:r>
        <w:rPr>
          <w:rFonts w:ascii="Arial" w:hAnsi="Arial" w:cs="Arial"/>
          <w:sz w:val="24"/>
          <w:szCs w:val="24"/>
        </w:rPr>
        <w:t>.</w:t>
      </w:r>
    </w:p>
    <w:p w:rsidR="002147E0" w:rsidRPr="00A72606" w:rsidRDefault="002147E0" w:rsidP="002147E0">
      <w:pPr>
        <w:spacing w:line="480" w:lineRule="auto"/>
        <w:jc w:val="both"/>
        <w:rPr>
          <w:rFonts w:ascii="Arial" w:hAnsi="Arial" w:cs="Arial"/>
          <w:sz w:val="24"/>
          <w:szCs w:val="24"/>
        </w:rPr>
      </w:pPr>
      <w:bookmarkStart w:id="17" w:name="_Hlk20140093"/>
      <w:r>
        <w:rPr>
          <w:rFonts w:ascii="Arial" w:hAnsi="Arial" w:cs="Arial"/>
          <w:sz w:val="24"/>
          <w:szCs w:val="24"/>
        </w:rPr>
        <w:t>T</w:t>
      </w:r>
      <w:r w:rsidRPr="00A72606">
        <w:rPr>
          <w:rFonts w:ascii="Arial" w:hAnsi="Arial" w:cs="Arial"/>
          <w:sz w:val="24"/>
          <w:szCs w:val="24"/>
        </w:rPr>
        <w:t xml:space="preserve">he </w:t>
      </w:r>
      <w:r>
        <w:rPr>
          <w:rFonts w:ascii="Arial" w:hAnsi="Arial" w:cs="Arial"/>
          <w:sz w:val="24"/>
          <w:szCs w:val="24"/>
        </w:rPr>
        <w:t xml:space="preserve">74% </w:t>
      </w:r>
      <w:r w:rsidRPr="00A72606">
        <w:rPr>
          <w:rFonts w:ascii="Arial" w:hAnsi="Arial" w:cs="Arial"/>
          <w:sz w:val="24"/>
          <w:szCs w:val="24"/>
        </w:rPr>
        <w:t>q</w:t>
      </w:r>
      <w:r>
        <w:rPr>
          <w:rFonts w:ascii="Arial" w:hAnsi="Arial" w:cs="Arial"/>
          <w:sz w:val="24"/>
          <w:szCs w:val="24"/>
        </w:rPr>
        <w:t xml:space="preserve">uestionnaire response rate of the questionnaire is comparable to previous </w:t>
      </w:r>
      <w:proofErr w:type="gramStart"/>
      <w:r>
        <w:rPr>
          <w:rFonts w:ascii="Arial" w:hAnsi="Arial" w:cs="Arial"/>
          <w:sz w:val="24"/>
          <w:szCs w:val="24"/>
        </w:rPr>
        <w:t>studies</w:t>
      </w:r>
      <w:r w:rsidRPr="00A72606">
        <w:rPr>
          <w:rFonts w:ascii="Arial" w:hAnsi="Arial" w:cs="Arial"/>
          <w:sz w:val="24"/>
          <w:szCs w:val="24"/>
        </w:rPr>
        <w:t>, and</w:t>
      </w:r>
      <w:proofErr w:type="gramEnd"/>
      <w:r w:rsidRPr="00A72606">
        <w:rPr>
          <w:rFonts w:ascii="Arial" w:hAnsi="Arial" w:cs="Arial"/>
          <w:sz w:val="24"/>
          <w:szCs w:val="24"/>
        </w:rPr>
        <w:t xml:space="preserve"> </w:t>
      </w:r>
      <w:r>
        <w:rPr>
          <w:rFonts w:ascii="Arial" w:hAnsi="Arial" w:cs="Arial"/>
          <w:sz w:val="24"/>
          <w:szCs w:val="24"/>
        </w:rPr>
        <w:t xml:space="preserve">constitutes a relatively large </w:t>
      </w:r>
      <w:r w:rsidRPr="00A72606">
        <w:rPr>
          <w:rFonts w:ascii="Arial" w:hAnsi="Arial" w:cs="Arial"/>
          <w:sz w:val="24"/>
          <w:szCs w:val="24"/>
        </w:rPr>
        <w:t>sample</w:t>
      </w:r>
      <w:r>
        <w:rPr>
          <w:rFonts w:ascii="Arial" w:hAnsi="Arial" w:cs="Arial"/>
          <w:sz w:val="24"/>
          <w:szCs w:val="24"/>
        </w:rPr>
        <w:t xml:space="preserve"> size</w:t>
      </w:r>
      <w:bookmarkEnd w:id="17"/>
      <w:r w:rsidRPr="00A72606">
        <w:rPr>
          <w:rFonts w:ascii="Arial" w:hAnsi="Arial" w:cs="Arial"/>
          <w:sz w:val="24"/>
          <w:szCs w:val="24"/>
        </w:rPr>
        <w:t xml:space="preserve">. </w:t>
      </w:r>
      <w:bookmarkStart w:id="18" w:name="_Hlk20135700"/>
      <w:bookmarkStart w:id="19" w:name="_Hlk20128231"/>
      <w:r>
        <w:rPr>
          <w:rFonts w:ascii="Arial" w:hAnsi="Arial" w:cs="Arial"/>
          <w:sz w:val="24"/>
          <w:szCs w:val="24"/>
        </w:rPr>
        <w:t xml:space="preserve">School attendance, medication use and disease subtype data </w:t>
      </w:r>
      <w:r w:rsidRPr="00F972E7">
        <w:rPr>
          <w:rFonts w:ascii="Arial" w:hAnsi="Arial" w:cs="Arial"/>
          <w:sz w:val="24"/>
          <w:szCs w:val="24"/>
        </w:rPr>
        <w:t xml:space="preserve">was not </w:t>
      </w:r>
      <w:r>
        <w:rPr>
          <w:rFonts w:ascii="Arial" w:hAnsi="Arial" w:cs="Arial"/>
          <w:sz w:val="24"/>
          <w:szCs w:val="24"/>
        </w:rPr>
        <w:t>present for those</w:t>
      </w:r>
      <w:r w:rsidRPr="00F972E7">
        <w:rPr>
          <w:rFonts w:ascii="Arial" w:hAnsi="Arial" w:cs="Arial"/>
          <w:sz w:val="24"/>
          <w:szCs w:val="24"/>
        </w:rPr>
        <w:t xml:space="preserve"> who did not return a questionnaire</w:t>
      </w:r>
      <w:r>
        <w:rPr>
          <w:rFonts w:ascii="Arial" w:hAnsi="Arial" w:cs="Arial"/>
          <w:sz w:val="24"/>
          <w:szCs w:val="24"/>
        </w:rPr>
        <w:t xml:space="preserve">. We have compared those returning questionnaires in hospital </w:t>
      </w:r>
      <w:proofErr w:type="gramStart"/>
      <w:r>
        <w:rPr>
          <w:rFonts w:ascii="Arial" w:hAnsi="Arial" w:cs="Arial"/>
          <w:sz w:val="24"/>
          <w:szCs w:val="24"/>
        </w:rPr>
        <w:t>vs  post</w:t>
      </w:r>
      <w:proofErr w:type="gramEnd"/>
      <w:r>
        <w:rPr>
          <w:rFonts w:ascii="Arial" w:hAnsi="Arial" w:cs="Arial"/>
          <w:sz w:val="24"/>
          <w:szCs w:val="24"/>
        </w:rPr>
        <w:t>, with the only significant differences between groups being time with disease and immunomodulator use. However, despite this, it was not possible to compare those not returning questionnaires in both groups as data and implied consent was not available, potentially meaning that the higher return rate of hospital questionnaire</w:t>
      </w:r>
      <w:r w:rsidR="00E51A32">
        <w:rPr>
          <w:rFonts w:ascii="Arial" w:hAnsi="Arial" w:cs="Arial"/>
          <w:sz w:val="24"/>
          <w:szCs w:val="24"/>
        </w:rPr>
        <w:t>s</w:t>
      </w:r>
      <w:r>
        <w:rPr>
          <w:rFonts w:ascii="Arial" w:hAnsi="Arial" w:cs="Arial"/>
          <w:sz w:val="24"/>
          <w:szCs w:val="24"/>
        </w:rPr>
        <w:t xml:space="preserve"> may have introduced a bias.</w:t>
      </w:r>
      <w:r w:rsidRPr="00F972E7">
        <w:rPr>
          <w:rFonts w:ascii="Arial" w:hAnsi="Arial" w:cs="Arial"/>
          <w:sz w:val="24"/>
          <w:szCs w:val="24"/>
        </w:rPr>
        <w:t xml:space="preserve"> </w:t>
      </w:r>
      <w:bookmarkEnd w:id="18"/>
      <w:r w:rsidRPr="00A72606">
        <w:rPr>
          <w:rFonts w:ascii="Arial" w:hAnsi="Arial" w:cs="Arial"/>
          <w:sz w:val="24"/>
          <w:szCs w:val="24"/>
        </w:rPr>
        <w:t xml:space="preserve">There was </w:t>
      </w:r>
      <w:r>
        <w:rPr>
          <w:rFonts w:ascii="Arial" w:hAnsi="Arial" w:cs="Arial"/>
          <w:sz w:val="24"/>
          <w:szCs w:val="24"/>
        </w:rPr>
        <w:t xml:space="preserve">typical representation </w:t>
      </w:r>
      <w:r w:rsidRPr="00A72606">
        <w:rPr>
          <w:rFonts w:ascii="Arial" w:hAnsi="Arial" w:cs="Arial"/>
          <w:sz w:val="24"/>
          <w:szCs w:val="24"/>
        </w:rPr>
        <w:t>of disease severity indicated by the proportion of patients on monoclonal (42%) or thiopurine/m</w:t>
      </w:r>
      <w:r>
        <w:rPr>
          <w:rFonts w:ascii="Arial" w:hAnsi="Arial" w:cs="Arial"/>
          <w:sz w:val="24"/>
          <w:szCs w:val="24"/>
        </w:rPr>
        <w:t xml:space="preserve">ethotrexate treatment (66.9%). </w:t>
      </w:r>
      <w:bookmarkStart w:id="20" w:name="_Hlk26430829"/>
      <w:bookmarkEnd w:id="19"/>
      <w:r>
        <w:rPr>
          <w:rFonts w:ascii="Arial" w:hAnsi="Arial" w:cs="Arial"/>
          <w:sz w:val="24"/>
          <w:szCs w:val="24"/>
        </w:rPr>
        <w:t xml:space="preserve">Assessing </w:t>
      </w:r>
      <w:r w:rsidRPr="00FD7112">
        <w:rPr>
          <w:rFonts w:ascii="Arial" w:hAnsi="Arial" w:cs="Arial"/>
          <w:sz w:val="24"/>
          <w:szCs w:val="24"/>
        </w:rPr>
        <w:t xml:space="preserve">longitudinal disease activity </w:t>
      </w:r>
      <w:r>
        <w:rPr>
          <w:rFonts w:ascii="Arial" w:hAnsi="Arial" w:cs="Arial"/>
          <w:sz w:val="24"/>
          <w:szCs w:val="24"/>
        </w:rPr>
        <w:t>is complex and lacks a validated score to</w:t>
      </w:r>
      <w:r w:rsidRPr="00FD7112">
        <w:rPr>
          <w:rFonts w:ascii="Arial" w:hAnsi="Arial" w:cs="Arial"/>
          <w:sz w:val="24"/>
          <w:szCs w:val="24"/>
        </w:rPr>
        <w:t xml:space="preserve"> reflect disease activity over a whole year. We have therefore used </w:t>
      </w:r>
      <w:r>
        <w:rPr>
          <w:rFonts w:ascii="Arial" w:hAnsi="Arial" w:cs="Arial"/>
          <w:sz w:val="24"/>
          <w:szCs w:val="24"/>
        </w:rPr>
        <w:t>medication usage</w:t>
      </w:r>
      <w:r w:rsidRPr="00FD7112">
        <w:rPr>
          <w:rFonts w:ascii="Arial" w:hAnsi="Arial" w:cs="Arial"/>
          <w:sz w:val="24"/>
          <w:szCs w:val="24"/>
        </w:rPr>
        <w:t xml:space="preserve"> as a proxy of disease </w:t>
      </w:r>
      <w:r w:rsidR="002E0DD7">
        <w:rPr>
          <w:rFonts w:ascii="Arial" w:hAnsi="Arial" w:cs="Arial"/>
          <w:sz w:val="24"/>
          <w:szCs w:val="24"/>
        </w:rPr>
        <w:t>severity</w:t>
      </w:r>
      <w:r w:rsidR="00E51A32">
        <w:rPr>
          <w:rFonts w:ascii="Arial" w:hAnsi="Arial" w:cs="Arial"/>
          <w:sz w:val="24"/>
          <w:szCs w:val="24"/>
        </w:rPr>
        <w:t>;</w:t>
      </w:r>
      <w:r w:rsidR="002E0DD7">
        <w:rPr>
          <w:rFonts w:ascii="Arial" w:hAnsi="Arial" w:cs="Arial"/>
          <w:sz w:val="24"/>
          <w:szCs w:val="24"/>
        </w:rPr>
        <w:t xml:space="preserve"> </w:t>
      </w:r>
      <w:proofErr w:type="gramStart"/>
      <w:r w:rsidR="002E0DD7">
        <w:rPr>
          <w:rFonts w:ascii="Arial" w:hAnsi="Arial" w:cs="Arial"/>
          <w:sz w:val="24"/>
          <w:szCs w:val="24"/>
        </w:rPr>
        <w:t>however</w:t>
      </w:r>
      <w:proofErr w:type="gramEnd"/>
      <w:r w:rsidR="002E0DD7">
        <w:rPr>
          <w:rFonts w:ascii="Arial" w:hAnsi="Arial" w:cs="Arial"/>
          <w:sz w:val="24"/>
          <w:szCs w:val="24"/>
        </w:rPr>
        <w:t xml:space="preserve"> we recognise that many patients on monoclonal therapy will have well controlled disease</w:t>
      </w:r>
      <w:r>
        <w:rPr>
          <w:rFonts w:ascii="Arial" w:hAnsi="Arial" w:cs="Arial"/>
          <w:sz w:val="24"/>
          <w:szCs w:val="24"/>
        </w:rPr>
        <w:t>.</w:t>
      </w:r>
      <w:r w:rsidRPr="00FD7112">
        <w:rPr>
          <w:rFonts w:ascii="Arial" w:hAnsi="Arial" w:cs="Arial"/>
          <w:sz w:val="24"/>
          <w:szCs w:val="24"/>
        </w:rPr>
        <w:t xml:space="preserve"> </w:t>
      </w:r>
      <w:bookmarkEnd w:id="20"/>
      <w:r w:rsidR="00DE658A">
        <w:rPr>
          <w:rFonts w:ascii="Arial" w:hAnsi="Arial" w:cs="Arial"/>
          <w:sz w:val="24"/>
          <w:szCs w:val="24"/>
        </w:rPr>
        <w:t>T</w:t>
      </w:r>
      <w:r w:rsidRPr="00A72606">
        <w:rPr>
          <w:rFonts w:ascii="Arial" w:hAnsi="Arial" w:cs="Arial"/>
          <w:sz w:val="24"/>
          <w:szCs w:val="24"/>
        </w:rPr>
        <w:t xml:space="preserve">he questionnaire relied on self-report, </w:t>
      </w:r>
      <w:r>
        <w:rPr>
          <w:rFonts w:ascii="Arial" w:hAnsi="Arial" w:cs="Arial"/>
          <w:sz w:val="24"/>
          <w:szCs w:val="24"/>
        </w:rPr>
        <w:t>with</w:t>
      </w:r>
      <w:r w:rsidRPr="00A72606">
        <w:rPr>
          <w:rFonts w:ascii="Arial" w:hAnsi="Arial" w:cs="Arial"/>
          <w:sz w:val="24"/>
          <w:szCs w:val="24"/>
        </w:rPr>
        <w:t xml:space="preserve"> the potential for recall bias, </w:t>
      </w:r>
      <w:r>
        <w:rPr>
          <w:rFonts w:ascii="Arial" w:hAnsi="Arial" w:cs="Arial"/>
          <w:sz w:val="24"/>
          <w:szCs w:val="24"/>
        </w:rPr>
        <w:t>without</w:t>
      </w:r>
      <w:r w:rsidRPr="00A72606">
        <w:rPr>
          <w:rFonts w:ascii="Arial" w:hAnsi="Arial" w:cs="Arial"/>
          <w:sz w:val="24"/>
          <w:szCs w:val="24"/>
        </w:rPr>
        <w:t xml:space="preserve"> external validation of school attendance.  </w:t>
      </w:r>
      <w:bookmarkStart w:id="21" w:name="_Hlk20126943"/>
      <w:r>
        <w:rPr>
          <w:rFonts w:ascii="Arial" w:hAnsi="Arial" w:cs="Arial"/>
          <w:sz w:val="24"/>
          <w:szCs w:val="24"/>
        </w:rPr>
        <w:t xml:space="preserve">We were unable to compare to local attendance data as the </w:t>
      </w:r>
      <w:r w:rsidRPr="007F03C0">
        <w:rPr>
          <w:rFonts w:ascii="Arial" w:hAnsi="Arial" w:cs="Arial"/>
          <w:sz w:val="24"/>
          <w:szCs w:val="24"/>
        </w:rPr>
        <w:t>12 regional hospitals</w:t>
      </w:r>
      <w:r>
        <w:rPr>
          <w:rFonts w:ascii="Arial" w:hAnsi="Arial" w:cs="Arial"/>
          <w:sz w:val="24"/>
          <w:szCs w:val="24"/>
        </w:rPr>
        <w:t xml:space="preserve"> covered by our service</w:t>
      </w:r>
      <w:r w:rsidRPr="007F03C0">
        <w:rPr>
          <w:rFonts w:ascii="Arial" w:hAnsi="Arial" w:cs="Arial"/>
          <w:sz w:val="24"/>
          <w:szCs w:val="24"/>
        </w:rPr>
        <w:t xml:space="preserve"> </w:t>
      </w:r>
      <w:r w:rsidR="00EC4B19">
        <w:rPr>
          <w:rFonts w:ascii="Arial" w:hAnsi="Arial" w:cs="Arial"/>
          <w:sz w:val="24"/>
          <w:szCs w:val="24"/>
        </w:rPr>
        <w:t xml:space="preserve">are </w:t>
      </w:r>
      <w:r w:rsidRPr="007F03C0">
        <w:rPr>
          <w:rFonts w:ascii="Arial" w:hAnsi="Arial" w:cs="Arial"/>
          <w:sz w:val="24"/>
          <w:szCs w:val="24"/>
        </w:rPr>
        <w:t>situated in Hampshire, Dorset, Isle of Wight, West Sussex, Surr</w:t>
      </w:r>
      <w:r>
        <w:rPr>
          <w:rFonts w:ascii="Arial" w:hAnsi="Arial" w:cs="Arial"/>
          <w:sz w:val="24"/>
          <w:szCs w:val="24"/>
        </w:rPr>
        <w:t>e</w:t>
      </w:r>
      <w:r w:rsidRPr="007F03C0">
        <w:rPr>
          <w:rFonts w:ascii="Arial" w:hAnsi="Arial" w:cs="Arial"/>
          <w:sz w:val="24"/>
          <w:szCs w:val="24"/>
        </w:rPr>
        <w:t>y, Wiltshire and the Channel Islands</w:t>
      </w:r>
      <w:r w:rsidR="00EC4B19">
        <w:rPr>
          <w:rFonts w:ascii="Arial" w:hAnsi="Arial" w:cs="Arial"/>
          <w:sz w:val="24"/>
          <w:szCs w:val="24"/>
        </w:rPr>
        <w:t>;</w:t>
      </w:r>
      <w:r>
        <w:rPr>
          <w:rFonts w:ascii="Arial" w:hAnsi="Arial" w:cs="Arial"/>
          <w:sz w:val="24"/>
          <w:szCs w:val="24"/>
        </w:rPr>
        <w:t xml:space="preserve"> there</w:t>
      </w:r>
      <w:r w:rsidRPr="007F03C0">
        <w:rPr>
          <w:rFonts w:ascii="Arial" w:hAnsi="Arial" w:cs="Arial"/>
          <w:sz w:val="24"/>
          <w:szCs w:val="24"/>
        </w:rPr>
        <w:t xml:space="preserve"> is no single education authority</w:t>
      </w:r>
      <w:r>
        <w:rPr>
          <w:rFonts w:ascii="Arial" w:hAnsi="Arial" w:cs="Arial"/>
          <w:sz w:val="24"/>
          <w:szCs w:val="24"/>
        </w:rPr>
        <w:t xml:space="preserve"> reporting figures for this area.</w:t>
      </w:r>
      <w:r w:rsidRPr="007F03C0">
        <w:rPr>
          <w:rFonts w:ascii="Arial" w:hAnsi="Arial" w:cs="Arial"/>
          <w:sz w:val="24"/>
          <w:szCs w:val="24"/>
        </w:rPr>
        <w:t xml:space="preserve"> </w:t>
      </w:r>
      <w:bookmarkEnd w:id="21"/>
      <w:r w:rsidRPr="00A72606">
        <w:rPr>
          <w:rFonts w:ascii="Arial" w:hAnsi="Arial" w:cs="Arial"/>
          <w:sz w:val="24"/>
          <w:szCs w:val="24"/>
        </w:rPr>
        <w:t>Some responses may have been affected by fears that</w:t>
      </w:r>
      <w:r>
        <w:rPr>
          <w:rFonts w:ascii="Arial" w:hAnsi="Arial" w:cs="Arial"/>
          <w:sz w:val="24"/>
          <w:szCs w:val="24"/>
        </w:rPr>
        <w:t xml:space="preserve"> their</w:t>
      </w:r>
      <w:r w:rsidRPr="00A72606">
        <w:rPr>
          <w:rFonts w:ascii="Arial" w:hAnsi="Arial" w:cs="Arial"/>
          <w:sz w:val="24"/>
          <w:szCs w:val="24"/>
        </w:rPr>
        <w:t xml:space="preserve"> reasons for missing school were not good enough, with the consequent risk of further action from schools. </w:t>
      </w:r>
      <w:r>
        <w:rPr>
          <w:rFonts w:ascii="Arial" w:hAnsi="Arial" w:cs="Arial"/>
          <w:sz w:val="24"/>
          <w:szCs w:val="24"/>
        </w:rPr>
        <w:t xml:space="preserve"> I</w:t>
      </w:r>
      <w:r w:rsidRPr="00A72606">
        <w:rPr>
          <w:rFonts w:ascii="Arial" w:hAnsi="Arial" w:cs="Arial"/>
          <w:sz w:val="24"/>
          <w:szCs w:val="24"/>
        </w:rPr>
        <w:t>t was not possible to control for factors such as incom</w:t>
      </w:r>
      <w:r>
        <w:rPr>
          <w:rFonts w:ascii="Arial" w:hAnsi="Arial" w:cs="Arial"/>
          <w:sz w:val="24"/>
          <w:szCs w:val="24"/>
        </w:rPr>
        <w:t>e inequality, lone parenting or</w:t>
      </w:r>
      <w:r w:rsidRPr="00A72606">
        <w:rPr>
          <w:rFonts w:ascii="Arial" w:hAnsi="Arial" w:cs="Arial"/>
          <w:sz w:val="24"/>
          <w:szCs w:val="24"/>
        </w:rPr>
        <w:t xml:space="preserve"> young carer responsibilities; factors known to impact school/college attendance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{"citationItems":[{"id":"ITEM-1","itemData":{"DOI":"10.1037/a0033848","ISSN":"00121649","abstract":"Low family income is associated with poor academic achievement among children. Higher rates of school absence and tardiness may be one mechanism through which low family income impacts children's academic success. This study examines relations between family income, as measured by receipt of free or reduced-price lunch, school attendance, and academic achievement among a diverse sample of children from kindergarten to 4th grade (N = 35,419) using both random and within-child fixed-effects models. Generally, results suggest that the receipt of free or reduced-price lunch and duration of receipt have small but positive associations with school absences and tardies. Poor attendance patterns predict poorer grades, with absences more associated with grades than tardies. Given the small associations between receipt of free or reduced-price lunch and school attendance, and between the duration of receipt of free or reduced-price lunch and children's grades, results do not provide strong evidence that absences and tardies meaningfully attenuate relations between the duration of low family income and student achievement; poorer attendance and persistent low income independently predict poorer grades. Implications for policy and future research are discussed. © 2013 American Psychological Association.","author":[{"dropping-particle":"","family":"Morrissey","given":"Taryn W.","non-dropping-particle":"","parse-names":false,"suffix":""},{"dropping-particle":"","family":"Hutchison","given":"Lindsey","non-dropping-particle":"","parse-names":false,"suffix":""},{"dropping-particle":"","family":"Winsler","given":"Adam","non-dropping-particle":"","parse-names":false,"suffix":""}],"container-title":"Developmental Psychology","id":"ITEM-1","issued":{"date-parts":[["2014"]]},"title":"Family income, school attendance, and academic achievement in elementary school","type":"article-journal"},"uris":["http://www.mendeley.com/documents/?uuid=c1f0f92b-b0df-44d2-8cd1-9e8e2084018c","http://www.mendeley.com/documents/?uuid=dac27f2d-4f46-471d-8e9d-8ee8038b65bc","http://www.mendeley.com/documents/?uuid=14a8ebde-eebc-4e5b-b24e-cd5fdf1b8041"]}],"mendeley":{"formattedCitation":"[39]","plainTextFormattedCitation":"[39]","previouslyFormattedCitation":"[39]"},"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[39]</w:t>
      </w:r>
      <w:r w:rsidR="003E61C5">
        <w:rPr>
          <w:rFonts w:ascii="Arial" w:hAnsi="Arial" w:cs="Arial"/>
          <w:sz w:val="24"/>
          <w:szCs w:val="24"/>
        </w:rPr>
        <w:fldChar w:fldCharType="end"/>
      </w:r>
      <w:r>
        <w:rPr>
          <w:rFonts w:ascii="Arial" w:hAnsi="Arial" w:cs="Arial"/>
          <w:sz w:val="24"/>
          <w:szCs w:val="24"/>
        </w:rPr>
        <w:t xml:space="preserve"> </w:t>
      </w:r>
      <w:r w:rsidR="003E61C5">
        <w:rPr>
          <w:rFonts w:ascii="Arial" w:hAnsi="Arial" w:cs="Arial"/>
          <w:sz w:val="24"/>
          <w:szCs w:val="24"/>
        </w:rPr>
        <w:fldChar w:fldCharType="begin" w:fldLock="1"/>
      </w:r>
      <w:r>
        <w:rPr>
          <w:rFonts w:ascii="Arial" w:hAnsi="Arial" w:cs="Arial"/>
          <w:sz w:val="24"/>
          <w:szCs w:val="24"/>
        </w:rPr>
        <w:instrText>ADDIN CSL_CITATION {"citationItems":[{"id":"ITEM-1","itemData":{"DOI":"10.1177/0042085913475634","ISSN":"00420859","abstract":"Recent evidence suggests that the neighborhood context, particularly for urban youth, can influence a range of outcomes. This study makes contri - butions to the field by examining how the neighborhood context directly relates to missing school. To do so, this study employs a large-scale, longitu - dinal data set of multilevel observations for entire elementary- and middle- school student cohorts in an urban district over 8 academic years. By linking urban school district administrative data with U.S. Census data, this study provides unique insight into how the characteristics of the neighbors on a student’s residential block (determined by his or her exact home address) predict school absences. The results indicate significant relationships between school absences and multiple categories of neighbor attributes, as delineated across measures of poverty, family structure, homeownership status, and race. These results are also distinguishable based on student gender, race and ethnicity, and socioeconomic status.","author":[{"dropping-particle":"","family":"Gottfried","given":"Michael A.","non-dropping-particle":"","parse-names":false,"suffix":""}],"container-title":"Urban Education","id":"ITEM-1","issued":{"date-parts":[["2014"]]},"title":"Can Neighbor Attributes Predict School Absences?","type":"article-journal"},"uris":["http://www.mendeley.com/documents/?uuid=c2083706-e79f-4f32-ac3e-b98214b020c6","http://www.mendeley.com/documents/?uuid=03573a0a-d95d-44d6-9761-04a93ec82c11","http://www.mendeley.com/documents/?uuid=5124d2ae-f282-42a8-971e-a1bd4adbd174"]}],"mendeley":{"formattedCitation":"[40]","plainTextFormattedCitation":"[40]","previouslyFormattedCitation":"[40]"},"properties":{"noteIndex":0},"schema":"https://github.com/citation-style-language/schema/raw/master/csl-citation.json"}</w:instrText>
      </w:r>
      <w:r w:rsidR="003E61C5">
        <w:rPr>
          <w:rFonts w:ascii="Arial" w:hAnsi="Arial" w:cs="Arial"/>
          <w:sz w:val="24"/>
          <w:szCs w:val="24"/>
        </w:rPr>
        <w:fldChar w:fldCharType="separate"/>
      </w:r>
      <w:r w:rsidRPr="00107A64">
        <w:rPr>
          <w:rFonts w:ascii="Arial" w:hAnsi="Arial" w:cs="Arial"/>
          <w:noProof/>
          <w:sz w:val="24"/>
          <w:szCs w:val="24"/>
        </w:rPr>
        <w:t>[40]</w:t>
      </w:r>
      <w:r w:rsidR="003E61C5">
        <w:rPr>
          <w:rFonts w:ascii="Arial" w:hAnsi="Arial" w:cs="Arial"/>
          <w:sz w:val="24"/>
          <w:szCs w:val="24"/>
        </w:rPr>
        <w:fldChar w:fldCharType="end"/>
      </w:r>
      <w:r w:rsidRPr="00A72606">
        <w:rPr>
          <w:rFonts w:ascii="Arial" w:hAnsi="Arial" w:cs="Arial"/>
          <w:sz w:val="24"/>
          <w:szCs w:val="24"/>
        </w:rPr>
        <w:t xml:space="preserve">. There </w:t>
      </w:r>
      <w:r w:rsidRPr="00A72606">
        <w:rPr>
          <w:rFonts w:ascii="Arial" w:hAnsi="Arial" w:cs="Arial"/>
          <w:sz w:val="24"/>
          <w:szCs w:val="24"/>
        </w:rPr>
        <w:lastRenderedPageBreak/>
        <w:t>were relatively low numbers of young people attending college (11.8%) and a significantly smaller proportion attending primary school (14.2%) compared to se</w:t>
      </w:r>
      <w:r>
        <w:rPr>
          <w:rFonts w:ascii="Arial" w:hAnsi="Arial" w:cs="Arial"/>
          <w:sz w:val="24"/>
          <w:szCs w:val="24"/>
        </w:rPr>
        <w:t xml:space="preserve">condary school/college (85.8%). </w:t>
      </w:r>
      <w:bookmarkStart w:id="22" w:name="_Hlk26431230"/>
      <w:r w:rsidR="003A0EE9">
        <w:rPr>
          <w:rFonts w:ascii="Arial" w:hAnsi="Arial" w:cs="Arial"/>
          <w:sz w:val="24"/>
          <w:szCs w:val="24"/>
        </w:rPr>
        <w:t>We recognise a lower response rate from postal questionnaires leads to potential confounding of attendance figures</w:t>
      </w:r>
      <w:r w:rsidR="00EC4B19">
        <w:rPr>
          <w:rFonts w:ascii="Arial" w:hAnsi="Arial" w:cs="Arial"/>
          <w:sz w:val="24"/>
          <w:szCs w:val="24"/>
        </w:rPr>
        <w:t>;</w:t>
      </w:r>
      <w:r w:rsidR="003A0EE9">
        <w:rPr>
          <w:rFonts w:ascii="Arial" w:hAnsi="Arial" w:cs="Arial"/>
          <w:sz w:val="24"/>
          <w:szCs w:val="24"/>
        </w:rPr>
        <w:t xml:space="preserve"> </w:t>
      </w:r>
      <w:proofErr w:type="gramStart"/>
      <w:r w:rsidR="003A0EE9">
        <w:rPr>
          <w:rFonts w:ascii="Arial" w:hAnsi="Arial" w:cs="Arial"/>
          <w:sz w:val="24"/>
          <w:szCs w:val="24"/>
        </w:rPr>
        <w:t>however</w:t>
      </w:r>
      <w:proofErr w:type="gramEnd"/>
      <w:r w:rsidR="003A0EE9">
        <w:rPr>
          <w:rFonts w:ascii="Arial" w:hAnsi="Arial" w:cs="Arial"/>
          <w:sz w:val="24"/>
          <w:szCs w:val="24"/>
        </w:rPr>
        <w:t xml:space="preserve"> characteristics of responses from both patients returning questionnaires by hand and by post are highly comparable.  </w:t>
      </w:r>
      <w:bookmarkEnd w:id="22"/>
    </w:p>
    <w:p w:rsidR="002147E0" w:rsidRPr="00F37EB7" w:rsidRDefault="002147E0" w:rsidP="002147E0">
      <w:pPr>
        <w:spacing w:line="480" w:lineRule="auto"/>
        <w:jc w:val="both"/>
        <w:rPr>
          <w:rFonts w:ascii="Arial" w:hAnsi="Arial" w:cs="Arial"/>
          <w:sz w:val="24"/>
          <w:szCs w:val="24"/>
          <w:u w:val="single"/>
        </w:rPr>
      </w:pPr>
      <w:r w:rsidRPr="00F37EB7">
        <w:rPr>
          <w:rFonts w:ascii="Arial" w:hAnsi="Arial" w:cs="Arial"/>
          <w:sz w:val="24"/>
          <w:szCs w:val="24"/>
          <w:u w:val="single"/>
        </w:rPr>
        <w:t>Conclusion</w:t>
      </w:r>
    </w:p>
    <w:p w:rsidR="002147E0" w:rsidRDefault="002147E0" w:rsidP="002147E0">
      <w:pPr>
        <w:spacing w:line="480" w:lineRule="auto"/>
        <w:jc w:val="both"/>
        <w:rPr>
          <w:rFonts w:ascii="Arial" w:hAnsi="Arial" w:cs="Arial"/>
          <w:sz w:val="24"/>
          <w:szCs w:val="24"/>
        </w:rPr>
      </w:pPr>
      <w:r>
        <w:rPr>
          <w:rFonts w:ascii="Arial" w:hAnsi="Arial" w:cs="Arial"/>
          <w:sz w:val="24"/>
          <w:szCs w:val="24"/>
        </w:rPr>
        <w:t xml:space="preserve">IBD </w:t>
      </w:r>
      <w:r w:rsidRPr="00A72606">
        <w:rPr>
          <w:rFonts w:ascii="Arial" w:hAnsi="Arial" w:cs="Arial"/>
          <w:sz w:val="24"/>
          <w:szCs w:val="24"/>
        </w:rPr>
        <w:t>negative</w:t>
      </w:r>
      <w:r>
        <w:rPr>
          <w:rFonts w:ascii="Arial" w:hAnsi="Arial" w:cs="Arial"/>
          <w:sz w:val="24"/>
          <w:szCs w:val="24"/>
        </w:rPr>
        <w:t>ly</w:t>
      </w:r>
      <w:r w:rsidRPr="00A72606">
        <w:rPr>
          <w:rFonts w:ascii="Arial" w:hAnsi="Arial" w:cs="Arial"/>
          <w:sz w:val="24"/>
          <w:szCs w:val="24"/>
        </w:rPr>
        <w:t xml:space="preserve"> </w:t>
      </w:r>
      <w:r>
        <w:rPr>
          <w:rFonts w:ascii="Arial" w:hAnsi="Arial" w:cs="Arial"/>
          <w:sz w:val="24"/>
          <w:szCs w:val="24"/>
        </w:rPr>
        <w:t>impacts on</w:t>
      </w:r>
      <w:r w:rsidRPr="00A72606">
        <w:rPr>
          <w:rFonts w:ascii="Arial" w:hAnsi="Arial" w:cs="Arial"/>
          <w:sz w:val="24"/>
          <w:szCs w:val="24"/>
        </w:rPr>
        <w:t xml:space="preserve"> school/college attendance, with hospital attendance, disease burden and school difficulties</w:t>
      </w:r>
      <w:r>
        <w:rPr>
          <w:rFonts w:ascii="Arial" w:hAnsi="Arial" w:cs="Arial"/>
          <w:sz w:val="24"/>
          <w:szCs w:val="24"/>
        </w:rPr>
        <w:t xml:space="preserve"> being major barriers</w:t>
      </w:r>
      <w:r w:rsidRPr="00A72606">
        <w:rPr>
          <w:rFonts w:ascii="Arial" w:hAnsi="Arial" w:cs="Arial"/>
          <w:sz w:val="24"/>
          <w:szCs w:val="24"/>
        </w:rPr>
        <w:t xml:space="preserve">.  Needs of children with chronic illnesses must be addressed by ensuring effective partnership between education and health and targeting those with risk factors for poor attendance with preventative measures. Utilising strategies to minimise healthcare burden and provide more integrated care can directly impact service provision and facilitate school/college attendance for </w:t>
      </w:r>
      <w:r>
        <w:rPr>
          <w:rFonts w:ascii="Arial" w:hAnsi="Arial" w:cs="Arial"/>
          <w:sz w:val="24"/>
          <w:szCs w:val="24"/>
        </w:rPr>
        <w:t xml:space="preserve">CYP with IBD. </w:t>
      </w:r>
    </w:p>
    <w:p w:rsidR="002147E0" w:rsidRDefault="002147E0" w:rsidP="002147E0">
      <w:pPr>
        <w:spacing w:line="480" w:lineRule="auto"/>
        <w:jc w:val="both"/>
        <w:rPr>
          <w:rFonts w:ascii="Arial" w:hAnsi="Arial" w:cs="Arial"/>
          <w:sz w:val="24"/>
          <w:szCs w:val="24"/>
        </w:rPr>
      </w:pPr>
    </w:p>
    <w:p w:rsidR="002147E0" w:rsidRPr="00D42D05" w:rsidRDefault="002147E0" w:rsidP="002147E0">
      <w:pPr>
        <w:spacing w:line="480" w:lineRule="auto"/>
        <w:jc w:val="both"/>
        <w:rPr>
          <w:rFonts w:ascii="Arial" w:hAnsi="Arial" w:cs="Arial"/>
          <w:sz w:val="24"/>
          <w:szCs w:val="24"/>
          <w:u w:val="single"/>
        </w:rPr>
      </w:pPr>
      <w:r w:rsidRPr="00D42D05">
        <w:rPr>
          <w:rFonts w:ascii="Arial" w:hAnsi="Arial" w:cs="Arial"/>
          <w:sz w:val="24"/>
          <w:szCs w:val="24"/>
          <w:u w:val="single"/>
        </w:rPr>
        <w:t>What is already known on this topic</w:t>
      </w:r>
    </w:p>
    <w:p w:rsidR="002147E0" w:rsidRPr="00E17E10" w:rsidRDefault="002147E0" w:rsidP="002147E0">
      <w:pPr>
        <w:pStyle w:val="ListParagraph"/>
        <w:numPr>
          <w:ilvl w:val="0"/>
          <w:numId w:val="4"/>
        </w:numPr>
        <w:spacing w:line="480" w:lineRule="auto"/>
        <w:jc w:val="both"/>
        <w:rPr>
          <w:rFonts w:ascii="Arial" w:hAnsi="Arial" w:cs="Arial"/>
          <w:sz w:val="24"/>
          <w:szCs w:val="24"/>
        </w:rPr>
      </w:pPr>
      <w:r w:rsidRPr="00E17E10">
        <w:rPr>
          <w:rFonts w:ascii="Arial" w:hAnsi="Arial" w:cs="Arial"/>
          <w:sz w:val="24"/>
          <w:szCs w:val="24"/>
        </w:rPr>
        <w:t>Children and young people with inflammatory bowel disease miss more school than their healthy peers.</w:t>
      </w:r>
    </w:p>
    <w:p w:rsidR="002147E0" w:rsidRPr="00E17E10" w:rsidRDefault="002147E0" w:rsidP="002147E0">
      <w:pPr>
        <w:pStyle w:val="ListParagraph"/>
        <w:numPr>
          <w:ilvl w:val="0"/>
          <w:numId w:val="4"/>
        </w:numPr>
        <w:spacing w:line="480" w:lineRule="auto"/>
        <w:jc w:val="both"/>
        <w:rPr>
          <w:rFonts w:ascii="Arial" w:hAnsi="Arial" w:cs="Arial"/>
          <w:sz w:val="24"/>
          <w:szCs w:val="24"/>
        </w:rPr>
      </w:pPr>
      <w:r w:rsidRPr="00E17E10">
        <w:rPr>
          <w:rFonts w:ascii="Arial" w:hAnsi="Arial" w:cs="Arial"/>
          <w:sz w:val="24"/>
          <w:szCs w:val="24"/>
        </w:rPr>
        <w:t>There is a strong link between school absenteeism and underachievement.</w:t>
      </w:r>
    </w:p>
    <w:p w:rsidR="002147E0" w:rsidRPr="00E17E10" w:rsidRDefault="002147E0" w:rsidP="002147E0">
      <w:pPr>
        <w:pStyle w:val="ListParagraph"/>
        <w:numPr>
          <w:ilvl w:val="0"/>
          <w:numId w:val="4"/>
        </w:numPr>
        <w:spacing w:line="480" w:lineRule="auto"/>
        <w:jc w:val="both"/>
        <w:rPr>
          <w:rFonts w:ascii="Arial" w:hAnsi="Arial" w:cs="Arial"/>
          <w:sz w:val="24"/>
          <w:szCs w:val="24"/>
        </w:rPr>
      </w:pPr>
      <w:r w:rsidRPr="00E17E10">
        <w:rPr>
          <w:rFonts w:ascii="Arial" w:hAnsi="Arial" w:cs="Arial"/>
          <w:sz w:val="24"/>
          <w:szCs w:val="24"/>
        </w:rPr>
        <w:t>Disease, demographic and psychosocial factors contribute to lower school/college attendance rates.</w:t>
      </w:r>
    </w:p>
    <w:p w:rsidR="002147E0" w:rsidRPr="00A72606" w:rsidRDefault="002147E0" w:rsidP="002147E0">
      <w:pPr>
        <w:spacing w:line="360" w:lineRule="auto"/>
        <w:jc w:val="both"/>
        <w:rPr>
          <w:rFonts w:ascii="Arial" w:hAnsi="Arial" w:cs="Arial"/>
          <w:sz w:val="24"/>
          <w:szCs w:val="24"/>
        </w:rPr>
      </w:pPr>
    </w:p>
    <w:p w:rsidR="002147E0" w:rsidRPr="00D42D05" w:rsidRDefault="002147E0" w:rsidP="002147E0">
      <w:pPr>
        <w:spacing w:line="480" w:lineRule="auto"/>
        <w:jc w:val="both"/>
        <w:rPr>
          <w:rFonts w:ascii="Arial" w:hAnsi="Arial" w:cs="Arial"/>
          <w:sz w:val="24"/>
          <w:szCs w:val="24"/>
          <w:u w:val="single"/>
        </w:rPr>
      </w:pPr>
      <w:r w:rsidRPr="00D42D05">
        <w:rPr>
          <w:rFonts w:ascii="Arial" w:hAnsi="Arial" w:cs="Arial"/>
          <w:sz w:val="24"/>
          <w:szCs w:val="24"/>
          <w:u w:val="single"/>
        </w:rPr>
        <w:t>What this study adds</w:t>
      </w:r>
    </w:p>
    <w:p w:rsidR="002147E0" w:rsidRPr="00E17E10" w:rsidRDefault="002147E0" w:rsidP="002147E0">
      <w:pPr>
        <w:pStyle w:val="ListParagraph"/>
        <w:numPr>
          <w:ilvl w:val="0"/>
          <w:numId w:val="4"/>
        </w:numPr>
        <w:spacing w:line="480" w:lineRule="auto"/>
        <w:jc w:val="both"/>
        <w:rPr>
          <w:rFonts w:ascii="Arial" w:hAnsi="Arial" w:cs="Arial"/>
          <w:sz w:val="24"/>
          <w:szCs w:val="24"/>
        </w:rPr>
      </w:pPr>
      <w:r w:rsidRPr="00E17E10">
        <w:rPr>
          <w:rFonts w:ascii="Arial" w:hAnsi="Arial" w:cs="Arial"/>
          <w:sz w:val="24"/>
          <w:szCs w:val="24"/>
        </w:rPr>
        <w:lastRenderedPageBreak/>
        <w:t>Significantly more children and young people with inflammatory bowel disease are persistently absent from school/college (39.6%) compared to all children in England (11.2%).</w:t>
      </w:r>
    </w:p>
    <w:p w:rsidR="002147E0" w:rsidRPr="00E17E10" w:rsidRDefault="002147E0" w:rsidP="002147E0">
      <w:pPr>
        <w:pStyle w:val="ListParagraph"/>
        <w:numPr>
          <w:ilvl w:val="0"/>
          <w:numId w:val="4"/>
        </w:numPr>
        <w:spacing w:line="480" w:lineRule="auto"/>
        <w:jc w:val="both"/>
        <w:rPr>
          <w:rFonts w:ascii="Arial" w:hAnsi="Arial" w:cs="Arial"/>
          <w:sz w:val="24"/>
          <w:szCs w:val="24"/>
        </w:rPr>
      </w:pPr>
      <w:r w:rsidRPr="00E17E10">
        <w:rPr>
          <w:rFonts w:ascii="Arial" w:hAnsi="Arial" w:cs="Arial"/>
          <w:sz w:val="24"/>
          <w:szCs w:val="24"/>
        </w:rPr>
        <w:t>Concerns for those with IBD attending school/college include feeling unwell, access to toilets, keeping up with work, and teachers’ understanding of IBD.</w:t>
      </w:r>
    </w:p>
    <w:p w:rsidR="002147E0" w:rsidRPr="00E17E10" w:rsidRDefault="002147E0" w:rsidP="002147E0">
      <w:pPr>
        <w:pStyle w:val="ListParagraph"/>
        <w:numPr>
          <w:ilvl w:val="0"/>
          <w:numId w:val="4"/>
        </w:numPr>
        <w:spacing w:line="480" w:lineRule="auto"/>
        <w:jc w:val="both"/>
        <w:rPr>
          <w:rFonts w:ascii="Arial" w:hAnsi="Arial" w:cs="Arial"/>
          <w:sz w:val="24"/>
          <w:szCs w:val="24"/>
        </w:rPr>
      </w:pPr>
      <w:r w:rsidRPr="00E17E10">
        <w:rPr>
          <w:rFonts w:ascii="Arial" w:hAnsi="Arial" w:cs="Arial"/>
          <w:sz w:val="24"/>
          <w:szCs w:val="24"/>
        </w:rPr>
        <w:t>Important measures identified as helping with school/college attendance include; appointments/treatments after school, gastro nurses educating teachers on IBD and school sending work home when absent.</w:t>
      </w: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jc w:val="both"/>
        <w:rPr>
          <w:rFonts w:ascii="Arial" w:hAnsi="Arial" w:cs="Arial"/>
          <w:sz w:val="24"/>
          <w:szCs w:val="24"/>
        </w:rPr>
      </w:pPr>
    </w:p>
    <w:p w:rsidR="002147E0" w:rsidRDefault="002147E0" w:rsidP="002147E0">
      <w:pPr>
        <w:spacing w:line="360" w:lineRule="auto"/>
        <w:jc w:val="both"/>
        <w:rPr>
          <w:rFonts w:ascii="Arial" w:hAnsi="Arial" w:cs="Arial"/>
          <w:sz w:val="24"/>
          <w:szCs w:val="24"/>
        </w:rPr>
      </w:pPr>
    </w:p>
    <w:p w:rsidR="002147E0" w:rsidRDefault="002147E0" w:rsidP="002147E0">
      <w:pPr>
        <w:spacing w:line="360" w:lineRule="auto"/>
        <w:jc w:val="both"/>
        <w:rPr>
          <w:rFonts w:ascii="Arial" w:hAnsi="Arial" w:cs="Arial"/>
          <w:sz w:val="24"/>
          <w:szCs w:val="24"/>
        </w:rPr>
      </w:pPr>
    </w:p>
    <w:p w:rsidR="002147E0" w:rsidRPr="00013B7F" w:rsidRDefault="002147E0" w:rsidP="002147E0">
      <w:pPr>
        <w:spacing w:line="360" w:lineRule="auto"/>
        <w:jc w:val="both"/>
        <w:rPr>
          <w:rFonts w:ascii="Arial" w:hAnsi="Arial" w:cs="Arial"/>
          <w:b/>
          <w:sz w:val="24"/>
          <w:szCs w:val="24"/>
          <w:u w:val="single"/>
        </w:rPr>
      </w:pPr>
      <w:r w:rsidRPr="00013B7F">
        <w:rPr>
          <w:rFonts w:ascii="Arial" w:hAnsi="Arial" w:cs="Arial"/>
          <w:b/>
          <w:sz w:val="24"/>
          <w:szCs w:val="24"/>
          <w:u w:val="single"/>
        </w:rPr>
        <w:t>References</w:t>
      </w:r>
    </w:p>
    <w:p w:rsidR="002147E0" w:rsidRDefault="002147E0" w:rsidP="002147E0">
      <w:pPr>
        <w:spacing w:line="360" w:lineRule="auto"/>
        <w:ind w:left="720" w:hanging="720"/>
        <w:jc w:val="both"/>
        <w:rPr>
          <w:rFonts w:ascii="Arial" w:hAnsi="Arial" w:cs="Arial"/>
          <w:sz w:val="24"/>
          <w:szCs w:val="24"/>
        </w:rPr>
      </w:pPr>
    </w:p>
    <w:p w:rsidR="002147E0" w:rsidRPr="005631E1" w:rsidRDefault="003E61C5" w:rsidP="002147E0">
      <w:pPr>
        <w:widowControl w:val="0"/>
        <w:autoSpaceDE w:val="0"/>
        <w:autoSpaceDN w:val="0"/>
        <w:adjustRightInd w:val="0"/>
        <w:spacing w:line="360" w:lineRule="auto"/>
        <w:ind w:left="640" w:hanging="640"/>
        <w:rPr>
          <w:rFonts w:ascii="Arial" w:hAnsi="Arial" w:cs="Arial"/>
          <w:noProof/>
          <w:sz w:val="24"/>
          <w:szCs w:val="24"/>
        </w:rPr>
      </w:pPr>
      <w:r>
        <w:rPr>
          <w:rFonts w:ascii="Arial" w:hAnsi="Arial" w:cs="Arial"/>
          <w:sz w:val="24"/>
          <w:szCs w:val="24"/>
        </w:rPr>
        <w:fldChar w:fldCharType="begin" w:fldLock="1"/>
      </w:r>
      <w:r w:rsidR="002147E0">
        <w:rPr>
          <w:rFonts w:ascii="Arial" w:hAnsi="Arial" w:cs="Arial"/>
          <w:sz w:val="24"/>
          <w:szCs w:val="24"/>
        </w:rPr>
        <w:instrText xml:space="preserve">ADDIN Mendeley Bibliography CSL_BIBLIOGRAPHY </w:instrText>
      </w:r>
      <w:r>
        <w:rPr>
          <w:rFonts w:ascii="Arial" w:hAnsi="Arial" w:cs="Arial"/>
          <w:sz w:val="24"/>
          <w:szCs w:val="24"/>
        </w:rPr>
        <w:fldChar w:fldCharType="separate"/>
      </w:r>
      <w:r w:rsidR="002147E0" w:rsidRPr="005631E1">
        <w:rPr>
          <w:rFonts w:ascii="Arial" w:hAnsi="Arial" w:cs="Arial"/>
          <w:noProof/>
          <w:sz w:val="24"/>
          <w:szCs w:val="24"/>
        </w:rPr>
        <w:t xml:space="preserve">1 </w:t>
      </w:r>
      <w:r w:rsidR="002147E0" w:rsidRPr="005631E1">
        <w:rPr>
          <w:rFonts w:ascii="Arial" w:hAnsi="Arial" w:cs="Arial"/>
          <w:noProof/>
          <w:sz w:val="24"/>
          <w:szCs w:val="24"/>
        </w:rPr>
        <w:tab/>
        <w:t>Griffiths AM. Specificities of inflammatory bowel disease in childhood. Best Pract. Res. Clin. Gastroenterol. 2004. doi:10.1016/j.bpg.2004.01.002</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 </w:t>
      </w:r>
      <w:r w:rsidRPr="005631E1">
        <w:rPr>
          <w:rFonts w:ascii="Arial" w:hAnsi="Arial" w:cs="Arial"/>
          <w:noProof/>
          <w:sz w:val="24"/>
          <w:szCs w:val="24"/>
        </w:rPr>
        <w:tab/>
        <w:t xml:space="preserve">Beattie RM, Croft NM, Fell JM, </w:t>
      </w:r>
      <w:r w:rsidRPr="005631E1">
        <w:rPr>
          <w:rFonts w:ascii="Arial" w:hAnsi="Arial" w:cs="Arial"/>
          <w:i/>
          <w:iCs/>
          <w:noProof/>
          <w:sz w:val="24"/>
          <w:szCs w:val="24"/>
        </w:rPr>
        <w:t>et al.</w:t>
      </w:r>
      <w:r w:rsidRPr="005631E1">
        <w:rPr>
          <w:rFonts w:ascii="Arial" w:hAnsi="Arial" w:cs="Arial"/>
          <w:noProof/>
          <w:sz w:val="24"/>
          <w:szCs w:val="24"/>
        </w:rPr>
        <w:t xml:space="preserve"> Inflammatory bowel disease. </w:t>
      </w:r>
      <w:r w:rsidRPr="005631E1">
        <w:rPr>
          <w:rFonts w:ascii="Arial" w:hAnsi="Arial" w:cs="Arial"/>
          <w:i/>
          <w:iCs/>
          <w:noProof/>
          <w:sz w:val="24"/>
          <w:szCs w:val="24"/>
        </w:rPr>
        <w:t>Arch Dis Child</w:t>
      </w:r>
      <w:r w:rsidRPr="005631E1">
        <w:rPr>
          <w:rFonts w:ascii="Arial" w:hAnsi="Arial" w:cs="Arial"/>
          <w:noProof/>
          <w:sz w:val="24"/>
          <w:szCs w:val="24"/>
        </w:rPr>
        <w:t xml:space="preserve"> 2006;</w:t>
      </w:r>
      <w:r w:rsidRPr="005631E1">
        <w:rPr>
          <w:rFonts w:ascii="Arial" w:hAnsi="Arial" w:cs="Arial"/>
          <w:b/>
          <w:bCs/>
          <w:noProof/>
          <w:sz w:val="24"/>
          <w:szCs w:val="24"/>
        </w:rPr>
        <w:t>91</w:t>
      </w:r>
      <w:r w:rsidRPr="005631E1">
        <w:rPr>
          <w:rFonts w:ascii="Arial" w:hAnsi="Arial" w:cs="Arial"/>
          <w:noProof/>
          <w:sz w:val="24"/>
          <w:szCs w:val="24"/>
        </w:rPr>
        <w:t>:426–32. doi:10.1136/adc.2005.080481</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 </w:t>
      </w:r>
      <w:r w:rsidRPr="005631E1">
        <w:rPr>
          <w:rFonts w:ascii="Arial" w:hAnsi="Arial" w:cs="Arial"/>
          <w:noProof/>
          <w:sz w:val="24"/>
          <w:szCs w:val="24"/>
        </w:rPr>
        <w:tab/>
        <w:t xml:space="preserve">Ashton JJ, Coelho T, Ennis S, </w:t>
      </w:r>
      <w:r w:rsidRPr="005631E1">
        <w:rPr>
          <w:rFonts w:ascii="Arial" w:hAnsi="Arial" w:cs="Arial"/>
          <w:i/>
          <w:iCs/>
          <w:noProof/>
          <w:sz w:val="24"/>
          <w:szCs w:val="24"/>
        </w:rPr>
        <w:t>et al.</w:t>
      </w:r>
      <w:r w:rsidRPr="005631E1">
        <w:rPr>
          <w:rFonts w:ascii="Arial" w:hAnsi="Arial" w:cs="Arial"/>
          <w:noProof/>
          <w:sz w:val="24"/>
          <w:szCs w:val="24"/>
        </w:rPr>
        <w:t xml:space="preserve"> Presenting phenotype of paediatric inflammatory bowel disease in Wessex, Southern England 2010-2013. </w:t>
      </w:r>
      <w:r w:rsidRPr="005631E1">
        <w:rPr>
          <w:rFonts w:ascii="Arial" w:hAnsi="Arial" w:cs="Arial"/>
          <w:i/>
          <w:iCs/>
          <w:noProof/>
          <w:sz w:val="24"/>
          <w:szCs w:val="24"/>
        </w:rPr>
        <w:t>Acta Paediatr Int J Paediatr</w:t>
      </w:r>
      <w:r w:rsidRPr="005631E1">
        <w:rPr>
          <w:rFonts w:ascii="Arial" w:hAnsi="Arial" w:cs="Arial"/>
          <w:noProof/>
          <w:sz w:val="24"/>
          <w:szCs w:val="24"/>
        </w:rPr>
        <w:t xml:space="preserve"> 2015;</w:t>
      </w:r>
      <w:r w:rsidRPr="005631E1">
        <w:rPr>
          <w:rFonts w:ascii="Arial" w:hAnsi="Arial" w:cs="Arial"/>
          <w:b/>
          <w:bCs/>
          <w:noProof/>
          <w:sz w:val="24"/>
          <w:szCs w:val="24"/>
        </w:rPr>
        <w:t>104</w:t>
      </w:r>
      <w:r w:rsidRPr="005631E1">
        <w:rPr>
          <w:rFonts w:ascii="Arial" w:hAnsi="Arial" w:cs="Arial"/>
          <w:noProof/>
          <w:sz w:val="24"/>
          <w:szCs w:val="24"/>
        </w:rPr>
        <w:t>. doi:10.1111/apa.13017</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lastRenderedPageBreak/>
        <w:t xml:space="preserve">4 </w:t>
      </w:r>
      <w:r w:rsidRPr="005631E1">
        <w:rPr>
          <w:rFonts w:ascii="Arial" w:hAnsi="Arial" w:cs="Arial"/>
          <w:noProof/>
          <w:sz w:val="24"/>
          <w:szCs w:val="24"/>
        </w:rPr>
        <w:tab/>
        <w:t xml:space="preserve">Ashton JJ, Cullen M, Afzal NA, </w:t>
      </w:r>
      <w:r w:rsidRPr="005631E1">
        <w:rPr>
          <w:rFonts w:ascii="Arial" w:hAnsi="Arial" w:cs="Arial"/>
          <w:i/>
          <w:iCs/>
          <w:noProof/>
          <w:sz w:val="24"/>
          <w:szCs w:val="24"/>
        </w:rPr>
        <w:t>et al.</w:t>
      </w:r>
      <w:r w:rsidRPr="005631E1">
        <w:rPr>
          <w:rFonts w:ascii="Arial" w:hAnsi="Arial" w:cs="Arial"/>
          <w:noProof/>
          <w:sz w:val="24"/>
          <w:szCs w:val="24"/>
        </w:rPr>
        <w:t xml:space="preserve"> Is the incidence of paediatric inflammatory bowel disease still increasing? </w:t>
      </w:r>
      <w:r w:rsidRPr="005631E1">
        <w:rPr>
          <w:rFonts w:ascii="Arial" w:hAnsi="Arial" w:cs="Arial"/>
          <w:i/>
          <w:iCs/>
          <w:noProof/>
          <w:sz w:val="24"/>
          <w:szCs w:val="24"/>
        </w:rPr>
        <w:t>Arch Dis Child</w:t>
      </w:r>
      <w:r w:rsidRPr="005631E1">
        <w:rPr>
          <w:rFonts w:ascii="Arial" w:hAnsi="Arial" w:cs="Arial"/>
          <w:noProof/>
          <w:sz w:val="24"/>
          <w:szCs w:val="24"/>
        </w:rPr>
        <w:t xml:space="preserve"> 2018;:archdischild-2018-315038. doi:10.1136/archdischild-2018-315038</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5 </w:t>
      </w:r>
      <w:r w:rsidRPr="005631E1">
        <w:rPr>
          <w:rFonts w:ascii="Arial" w:hAnsi="Arial" w:cs="Arial"/>
          <w:noProof/>
          <w:sz w:val="24"/>
          <w:szCs w:val="24"/>
        </w:rPr>
        <w:tab/>
        <w:t xml:space="preserve">Decker JW. The effects of inflammatory bowel disease on adolescents. </w:t>
      </w:r>
      <w:r w:rsidRPr="005631E1">
        <w:rPr>
          <w:rFonts w:ascii="Arial" w:hAnsi="Arial" w:cs="Arial"/>
          <w:i/>
          <w:iCs/>
          <w:noProof/>
          <w:sz w:val="24"/>
          <w:szCs w:val="24"/>
        </w:rPr>
        <w:t>Gastroenterol Nurs</w:t>
      </w:r>
      <w:r w:rsidRPr="005631E1">
        <w:rPr>
          <w:rFonts w:ascii="Arial" w:hAnsi="Arial" w:cs="Arial"/>
          <w:noProof/>
          <w:sz w:val="24"/>
          <w:szCs w:val="24"/>
        </w:rPr>
        <w:t xml:space="preserve"> Published Online First: 2000. doi:10.1097/00001610-200003000-00003</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6 </w:t>
      </w:r>
      <w:r w:rsidRPr="005631E1">
        <w:rPr>
          <w:rFonts w:ascii="Arial" w:hAnsi="Arial" w:cs="Arial"/>
          <w:noProof/>
          <w:sz w:val="24"/>
          <w:szCs w:val="24"/>
        </w:rPr>
        <w:tab/>
        <w:t>Mackner LM, Crandall W V., Szigethy EM. Psychosocial functioning in pediatric inflammatory bowel disease. Inflamm. Bowel Dis. 2006. doi:10.1097/01.MIB.0000217769.83142.c6</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7 </w:t>
      </w:r>
      <w:r w:rsidRPr="005631E1">
        <w:rPr>
          <w:rFonts w:ascii="Arial" w:hAnsi="Arial" w:cs="Arial"/>
          <w:noProof/>
          <w:sz w:val="24"/>
          <w:szCs w:val="24"/>
        </w:rPr>
        <w:tab/>
        <w:t xml:space="preserve">Hummel TZ, Tak E, Maurice-Stam H, </w:t>
      </w:r>
      <w:r w:rsidRPr="005631E1">
        <w:rPr>
          <w:rFonts w:ascii="Arial" w:hAnsi="Arial" w:cs="Arial"/>
          <w:i/>
          <w:iCs/>
          <w:noProof/>
          <w:sz w:val="24"/>
          <w:szCs w:val="24"/>
        </w:rPr>
        <w:t>et al.</w:t>
      </w:r>
      <w:r w:rsidRPr="005631E1">
        <w:rPr>
          <w:rFonts w:ascii="Arial" w:hAnsi="Arial" w:cs="Arial"/>
          <w:noProof/>
          <w:sz w:val="24"/>
          <w:szCs w:val="24"/>
        </w:rPr>
        <w:t xml:space="preserve"> Psychosocial developmental trajectory of adolescents with inflammatory bowel disease. </w:t>
      </w:r>
      <w:r w:rsidRPr="005631E1">
        <w:rPr>
          <w:rFonts w:ascii="Arial" w:hAnsi="Arial" w:cs="Arial"/>
          <w:i/>
          <w:iCs/>
          <w:noProof/>
          <w:sz w:val="24"/>
          <w:szCs w:val="24"/>
        </w:rPr>
        <w:t>J Pediatr Gastroenterol Nutr</w:t>
      </w:r>
      <w:r w:rsidRPr="005631E1">
        <w:rPr>
          <w:rFonts w:ascii="Arial" w:hAnsi="Arial" w:cs="Arial"/>
          <w:noProof/>
          <w:sz w:val="24"/>
          <w:szCs w:val="24"/>
        </w:rPr>
        <w:t xml:space="preserve"> 2013.</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8 </w:t>
      </w:r>
      <w:r w:rsidRPr="005631E1">
        <w:rPr>
          <w:rFonts w:ascii="Arial" w:hAnsi="Arial" w:cs="Arial"/>
          <w:noProof/>
          <w:sz w:val="24"/>
          <w:szCs w:val="24"/>
        </w:rPr>
        <w:tab/>
        <w:t xml:space="preserve">Brooks AJ, Rowse G, Ryder A, </w:t>
      </w:r>
      <w:r w:rsidRPr="005631E1">
        <w:rPr>
          <w:rFonts w:ascii="Arial" w:hAnsi="Arial" w:cs="Arial"/>
          <w:i/>
          <w:iCs/>
          <w:noProof/>
          <w:sz w:val="24"/>
          <w:szCs w:val="24"/>
        </w:rPr>
        <w:t>et al.</w:t>
      </w:r>
      <w:r w:rsidRPr="005631E1">
        <w:rPr>
          <w:rFonts w:ascii="Arial" w:hAnsi="Arial" w:cs="Arial"/>
          <w:noProof/>
          <w:sz w:val="24"/>
          <w:szCs w:val="24"/>
        </w:rPr>
        <w:t xml:space="preserve"> Systematic review: Psychological morbidity in young people with inflammatory bowel disease - risk factors and impacts. </w:t>
      </w:r>
      <w:r w:rsidRPr="005631E1">
        <w:rPr>
          <w:rFonts w:ascii="Arial" w:hAnsi="Arial" w:cs="Arial"/>
          <w:i/>
          <w:iCs/>
          <w:noProof/>
          <w:sz w:val="24"/>
          <w:szCs w:val="24"/>
        </w:rPr>
        <w:t>Aliment Pharmacol Ther</w:t>
      </w:r>
      <w:r w:rsidRPr="005631E1">
        <w:rPr>
          <w:rFonts w:ascii="Arial" w:hAnsi="Arial" w:cs="Arial"/>
          <w:noProof/>
          <w:sz w:val="24"/>
          <w:szCs w:val="24"/>
        </w:rPr>
        <w:t xml:space="preserve"> Published Online First: 2016. doi:10.1111/apt.13645</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9 </w:t>
      </w:r>
      <w:r w:rsidRPr="005631E1">
        <w:rPr>
          <w:rFonts w:ascii="Arial" w:hAnsi="Arial" w:cs="Arial"/>
          <w:noProof/>
          <w:sz w:val="24"/>
          <w:szCs w:val="24"/>
        </w:rPr>
        <w:tab/>
        <w:t xml:space="preserve">Werner H, Landolt MA, Buehr P, </w:t>
      </w:r>
      <w:r w:rsidRPr="005631E1">
        <w:rPr>
          <w:rFonts w:ascii="Arial" w:hAnsi="Arial" w:cs="Arial"/>
          <w:i/>
          <w:iCs/>
          <w:noProof/>
          <w:sz w:val="24"/>
          <w:szCs w:val="24"/>
        </w:rPr>
        <w:t>et al.</w:t>
      </w:r>
      <w:r w:rsidRPr="005631E1">
        <w:rPr>
          <w:rFonts w:ascii="Arial" w:hAnsi="Arial" w:cs="Arial"/>
          <w:noProof/>
          <w:sz w:val="24"/>
          <w:szCs w:val="24"/>
        </w:rPr>
        <w:t xml:space="preserve"> Changes in health-related quality of life over a 1-year follow-up period in children with inflammatory bowel disease. Qual. Life Res. 2017.</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10 </w:t>
      </w:r>
      <w:r w:rsidRPr="005631E1">
        <w:rPr>
          <w:rFonts w:ascii="Arial" w:hAnsi="Arial" w:cs="Arial"/>
          <w:noProof/>
          <w:sz w:val="24"/>
          <w:szCs w:val="24"/>
        </w:rPr>
        <w:tab/>
        <w:t xml:space="preserve">Moonie S, Sterling DA, Figgs LW, </w:t>
      </w:r>
      <w:r w:rsidRPr="005631E1">
        <w:rPr>
          <w:rFonts w:ascii="Arial" w:hAnsi="Arial" w:cs="Arial"/>
          <w:i/>
          <w:iCs/>
          <w:noProof/>
          <w:sz w:val="24"/>
          <w:szCs w:val="24"/>
        </w:rPr>
        <w:t>et al.</w:t>
      </w:r>
      <w:r w:rsidRPr="005631E1">
        <w:rPr>
          <w:rFonts w:ascii="Arial" w:hAnsi="Arial" w:cs="Arial"/>
          <w:noProof/>
          <w:sz w:val="24"/>
          <w:szCs w:val="24"/>
        </w:rPr>
        <w:t xml:space="preserve"> The relationship between school absence, academic performance, and asthma status. </w:t>
      </w:r>
      <w:r w:rsidRPr="005631E1">
        <w:rPr>
          <w:rFonts w:ascii="Arial" w:hAnsi="Arial" w:cs="Arial"/>
          <w:i/>
          <w:iCs/>
          <w:noProof/>
          <w:sz w:val="24"/>
          <w:szCs w:val="24"/>
        </w:rPr>
        <w:t>J Sch Health</w:t>
      </w:r>
      <w:r w:rsidRPr="005631E1">
        <w:rPr>
          <w:rFonts w:ascii="Arial" w:hAnsi="Arial" w:cs="Arial"/>
          <w:noProof/>
          <w:sz w:val="24"/>
          <w:szCs w:val="24"/>
        </w:rPr>
        <w:t xml:space="preserve"> Published Online First: 2008. doi:10.1111/j.1746-1561.2007.00276.x</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11 </w:t>
      </w:r>
      <w:r w:rsidRPr="005631E1">
        <w:rPr>
          <w:rFonts w:ascii="Arial" w:hAnsi="Arial" w:cs="Arial"/>
          <w:noProof/>
          <w:sz w:val="24"/>
          <w:szCs w:val="24"/>
        </w:rPr>
        <w:tab/>
        <w:t xml:space="preserve">Commons C. The Longitudinal Study of Australian Children Australian Institute of Family Studies. 2013. </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12 </w:t>
      </w:r>
      <w:r w:rsidRPr="005631E1">
        <w:rPr>
          <w:rFonts w:ascii="Arial" w:hAnsi="Arial" w:cs="Arial"/>
          <w:noProof/>
          <w:sz w:val="24"/>
          <w:szCs w:val="24"/>
        </w:rPr>
        <w:tab/>
        <w:t xml:space="preserve">Tollit MA, Sawyer SM, Ratnapalan S, </w:t>
      </w:r>
      <w:r w:rsidRPr="005631E1">
        <w:rPr>
          <w:rFonts w:ascii="Arial" w:hAnsi="Arial" w:cs="Arial"/>
          <w:i/>
          <w:iCs/>
          <w:noProof/>
          <w:sz w:val="24"/>
          <w:szCs w:val="24"/>
        </w:rPr>
        <w:t>et al.</w:t>
      </w:r>
      <w:r w:rsidRPr="005631E1">
        <w:rPr>
          <w:rFonts w:ascii="Arial" w:hAnsi="Arial" w:cs="Arial"/>
          <w:noProof/>
          <w:sz w:val="24"/>
          <w:szCs w:val="24"/>
        </w:rPr>
        <w:t xml:space="preserve"> Education support services for improving school engagement and academic performance of children and adolescents with a chronic health condition. </w:t>
      </w:r>
      <w:r w:rsidRPr="005631E1">
        <w:rPr>
          <w:rFonts w:ascii="Arial" w:hAnsi="Arial" w:cs="Arial"/>
          <w:i/>
          <w:iCs/>
          <w:noProof/>
          <w:sz w:val="24"/>
          <w:szCs w:val="24"/>
        </w:rPr>
        <w:t>Cochrane Database Syst Rev</w:t>
      </w:r>
      <w:r w:rsidRPr="005631E1">
        <w:rPr>
          <w:rFonts w:ascii="Arial" w:hAnsi="Arial" w:cs="Arial"/>
          <w:noProof/>
          <w:sz w:val="24"/>
          <w:szCs w:val="24"/>
        </w:rPr>
        <w:t xml:space="preserve"> Published Online First: 2015. doi:10.1002/14651858.CD011538</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13 </w:t>
      </w:r>
      <w:r w:rsidRPr="005631E1">
        <w:rPr>
          <w:rFonts w:ascii="Arial" w:hAnsi="Arial" w:cs="Arial"/>
          <w:noProof/>
          <w:sz w:val="24"/>
          <w:szCs w:val="24"/>
        </w:rPr>
        <w:tab/>
        <w:t xml:space="preserve">Emerson ND, Distelberg B, Morrell HER, </w:t>
      </w:r>
      <w:r w:rsidRPr="005631E1">
        <w:rPr>
          <w:rFonts w:ascii="Arial" w:hAnsi="Arial" w:cs="Arial"/>
          <w:i/>
          <w:iCs/>
          <w:noProof/>
          <w:sz w:val="24"/>
          <w:szCs w:val="24"/>
        </w:rPr>
        <w:t>et al.</w:t>
      </w:r>
      <w:r w:rsidRPr="005631E1">
        <w:rPr>
          <w:rFonts w:ascii="Arial" w:hAnsi="Arial" w:cs="Arial"/>
          <w:noProof/>
          <w:sz w:val="24"/>
          <w:szCs w:val="24"/>
        </w:rPr>
        <w:t xml:space="preserve"> Quality of Life and School Absenteeism in Children With Chronic Illness. </w:t>
      </w:r>
      <w:r w:rsidRPr="005631E1">
        <w:rPr>
          <w:rFonts w:ascii="Arial" w:hAnsi="Arial" w:cs="Arial"/>
          <w:i/>
          <w:iCs/>
          <w:noProof/>
          <w:sz w:val="24"/>
          <w:szCs w:val="24"/>
        </w:rPr>
        <w:t>J Sch Nurs</w:t>
      </w:r>
      <w:r w:rsidRPr="005631E1">
        <w:rPr>
          <w:rFonts w:ascii="Arial" w:hAnsi="Arial" w:cs="Arial"/>
          <w:noProof/>
          <w:sz w:val="24"/>
          <w:szCs w:val="24"/>
        </w:rPr>
        <w:t xml:space="preserve"> Published Online </w:t>
      </w:r>
      <w:r w:rsidRPr="005631E1">
        <w:rPr>
          <w:rFonts w:ascii="Arial" w:hAnsi="Arial" w:cs="Arial"/>
          <w:noProof/>
          <w:sz w:val="24"/>
          <w:szCs w:val="24"/>
        </w:rPr>
        <w:lastRenderedPageBreak/>
        <w:t>First: 2016. doi:10.1177/1059840515615401</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14 </w:t>
      </w:r>
      <w:r w:rsidRPr="005631E1">
        <w:rPr>
          <w:rFonts w:ascii="Arial" w:hAnsi="Arial" w:cs="Arial"/>
          <w:noProof/>
          <w:sz w:val="24"/>
          <w:szCs w:val="24"/>
        </w:rPr>
        <w:tab/>
        <w:t xml:space="preserve">Lum A, Wakefield CE, Donnan B, </w:t>
      </w:r>
      <w:r w:rsidRPr="005631E1">
        <w:rPr>
          <w:rFonts w:ascii="Arial" w:hAnsi="Arial" w:cs="Arial"/>
          <w:i/>
          <w:iCs/>
          <w:noProof/>
          <w:sz w:val="24"/>
          <w:szCs w:val="24"/>
        </w:rPr>
        <w:t>et al.</w:t>
      </w:r>
      <w:r w:rsidRPr="005631E1">
        <w:rPr>
          <w:rFonts w:ascii="Arial" w:hAnsi="Arial" w:cs="Arial"/>
          <w:noProof/>
          <w:sz w:val="24"/>
          <w:szCs w:val="24"/>
        </w:rPr>
        <w:t xml:space="preserve"> Understanding the school experiences of children and adolescents with serious chronic illness: a systematic meta-review. Child. Care. Health Dev. 2017. doi:10.1111/cch.12475</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15 </w:t>
      </w:r>
      <w:r w:rsidRPr="005631E1">
        <w:rPr>
          <w:rFonts w:ascii="Arial" w:hAnsi="Arial" w:cs="Arial"/>
          <w:noProof/>
          <w:sz w:val="24"/>
          <w:szCs w:val="24"/>
        </w:rPr>
        <w:tab/>
        <w:t xml:space="preserve">Calsbeek H, Rijken M, Bekkers MJTM, </w:t>
      </w:r>
      <w:r w:rsidRPr="005631E1">
        <w:rPr>
          <w:rFonts w:ascii="Arial" w:hAnsi="Arial" w:cs="Arial"/>
          <w:i/>
          <w:iCs/>
          <w:noProof/>
          <w:sz w:val="24"/>
          <w:szCs w:val="24"/>
        </w:rPr>
        <w:t>et al.</w:t>
      </w:r>
      <w:r w:rsidRPr="005631E1">
        <w:rPr>
          <w:rFonts w:ascii="Arial" w:hAnsi="Arial" w:cs="Arial"/>
          <w:noProof/>
          <w:sz w:val="24"/>
          <w:szCs w:val="24"/>
        </w:rPr>
        <w:t xml:space="preserve"> Social position of adolescents with chronic digestive disorders. </w:t>
      </w:r>
      <w:r w:rsidRPr="005631E1">
        <w:rPr>
          <w:rFonts w:ascii="Arial" w:hAnsi="Arial" w:cs="Arial"/>
          <w:i/>
          <w:iCs/>
          <w:noProof/>
          <w:sz w:val="24"/>
          <w:szCs w:val="24"/>
        </w:rPr>
        <w:t>Eur J Gastroenterol Hepatol</w:t>
      </w:r>
      <w:r w:rsidRPr="005631E1">
        <w:rPr>
          <w:rFonts w:ascii="Arial" w:hAnsi="Arial" w:cs="Arial"/>
          <w:noProof/>
          <w:sz w:val="24"/>
          <w:szCs w:val="24"/>
        </w:rPr>
        <w:t xml:space="preserve"> Published Online First: 2002. doi:10.1097/00042737-200205000-00012</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16 </w:t>
      </w:r>
      <w:r w:rsidRPr="005631E1">
        <w:rPr>
          <w:rFonts w:ascii="Arial" w:hAnsi="Arial" w:cs="Arial"/>
          <w:noProof/>
          <w:sz w:val="24"/>
          <w:szCs w:val="24"/>
        </w:rPr>
        <w:tab/>
        <w:t xml:space="preserve">Otley AR, Griffiths AM, Hale S, </w:t>
      </w:r>
      <w:r w:rsidRPr="005631E1">
        <w:rPr>
          <w:rFonts w:ascii="Arial" w:hAnsi="Arial" w:cs="Arial"/>
          <w:i/>
          <w:iCs/>
          <w:noProof/>
          <w:sz w:val="24"/>
          <w:szCs w:val="24"/>
        </w:rPr>
        <w:t>et al.</w:t>
      </w:r>
      <w:r w:rsidRPr="005631E1">
        <w:rPr>
          <w:rFonts w:ascii="Arial" w:hAnsi="Arial" w:cs="Arial"/>
          <w:noProof/>
          <w:sz w:val="24"/>
          <w:szCs w:val="24"/>
        </w:rPr>
        <w:t xml:space="preserve"> Health-related quality of life in the first year after a diagnosis of pediatric inflammatory bowel disease. </w:t>
      </w:r>
      <w:r w:rsidRPr="005631E1">
        <w:rPr>
          <w:rFonts w:ascii="Arial" w:hAnsi="Arial" w:cs="Arial"/>
          <w:i/>
          <w:iCs/>
          <w:noProof/>
          <w:sz w:val="24"/>
          <w:szCs w:val="24"/>
        </w:rPr>
        <w:t>Inflamm Bowel Dis</w:t>
      </w:r>
      <w:r w:rsidRPr="005631E1">
        <w:rPr>
          <w:rFonts w:ascii="Arial" w:hAnsi="Arial" w:cs="Arial"/>
          <w:noProof/>
          <w:sz w:val="24"/>
          <w:szCs w:val="24"/>
        </w:rPr>
        <w:t xml:space="preserve"> 2006.</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17 </w:t>
      </w:r>
      <w:r w:rsidRPr="005631E1">
        <w:rPr>
          <w:rFonts w:ascii="Arial" w:hAnsi="Arial" w:cs="Arial"/>
          <w:noProof/>
          <w:sz w:val="24"/>
          <w:szCs w:val="24"/>
        </w:rPr>
        <w:tab/>
        <w:t xml:space="preserve">Varni JW, Bendo CB, Nurko S, </w:t>
      </w:r>
      <w:r w:rsidRPr="005631E1">
        <w:rPr>
          <w:rFonts w:ascii="Arial" w:hAnsi="Arial" w:cs="Arial"/>
          <w:i/>
          <w:iCs/>
          <w:noProof/>
          <w:sz w:val="24"/>
          <w:szCs w:val="24"/>
        </w:rPr>
        <w:t>et al.</w:t>
      </w:r>
      <w:r w:rsidRPr="005631E1">
        <w:rPr>
          <w:rFonts w:ascii="Arial" w:hAnsi="Arial" w:cs="Arial"/>
          <w:noProof/>
          <w:sz w:val="24"/>
          <w:szCs w:val="24"/>
        </w:rPr>
        <w:t xml:space="preserve"> Health-related quality of life in pediatric patients with functional and organic gastrointestinal diseases. J. Pediatr. 2015.</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18 </w:t>
      </w:r>
      <w:r w:rsidRPr="005631E1">
        <w:rPr>
          <w:rFonts w:ascii="Arial" w:hAnsi="Arial" w:cs="Arial"/>
          <w:noProof/>
          <w:sz w:val="24"/>
          <w:szCs w:val="24"/>
        </w:rPr>
        <w:tab/>
        <w:t xml:space="preserve">Ganz ML, Sugarman R, Wang R, </w:t>
      </w:r>
      <w:r w:rsidRPr="005631E1">
        <w:rPr>
          <w:rFonts w:ascii="Arial" w:hAnsi="Arial" w:cs="Arial"/>
          <w:i/>
          <w:iCs/>
          <w:noProof/>
          <w:sz w:val="24"/>
          <w:szCs w:val="24"/>
        </w:rPr>
        <w:t>et al.</w:t>
      </w:r>
      <w:r w:rsidRPr="005631E1">
        <w:rPr>
          <w:rFonts w:ascii="Arial" w:hAnsi="Arial" w:cs="Arial"/>
          <w:noProof/>
          <w:sz w:val="24"/>
          <w:szCs w:val="24"/>
        </w:rPr>
        <w:t xml:space="preserve"> The economic and health-related impact of Crohn’s disease in the United States: Evidence from a nationally representative survey. Inflamm. Bowel Dis. 2016. doi:10.1097/MIB.0000000000000742</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19 </w:t>
      </w:r>
      <w:r w:rsidRPr="005631E1">
        <w:rPr>
          <w:rFonts w:ascii="Arial" w:hAnsi="Arial" w:cs="Arial"/>
          <w:noProof/>
          <w:sz w:val="24"/>
          <w:szCs w:val="24"/>
        </w:rPr>
        <w:tab/>
        <w:t xml:space="preserve">Diederen K, Haverman L, Grootenhuis MA, </w:t>
      </w:r>
      <w:r w:rsidRPr="005631E1">
        <w:rPr>
          <w:rFonts w:ascii="Arial" w:hAnsi="Arial" w:cs="Arial"/>
          <w:i/>
          <w:iCs/>
          <w:noProof/>
          <w:sz w:val="24"/>
          <w:szCs w:val="24"/>
        </w:rPr>
        <w:t>et al.</w:t>
      </w:r>
      <w:r w:rsidRPr="005631E1">
        <w:rPr>
          <w:rFonts w:ascii="Arial" w:hAnsi="Arial" w:cs="Arial"/>
          <w:noProof/>
          <w:sz w:val="24"/>
          <w:szCs w:val="24"/>
        </w:rPr>
        <w:t xml:space="preserve"> Parental Distress and Quality of Life in Pediatric Inflammatory Bowel Disease: Implications for the Outpatient Clinic. </w:t>
      </w:r>
      <w:r w:rsidRPr="005631E1">
        <w:rPr>
          <w:rFonts w:ascii="Arial" w:hAnsi="Arial" w:cs="Arial"/>
          <w:i/>
          <w:iCs/>
          <w:noProof/>
          <w:sz w:val="24"/>
          <w:szCs w:val="24"/>
        </w:rPr>
        <w:t>J Pediatr Gastroenterol Nutr</w:t>
      </w:r>
      <w:r w:rsidRPr="005631E1">
        <w:rPr>
          <w:rFonts w:ascii="Arial" w:hAnsi="Arial" w:cs="Arial"/>
          <w:noProof/>
          <w:sz w:val="24"/>
          <w:szCs w:val="24"/>
        </w:rPr>
        <w:t xml:space="preserve"> Published Online First: 2018. doi:10.1097/MPG.0000000000001756</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20 </w:t>
      </w:r>
      <w:r w:rsidRPr="005631E1">
        <w:rPr>
          <w:rFonts w:ascii="Arial" w:hAnsi="Arial" w:cs="Arial"/>
          <w:noProof/>
          <w:sz w:val="24"/>
          <w:szCs w:val="24"/>
        </w:rPr>
        <w:tab/>
        <w:t xml:space="preserve">Nicholas DB, Otley A, Smith C, </w:t>
      </w:r>
      <w:r w:rsidRPr="005631E1">
        <w:rPr>
          <w:rFonts w:ascii="Arial" w:hAnsi="Arial" w:cs="Arial"/>
          <w:i/>
          <w:iCs/>
          <w:noProof/>
          <w:sz w:val="24"/>
          <w:szCs w:val="24"/>
        </w:rPr>
        <w:t>et al.</w:t>
      </w:r>
      <w:r w:rsidRPr="005631E1">
        <w:rPr>
          <w:rFonts w:ascii="Arial" w:hAnsi="Arial" w:cs="Arial"/>
          <w:noProof/>
          <w:sz w:val="24"/>
          <w:szCs w:val="24"/>
        </w:rPr>
        <w:t xml:space="preserve"> Challenges and strategies of children and adolescents with inflammatory bowel disease: A qualitative examination. </w:t>
      </w:r>
      <w:r w:rsidRPr="005631E1">
        <w:rPr>
          <w:rFonts w:ascii="Arial" w:hAnsi="Arial" w:cs="Arial"/>
          <w:i/>
          <w:iCs/>
          <w:noProof/>
          <w:sz w:val="24"/>
          <w:szCs w:val="24"/>
        </w:rPr>
        <w:t>Health Qual Life Outcomes</w:t>
      </w:r>
      <w:r w:rsidRPr="005631E1">
        <w:rPr>
          <w:rFonts w:ascii="Arial" w:hAnsi="Arial" w:cs="Arial"/>
          <w:noProof/>
          <w:sz w:val="24"/>
          <w:szCs w:val="24"/>
        </w:rPr>
        <w:t xml:space="preserve"> Published Online First: 2007. doi:10.1186/1477-7525-5-28</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21 </w:t>
      </w:r>
      <w:r w:rsidRPr="005631E1">
        <w:rPr>
          <w:rFonts w:ascii="Arial" w:hAnsi="Arial" w:cs="Arial"/>
          <w:noProof/>
          <w:sz w:val="24"/>
          <w:szCs w:val="24"/>
        </w:rPr>
        <w:tab/>
        <w:t xml:space="preserve">Rogler D, Fournier N, Pittet V, </w:t>
      </w:r>
      <w:r w:rsidRPr="005631E1">
        <w:rPr>
          <w:rFonts w:ascii="Arial" w:hAnsi="Arial" w:cs="Arial"/>
          <w:i/>
          <w:iCs/>
          <w:noProof/>
          <w:sz w:val="24"/>
          <w:szCs w:val="24"/>
        </w:rPr>
        <w:t>et al.</w:t>
      </w:r>
      <w:r w:rsidRPr="005631E1">
        <w:rPr>
          <w:rFonts w:ascii="Arial" w:hAnsi="Arial" w:cs="Arial"/>
          <w:noProof/>
          <w:sz w:val="24"/>
          <w:szCs w:val="24"/>
        </w:rPr>
        <w:t xml:space="preserve"> Coping is excellent in Swiss Children with inflammatory bowel disease: Results from the Swiss IBD cohort study. </w:t>
      </w:r>
      <w:r w:rsidRPr="005631E1">
        <w:rPr>
          <w:rFonts w:ascii="Arial" w:hAnsi="Arial" w:cs="Arial"/>
          <w:i/>
          <w:iCs/>
          <w:noProof/>
          <w:sz w:val="24"/>
          <w:szCs w:val="24"/>
        </w:rPr>
        <w:t>J Crohn’s Colitis</w:t>
      </w:r>
      <w:r w:rsidRPr="005631E1">
        <w:rPr>
          <w:rFonts w:ascii="Arial" w:hAnsi="Arial" w:cs="Arial"/>
          <w:noProof/>
          <w:sz w:val="24"/>
          <w:szCs w:val="24"/>
        </w:rPr>
        <w:t xml:space="preserve"> Published Online First: 2014. doi:10.1016/j.crohns.2013.10.004</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22 </w:t>
      </w:r>
      <w:r w:rsidRPr="005631E1">
        <w:rPr>
          <w:rFonts w:ascii="Arial" w:hAnsi="Arial" w:cs="Arial"/>
          <w:noProof/>
          <w:sz w:val="24"/>
          <w:szCs w:val="24"/>
        </w:rPr>
        <w:tab/>
        <w:t xml:space="preserve">Mayberry MK, Probert C, Srivastava E, </w:t>
      </w:r>
      <w:r w:rsidRPr="005631E1">
        <w:rPr>
          <w:rFonts w:ascii="Arial" w:hAnsi="Arial" w:cs="Arial"/>
          <w:i/>
          <w:iCs/>
          <w:noProof/>
          <w:sz w:val="24"/>
          <w:szCs w:val="24"/>
        </w:rPr>
        <w:t>et al.</w:t>
      </w:r>
      <w:r w:rsidRPr="005631E1">
        <w:rPr>
          <w:rFonts w:ascii="Arial" w:hAnsi="Arial" w:cs="Arial"/>
          <w:noProof/>
          <w:sz w:val="24"/>
          <w:szCs w:val="24"/>
        </w:rPr>
        <w:t xml:space="preserve"> Perceived discrimination in education and employment by people with Crohn’s disease: A case control study of educational achievement and employment. </w:t>
      </w:r>
      <w:r w:rsidRPr="005631E1">
        <w:rPr>
          <w:rFonts w:ascii="Arial" w:hAnsi="Arial" w:cs="Arial"/>
          <w:i/>
          <w:iCs/>
          <w:noProof/>
          <w:sz w:val="24"/>
          <w:szCs w:val="24"/>
        </w:rPr>
        <w:t>Gut</w:t>
      </w:r>
      <w:r w:rsidRPr="005631E1">
        <w:rPr>
          <w:rFonts w:ascii="Arial" w:hAnsi="Arial" w:cs="Arial"/>
          <w:noProof/>
          <w:sz w:val="24"/>
          <w:szCs w:val="24"/>
        </w:rPr>
        <w:t xml:space="preserve"> 1992;</w:t>
      </w:r>
      <w:r w:rsidRPr="005631E1">
        <w:rPr>
          <w:rFonts w:ascii="Arial" w:hAnsi="Arial" w:cs="Arial"/>
          <w:b/>
          <w:bCs/>
          <w:noProof/>
          <w:sz w:val="24"/>
          <w:szCs w:val="24"/>
        </w:rPr>
        <w:t>33</w:t>
      </w:r>
      <w:r w:rsidRPr="005631E1">
        <w:rPr>
          <w:rFonts w:ascii="Arial" w:hAnsi="Arial" w:cs="Arial"/>
          <w:noProof/>
          <w:sz w:val="24"/>
          <w:szCs w:val="24"/>
        </w:rPr>
        <w:t xml:space="preserve">:312–4. </w:t>
      </w:r>
      <w:r w:rsidRPr="005631E1">
        <w:rPr>
          <w:rFonts w:ascii="Arial" w:hAnsi="Arial" w:cs="Arial"/>
          <w:noProof/>
          <w:sz w:val="24"/>
          <w:szCs w:val="24"/>
        </w:rPr>
        <w:lastRenderedPageBreak/>
        <w:t>doi:10.1136/gut.33.3.312</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23 </w:t>
      </w:r>
      <w:r w:rsidRPr="005631E1">
        <w:rPr>
          <w:rFonts w:ascii="Arial" w:hAnsi="Arial" w:cs="Arial"/>
          <w:noProof/>
          <w:sz w:val="24"/>
          <w:szCs w:val="24"/>
        </w:rPr>
        <w:tab/>
        <w:t xml:space="preserve">Crump C, Rivera D, London R, </w:t>
      </w:r>
      <w:r w:rsidRPr="005631E1">
        <w:rPr>
          <w:rFonts w:ascii="Arial" w:hAnsi="Arial" w:cs="Arial"/>
          <w:i/>
          <w:iCs/>
          <w:noProof/>
          <w:sz w:val="24"/>
          <w:szCs w:val="24"/>
        </w:rPr>
        <w:t>et al.</w:t>
      </w:r>
      <w:r w:rsidRPr="005631E1">
        <w:rPr>
          <w:rFonts w:ascii="Arial" w:hAnsi="Arial" w:cs="Arial"/>
          <w:noProof/>
          <w:sz w:val="24"/>
          <w:szCs w:val="24"/>
        </w:rPr>
        <w:t xml:space="preserve"> Chronic health conditions and school performance among children and youth. </w:t>
      </w:r>
      <w:r w:rsidRPr="005631E1">
        <w:rPr>
          <w:rFonts w:ascii="Arial" w:hAnsi="Arial" w:cs="Arial"/>
          <w:i/>
          <w:iCs/>
          <w:noProof/>
          <w:sz w:val="24"/>
          <w:szCs w:val="24"/>
        </w:rPr>
        <w:t>Ann Epidemiol</w:t>
      </w:r>
      <w:r w:rsidRPr="005631E1">
        <w:rPr>
          <w:rFonts w:ascii="Arial" w:hAnsi="Arial" w:cs="Arial"/>
          <w:noProof/>
          <w:sz w:val="24"/>
          <w:szCs w:val="24"/>
        </w:rPr>
        <w:t xml:space="preserve"> Published Online First: 2013. doi:10.1016/j.annepidem.2013.01.001</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24 </w:t>
      </w:r>
      <w:r w:rsidRPr="005631E1">
        <w:rPr>
          <w:rFonts w:ascii="Arial" w:hAnsi="Arial" w:cs="Arial"/>
          <w:noProof/>
          <w:sz w:val="24"/>
          <w:szCs w:val="24"/>
        </w:rPr>
        <w:tab/>
        <w:t>Pinquart M, Teubert D. Academic, physical, and social functioning of children and adolescents with chronic physical illness: A meta-analysis. J. Pediatr. Psychol. 2012. doi:10.1093/jpepsy/jsr106</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25 </w:t>
      </w:r>
      <w:r w:rsidRPr="005631E1">
        <w:rPr>
          <w:rFonts w:ascii="Arial" w:hAnsi="Arial" w:cs="Arial"/>
          <w:noProof/>
          <w:sz w:val="24"/>
          <w:szCs w:val="24"/>
        </w:rPr>
        <w:tab/>
        <w:t xml:space="preserve">MacKner LM, Bickmeier RM, Crandall W V. Academic achievement, attendance, and school-related quality of life in pediatric inflammatory bowel disease. </w:t>
      </w:r>
      <w:r w:rsidRPr="005631E1">
        <w:rPr>
          <w:rFonts w:ascii="Arial" w:hAnsi="Arial" w:cs="Arial"/>
          <w:i/>
          <w:iCs/>
          <w:noProof/>
          <w:sz w:val="24"/>
          <w:szCs w:val="24"/>
        </w:rPr>
        <w:t>J Dev Behav Pediatr</w:t>
      </w:r>
      <w:r w:rsidRPr="005631E1">
        <w:rPr>
          <w:rFonts w:ascii="Arial" w:hAnsi="Arial" w:cs="Arial"/>
          <w:noProof/>
          <w:sz w:val="24"/>
          <w:szCs w:val="24"/>
        </w:rPr>
        <w:t xml:space="preserve"> Published Online First: 2012. doi:10.1097/DBP.0b013e318240cf68</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26 </w:t>
      </w:r>
      <w:r w:rsidRPr="005631E1">
        <w:rPr>
          <w:rFonts w:ascii="Arial" w:hAnsi="Arial" w:cs="Arial"/>
          <w:noProof/>
          <w:sz w:val="24"/>
          <w:szCs w:val="24"/>
        </w:rPr>
        <w:tab/>
        <w:t xml:space="preserve">Assa A, Ish-Tov A, Rinawi F, </w:t>
      </w:r>
      <w:r w:rsidRPr="005631E1">
        <w:rPr>
          <w:rFonts w:ascii="Arial" w:hAnsi="Arial" w:cs="Arial"/>
          <w:i/>
          <w:iCs/>
          <w:noProof/>
          <w:sz w:val="24"/>
          <w:szCs w:val="24"/>
        </w:rPr>
        <w:t>et al.</w:t>
      </w:r>
      <w:r w:rsidRPr="005631E1">
        <w:rPr>
          <w:rFonts w:ascii="Arial" w:hAnsi="Arial" w:cs="Arial"/>
          <w:noProof/>
          <w:sz w:val="24"/>
          <w:szCs w:val="24"/>
        </w:rPr>
        <w:t xml:space="preserve"> School attendance in children with functional abdominal pain and inflammatory bowel diseases. </w:t>
      </w:r>
      <w:r w:rsidRPr="005631E1">
        <w:rPr>
          <w:rFonts w:ascii="Arial" w:hAnsi="Arial" w:cs="Arial"/>
          <w:i/>
          <w:iCs/>
          <w:noProof/>
          <w:sz w:val="24"/>
          <w:szCs w:val="24"/>
        </w:rPr>
        <w:t>J Pediatr Gastroenterol Nutr</w:t>
      </w:r>
      <w:r w:rsidRPr="005631E1">
        <w:rPr>
          <w:rFonts w:ascii="Arial" w:hAnsi="Arial" w:cs="Arial"/>
          <w:noProof/>
          <w:sz w:val="24"/>
          <w:szCs w:val="24"/>
        </w:rPr>
        <w:t xml:space="preserve"> Published Online First: 2015. doi:10.1097/MPG.0000000000000850</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27 </w:t>
      </w:r>
      <w:r w:rsidRPr="005631E1">
        <w:rPr>
          <w:rFonts w:ascii="Arial" w:hAnsi="Arial" w:cs="Arial"/>
          <w:noProof/>
          <w:sz w:val="24"/>
          <w:szCs w:val="24"/>
        </w:rPr>
        <w:tab/>
        <w:t xml:space="preserve">Eloi C, Foulon G, Bridoux-Henno L, </w:t>
      </w:r>
      <w:r w:rsidRPr="005631E1">
        <w:rPr>
          <w:rFonts w:ascii="Arial" w:hAnsi="Arial" w:cs="Arial"/>
          <w:i/>
          <w:iCs/>
          <w:noProof/>
          <w:sz w:val="24"/>
          <w:szCs w:val="24"/>
        </w:rPr>
        <w:t>et al.</w:t>
      </w:r>
      <w:r w:rsidRPr="005631E1">
        <w:rPr>
          <w:rFonts w:ascii="Arial" w:hAnsi="Arial" w:cs="Arial"/>
          <w:noProof/>
          <w:sz w:val="24"/>
          <w:szCs w:val="24"/>
        </w:rPr>
        <w:t xml:space="preserve"> Inflammatory Bowel Diseases and School Absenteeism. </w:t>
      </w:r>
      <w:r w:rsidRPr="005631E1">
        <w:rPr>
          <w:rFonts w:ascii="Arial" w:hAnsi="Arial" w:cs="Arial"/>
          <w:i/>
          <w:iCs/>
          <w:noProof/>
          <w:sz w:val="24"/>
          <w:szCs w:val="24"/>
        </w:rPr>
        <w:t>J Pediatr Gastroenterol Nutr</w:t>
      </w:r>
      <w:r w:rsidRPr="005631E1">
        <w:rPr>
          <w:rFonts w:ascii="Arial" w:hAnsi="Arial" w:cs="Arial"/>
          <w:noProof/>
          <w:sz w:val="24"/>
          <w:szCs w:val="24"/>
        </w:rPr>
        <w:t xml:space="preserve"> Published Online First: 2019. doi:10.1097/MPG.0000000000002207</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28 </w:t>
      </w:r>
      <w:r w:rsidRPr="005631E1">
        <w:rPr>
          <w:rFonts w:ascii="Arial" w:hAnsi="Arial" w:cs="Arial"/>
          <w:noProof/>
          <w:sz w:val="24"/>
          <w:szCs w:val="24"/>
        </w:rPr>
        <w:tab/>
        <w:t xml:space="preserve">Singh H, Nugent Z, Brownell M, </w:t>
      </w:r>
      <w:r w:rsidRPr="005631E1">
        <w:rPr>
          <w:rFonts w:ascii="Arial" w:hAnsi="Arial" w:cs="Arial"/>
          <w:i/>
          <w:iCs/>
          <w:noProof/>
          <w:sz w:val="24"/>
          <w:szCs w:val="24"/>
        </w:rPr>
        <w:t>et al.</w:t>
      </w:r>
      <w:r w:rsidRPr="005631E1">
        <w:rPr>
          <w:rFonts w:ascii="Arial" w:hAnsi="Arial" w:cs="Arial"/>
          <w:noProof/>
          <w:sz w:val="24"/>
          <w:szCs w:val="24"/>
        </w:rPr>
        <w:t xml:space="preserve"> Academic performance among children with inflammatory bowel disease: A population-based study. </w:t>
      </w:r>
      <w:r w:rsidRPr="005631E1">
        <w:rPr>
          <w:rFonts w:ascii="Arial" w:hAnsi="Arial" w:cs="Arial"/>
          <w:i/>
          <w:iCs/>
          <w:noProof/>
          <w:sz w:val="24"/>
          <w:szCs w:val="24"/>
        </w:rPr>
        <w:t>J Pediatr</w:t>
      </w:r>
      <w:r w:rsidRPr="005631E1">
        <w:rPr>
          <w:rFonts w:ascii="Arial" w:hAnsi="Arial" w:cs="Arial"/>
          <w:noProof/>
          <w:sz w:val="24"/>
          <w:szCs w:val="24"/>
        </w:rPr>
        <w:t xml:space="preserve"> 2015.</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29 </w:t>
      </w:r>
      <w:r w:rsidRPr="005631E1">
        <w:rPr>
          <w:rFonts w:ascii="Arial" w:hAnsi="Arial" w:cs="Arial"/>
          <w:noProof/>
          <w:sz w:val="24"/>
          <w:szCs w:val="24"/>
        </w:rPr>
        <w:tab/>
        <w:t xml:space="preserve">Almadani SB, Adler J, Browning J, </w:t>
      </w:r>
      <w:r w:rsidRPr="005631E1">
        <w:rPr>
          <w:rFonts w:ascii="Arial" w:hAnsi="Arial" w:cs="Arial"/>
          <w:i/>
          <w:iCs/>
          <w:noProof/>
          <w:sz w:val="24"/>
          <w:szCs w:val="24"/>
        </w:rPr>
        <w:t>et al.</w:t>
      </w:r>
      <w:r w:rsidRPr="005631E1">
        <w:rPr>
          <w:rFonts w:ascii="Arial" w:hAnsi="Arial" w:cs="Arial"/>
          <w:noProof/>
          <w:sz w:val="24"/>
          <w:szCs w:val="24"/>
        </w:rPr>
        <w:t xml:space="preserve"> Effects of Inflammatory Bowel Disease on Students’ Adjustment to College. </w:t>
      </w:r>
      <w:r w:rsidRPr="005631E1">
        <w:rPr>
          <w:rFonts w:ascii="Arial" w:hAnsi="Arial" w:cs="Arial"/>
          <w:i/>
          <w:iCs/>
          <w:noProof/>
          <w:sz w:val="24"/>
          <w:szCs w:val="24"/>
        </w:rPr>
        <w:t>Clin Gastroenterol Hepatol</w:t>
      </w:r>
      <w:r w:rsidRPr="005631E1">
        <w:rPr>
          <w:rFonts w:ascii="Arial" w:hAnsi="Arial" w:cs="Arial"/>
          <w:noProof/>
          <w:sz w:val="24"/>
          <w:szCs w:val="24"/>
        </w:rPr>
        <w:t xml:space="preserve"> Published Online First: 2014. doi:10.1016/j.cgh.2014.03.032</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30 </w:t>
      </w:r>
      <w:r w:rsidRPr="005631E1">
        <w:rPr>
          <w:rFonts w:ascii="Arial" w:hAnsi="Arial" w:cs="Arial"/>
          <w:noProof/>
          <w:sz w:val="24"/>
          <w:szCs w:val="24"/>
        </w:rPr>
        <w:tab/>
        <w:t xml:space="preserve">Carreon SA, Bugno LT, Wojtowicz AA, </w:t>
      </w:r>
      <w:r w:rsidRPr="005631E1">
        <w:rPr>
          <w:rFonts w:ascii="Arial" w:hAnsi="Arial" w:cs="Arial"/>
          <w:i/>
          <w:iCs/>
          <w:noProof/>
          <w:sz w:val="24"/>
          <w:szCs w:val="24"/>
        </w:rPr>
        <w:t>et al.</w:t>
      </w:r>
      <w:r w:rsidRPr="005631E1">
        <w:rPr>
          <w:rFonts w:ascii="Arial" w:hAnsi="Arial" w:cs="Arial"/>
          <w:noProof/>
          <w:sz w:val="24"/>
          <w:szCs w:val="24"/>
        </w:rPr>
        <w:t xml:space="preserve"> School Functioning in Adolescents with Inflammatory Bowel Diseases: An Examination of Disease and Demographic Correlates. </w:t>
      </w:r>
      <w:r w:rsidRPr="005631E1">
        <w:rPr>
          <w:rFonts w:ascii="Arial" w:hAnsi="Arial" w:cs="Arial"/>
          <w:i/>
          <w:iCs/>
          <w:noProof/>
          <w:sz w:val="24"/>
          <w:szCs w:val="24"/>
        </w:rPr>
        <w:t>Inflamm Bowel Dis</w:t>
      </w:r>
      <w:r w:rsidRPr="005631E1">
        <w:rPr>
          <w:rFonts w:ascii="Arial" w:hAnsi="Arial" w:cs="Arial"/>
          <w:noProof/>
          <w:sz w:val="24"/>
          <w:szCs w:val="24"/>
        </w:rPr>
        <w:t xml:space="preserve"> Published Online First: 2018. doi:10.1093/ibd/izy026</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31 </w:t>
      </w:r>
      <w:r w:rsidRPr="005631E1">
        <w:rPr>
          <w:rFonts w:ascii="Arial" w:hAnsi="Arial" w:cs="Arial"/>
          <w:noProof/>
          <w:sz w:val="24"/>
          <w:szCs w:val="24"/>
        </w:rPr>
        <w:tab/>
        <w:t xml:space="preserve">Freckmann M, Seipp A, Laass MW, </w:t>
      </w:r>
      <w:r w:rsidRPr="005631E1">
        <w:rPr>
          <w:rFonts w:ascii="Arial" w:hAnsi="Arial" w:cs="Arial"/>
          <w:i/>
          <w:iCs/>
          <w:noProof/>
          <w:sz w:val="24"/>
          <w:szCs w:val="24"/>
        </w:rPr>
        <w:t>et al.</w:t>
      </w:r>
      <w:r w:rsidRPr="005631E1">
        <w:rPr>
          <w:rFonts w:ascii="Arial" w:hAnsi="Arial" w:cs="Arial"/>
          <w:noProof/>
          <w:sz w:val="24"/>
          <w:szCs w:val="24"/>
        </w:rPr>
        <w:t xml:space="preserve"> School-related experience and performance with inflammatory bowel disease: Results from a cross-sectional survey in 675 children and their parents. </w:t>
      </w:r>
      <w:r w:rsidRPr="005631E1">
        <w:rPr>
          <w:rFonts w:ascii="Arial" w:hAnsi="Arial" w:cs="Arial"/>
          <w:i/>
          <w:iCs/>
          <w:noProof/>
          <w:sz w:val="24"/>
          <w:szCs w:val="24"/>
        </w:rPr>
        <w:t>BMJ Open Gastroenterol</w:t>
      </w:r>
      <w:r w:rsidRPr="005631E1">
        <w:rPr>
          <w:rFonts w:ascii="Arial" w:hAnsi="Arial" w:cs="Arial"/>
          <w:noProof/>
          <w:sz w:val="24"/>
          <w:szCs w:val="24"/>
        </w:rPr>
        <w:t xml:space="preserve"> Published </w:t>
      </w:r>
      <w:r w:rsidRPr="005631E1">
        <w:rPr>
          <w:rFonts w:ascii="Arial" w:hAnsi="Arial" w:cs="Arial"/>
          <w:noProof/>
          <w:sz w:val="24"/>
          <w:szCs w:val="24"/>
        </w:rPr>
        <w:lastRenderedPageBreak/>
        <w:t>Online First: 2018. doi:10.1136/bmjgast-2018-000236</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32 </w:t>
      </w:r>
      <w:r w:rsidRPr="005631E1">
        <w:rPr>
          <w:rFonts w:ascii="Arial" w:hAnsi="Arial" w:cs="Arial"/>
          <w:noProof/>
          <w:sz w:val="24"/>
          <w:szCs w:val="24"/>
        </w:rPr>
        <w:tab/>
        <w:t>Department for Education. Statistics at DfE - Department for Education - GOV.UK. https://www.gov.uk/government/organisations/department-for-education/about/statistics (accessed 17 Jun 2019).</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33 </w:t>
      </w:r>
      <w:r w:rsidRPr="005631E1">
        <w:rPr>
          <w:rFonts w:ascii="Arial" w:hAnsi="Arial" w:cs="Arial"/>
          <w:noProof/>
          <w:sz w:val="24"/>
          <w:szCs w:val="24"/>
        </w:rPr>
        <w:tab/>
        <w:t xml:space="preserve">Kappelman MD, Porter CQ, Galanko JA, </w:t>
      </w:r>
      <w:r w:rsidRPr="005631E1">
        <w:rPr>
          <w:rFonts w:ascii="Arial" w:hAnsi="Arial" w:cs="Arial"/>
          <w:i/>
          <w:iCs/>
          <w:noProof/>
          <w:sz w:val="24"/>
          <w:szCs w:val="24"/>
        </w:rPr>
        <w:t>et al.</w:t>
      </w:r>
      <w:r w:rsidRPr="005631E1">
        <w:rPr>
          <w:rFonts w:ascii="Arial" w:hAnsi="Arial" w:cs="Arial"/>
          <w:noProof/>
          <w:sz w:val="24"/>
          <w:szCs w:val="24"/>
        </w:rPr>
        <w:t xml:space="preserve"> Utilization of healthcare resources by U.S. children and adults with inflammatory bowel disease. </w:t>
      </w:r>
      <w:r w:rsidRPr="005631E1">
        <w:rPr>
          <w:rFonts w:ascii="Arial" w:hAnsi="Arial" w:cs="Arial"/>
          <w:i/>
          <w:iCs/>
          <w:noProof/>
          <w:sz w:val="24"/>
          <w:szCs w:val="24"/>
        </w:rPr>
        <w:t>Inflamm Bowel Dis</w:t>
      </w:r>
      <w:r w:rsidRPr="005631E1">
        <w:rPr>
          <w:rFonts w:ascii="Arial" w:hAnsi="Arial" w:cs="Arial"/>
          <w:noProof/>
          <w:sz w:val="24"/>
          <w:szCs w:val="24"/>
        </w:rPr>
        <w:t xml:space="preserve"> Published Online First: 2011. doi:10.1002/ibd.21371</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34 </w:t>
      </w:r>
      <w:r w:rsidRPr="005631E1">
        <w:rPr>
          <w:rFonts w:ascii="Arial" w:hAnsi="Arial" w:cs="Arial"/>
          <w:noProof/>
          <w:sz w:val="24"/>
          <w:szCs w:val="24"/>
        </w:rPr>
        <w:tab/>
        <w:t xml:space="preserve">Wojtowicz AA, Plevinsky JM, Poulopoulos N, </w:t>
      </w:r>
      <w:r w:rsidRPr="005631E1">
        <w:rPr>
          <w:rFonts w:ascii="Arial" w:hAnsi="Arial" w:cs="Arial"/>
          <w:i/>
          <w:iCs/>
          <w:noProof/>
          <w:sz w:val="24"/>
          <w:szCs w:val="24"/>
        </w:rPr>
        <w:t>et al.</w:t>
      </w:r>
      <w:r w:rsidRPr="005631E1">
        <w:rPr>
          <w:rFonts w:ascii="Arial" w:hAnsi="Arial" w:cs="Arial"/>
          <w:noProof/>
          <w:sz w:val="24"/>
          <w:szCs w:val="24"/>
        </w:rPr>
        <w:t xml:space="preserve"> Examining predictors of healthcare utilization in youth with inflammatory bowel disease. </w:t>
      </w:r>
      <w:r w:rsidRPr="005631E1">
        <w:rPr>
          <w:rFonts w:ascii="Arial" w:hAnsi="Arial" w:cs="Arial"/>
          <w:i/>
          <w:iCs/>
          <w:noProof/>
          <w:sz w:val="24"/>
          <w:szCs w:val="24"/>
        </w:rPr>
        <w:t>Eur J Gastroenterol Hepatol</w:t>
      </w:r>
      <w:r w:rsidRPr="005631E1">
        <w:rPr>
          <w:rFonts w:ascii="Arial" w:hAnsi="Arial" w:cs="Arial"/>
          <w:noProof/>
          <w:sz w:val="24"/>
          <w:szCs w:val="24"/>
        </w:rPr>
        <w:t xml:space="preserve"> Published Online First: 2016. doi:10.1097/MEG.0000000000000540</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35 </w:t>
      </w:r>
      <w:r w:rsidRPr="005631E1">
        <w:rPr>
          <w:rFonts w:ascii="Arial" w:hAnsi="Arial" w:cs="Arial"/>
          <w:noProof/>
          <w:sz w:val="24"/>
          <w:szCs w:val="24"/>
        </w:rPr>
        <w:tab/>
        <w:t xml:space="preserve">Legislation.gov.uk. Children and Families Act 2014. </w:t>
      </w:r>
      <w:r w:rsidRPr="005631E1">
        <w:rPr>
          <w:rFonts w:ascii="Arial" w:hAnsi="Arial" w:cs="Arial"/>
          <w:i/>
          <w:iCs/>
          <w:noProof/>
          <w:sz w:val="24"/>
          <w:szCs w:val="24"/>
        </w:rPr>
        <w:t>Child Fam Act</w:t>
      </w:r>
      <w:r w:rsidRPr="005631E1">
        <w:rPr>
          <w:rFonts w:ascii="Arial" w:hAnsi="Arial" w:cs="Arial"/>
          <w:noProof/>
          <w:sz w:val="24"/>
          <w:szCs w:val="24"/>
        </w:rPr>
        <w:t xml:space="preserve"> 2014.</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36 </w:t>
      </w:r>
      <w:r w:rsidRPr="005631E1">
        <w:rPr>
          <w:rFonts w:ascii="Arial" w:hAnsi="Arial" w:cs="Arial"/>
          <w:noProof/>
          <w:sz w:val="24"/>
          <w:szCs w:val="24"/>
        </w:rPr>
        <w:tab/>
        <w:t xml:space="preserve">Supporting pupils at school with medical conditions Statutory guidance for governing bodies of maintained schools and proprietors of academies in England. 2015. </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37 </w:t>
      </w:r>
      <w:r w:rsidRPr="005631E1">
        <w:rPr>
          <w:rFonts w:ascii="Arial" w:hAnsi="Arial" w:cs="Arial"/>
          <w:noProof/>
          <w:sz w:val="24"/>
          <w:szCs w:val="24"/>
        </w:rPr>
        <w:tab/>
        <w:t xml:space="preserve">Berger C, Valenzuela J, Tsikis J, </w:t>
      </w:r>
      <w:r w:rsidRPr="005631E1">
        <w:rPr>
          <w:rFonts w:ascii="Arial" w:hAnsi="Arial" w:cs="Arial"/>
          <w:i/>
          <w:iCs/>
          <w:noProof/>
          <w:sz w:val="24"/>
          <w:szCs w:val="24"/>
        </w:rPr>
        <w:t>et al.</w:t>
      </w:r>
      <w:r w:rsidRPr="005631E1">
        <w:rPr>
          <w:rFonts w:ascii="Arial" w:hAnsi="Arial" w:cs="Arial"/>
          <w:noProof/>
          <w:sz w:val="24"/>
          <w:szCs w:val="24"/>
        </w:rPr>
        <w:t xml:space="preserve"> School Professionals’ Knowledge and Beliefs About Youth With Chronic Illness. </w:t>
      </w:r>
      <w:r w:rsidRPr="005631E1">
        <w:rPr>
          <w:rFonts w:ascii="Arial" w:hAnsi="Arial" w:cs="Arial"/>
          <w:i/>
          <w:iCs/>
          <w:noProof/>
          <w:sz w:val="24"/>
          <w:szCs w:val="24"/>
        </w:rPr>
        <w:t>J Sch Health</w:t>
      </w:r>
      <w:r w:rsidRPr="005631E1">
        <w:rPr>
          <w:rFonts w:ascii="Arial" w:hAnsi="Arial" w:cs="Arial"/>
          <w:noProof/>
          <w:sz w:val="24"/>
          <w:szCs w:val="24"/>
        </w:rPr>
        <w:t xml:space="preserve"> Published Online First: 2018. doi:10.1111/josh.12646</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38 </w:t>
      </w:r>
      <w:r w:rsidRPr="005631E1">
        <w:rPr>
          <w:rFonts w:ascii="Arial" w:hAnsi="Arial" w:cs="Arial"/>
          <w:noProof/>
          <w:sz w:val="24"/>
          <w:szCs w:val="24"/>
        </w:rPr>
        <w:tab/>
        <w:t xml:space="preserve">Kim ES, Kwon KT, Kim SK, </w:t>
      </w:r>
      <w:r w:rsidRPr="005631E1">
        <w:rPr>
          <w:rFonts w:ascii="Arial" w:hAnsi="Arial" w:cs="Arial"/>
          <w:i/>
          <w:iCs/>
          <w:noProof/>
          <w:sz w:val="24"/>
          <w:szCs w:val="24"/>
        </w:rPr>
        <w:t>et al.</w:t>
      </w:r>
      <w:r w:rsidRPr="005631E1">
        <w:rPr>
          <w:rFonts w:ascii="Arial" w:hAnsi="Arial" w:cs="Arial"/>
          <w:noProof/>
          <w:sz w:val="24"/>
          <w:szCs w:val="24"/>
        </w:rPr>
        <w:t xml:space="preserve"> Impact of Education on School Nurses’ Knowledge of Inflammatory Bowel Disease. </w:t>
      </w:r>
      <w:r w:rsidRPr="005631E1">
        <w:rPr>
          <w:rFonts w:ascii="Arial" w:hAnsi="Arial" w:cs="Arial"/>
          <w:i/>
          <w:iCs/>
          <w:noProof/>
          <w:sz w:val="24"/>
          <w:szCs w:val="24"/>
        </w:rPr>
        <w:t>Gut Liver</w:t>
      </w:r>
      <w:r w:rsidRPr="005631E1">
        <w:rPr>
          <w:rFonts w:ascii="Arial" w:hAnsi="Arial" w:cs="Arial"/>
          <w:noProof/>
          <w:sz w:val="24"/>
          <w:szCs w:val="24"/>
        </w:rPr>
        <w:t xml:space="preserve"> Published Online First: 2018. doi:10.5009/gnl18139</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39 </w:t>
      </w:r>
      <w:r w:rsidRPr="005631E1">
        <w:rPr>
          <w:rFonts w:ascii="Arial" w:hAnsi="Arial" w:cs="Arial"/>
          <w:noProof/>
          <w:sz w:val="24"/>
          <w:szCs w:val="24"/>
        </w:rPr>
        <w:tab/>
        <w:t xml:space="preserve">Morrissey TW, Hutchison L, Winsler A. Family income, school attendance, and academic achievement in elementary school. </w:t>
      </w:r>
      <w:r w:rsidRPr="005631E1">
        <w:rPr>
          <w:rFonts w:ascii="Arial" w:hAnsi="Arial" w:cs="Arial"/>
          <w:i/>
          <w:iCs/>
          <w:noProof/>
          <w:sz w:val="24"/>
          <w:szCs w:val="24"/>
        </w:rPr>
        <w:t>Dev Psychol</w:t>
      </w:r>
      <w:r w:rsidRPr="005631E1">
        <w:rPr>
          <w:rFonts w:ascii="Arial" w:hAnsi="Arial" w:cs="Arial"/>
          <w:noProof/>
          <w:sz w:val="24"/>
          <w:szCs w:val="24"/>
        </w:rPr>
        <w:t xml:space="preserve"> Published Online First: 2014. doi:10.1037/a0033848</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szCs w:val="24"/>
        </w:rPr>
      </w:pPr>
      <w:r w:rsidRPr="005631E1">
        <w:rPr>
          <w:rFonts w:ascii="Arial" w:hAnsi="Arial" w:cs="Arial"/>
          <w:noProof/>
          <w:sz w:val="24"/>
          <w:szCs w:val="24"/>
        </w:rPr>
        <w:t xml:space="preserve">40 </w:t>
      </w:r>
      <w:r w:rsidRPr="005631E1">
        <w:rPr>
          <w:rFonts w:ascii="Arial" w:hAnsi="Arial" w:cs="Arial"/>
          <w:noProof/>
          <w:sz w:val="24"/>
          <w:szCs w:val="24"/>
        </w:rPr>
        <w:tab/>
        <w:t xml:space="preserve">Gottfried MA. Can Neighbor Attributes Predict School Absences? </w:t>
      </w:r>
      <w:r w:rsidRPr="005631E1">
        <w:rPr>
          <w:rFonts w:ascii="Arial" w:hAnsi="Arial" w:cs="Arial"/>
          <w:i/>
          <w:iCs/>
          <w:noProof/>
          <w:sz w:val="24"/>
          <w:szCs w:val="24"/>
        </w:rPr>
        <w:t>Urban Educ</w:t>
      </w:r>
      <w:r w:rsidRPr="005631E1">
        <w:rPr>
          <w:rFonts w:ascii="Arial" w:hAnsi="Arial" w:cs="Arial"/>
          <w:noProof/>
          <w:sz w:val="24"/>
          <w:szCs w:val="24"/>
        </w:rPr>
        <w:t xml:space="preserve"> Published Online First: 2014. doi:10.1177/0042085913475634</w:t>
      </w:r>
    </w:p>
    <w:p w:rsidR="002147E0" w:rsidRPr="005631E1" w:rsidRDefault="002147E0" w:rsidP="002147E0">
      <w:pPr>
        <w:widowControl w:val="0"/>
        <w:autoSpaceDE w:val="0"/>
        <w:autoSpaceDN w:val="0"/>
        <w:adjustRightInd w:val="0"/>
        <w:spacing w:line="360" w:lineRule="auto"/>
        <w:ind w:left="640" w:hanging="640"/>
        <w:rPr>
          <w:rFonts w:ascii="Arial" w:hAnsi="Arial" w:cs="Arial"/>
          <w:noProof/>
          <w:sz w:val="24"/>
        </w:rPr>
      </w:pPr>
      <w:r w:rsidRPr="005631E1">
        <w:rPr>
          <w:rFonts w:ascii="Arial" w:hAnsi="Arial" w:cs="Arial"/>
          <w:noProof/>
          <w:sz w:val="24"/>
          <w:szCs w:val="24"/>
        </w:rPr>
        <w:t xml:space="preserve">41 </w:t>
      </w:r>
      <w:r w:rsidRPr="005631E1">
        <w:rPr>
          <w:rFonts w:ascii="Arial" w:hAnsi="Arial" w:cs="Arial"/>
          <w:noProof/>
          <w:sz w:val="24"/>
          <w:szCs w:val="24"/>
        </w:rPr>
        <w:tab/>
        <w:t xml:space="preserve">Akobeng AK, O’Leary N, Vail A, </w:t>
      </w:r>
      <w:r w:rsidRPr="005631E1">
        <w:rPr>
          <w:rFonts w:ascii="Arial" w:hAnsi="Arial" w:cs="Arial"/>
          <w:i/>
          <w:iCs/>
          <w:noProof/>
          <w:sz w:val="24"/>
          <w:szCs w:val="24"/>
        </w:rPr>
        <w:t>et al.</w:t>
      </w:r>
      <w:r w:rsidRPr="005631E1">
        <w:rPr>
          <w:rFonts w:ascii="Arial" w:hAnsi="Arial" w:cs="Arial"/>
          <w:noProof/>
          <w:sz w:val="24"/>
          <w:szCs w:val="24"/>
        </w:rPr>
        <w:t xml:space="preserve"> Telephone Consultation as a Substitute for Routine Out-patient Face-to-face Consultation for Children With Inflammatory Bowel Disease: Randomised Controlled Trial and Economic Evaluation. </w:t>
      </w:r>
      <w:r w:rsidRPr="005631E1">
        <w:rPr>
          <w:rFonts w:ascii="Arial" w:hAnsi="Arial" w:cs="Arial"/>
          <w:i/>
          <w:iCs/>
          <w:noProof/>
          <w:sz w:val="24"/>
          <w:szCs w:val="24"/>
        </w:rPr>
        <w:t>EBioMedicine</w:t>
      </w:r>
      <w:r w:rsidRPr="005631E1">
        <w:rPr>
          <w:rFonts w:ascii="Arial" w:hAnsi="Arial" w:cs="Arial"/>
          <w:noProof/>
          <w:sz w:val="24"/>
          <w:szCs w:val="24"/>
        </w:rPr>
        <w:t xml:space="preserve"> 2015;</w:t>
      </w:r>
      <w:r w:rsidRPr="005631E1">
        <w:rPr>
          <w:rFonts w:ascii="Arial" w:hAnsi="Arial" w:cs="Arial"/>
          <w:b/>
          <w:bCs/>
          <w:noProof/>
          <w:sz w:val="24"/>
          <w:szCs w:val="24"/>
        </w:rPr>
        <w:t>2</w:t>
      </w:r>
      <w:r w:rsidRPr="005631E1">
        <w:rPr>
          <w:rFonts w:ascii="Arial" w:hAnsi="Arial" w:cs="Arial"/>
          <w:noProof/>
          <w:sz w:val="24"/>
          <w:szCs w:val="24"/>
        </w:rPr>
        <w:t>:1251–6. doi:10.1016/j.ebiom.2015.08.011</w:t>
      </w:r>
    </w:p>
    <w:p w:rsidR="002147E0" w:rsidRDefault="003E61C5" w:rsidP="002147E0">
      <w:pPr>
        <w:spacing w:line="360" w:lineRule="auto"/>
        <w:ind w:left="720" w:hanging="720"/>
        <w:jc w:val="both"/>
        <w:rPr>
          <w:rFonts w:ascii="Arial" w:hAnsi="Arial" w:cs="Arial"/>
          <w:sz w:val="24"/>
          <w:szCs w:val="24"/>
        </w:rPr>
      </w:pPr>
      <w:r>
        <w:rPr>
          <w:rFonts w:ascii="Arial" w:hAnsi="Arial" w:cs="Arial"/>
          <w:sz w:val="24"/>
          <w:szCs w:val="24"/>
        </w:rPr>
        <w:lastRenderedPageBreak/>
        <w:fldChar w:fldCharType="end"/>
      </w: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Default="002147E0" w:rsidP="002147E0">
      <w:pPr>
        <w:spacing w:line="360" w:lineRule="auto"/>
        <w:ind w:left="720" w:hanging="720"/>
        <w:jc w:val="both"/>
        <w:rPr>
          <w:rFonts w:ascii="Arial" w:hAnsi="Arial" w:cs="Arial"/>
          <w:sz w:val="24"/>
          <w:szCs w:val="24"/>
        </w:rPr>
      </w:pPr>
    </w:p>
    <w:p w:rsidR="002147E0" w:rsidRPr="00CA06C4" w:rsidRDefault="002147E0" w:rsidP="002147E0">
      <w:pPr>
        <w:spacing w:line="360" w:lineRule="auto"/>
        <w:jc w:val="both"/>
        <w:rPr>
          <w:rFonts w:ascii="Arial" w:hAnsi="Arial" w:cs="Arial"/>
          <w:sz w:val="24"/>
          <w:szCs w:val="24"/>
          <w:u w:val="single"/>
        </w:rPr>
      </w:pPr>
      <w:r>
        <w:rPr>
          <w:rFonts w:ascii="Arial" w:hAnsi="Arial" w:cs="Arial"/>
          <w:sz w:val="24"/>
          <w:szCs w:val="24"/>
          <w:u w:val="single"/>
        </w:rPr>
        <w:t>Table 1 – D</w:t>
      </w:r>
      <w:r w:rsidRPr="00CA06C4">
        <w:rPr>
          <w:rFonts w:ascii="Arial" w:hAnsi="Arial" w:cs="Arial"/>
          <w:sz w:val="24"/>
          <w:szCs w:val="24"/>
          <w:u w:val="single"/>
        </w:rPr>
        <w:t>emographic and d</w:t>
      </w:r>
      <w:r>
        <w:rPr>
          <w:rFonts w:ascii="Arial" w:hAnsi="Arial" w:cs="Arial"/>
          <w:sz w:val="24"/>
          <w:szCs w:val="24"/>
          <w:u w:val="single"/>
        </w:rPr>
        <w:t>isease characteristics of study population and subgroup of local Southampton patients</w:t>
      </w:r>
    </w:p>
    <w:tbl>
      <w:tblPr>
        <w:tblStyle w:val="TableGrid"/>
        <w:tblW w:w="0" w:type="auto"/>
        <w:tblLook w:val="04A0" w:firstRow="1" w:lastRow="0" w:firstColumn="1" w:lastColumn="0" w:noHBand="0" w:noVBand="1"/>
      </w:tblPr>
      <w:tblGrid>
        <w:gridCol w:w="3077"/>
        <w:gridCol w:w="3001"/>
        <w:gridCol w:w="2938"/>
      </w:tblGrid>
      <w:tr w:rsidR="002147E0" w:rsidRPr="00CD48DD" w:rsidTr="003A0EE9">
        <w:trPr>
          <w:trHeight w:val="536"/>
        </w:trPr>
        <w:tc>
          <w:tcPr>
            <w:tcW w:w="3077" w:type="dxa"/>
          </w:tcPr>
          <w:p w:rsidR="002147E0" w:rsidRPr="00CD48DD" w:rsidRDefault="002147E0" w:rsidP="003A0EE9">
            <w:pPr>
              <w:rPr>
                <w:rFonts w:ascii="Arial" w:hAnsi="Arial" w:cs="Arial"/>
                <w:b/>
                <w:sz w:val="28"/>
                <w:szCs w:val="28"/>
              </w:rPr>
            </w:pPr>
            <w:bookmarkStart w:id="23" w:name="_Hlk20132248"/>
            <w:r>
              <w:rPr>
                <w:rFonts w:ascii="Arial" w:hAnsi="Arial" w:cs="Arial"/>
                <w:b/>
                <w:sz w:val="28"/>
                <w:szCs w:val="28"/>
              </w:rPr>
              <w:t>Demographic and</w:t>
            </w:r>
            <w:r w:rsidRPr="00CD48DD">
              <w:rPr>
                <w:rFonts w:ascii="Arial" w:hAnsi="Arial" w:cs="Arial"/>
                <w:b/>
                <w:sz w:val="28"/>
                <w:szCs w:val="28"/>
              </w:rPr>
              <w:t xml:space="preserve"> Disease Characteristics</w:t>
            </w:r>
          </w:p>
        </w:tc>
        <w:tc>
          <w:tcPr>
            <w:tcW w:w="3001" w:type="dxa"/>
          </w:tcPr>
          <w:p w:rsidR="002147E0" w:rsidRPr="00CD48DD" w:rsidRDefault="002147E0" w:rsidP="003A0EE9">
            <w:pPr>
              <w:rPr>
                <w:rFonts w:ascii="Arial" w:hAnsi="Arial" w:cs="Arial"/>
                <w:b/>
                <w:sz w:val="28"/>
                <w:szCs w:val="28"/>
              </w:rPr>
            </w:pPr>
            <w:r>
              <w:rPr>
                <w:rFonts w:ascii="Arial" w:hAnsi="Arial" w:cs="Arial"/>
                <w:b/>
                <w:sz w:val="28"/>
                <w:szCs w:val="28"/>
              </w:rPr>
              <w:t>Study sample (n=169)</w:t>
            </w:r>
          </w:p>
        </w:tc>
        <w:tc>
          <w:tcPr>
            <w:tcW w:w="2938" w:type="dxa"/>
          </w:tcPr>
          <w:p w:rsidR="002147E0" w:rsidRPr="00CD48DD" w:rsidRDefault="002147E0" w:rsidP="003A0EE9">
            <w:pPr>
              <w:rPr>
                <w:rFonts w:ascii="Arial" w:hAnsi="Arial" w:cs="Arial"/>
                <w:b/>
                <w:sz w:val="28"/>
                <w:szCs w:val="28"/>
              </w:rPr>
            </w:pPr>
            <w:r w:rsidRPr="00CD48DD">
              <w:rPr>
                <w:rFonts w:ascii="Arial" w:hAnsi="Arial" w:cs="Arial"/>
                <w:b/>
                <w:sz w:val="28"/>
                <w:szCs w:val="28"/>
              </w:rPr>
              <w:t>Subgroup of local Southampton patients</w:t>
            </w:r>
            <w:r>
              <w:rPr>
                <w:rFonts w:ascii="Arial" w:hAnsi="Arial" w:cs="Arial"/>
                <w:b/>
                <w:sz w:val="28"/>
                <w:szCs w:val="28"/>
              </w:rPr>
              <w:t xml:space="preserve"> (n=34)</w:t>
            </w:r>
          </w:p>
        </w:tc>
      </w:tr>
      <w:tr w:rsidR="002147E0" w:rsidRPr="00CD48DD" w:rsidTr="003A0EE9">
        <w:trPr>
          <w:trHeight w:val="536"/>
        </w:trPr>
        <w:tc>
          <w:tcPr>
            <w:tcW w:w="3077" w:type="dxa"/>
          </w:tcPr>
          <w:p w:rsidR="002147E0" w:rsidRPr="00CF319C" w:rsidRDefault="002147E0" w:rsidP="003A0EE9">
            <w:pPr>
              <w:rPr>
                <w:rFonts w:ascii="Arial" w:hAnsi="Arial" w:cs="Arial"/>
              </w:rPr>
            </w:pPr>
            <w:r w:rsidRPr="00CF319C">
              <w:rPr>
                <w:rFonts w:ascii="Arial" w:hAnsi="Arial" w:cs="Arial"/>
              </w:rPr>
              <w:t>Median Age at Questionnaire</w:t>
            </w:r>
            <w:r>
              <w:rPr>
                <w:rFonts w:ascii="Arial" w:hAnsi="Arial" w:cs="Arial"/>
              </w:rPr>
              <w:t xml:space="preserve"> (years)</w:t>
            </w:r>
          </w:p>
        </w:tc>
        <w:tc>
          <w:tcPr>
            <w:tcW w:w="3001" w:type="dxa"/>
          </w:tcPr>
          <w:p w:rsidR="002147E0" w:rsidRPr="00CD48DD" w:rsidRDefault="002147E0" w:rsidP="003A0EE9">
            <w:pPr>
              <w:rPr>
                <w:rFonts w:ascii="Arial" w:hAnsi="Arial" w:cs="Arial"/>
              </w:rPr>
            </w:pPr>
            <w:r w:rsidRPr="00CD48DD">
              <w:rPr>
                <w:rFonts w:ascii="Arial" w:hAnsi="Arial" w:cs="Arial"/>
              </w:rPr>
              <w:t xml:space="preserve">15.3 </w:t>
            </w:r>
          </w:p>
        </w:tc>
        <w:tc>
          <w:tcPr>
            <w:tcW w:w="2938" w:type="dxa"/>
          </w:tcPr>
          <w:p w:rsidR="002147E0" w:rsidRPr="00CD48DD" w:rsidRDefault="002147E0" w:rsidP="003A0EE9">
            <w:pPr>
              <w:rPr>
                <w:rFonts w:ascii="Arial" w:hAnsi="Arial" w:cs="Arial"/>
              </w:rPr>
            </w:pPr>
            <w:r w:rsidRPr="00CD48DD">
              <w:rPr>
                <w:rFonts w:ascii="Arial" w:hAnsi="Arial" w:cs="Arial"/>
              </w:rPr>
              <w:t>15.1</w:t>
            </w:r>
          </w:p>
        </w:tc>
      </w:tr>
      <w:tr w:rsidR="002147E0" w:rsidRPr="00CD48DD" w:rsidTr="003A0EE9">
        <w:trPr>
          <w:trHeight w:val="536"/>
        </w:trPr>
        <w:tc>
          <w:tcPr>
            <w:tcW w:w="3077" w:type="dxa"/>
          </w:tcPr>
          <w:p w:rsidR="002147E0" w:rsidRPr="00CF319C" w:rsidRDefault="002147E0" w:rsidP="003A0EE9">
            <w:pPr>
              <w:rPr>
                <w:rFonts w:ascii="Arial" w:hAnsi="Arial" w:cs="Arial"/>
              </w:rPr>
            </w:pPr>
            <w:r w:rsidRPr="00CF319C">
              <w:rPr>
                <w:rFonts w:ascii="Arial" w:hAnsi="Arial" w:cs="Arial"/>
              </w:rPr>
              <w:t>Median Age at Diagnosis</w:t>
            </w:r>
            <w:r>
              <w:rPr>
                <w:rFonts w:ascii="Arial" w:hAnsi="Arial" w:cs="Arial"/>
              </w:rPr>
              <w:t xml:space="preserve"> (years)</w:t>
            </w:r>
          </w:p>
        </w:tc>
        <w:tc>
          <w:tcPr>
            <w:tcW w:w="3001" w:type="dxa"/>
          </w:tcPr>
          <w:p w:rsidR="002147E0" w:rsidRPr="00CD48DD" w:rsidRDefault="002147E0" w:rsidP="003A0EE9">
            <w:pPr>
              <w:rPr>
                <w:rFonts w:ascii="Arial" w:hAnsi="Arial" w:cs="Arial"/>
              </w:rPr>
            </w:pPr>
            <w:r w:rsidRPr="00CD48DD">
              <w:rPr>
                <w:rFonts w:ascii="Arial" w:hAnsi="Arial" w:cs="Arial"/>
              </w:rPr>
              <w:t>11.</w:t>
            </w:r>
            <w:r>
              <w:rPr>
                <w:rFonts w:ascii="Arial" w:hAnsi="Arial" w:cs="Arial"/>
              </w:rPr>
              <w:t>5</w:t>
            </w:r>
            <w:r w:rsidRPr="00CD48DD">
              <w:rPr>
                <w:rFonts w:ascii="Arial" w:hAnsi="Arial" w:cs="Arial"/>
              </w:rPr>
              <w:t xml:space="preserve"> </w:t>
            </w:r>
          </w:p>
        </w:tc>
        <w:tc>
          <w:tcPr>
            <w:tcW w:w="2938" w:type="dxa"/>
          </w:tcPr>
          <w:p w:rsidR="002147E0" w:rsidRPr="00CD48DD" w:rsidRDefault="002147E0" w:rsidP="003A0EE9">
            <w:pPr>
              <w:rPr>
                <w:rFonts w:ascii="Arial" w:hAnsi="Arial" w:cs="Arial"/>
              </w:rPr>
            </w:pPr>
            <w:r w:rsidRPr="00CD48DD">
              <w:rPr>
                <w:rFonts w:ascii="Arial" w:hAnsi="Arial" w:cs="Arial"/>
              </w:rPr>
              <w:t>11.</w:t>
            </w:r>
            <w:r>
              <w:rPr>
                <w:rFonts w:ascii="Arial" w:hAnsi="Arial" w:cs="Arial"/>
              </w:rPr>
              <w:t>1</w:t>
            </w:r>
          </w:p>
        </w:tc>
      </w:tr>
      <w:tr w:rsidR="002147E0" w:rsidRPr="00CD48DD" w:rsidTr="003A0EE9">
        <w:trPr>
          <w:trHeight w:val="536"/>
        </w:trPr>
        <w:tc>
          <w:tcPr>
            <w:tcW w:w="3077" w:type="dxa"/>
          </w:tcPr>
          <w:p w:rsidR="002147E0" w:rsidRPr="00CF319C" w:rsidRDefault="002147E0" w:rsidP="003A0EE9">
            <w:pPr>
              <w:rPr>
                <w:rFonts w:ascii="Arial" w:hAnsi="Arial" w:cs="Arial"/>
              </w:rPr>
            </w:pPr>
            <w:r w:rsidRPr="00CF319C">
              <w:rPr>
                <w:rFonts w:ascii="Arial" w:hAnsi="Arial" w:cs="Arial"/>
              </w:rPr>
              <w:t>Median Time with Disease</w:t>
            </w:r>
            <w:r>
              <w:rPr>
                <w:rFonts w:ascii="Arial" w:hAnsi="Arial" w:cs="Arial"/>
              </w:rPr>
              <w:t xml:space="preserve"> (years)</w:t>
            </w:r>
          </w:p>
        </w:tc>
        <w:tc>
          <w:tcPr>
            <w:tcW w:w="3001" w:type="dxa"/>
          </w:tcPr>
          <w:p w:rsidR="002147E0" w:rsidRPr="00CD48DD" w:rsidRDefault="002147E0" w:rsidP="003A0EE9">
            <w:pPr>
              <w:rPr>
                <w:rFonts w:ascii="Arial" w:hAnsi="Arial" w:cs="Arial"/>
              </w:rPr>
            </w:pPr>
            <w:r w:rsidRPr="00CD48DD">
              <w:rPr>
                <w:rFonts w:ascii="Arial" w:hAnsi="Arial" w:cs="Arial"/>
              </w:rPr>
              <w:t xml:space="preserve">2.7 </w:t>
            </w:r>
          </w:p>
        </w:tc>
        <w:tc>
          <w:tcPr>
            <w:tcW w:w="2938" w:type="dxa"/>
          </w:tcPr>
          <w:p w:rsidR="002147E0" w:rsidRPr="00CD48DD" w:rsidRDefault="002147E0" w:rsidP="003A0EE9">
            <w:pPr>
              <w:rPr>
                <w:rFonts w:ascii="Arial" w:hAnsi="Arial" w:cs="Arial"/>
              </w:rPr>
            </w:pPr>
            <w:r w:rsidRPr="00CD48DD">
              <w:rPr>
                <w:rFonts w:ascii="Arial" w:hAnsi="Arial" w:cs="Arial"/>
              </w:rPr>
              <w:t>3.3</w:t>
            </w:r>
          </w:p>
        </w:tc>
      </w:tr>
      <w:tr w:rsidR="002147E0" w:rsidRPr="00CD48DD" w:rsidTr="003A0EE9">
        <w:trPr>
          <w:trHeight w:val="536"/>
        </w:trPr>
        <w:tc>
          <w:tcPr>
            <w:tcW w:w="3077" w:type="dxa"/>
          </w:tcPr>
          <w:p w:rsidR="002147E0" w:rsidRPr="00CF319C" w:rsidRDefault="002147E0" w:rsidP="003A0EE9">
            <w:pPr>
              <w:rPr>
                <w:rFonts w:ascii="Arial" w:hAnsi="Arial" w:cs="Arial"/>
              </w:rPr>
            </w:pPr>
            <w:r>
              <w:rPr>
                <w:rFonts w:ascii="Arial" w:hAnsi="Arial" w:cs="Arial"/>
              </w:rPr>
              <w:t>No. female (% total)</w:t>
            </w:r>
          </w:p>
        </w:tc>
        <w:tc>
          <w:tcPr>
            <w:tcW w:w="3001" w:type="dxa"/>
          </w:tcPr>
          <w:p w:rsidR="002147E0" w:rsidRPr="00CD48DD" w:rsidRDefault="002147E0" w:rsidP="003A0EE9">
            <w:pPr>
              <w:rPr>
                <w:rFonts w:ascii="Arial" w:hAnsi="Arial" w:cs="Arial"/>
              </w:rPr>
            </w:pPr>
            <w:r>
              <w:rPr>
                <w:rFonts w:ascii="Arial" w:hAnsi="Arial" w:cs="Arial"/>
              </w:rPr>
              <w:t>59 (35%)</w:t>
            </w:r>
          </w:p>
        </w:tc>
        <w:tc>
          <w:tcPr>
            <w:tcW w:w="2938" w:type="dxa"/>
          </w:tcPr>
          <w:p w:rsidR="002147E0" w:rsidRPr="00CD48DD" w:rsidRDefault="002147E0" w:rsidP="003A0EE9">
            <w:pPr>
              <w:rPr>
                <w:rFonts w:ascii="Arial" w:hAnsi="Arial" w:cs="Arial"/>
              </w:rPr>
            </w:pPr>
            <w:r>
              <w:rPr>
                <w:rFonts w:ascii="Arial" w:hAnsi="Arial" w:cs="Arial"/>
              </w:rPr>
              <w:t>16 (47%)</w:t>
            </w:r>
          </w:p>
        </w:tc>
      </w:tr>
      <w:tr w:rsidR="002147E0" w:rsidRPr="00CD48DD" w:rsidTr="003A0EE9">
        <w:trPr>
          <w:trHeight w:val="516"/>
        </w:trPr>
        <w:tc>
          <w:tcPr>
            <w:tcW w:w="3077" w:type="dxa"/>
          </w:tcPr>
          <w:p w:rsidR="002147E0" w:rsidRPr="00CF319C" w:rsidRDefault="002147E0" w:rsidP="003A0EE9">
            <w:pPr>
              <w:rPr>
                <w:rFonts w:ascii="Arial" w:hAnsi="Arial" w:cs="Arial"/>
              </w:rPr>
            </w:pPr>
            <w:r w:rsidRPr="00CF319C">
              <w:rPr>
                <w:rFonts w:ascii="Arial" w:hAnsi="Arial" w:cs="Arial"/>
              </w:rPr>
              <w:t>Median School Attendance (IQR)</w:t>
            </w:r>
          </w:p>
        </w:tc>
        <w:tc>
          <w:tcPr>
            <w:tcW w:w="3001" w:type="dxa"/>
          </w:tcPr>
          <w:p w:rsidR="002147E0" w:rsidRPr="00CD48DD" w:rsidRDefault="002147E0" w:rsidP="003A0EE9">
            <w:pPr>
              <w:rPr>
                <w:rFonts w:ascii="Arial" w:hAnsi="Arial" w:cs="Arial"/>
              </w:rPr>
            </w:pPr>
            <w:r w:rsidRPr="00CD48DD">
              <w:rPr>
                <w:rFonts w:ascii="Arial" w:hAnsi="Arial" w:cs="Arial"/>
              </w:rPr>
              <w:t>92.5% (81-96%)</w:t>
            </w:r>
          </w:p>
        </w:tc>
        <w:tc>
          <w:tcPr>
            <w:tcW w:w="2938" w:type="dxa"/>
          </w:tcPr>
          <w:p w:rsidR="002147E0" w:rsidRPr="00CD48DD" w:rsidRDefault="002147E0" w:rsidP="003A0EE9">
            <w:pPr>
              <w:rPr>
                <w:rFonts w:ascii="Arial" w:hAnsi="Arial" w:cs="Arial"/>
              </w:rPr>
            </w:pPr>
            <w:r w:rsidRPr="002071A8">
              <w:rPr>
                <w:rFonts w:ascii="Arial" w:hAnsi="Arial" w:cs="Arial"/>
              </w:rPr>
              <w:t>93.5% (81-96%)</w:t>
            </w:r>
          </w:p>
        </w:tc>
      </w:tr>
      <w:tr w:rsidR="002147E0" w:rsidRPr="00CD48DD" w:rsidTr="003A0EE9">
        <w:trPr>
          <w:trHeight w:val="516"/>
        </w:trPr>
        <w:tc>
          <w:tcPr>
            <w:tcW w:w="3077" w:type="dxa"/>
          </w:tcPr>
          <w:p w:rsidR="002147E0" w:rsidRPr="00CF319C" w:rsidRDefault="002147E0" w:rsidP="003A0EE9">
            <w:pPr>
              <w:rPr>
                <w:rFonts w:ascii="Arial" w:hAnsi="Arial" w:cs="Arial"/>
              </w:rPr>
            </w:pPr>
            <w:r w:rsidRPr="00CF319C">
              <w:rPr>
                <w:rFonts w:ascii="Arial" w:hAnsi="Arial" w:cs="Arial"/>
              </w:rPr>
              <w:t xml:space="preserve">Number of patients with 100% attendance </w:t>
            </w:r>
          </w:p>
        </w:tc>
        <w:tc>
          <w:tcPr>
            <w:tcW w:w="3001" w:type="dxa"/>
          </w:tcPr>
          <w:p w:rsidR="002147E0" w:rsidRPr="00CD48DD" w:rsidRDefault="002147E0" w:rsidP="003A0EE9">
            <w:pPr>
              <w:rPr>
                <w:rFonts w:ascii="Arial" w:hAnsi="Arial" w:cs="Arial"/>
              </w:rPr>
            </w:pPr>
            <w:r w:rsidRPr="00CD48DD">
              <w:rPr>
                <w:rFonts w:ascii="Arial" w:hAnsi="Arial" w:cs="Arial"/>
              </w:rPr>
              <w:t>5 (3%)</w:t>
            </w:r>
          </w:p>
        </w:tc>
        <w:tc>
          <w:tcPr>
            <w:tcW w:w="2938" w:type="dxa"/>
          </w:tcPr>
          <w:p w:rsidR="002147E0" w:rsidRPr="00CD48DD" w:rsidRDefault="002147E0" w:rsidP="003A0EE9">
            <w:pPr>
              <w:rPr>
                <w:rFonts w:ascii="Arial" w:hAnsi="Arial" w:cs="Arial"/>
              </w:rPr>
            </w:pPr>
            <w:r w:rsidRPr="00CD48DD">
              <w:rPr>
                <w:rFonts w:ascii="Arial" w:hAnsi="Arial" w:cs="Arial"/>
              </w:rPr>
              <w:t>2</w:t>
            </w:r>
            <w:r>
              <w:rPr>
                <w:rFonts w:ascii="Arial" w:hAnsi="Arial" w:cs="Arial"/>
              </w:rPr>
              <w:t xml:space="preserve"> (6%)</w:t>
            </w:r>
          </w:p>
        </w:tc>
      </w:tr>
      <w:tr w:rsidR="002147E0" w:rsidRPr="00CD48DD" w:rsidTr="003A0EE9">
        <w:trPr>
          <w:trHeight w:val="536"/>
        </w:trPr>
        <w:tc>
          <w:tcPr>
            <w:tcW w:w="3077" w:type="dxa"/>
          </w:tcPr>
          <w:p w:rsidR="002147E0" w:rsidRPr="00CF319C" w:rsidRDefault="002147E0" w:rsidP="003A0EE9">
            <w:pPr>
              <w:rPr>
                <w:rFonts w:ascii="Arial" w:hAnsi="Arial" w:cs="Arial"/>
              </w:rPr>
            </w:pPr>
            <w:r w:rsidRPr="00CF319C">
              <w:rPr>
                <w:rFonts w:ascii="Arial" w:hAnsi="Arial" w:cs="Arial"/>
              </w:rPr>
              <w:t>Number of patients missing 10% or more of school/college</w:t>
            </w:r>
          </w:p>
        </w:tc>
        <w:tc>
          <w:tcPr>
            <w:tcW w:w="3001" w:type="dxa"/>
          </w:tcPr>
          <w:p w:rsidR="002147E0" w:rsidRPr="00CD48DD" w:rsidRDefault="002147E0" w:rsidP="003A0EE9">
            <w:pPr>
              <w:rPr>
                <w:rFonts w:ascii="Arial" w:hAnsi="Arial" w:cs="Arial"/>
              </w:rPr>
            </w:pPr>
            <w:r>
              <w:rPr>
                <w:rFonts w:ascii="Arial" w:hAnsi="Arial" w:cs="Arial"/>
              </w:rPr>
              <w:t>67/169 (40%)</w:t>
            </w:r>
          </w:p>
        </w:tc>
        <w:tc>
          <w:tcPr>
            <w:tcW w:w="2938" w:type="dxa"/>
          </w:tcPr>
          <w:p w:rsidR="002147E0" w:rsidRPr="00CD48DD" w:rsidRDefault="002147E0" w:rsidP="003A0EE9">
            <w:pPr>
              <w:rPr>
                <w:rFonts w:ascii="Arial" w:hAnsi="Arial" w:cs="Arial"/>
              </w:rPr>
            </w:pPr>
            <w:r>
              <w:rPr>
                <w:rFonts w:ascii="Arial" w:hAnsi="Arial" w:cs="Arial"/>
              </w:rPr>
              <w:t>13/34 (38%)</w:t>
            </w:r>
          </w:p>
        </w:tc>
      </w:tr>
      <w:tr w:rsidR="002147E0" w:rsidRPr="00CD48DD" w:rsidTr="003A0EE9">
        <w:trPr>
          <w:trHeight w:val="536"/>
        </w:trPr>
        <w:tc>
          <w:tcPr>
            <w:tcW w:w="3077" w:type="dxa"/>
          </w:tcPr>
          <w:p w:rsidR="002147E0" w:rsidRPr="00CF319C" w:rsidRDefault="002147E0" w:rsidP="003A0EE9">
            <w:pPr>
              <w:rPr>
                <w:rFonts w:ascii="Arial" w:hAnsi="Arial" w:cs="Arial"/>
              </w:rPr>
            </w:pPr>
            <w:r w:rsidRPr="00CF319C">
              <w:rPr>
                <w:rFonts w:ascii="Arial" w:hAnsi="Arial" w:cs="Arial"/>
              </w:rPr>
              <w:t>Percentage on monoclonal therapy</w:t>
            </w:r>
          </w:p>
        </w:tc>
        <w:tc>
          <w:tcPr>
            <w:tcW w:w="3001" w:type="dxa"/>
          </w:tcPr>
          <w:p w:rsidR="002147E0" w:rsidRPr="00CD48DD" w:rsidRDefault="002147E0" w:rsidP="003A0EE9">
            <w:pPr>
              <w:rPr>
                <w:rFonts w:ascii="Arial" w:hAnsi="Arial" w:cs="Arial"/>
              </w:rPr>
            </w:pPr>
            <w:r w:rsidRPr="00CD48DD">
              <w:rPr>
                <w:rFonts w:ascii="Arial" w:hAnsi="Arial" w:cs="Arial"/>
              </w:rPr>
              <w:t>42%</w:t>
            </w:r>
          </w:p>
        </w:tc>
        <w:tc>
          <w:tcPr>
            <w:tcW w:w="2938" w:type="dxa"/>
          </w:tcPr>
          <w:p w:rsidR="002147E0" w:rsidRPr="00CD48DD" w:rsidRDefault="002147E0" w:rsidP="003A0EE9">
            <w:pPr>
              <w:rPr>
                <w:rFonts w:ascii="Arial" w:hAnsi="Arial" w:cs="Arial"/>
              </w:rPr>
            </w:pPr>
            <w:r w:rsidRPr="00CD48DD">
              <w:rPr>
                <w:rFonts w:ascii="Arial" w:hAnsi="Arial" w:cs="Arial"/>
              </w:rPr>
              <w:t>35%</w:t>
            </w:r>
          </w:p>
        </w:tc>
      </w:tr>
      <w:tr w:rsidR="002147E0" w:rsidRPr="00CD48DD" w:rsidTr="003A0EE9">
        <w:trPr>
          <w:trHeight w:val="536"/>
        </w:trPr>
        <w:tc>
          <w:tcPr>
            <w:tcW w:w="3077" w:type="dxa"/>
          </w:tcPr>
          <w:p w:rsidR="002147E0" w:rsidRPr="00CF319C" w:rsidRDefault="002147E0" w:rsidP="003A0EE9">
            <w:pPr>
              <w:rPr>
                <w:rFonts w:ascii="Arial" w:hAnsi="Arial" w:cs="Arial"/>
              </w:rPr>
            </w:pPr>
            <w:r w:rsidRPr="00CF319C">
              <w:rPr>
                <w:rFonts w:ascii="Arial" w:hAnsi="Arial" w:cs="Arial"/>
              </w:rPr>
              <w:t>Percentage on thiopurine/MTX therapy</w:t>
            </w:r>
          </w:p>
        </w:tc>
        <w:tc>
          <w:tcPr>
            <w:tcW w:w="3001" w:type="dxa"/>
          </w:tcPr>
          <w:p w:rsidR="002147E0" w:rsidRPr="00CD48DD" w:rsidRDefault="002147E0" w:rsidP="003A0EE9">
            <w:pPr>
              <w:rPr>
                <w:rFonts w:ascii="Arial" w:hAnsi="Arial" w:cs="Arial"/>
              </w:rPr>
            </w:pPr>
            <w:r>
              <w:rPr>
                <w:rFonts w:ascii="Arial" w:hAnsi="Arial" w:cs="Arial"/>
              </w:rPr>
              <w:t>67</w:t>
            </w:r>
            <w:r w:rsidRPr="00CD48DD">
              <w:rPr>
                <w:rFonts w:ascii="Arial" w:hAnsi="Arial" w:cs="Arial"/>
              </w:rPr>
              <w:t>%</w:t>
            </w:r>
          </w:p>
        </w:tc>
        <w:tc>
          <w:tcPr>
            <w:tcW w:w="2938" w:type="dxa"/>
          </w:tcPr>
          <w:p w:rsidR="002147E0" w:rsidRPr="00CD48DD" w:rsidRDefault="002147E0" w:rsidP="003A0EE9">
            <w:pPr>
              <w:rPr>
                <w:rFonts w:ascii="Arial" w:hAnsi="Arial" w:cs="Arial"/>
              </w:rPr>
            </w:pPr>
            <w:r w:rsidRPr="00CD48DD">
              <w:rPr>
                <w:rFonts w:ascii="Arial" w:hAnsi="Arial" w:cs="Arial"/>
              </w:rPr>
              <w:t>6</w:t>
            </w:r>
            <w:r>
              <w:rPr>
                <w:rFonts w:ascii="Arial" w:hAnsi="Arial" w:cs="Arial"/>
              </w:rPr>
              <w:t>2</w:t>
            </w:r>
            <w:r w:rsidRPr="00CD48DD">
              <w:rPr>
                <w:rFonts w:ascii="Arial" w:hAnsi="Arial" w:cs="Arial"/>
              </w:rPr>
              <w:t>%</w:t>
            </w:r>
          </w:p>
        </w:tc>
      </w:tr>
      <w:tr w:rsidR="002147E0" w:rsidRPr="00CD48DD" w:rsidTr="003A0EE9">
        <w:trPr>
          <w:trHeight w:val="536"/>
        </w:trPr>
        <w:tc>
          <w:tcPr>
            <w:tcW w:w="3077" w:type="dxa"/>
          </w:tcPr>
          <w:p w:rsidR="002147E0" w:rsidRPr="00CF319C" w:rsidRDefault="002147E0" w:rsidP="003A0EE9">
            <w:pPr>
              <w:rPr>
                <w:rFonts w:ascii="Arial" w:hAnsi="Arial" w:cs="Arial"/>
              </w:rPr>
            </w:pPr>
            <w:r w:rsidRPr="00CF319C">
              <w:rPr>
                <w:rFonts w:ascii="Arial" w:hAnsi="Arial" w:cs="Arial"/>
              </w:rPr>
              <w:t xml:space="preserve">Patient diagnosis </w:t>
            </w:r>
          </w:p>
        </w:tc>
        <w:tc>
          <w:tcPr>
            <w:tcW w:w="3001" w:type="dxa"/>
          </w:tcPr>
          <w:p w:rsidR="002147E0" w:rsidRPr="00CD48DD" w:rsidRDefault="002147E0" w:rsidP="003A0EE9">
            <w:pPr>
              <w:rPr>
                <w:rFonts w:ascii="Arial" w:hAnsi="Arial" w:cs="Arial"/>
              </w:rPr>
            </w:pPr>
            <w:r w:rsidRPr="00CD48DD">
              <w:rPr>
                <w:rFonts w:ascii="Arial" w:hAnsi="Arial" w:cs="Arial"/>
              </w:rPr>
              <w:t>CD- 108 (6</w:t>
            </w:r>
            <w:r>
              <w:rPr>
                <w:rFonts w:ascii="Arial" w:hAnsi="Arial" w:cs="Arial"/>
              </w:rPr>
              <w:t>4</w:t>
            </w:r>
            <w:r w:rsidRPr="00CD48DD">
              <w:rPr>
                <w:rFonts w:ascii="Arial" w:hAnsi="Arial" w:cs="Arial"/>
              </w:rPr>
              <w:t>%)</w:t>
            </w:r>
          </w:p>
          <w:p w:rsidR="002147E0" w:rsidRPr="00CD48DD" w:rsidRDefault="002147E0" w:rsidP="003A0EE9">
            <w:pPr>
              <w:rPr>
                <w:rFonts w:ascii="Arial" w:hAnsi="Arial" w:cs="Arial"/>
              </w:rPr>
            </w:pPr>
            <w:r w:rsidRPr="00CD48DD">
              <w:rPr>
                <w:rFonts w:ascii="Arial" w:hAnsi="Arial" w:cs="Arial"/>
              </w:rPr>
              <w:t>UC- 56 (33%)</w:t>
            </w:r>
          </w:p>
          <w:p w:rsidR="002147E0" w:rsidRPr="00CD48DD" w:rsidRDefault="002147E0" w:rsidP="003A0EE9">
            <w:pPr>
              <w:rPr>
                <w:rFonts w:ascii="Arial" w:hAnsi="Arial" w:cs="Arial"/>
              </w:rPr>
            </w:pPr>
            <w:r w:rsidRPr="00CD48DD">
              <w:rPr>
                <w:rFonts w:ascii="Arial" w:hAnsi="Arial" w:cs="Arial"/>
              </w:rPr>
              <w:t>IBDU- 5 (3%)</w:t>
            </w:r>
          </w:p>
        </w:tc>
        <w:tc>
          <w:tcPr>
            <w:tcW w:w="2938" w:type="dxa"/>
          </w:tcPr>
          <w:p w:rsidR="002147E0" w:rsidRPr="00CD48DD" w:rsidRDefault="002147E0" w:rsidP="003A0EE9">
            <w:pPr>
              <w:rPr>
                <w:rFonts w:ascii="Arial" w:hAnsi="Arial" w:cs="Arial"/>
              </w:rPr>
            </w:pPr>
            <w:r>
              <w:rPr>
                <w:rFonts w:ascii="Arial" w:hAnsi="Arial" w:cs="Arial"/>
              </w:rPr>
              <w:t>CD – 24 (71%</w:t>
            </w:r>
            <w:r w:rsidRPr="00CD48DD">
              <w:rPr>
                <w:rFonts w:ascii="Arial" w:hAnsi="Arial" w:cs="Arial"/>
              </w:rPr>
              <w:t>)</w:t>
            </w:r>
          </w:p>
          <w:p w:rsidR="002147E0" w:rsidRPr="00CD48DD" w:rsidRDefault="002147E0" w:rsidP="003A0EE9">
            <w:pPr>
              <w:rPr>
                <w:rFonts w:ascii="Arial" w:hAnsi="Arial" w:cs="Arial"/>
              </w:rPr>
            </w:pPr>
            <w:r>
              <w:rPr>
                <w:rFonts w:ascii="Arial" w:hAnsi="Arial" w:cs="Arial"/>
              </w:rPr>
              <w:t>UC – 10 (29%</w:t>
            </w:r>
            <w:r w:rsidRPr="00CD48DD">
              <w:rPr>
                <w:rFonts w:ascii="Arial" w:hAnsi="Arial" w:cs="Arial"/>
              </w:rPr>
              <w:t>)</w:t>
            </w:r>
          </w:p>
          <w:p w:rsidR="002147E0" w:rsidRPr="00CD48DD" w:rsidRDefault="002147E0" w:rsidP="003A0EE9">
            <w:pPr>
              <w:rPr>
                <w:rFonts w:ascii="Arial" w:hAnsi="Arial" w:cs="Arial"/>
              </w:rPr>
            </w:pPr>
            <w:r>
              <w:rPr>
                <w:rFonts w:ascii="Arial" w:hAnsi="Arial" w:cs="Arial"/>
              </w:rPr>
              <w:t>IBDU – 0 (0%</w:t>
            </w:r>
            <w:r w:rsidRPr="00CD48DD">
              <w:rPr>
                <w:rFonts w:ascii="Arial" w:hAnsi="Arial" w:cs="Arial"/>
              </w:rPr>
              <w:t>)</w:t>
            </w:r>
          </w:p>
        </w:tc>
      </w:tr>
      <w:tr w:rsidR="002147E0" w:rsidRPr="00CD48DD" w:rsidTr="003A0EE9">
        <w:trPr>
          <w:trHeight w:val="536"/>
        </w:trPr>
        <w:tc>
          <w:tcPr>
            <w:tcW w:w="3077" w:type="dxa"/>
          </w:tcPr>
          <w:p w:rsidR="002147E0" w:rsidRPr="00CF319C" w:rsidRDefault="002147E0" w:rsidP="003A0EE9">
            <w:pPr>
              <w:rPr>
                <w:rFonts w:ascii="Arial" w:hAnsi="Arial" w:cs="Arial"/>
              </w:rPr>
            </w:pPr>
            <w:r w:rsidRPr="00CF319C">
              <w:rPr>
                <w:rFonts w:ascii="Arial" w:hAnsi="Arial" w:cs="Arial"/>
              </w:rPr>
              <w:lastRenderedPageBreak/>
              <w:t>Percentage attending school</w:t>
            </w:r>
          </w:p>
        </w:tc>
        <w:tc>
          <w:tcPr>
            <w:tcW w:w="3001" w:type="dxa"/>
          </w:tcPr>
          <w:p w:rsidR="002147E0" w:rsidRPr="00CD48DD" w:rsidRDefault="002147E0" w:rsidP="003A0EE9">
            <w:pPr>
              <w:rPr>
                <w:rFonts w:ascii="Arial" w:hAnsi="Arial" w:cs="Arial"/>
              </w:rPr>
            </w:pPr>
            <w:r w:rsidRPr="00CD48DD">
              <w:rPr>
                <w:rFonts w:ascii="Arial" w:hAnsi="Arial" w:cs="Arial"/>
              </w:rPr>
              <w:t>87%</w:t>
            </w:r>
          </w:p>
        </w:tc>
        <w:tc>
          <w:tcPr>
            <w:tcW w:w="2938" w:type="dxa"/>
          </w:tcPr>
          <w:p w:rsidR="002147E0" w:rsidRPr="00CD48DD" w:rsidRDefault="002147E0" w:rsidP="003A0EE9">
            <w:pPr>
              <w:rPr>
                <w:rFonts w:ascii="Arial" w:hAnsi="Arial" w:cs="Arial"/>
              </w:rPr>
            </w:pPr>
            <w:r>
              <w:rPr>
                <w:rFonts w:ascii="Arial" w:hAnsi="Arial" w:cs="Arial"/>
              </w:rPr>
              <w:t>92</w:t>
            </w:r>
            <w:r w:rsidRPr="00CD48DD">
              <w:rPr>
                <w:rFonts w:ascii="Arial" w:hAnsi="Arial" w:cs="Arial"/>
              </w:rPr>
              <w:t>%</w:t>
            </w:r>
          </w:p>
        </w:tc>
      </w:tr>
      <w:tr w:rsidR="002147E0" w:rsidRPr="00CD48DD" w:rsidTr="003A0EE9">
        <w:trPr>
          <w:trHeight w:val="536"/>
        </w:trPr>
        <w:tc>
          <w:tcPr>
            <w:tcW w:w="3077" w:type="dxa"/>
          </w:tcPr>
          <w:p w:rsidR="002147E0" w:rsidRPr="00CF319C" w:rsidRDefault="002147E0" w:rsidP="003A0EE9">
            <w:pPr>
              <w:rPr>
                <w:rFonts w:ascii="Arial" w:hAnsi="Arial" w:cs="Arial"/>
              </w:rPr>
            </w:pPr>
            <w:r w:rsidRPr="00CF319C">
              <w:rPr>
                <w:rFonts w:ascii="Arial" w:hAnsi="Arial" w:cs="Arial"/>
              </w:rPr>
              <w:t>Percentage attending college</w:t>
            </w:r>
          </w:p>
        </w:tc>
        <w:tc>
          <w:tcPr>
            <w:tcW w:w="3001" w:type="dxa"/>
          </w:tcPr>
          <w:p w:rsidR="002147E0" w:rsidRPr="002071A8" w:rsidRDefault="002147E0" w:rsidP="003A0EE9">
            <w:pPr>
              <w:rPr>
                <w:rFonts w:ascii="Arial" w:hAnsi="Arial" w:cs="Arial"/>
              </w:rPr>
            </w:pPr>
            <w:r w:rsidRPr="002071A8">
              <w:rPr>
                <w:rFonts w:ascii="Arial" w:hAnsi="Arial" w:cs="Arial"/>
              </w:rPr>
              <w:t>1</w:t>
            </w:r>
            <w:r>
              <w:rPr>
                <w:rFonts w:ascii="Arial" w:hAnsi="Arial" w:cs="Arial"/>
              </w:rPr>
              <w:t>2</w:t>
            </w:r>
            <w:r w:rsidRPr="002071A8">
              <w:rPr>
                <w:rFonts w:ascii="Arial" w:hAnsi="Arial" w:cs="Arial"/>
              </w:rPr>
              <w:t>%</w:t>
            </w:r>
          </w:p>
        </w:tc>
        <w:tc>
          <w:tcPr>
            <w:tcW w:w="2938" w:type="dxa"/>
          </w:tcPr>
          <w:p w:rsidR="002147E0" w:rsidRPr="002071A8" w:rsidRDefault="002147E0" w:rsidP="003A0EE9">
            <w:pPr>
              <w:rPr>
                <w:rFonts w:ascii="Arial" w:hAnsi="Arial" w:cs="Arial"/>
              </w:rPr>
            </w:pPr>
            <w:r>
              <w:rPr>
                <w:rFonts w:ascii="Arial" w:hAnsi="Arial" w:cs="Arial"/>
              </w:rPr>
              <w:t>9</w:t>
            </w:r>
            <w:r w:rsidRPr="002071A8">
              <w:rPr>
                <w:rFonts w:ascii="Arial" w:hAnsi="Arial" w:cs="Arial"/>
              </w:rPr>
              <w:t>%</w:t>
            </w:r>
          </w:p>
        </w:tc>
      </w:tr>
      <w:tr w:rsidR="002147E0" w:rsidRPr="00CD48DD" w:rsidTr="003A0EE9">
        <w:trPr>
          <w:trHeight w:val="536"/>
        </w:trPr>
        <w:tc>
          <w:tcPr>
            <w:tcW w:w="3077" w:type="dxa"/>
          </w:tcPr>
          <w:p w:rsidR="002147E0" w:rsidRPr="00CF319C" w:rsidRDefault="002147E0" w:rsidP="003A0EE9">
            <w:pPr>
              <w:rPr>
                <w:rFonts w:ascii="Arial" w:hAnsi="Arial" w:cs="Arial"/>
              </w:rPr>
            </w:pPr>
            <w:r>
              <w:rPr>
                <w:rFonts w:ascii="Arial" w:hAnsi="Arial" w:cs="Arial"/>
              </w:rPr>
              <w:t>Number not attending school or college</w:t>
            </w:r>
          </w:p>
        </w:tc>
        <w:tc>
          <w:tcPr>
            <w:tcW w:w="3001" w:type="dxa"/>
          </w:tcPr>
          <w:p w:rsidR="002147E0" w:rsidRPr="00CD48DD" w:rsidRDefault="002147E0" w:rsidP="003A0EE9">
            <w:pPr>
              <w:rPr>
                <w:rFonts w:ascii="Arial" w:hAnsi="Arial" w:cs="Arial"/>
              </w:rPr>
            </w:pPr>
            <w:r>
              <w:rPr>
                <w:rFonts w:ascii="Arial" w:hAnsi="Arial" w:cs="Arial"/>
              </w:rPr>
              <w:t>2</w:t>
            </w:r>
          </w:p>
        </w:tc>
        <w:tc>
          <w:tcPr>
            <w:tcW w:w="2938" w:type="dxa"/>
          </w:tcPr>
          <w:p w:rsidR="002147E0" w:rsidRPr="00CD48DD" w:rsidRDefault="002147E0" w:rsidP="003A0EE9">
            <w:pPr>
              <w:rPr>
                <w:rFonts w:ascii="Arial" w:hAnsi="Arial" w:cs="Arial"/>
              </w:rPr>
            </w:pPr>
            <w:r w:rsidRPr="00CD48DD">
              <w:rPr>
                <w:rFonts w:ascii="Arial" w:hAnsi="Arial" w:cs="Arial"/>
              </w:rPr>
              <w:t>0</w:t>
            </w:r>
          </w:p>
        </w:tc>
      </w:tr>
      <w:bookmarkEnd w:id="23"/>
    </w:tbl>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u w:val="single"/>
        </w:rPr>
      </w:pPr>
    </w:p>
    <w:p w:rsidR="002147E0" w:rsidRDefault="002147E0" w:rsidP="002147E0">
      <w:pPr>
        <w:spacing w:line="240" w:lineRule="auto"/>
        <w:jc w:val="both"/>
        <w:rPr>
          <w:rFonts w:ascii="Arial" w:hAnsi="Arial" w:cs="Arial"/>
          <w:sz w:val="24"/>
          <w:szCs w:val="24"/>
          <w:u w:val="single"/>
        </w:rPr>
      </w:pPr>
    </w:p>
    <w:p w:rsidR="002147E0" w:rsidRDefault="002147E0" w:rsidP="002147E0">
      <w:pPr>
        <w:spacing w:line="240" w:lineRule="auto"/>
        <w:jc w:val="both"/>
        <w:rPr>
          <w:rFonts w:ascii="Arial" w:hAnsi="Arial" w:cs="Arial"/>
          <w:sz w:val="24"/>
          <w:szCs w:val="24"/>
          <w:u w:val="single"/>
        </w:rPr>
      </w:pPr>
    </w:p>
    <w:p w:rsidR="002147E0" w:rsidRDefault="002147E0" w:rsidP="002147E0">
      <w:pPr>
        <w:spacing w:line="240" w:lineRule="auto"/>
        <w:jc w:val="both"/>
        <w:rPr>
          <w:rFonts w:ascii="Arial" w:hAnsi="Arial" w:cs="Arial"/>
          <w:sz w:val="24"/>
          <w:szCs w:val="24"/>
          <w:u w:val="single"/>
        </w:rPr>
      </w:pPr>
    </w:p>
    <w:p w:rsidR="002147E0" w:rsidRDefault="002147E0" w:rsidP="002147E0">
      <w:pPr>
        <w:spacing w:line="240" w:lineRule="auto"/>
        <w:jc w:val="both"/>
        <w:rPr>
          <w:rFonts w:ascii="Arial" w:hAnsi="Arial" w:cs="Arial"/>
          <w:sz w:val="24"/>
          <w:szCs w:val="24"/>
          <w:u w:val="single"/>
        </w:rPr>
      </w:pPr>
      <w:r>
        <w:rPr>
          <w:rFonts w:ascii="Arial" w:hAnsi="Arial" w:cs="Arial"/>
          <w:sz w:val="24"/>
          <w:szCs w:val="24"/>
          <w:u w:val="single"/>
        </w:rPr>
        <w:t>Table 2 – M</w:t>
      </w:r>
      <w:r w:rsidRPr="00CA06C4">
        <w:rPr>
          <w:rFonts w:ascii="Arial" w:hAnsi="Arial" w:cs="Arial"/>
          <w:sz w:val="24"/>
          <w:szCs w:val="24"/>
          <w:u w:val="single"/>
        </w:rPr>
        <w:t>ultivaria</w:t>
      </w:r>
      <w:r>
        <w:rPr>
          <w:rFonts w:ascii="Arial" w:hAnsi="Arial" w:cs="Arial"/>
          <w:sz w:val="24"/>
          <w:szCs w:val="24"/>
          <w:u w:val="single"/>
        </w:rPr>
        <w:t>ble</w:t>
      </w:r>
      <w:r w:rsidRPr="00CA06C4">
        <w:rPr>
          <w:rFonts w:ascii="Arial" w:hAnsi="Arial" w:cs="Arial"/>
          <w:sz w:val="24"/>
          <w:szCs w:val="24"/>
          <w:u w:val="single"/>
        </w:rPr>
        <w:t xml:space="preserve"> linear regression for school/college attendance</w:t>
      </w:r>
      <w:r>
        <w:rPr>
          <w:rFonts w:ascii="Arial" w:hAnsi="Arial" w:cs="Arial"/>
          <w:sz w:val="24"/>
          <w:szCs w:val="24"/>
          <w:u w:val="single"/>
        </w:rPr>
        <w:t xml:space="preserve"> </w:t>
      </w:r>
    </w:p>
    <w:p w:rsidR="002147E0" w:rsidRDefault="002147E0" w:rsidP="002147E0">
      <w:pPr>
        <w:spacing w:line="240" w:lineRule="auto"/>
        <w:jc w:val="both"/>
        <w:rPr>
          <w:rFonts w:ascii="Arial" w:hAnsi="Arial" w:cs="Arial"/>
          <w:sz w:val="24"/>
          <w:szCs w:val="24"/>
          <w:u w:val="single"/>
        </w:rPr>
      </w:pPr>
    </w:p>
    <w:p w:rsidR="002147E0" w:rsidRPr="009A2637" w:rsidRDefault="002147E0" w:rsidP="002147E0">
      <w:pPr>
        <w:spacing w:line="240" w:lineRule="auto"/>
        <w:jc w:val="both"/>
        <w:rPr>
          <w:rFonts w:ascii="Arial" w:hAnsi="Arial" w:cs="Arial"/>
          <w:sz w:val="24"/>
          <w:szCs w:val="24"/>
        </w:rPr>
      </w:pPr>
      <w:r w:rsidRPr="009A2637">
        <w:rPr>
          <w:rFonts w:ascii="Arial" w:hAnsi="Arial" w:cs="Arial"/>
          <w:sz w:val="24"/>
          <w:szCs w:val="24"/>
        </w:rPr>
        <w:t>Increasing age and use of monoclonal therapy</w:t>
      </w:r>
      <w:r>
        <w:rPr>
          <w:rFonts w:ascii="Arial" w:hAnsi="Arial" w:cs="Arial"/>
          <w:sz w:val="24"/>
          <w:szCs w:val="24"/>
        </w:rPr>
        <w:t xml:space="preserve"> </w:t>
      </w:r>
      <w:r w:rsidRPr="00A72606">
        <w:rPr>
          <w:rFonts w:ascii="Arial" w:hAnsi="Arial" w:cs="Arial"/>
          <w:sz w:val="24"/>
          <w:szCs w:val="24"/>
        </w:rPr>
        <w:t xml:space="preserve">(infliximab, adalimumab, </w:t>
      </w:r>
      <w:proofErr w:type="spellStart"/>
      <w:r w:rsidRPr="00A72606">
        <w:rPr>
          <w:rFonts w:ascii="Arial" w:hAnsi="Arial" w:cs="Arial"/>
          <w:sz w:val="24"/>
          <w:szCs w:val="24"/>
        </w:rPr>
        <w:t>ustekinumab</w:t>
      </w:r>
      <w:proofErr w:type="spellEnd"/>
      <w:r w:rsidRPr="00A72606">
        <w:rPr>
          <w:rFonts w:ascii="Arial" w:hAnsi="Arial" w:cs="Arial"/>
          <w:sz w:val="24"/>
          <w:szCs w:val="24"/>
        </w:rPr>
        <w:t xml:space="preserve"> or vedolizumab)</w:t>
      </w:r>
      <w:r w:rsidRPr="009A2637">
        <w:rPr>
          <w:rFonts w:ascii="Arial" w:hAnsi="Arial" w:cs="Arial"/>
          <w:sz w:val="24"/>
          <w:szCs w:val="24"/>
        </w:rPr>
        <w:t xml:space="preserve"> are predictors of reduced school attendance</w:t>
      </w:r>
      <w:r>
        <w:rPr>
          <w:rFonts w:ascii="Arial" w:hAnsi="Arial" w:cs="Arial"/>
          <w:sz w:val="24"/>
          <w:szCs w:val="24"/>
        </w:rPr>
        <w:t>.</w:t>
      </w:r>
    </w:p>
    <w:p w:rsidR="002147E0" w:rsidRDefault="002147E0" w:rsidP="002147E0">
      <w:pPr>
        <w:spacing w:line="360" w:lineRule="auto"/>
        <w:jc w:val="both"/>
        <w:rPr>
          <w:rFonts w:ascii="Arial" w:hAnsi="Arial" w:cs="Arial"/>
          <w:sz w:val="24"/>
          <w:szCs w:val="24"/>
        </w:rPr>
      </w:pPr>
    </w:p>
    <w:tbl>
      <w:tblPr>
        <w:tblStyle w:val="TableGrid"/>
        <w:tblW w:w="10013" w:type="dxa"/>
        <w:tblLook w:val="04A0" w:firstRow="1" w:lastRow="0" w:firstColumn="1" w:lastColumn="0" w:noHBand="0" w:noVBand="1"/>
      </w:tblPr>
      <w:tblGrid>
        <w:gridCol w:w="4186"/>
        <w:gridCol w:w="2506"/>
        <w:gridCol w:w="3321"/>
      </w:tblGrid>
      <w:tr w:rsidR="007856B3" w:rsidTr="00303F14">
        <w:trPr>
          <w:trHeight w:val="723"/>
        </w:trPr>
        <w:tc>
          <w:tcPr>
            <w:tcW w:w="4186" w:type="dxa"/>
            <w:shd w:val="clear" w:color="auto" w:fill="auto"/>
          </w:tcPr>
          <w:p w:rsidR="007856B3" w:rsidRPr="00425DE1" w:rsidRDefault="007856B3" w:rsidP="003A0EE9">
            <w:pPr>
              <w:spacing w:line="360" w:lineRule="auto"/>
              <w:jc w:val="both"/>
              <w:rPr>
                <w:rFonts w:ascii="Arial" w:hAnsi="Arial" w:cs="Arial"/>
                <w:b/>
                <w:sz w:val="24"/>
                <w:szCs w:val="24"/>
              </w:rPr>
            </w:pPr>
            <w:r w:rsidRPr="00425DE1">
              <w:rPr>
                <w:rFonts w:ascii="Arial" w:hAnsi="Arial" w:cs="Arial"/>
                <w:b/>
                <w:sz w:val="24"/>
                <w:szCs w:val="24"/>
              </w:rPr>
              <w:t xml:space="preserve">Independent variable </w:t>
            </w:r>
          </w:p>
        </w:tc>
        <w:tc>
          <w:tcPr>
            <w:tcW w:w="2506" w:type="dxa"/>
            <w:shd w:val="clear" w:color="auto" w:fill="auto"/>
          </w:tcPr>
          <w:p w:rsidR="007856B3" w:rsidRPr="00425DE1" w:rsidRDefault="00583D82" w:rsidP="003A0EE9">
            <w:pPr>
              <w:spacing w:line="360" w:lineRule="auto"/>
              <w:jc w:val="both"/>
              <w:rPr>
                <w:rFonts w:ascii="Arial" w:hAnsi="Arial" w:cs="Arial"/>
                <w:b/>
                <w:sz w:val="24"/>
                <w:szCs w:val="24"/>
              </w:rPr>
            </w:pPr>
            <w:r w:rsidRPr="00583D82">
              <w:rPr>
                <w:rFonts w:ascii="Arial" w:hAnsi="Arial" w:cs="Arial"/>
                <w:b/>
                <w:sz w:val="24"/>
                <w:szCs w:val="24"/>
              </w:rPr>
              <w:t xml:space="preserve">β-coefficient </w:t>
            </w:r>
            <w:r w:rsidR="007856B3">
              <w:rPr>
                <w:rFonts w:ascii="Arial" w:hAnsi="Arial" w:cs="Arial"/>
                <w:b/>
                <w:sz w:val="24"/>
                <w:szCs w:val="24"/>
              </w:rPr>
              <w:t>(95% CI)</w:t>
            </w:r>
          </w:p>
        </w:tc>
        <w:tc>
          <w:tcPr>
            <w:tcW w:w="3321" w:type="dxa"/>
            <w:shd w:val="clear" w:color="auto" w:fill="auto"/>
          </w:tcPr>
          <w:p w:rsidR="007856B3" w:rsidRPr="00425DE1" w:rsidRDefault="007856B3" w:rsidP="003A0EE9">
            <w:pPr>
              <w:spacing w:line="360" w:lineRule="auto"/>
              <w:jc w:val="both"/>
              <w:rPr>
                <w:rFonts w:ascii="Arial" w:hAnsi="Arial" w:cs="Arial"/>
                <w:b/>
                <w:sz w:val="24"/>
                <w:szCs w:val="24"/>
              </w:rPr>
            </w:pPr>
            <w:r w:rsidRPr="00425DE1">
              <w:rPr>
                <w:rFonts w:ascii="Arial" w:hAnsi="Arial" w:cs="Arial"/>
                <w:b/>
                <w:sz w:val="24"/>
                <w:szCs w:val="24"/>
              </w:rPr>
              <w:t>p value</w:t>
            </w:r>
          </w:p>
        </w:tc>
      </w:tr>
      <w:tr w:rsidR="007856B3" w:rsidTr="00303F14">
        <w:trPr>
          <w:trHeight w:val="751"/>
        </w:trPr>
        <w:tc>
          <w:tcPr>
            <w:tcW w:w="4186" w:type="dxa"/>
            <w:shd w:val="clear" w:color="auto" w:fill="auto"/>
          </w:tcPr>
          <w:p w:rsidR="007856B3" w:rsidRDefault="007856B3" w:rsidP="003A0EE9">
            <w:pPr>
              <w:spacing w:line="360" w:lineRule="auto"/>
              <w:jc w:val="both"/>
              <w:rPr>
                <w:rFonts w:ascii="Arial" w:hAnsi="Arial" w:cs="Arial"/>
                <w:sz w:val="24"/>
                <w:szCs w:val="24"/>
              </w:rPr>
            </w:pPr>
            <w:r>
              <w:rPr>
                <w:rFonts w:ascii="Arial" w:hAnsi="Arial" w:cs="Arial"/>
                <w:sz w:val="24"/>
                <w:szCs w:val="24"/>
              </w:rPr>
              <w:t>Monoclonal therapy</w:t>
            </w:r>
          </w:p>
        </w:tc>
        <w:tc>
          <w:tcPr>
            <w:tcW w:w="2506" w:type="dxa"/>
            <w:shd w:val="clear" w:color="auto" w:fill="auto"/>
          </w:tcPr>
          <w:p w:rsidR="00034F19" w:rsidRDefault="007856B3" w:rsidP="003A0EE9">
            <w:pPr>
              <w:spacing w:line="360" w:lineRule="auto"/>
              <w:jc w:val="both"/>
              <w:rPr>
                <w:rFonts w:ascii="Arial" w:hAnsi="Arial" w:cs="Arial"/>
                <w:sz w:val="24"/>
                <w:szCs w:val="24"/>
              </w:rPr>
            </w:pPr>
            <w:r w:rsidRPr="008F73CA">
              <w:rPr>
                <w:rFonts w:ascii="Arial" w:hAnsi="Arial" w:cs="Arial"/>
                <w:sz w:val="24"/>
                <w:szCs w:val="24"/>
              </w:rPr>
              <w:t>-</w:t>
            </w:r>
            <w:r>
              <w:rPr>
                <w:rFonts w:ascii="Arial" w:hAnsi="Arial" w:cs="Arial"/>
                <w:sz w:val="24"/>
                <w:szCs w:val="24"/>
              </w:rPr>
              <w:t>0</w:t>
            </w:r>
            <w:r w:rsidRPr="008F73CA">
              <w:rPr>
                <w:rFonts w:ascii="Arial" w:hAnsi="Arial" w:cs="Arial"/>
                <w:sz w:val="24"/>
                <w:szCs w:val="24"/>
              </w:rPr>
              <w:t>.212</w:t>
            </w:r>
            <w:r w:rsidR="00034F19">
              <w:rPr>
                <w:rFonts w:ascii="Arial" w:hAnsi="Arial" w:cs="Arial"/>
                <w:sz w:val="24"/>
                <w:szCs w:val="24"/>
              </w:rPr>
              <w:t xml:space="preserve"> </w:t>
            </w:r>
          </w:p>
          <w:p w:rsidR="007856B3" w:rsidRDefault="00034F19" w:rsidP="003A0EE9">
            <w:pPr>
              <w:spacing w:line="360" w:lineRule="auto"/>
              <w:jc w:val="both"/>
              <w:rPr>
                <w:rFonts w:ascii="Arial" w:hAnsi="Arial" w:cs="Arial"/>
                <w:sz w:val="24"/>
                <w:szCs w:val="24"/>
              </w:rPr>
            </w:pPr>
            <w:r>
              <w:rPr>
                <w:rFonts w:ascii="Arial" w:hAnsi="Arial" w:cs="Arial"/>
                <w:sz w:val="24"/>
                <w:szCs w:val="24"/>
              </w:rPr>
              <w:t>(-0.358 to -0.066)</w:t>
            </w:r>
          </w:p>
        </w:tc>
        <w:tc>
          <w:tcPr>
            <w:tcW w:w="3321" w:type="dxa"/>
            <w:shd w:val="clear" w:color="auto" w:fill="auto"/>
          </w:tcPr>
          <w:p w:rsidR="007856B3" w:rsidRPr="00107A64" w:rsidRDefault="007856B3" w:rsidP="003A0EE9">
            <w:pPr>
              <w:spacing w:line="360" w:lineRule="auto"/>
              <w:jc w:val="both"/>
              <w:rPr>
                <w:rFonts w:ascii="Arial" w:hAnsi="Arial" w:cs="Arial"/>
                <w:sz w:val="24"/>
                <w:szCs w:val="24"/>
              </w:rPr>
            </w:pPr>
            <w:r w:rsidRPr="00425DE1">
              <w:rPr>
                <w:rFonts w:ascii="Arial" w:hAnsi="Arial" w:cs="Arial"/>
                <w:sz w:val="24"/>
                <w:szCs w:val="24"/>
              </w:rPr>
              <w:t>0.005</w:t>
            </w:r>
          </w:p>
        </w:tc>
      </w:tr>
      <w:tr w:rsidR="007856B3" w:rsidTr="00303F14">
        <w:trPr>
          <w:trHeight w:val="611"/>
        </w:trPr>
        <w:tc>
          <w:tcPr>
            <w:tcW w:w="4186" w:type="dxa"/>
            <w:shd w:val="clear" w:color="auto" w:fill="auto"/>
          </w:tcPr>
          <w:p w:rsidR="007856B3" w:rsidRDefault="007856B3" w:rsidP="003A0EE9">
            <w:pPr>
              <w:spacing w:line="360" w:lineRule="auto"/>
              <w:jc w:val="both"/>
              <w:rPr>
                <w:rFonts w:ascii="Arial" w:hAnsi="Arial" w:cs="Arial"/>
                <w:sz w:val="24"/>
                <w:szCs w:val="24"/>
              </w:rPr>
            </w:pPr>
            <w:r>
              <w:rPr>
                <w:rFonts w:ascii="Arial" w:hAnsi="Arial" w:cs="Arial"/>
                <w:sz w:val="24"/>
                <w:szCs w:val="24"/>
              </w:rPr>
              <w:t>Age at response to Questionnaire</w:t>
            </w:r>
          </w:p>
        </w:tc>
        <w:tc>
          <w:tcPr>
            <w:tcW w:w="2506" w:type="dxa"/>
            <w:shd w:val="clear" w:color="auto" w:fill="auto"/>
          </w:tcPr>
          <w:p w:rsidR="007856B3" w:rsidRDefault="007856B3" w:rsidP="003A0EE9">
            <w:pPr>
              <w:spacing w:line="360" w:lineRule="auto"/>
              <w:jc w:val="both"/>
              <w:rPr>
                <w:rFonts w:ascii="Arial" w:hAnsi="Arial" w:cs="Arial"/>
                <w:sz w:val="24"/>
                <w:szCs w:val="24"/>
              </w:rPr>
            </w:pPr>
            <w:r w:rsidRPr="008F73CA">
              <w:rPr>
                <w:rFonts w:ascii="Arial" w:hAnsi="Arial" w:cs="Arial"/>
                <w:sz w:val="24"/>
                <w:szCs w:val="24"/>
              </w:rPr>
              <w:t>-</w:t>
            </w:r>
            <w:r>
              <w:rPr>
                <w:rFonts w:ascii="Arial" w:hAnsi="Arial" w:cs="Arial"/>
                <w:sz w:val="24"/>
                <w:szCs w:val="24"/>
              </w:rPr>
              <w:t>0</w:t>
            </w:r>
            <w:r w:rsidRPr="008F73CA">
              <w:rPr>
                <w:rFonts w:ascii="Arial" w:hAnsi="Arial" w:cs="Arial"/>
                <w:sz w:val="24"/>
                <w:szCs w:val="24"/>
              </w:rPr>
              <w:t>.203</w:t>
            </w:r>
          </w:p>
          <w:p w:rsidR="00034F19" w:rsidRDefault="00034F19" w:rsidP="003A0EE9">
            <w:pPr>
              <w:spacing w:line="360" w:lineRule="auto"/>
              <w:jc w:val="both"/>
              <w:rPr>
                <w:rFonts w:ascii="Arial" w:hAnsi="Arial" w:cs="Arial"/>
                <w:sz w:val="24"/>
                <w:szCs w:val="24"/>
              </w:rPr>
            </w:pPr>
            <w:r>
              <w:rPr>
                <w:rFonts w:ascii="Arial" w:hAnsi="Arial" w:cs="Arial"/>
                <w:sz w:val="24"/>
                <w:szCs w:val="24"/>
              </w:rPr>
              <w:t>(-0.350 to -0.057)</w:t>
            </w:r>
          </w:p>
        </w:tc>
        <w:tc>
          <w:tcPr>
            <w:tcW w:w="3321" w:type="dxa"/>
            <w:shd w:val="clear" w:color="auto" w:fill="auto"/>
          </w:tcPr>
          <w:p w:rsidR="007856B3" w:rsidRPr="00107A64" w:rsidRDefault="007856B3" w:rsidP="003A0EE9">
            <w:pPr>
              <w:spacing w:line="360" w:lineRule="auto"/>
              <w:jc w:val="both"/>
              <w:rPr>
                <w:rFonts w:ascii="Arial" w:hAnsi="Arial" w:cs="Arial"/>
                <w:sz w:val="24"/>
                <w:szCs w:val="24"/>
              </w:rPr>
            </w:pPr>
            <w:r w:rsidRPr="00425DE1">
              <w:rPr>
                <w:rFonts w:ascii="Arial" w:hAnsi="Arial" w:cs="Arial"/>
                <w:sz w:val="24"/>
                <w:szCs w:val="24"/>
              </w:rPr>
              <w:t>0.007</w:t>
            </w:r>
          </w:p>
        </w:tc>
      </w:tr>
    </w:tbl>
    <w:p w:rsidR="002147E0" w:rsidRDefault="002147E0" w:rsidP="002147E0">
      <w:pPr>
        <w:spacing w:line="36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r w:rsidRPr="008F73CA">
        <w:rPr>
          <w:rFonts w:ascii="Arial" w:hAnsi="Arial" w:cs="Arial"/>
          <w:sz w:val="24"/>
          <w:szCs w:val="24"/>
        </w:rPr>
        <w:t xml:space="preserve">Dependent variable: </w:t>
      </w:r>
      <w:r>
        <w:rPr>
          <w:rFonts w:ascii="Arial" w:hAnsi="Arial" w:cs="Arial"/>
          <w:sz w:val="24"/>
          <w:szCs w:val="24"/>
        </w:rPr>
        <w:t>S</w:t>
      </w:r>
      <w:r w:rsidRPr="008F73CA">
        <w:rPr>
          <w:rFonts w:ascii="Arial" w:hAnsi="Arial" w:cs="Arial"/>
          <w:sz w:val="24"/>
          <w:szCs w:val="24"/>
        </w:rPr>
        <w:t xml:space="preserve">chool </w:t>
      </w:r>
      <w:r>
        <w:rPr>
          <w:rFonts w:ascii="Arial" w:hAnsi="Arial" w:cs="Arial"/>
          <w:sz w:val="24"/>
          <w:szCs w:val="24"/>
        </w:rPr>
        <w:t>A</w:t>
      </w:r>
      <w:r w:rsidRPr="008F73CA">
        <w:rPr>
          <w:rFonts w:ascii="Arial" w:hAnsi="Arial" w:cs="Arial"/>
          <w:sz w:val="24"/>
          <w:szCs w:val="24"/>
        </w:rPr>
        <w:t>ttendance</w:t>
      </w:r>
      <w:r>
        <w:rPr>
          <w:rFonts w:ascii="Arial" w:hAnsi="Arial" w:cs="Arial"/>
          <w:sz w:val="24"/>
          <w:szCs w:val="24"/>
        </w:rPr>
        <w:t xml:space="preserve"> (%). Independent variables: age at questionnaire, age at diagnosis, sex, thiopurine/methotrexate treatment, diagnosis (CD, UC or IBDU) and time with disease.</w:t>
      </w:r>
    </w:p>
    <w:p w:rsidR="002147E0" w:rsidRDefault="002147E0" w:rsidP="002147E0">
      <w:pPr>
        <w:spacing w:line="240" w:lineRule="auto"/>
        <w:jc w:val="both"/>
        <w:rPr>
          <w:rFonts w:ascii="Arial" w:hAnsi="Arial" w:cs="Arial"/>
          <w:sz w:val="24"/>
          <w:szCs w:val="24"/>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r>
        <w:rPr>
          <w:rFonts w:ascii="Arial" w:hAnsi="Arial" w:cs="Arial"/>
          <w:sz w:val="24"/>
          <w:szCs w:val="24"/>
          <w:u w:val="single"/>
        </w:rPr>
        <w:t>Table 3</w:t>
      </w:r>
      <w:r w:rsidRPr="00F1683D">
        <w:rPr>
          <w:rFonts w:ascii="Arial" w:hAnsi="Arial" w:cs="Arial"/>
          <w:sz w:val="24"/>
          <w:szCs w:val="24"/>
          <w:u w:val="single"/>
        </w:rPr>
        <w:t xml:space="preserve"> – Thematic analysis of questionnaire free text comments</w:t>
      </w:r>
    </w:p>
    <w:p w:rsidR="002147E0" w:rsidRPr="00F1683D" w:rsidRDefault="002147E0" w:rsidP="002147E0">
      <w:pPr>
        <w:spacing w:line="360" w:lineRule="auto"/>
        <w:jc w:val="both"/>
        <w:rPr>
          <w:rFonts w:ascii="Arial" w:hAnsi="Arial" w:cs="Arial"/>
          <w:sz w:val="24"/>
          <w:szCs w:val="24"/>
          <w:u w:val="single"/>
        </w:rPr>
      </w:pPr>
    </w:p>
    <w:tbl>
      <w:tblPr>
        <w:tblStyle w:val="TableGrid1"/>
        <w:tblpPr w:leftFromText="180" w:rightFromText="180" w:vertAnchor="text" w:horzAnchor="margin" w:tblpY="-209"/>
        <w:tblW w:w="9023" w:type="dxa"/>
        <w:tblLook w:val="04A0" w:firstRow="1" w:lastRow="0" w:firstColumn="1" w:lastColumn="0" w:noHBand="0" w:noVBand="1"/>
      </w:tblPr>
      <w:tblGrid>
        <w:gridCol w:w="1911"/>
        <w:gridCol w:w="7112"/>
      </w:tblGrid>
      <w:tr w:rsidR="002147E0" w:rsidRPr="00F1683D" w:rsidTr="003A0EE9">
        <w:trPr>
          <w:trHeight w:val="1080"/>
        </w:trPr>
        <w:tc>
          <w:tcPr>
            <w:tcW w:w="1838" w:type="dxa"/>
          </w:tcPr>
          <w:p w:rsidR="002147E0" w:rsidRPr="00F1683D" w:rsidRDefault="002147E0" w:rsidP="003A0EE9">
            <w:pPr>
              <w:rPr>
                <w:rFonts w:ascii="Arial" w:hAnsi="Arial" w:cs="Arial"/>
                <w:sz w:val="24"/>
                <w:szCs w:val="24"/>
              </w:rPr>
            </w:pPr>
            <w:r w:rsidRPr="00F1683D">
              <w:rPr>
                <w:rFonts w:ascii="Arial" w:hAnsi="Arial" w:cs="Arial"/>
                <w:sz w:val="24"/>
                <w:szCs w:val="24"/>
              </w:rPr>
              <w:lastRenderedPageBreak/>
              <w:t>Side effects of IBD</w:t>
            </w:r>
          </w:p>
        </w:tc>
        <w:tc>
          <w:tcPr>
            <w:tcW w:w="7185" w:type="dxa"/>
          </w:tcPr>
          <w:p w:rsidR="002147E0" w:rsidRPr="004E6B09" w:rsidRDefault="002147E0" w:rsidP="003A0EE9">
            <w:pPr>
              <w:rPr>
                <w:rFonts w:ascii="Arial" w:hAnsi="Arial" w:cs="Arial"/>
              </w:rPr>
            </w:pPr>
            <w:r w:rsidRPr="004E6B09">
              <w:rPr>
                <w:rFonts w:ascii="Arial" w:hAnsi="Arial" w:cs="Arial"/>
              </w:rPr>
              <w:t>“Feeling unwell makes college very off putting and not very desirable as it causes me not to be able to focus on the lesson properly.”</w:t>
            </w:r>
          </w:p>
          <w:p w:rsidR="002147E0" w:rsidRPr="004E6B09" w:rsidRDefault="002147E0" w:rsidP="003A0EE9">
            <w:pPr>
              <w:rPr>
                <w:rFonts w:ascii="Arial" w:hAnsi="Arial" w:cs="Arial"/>
              </w:rPr>
            </w:pPr>
            <w:r w:rsidRPr="004E6B09">
              <w:rPr>
                <w:rFonts w:ascii="Arial" w:hAnsi="Arial" w:cs="Arial"/>
              </w:rPr>
              <w:t>“I worry that I will need the toilet urgently during lessons or exams and feel embarrassed.”</w:t>
            </w:r>
          </w:p>
          <w:p w:rsidR="002147E0" w:rsidRPr="004E6B09" w:rsidRDefault="002147E0" w:rsidP="003A0EE9">
            <w:pPr>
              <w:rPr>
                <w:rFonts w:ascii="Arial" w:hAnsi="Arial" w:cs="Arial"/>
              </w:rPr>
            </w:pPr>
            <w:r w:rsidRPr="004E6B09">
              <w:rPr>
                <w:rFonts w:ascii="Arial" w:hAnsi="Arial" w:cs="Arial"/>
              </w:rPr>
              <w:t>“He found getting to school tricky as he was often fatigued, felt unwell and worried constantly that he wouldn’t make the toilet in time and soil himself in front of peers”</w:t>
            </w:r>
          </w:p>
        </w:tc>
      </w:tr>
      <w:tr w:rsidR="002147E0" w:rsidRPr="00F1683D" w:rsidTr="003A0EE9">
        <w:trPr>
          <w:trHeight w:val="368"/>
        </w:trPr>
        <w:tc>
          <w:tcPr>
            <w:tcW w:w="1838" w:type="dxa"/>
          </w:tcPr>
          <w:p w:rsidR="002147E0" w:rsidRPr="00F1683D" w:rsidRDefault="002147E0" w:rsidP="003A0EE9">
            <w:pPr>
              <w:rPr>
                <w:rFonts w:ascii="Arial" w:hAnsi="Arial" w:cs="Arial"/>
                <w:sz w:val="24"/>
                <w:szCs w:val="24"/>
              </w:rPr>
            </w:pPr>
            <w:r w:rsidRPr="00F1683D">
              <w:rPr>
                <w:rFonts w:ascii="Arial" w:hAnsi="Arial" w:cs="Arial"/>
                <w:sz w:val="24"/>
                <w:szCs w:val="24"/>
              </w:rPr>
              <w:t>Measures to improve attendance</w:t>
            </w:r>
          </w:p>
        </w:tc>
        <w:tc>
          <w:tcPr>
            <w:tcW w:w="7185" w:type="dxa"/>
          </w:tcPr>
          <w:p w:rsidR="002147E0" w:rsidRPr="004E6B09" w:rsidRDefault="002147E0" w:rsidP="003A0EE9">
            <w:pPr>
              <w:rPr>
                <w:rFonts w:ascii="Arial" w:hAnsi="Arial" w:cs="Arial"/>
              </w:rPr>
            </w:pPr>
            <w:r w:rsidRPr="004E6B09">
              <w:rPr>
                <w:rFonts w:ascii="Arial" w:hAnsi="Arial" w:cs="Arial"/>
              </w:rPr>
              <w:t xml:space="preserve">“Whilst missing large periods of time off school due to having a flare up, I had virtual learning to help keep up with school work; this helped a lot.”  </w:t>
            </w:r>
          </w:p>
          <w:p w:rsidR="002147E0" w:rsidRPr="004E6B09" w:rsidRDefault="002147E0" w:rsidP="003A0EE9">
            <w:pPr>
              <w:rPr>
                <w:rFonts w:ascii="Arial" w:hAnsi="Arial" w:cs="Arial"/>
              </w:rPr>
            </w:pPr>
            <w:r w:rsidRPr="004E6B09">
              <w:rPr>
                <w:rFonts w:ascii="Arial" w:hAnsi="Arial" w:cs="Arial"/>
              </w:rPr>
              <w:t>“Treatments and appointments at closer hospitals.  Southampton is quite far away making me miss more school time.”</w:t>
            </w:r>
          </w:p>
          <w:p w:rsidR="002147E0" w:rsidRPr="004E6B09" w:rsidRDefault="002147E0" w:rsidP="003A0EE9">
            <w:pPr>
              <w:rPr>
                <w:rFonts w:ascii="Arial" w:hAnsi="Arial" w:cs="Arial"/>
              </w:rPr>
            </w:pPr>
            <w:r w:rsidRPr="004E6B09">
              <w:rPr>
                <w:rFonts w:ascii="Arial" w:hAnsi="Arial" w:cs="Arial"/>
              </w:rPr>
              <w:t>“Gastro nurse speaking to the school was a huge help”</w:t>
            </w:r>
          </w:p>
          <w:p w:rsidR="002147E0" w:rsidRPr="004E6B09" w:rsidRDefault="002147E0" w:rsidP="003A0EE9">
            <w:pPr>
              <w:rPr>
                <w:rFonts w:ascii="Arial" w:hAnsi="Arial" w:cs="Arial"/>
              </w:rPr>
            </w:pPr>
            <w:r w:rsidRPr="004E6B09">
              <w:rPr>
                <w:rFonts w:ascii="Arial" w:hAnsi="Arial" w:cs="Arial"/>
              </w:rPr>
              <w:t>“Appointments outside of college would be most helpful &amp; alleviate the stress incurred in catching up on missed work”</w:t>
            </w:r>
          </w:p>
        </w:tc>
      </w:tr>
      <w:tr w:rsidR="002147E0" w:rsidRPr="00F1683D" w:rsidTr="003A0EE9">
        <w:trPr>
          <w:trHeight w:val="355"/>
        </w:trPr>
        <w:tc>
          <w:tcPr>
            <w:tcW w:w="1838" w:type="dxa"/>
          </w:tcPr>
          <w:p w:rsidR="002147E0" w:rsidRPr="00F1683D" w:rsidRDefault="002147E0" w:rsidP="003A0EE9">
            <w:pPr>
              <w:rPr>
                <w:rFonts w:ascii="Arial" w:hAnsi="Arial" w:cs="Arial"/>
                <w:sz w:val="24"/>
                <w:szCs w:val="24"/>
                <w:u w:val="single"/>
              </w:rPr>
            </w:pPr>
            <w:r w:rsidRPr="00F1683D">
              <w:rPr>
                <w:rFonts w:ascii="Arial" w:hAnsi="Arial" w:cs="Arial"/>
                <w:sz w:val="24"/>
                <w:szCs w:val="24"/>
              </w:rPr>
              <w:t>Schools are not accommodating</w:t>
            </w:r>
          </w:p>
        </w:tc>
        <w:tc>
          <w:tcPr>
            <w:tcW w:w="7185" w:type="dxa"/>
          </w:tcPr>
          <w:p w:rsidR="002147E0" w:rsidRPr="004E6B09" w:rsidRDefault="002147E0" w:rsidP="003A0EE9">
            <w:pPr>
              <w:jc w:val="both"/>
              <w:rPr>
                <w:rFonts w:ascii="Arial" w:hAnsi="Arial" w:cs="Arial"/>
              </w:rPr>
            </w:pPr>
            <w:r w:rsidRPr="004E6B09">
              <w:rPr>
                <w:rFonts w:ascii="Arial" w:hAnsi="Arial" w:cs="Arial"/>
              </w:rPr>
              <w:t>“Very clear none of them understood the impact of Crohn’s on everyday life.  A case of if you cannot see an illness you are not ill. A teacher commented on his school report that if he improved his attendance it would help his school work!”</w:t>
            </w:r>
          </w:p>
          <w:p w:rsidR="002147E0" w:rsidRPr="004E6B09" w:rsidRDefault="002147E0" w:rsidP="003A0EE9">
            <w:pPr>
              <w:jc w:val="both"/>
              <w:rPr>
                <w:rFonts w:ascii="Arial" w:hAnsi="Arial" w:cs="Arial"/>
              </w:rPr>
            </w:pPr>
            <w:r w:rsidRPr="004E6B09">
              <w:rPr>
                <w:rFonts w:ascii="Arial" w:hAnsi="Arial" w:cs="Arial"/>
                <w:u w:val="single"/>
              </w:rPr>
              <w:t>“</w:t>
            </w:r>
            <w:r w:rsidRPr="004E6B09">
              <w:rPr>
                <w:rFonts w:ascii="Arial" w:hAnsi="Arial" w:cs="Arial"/>
              </w:rPr>
              <w:t>She fetches a key every day at school as the toilets are locked during lessons”</w:t>
            </w:r>
          </w:p>
          <w:p w:rsidR="002147E0" w:rsidRPr="004E6B09" w:rsidRDefault="002147E0" w:rsidP="003A0EE9">
            <w:pPr>
              <w:jc w:val="both"/>
              <w:rPr>
                <w:rFonts w:ascii="Arial" w:hAnsi="Arial" w:cs="Arial"/>
              </w:rPr>
            </w:pPr>
            <w:r w:rsidRPr="004E6B09">
              <w:rPr>
                <w:rFonts w:ascii="Arial" w:hAnsi="Arial" w:cs="Arial"/>
              </w:rPr>
              <w:t>“The school need information relating to IBD despite being constantly given information from me via emails etc – this info never seemed to be shared amongst staff though and caused real stress for my son at times”</w:t>
            </w:r>
          </w:p>
        </w:tc>
      </w:tr>
      <w:tr w:rsidR="002147E0" w:rsidRPr="00F1683D" w:rsidTr="003A0EE9">
        <w:trPr>
          <w:trHeight w:val="355"/>
        </w:trPr>
        <w:tc>
          <w:tcPr>
            <w:tcW w:w="1838" w:type="dxa"/>
          </w:tcPr>
          <w:p w:rsidR="002147E0" w:rsidRPr="00F1683D" w:rsidRDefault="002147E0" w:rsidP="003A0EE9">
            <w:pPr>
              <w:rPr>
                <w:rFonts w:ascii="Arial" w:hAnsi="Arial" w:cs="Arial"/>
                <w:sz w:val="24"/>
                <w:szCs w:val="24"/>
                <w:u w:val="single"/>
              </w:rPr>
            </w:pPr>
            <w:r w:rsidRPr="00F1683D">
              <w:rPr>
                <w:rFonts w:ascii="Arial" w:hAnsi="Arial" w:cs="Arial"/>
                <w:sz w:val="24"/>
                <w:szCs w:val="24"/>
              </w:rPr>
              <w:t>Schools are understanding</w:t>
            </w:r>
          </w:p>
        </w:tc>
        <w:tc>
          <w:tcPr>
            <w:tcW w:w="7185" w:type="dxa"/>
          </w:tcPr>
          <w:p w:rsidR="002147E0" w:rsidRPr="004E6B09" w:rsidRDefault="002147E0" w:rsidP="003A0EE9">
            <w:pPr>
              <w:jc w:val="both"/>
              <w:rPr>
                <w:rFonts w:ascii="Arial" w:hAnsi="Arial" w:cs="Arial"/>
              </w:rPr>
            </w:pPr>
            <w:r w:rsidRPr="004E6B09">
              <w:rPr>
                <w:rFonts w:ascii="Arial" w:hAnsi="Arial" w:cs="Arial"/>
              </w:rPr>
              <w:t xml:space="preserve">“Generally, both schools have been excellent and very understanding.  1 school went to the effort to help her sit her SATs while in hospital, so she didn’t miss out.” </w:t>
            </w:r>
          </w:p>
          <w:p w:rsidR="002147E0" w:rsidRPr="004E6B09" w:rsidRDefault="002147E0" w:rsidP="003A0EE9">
            <w:pPr>
              <w:jc w:val="both"/>
              <w:rPr>
                <w:rFonts w:ascii="Arial" w:hAnsi="Arial" w:cs="Arial"/>
              </w:rPr>
            </w:pPr>
            <w:r w:rsidRPr="004E6B09">
              <w:rPr>
                <w:rFonts w:ascii="Arial" w:hAnsi="Arial" w:cs="Arial"/>
              </w:rPr>
              <w:t>“School really good at understanding her needs and has free toilet pass when needed.  Without this school would be hard to attend.”</w:t>
            </w:r>
          </w:p>
          <w:p w:rsidR="002147E0" w:rsidRPr="004E6B09" w:rsidRDefault="002147E0" w:rsidP="003A0EE9">
            <w:pPr>
              <w:jc w:val="both"/>
              <w:rPr>
                <w:rFonts w:ascii="Arial" w:hAnsi="Arial" w:cs="Arial"/>
              </w:rPr>
            </w:pPr>
            <w:r w:rsidRPr="004E6B09">
              <w:rPr>
                <w:rFonts w:ascii="Arial" w:hAnsi="Arial" w:cs="Arial"/>
              </w:rPr>
              <w:t xml:space="preserve">“The primary school he was attending at the time were great – very supportive especially when he was taking </w:t>
            </w:r>
            <w:proofErr w:type="spellStart"/>
            <w:r w:rsidRPr="004E6B09">
              <w:rPr>
                <w:rFonts w:ascii="Arial" w:hAnsi="Arial" w:cs="Arial"/>
              </w:rPr>
              <w:t>modulen</w:t>
            </w:r>
            <w:proofErr w:type="spellEnd"/>
            <w:r w:rsidRPr="004E6B09">
              <w:rPr>
                <w:rFonts w:ascii="Arial" w:hAnsi="Arial" w:cs="Arial"/>
              </w:rPr>
              <w:t>.”</w:t>
            </w:r>
          </w:p>
        </w:tc>
      </w:tr>
      <w:tr w:rsidR="002147E0" w:rsidRPr="00F1683D" w:rsidTr="003A0EE9">
        <w:trPr>
          <w:trHeight w:val="355"/>
        </w:trPr>
        <w:tc>
          <w:tcPr>
            <w:tcW w:w="1838" w:type="dxa"/>
          </w:tcPr>
          <w:p w:rsidR="002147E0" w:rsidRPr="00F1683D" w:rsidRDefault="002147E0" w:rsidP="003A0EE9">
            <w:pPr>
              <w:rPr>
                <w:rFonts w:ascii="Arial" w:hAnsi="Arial" w:cs="Arial"/>
                <w:sz w:val="24"/>
                <w:szCs w:val="24"/>
              </w:rPr>
            </w:pPr>
            <w:r w:rsidRPr="00F1683D">
              <w:rPr>
                <w:rFonts w:ascii="Arial" w:hAnsi="Arial" w:cs="Arial"/>
                <w:sz w:val="24"/>
                <w:szCs w:val="24"/>
              </w:rPr>
              <w:t>No issues with IBD &amp; school/college</w:t>
            </w:r>
          </w:p>
        </w:tc>
        <w:tc>
          <w:tcPr>
            <w:tcW w:w="7185" w:type="dxa"/>
          </w:tcPr>
          <w:p w:rsidR="002147E0" w:rsidRPr="004E6B09" w:rsidRDefault="002147E0" w:rsidP="003A0EE9">
            <w:pPr>
              <w:jc w:val="both"/>
              <w:rPr>
                <w:rFonts w:ascii="Arial" w:hAnsi="Arial" w:cs="Arial"/>
              </w:rPr>
            </w:pPr>
            <w:r w:rsidRPr="004E6B09">
              <w:rPr>
                <w:rFonts w:ascii="Arial" w:hAnsi="Arial" w:cs="Arial"/>
              </w:rPr>
              <w:t>“At the moment my IBD is under control therefore it doesn’t affect my school life much.”</w:t>
            </w:r>
          </w:p>
          <w:p w:rsidR="002147E0" w:rsidRPr="004E6B09" w:rsidRDefault="002147E0" w:rsidP="003A0EE9">
            <w:pPr>
              <w:jc w:val="both"/>
              <w:rPr>
                <w:rFonts w:ascii="Arial" w:hAnsi="Arial" w:cs="Arial"/>
              </w:rPr>
            </w:pPr>
            <w:r w:rsidRPr="004E6B09">
              <w:rPr>
                <w:rFonts w:ascii="Arial" w:hAnsi="Arial" w:cs="Arial"/>
              </w:rPr>
              <w:t>“Nothing makes it difficult to attend school currently”</w:t>
            </w:r>
          </w:p>
          <w:p w:rsidR="002147E0" w:rsidRPr="004E6B09" w:rsidRDefault="002147E0" w:rsidP="003A0EE9">
            <w:pPr>
              <w:jc w:val="both"/>
              <w:rPr>
                <w:rFonts w:ascii="Arial" w:hAnsi="Arial" w:cs="Arial"/>
              </w:rPr>
            </w:pPr>
            <w:r w:rsidRPr="004E6B09">
              <w:rPr>
                <w:rFonts w:ascii="Arial" w:hAnsi="Arial" w:cs="Arial"/>
              </w:rPr>
              <w:t>“IBD v school is not a question/problem that has consistently arisen as yet”</w:t>
            </w:r>
          </w:p>
        </w:tc>
      </w:tr>
      <w:tr w:rsidR="002147E0" w:rsidRPr="00F1683D" w:rsidTr="003A0EE9">
        <w:trPr>
          <w:trHeight w:val="355"/>
        </w:trPr>
        <w:tc>
          <w:tcPr>
            <w:tcW w:w="1838" w:type="dxa"/>
          </w:tcPr>
          <w:p w:rsidR="002147E0" w:rsidRPr="00F1683D" w:rsidRDefault="002147E0" w:rsidP="003A0EE9">
            <w:pPr>
              <w:rPr>
                <w:rFonts w:ascii="Arial" w:hAnsi="Arial" w:cs="Arial"/>
                <w:sz w:val="24"/>
                <w:szCs w:val="24"/>
              </w:rPr>
            </w:pPr>
            <w:r w:rsidRPr="00F1683D">
              <w:rPr>
                <w:rFonts w:ascii="Arial" w:hAnsi="Arial" w:cs="Arial"/>
                <w:sz w:val="24"/>
                <w:szCs w:val="24"/>
              </w:rPr>
              <w:t>Need for more awareness of IBD</w:t>
            </w:r>
          </w:p>
        </w:tc>
        <w:tc>
          <w:tcPr>
            <w:tcW w:w="7185" w:type="dxa"/>
          </w:tcPr>
          <w:p w:rsidR="002147E0" w:rsidRPr="004E6B09" w:rsidRDefault="002147E0" w:rsidP="003A0EE9">
            <w:pPr>
              <w:jc w:val="both"/>
              <w:rPr>
                <w:rFonts w:ascii="Arial" w:hAnsi="Arial" w:cs="Arial"/>
              </w:rPr>
            </w:pPr>
            <w:r w:rsidRPr="004E6B09">
              <w:rPr>
                <w:rFonts w:ascii="Arial" w:hAnsi="Arial" w:cs="Arial"/>
              </w:rPr>
              <w:t>“Schools &amp; employers need more awareness of IBD and its impact on family life, student well-being.”</w:t>
            </w:r>
          </w:p>
          <w:p w:rsidR="002147E0" w:rsidRPr="004E6B09" w:rsidRDefault="002147E0" w:rsidP="003A0EE9">
            <w:pPr>
              <w:jc w:val="both"/>
              <w:rPr>
                <w:rFonts w:ascii="Arial" w:hAnsi="Arial" w:cs="Arial"/>
              </w:rPr>
            </w:pPr>
            <w:r w:rsidRPr="004E6B09">
              <w:rPr>
                <w:rFonts w:ascii="Arial" w:hAnsi="Arial" w:cs="Arial"/>
              </w:rPr>
              <w:t>“I feel schools need to be more aware of the effects of Crohn’s disease in order to meet the needs of children, especially those who may find it difficult to speak up”</w:t>
            </w:r>
          </w:p>
          <w:p w:rsidR="002147E0" w:rsidRPr="004E6B09" w:rsidRDefault="002147E0" w:rsidP="003A0EE9">
            <w:pPr>
              <w:jc w:val="both"/>
              <w:rPr>
                <w:rFonts w:ascii="Arial" w:hAnsi="Arial" w:cs="Arial"/>
              </w:rPr>
            </w:pPr>
            <w:r w:rsidRPr="004E6B09">
              <w:rPr>
                <w:rFonts w:ascii="Arial" w:hAnsi="Arial" w:cs="Arial"/>
              </w:rPr>
              <w:t xml:space="preserve">  “My son missed school on many days due to flare ups and was reluctant to attend school due to the lack of awareness shown by many teachers.”</w:t>
            </w:r>
          </w:p>
        </w:tc>
      </w:tr>
    </w:tbl>
    <w:p w:rsidR="002147E0" w:rsidRPr="00F1683D" w:rsidRDefault="002147E0" w:rsidP="002147E0">
      <w:pPr>
        <w:spacing w:line="240" w:lineRule="auto"/>
        <w:jc w:val="both"/>
        <w:rPr>
          <w:rFonts w:ascii="Arial" w:hAnsi="Arial" w:cs="Arial"/>
          <w:sz w:val="24"/>
          <w:szCs w:val="24"/>
        </w:rPr>
      </w:pPr>
      <w:r w:rsidRPr="00F1683D">
        <w:rPr>
          <w:rFonts w:ascii="Arial" w:hAnsi="Arial" w:cs="Arial"/>
          <w:sz w:val="24"/>
          <w:szCs w:val="24"/>
        </w:rPr>
        <w:t>The table illustrates the main themes from the questionnaire free text comments, with direct quotes from patients/families to illustrate each theme.</w:t>
      </w: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sectPr w:rsidR="002147E0">
          <w:footerReference w:type="default" r:id="rId7"/>
          <w:pgSz w:w="11906" w:h="16838"/>
          <w:pgMar w:top="1440" w:right="1440" w:bottom="1440" w:left="1440" w:header="708" w:footer="708" w:gutter="0"/>
          <w:cols w:space="708"/>
          <w:docGrid w:linePitch="360"/>
        </w:sectPr>
      </w:pPr>
    </w:p>
    <w:p w:rsidR="002147E0" w:rsidRDefault="002147E0" w:rsidP="002147E0">
      <w:pPr>
        <w:spacing w:line="360" w:lineRule="auto"/>
        <w:jc w:val="both"/>
        <w:rPr>
          <w:rFonts w:ascii="Arial" w:hAnsi="Arial" w:cs="Arial"/>
          <w:sz w:val="24"/>
          <w:szCs w:val="24"/>
          <w:u w:val="single"/>
        </w:rPr>
      </w:pPr>
      <w:r>
        <w:rPr>
          <w:rFonts w:ascii="Arial" w:hAnsi="Arial" w:cs="Arial"/>
          <w:sz w:val="24"/>
          <w:szCs w:val="24"/>
          <w:u w:val="single"/>
        </w:rPr>
        <w:lastRenderedPageBreak/>
        <w:t>Figure 1 – Heat map to illustrate factors affecting school/college attendance</w:t>
      </w:r>
    </w:p>
    <w:p w:rsidR="002147E0" w:rsidRPr="00CB1507" w:rsidRDefault="002147E0" w:rsidP="002147E0">
      <w:pPr>
        <w:spacing w:line="240" w:lineRule="auto"/>
        <w:jc w:val="both"/>
        <w:rPr>
          <w:rFonts w:ascii="Arial" w:hAnsi="Arial" w:cs="Arial"/>
          <w:sz w:val="24"/>
          <w:szCs w:val="24"/>
        </w:rPr>
      </w:pPr>
      <w:r w:rsidRPr="00CD4536">
        <w:rPr>
          <w:rFonts w:ascii="Arial" w:hAnsi="Arial" w:cs="Arial"/>
          <w:sz w:val="24"/>
          <w:szCs w:val="24"/>
        </w:rPr>
        <w:t xml:space="preserve"> </w:t>
      </w:r>
      <w:r>
        <w:rPr>
          <w:rFonts w:ascii="Arial" w:hAnsi="Arial" w:cs="Arial"/>
          <w:sz w:val="24"/>
          <w:szCs w:val="24"/>
        </w:rPr>
        <w:t>Heat map demonstrating the frequency of responses for 4 questions – the deeper the colour red, the higher the frequency.</w:t>
      </w:r>
    </w:p>
    <w:p w:rsidR="002147E0" w:rsidRPr="00CA06C4" w:rsidRDefault="002147E0" w:rsidP="002147E0">
      <w:pPr>
        <w:spacing w:line="360" w:lineRule="auto"/>
        <w:jc w:val="both"/>
        <w:rPr>
          <w:rFonts w:ascii="Arial" w:hAnsi="Arial" w:cs="Arial"/>
          <w:sz w:val="24"/>
          <w:szCs w:val="24"/>
          <w:u w:val="single"/>
        </w:rPr>
      </w:pPr>
      <w:r w:rsidRPr="00D073D0">
        <w:rPr>
          <w:rFonts w:ascii="Arial" w:hAnsi="Arial" w:cs="Arial"/>
          <w:noProof/>
          <w:sz w:val="24"/>
          <w:szCs w:val="24"/>
          <w:lang w:eastAsia="en-GB"/>
        </w:rPr>
        <w:drawing>
          <wp:anchor distT="0" distB="0" distL="114300" distR="114300" simplePos="0" relativeHeight="251659264" behindDoc="0" locked="0" layoutInCell="1" allowOverlap="1">
            <wp:simplePos x="0" y="0"/>
            <wp:positionH relativeFrom="margin">
              <wp:posOffset>-558800</wp:posOffset>
            </wp:positionH>
            <wp:positionV relativeFrom="paragraph">
              <wp:posOffset>279400</wp:posOffset>
            </wp:positionV>
            <wp:extent cx="10064750" cy="3972560"/>
            <wp:effectExtent l="0" t="0" r="0" b="8890"/>
            <wp:wrapSquare wrapText="bothSides"/>
            <wp:docPr id="2" name="Picture 1">
              <a:extLst xmlns:a="http://schemas.openxmlformats.org/drawingml/2006/main">
                <a:ext uri="{FF2B5EF4-FFF2-40B4-BE49-F238E27FC236}">
                  <a16:creationId xmlns:a16="http://schemas.microsoft.com/office/drawing/2014/main" id="{9A1273D1-6273-45BA-AAE4-1FA5C154F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A1273D1-6273-45BA-AAE4-1FA5C154F853}"/>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7727" t="20187" r="7842" b="25240"/>
                    <a:stretch/>
                  </pic:blipFill>
                  <pic:spPr>
                    <a:xfrm>
                      <a:off x="0" y="0"/>
                      <a:ext cx="10064750" cy="3972560"/>
                    </a:xfrm>
                    <a:prstGeom prst="rect">
                      <a:avLst/>
                    </a:prstGeom>
                  </pic:spPr>
                </pic:pic>
              </a:graphicData>
            </a:graphic>
          </wp:anchor>
        </w:drawing>
      </w:r>
    </w:p>
    <w:p w:rsidR="002147E0" w:rsidRDefault="002147E0" w:rsidP="002147E0">
      <w:pPr>
        <w:spacing w:line="240" w:lineRule="auto"/>
        <w:jc w:val="both"/>
        <w:rPr>
          <w:rFonts w:ascii="Arial" w:hAnsi="Arial" w:cs="Arial"/>
          <w:sz w:val="24"/>
          <w:szCs w:val="24"/>
        </w:rPr>
      </w:pPr>
    </w:p>
    <w:p w:rsidR="002147E0" w:rsidRDefault="002147E0" w:rsidP="002147E0">
      <w:pPr>
        <w:tabs>
          <w:tab w:val="left" w:pos="1050"/>
        </w:tabs>
        <w:spacing w:line="240" w:lineRule="auto"/>
        <w:jc w:val="both"/>
        <w:rPr>
          <w:rFonts w:ascii="Arial" w:hAnsi="Arial" w:cs="Arial"/>
          <w:sz w:val="24"/>
          <w:szCs w:val="24"/>
        </w:rPr>
      </w:pPr>
      <w:r>
        <w:rPr>
          <w:rFonts w:ascii="Arial" w:hAnsi="Arial" w:cs="Arial"/>
          <w:sz w:val="24"/>
          <w:szCs w:val="24"/>
        </w:rPr>
        <w:tab/>
      </w: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sectPr w:rsidR="002147E0" w:rsidSect="003A0EE9">
          <w:pgSz w:w="16838" w:h="11906" w:orient="landscape"/>
          <w:pgMar w:top="1440" w:right="1440" w:bottom="1440" w:left="1440" w:header="709" w:footer="709" w:gutter="0"/>
          <w:cols w:space="708"/>
          <w:docGrid w:linePitch="360"/>
        </w:sectPr>
      </w:pPr>
    </w:p>
    <w:p w:rsidR="002147E0" w:rsidRPr="00F62C6E" w:rsidRDefault="002147E0" w:rsidP="002147E0">
      <w:pPr>
        <w:spacing w:line="360" w:lineRule="auto"/>
        <w:jc w:val="both"/>
        <w:rPr>
          <w:rFonts w:ascii="Arial" w:hAnsi="Arial" w:cs="Arial"/>
          <w:sz w:val="24"/>
          <w:szCs w:val="24"/>
          <w:u w:val="single"/>
        </w:rPr>
      </w:pPr>
      <w:r w:rsidRPr="00502400">
        <w:rPr>
          <w:rFonts w:ascii="Arial" w:hAnsi="Arial" w:cs="Arial"/>
          <w:sz w:val="24"/>
          <w:szCs w:val="24"/>
          <w:u w:val="single"/>
        </w:rPr>
        <w:lastRenderedPageBreak/>
        <w:t>Figure 2 – Word cloud of questionnaire free text comments</w:t>
      </w:r>
    </w:p>
    <w:p w:rsidR="002147E0" w:rsidRPr="00B3462E" w:rsidRDefault="002147E0" w:rsidP="002147E0">
      <w:pPr>
        <w:spacing w:line="240" w:lineRule="auto"/>
        <w:jc w:val="both"/>
        <w:rPr>
          <w:rFonts w:ascii="Arial" w:hAnsi="Arial" w:cs="Arial"/>
          <w:sz w:val="24"/>
          <w:szCs w:val="24"/>
        </w:rPr>
      </w:pPr>
      <w:r>
        <w:rPr>
          <w:rFonts w:ascii="Arial" w:hAnsi="Arial" w:cs="Arial"/>
          <w:sz w:val="24"/>
          <w:szCs w:val="24"/>
        </w:rPr>
        <w:t>A graphical representation of word frequency from the questionnaire free text comments.  The size of the word indicates its frequency; the more often a word appears in the text the bigger and bolder it appears in the word cloud.</w:t>
      </w: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r w:rsidRPr="00C64953">
        <w:rPr>
          <w:rFonts w:ascii="Arial" w:hAnsi="Arial" w:cs="Arial"/>
          <w:noProof/>
          <w:sz w:val="24"/>
          <w:szCs w:val="24"/>
          <w:lang w:eastAsia="en-GB"/>
        </w:rPr>
        <w:drawing>
          <wp:inline distT="0" distB="0" distL="0" distR="0">
            <wp:extent cx="5731510" cy="5238750"/>
            <wp:effectExtent l="0" t="0" r="2540" b="0"/>
            <wp:docPr id="3" name="Picture 3">
              <a:extLst xmlns:a="http://schemas.openxmlformats.org/drawingml/2006/main">
                <a:ext uri="{FF2B5EF4-FFF2-40B4-BE49-F238E27FC236}">
                  <a16:creationId xmlns:a16="http://schemas.microsoft.com/office/drawing/2014/main" id="{080B39C7-5E2F-433A-A68D-885402DC7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80B39C7-5E2F-433A-A68D-885402DC7383}"/>
                        </a:ext>
                      </a:extLst>
                    </pic:cNvPr>
                    <pic:cNvPicPr>
                      <a:picLocks noChangeAspect="1"/>
                    </pic:cNvPicPr>
                  </pic:nvPicPr>
                  <pic:blipFill rotWithShape="1">
                    <a:blip r:embed="rId9" cstate="print"/>
                    <a:srcRect l="22613" t="5927" r="26932" b="11294"/>
                    <a:stretch/>
                  </pic:blipFill>
                  <pic:spPr>
                    <a:xfrm>
                      <a:off x="0" y="0"/>
                      <a:ext cx="5731510" cy="5238750"/>
                    </a:xfrm>
                    <a:prstGeom prst="rect">
                      <a:avLst/>
                    </a:prstGeom>
                  </pic:spPr>
                </pic:pic>
              </a:graphicData>
            </a:graphic>
          </wp:inline>
        </w:drawing>
      </w: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Pr="00CA06C4" w:rsidRDefault="002147E0" w:rsidP="002147E0">
      <w:pPr>
        <w:spacing w:line="360" w:lineRule="auto"/>
        <w:jc w:val="both"/>
        <w:rPr>
          <w:rFonts w:ascii="Arial" w:hAnsi="Arial" w:cs="Arial"/>
          <w:sz w:val="24"/>
          <w:szCs w:val="24"/>
          <w:u w:val="single"/>
        </w:rPr>
      </w:pPr>
      <w:r>
        <w:rPr>
          <w:rFonts w:ascii="Arial" w:hAnsi="Arial" w:cs="Arial"/>
          <w:sz w:val="24"/>
          <w:szCs w:val="24"/>
          <w:u w:val="single"/>
        </w:rPr>
        <w:lastRenderedPageBreak/>
        <w:t>Supplementary Table 1 – C</w:t>
      </w:r>
      <w:r w:rsidRPr="00CA06C4">
        <w:rPr>
          <w:rFonts w:ascii="Arial" w:hAnsi="Arial" w:cs="Arial"/>
          <w:sz w:val="24"/>
          <w:szCs w:val="24"/>
          <w:u w:val="single"/>
        </w:rPr>
        <w:t>omparison of school attendance</w:t>
      </w:r>
      <w:r>
        <w:rPr>
          <w:rFonts w:ascii="Arial" w:hAnsi="Arial" w:cs="Arial"/>
          <w:sz w:val="24"/>
          <w:szCs w:val="24"/>
          <w:u w:val="single"/>
        </w:rPr>
        <w:t xml:space="preserve"> for CYP with IBD</w:t>
      </w:r>
      <w:r w:rsidRPr="00CA06C4">
        <w:rPr>
          <w:rFonts w:ascii="Arial" w:hAnsi="Arial" w:cs="Arial"/>
          <w:sz w:val="24"/>
          <w:szCs w:val="24"/>
          <w:u w:val="single"/>
        </w:rPr>
        <w:t xml:space="preserve"> to the general school population</w:t>
      </w:r>
    </w:p>
    <w:tbl>
      <w:tblPr>
        <w:tblW w:w="0" w:type="auto"/>
        <w:shd w:val="clear" w:color="auto" w:fill="FFFFFF"/>
        <w:tblCellMar>
          <w:left w:w="0" w:type="dxa"/>
          <w:right w:w="0" w:type="dxa"/>
        </w:tblCellMar>
        <w:tblLook w:val="04A0" w:firstRow="1" w:lastRow="0" w:firstColumn="1" w:lastColumn="0" w:noHBand="0" w:noVBand="1"/>
      </w:tblPr>
      <w:tblGrid>
        <w:gridCol w:w="1254"/>
        <w:gridCol w:w="1268"/>
        <w:gridCol w:w="1043"/>
        <w:gridCol w:w="1330"/>
        <w:gridCol w:w="1440"/>
        <w:gridCol w:w="1440"/>
        <w:gridCol w:w="1231"/>
      </w:tblGrid>
      <w:tr w:rsidR="002147E0" w:rsidRPr="00AA1FDC" w:rsidTr="003A0EE9">
        <w:tc>
          <w:tcPr>
            <w:tcW w:w="12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 </w:t>
            </w:r>
          </w:p>
        </w:tc>
        <w:tc>
          <w:tcPr>
            <w:tcW w:w="1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Population</w:t>
            </w:r>
          </w:p>
        </w:tc>
        <w:tc>
          <w:tcPr>
            <w:tcW w:w="1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School Days</w:t>
            </w:r>
          </w:p>
        </w:tc>
        <w:tc>
          <w:tcPr>
            <w:tcW w:w="1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Attendance</w:t>
            </w:r>
          </w:p>
        </w:tc>
        <w:tc>
          <w:tcPr>
            <w:tcW w:w="1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School days total</w:t>
            </w:r>
          </w:p>
        </w:tc>
        <w:tc>
          <w:tcPr>
            <w:tcW w:w="1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School days present</w:t>
            </w:r>
          </w:p>
        </w:tc>
        <w:tc>
          <w:tcPr>
            <w:tcW w:w="1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School days missed</w:t>
            </w:r>
          </w:p>
        </w:tc>
      </w:tr>
      <w:tr w:rsidR="002147E0" w:rsidRPr="00AA1FDC" w:rsidTr="003A0EE9">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147E0" w:rsidRDefault="002147E0" w:rsidP="003A0EE9">
            <w:pPr>
              <w:spacing w:after="0" w:line="240" w:lineRule="auto"/>
              <w:jc w:val="both"/>
              <w:rPr>
                <w:rFonts w:ascii="Arial" w:eastAsia="Times New Roman" w:hAnsi="Arial" w:cs="Arial"/>
                <w:color w:val="201F1E"/>
                <w:bdr w:val="none" w:sz="0" w:space="0" w:color="auto" w:frame="1"/>
                <w:lang w:eastAsia="en-GB"/>
              </w:rPr>
            </w:pPr>
            <w:r>
              <w:rPr>
                <w:rFonts w:ascii="Arial" w:eastAsia="Times New Roman" w:hAnsi="Arial" w:cs="Arial"/>
                <w:color w:val="201F1E"/>
                <w:bdr w:val="none" w:sz="0" w:space="0" w:color="auto" w:frame="1"/>
                <w:lang w:eastAsia="en-GB"/>
              </w:rPr>
              <w:t>General school population</w:t>
            </w:r>
          </w:p>
          <w:p w:rsidR="002147E0" w:rsidRPr="00AA1FDC" w:rsidRDefault="002147E0" w:rsidP="003A0EE9">
            <w:pPr>
              <w:spacing w:after="0" w:line="240" w:lineRule="auto"/>
              <w:jc w:val="both"/>
              <w:rPr>
                <w:rFonts w:ascii="Calibri" w:eastAsia="Times New Roman" w:hAnsi="Calibri" w:cs="Calibri"/>
                <w:color w:val="201F1E"/>
                <w:lang w:eastAsia="en-GB"/>
              </w:rPr>
            </w:pP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6737023</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191</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Pr>
                <w:rFonts w:ascii="Arial" w:eastAsia="Times New Roman" w:hAnsi="Arial" w:cs="Arial"/>
                <w:color w:val="201F1E"/>
                <w:bdr w:val="none" w:sz="0" w:space="0" w:color="auto" w:frame="1"/>
                <w:lang w:eastAsia="en-GB"/>
              </w:rPr>
              <w:t>0.952</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1286771393</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1217285738</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69485655</w:t>
            </w:r>
          </w:p>
        </w:tc>
      </w:tr>
      <w:tr w:rsidR="002147E0" w:rsidRPr="00AA1FDC" w:rsidTr="003A0EE9">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147E0" w:rsidRDefault="002147E0" w:rsidP="003A0EE9">
            <w:pPr>
              <w:spacing w:after="0" w:line="240" w:lineRule="auto"/>
              <w:jc w:val="both"/>
              <w:rPr>
                <w:rFonts w:ascii="Arial" w:eastAsia="Times New Roman" w:hAnsi="Arial" w:cs="Arial"/>
                <w:color w:val="201F1E"/>
                <w:bdr w:val="none" w:sz="0" w:space="0" w:color="auto" w:frame="1"/>
                <w:lang w:eastAsia="en-GB"/>
              </w:rPr>
            </w:pPr>
            <w:r w:rsidRPr="00AA1FDC">
              <w:rPr>
                <w:rFonts w:ascii="Arial" w:eastAsia="Times New Roman" w:hAnsi="Arial" w:cs="Arial"/>
                <w:color w:val="201F1E"/>
                <w:bdr w:val="none" w:sz="0" w:space="0" w:color="auto" w:frame="1"/>
                <w:lang w:eastAsia="en-GB"/>
              </w:rPr>
              <w:t>IBD</w:t>
            </w:r>
          </w:p>
          <w:p w:rsidR="002147E0" w:rsidRDefault="002147E0" w:rsidP="003A0EE9">
            <w:pPr>
              <w:spacing w:after="0" w:line="240" w:lineRule="auto"/>
              <w:jc w:val="both"/>
              <w:rPr>
                <w:rFonts w:ascii="Calibri" w:eastAsia="Times New Roman" w:hAnsi="Calibri" w:cs="Calibri"/>
                <w:color w:val="201F1E"/>
                <w:lang w:eastAsia="en-GB"/>
              </w:rPr>
            </w:pPr>
          </w:p>
          <w:p w:rsidR="002147E0" w:rsidRPr="00AA1FDC" w:rsidRDefault="002147E0" w:rsidP="003A0EE9">
            <w:pPr>
              <w:spacing w:after="0" w:line="240" w:lineRule="auto"/>
              <w:jc w:val="both"/>
              <w:rPr>
                <w:rFonts w:ascii="Calibri" w:eastAsia="Times New Roman" w:hAnsi="Calibri" w:cs="Calibri"/>
                <w:color w:val="201F1E"/>
                <w:lang w:eastAsia="en-GB"/>
              </w:rPr>
            </w:pP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169</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191</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0.925</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32279</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29858</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7E0" w:rsidRPr="00AA1FDC" w:rsidRDefault="002147E0" w:rsidP="003A0EE9">
            <w:pPr>
              <w:spacing w:after="0" w:line="240" w:lineRule="auto"/>
              <w:jc w:val="both"/>
              <w:rPr>
                <w:rFonts w:ascii="Calibri" w:eastAsia="Times New Roman" w:hAnsi="Calibri" w:cs="Calibri"/>
                <w:color w:val="201F1E"/>
                <w:lang w:eastAsia="en-GB"/>
              </w:rPr>
            </w:pPr>
            <w:r w:rsidRPr="00AA1FDC">
              <w:rPr>
                <w:rFonts w:ascii="Arial" w:eastAsia="Times New Roman" w:hAnsi="Arial" w:cs="Arial"/>
                <w:color w:val="201F1E"/>
                <w:bdr w:val="none" w:sz="0" w:space="0" w:color="auto" w:frame="1"/>
                <w:lang w:eastAsia="en-GB"/>
              </w:rPr>
              <w:t>2421</w:t>
            </w:r>
          </w:p>
        </w:tc>
      </w:tr>
    </w:tbl>
    <w:p w:rsidR="002147E0" w:rsidRPr="00AA1FDC" w:rsidRDefault="002147E0" w:rsidP="002147E0">
      <w:pPr>
        <w:shd w:val="clear" w:color="auto" w:fill="FFFFFF"/>
        <w:spacing w:after="0" w:line="240" w:lineRule="auto"/>
        <w:rPr>
          <w:rFonts w:ascii="Calibri" w:eastAsia="Times New Roman" w:hAnsi="Calibri" w:cs="Calibri"/>
          <w:color w:val="201F1E"/>
          <w:lang w:eastAsia="en-GB"/>
        </w:rPr>
      </w:pPr>
      <w:r w:rsidRPr="00AA1FDC">
        <w:rPr>
          <w:rFonts w:ascii="Calibri" w:eastAsia="Times New Roman" w:hAnsi="Calibri" w:cs="Calibri"/>
          <w:color w:val="201F1E"/>
          <w:lang w:eastAsia="en-GB"/>
        </w:rPr>
        <w:t> </w:t>
      </w:r>
    </w:p>
    <w:p w:rsidR="002147E0" w:rsidRPr="00AA1FDC" w:rsidRDefault="002147E0" w:rsidP="002147E0">
      <w:pPr>
        <w:shd w:val="clear" w:color="auto" w:fill="FFFFFF"/>
        <w:spacing w:after="0" w:line="240" w:lineRule="auto"/>
        <w:rPr>
          <w:rFonts w:ascii="Calibri" w:eastAsia="Times New Roman" w:hAnsi="Calibri" w:cs="Calibri"/>
          <w:color w:val="201F1E"/>
          <w:lang w:eastAsia="en-GB"/>
        </w:rPr>
      </w:pPr>
      <w:r w:rsidRPr="00AA1FDC">
        <w:rPr>
          <w:rFonts w:ascii="Calibri" w:eastAsia="Times New Roman" w:hAnsi="Calibri" w:cs="Calibri"/>
          <w:color w:val="201F1E"/>
          <w:lang w:eastAsia="en-GB"/>
        </w:rPr>
        <w:t xml:space="preserve"> </w:t>
      </w:r>
    </w:p>
    <w:p w:rsidR="002147E0" w:rsidRDefault="002147E0" w:rsidP="002147E0">
      <w:pPr>
        <w:spacing w:line="240" w:lineRule="auto"/>
        <w:jc w:val="both"/>
        <w:rPr>
          <w:rFonts w:ascii="Arial" w:hAnsi="Arial" w:cs="Arial"/>
          <w:sz w:val="24"/>
          <w:szCs w:val="24"/>
        </w:rPr>
      </w:pPr>
      <w:r>
        <w:rPr>
          <w:rFonts w:ascii="Arial" w:hAnsi="Arial" w:cs="Arial"/>
          <w:sz w:val="24"/>
          <w:szCs w:val="24"/>
        </w:rPr>
        <w:t>p=&lt;0.0001</w:t>
      </w:r>
    </w:p>
    <w:p w:rsidR="002147E0" w:rsidRDefault="002147E0" w:rsidP="002147E0">
      <w:pPr>
        <w:spacing w:line="240" w:lineRule="auto"/>
        <w:jc w:val="both"/>
        <w:rPr>
          <w:rFonts w:ascii="Arial" w:hAnsi="Arial" w:cs="Arial"/>
          <w:sz w:val="24"/>
          <w:szCs w:val="24"/>
        </w:rPr>
      </w:pPr>
      <w:r>
        <w:rPr>
          <w:rFonts w:ascii="Arial" w:hAnsi="Arial" w:cs="Arial"/>
          <w:sz w:val="24"/>
          <w:szCs w:val="24"/>
        </w:rPr>
        <w:t>This table shows that CYP with IBD attend significantly less school compared to all CYP in England.</w:t>
      </w: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p>
    <w:p w:rsidR="002147E0" w:rsidRPr="007B6AAB" w:rsidRDefault="002147E0" w:rsidP="002147E0">
      <w:pPr>
        <w:spacing w:line="240" w:lineRule="auto"/>
        <w:jc w:val="both"/>
        <w:rPr>
          <w:rFonts w:ascii="Arial" w:hAnsi="Arial" w:cs="Arial"/>
          <w:sz w:val="24"/>
          <w:szCs w:val="24"/>
          <w:u w:val="single"/>
        </w:rPr>
      </w:pPr>
      <w:r w:rsidRPr="00741E66">
        <w:rPr>
          <w:rFonts w:ascii="Arial" w:hAnsi="Arial" w:cs="Arial"/>
          <w:sz w:val="24"/>
          <w:szCs w:val="24"/>
          <w:u w:val="single"/>
        </w:rPr>
        <w:lastRenderedPageBreak/>
        <w:t xml:space="preserve">Supplementary Table </w:t>
      </w:r>
      <w:r w:rsidRPr="007B6AAB">
        <w:rPr>
          <w:rFonts w:ascii="Arial" w:hAnsi="Arial" w:cs="Arial"/>
          <w:sz w:val="24"/>
          <w:szCs w:val="24"/>
          <w:u w:val="single"/>
        </w:rPr>
        <w:t>2 – Comparison of persistently absent data for CYP with IBD to the general school population</w:t>
      </w:r>
    </w:p>
    <w:p w:rsidR="002147E0" w:rsidRDefault="002147E0" w:rsidP="002147E0">
      <w:pPr>
        <w:spacing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1803"/>
        <w:gridCol w:w="1803"/>
        <w:gridCol w:w="1803"/>
        <w:gridCol w:w="1803"/>
        <w:gridCol w:w="1804"/>
      </w:tblGrid>
      <w:tr w:rsidR="002147E0" w:rsidTr="003A0EE9">
        <w:tc>
          <w:tcPr>
            <w:tcW w:w="1803" w:type="dxa"/>
          </w:tcPr>
          <w:p w:rsidR="002147E0" w:rsidRDefault="002147E0" w:rsidP="003A0EE9">
            <w:pPr>
              <w:jc w:val="both"/>
              <w:rPr>
                <w:rFonts w:ascii="Arial" w:hAnsi="Arial" w:cs="Arial"/>
                <w:sz w:val="24"/>
                <w:szCs w:val="24"/>
              </w:rPr>
            </w:pPr>
          </w:p>
        </w:tc>
        <w:tc>
          <w:tcPr>
            <w:tcW w:w="1803" w:type="dxa"/>
          </w:tcPr>
          <w:p w:rsidR="002147E0" w:rsidRDefault="002147E0" w:rsidP="003A0EE9">
            <w:pPr>
              <w:jc w:val="both"/>
              <w:rPr>
                <w:rFonts w:ascii="Arial" w:hAnsi="Arial" w:cs="Arial"/>
                <w:sz w:val="24"/>
                <w:szCs w:val="24"/>
              </w:rPr>
            </w:pPr>
            <w:r>
              <w:rPr>
                <w:rFonts w:ascii="Arial" w:hAnsi="Arial" w:cs="Arial"/>
                <w:sz w:val="24"/>
                <w:szCs w:val="24"/>
              </w:rPr>
              <w:t>Population</w:t>
            </w:r>
          </w:p>
        </w:tc>
        <w:tc>
          <w:tcPr>
            <w:tcW w:w="1803" w:type="dxa"/>
          </w:tcPr>
          <w:p w:rsidR="002147E0" w:rsidRDefault="002147E0" w:rsidP="003A0EE9">
            <w:pPr>
              <w:jc w:val="both"/>
              <w:rPr>
                <w:rFonts w:ascii="Arial" w:hAnsi="Arial" w:cs="Arial"/>
                <w:sz w:val="24"/>
                <w:szCs w:val="24"/>
              </w:rPr>
            </w:pPr>
            <w:r>
              <w:rPr>
                <w:rFonts w:ascii="Arial" w:hAnsi="Arial" w:cs="Arial"/>
                <w:sz w:val="24"/>
                <w:szCs w:val="24"/>
              </w:rPr>
              <w:t>Proportion persistently absent</w:t>
            </w:r>
          </w:p>
        </w:tc>
        <w:tc>
          <w:tcPr>
            <w:tcW w:w="1803" w:type="dxa"/>
          </w:tcPr>
          <w:p w:rsidR="002147E0" w:rsidRDefault="002147E0" w:rsidP="003A0EE9">
            <w:pPr>
              <w:jc w:val="both"/>
              <w:rPr>
                <w:rFonts w:ascii="Arial" w:hAnsi="Arial" w:cs="Arial"/>
                <w:sz w:val="24"/>
                <w:szCs w:val="24"/>
              </w:rPr>
            </w:pPr>
            <w:r>
              <w:rPr>
                <w:rFonts w:ascii="Arial" w:hAnsi="Arial" w:cs="Arial"/>
                <w:sz w:val="24"/>
                <w:szCs w:val="24"/>
              </w:rPr>
              <w:t>Children present</w:t>
            </w:r>
          </w:p>
        </w:tc>
        <w:tc>
          <w:tcPr>
            <w:tcW w:w="1804" w:type="dxa"/>
          </w:tcPr>
          <w:p w:rsidR="002147E0" w:rsidRDefault="002147E0" w:rsidP="003A0EE9">
            <w:pPr>
              <w:jc w:val="both"/>
              <w:rPr>
                <w:rFonts w:ascii="Arial" w:hAnsi="Arial" w:cs="Arial"/>
                <w:sz w:val="24"/>
                <w:szCs w:val="24"/>
              </w:rPr>
            </w:pPr>
            <w:r>
              <w:rPr>
                <w:rFonts w:ascii="Arial" w:hAnsi="Arial" w:cs="Arial"/>
                <w:sz w:val="24"/>
                <w:szCs w:val="24"/>
              </w:rPr>
              <w:t>Children persistently absent</w:t>
            </w:r>
          </w:p>
        </w:tc>
      </w:tr>
      <w:tr w:rsidR="002147E0" w:rsidTr="003A0EE9">
        <w:tc>
          <w:tcPr>
            <w:tcW w:w="1803" w:type="dxa"/>
          </w:tcPr>
          <w:p w:rsidR="002147E0" w:rsidRDefault="002147E0" w:rsidP="003A0EE9">
            <w:pPr>
              <w:jc w:val="both"/>
              <w:rPr>
                <w:rFonts w:ascii="Arial" w:hAnsi="Arial" w:cs="Arial"/>
                <w:sz w:val="24"/>
                <w:szCs w:val="24"/>
              </w:rPr>
            </w:pPr>
            <w:r>
              <w:rPr>
                <w:rFonts w:ascii="Arial" w:hAnsi="Arial" w:cs="Arial"/>
                <w:sz w:val="24"/>
                <w:szCs w:val="24"/>
              </w:rPr>
              <w:t>General school population</w:t>
            </w:r>
          </w:p>
        </w:tc>
        <w:tc>
          <w:tcPr>
            <w:tcW w:w="1803" w:type="dxa"/>
          </w:tcPr>
          <w:p w:rsidR="002147E0" w:rsidRDefault="002147E0" w:rsidP="003A0EE9">
            <w:pPr>
              <w:jc w:val="both"/>
              <w:rPr>
                <w:rFonts w:ascii="Arial" w:hAnsi="Arial" w:cs="Arial"/>
                <w:sz w:val="24"/>
                <w:szCs w:val="24"/>
              </w:rPr>
            </w:pPr>
            <w:r>
              <w:rPr>
                <w:rFonts w:ascii="Arial" w:hAnsi="Arial" w:cs="Arial"/>
                <w:sz w:val="24"/>
                <w:szCs w:val="24"/>
              </w:rPr>
              <w:t>6737023</w:t>
            </w:r>
          </w:p>
        </w:tc>
        <w:tc>
          <w:tcPr>
            <w:tcW w:w="1803" w:type="dxa"/>
          </w:tcPr>
          <w:p w:rsidR="002147E0" w:rsidRDefault="002147E0" w:rsidP="003A0EE9">
            <w:pPr>
              <w:jc w:val="both"/>
              <w:rPr>
                <w:rFonts w:ascii="Arial" w:hAnsi="Arial" w:cs="Arial"/>
                <w:sz w:val="24"/>
                <w:szCs w:val="24"/>
              </w:rPr>
            </w:pPr>
            <w:r>
              <w:rPr>
                <w:rFonts w:ascii="Arial" w:hAnsi="Arial" w:cs="Arial"/>
                <w:sz w:val="24"/>
                <w:szCs w:val="24"/>
              </w:rPr>
              <w:t>0.112</w:t>
            </w:r>
          </w:p>
        </w:tc>
        <w:tc>
          <w:tcPr>
            <w:tcW w:w="1803" w:type="dxa"/>
          </w:tcPr>
          <w:p w:rsidR="002147E0" w:rsidRDefault="002147E0" w:rsidP="003A0EE9">
            <w:pPr>
              <w:jc w:val="both"/>
              <w:rPr>
                <w:rFonts w:ascii="Arial" w:hAnsi="Arial" w:cs="Arial"/>
                <w:sz w:val="24"/>
                <w:szCs w:val="24"/>
              </w:rPr>
            </w:pPr>
            <w:r>
              <w:rPr>
                <w:rFonts w:ascii="Arial" w:hAnsi="Arial" w:cs="Arial"/>
                <w:sz w:val="24"/>
                <w:szCs w:val="24"/>
              </w:rPr>
              <w:t>754480</w:t>
            </w:r>
          </w:p>
        </w:tc>
        <w:tc>
          <w:tcPr>
            <w:tcW w:w="1804" w:type="dxa"/>
          </w:tcPr>
          <w:p w:rsidR="002147E0" w:rsidRDefault="002147E0" w:rsidP="003A0EE9">
            <w:pPr>
              <w:jc w:val="both"/>
              <w:rPr>
                <w:rFonts w:ascii="Arial" w:hAnsi="Arial" w:cs="Arial"/>
                <w:sz w:val="24"/>
                <w:szCs w:val="24"/>
              </w:rPr>
            </w:pPr>
            <w:r>
              <w:rPr>
                <w:rFonts w:ascii="Arial" w:hAnsi="Arial" w:cs="Arial"/>
                <w:sz w:val="24"/>
                <w:szCs w:val="24"/>
              </w:rPr>
              <w:t>5982374</w:t>
            </w:r>
          </w:p>
        </w:tc>
      </w:tr>
      <w:tr w:rsidR="002147E0" w:rsidTr="003A0EE9">
        <w:tc>
          <w:tcPr>
            <w:tcW w:w="1803" w:type="dxa"/>
          </w:tcPr>
          <w:p w:rsidR="002147E0" w:rsidRDefault="002147E0" w:rsidP="003A0EE9">
            <w:pPr>
              <w:jc w:val="both"/>
              <w:rPr>
                <w:rFonts w:ascii="Arial" w:hAnsi="Arial" w:cs="Arial"/>
                <w:sz w:val="24"/>
                <w:szCs w:val="24"/>
              </w:rPr>
            </w:pPr>
            <w:r>
              <w:rPr>
                <w:rFonts w:ascii="Arial" w:hAnsi="Arial" w:cs="Arial"/>
                <w:sz w:val="24"/>
                <w:szCs w:val="24"/>
              </w:rPr>
              <w:t>IBD</w:t>
            </w:r>
          </w:p>
          <w:p w:rsidR="002147E0" w:rsidRDefault="002147E0" w:rsidP="003A0EE9">
            <w:pPr>
              <w:jc w:val="both"/>
              <w:rPr>
                <w:rFonts w:ascii="Arial" w:hAnsi="Arial" w:cs="Arial"/>
                <w:sz w:val="24"/>
                <w:szCs w:val="24"/>
              </w:rPr>
            </w:pPr>
          </w:p>
          <w:p w:rsidR="002147E0" w:rsidRDefault="002147E0" w:rsidP="003A0EE9">
            <w:pPr>
              <w:jc w:val="both"/>
              <w:rPr>
                <w:rFonts w:ascii="Arial" w:hAnsi="Arial" w:cs="Arial"/>
                <w:sz w:val="24"/>
                <w:szCs w:val="24"/>
              </w:rPr>
            </w:pPr>
          </w:p>
        </w:tc>
        <w:tc>
          <w:tcPr>
            <w:tcW w:w="1803" w:type="dxa"/>
          </w:tcPr>
          <w:p w:rsidR="002147E0" w:rsidRDefault="002147E0" w:rsidP="003A0EE9">
            <w:pPr>
              <w:jc w:val="both"/>
              <w:rPr>
                <w:rFonts w:ascii="Arial" w:hAnsi="Arial" w:cs="Arial"/>
                <w:sz w:val="24"/>
                <w:szCs w:val="24"/>
              </w:rPr>
            </w:pPr>
            <w:r>
              <w:rPr>
                <w:rFonts w:ascii="Arial" w:hAnsi="Arial" w:cs="Arial"/>
                <w:sz w:val="24"/>
                <w:szCs w:val="24"/>
              </w:rPr>
              <w:t>169</w:t>
            </w:r>
          </w:p>
        </w:tc>
        <w:tc>
          <w:tcPr>
            <w:tcW w:w="1803" w:type="dxa"/>
          </w:tcPr>
          <w:p w:rsidR="002147E0" w:rsidRDefault="002147E0" w:rsidP="003A0EE9">
            <w:pPr>
              <w:jc w:val="both"/>
              <w:rPr>
                <w:rFonts w:ascii="Arial" w:hAnsi="Arial" w:cs="Arial"/>
                <w:sz w:val="24"/>
                <w:szCs w:val="24"/>
              </w:rPr>
            </w:pPr>
            <w:r>
              <w:rPr>
                <w:rFonts w:ascii="Arial" w:hAnsi="Arial" w:cs="Arial"/>
                <w:sz w:val="24"/>
                <w:szCs w:val="24"/>
              </w:rPr>
              <w:t>0.396</w:t>
            </w:r>
          </w:p>
        </w:tc>
        <w:tc>
          <w:tcPr>
            <w:tcW w:w="1803" w:type="dxa"/>
          </w:tcPr>
          <w:p w:rsidR="002147E0" w:rsidRDefault="002147E0" w:rsidP="003A0EE9">
            <w:pPr>
              <w:jc w:val="both"/>
              <w:rPr>
                <w:rFonts w:ascii="Arial" w:hAnsi="Arial" w:cs="Arial"/>
                <w:sz w:val="24"/>
                <w:szCs w:val="24"/>
              </w:rPr>
            </w:pPr>
            <w:r>
              <w:rPr>
                <w:rFonts w:ascii="Arial" w:hAnsi="Arial" w:cs="Arial"/>
                <w:sz w:val="24"/>
                <w:szCs w:val="24"/>
              </w:rPr>
              <w:t>67</w:t>
            </w:r>
          </w:p>
        </w:tc>
        <w:tc>
          <w:tcPr>
            <w:tcW w:w="1804" w:type="dxa"/>
          </w:tcPr>
          <w:p w:rsidR="002147E0" w:rsidRDefault="002147E0" w:rsidP="003A0EE9">
            <w:pPr>
              <w:jc w:val="both"/>
              <w:rPr>
                <w:rFonts w:ascii="Arial" w:hAnsi="Arial" w:cs="Arial"/>
                <w:sz w:val="24"/>
                <w:szCs w:val="24"/>
              </w:rPr>
            </w:pPr>
            <w:r>
              <w:rPr>
                <w:rFonts w:ascii="Arial" w:hAnsi="Arial" w:cs="Arial"/>
                <w:sz w:val="24"/>
                <w:szCs w:val="24"/>
              </w:rPr>
              <w:t>102</w:t>
            </w:r>
          </w:p>
        </w:tc>
      </w:tr>
    </w:tbl>
    <w:p w:rsidR="002147E0" w:rsidRDefault="002147E0" w:rsidP="002147E0">
      <w:pPr>
        <w:spacing w:line="24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r>
        <w:rPr>
          <w:rFonts w:ascii="Arial" w:hAnsi="Arial" w:cs="Arial"/>
          <w:sz w:val="24"/>
          <w:szCs w:val="24"/>
        </w:rPr>
        <w:t>p=&lt;0.00001</w:t>
      </w:r>
    </w:p>
    <w:p w:rsidR="002147E0" w:rsidRDefault="002147E0" w:rsidP="002147E0">
      <w:pPr>
        <w:spacing w:line="240" w:lineRule="auto"/>
        <w:jc w:val="both"/>
        <w:rPr>
          <w:rFonts w:ascii="Arial" w:hAnsi="Arial" w:cs="Arial"/>
          <w:sz w:val="24"/>
          <w:szCs w:val="24"/>
        </w:rPr>
      </w:pPr>
      <w:r>
        <w:rPr>
          <w:rFonts w:ascii="Arial" w:hAnsi="Arial" w:cs="Arial"/>
          <w:sz w:val="24"/>
          <w:szCs w:val="24"/>
        </w:rPr>
        <w:t>This table shows that the number of CYP persistently absent (missing 10% or more of school) is significantly greater in those with IBD compared to the general school population.</w:t>
      </w: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tbl>
      <w:tblPr>
        <w:tblStyle w:val="TableGrid"/>
        <w:tblpPr w:leftFromText="180" w:rightFromText="180" w:horzAnchor="margin" w:tblpY="510"/>
        <w:tblW w:w="9114" w:type="dxa"/>
        <w:tblLook w:val="04A0" w:firstRow="1" w:lastRow="0" w:firstColumn="1" w:lastColumn="0" w:noHBand="0" w:noVBand="1"/>
      </w:tblPr>
      <w:tblGrid>
        <w:gridCol w:w="2674"/>
        <w:gridCol w:w="2537"/>
        <w:gridCol w:w="2352"/>
        <w:gridCol w:w="1551"/>
      </w:tblGrid>
      <w:tr w:rsidR="002147E0" w:rsidRPr="00CD48DD" w:rsidTr="003A0EE9">
        <w:trPr>
          <w:trHeight w:val="643"/>
        </w:trPr>
        <w:tc>
          <w:tcPr>
            <w:tcW w:w="2674" w:type="dxa"/>
          </w:tcPr>
          <w:p w:rsidR="002147E0" w:rsidRPr="00CD48DD" w:rsidRDefault="002147E0" w:rsidP="003A0EE9">
            <w:pPr>
              <w:rPr>
                <w:rFonts w:ascii="Arial" w:hAnsi="Arial" w:cs="Arial"/>
                <w:b/>
                <w:sz w:val="28"/>
                <w:szCs w:val="28"/>
              </w:rPr>
            </w:pPr>
            <w:r>
              <w:rPr>
                <w:rFonts w:ascii="Arial" w:hAnsi="Arial" w:cs="Arial"/>
                <w:b/>
                <w:sz w:val="28"/>
                <w:szCs w:val="28"/>
              </w:rPr>
              <w:lastRenderedPageBreak/>
              <w:t>Demographic and</w:t>
            </w:r>
            <w:r w:rsidRPr="00CD48DD">
              <w:rPr>
                <w:rFonts w:ascii="Arial" w:hAnsi="Arial" w:cs="Arial"/>
                <w:b/>
                <w:sz w:val="28"/>
                <w:szCs w:val="28"/>
              </w:rPr>
              <w:t xml:space="preserve"> Disease Characteristics</w:t>
            </w:r>
          </w:p>
        </w:tc>
        <w:tc>
          <w:tcPr>
            <w:tcW w:w="2537" w:type="dxa"/>
          </w:tcPr>
          <w:p w:rsidR="002147E0" w:rsidRPr="00CD48DD" w:rsidRDefault="002147E0" w:rsidP="003A0EE9">
            <w:pPr>
              <w:rPr>
                <w:rFonts w:ascii="Arial" w:hAnsi="Arial" w:cs="Arial"/>
                <w:b/>
                <w:sz w:val="28"/>
                <w:szCs w:val="28"/>
              </w:rPr>
            </w:pPr>
            <w:r>
              <w:rPr>
                <w:rFonts w:ascii="Arial" w:hAnsi="Arial" w:cs="Arial"/>
                <w:b/>
                <w:sz w:val="28"/>
                <w:szCs w:val="28"/>
              </w:rPr>
              <w:t>Hospital questionnaire returned (145)</w:t>
            </w:r>
          </w:p>
        </w:tc>
        <w:tc>
          <w:tcPr>
            <w:tcW w:w="2352" w:type="dxa"/>
          </w:tcPr>
          <w:p w:rsidR="002147E0" w:rsidRPr="00CD48DD" w:rsidRDefault="002147E0" w:rsidP="003A0EE9">
            <w:pPr>
              <w:rPr>
                <w:rFonts w:ascii="Arial" w:hAnsi="Arial" w:cs="Arial"/>
                <w:b/>
                <w:sz w:val="28"/>
                <w:szCs w:val="28"/>
              </w:rPr>
            </w:pPr>
            <w:r>
              <w:rPr>
                <w:rFonts w:ascii="Arial" w:hAnsi="Arial" w:cs="Arial"/>
                <w:b/>
                <w:sz w:val="28"/>
                <w:szCs w:val="28"/>
              </w:rPr>
              <w:t>Postal questionnaire returned (24 patients)</w:t>
            </w:r>
          </w:p>
        </w:tc>
        <w:tc>
          <w:tcPr>
            <w:tcW w:w="1551" w:type="dxa"/>
          </w:tcPr>
          <w:p w:rsidR="002147E0" w:rsidRDefault="002147E0" w:rsidP="003A0EE9">
            <w:pPr>
              <w:rPr>
                <w:rFonts w:ascii="Arial" w:hAnsi="Arial" w:cs="Arial"/>
                <w:b/>
                <w:sz w:val="28"/>
                <w:szCs w:val="28"/>
              </w:rPr>
            </w:pPr>
            <w:r>
              <w:rPr>
                <w:rFonts w:ascii="Arial" w:hAnsi="Arial" w:cs="Arial"/>
                <w:b/>
                <w:sz w:val="28"/>
                <w:szCs w:val="28"/>
              </w:rPr>
              <w:t>p value</w:t>
            </w:r>
          </w:p>
        </w:tc>
      </w:tr>
      <w:tr w:rsidR="002147E0" w:rsidRPr="00CD48DD" w:rsidTr="003A0EE9">
        <w:trPr>
          <w:trHeight w:val="643"/>
        </w:trPr>
        <w:tc>
          <w:tcPr>
            <w:tcW w:w="2674" w:type="dxa"/>
          </w:tcPr>
          <w:p w:rsidR="002147E0" w:rsidRPr="00CF319C" w:rsidRDefault="002147E0" w:rsidP="003A0EE9">
            <w:pPr>
              <w:rPr>
                <w:rFonts w:ascii="Arial" w:hAnsi="Arial" w:cs="Arial"/>
              </w:rPr>
            </w:pPr>
            <w:r>
              <w:rPr>
                <w:rFonts w:ascii="Arial" w:hAnsi="Arial" w:cs="Arial"/>
              </w:rPr>
              <w:t>Questionnaire response rate</w:t>
            </w:r>
          </w:p>
        </w:tc>
        <w:tc>
          <w:tcPr>
            <w:tcW w:w="2537" w:type="dxa"/>
          </w:tcPr>
          <w:p w:rsidR="002147E0" w:rsidRPr="00CD48DD" w:rsidRDefault="002147E0" w:rsidP="003A0EE9">
            <w:pPr>
              <w:rPr>
                <w:rFonts w:ascii="Arial" w:hAnsi="Arial" w:cs="Arial"/>
              </w:rPr>
            </w:pPr>
            <w:r>
              <w:rPr>
                <w:rFonts w:ascii="Arial" w:hAnsi="Arial" w:cs="Arial"/>
              </w:rPr>
              <w:t>97%</w:t>
            </w:r>
          </w:p>
        </w:tc>
        <w:tc>
          <w:tcPr>
            <w:tcW w:w="2352" w:type="dxa"/>
          </w:tcPr>
          <w:p w:rsidR="002147E0" w:rsidRPr="00CD48DD" w:rsidRDefault="002147E0" w:rsidP="003A0EE9">
            <w:pPr>
              <w:rPr>
                <w:rFonts w:ascii="Arial" w:hAnsi="Arial" w:cs="Arial"/>
              </w:rPr>
            </w:pPr>
            <w:r>
              <w:rPr>
                <w:rFonts w:ascii="Arial" w:hAnsi="Arial" w:cs="Arial"/>
              </w:rPr>
              <w:t>30%</w:t>
            </w:r>
          </w:p>
        </w:tc>
        <w:tc>
          <w:tcPr>
            <w:tcW w:w="1551" w:type="dxa"/>
          </w:tcPr>
          <w:p w:rsidR="002147E0" w:rsidRPr="009412B7" w:rsidRDefault="002147E0" w:rsidP="003A0EE9">
            <w:pPr>
              <w:rPr>
                <w:rFonts w:ascii="Arial" w:hAnsi="Arial" w:cs="Arial"/>
                <w:b/>
              </w:rPr>
            </w:pPr>
            <w:r>
              <w:rPr>
                <w:rFonts w:ascii="Arial" w:hAnsi="Arial" w:cs="Arial"/>
                <w:b/>
              </w:rPr>
              <w:t>p</w:t>
            </w:r>
            <w:r w:rsidRPr="009412B7">
              <w:rPr>
                <w:rFonts w:ascii="Arial" w:hAnsi="Arial" w:cs="Arial"/>
                <w:b/>
              </w:rPr>
              <w:t>=&lt;0.0</w:t>
            </w:r>
            <w:r>
              <w:rPr>
                <w:rFonts w:ascii="Arial" w:hAnsi="Arial" w:cs="Arial"/>
                <w:b/>
              </w:rPr>
              <w:t>001</w:t>
            </w:r>
          </w:p>
        </w:tc>
      </w:tr>
      <w:tr w:rsidR="002147E0" w:rsidRPr="00CD48DD" w:rsidTr="003A0EE9">
        <w:trPr>
          <w:trHeight w:val="643"/>
        </w:trPr>
        <w:tc>
          <w:tcPr>
            <w:tcW w:w="2674" w:type="dxa"/>
          </w:tcPr>
          <w:p w:rsidR="002147E0" w:rsidRPr="00CF319C" w:rsidRDefault="002147E0" w:rsidP="003A0EE9">
            <w:pPr>
              <w:rPr>
                <w:rFonts w:ascii="Arial" w:hAnsi="Arial" w:cs="Arial"/>
              </w:rPr>
            </w:pPr>
            <w:r w:rsidRPr="00CF319C">
              <w:rPr>
                <w:rFonts w:ascii="Arial" w:hAnsi="Arial" w:cs="Arial"/>
              </w:rPr>
              <w:t>Median Age at Questionnaire</w:t>
            </w:r>
          </w:p>
        </w:tc>
        <w:tc>
          <w:tcPr>
            <w:tcW w:w="2537" w:type="dxa"/>
          </w:tcPr>
          <w:p w:rsidR="002147E0" w:rsidRPr="00CD48DD" w:rsidRDefault="002147E0" w:rsidP="003A0EE9">
            <w:pPr>
              <w:rPr>
                <w:rFonts w:ascii="Arial" w:hAnsi="Arial" w:cs="Arial"/>
              </w:rPr>
            </w:pPr>
            <w:r>
              <w:rPr>
                <w:rFonts w:ascii="Arial" w:hAnsi="Arial" w:cs="Arial"/>
              </w:rPr>
              <w:t>15.33 years</w:t>
            </w:r>
          </w:p>
        </w:tc>
        <w:tc>
          <w:tcPr>
            <w:tcW w:w="2352" w:type="dxa"/>
          </w:tcPr>
          <w:p w:rsidR="002147E0" w:rsidRPr="00CD48DD" w:rsidRDefault="002147E0" w:rsidP="003A0EE9">
            <w:pPr>
              <w:rPr>
                <w:rFonts w:ascii="Arial" w:hAnsi="Arial" w:cs="Arial"/>
              </w:rPr>
            </w:pPr>
            <w:r>
              <w:rPr>
                <w:rFonts w:ascii="Arial" w:hAnsi="Arial" w:cs="Arial"/>
              </w:rPr>
              <w:t>14.87 years</w:t>
            </w:r>
          </w:p>
        </w:tc>
        <w:tc>
          <w:tcPr>
            <w:tcW w:w="1551" w:type="dxa"/>
          </w:tcPr>
          <w:p w:rsidR="002147E0" w:rsidRPr="00CD48DD" w:rsidRDefault="002147E0" w:rsidP="003A0EE9">
            <w:pPr>
              <w:rPr>
                <w:rFonts w:ascii="Arial" w:hAnsi="Arial" w:cs="Arial"/>
              </w:rPr>
            </w:pPr>
            <w:r>
              <w:rPr>
                <w:rFonts w:ascii="Arial" w:hAnsi="Arial" w:cs="Arial"/>
              </w:rPr>
              <w:t>p=0.71</w:t>
            </w:r>
          </w:p>
        </w:tc>
      </w:tr>
      <w:tr w:rsidR="002147E0" w:rsidRPr="00CD48DD" w:rsidTr="003A0EE9">
        <w:trPr>
          <w:trHeight w:val="643"/>
        </w:trPr>
        <w:tc>
          <w:tcPr>
            <w:tcW w:w="2674" w:type="dxa"/>
          </w:tcPr>
          <w:p w:rsidR="002147E0" w:rsidRPr="00CF319C" w:rsidRDefault="002147E0" w:rsidP="003A0EE9">
            <w:pPr>
              <w:rPr>
                <w:rFonts w:ascii="Arial" w:hAnsi="Arial" w:cs="Arial"/>
              </w:rPr>
            </w:pPr>
            <w:r w:rsidRPr="00CF319C">
              <w:rPr>
                <w:rFonts w:ascii="Arial" w:hAnsi="Arial" w:cs="Arial"/>
              </w:rPr>
              <w:t>Median Age at Diagnosis</w:t>
            </w:r>
          </w:p>
        </w:tc>
        <w:tc>
          <w:tcPr>
            <w:tcW w:w="2537" w:type="dxa"/>
          </w:tcPr>
          <w:p w:rsidR="002147E0" w:rsidRPr="00CD48DD" w:rsidRDefault="002147E0" w:rsidP="003A0EE9">
            <w:pPr>
              <w:rPr>
                <w:rFonts w:ascii="Arial" w:hAnsi="Arial" w:cs="Arial"/>
              </w:rPr>
            </w:pPr>
            <w:r>
              <w:rPr>
                <w:rFonts w:ascii="Arial" w:hAnsi="Arial" w:cs="Arial"/>
              </w:rPr>
              <w:t>11.74 years</w:t>
            </w:r>
          </w:p>
        </w:tc>
        <w:tc>
          <w:tcPr>
            <w:tcW w:w="2352" w:type="dxa"/>
          </w:tcPr>
          <w:p w:rsidR="002147E0" w:rsidRPr="00CD48DD" w:rsidRDefault="002147E0" w:rsidP="003A0EE9">
            <w:pPr>
              <w:rPr>
                <w:rFonts w:ascii="Arial" w:hAnsi="Arial" w:cs="Arial"/>
              </w:rPr>
            </w:pPr>
            <w:r>
              <w:rPr>
                <w:rFonts w:ascii="Arial" w:hAnsi="Arial" w:cs="Arial"/>
              </w:rPr>
              <w:t>10.18 years</w:t>
            </w:r>
          </w:p>
        </w:tc>
        <w:tc>
          <w:tcPr>
            <w:tcW w:w="1551" w:type="dxa"/>
          </w:tcPr>
          <w:p w:rsidR="002147E0" w:rsidRPr="00CD48DD" w:rsidRDefault="002147E0" w:rsidP="003A0EE9">
            <w:pPr>
              <w:rPr>
                <w:rFonts w:ascii="Arial" w:hAnsi="Arial" w:cs="Arial"/>
              </w:rPr>
            </w:pPr>
            <w:r>
              <w:rPr>
                <w:rFonts w:ascii="Arial" w:hAnsi="Arial" w:cs="Arial"/>
              </w:rPr>
              <w:t>p=0.08</w:t>
            </w:r>
          </w:p>
        </w:tc>
      </w:tr>
      <w:tr w:rsidR="002147E0" w:rsidRPr="00CD48DD" w:rsidTr="003A0EE9">
        <w:trPr>
          <w:trHeight w:val="643"/>
        </w:trPr>
        <w:tc>
          <w:tcPr>
            <w:tcW w:w="2674" w:type="dxa"/>
          </w:tcPr>
          <w:p w:rsidR="002147E0" w:rsidRPr="00CF319C" w:rsidRDefault="002147E0" w:rsidP="003A0EE9">
            <w:pPr>
              <w:rPr>
                <w:rFonts w:ascii="Arial" w:hAnsi="Arial" w:cs="Arial"/>
              </w:rPr>
            </w:pPr>
            <w:r w:rsidRPr="00CF319C">
              <w:rPr>
                <w:rFonts w:ascii="Arial" w:hAnsi="Arial" w:cs="Arial"/>
              </w:rPr>
              <w:t>Median Time with Disease</w:t>
            </w:r>
          </w:p>
        </w:tc>
        <w:tc>
          <w:tcPr>
            <w:tcW w:w="2537" w:type="dxa"/>
          </w:tcPr>
          <w:p w:rsidR="002147E0" w:rsidRPr="00CD48DD" w:rsidRDefault="002147E0" w:rsidP="003A0EE9">
            <w:pPr>
              <w:rPr>
                <w:rFonts w:ascii="Arial" w:hAnsi="Arial" w:cs="Arial"/>
              </w:rPr>
            </w:pPr>
            <w:r>
              <w:rPr>
                <w:rFonts w:ascii="Arial" w:hAnsi="Arial" w:cs="Arial"/>
              </w:rPr>
              <w:t>2.32 years</w:t>
            </w:r>
          </w:p>
        </w:tc>
        <w:tc>
          <w:tcPr>
            <w:tcW w:w="2352" w:type="dxa"/>
          </w:tcPr>
          <w:p w:rsidR="002147E0" w:rsidRPr="00CD48DD" w:rsidRDefault="002147E0" w:rsidP="003A0EE9">
            <w:pPr>
              <w:rPr>
                <w:rFonts w:ascii="Arial" w:hAnsi="Arial" w:cs="Arial"/>
              </w:rPr>
            </w:pPr>
            <w:r>
              <w:rPr>
                <w:rFonts w:ascii="Arial" w:hAnsi="Arial" w:cs="Arial"/>
              </w:rPr>
              <w:t>4.53 years</w:t>
            </w:r>
          </w:p>
        </w:tc>
        <w:tc>
          <w:tcPr>
            <w:tcW w:w="1551" w:type="dxa"/>
          </w:tcPr>
          <w:p w:rsidR="002147E0" w:rsidRPr="009412B7" w:rsidRDefault="002147E0" w:rsidP="003A0EE9">
            <w:pPr>
              <w:rPr>
                <w:rFonts w:ascii="Arial" w:hAnsi="Arial" w:cs="Arial"/>
                <w:b/>
              </w:rPr>
            </w:pPr>
            <w:r w:rsidRPr="009412B7">
              <w:rPr>
                <w:rFonts w:ascii="Arial" w:hAnsi="Arial" w:cs="Arial"/>
                <w:b/>
              </w:rPr>
              <w:t>p=0.007</w:t>
            </w:r>
          </w:p>
        </w:tc>
      </w:tr>
      <w:tr w:rsidR="002147E0" w:rsidRPr="00CD48DD" w:rsidTr="003A0EE9">
        <w:trPr>
          <w:trHeight w:val="643"/>
        </w:trPr>
        <w:tc>
          <w:tcPr>
            <w:tcW w:w="2674" w:type="dxa"/>
          </w:tcPr>
          <w:p w:rsidR="002147E0" w:rsidRPr="00CF319C" w:rsidRDefault="002147E0" w:rsidP="003A0EE9">
            <w:pPr>
              <w:rPr>
                <w:rFonts w:ascii="Arial" w:hAnsi="Arial" w:cs="Arial"/>
              </w:rPr>
            </w:pPr>
            <w:r>
              <w:rPr>
                <w:rFonts w:ascii="Arial" w:hAnsi="Arial" w:cs="Arial"/>
              </w:rPr>
              <w:t>No. female (% total)</w:t>
            </w:r>
          </w:p>
        </w:tc>
        <w:tc>
          <w:tcPr>
            <w:tcW w:w="2537" w:type="dxa"/>
          </w:tcPr>
          <w:p w:rsidR="002147E0" w:rsidRPr="00CD48DD" w:rsidRDefault="002147E0" w:rsidP="003A0EE9">
            <w:pPr>
              <w:rPr>
                <w:rFonts w:ascii="Arial" w:hAnsi="Arial" w:cs="Arial"/>
              </w:rPr>
            </w:pPr>
            <w:r>
              <w:rPr>
                <w:rFonts w:ascii="Arial" w:hAnsi="Arial" w:cs="Arial"/>
              </w:rPr>
              <w:t>51 (35.2%)</w:t>
            </w:r>
          </w:p>
        </w:tc>
        <w:tc>
          <w:tcPr>
            <w:tcW w:w="2352" w:type="dxa"/>
          </w:tcPr>
          <w:p w:rsidR="002147E0" w:rsidRPr="00CD48DD" w:rsidRDefault="002147E0" w:rsidP="003A0EE9">
            <w:pPr>
              <w:rPr>
                <w:rFonts w:ascii="Arial" w:hAnsi="Arial" w:cs="Arial"/>
              </w:rPr>
            </w:pPr>
            <w:r>
              <w:rPr>
                <w:rFonts w:ascii="Arial" w:hAnsi="Arial" w:cs="Arial"/>
              </w:rPr>
              <w:t>8 (33.3%)</w:t>
            </w:r>
          </w:p>
        </w:tc>
        <w:tc>
          <w:tcPr>
            <w:tcW w:w="1551" w:type="dxa"/>
          </w:tcPr>
          <w:p w:rsidR="002147E0" w:rsidRPr="00CD48DD" w:rsidRDefault="002147E0" w:rsidP="003A0EE9">
            <w:pPr>
              <w:rPr>
                <w:rFonts w:ascii="Arial" w:hAnsi="Arial" w:cs="Arial"/>
              </w:rPr>
            </w:pPr>
            <w:r>
              <w:rPr>
                <w:rFonts w:ascii="Arial" w:hAnsi="Arial" w:cs="Arial"/>
              </w:rPr>
              <w:t>p=0.88</w:t>
            </w:r>
          </w:p>
        </w:tc>
      </w:tr>
      <w:tr w:rsidR="002147E0" w:rsidRPr="00CD48DD" w:rsidTr="003A0EE9">
        <w:trPr>
          <w:trHeight w:val="619"/>
        </w:trPr>
        <w:tc>
          <w:tcPr>
            <w:tcW w:w="2674" w:type="dxa"/>
          </w:tcPr>
          <w:p w:rsidR="002147E0" w:rsidRPr="00CF319C" w:rsidRDefault="002147E0" w:rsidP="003A0EE9">
            <w:pPr>
              <w:rPr>
                <w:rFonts w:ascii="Arial" w:hAnsi="Arial" w:cs="Arial"/>
              </w:rPr>
            </w:pPr>
            <w:r w:rsidRPr="00CF319C">
              <w:rPr>
                <w:rFonts w:ascii="Arial" w:hAnsi="Arial" w:cs="Arial"/>
              </w:rPr>
              <w:t xml:space="preserve">Median School Attendance </w:t>
            </w:r>
          </w:p>
        </w:tc>
        <w:tc>
          <w:tcPr>
            <w:tcW w:w="2537" w:type="dxa"/>
          </w:tcPr>
          <w:p w:rsidR="002147E0" w:rsidRPr="00CD48DD" w:rsidRDefault="002147E0" w:rsidP="003A0EE9">
            <w:pPr>
              <w:rPr>
                <w:rFonts w:ascii="Arial" w:hAnsi="Arial" w:cs="Arial"/>
              </w:rPr>
            </w:pPr>
            <w:r>
              <w:rPr>
                <w:rFonts w:ascii="Arial" w:hAnsi="Arial" w:cs="Arial"/>
              </w:rPr>
              <w:t>92.5%</w:t>
            </w:r>
          </w:p>
        </w:tc>
        <w:tc>
          <w:tcPr>
            <w:tcW w:w="2352" w:type="dxa"/>
          </w:tcPr>
          <w:p w:rsidR="002147E0" w:rsidRPr="00CD48DD" w:rsidRDefault="002147E0" w:rsidP="003A0EE9">
            <w:pPr>
              <w:rPr>
                <w:rFonts w:ascii="Arial" w:hAnsi="Arial" w:cs="Arial"/>
              </w:rPr>
            </w:pPr>
            <w:r>
              <w:rPr>
                <w:rFonts w:ascii="Arial" w:hAnsi="Arial" w:cs="Arial"/>
              </w:rPr>
              <w:t>95%</w:t>
            </w:r>
          </w:p>
        </w:tc>
        <w:tc>
          <w:tcPr>
            <w:tcW w:w="1551" w:type="dxa"/>
          </w:tcPr>
          <w:p w:rsidR="002147E0" w:rsidRPr="00CD48DD" w:rsidRDefault="002147E0" w:rsidP="003A0EE9">
            <w:pPr>
              <w:rPr>
                <w:rFonts w:ascii="Arial" w:hAnsi="Arial" w:cs="Arial"/>
              </w:rPr>
            </w:pPr>
            <w:r>
              <w:rPr>
                <w:rFonts w:ascii="Arial" w:hAnsi="Arial" w:cs="Arial"/>
              </w:rPr>
              <w:t>p=0.014</w:t>
            </w:r>
          </w:p>
        </w:tc>
      </w:tr>
      <w:tr w:rsidR="002147E0" w:rsidRPr="00CD48DD" w:rsidTr="003A0EE9">
        <w:trPr>
          <w:trHeight w:val="619"/>
        </w:trPr>
        <w:tc>
          <w:tcPr>
            <w:tcW w:w="2674" w:type="dxa"/>
          </w:tcPr>
          <w:p w:rsidR="002147E0" w:rsidRPr="00CF319C" w:rsidRDefault="002147E0" w:rsidP="003A0EE9">
            <w:pPr>
              <w:rPr>
                <w:rFonts w:ascii="Arial" w:hAnsi="Arial" w:cs="Arial"/>
              </w:rPr>
            </w:pPr>
            <w:r w:rsidRPr="00CF319C">
              <w:rPr>
                <w:rFonts w:ascii="Arial" w:hAnsi="Arial" w:cs="Arial"/>
              </w:rPr>
              <w:t xml:space="preserve">Number of patients with 100% attendance </w:t>
            </w:r>
            <w:r>
              <w:rPr>
                <w:rFonts w:ascii="Arial" w:hAnsi="Arial" w:cs="Arial"/>
              </w:rPr>
              <w:t>(%)</w:t>
            </w:r>
          </w:p>
        </w:tc>
        <w:tc>
          <w:tcPr>
            <w:tcW w:w="2537" w:type="dxa"/>
          </w:tcPr>
          <w:p w:rsidR="002147E0" w:rsidRPr="00CD48DD" w:rsidRDefault="002147E0" w:rsidP="003A0EE9">
            <w:pPr>
              <w:rPr>
                <w:rFonts w:ascii="Arial" w:hAnsi="Arial" w:cs="Arial"/>
              </w:rPr>
            </w:pPr>
            <w:r>
              <w:rPr>
                <w:rFonts w:ascii="Arial" w:hAnsi="Arial" w:cs="Arial"/>
              </w:rPr>
              <w:t>4 (2.8%)</w:t>
            </w:r>
          </w:p>
        </w:tc>
        <w:tc>
          <w:tcPr>
            <w:tcW w:w="2352" w:type="dxa"/>
          </w:tcPr>
          <w:p w:rsidR="002147E0" w:rsidRPr="00CD48DD" w:rsidRDefault="002147E0" w:rsidP="003A0EE9">
            <w:pPr>
              <w:rPr>
                <w:rFonts w:ascii="Arial" w:hAnsi="Arial" w:cs="Arial"/>
              </w:rPr>
            </w:pPr>
            <w:r>
              <w:rPr>
                <w:rFonts w:ascii="Arial" w:hAnsi="Arial" w:cs="Arial"/>
              </w:rPr>
              <w:t>1 (4.2%)</w:t>
            </w:r>
          </w:p>
        </w:tc>
        <w:tc>
          <w:tcPr>
            <w:tcW w:w="1551" w:type="dxa"/>
          </w:tcPr>
          <w:p w:rsidR="002147E0" w:rsidRPr="00CD48DD" w:rsidRDefault="002147E0" w:rsidP="003A0EE9">
            <w:pPr>
              <w:rPr>
                <w:rFonts w:ascii="Arial" w:hAnsi="Arial" w:cs="Arial"/>
              </w:rPr>
            </w:pPr>
            <w:r>
              <w:rPr>
                <w:rFonts w:ascii="Arial" w:hAnsi="Arial" w:cs="Arial"/>
              </w:rPr>
              <w:t>p=0.7</w:t>
            </w:r>
          </w:p>
        </w:tc>
      </w:tr>
      <w:tr w:rsidR="002147E0" w:rsidRPr="00CD48DD" w:rsidTr="003A0EE9">
        <w:trPr>
          <w:trHeight w:val="643"/>
        </w:trPr>
        <w:tc>
          <w:tcPr>
            <w:tcW w:w="2674" w:type="dxa"/>
          </w:tcPr>
          <w:p w:rsidR="002147E0" w:rsidRPr="00CF319C" w:rsidRDefault="002147E0" w:rsidP="003A0EE9">
            <w:pPr>
              <w:rPr>
                <w:rFonts w:ascii="Arial" w:hAnsi="Arial" w:cs="Arial"/>
              </w:rPr>
            </w:pPr>
            <w:r w:rsidRPr="00CF319C">
              <w:rPr>
                <w:rFonts w:ascii="Arial" w:hAnsi="Arial" w:cs="Arial"/>
              </w:rPr>
              <w:t>Number of patients missing 10% or more of school/college</w:t>
            </w:r>
            <w:r>
              <w:rPr>
                <w:rFonts w:ascii="Arial" w:hAnsi="Arial" w:cs="Arial"/>
              </w:rPr>
              <w:t xml:space="preserve"> (%)</w:t>
            </w:r>
          </w:p>
        </w:tc>
        <w:tc>
          <w:tcPr>
            <w:tcW w:w="2537" w:type="dxa"/>
          </w:tcPr>
          <w:p w:rsidR="002147E0" w:rsidRPr="00CD48DD" w:rsidRDefault="002147E0" w:rsidP="003A0EE9">
            <w:pPr>
              <w:rPr>
                <w:rFonts w:ascii="Arial" w:hAnsi="Arial" w:cs="Arial"/>
              </w:rPr>
            </w:pPr>
            <w:r>
              <w:rPr>
                <w:rFonts w:ascii="Arial" w:hAnsi="Arial" w:cs="Arial"/>
              </w:rPr>
              <w:t>61 (42.1%)</w:t>
            </w:r>
          </w:p>
        </w:tc>
        <w:tc>
          <w:tcPr>
            <w:tcW w:w="2352" w:type="dxa"/>
          </w:tcPr>
          <w:p w:rsidR="002147E0" w:rsidRPr="00CD48DD" w:rsidRDefault="002147E0" w:rsidP="003A0EE9">
            <w:pPr>
              <w:rPr>
                <w:rFonts w:ascii="Arial" w:hAnsi="Arial" w:cs="Arial"/>
              </w:rPr>
            </w:pPr>
            <w:r>
              <w:rPr>
                <w:rFonts w:ascii="Arial" w:hAnsi="Arial" w:cs="Arial"/>
              </w:rPr>
              <w:t>6 (25%)</w:t>
            </w:r>
          </w:p>
        </w:tc>
        <w:tc>
          <w:tcPr>
            <w:tcW w:w="1551" w:type="dxa"/>
          </w:tcPr>
          <w:p w:rsidR="002147E0" w:rsidRPr="0083307B" w:rsidRDefault="002147E0" w:rsidP="003A0EE9">
            <w:pPr>
              <w:rPr>
                <w:rFonts w:ascii="Arial" w:hAnsi="Arial" w:cs="Arial"/>
              </w:rPr>
            </w:pPr>
            <w:r w:rsidRPr="0083307B">
              <w:rPr>
                <w:rFonts w:ascii="Arial" w:hAnsi="Arial" w:cs="Arial"/>
              </w:rPr>
              <w:t>p=0.</w:t>
            </w:r>
            <w:r>
              <w:rPr>
                <w:rFonts w:ascii="Arial" w:hAnsi="Arial" w:cs="Arial"/>
              </w:rPr>
              <w:t>11</w:t>
            </w:r>
          </w:p>
        </w:tc>
      </w:tr>
      <w:tr w:rsidR="002147E0" w:rsidRPr="00CD48DD" w:rsidTr="003A0EE9">
        <w:trPr>
          <w:trHeight w:val="643"/>
        </w:trPr>
        <w:tc>
          <w:tcPr>
            <w:tcW w:w="2674" w:type="dxa"/>
          </w:tcPr>
          <w:p w:rsidR="002147E0" w:rsidRPr="00CF319C" w:rsidRDefault="002147E0" w:rsidP="003A0EE9">
            <w:pPr>
              <w:rPr>
                <w:rFonts w:ascii="Arial" w:hAnsi="Arial" w:cs="Arial"/>
              </w:rPr>
            </w:pPr>
            <w:r w:rsidRPr="00CF319C">
              <w:rPr>
                <w:rFonts w:ascii="Arial" w:hAnsi="Arial" w:cs="Arial"/>
              </w:rPr>
              <w:t>Percentage on monoclonal therapy</w:t>
            </w:r>
          </w:p>
        </w:tc>
        <w:tc>
          <w:tcPr>
            <w:tcW w:w="2537" w:type="dxa"/>
          </w:tcPr>
          <w:p w:rsidR="002147E0" w:rsidRPr="00CD48DD" w:rsidRDefault="002147E0" w:rsidP="003A0EE9">
            <w:pPr>
              <w:rPr>
                <w:rFonts w:ascii="Arial" w:hAnsi="Arial" w:cs="Arial"/>
              </w:rPr>
            </w:pPr>
            <w:r>
              <w:rPr>
                <w:rFonts w:ascii="Arial" w:hAnsi="Arial" w:cs="Arial"/>
              </w:rPr>
              <w:t>64 (44.1%)</w:t>
            </w:r>
          </w:p>
        </w:tc>
        <w:tc>
          <w:tcPr>
            <w:tcW w:w="2352" w:type="dxa"/>
          </w:tcPr>
          <w:p w:rsidR="002147E0" w:rsidRPr="00CD48DD" w:rsidRDefault="002147E0" w:rsidP="003A0EE9">
            <w:pPr>
              <w:rPr>
                <w:rFonts w:ascii="Arial" w:hAnsi="Arial" w:cs="Arial"/>
              </w:rPr>
            </w:pPr>
            <w:r>
              <w:rPr>
                <w:rFonts w:ascii="Arial" w:hAnsi="Arial" w:cs="Arial"/>
              </w:rPr>
              <w:t>7 (29.2%)</w:t>
            </w:r>
          </w:p>
        </w:tc>
        <w:tc>
          <w:tcPr>
            <w:tcW w:w="1551" w:type="dxa"/>
          </w:tcPr>
          <w:p w:rsidR="002147E0" w:rsidRPr="00CD48DD" w:rsidRDefault="002147E0" w:rsidP="003A0EE9">
            <w:pPr>
              <w:rPr>
                <w:rFonts w:ascii="Arial" w:hAnsi="Arial" w:cs="Arial"/>
              </w:rPr>
            </w:pPr>
            <w:r>
              <w:rPr>
                <w:rFonts w:ascii="Arial" w:hAnsi="Arial" w:cs="Arial"/>
              </w:rPr>
              <w:t>p=0.18</w:t>
            </w:r>
          </w:p>
        </w:tc>
      </w:tr>
      <w:tr w:rsidR="002147E0" w:rsidRPr="00CD48DD" w:rsidTr="003A0EE9">
        <w:trPr>
          <w:trHeight w:val="643"/>
        </w:trPr>
        <w:tc>
          <w:tcPr>
            <w:tcW w:w="2674" w:type="dxa"/>
          </w:tcPr>
          <w:p w:rsidR="002147E0" w:rsidRPr="00CF319C" w:rsidRDefault="002147E0" w:rsidP="003A0EE9">
            <w:pPr>
              <w:rPr>
                <w:rFonts w:ascii="Arial" w:hAnsi="Arial" w:cs="Arial"/>
              </w:rPr>
            </w:pPr>
            <w:r w:rsidRPr="00CF319C">
              <w:rPr>
                <w:rFonts w:ascii="Arial" w:hAnsi="Arial" w:cs="Arial"/>
              </w:rPr>
              <w:t>Percentage on thiopurine/MTX therapy</w:t>
            </w:r>
          </w:p>
        </w:tc>
        <w:tc>
          <w:tcPr>
            <w:tcW w:w="2537" w:type="dxa"/>
          </w:tcPr>
          <w:p w:rsidR="002147E0" w:rsidRPr="00CD48DD" w:rsidRDefault="002147E0" w:rsidP="003A0EE9">
            <w:pPr>
              <w:rPr>
                <w:rFonts w:ascii="Arial" w:hAnsi="Arial" w:cs="Arial"/>
              </w:rPr>
            </w:pPr>
            <w:r>
              <w:rPr>
                <w:rFonts w:ascii="Arial" w:hAnsi="Arial" w:cs="Arial"/>
              </w:rPr>
              <w:t>102 (70.3%)</w:t>
            </w:r>
          </w:p>
        </w:tc>
        <w:tc>
          <w:tcPr>
            <w:tcW w:w="2352" w:type="dxa"/>
          </w:tcPr>
          <w:p w:rsidR="002147E0" w:rsidRPr="00CD48DD" w:rsidRDefault="002147E0" w:rsidP="003A0EE9">
            <w:pPr>
              <w:rPr>
                <w:rFonts w:ascii="Arial" w:hAnsi="Arial" w:cs="Arial"/>
              </w:rPr>
            </w:pPr>
            <w:r>
              <w:rPr>
                <w:rFonts w:ascii="Arial" w:hAnsi="Arial" w:cs="Arial"/>
              </w:rPr>
              <w:t>11 (45.8%)</w:t>
            </w:r>
          </w:p>
        </w:tc>
        <w:tc>
          <w:tcPr>
            <w:tcW w:w="1551" w:type="dxa"/>
          </w:tcPr>
          <w:p w:rsidR="002147E0" w:rsidRPr="0083307B" w:rsidRDefault="002147E0" w:rsidP="003A0EE9">
            <w:pPr>
              <w:rPr>
                <w:rFonts w:ascii="Arial" w:hAnsi="Arial" w:cs="Arial"/>
                <w:b/>
              </w:rPr>
            </w:pPr>
            <w:r w:rsidRPr="0083307B">
              <w:rPr>
                <w:rFonts w:ascii="Arial" w:hAnsi="Arial" w:cs="Arial"/>
                <w:b/>
              </w:rPr>
              <w:t>p=0.02</w:t>
            </w:r>
          </w:p>
        </w:tc>
      </w:tr>
      <w:tr w:rsidR="002147E0" w:rsidRPr="00CD48DD" w:rsidTr="003A0EE9">
        <w:trPr>
          <w:trHeight w:val="643"/>
        </w:trPr>
        <w:tc>
          <w:tcPr>
            <w:tcW w:w="2674" w:type="dxa"/>
          </w:tcPr>
          <w:p w:rsidR="002147E0" w:rsidRPr="00CF319C" w:rsidRDefault="002147E0" w:rsidP="003A0EE9">
            <w:pPr>
              <w:rPr>
                <w:rFonts w:ascii="Arial" w:hAnsi="Arial" w:cs="Arial"/>
              </w:rPr>
            </w:pPr>
            <w:r>
              <w:rPr>
                <w:rFonts w:ascii="Arial" w:hAnsi="Arial" w:cs="Arial"/>
              </w:rPr>
              <w:t>Number with Crohn’s disease (%)</w:t>
            </w:r>
          </w:p>
        </w:tc>
        <w:tc>
          <w:tcPr>
            <w:tcW w:w="2537" w:type="dxa"/>
          </w:tcPr>
          <w:p w:rsidR="002147E0" w:rsidRPr="00CD48DD" w:rsidRDefault="002147E0" w:rsidP="003A0EE9">
            <w:pPr>
              <w:rPr>
                <w:rFonts w:ascii="Arial" w:hAnsi="Arial" w:cs="Arial"/>
              </w:rPr>
            </w:pPr>
            <w:r>
              <w:rPr>
                <w:rFonts w:ascii="Arial" w:hAnsi="Arial" w:cs="Arial"/>
              </w:rPr>
              <w:t>92 (63.5%)</w:t>
            </w:r>
          </w:p>
        </w:tc>
        <w:tc>
          <w:tcPr>
            <w:tcW w:w="2352" w:type="dxa"/>
          </w:tcPr>
          <w:p w:rsidR="002147E0" w:rsidRPr="00CD48DD" w:rsidRDefault="002147E0" w:rsidP="003A0EE9">
            <w:pPr>
              <w:rPr>
                <w:rFonts w:ascii="Arial" w:hAnsi="Arial" w:cs="Arial"/>
              </w:rPr>
            </w:pPr>
            <w:r>
              <w:rPr>
                <w:rFonts w:ascii="Arial" w:hAnsi="Arial" w:cs="Arial"/>
              </w:rPr>
              <w:t>16 (66.7%)</w:t>
            </w:r>
          </w:p>
        </w:tc>
        <w:tc>
          <w:tcPr>
            <w:tcW w:w="1551" w:type="dxa"/>
          </w:tcPr>
          <w:p w:rsidR="002147E0" w:rsidRPr="00CD48DD" w:rsidRDefault="002147E0" w:rsidP="003A0EE9">
            <w:pPr>
              <w:rPr>
                <w:rFonts w:ascii="Arial" w:hAnsi="Arial" w:cs="Arial"/>
              </w:rPr>
            </w:pPr>
            <w:r>
              <w:rPr>
                <w:rFonts w:ascii="Arial" w:hAnsi="Arial" w:cs="Arial"/>
              </w:rPr>
              <w:t>p=0.54</w:t>
            </w:r>
          </w:p>
        </w:tc>
      </w:tr>
      <w:tr w:rsidR="002147E0" w:rsidRPr="00CD48DD" w:rsidTr="003A0EE9">
        <w:trPr>
          <w:trHeight w:val="643"/>
        </w:trPr>
        <w:tc>
          <w:tcPr>
            <w:tcW w:w="2674" w:type="dxa"/>
          </w:tcPr>
          <w:p w:rsidR="002147E0" w:rsidRPr="00CF319C" w:rsidRDefault="002147E0" w:rsidP="003A0EE9">
            <w:pPr>
              <w:rPr>
                <w:rFonts w:ascii="Arial" w:hAnsi="Arial" w:cs="Arial"/>
              </w:rPr>
            </w:pPr>
            <w:r>
              <w:rPr>
                <w:rFonts w:ascii="Arial" w:hAnsi="Arial" w:cs="Arial"/>
              </w:rPr>
              <w:t>Number</w:t>
            </w:r>
            <w:r w:rsidRPr="00CF319C">
              <w:rPr>
                <w:rFonts w:ascii="Arial" w:hAnsi="Arial" w:cs="Arial"/>
              </w:rPr>
              <w:t xml:space="preserve"> attending school</w:t>
            </w:r>
            <w:r>
              <w:rPr>
                <w:rFonts w:ascii="Arial" w:hAnsi="Arial" w:cs="Arial"/>
              </w:rPr>
              <w:t xml:space="preserve"> (%)</w:t>
            </w:r>
          </w:p>
        </w:tc>
        <w:tc>
          <w:tcPr>
            <w:tcW w:w="2537" w:type="dxa"/>
          </w:tcPr>
          <w:p w:rsidR="002147E0" w:rsidRPr="00CD48DD" w:rsidRDefault="002147E0" w:rsidP="003A0EE9">
            <w:pPr>
              <w:rPr>
                <w:rFonts w:ascii="Arial" w:hAnsi="Arial" w:cs="Arial"/>
              </w:rPr>
            </w:pPr>
            <w:r>
              <w:rPr>
                <w:rFonts w:ascii="Arial" w:hAnsi="Arial" w:cs="Arial"/>
              </w:rPr>
              <w:t>127 (87.6%)</w:t>
            </w:r>
          </w:p>
        </w:tc>
        <w:tc>
          <w:tcPr>
            <w:tcW w:w="2352" w:type="dxa"/>
          </w:tcPr>
          <w:p w:rsidR="002147E0" w:rsidRPr="00CD48DD" w:rsidRDefault="002147E0" w:rsidP="003A0EE9">
            <w:pPr>
              <w:rPr>
                <w:rFonts w:ascii="Arial" w:hAnsi="Arial" w:cs="Arial"/>
              </w:rPr>
            </w:pPr>
            <w:r>
              <w:rPr>
                <w:rFonts w:ascii="Arial" w:hAnsi="Arial" w:cs="Arial"/>
              </w:rPr>
              <w:t>21 (87.5%)</w:t>
            </w:r>
          </w:p>
        </w:tc>
        <w:tc>
          <w:tcPr>
            <w:tcW w:w="1551" w:type="dxa"/>
          </w:tcPr>
          <w:p w:rsidR="002147E0" w:rsidRPr="00CD48DD" w:rsidRDefault="002147E0" w:rsidP="003A0EE9">
            <w:pPr>
              <w:rPr>
                <w:rFonts w:ascii="Arial" w:hAnsi="Arial" w:cs="Arial"/>
              </w:rPr>
            </w:pPr>
            <w:r>
              <w:rPr>
                <w:rFonts w:ascii="Arial" w:hAnsi="Arial" w:cs="Arial"/>
              </w:rPr>
              <w:t>p=0.95</w:t>
            </w:r>
          </w:p>
        </w:tc>
      </w:tr>
      <w:tr w:rsidR="002147E0" w:rsidRPr="00CD48DD" w:rsidTr="003A0EE9">
        <w:trPr>
          <w:trHeight w:val="643"/>
        </w:trPr>
        <w:tc>
          <w:tcPr>
            <w:tcW w:w="2674" w:type="dxa"/>
          </w:tcPr>
          <w:p w:rsidR="002147E0" w:rsidRPr="00CF319C" w:rsidRDefault="002147E0" w:rsidP="003A0EE9">
            <w:pPr>
              <w:rPr>
                <w:rFonts w:ascii="Arial" w:hAnsi="Arial" w:cs="Arial"/>
              </w:rPr>
            </w:pPr>
            <w:r>
              <w:rPr>
                <w:rFonts w:ascii="Arial" w:hAnsi="Arial" w:cs="Arial"/>
              </w:rPr>
              <w:t>Number</w:t>
            </w:r>
            <w:r w:rsidRPr="00CF319C">
              <w:rPr>
                <w:rFonts w:ascii="Arial" w:hAnsi="Arial" w:cs="Arial"/>
              </w:rPr>
              <w:t xml:space="preserve"> attending college</w:t>
            </w:r>
            <w:r>
              <w:rPr>
                <w:rFonts w:ascii="Arial" w:hAnsi="Arial" w:cs="Arial"/>
              </w:rPr>
              <w:t xml:space="preserve"> (%)</w:t>
            </w:r>
          </w:p>
        </w:tc>
        <w:tc>
          <w:tcPr>
            <w:tcW w:w="2537" w:type="dxa"/>
          </w:tcPr>
          <w:p w:rsidR="002147E0" w:rsidRPr="002071A8" w:rsidRDefault="002147E0" w:rsidP="003A0EE9">
            <w:pPr>
              <w:rPr>
                <w:rFonts w:ascii="Arial" w:hAnsi="Arial" w:cs="Arial"/>
              </w:rPr>
            </w:pPr>
            <w:r>
              <w:rPr>
                <w:rFonts w:ascii="Arial" w:hAnsi="Arial" w:cs="Arial"/>
              </w:rPr>
              <w:t>18 (12.4%)</w:t>
            </w:r>
          </w:p>
        </w:tc>
        <w:tc>
          <w:tcPr>
            <w:tcW w:w="2352" w:type="dxa"/>
          </w:tcPr>
          <w:p w:rsidR="002147E0" w:rsidRPr="002071A8" w:rsidRDefault="002147E0" w:rsidP="003A0EE9">
            <w:pPr>
              <w:rPr>
                <w:rFonts w:ascii="Arial" w:hAnsi="Arial" w:cs="Arial"/>
              </w:rPr>
            </w:pPr>
            <w:r>
              <w:rPr>
                <w:rFonts w:ascii="Arial" w:hAnsi="Arial" w:cs="Arial"/>
              </w:rPr>
              <w:t>2 (8.3%)</w:t>
            </w:r>
          </w:p>
        </w:tc>
        <w:tc>
          <w:tcPr>
            <w:tcW w:w="1551" w:type="dxa"/>
          </w:tcPr>
          <w:p w:rsidR="002147E0" w:rsidRPr="002071A8" w:rsidRDefault="002147E0" w:rsidP="003A0EE9">
            <w:pPr>
              <w:rPr>
                <w:rFonts w:ascii="Arial" w:hAnsi="Arial" w:cs="Arial"/>
              </w:rPr>
            </w:pPr>
            <w:r>
              <w:rPr>
                <w:rFonts w:ascii="Arial" w:hAnsi="Arial" w:cs="Arial"/>
              </w:rPr>
              <w:t>p=0.57</w:t>
            </w:r>
          </w:p>
        </w:tc>
      </w:tr>
      <w:tr w:rsidR="002147E0" w:rsidRPr="00CD48DD" w:rsidTr="003A0EE9">
        <w:trPr>
          <w:trHeight w:val="643"/>
        </w:trPr>
        <w:tc>
          <w:tcPr>
            <w:tcW w:w="2674" w:type="dxa"/>
          </w:tcPr>
          <w:p w:rsidR="002147E0" w:rsidRPr="00CF319C" w:rsidRDefault="002147E0" w:rsidP="003A0EE9">
            <w:pPr>
              <w:rPr>
                <w:rFonts w:ascii="Arial" w:hAnsi="Arial" w:cs="Arial"/>
              </w:rPr>
            </w:pPr>
            <w:r>
              <w:rPr>
                <w:rFonts w:ascii="Arial" w:hAnsi="Arial" w:cs="Arial"/>
              </w:rPr>
              <w:t>Number not attending school or college (%)</w:t>
            </w:r>
          </w:p>
        </w:tc>
        <w:tc>
          <w:tcPr>
            <w:tcW w:w="2537" w:type="dxa"/>
          </w:tcPr>
          <w:p w:rsidR="002147E0" w:rsidRPr="00CD48DD" w:rsidRDefault="002147E0" w:rsidP="003A0EE9">
            <w:pPr>
              <w:rPr>
                <w:rFonts w:ascii="Arial" w:hAnsi="Arial" w:cs="Arial"/>
              </w:rPr>
            </w:pPr>
            <w:r>
              <w:rPr>
                <w:rFonts w:ascii="Arial" w:hAnsi="Arial" w:cs="Arial"/>
              </w:rPr>
              <w:t>1 (0.7%)</w:t>
            </w:r>
          </w:p>
        </w:tc>
        <w:tc>
          <w:tcPr>
            <w:tcW w:w="2352" w:type="dxa"/>
          </w:tcPr>
          <w:p w:rsidR="002147E0" w:rsidRPr="00CD48DD" w:rsidRDefault="002147E0" w:rsidP="003A0EE9">
            <w:pPr>
              <w:rPr>
                <w:rFonts w:ascii="Arial" w:hAnsi="Arial" w:cs="Arial"/>
              </w:rPr>
            </w:pPr>
            <w:r>
              <w:rPr>
                <w:rFonts w:ascii="Arial" w:hAnsi="Arial" w:cs="Arial"/>
              </w:rPr>
              <w:t>1 (4.2%)</w:t>
            </w:r>
          </w:p>
        </w:tc>
        <w:tc>
          <w:tcPr>
            <w:tcW w:w="1551" w:type="dxa"/>
          </w:tcPr>
          <w:p w:rsidR="002147E0" w:rsidRPr="00CD48DD" w:rsidRDefault="002147E0" w:rsidP="003A0EE9">
            <w:pPr>
              <w:rPr>
                <w:rFonts w:ascii="Arial" w:hAnsi="Arial" w:cs="Arial"/>
              </w:rPr>
            </w:pPr>
            <w:r>
              <w:rPr>
                <w:rFonts w:ascii="Arial" w:hAnsi="Arial" w:cs="Arial"/>
              </w:rPr>
              <w:t>p=0.14</w:t>
            </w:r>
          </w:p>
        </w:tc>
      </w:tr>
    </w:tbl>
    <w:p w:rsidR="002147E0" w:rsidRDefault="002147E0" w:rsidP="002147E0">
      <w:pPr>
        <w:rPr>
          <w:rFonts w:ascii="Arial" w:hAnsi="Arial" w:cs="Arial"/>
        </w:rPr>
      </w:pPr>
      <w:r w:rsidRPr="0026013B">
        <w:rPr>
          <w:rFonts w:ascii="Arial" w:hAnsi="Arial" w:cs="Arial"/>
        </w:rPr>
        <w:t xml:space="preserve">Supplementary table </w:t>
      </w:r>
      <w:r>
        <w:rPr>
          <w:rFonts w:ascii="Arial" w:hAnsi="Arial" w:cs="Arial"/>
        </w:rPr>
        <w:t>3-</w:t>
      </w:r>
    </w:p>
    <w:p w:rsidR="002147E0" w:rsidRDefault="002147E0" w:rsidP="002147E0">
      <w:pPr>
        <w:rPr>
          <w:rFonts w:ascii="Arial" w:hAnsi="Arial" w:cs="Arial"/>
        </w:rPr>
      </w:pPr>
    </w:p>
    <w:p w:rsidR="002147E0" w:rsidRPr="0026013B" w:rsidRDefault="002147E0" w:rsidP="002147E0">
      <w:pPr>
        <w:rPr>
          <w:rFonts w:ascii="Arial" w:hAnsi="Arial" w:cs="Arial"/>
        </w:rPr>
      </w:pPr>
      <w:r>
        <w:rPr>
          <w:rFonts w:ascii="Arial" w:hAnsi="Arial" w:cs="Arial"/>
        </w:rPr>
        <w:t>Statistical analysis is with Chi-Squared or Kruskal-Wallis test (for median values)</w:t>
      </w: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Default="002147E0" w:rsidP="002147E0">
      <w:pPr>
        <w:spacing w:line="360" w:lineRule="auto"/>
        <w:jc w:val="both"/>
        <w:rPr>
          <w:rFonts w:ascii="Arial" w:hAnsi="Arial" w:cs="Arial"/>
          <w:sz w:val="24"/>
          <w:szCs w:val="24"/>
          <w:u w:val="single"/>
        </w:rPr>
      </w:pPr>
    </w:p>
    <w:p w:rsidR="002147E0" w:rsidRPr="00CA06C4" w:rsidRDefault="002147E0" w:rsidP="002147E0">
      <w:pPr>
        <w:spacing w:line="360" w:lineRule="auto"/>
        <w:jc w:val="both"/>
        <w:rPr>
          <w:rFonts w:ascii="Arial" w:hAnsi="Arial" w:cs="Arial"/>
          <w:sz w:val="24"/>
          <w:szCs w:val="24"/>
          <w:u w:val="single"/>
        </w:rPr>
      </w:pPr>
      <w:r>
        <w:rPr>
          <w:rFonts w:ascii="Arial" w:hAnsi="Arial" w:cs="Arial"/>
          <w:sz w:val="24"/>
          <w:szCs w:val="24"/>
          <w:u w:val="single"/>
        </w:rPr>
        <w:t>Supplementary Table 4– Hospital attendance data for Southampton patients</w:t>
      </w:r>
    </w:p>
    <w:tbl>
      <w:tblPr>
        <w:tblStyle w:val="TableGrid"/>
        <w:tblW w:w="9522" w:type="dxa"/>
        <w:tblLook w:val="04A0" w:firstRow="1" w:lastRow="0" w:firstColumn="1" w:lastColumn="0" w:noHBand="0" w:noVBand="1"/>
      </w:tblPr>
      <w:tblGrid>
        <w:gridCol w:w="984"/>
        <w:gridCol w:w="794"/>
        <w:gridCol w:w="705"/>
        <w:gridCol w:w="727"/>
        <w:gridCol w:w="1107"/>
        <w:gridCol w:w="1053"/>
        <w:gridCol w:w="1187"/>
        <w:gridCol w:w="1235"/>
        <w:gridCol w:w="992"/>
        <w:gridCol w:w="738"/>
      </w:tblGrid>
      <w:tr w:rsidR="002147E0" w:rsidTr="003A0EE9">
        <w:trPr>
          <w:trHeight w:val="434"/>
        </w:trPr>
        <w:tc>
          <w:tcPr>
            <w:tcW w:w="984" w:type="dxa"/>
          </w:tcPr>
          <w:p w:rsidR="002147E0" w:rsidRPr="003167D9" w:rsidRDefault="002147E0" w:rsidP="003A0EE9">
            <w:pPr>
              <w:jc w:val="both"/>
              <w:rPr>
                <w:rFonts w:ascii="Arial" w:hAnsi="Arial" w:cs="Arial"/>
                <w:sz w:val="24"/>
                <w:szCs w:val="24"/>
              </w:rPr>
            </w:pPr>
          </w:p>
        </w:tc>
        <w:tc>
          <w:tcPr>
            <w:tcW w:w="794" w:type="dxa"/>
          </w:tcPr>
          <w:p w:rsidR="002147E0" w:rsidRPr="003167D9" w:rsidRDefault="002147E0" w:rsidP="003A0EE9">
            <w:pPr>
              <w:jc w:val="both"/>
              <w:rPr>
                <w:rFonts w:ascii="Arial" w:hAnsi="Arial" w:cs="Arial"/>
                <w:sz w:val="18"/>
                <w:szCs w:val="18"/>
              </w:rPr>
            </w:pPr>
            <w:r w:rsidRPr="003167D9">
              <w:rPr>
                <w:rFonts w:ascii="Arial" w:hAnsi="Arial" w:cs="Arial"/>
                <w:sz w:val="18"/>
                <w:szCs w:val="18"/>
              </w:rPr>
              <w:t>Gastro clinic</w:t>
            </w:r>
          </w:p>
        </w:tc>
        <w:tc>
          <w:tcPr>
            <w:tcW w:w="705" w:type="dxa"/>
          </w:tcPr>
          <w:p w:rsidR="002147E0" w:rsidRPr="003167D9" w:rsidRDefault="002147E0" w:rsidP="003A0EE9">
            <w:pPr>
              <w:jc w:val="both"/>
              <w:rPr>
                <w:rFonts w:ascii="Arial" w:hAnsi="Arial" w:cs="Arial"/>
                <w:sz w:val="18"/>
                <w:szCs w:val="18"/>
              </w:rPr>
            </w:pPr>
            <w:r w:rsidRPr="003167D9">
              <w:rPr>
                <w:rFonts w:ascii="Arial" w:hAnsi="Arial" w:cs="Arial"/>
                <w:sz w:val="18"/>
                <w:szCs w:val="18"/>
              </w:rPr>
              <w:t>Other clinic</w:t>
            </w:r>
          </w:p>
        </w:tc>
        <w:tc>
          <w:tcPr>
            <w:tcW w:w="727" w:type="dxa"/>
          </w:tcPr>
          <w:p w:rsidR="002147E0" w:rsidRPr="003167D9" w:rsidRDefault="002147E0" w:rsidP="003A0EE9">
            <w:pPr>
              <w:jc w:val="both"/>
              <w:rPr>
                <w:rFonts w:ascii="Arial" w:hAnsi="Arial" w:cs="Arial"/>
                <w:sz w:val="18"/>
                <w:szCs w:val="18"/>
              </w:rPr>
            </w:pPr>
            <w:r w:rsidRPr="003167D9">
              <w:rPr>
                <w:rFonts w:ascii="Arial" w:hAnsi="Arial" w:cs="Arial"/>
                <w:sz w:val="18"/>
                <w:szCs w:val="18"/>
              </w:rPr>
              <w:t>Clinic days</w:t>
            </w:r>
          </w:p>
        </w:tc>
        <w:tc>
          <w:tcPr>
            <w:tcW w:w="1107" w:type="dxa"/>
          </w:tcPr>
          <w:p w:rsidR="002147E0" w:rsidRPr="003167D9" w:rsidRDefault="002147E0" w:rsidP="003A0EE9">
            <w:pPr>
              <w:jc w:val="both"/>
              <w:rPr>
                <w:rFonts w:ascii="Arial" w:hAnsi="Arial" w:cs="Arial"/>
                <w:sz w:val="18"/>
                <w:szCs w:val="18"/>
              </w:rPr>
            </w:pPr>
            <w:r w:rsidRPr="003167D9">
              <w:rPr>
                <w:rFonts w:ascii="Arial" w:hAnsi="Arial" w:cs="Arial"/>
                <w:sz w:val="18"/>
                <w:szCs w:val="18"/>
              </w:rPr>
              <w:t>Endoscopy days</w:t>
            </w:r>
          </w:p>
        </w:tc>
        <w:tc>
          <w:tcPr>
            <w:tcW w:w="1053" w:type="dxa"/>
          </w:tcPr>
          <w:p w:rsidR="002147E0" w:rsidRPr="003167D9" w:rsidRDefault="002147E0" w:rsidP="003A0EE9">
            <w:pPr>
              <w:jc w:val="both"/>
              <w:rPr>
                <w:rFonts w:ascii="Arial" w:hAnsi="Arial" w:cs="Arial"/>
                <w:sz w:val="18"/>
                <w:szCs w:val="18"/>
              </w:rPr>
            </w:pPr>
            <w:r w:rsidRPr="003167D9">
              <w:rPr>
                <w:rFonts w:ascii="Arial" w:hAnsi="Arial" w:cs="Arial"/>
                <w:sz w:val="18"/>
                <w:szCs w:val="18"/>
              </w:rPr>
              <w:t>Radiology days</w:t>
            </w:r>
          </w:p>
        </w:tc>
        <w:tc>
          <w:tcPr>
            <w:tcW w:w="1187" w:type="dxa"/>
          </w:tcPr>
          <w:p w:rsidR="002147E0" w:rsidRDefault="002147E0" w:rsidP="003A0EE9">
            <w:pPr>
              <w:jc w:val="both"/>
              <w:rPr>
                <w:rFonts w:ascii="Arial" w:hAnsi="Arial" w:cs="Arial"/>
                <w:sz w:val="18"/>
                <w:szCs w:val="18"/>
              </w:rPr>
            </w:pPr>
            <w:r>
              <w:rPr>
                <w:rFonts w:ascii="Arial" w:hAnsi="Arial" w:cs="Arial"/>
                <w:sz w:val="18"/>
                <w:szCs w:val="18"/>
              </w:rPr>
              <w:t>Monoclonal/</w:t>
            </w:r>
          </w:p>
          <w:p w:rsidR="002147E0" w:rsidRPr="003167D9" w:rsidRDefault="002147E0" w:rsidP="003A0EE9">
            <w:pPr>
              <w:jc w:val="both"/>
              <w:rPr>
                <w:rFonts w:ascii="Arial" w:hAnsi="Arial" w:cs="Arial"/>
                <w:sz w:val="18"/>
                <w:szCs w:val="18"/>
              </w:rPr>
            </w:pPr>
            <w:r>
              <w:rPr>
                <w:rFonts w:ascii="Arial" w:hAnsi="Arial" w:cs="Arial"/>
                <w:sz w:val="18"/>
                <w:szCs w:val="18"/>
              </w:rPr>
              <w:t>Review</w:t>
            </w:r>
          </w:p>
        </w:tc>
        <w:tc>
          <w:tcPr>
            <w:tcW w:w="1235" w:type="dxa"/>
          </w:tcPr>
          <w:p w:rsidR="002147E0" w:rsidRPr="003167D9" w:rsidRDefault="002147E0" w:rsidP="003A0EE9">
            <w:pPr>
              <w:jc w:val="both"/>
              <w:rPr>
                <w:rFonts w:ascii="Arial" w:hAnsi="Arial" w:cs="Arial"/>
                <w:sz w:val="18"/>
                <w:szCs w:val="18"/>
              </w:rPr>
            </w:pPr>
            <w:r w:rsidRPr="003167D9">
              <w:rPr>
                <w:rFonts w:ascii="Arial" w:hAnsi="Arial" w:cs="Arial"/>
                <w:sz w:val="18"/>
                <w:szCs w:val="18"/>
              </w:rPr>
              <w:t>Day case days</w:t>
            </w:r>
          </w:p>
        </w:tc>
        <w:tc>
          <w:tcPr>
            <w:tcW w:w="992" w:type="dxa"/>
          </w:tcPr>
          <w:p w:rsidR="002147E0" w:rsidRPr="003167D9" w:rsidRDefault="002147E0" w:rsidP="003A0EE9">
            <w:pPr>
              <w:jc w:val="both"/>
              <w:rPr>
                <w:rFonts w:ascii="Arial" w:hAnsi="Arial" w:cs="Arial"/>
                <w:sz w:val="18"/>
                <w:szCs w:val="18"/>
              </w:rPr>
            </w:pPr>
            <w:r w:rsidRPr="003167D9">
              <w:rPr>
                <w:rFonts w:ascii="Arial" w:hAnsi="Arial" w:cs="Arial"/>
                <w:sz w:val="18"/>
                <w:szCs w:val="18"/>
              </w:rPr>
              <w:t>Inpatient days</w:t>
            </w:r>
          </w:p>
        </w:tc>
        <w:tc>
          <w:tcPr>
            <w:tcW w:w="738" w:type="dxa"/>
          </w:tcPr>
          <w:p w:rsidR="002147E0" w:rsidRPr="003167D9" w:rsidRDefault="002147E0" w:rsidP="003A0EE9">
            <w:pPr>
              <w:jc w:val="both"/>
              <w:rPr>
                <w:rFonts w:ascii="Arial" w:hAnsi="Arial" w:cs="Arial"/>
                <w:sz w:val="18"/>
                <w:szCs w:val="18"/>
              </w:rPr>
            </w:pPr>
            <w:r w:rsidRPr="003167D9">
              <w:rPr>
                <w:rFonts w:ascii="Arial" w:hAnsi="Arial" w:cs="Arial"/>
                <w:sz w:val="18"/>
                <w:szCs w:val="18"/>
              </w:rPr>
              <w:t>Total days</w:t>
            </w:r>
          </w:p>
        </w:tc>
      </w:tr>
      <w:tr w:rsidR="002147E0" w:rsidRPr="00196706" w:rsidTr="003A0EE9">
        <w:trPr>
          <w:trHeight w:val="1077"/>
        </w:trPr>
        <w:tc>
          <w:tcPr>
            <w:tcW w:w="984" w:type="dxa"/>
          </w:tcPr>
          <w:p w:rsidR="002147E0" w:rsidRPr="003167D9" w:rsidRDefault="002147E0" w:rsidP="003A0EE9">
            <w:pPr>
              <w:rPr>
                <w:rFonts w:ascii="Arial" w:hAnsi="Arial" w:cs="Arial"/>
              </w:rPr>
            </w:pPr>
            <w:r w:rsidRPr="003167D9">
              <w:rPr>
                <w:rFonts w:ascii="Arial" w:hAnsi="Arial" w:cs="Arial"/>
              </w:rPr>
              <w:t>Total no of days</w:t>
            </w:r>
          </w:p>
          <w:p w:rsidR="002147E0" w:rsidRPr="003167D9" w:rsidRDefault="002147E0" w:rsidP="003A0EE9">
            <w:pPr>
              <w:rPr>
                <w:rFonts w:ascii="Arial" w:hAnsi="Arial" w:cs="Arial"/>
              </w:rPr>
            </w:pPr>
          </w:p>
        </w:tc>
        <w:tc>
          <w:tcPr>
            <w:tcW w:w="794" w:type="dxa"/>
          </w:tcPr>
          <w:p w:rsidR="002147E0" w:rsidRPr="003167D9" w:rsidRDefault="002147E0" w:rsidP="003A0EE9">
            <w:pPr>
              <w:jc w:val="both"/>
              <w:rPr>
                <w:rFonts w:ascii="Arial" w:hAnsi="Arial" w:cs="Arial"/>
              </w:rPr>
            </w:pPr>
            <w:r w:rsidRPr="003167D9">
              <w:rPr>
                <w:rFonts w:ascii="Arial" w:hAnsi="Arial" w:cs="Arial"/>
              </w:rPr>
              <w:t>246</w:t>
            </w:r>
          </w:p>
        </w:tc>
        <w:tc>
          <w:tcPr>
            <w:tcW w:w="705" w:type="dxa"/>
          </w:tcPr>
          <w:p w:rsidR="002147E0" w:rsidRPr="003167D9" w:rsidRDefault="002147E0" w:rsidP="003A0EE9">
            <w:pPr>
              <w:jc w:val="both"/>
              <w:rPr>
                <w:rFonts w:ascii="Arial" w:hAnsi="Arial" w:cs="Arial"/>
              </w:rPr>
            </w:pPr>
            <w:r w:rsidRPr="003167D9">
              <w:rPr>
                <w:rFonts w:ascii="Arial" w:hAnsi="Arial" w:cs="Arial"/>
              </w:rPr>
              <w:t>29</w:t>
            </w:r>
          </w:p>
        </w:tc>
        <w:tc>
          <w:tcPr>
            <w:tcW w:w="727" w:type="dxa"/>
          </w:tcPr>
          <w:p w:rsidR="002147E0" w:rsidRPr="003167D9" w:rsidRDefault="002147E0" w:rsidP="003A0EE9">
            <w:pPr>
              <w:jc w:val="both"/>
              <w:rPr>
                <w:rFonts w:ascii="Arial" w:hAnsi="Arial" w:cs="Arial"/>
              </w:rPr>
            </w:pPr>
            <w:r w:rsidRPr="003167D9">
              <w:rPr>
                <w:rFonts w:ascii="Arial" w:hAnsi="Arial" w:cs="Arial"/>
              </w:rPr>
              <w:t>275</w:t>
            </w:r>
          </w:p>
        </w:tc>
        <w:tc>
          <w:tcPr>
            <w:tcW w:w="1107" w:type="dxa"/>
          </w:tcPr>
          <w:p w:rsidR="002147E0" w:rsidRPr="003167D9" w:rsidRDefault="002147E0" w:rsidP="003A0EE9">
            <w:pPr>
              <w:jc w:val="both"/>
              <w:rPr>
                <w:rFonts w:ascii="Arial" w:hAnsi="Arial" w:cs="Arial"/>
              </w:rPr>
            </w:pPr>
            <w:r w:rsidRPr="003167D9">
              <w:rPr>
                <w:rFonts w:ascii="Arial" w:hAnsi="Arial" w:cs="Arial"/>
              </w:rPr>
              <w:t>13</w:t>
            </w:r>
          </w:p>
        </w:tc>
        <w:tc>
          <w:tcPr>
            <w:tcW w:w="1053" w:type="dxa"/>
          </w:tcPr>
          <w:p w:rsidR="002147E0" w:rsidRPr="003167D9" w:rsidRDefault="002147E0" w:rsidP="003A0EE9">
            <w:pPr>
              <w:jc w:val="both"/>
              <w:rPr>
                <w:rFonts w:ascii="Arial" w:hAnsi="Arial" w:cs="Arial"/>
              </w:rPr>
            </w:pPr>
            <w:r w:rsidRPr="003167D9">
              <w:rPr>
                <w:rFonts w:ascii="Arial" w:hAnsi="Arial" w:cs="Arial"/>
              </w:rPr>
              <w:t>19</w:t>
            </w:r>
          </w:p>
        </w:tc>
        <w:tc>
          <w:tcPr>
            <w:tcW w:w="1187" w:type="dxa"/>
          </w:tcPr>
          <w:p w:rsidR="002147E0" w:rsidRPr="003167D9" w:rsidRDefault="002147E0" w:rsidP="003A0EE9">
            <w:pPr>
              <w:jc w:val="both"/>
              <w:rPr>
                <w:rFonts w:ascii="Arial" w:hAnsi="Arial" w:cs="Arial"/>
              </w:rPr>
            </w:pPr>
            <w:r w:rsidRPr="003167D9">
              <w:rPr>
                <w:rFonts w:ascii="Arial" w:hAnsi="Arial" w:cs="Arial"/>
              </w:rPr>
              <w:t>85</w:t>
            </w:r>
          </w:p>
        </w:tc>
        <w:tc>
          <w:tcPr>
            <w:tcW w:w="1235" w:type="dxa"/>
          </w:tcPr>
          <w:p w:rsidR="002147E0" w:rsidRPr="003167D9" w:rsidRDefault="002147E0" w:rsidP="003A0EE9">
            <w:pPr>
              <w:jc w:val="both"/>
              <w:rPr>
                <w:rFonts w:ascii="Arial" w:hAnsi="Arial" w:cs="Arial"/>
              </w:rPr>
            </w:pPr>
            <w:r w:rsidRPr="003167D9">
              <w:rPr>
                <w:rFonts w:ascii="Arial" w:hAnsi="Arial" w:cs="Arial"/>
              </w:rPr>
              <w:t>117</w:t>
            </w:r>
          </w:p>
        </w:tc>
        <w:tc>
          <w:tcPr>
            <w:tcW w:w="992" w:type="dxa"/>
          </w:tcPr>
          <w:p w:rsidR="002147E0" w:rsidRPr="003167D9" w:rsidRDefault="002147E0" w:rsidP="003A0EE9">
            <w:pPr>
              <w:jc w:val="both"/>
              <w:rPr>
                <w:rFonts w:ascii="Arial" w:hAnsi="Arial" w:cs="Arial"/>
              </w:rPr>
            </w:pPr>
            <w:r w:rsidRPr="003167D9">
              <w:rPr>
                <w:rFonts w:ascii="Arial" w:hAnsi="Arial" w:cs="Arial"/>
              </w:rPr>
              <w:t>24</w:t>
            </w:r>
          </w:p>
        </w:tc>
        <w:tc>
          <w:tcPr>
            <w:tcW w:w="738" w:type="dxa"/>
          </w:tcPr>
          <w:p w:rsidR="002147E0" w:rsidRPr="003167D9" w:rsidRDefault="002147E0" w:rsidP="003A0EE9">
            <w:pPr>
              <w:jc w:val="both"/>
              <w:rPr>
                <w:rFonts w:ascii="Arial" w:hAnsi="Arial" w:cs="Arial"/>
              </w:rPr>
            </w:pPr>
            <w:r w:rsidRPr="003167D9">
              <w:rPr>
                <w:rFonts w:ascii="Arial" w:hAnsi="Arial" w:cs="Arial"/>
              </w:rPr>
              <w:t>416</w:t>
            </w:r>
          </w:p>
        </w:tc>
      </w:tr>
      <w:tr w:rsidR="002147E0" w:rsidTr="003A0EE9">
        <w:trPr>
          <w:trHeight w:val="1350"/>
        </w:trPr>
        <w:tc>
          <w:tcPr>
            <w:tcW w:w="984" w:type="dxa"/>
          </w:tcPr>
          <w:p w:rsidR="002147E0" w:rsidRPr="003167D9" w:rsidRDefault="002147E0" w:rsidP="003A0EE9">
            <w:pPr>
              <w:rPr>
                <w:rFonts w:ascii="Arial" w:hAnsi="Arial" w:cs="Arial"/>
              </w:rPr>
            </w:pPr>
            <w:r w:rsidRPr="003167D9">
              <w:rPr>
                <w:rFonts w:ascii="Arial" w:hAnsi="Arial" w:cs="Arial"/>
              </w:rPr>
              <w:lastRenderedPageBreak/>
              <w:t>Median no of days</w:t>
            </w:r>
            <w:r>
              <w:rPr>
                <w:rFonts w:ascii="Arial" w:hAnsi="Arial" w:cs="Arial"/>
              </w:rPr>
              <w:t xml:space="preserve"> per patient</w:t>
            </w:r>
          </w:p>
        </w:tc>
        <w:tc>
          <w:tcPr>
            <w:tcW w:w="794" w:type="dxa"/>
          </w:tcPr>
          <w:p w:rsidR="002147E0" w:rsidRPr="003167D9" w:rsidRDefault="002147E0" w:rsidP="003A0EE9">
            <w:pPr>
              <w:jc w:val="both"/>
              <w:rPr>
                <w:rFonts w:ascii="Arial" w:hAnsi="Arial" w:cs="Arial"/>
              </w:rPr>
            </w:pPr>
            <w:r w:rsidRPr="003167D9">
              <w:rPr>
                <w:rFonts w:ascii="Arial" w:hAnsi="Arial" w:cs="Arial"/>
              </w:rPr>
              <w:t>4</w:t>
            </w:r>
          </w:p>
        </w:tc>
        <w:tc>
          <w:tcPr>
            <w:tcW w:w="705" w:type="dxa"/>
          </w:tcPr>
          <w:p w:rsidR="002147E0" w:rsidRPr="003167D9" w:rsidRDefault="002147E0" w:rsidP="003A0EE9">
            <w:pPr>
              <w:jc w:val="both"/>
              <w:rPr>
                <w:rFonts w:ascii="Arial" w:hAnsi="Arial" w:cs="Arial"/>
              </w:rPr>
            </w:pPr>
            <w:r w:rsidRPr="003167D9">
              <w:rPr>
                <w:rFonts w:ascii="Arial" w:hAnsi="Arial" w:cs="Arial"/>
              </w:rPr>
              <w:t>2</w:t>
            </w:r>
          </w:p>
        </w:tc>
        <w:tc>
          <w:tcPr>
            <w:tcW w:w="727" w:type="dxa"/>
          </w:tcPr>
          <w:p w:rsidR="002147E0" w:rsidRPr="003167D9" w:rsidRDefault="002147E0" w:rsidP="003A0EE9">
            <w:pPr>
              <w:jc w:val="both"/>
              <w:rPr>
                <w:rFonts w:ascii="Arial" w:hAnsi="Arial" w:cs="Arial"/>
              </w:rPr>
            </w:pPr>
            <w:r w:rsidRPr="003167D9">
              <w:rPr>
                <w:rFonts w:ascii="Arial" w:hAnsi="Arial" w:cs="Arial"/>
              </w:rPr>
              <w:t>5</w:t>
            </w:r>
          </w:p>
        </w:tc>
        <w:tc>
          <w:tcPr>
            <w:tcW w:w="1107" w:type="dxa"/>
          </w:tcPr>
          <w:p w:rsidR="002147E0" w:rsidRPr="003167D9" w:rsidRDefault="002147E0" w:rsidP="003A0EE9">
            <w:pPr>
              <w:jc w:val="both"/>
              <w:rPr>
                <w:rFonts w:ascii="Arial" w:hAnsi="Arial" w:cs="Arial"/>
              </w:rPr>
            </w:pPr>
            <w:r w:rsidRPr="003167D9">
              <w:rPr>
                <w:rFonts w:ascii="Arial" w:hAnsi="Arial" w:cs="Arial"/>
              </w:rPr>
              <w:t>1</w:t>
            </w:r>
          </w:p>
        </w:tc>
        <w:tc>
          <w:tcPr>
            <w:tcW w:w="1053" w:type="dxa"/>
          </w:tcPr>
          <w:p w:rsidR="002147E0" w:rsidRPr="003167D9" w:rsidRDefault="002147E0" w:rsidP="003A0EE9">
            <w:pPr>
              <w:jc w:val="both"/>
              <w:rPr>
                <w:rFonts w:ascii="Arial" w:hAnsi="Arial" w:cs="Arial"/>
              </w:rPr>
            </w:pPr>
            <w:r w:rsidRPr="003167D9">
              <w:rPr>
                <w:rFonts w:ascii="Arial" w:hAnsi="Arial" w:cs="Arial"/>
              </w:rPr>
              <w:t>1</w:t>
            </w:r>
          </w:p>
        </w:tc>
        <w:tc>
          <w:tcPr>
            <w:tcW w:w="1187" w:type="dxa"/>
          </w:tcPr>
          <w:p w:rsidR="002147E0" w:rsidRPr="003167D9" w:rsidRDefault="002147E0" w:rsidP="003A0EE9">
            <w:pPr>
              <w:jc w:val="both"/>
              <w:rPr>
                <w:rFonts w:ascii="Arial" w:hAnsi="Arial" w:cs="Arial"/>
              </w:rPr>
            </w:pPr>
            <w:r w:rsidRPr="003167D9">
              <w:rPr>
                <w:rFonts w:ascii="Arial" w:hAnsi="Arial" w:cs="Arial"/>
              </w:rPr>
              <w:t>7</w:t>
            </w:r>
          </w:p>
        </w:tc>
        <w:tc>
          <w:tcPr>
            <w:tcW w:w="1235" w:type="dxa"/>
          </w:tcPr>
          <w:p w:rsidR="002147E0" w:rsidRPr="003167D9" w:rsidRDefault="002147E0" w:rsidP="003A0EE9">
            <w:pPr>
              <w:jc w:val="both"/>
              <w:rPr>
                <w:rFonts w:ascii="Arial" w:hAnsi="Arial" w:cs="Arial"/>
              </w:rPr>
            </w:pPr>
            <w:r w:rsidRPr="003167D9">
              <w:rPr>
                <w:rFonts w:ascii="Arial" w:hAnsi="Arial" w:cs="Arial"/>
              </w:rPr>
              <w:t>1</w:t>
            </w:r>
          </w:p>
        </w:tc>
        <w:tc>
          <w:tcPr>
            <w:tcW w:w="992" w:type="dxa"/>
          </w:tcPr>
          <w:p w:rsidR="002147E0" w:rsidRPr="003167D9" w:rsidRDefault="002147E0" w:rsidP="003A0EE9">
            <w:pPr>
              <w:jc w:val="both"/>
              <w:rPr>
                <w:rFonts w:ascii="Arial" w:hAnsi="Arial" w:cs="Arial"/>
              </w:rPr>
            </w:pPr>
            <w:r w:rsidRPr="003167D9">
              <w:rPr>
                <w:rFonts w:ascii="Arial" w:hAnsi="Arial" w:cs="Arial"/>
              </w:rPr>
              <w:t>1</w:t>
            </w:r>
          </w:p>
        </w:tc>
        <w:tc>
          <w:tcPr>
            <w:tcW w:w="738" w:type="dxa"/>
          </w:tcPr>
          <w:p w:rsidR="002147E0" w:rsidRPr="003167D9" w:rsidRDefault="002147E0" w:rsidP="003A0EE9">
            <w:pPr>
              <w:jc w:val="both"/>
              <w:rPr>
                <w:rFonts w:ascii="Arial" w:hAnsi="Arial" w:cs="Arial"/>
              </w:rPr>
            </w:pPr>
            <w:r w:rsidRPr="003167D9">
              <w:rPr>
                <w:rFonts w:ascii="Arial" w:hAnsi="Arial" w:cs="Arial"/>
              </w:rPr>
              <w:t>9</w:t>
            </w:r>
          </w:p>
        </w:tc>
      </w:tr>
    </w:tbl>
    <w:p w:rsidR="002147E0" w:rsidRDefault="002147E0" w:rsidP="002147E0">
      <w:pPr>
        <w:spacing w:line="360" w:lineRule="auto"/>
        <w:jc w:val="both"/>
        <w:rPr>
          <w:rFonts w:ascii="Arial" w:hAnsi="Arial" w:cs="Arial"/>
          <w:sz w:val="24"/>
          <w:szCs w:val="24"/>
        </w:rPr>
      </w:pPr>
    </w:p>
    <w:p w:rsidR="002147E0" w:rsidRDefault="002147E0" w:rsidP="002147E0">
      <w:pPr>
        <w:spacing w:line="240" w:lineRule="auto"/>
        <w:jc w:val="both"/>
        <w:rPr>
          <w:rFonts w:ascii="Arial" w:hAnsi="Arial" w:cs="Arial"/>
          <w:sz w:val="24"/>
          <w:szCs w:val="24"/>
        </w:rPr>
      </w:pPr>
      <w:r>
        <w:rPr>
          <w:rFonts w:ascii="Arial" w:hAnsi="Arial" w:cs="Arial"/>
          <w:sz w:val="24"/>
          <w:szCs w:val="24"/>
        </w:rPr>
        <w:t>The table illustrates the frequency of hospital attendance for Southampton IBD patients over 1 year for each category of health care.</w:t>
      </w:r>
    </w:p>
    <w:p w:rsidR="002147E0" w:rsidRDefault="002147E0" w:rsidP="002147E0">
      <w:pPr>
        <w:spacing w:line="240" w:lineRule="auto"/>
        <w:jc w:val="both"/>
        <w:rPr>
          <w:rFonts w:ascii="Arial" w:hAnsi="Arial" w:cs="Arial"/>
          <w:sz w:val="24"/>
          <w:szCs w:val="24"/>
        </w:rPr>
      </w:pPr>
    </w:p>
    <w:p w:rsidR="002147E0" w:rsidRPr="00C035B8" w:rsidRDefault="002147E0" w:rsidP="002147E0">
      <w:pPr>
        <w:spacing w:line="240" w:lineRule="auto"/>
        <w:jc w:val="both"/>
        <w:rPr>
          <w:rFonts w:ascii="Arial" w:hAnsi="Arial" w:cs="Arial"/>
          <w:sz w:val="24"/>
          <w:szCs w:val="24"/>
        </w:rPr>
      </w:pPr>
      <w:r>
        <w:rPr>
          <w:rFonts w:ascii="Arial" w:hAnsi="Arial" w:cs="Arial"/>
          <w:sz w:val="24"/>
          <w:szCs w:val="24"/>
        </w:rPr>
        <w:t xml:space="preserve">(Day cases included </w:t>
      </w:r>
      <w:r w:rsidRPr="00A72606">
        <w:rPr>
          <w:rFonts w:ascii="Arial" w:hAnsi="Arial" w:cs="Arial"/>
          <w:sz w:val="24"/>
          <w:szCs w:val="24"/>
        </w:rPr>
        <w:t>biologic treatment/medical review, endoscopy and radiologic</w:t>
      </w:r>
      <w:r>
        <w:rPr>
          <w:rFonts w:ascii="Arial" w:hAnsi="Arial" w:cs="Arial"/>
          <w:sz w:val="24"/>
          <w:szCs w:val="24"/>
        </w:rPr>
        <w:t>al investigations)</w:t>
      </w:r>
    </w:p>
    <w:p w:rsidR="002147E0" w:rsidRPr="00741E66" w:rsidRDefault="002147E0" w:rsidP="002147E0">
      <w:pPr>
        <w:spacing w:line="360" w:lineRule="auto"/>
        <w:jc w:val="both"/>
        <w:rPr>
          <w:rFonts w:ascii="Arial" w:hAnsi="Arial" w:cs="Arial"/>
          <w:sz w:val="24"/>
          <w:szCs w:val="24"/>
          <w:u w:val="single"/>
        </w:rPr>
      </w:pPr>
    </w:p>
    <w:p w:rsidR="000B6E90" w:rsidRDefault="000B6E90"/>
    <w:sectPr w:rsidR="000B6E90" w:rsidSect="003E61C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8E4" w:rsidRDefault="008E38E4">
      <w:pPr>
        <w:spacing w:after="0" w:line="240" w:lineRule="auto"/>
      </w:pPr>
      <w:r>
        <w:separator/>
      </w:r>
    </w:p>
  </w:endnote>
  <w:endnote w:type="continuationSeparator" w:id="0">
    <w:p w:rsidR="008E38E4" w:rsidRDefault="008E3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255673"/>
      <w:docPartObj>
        <w:docPartGallery w:val="Page Numbers (Bottom of Page)"/>
        <w:docPartUnique/>
      </w:docPartObj>
    </w:sdtPr>
    <w:sdtEndPr>
      <w:rPr>
        <w:noProof/>
      </w:rPr>
    </w:sdtEndPr>
    <w:sdtContent>
      <w:p w:rsidR="002047F6" w:rsidRDefault="008E38E4">
        <w:pPr>
          <w:pStyle w:val="Footer"/>
          <w:jc w:val="center"/>
        </w:pPr>
        <w:r>
          <w:fldChar w:fldCharType="begin"/>
        </w:r>
        <w:r>
          <w:instrText xml:space="preserve"> PAGE   \* MERGEFORMAT </w:instrText>
        </w:r>
        <w:r>
          <w:fldChar w:fldCharType="separate"/>
        </w:r>
        <w:r w:rsidR="00EC4B19">
          <w:rPr>
            <w:noProof/>
          </w:rPr>
          <w:t>1</w:t>
        </w:r>
        <w:r>
          <w:rPr>
            <w:noProof/>
          </w:rPr>
          <w:fldChar w:fldCharType="end"/>
        </w:r>
      </w:p>
    </w:sdtContent>
  </w:sdt>
  <w:p w:rsidR="002047F6" w:rsidRDefault="00204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8E4" w:rsidRDefault="008E38E4">
      <w:pPr>
        <w:spacing w:after="0" w:line="240" w:lineRule="auto"/>
      </w:pPr>
      <w:r>
        <w:separator/>
      </w:r>
    </w:p>
  </w:footnote>
  <w:footnote w:type="continuationSeparator" w:id="0">
    <w:p w:rsidR="008E38E4" w:rsidRDefault="008E38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62D74"/>
    <w:multiLevelType w:val="hybridMultilevel"/>
    <w:tmpl w:val="269EC56C"/>
    <w:lvl w:ilvl="0" w:tplc="EAD0BB7C">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15:restartNumberingAfterBreak="0">
    <w:nsid w:val="1F4F59BF"/>
    <w:multiLevelType w:val="hybridMultilevel"/>
    <w:tmpl w:val="7C38D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066703"/>
    <w:multiLevelType w:val="hybridMultilevel"/>
    <w:tmpl w:val="34F88E86"/>
    <w:lvl w:ilvl="0" w:tplc="DD4426A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FF081A"/>
    <w:multiLevelType w:val="hybridMultilevel"/>
    <w:tmpl w:val="EA0C726A"/>
    <w:lvl w:ilvl="0" w:tplc="DD4426A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D30871"/>
    <w:multiLevelType w:val="hybridMultilevel"/>
    <w:tmpl w:val="F634D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7E0"/>
    <w:rsid w:val="00024847"/>
    <w:rsid w:val="00034F19"/>
    <w:rsid w:val="000710EA"/>
    <w:rsid w:val="000B6E90"/>
    <w:rsid w:val="001024B3"/>
    <w:rsid w:val="0015110C"/>
    <w:rsid w:val="00182601"/>
    <w:rsid w:val="002047F6"/>
    <w:rsid w:val="002147E0"/>
    <w:rsid w:val="00290089"/>
    <w:rsid w:val="002E0DD7"/>
    <w:rsid w:val="00303F14"/>
    <w:rsid w:val="003A0EE9"/>
    <w:rsid w:val="003E61C5"/>
    <w:rsid w:val="00583D82"/>
    <w:rsid w:val="00614A55"/>
    <w:rsid w:val="006B7034"/>
    <w:rsid w:val="007856B3"/>
    <w:rsid w:val="0080026B"/>
    <w:rsid w:val="008E38E4"/>
    <w:rsid w:val="009D7E7B"/>
    <w:rsid w:val="00A15913"/>
    <w:rsid w:val="00A3781F"/>
    <w:rsid w:val="00B41F40"/>
    <w:rsid w:val="00DB0BE5"/>
    <w:rsid w:val="00DE658A"/>
    <w:rsid w:val="00E51A32"/>
    <w:rsid w:val="00E53E74"/>
    <w:rsid w:val="00EA4DAB"/>
    <w:rsid w:val="00EC4B19"/>
    <w:rsid w:val="00F16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30B07-7DAA-4FC8-AC08-E31FBF6B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47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4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47E0"/>
    <w:pPr>
      <w:ind w:left="720"/>
      <w:contextualSpacing/>
    </w:pPr>
  </w:style>
  <w:style w:type="table" w:customStyle="1" w:styleId="TableGrid1">
    <w:name w:val="Table Grid1"/>
    <w:basedOn w:val="TableNormal"/>
    <w:next w:val="TableGrid"/>
    <w:uiPriority w:val="39"/>
    <w:rsid w:val="00214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4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7E0"/>
    <w:rPr>
      <w:rFonts w:ascii="Segoe UI" w:hAnsi="Segoe UI" w:cs="Segoe UI"/>
      <w:sz w:val="18"/>
      <w:szCs w:val="18"/>
    </w:rPr>
  </w:style>
  <w:style w:type="paragraph" w:styleId="Header">
    <w:name w:val="header"/>
    <w:basedOn w:val="Normal"/>
    <w:link w:val="HeaderChar"/>
    <w:uiPriority w:val="99"/>
    <w:unhideWhenUsed/>
    <w:rsid w:val="00214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7E0"/>
  </w:style>
  <w:style w:type="paragraph" w:styleId="Footer">
    <w:name w:val="footer"/>
    <w:basedOn w:val="Normal"/>
    <w:link w:val="FooterChar"/>
    <w:uiPriority w:val="99"/>
    <w:unhideWhenUsed/>
    <w:rsid w:val="00214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7E0"/>
  </w:style>
  <w:style w:type="character" w:styleId="CommentReference">
    <w:name w:val="annotation reference"/>
    <w:basedOn w:val="DefaultParagraphFont"/>
    <w:uiPriority w:val="99"/>
    <w:semiHidden/>
    <w:unhideWhenUsed/>
    <w:rsid w:val="002147E0"/>
    <w:rPr>
      <w:sz w:val="18"/>
      <w:szCs w:val="18"/>
    </w:rPr>
  </w:style>
  <w:style w:type="paragraph" w:styleId="CommentText">
    <w:name w:val="annotation text"/>
    <w:basedOn w:val="Normal"/>
    <w:link w:val="CommentTextChar"/>
    <w:uiPriority w:val="99"/>
    <w:semiHidden/>
    <w:unhideWhenUsed/>
    <w:rsid w:val="002147E0"/>
    <w:pPr>
      <w:spacing w:line="240" w:lineRule="auto"/>
    </w:pPr>
    <w:rPr>
      <w:sz w:val="24"/>
      <w:szCs w:val="24"/>
    </w:rPr>
  </w:style>
  <w:style w:type="character" w:customStyle="1" w:styleId="CommentTextChar">
    <w:name w:val="Comment Text Char"/>
    <w:basedOn w:val="DefaultParagraphFont"/>
    <w:link w:val="CommentText"/>
    <w:uiPriority w:val="99"/>
    <w:semiHidden/>
    <w:rsid w:val="002147E0"/>
    <w:rPr>
      <w:sz w:val="24"/>
      <w:szCs w:val="24"/>
    </w:rPr>
  </w:style>
  <w:style w:type="paragraph" w:styleId="CommentSubject">
    <w:name w:val="annotation subject"/>
    <w:basedOn w:val="CommentText"/>
    <w:next w:val="CommentText"/>
    <w:link w:val="CommentSubjectChar"/>
    <w:uiPriority w:val="99"/>
    <w:semiHidden/>
    <w:unhideWhenUsed/>
    <w:rsid w:val="002147E0"/>
    <w:rPr>
      <w:b/>
      <w:bCs/>
      <w:sz w:val="20"/>
      <w:szCs w:val="20"/>
    </w:rPr>
  </w:style>
  <w:style w:type="character" w:customStyle="1" w:styleId="CommentSubjectChar">
    <w:name w:val="Comment Subject Char"/>
    <w:basedOn w:val="CommentTextChar"/>
    <w:link w:val="CommentSubject"/>
    <w:uiPriority w:val="99"/>
    <w:semiHidden/>
    <w:rsid w:val="002147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38088</Words>
  <Characters>194632</Characters>
  <Application>Microsoft Office Word</Application>
  <DocSecurity>0</DocSecurity>
  <Lines>10812</Lines>
  <Paragraphs>7757</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224963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Ashton J.</dc:creator>
  <cp:lastModifiedBy>Ashton J.</cp:lastModifiedBy>
  <cp:revision>2</cp:revision>
  <dcterms:created xsi:type="dcterms:W3CDTF">2019-12-09T10:40:00Z</dcterms:created>
  <dcterms:modified xsi:type="dcterms:W3CDTF">2019-12-09T10:40:00Z</dcterms:modified>
</cp:coreProperties>
</file>