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97E19" w14:textId="2D131B68" w:rsidR="0010271A" w:rsidRDefault="007B1FEC" w:rsidP="00A51130">
      <w:pPr>
        <w:spacing w:line="480" w:lineRule="auto"/>
        <w:rPr>
          <w:rFonts w:ascii="Times New Roman" w:hAnsi="Times New Roman" w:cs="Times New Roman"/>
          <w:b/>
          <w:sz w:val="24"/>
          <w:szCs w:val="24"/>
        </w:rPr>
      </w:pPr>
      <w:bookmarkStart w:id="0" w:name="_GoBack"/>
      <w:bookmarkEnd w:id="0"/>
      <w:r w:rsidRPr="00A51130">
        <w:rPr>
          <w:rFonts w:ascii="Times New Roman" w:hAnsi="Times New Roman" w:cs="Times New Roman"/>
          <w:b/>
          <w:sz w:val="24"/>
          <w:szCs w:val="24"/>
        </w:rPr>
        <w:t>F</w:t>
      </w:r>
      <w:r w:rsidR="00FE2480" w:rsidRPr="00A51130">
        <w:rPr>
          <w:rFonts w:ascii="Times New Roman" w:hAnsi="Times New Roman" w:cs="Times New Roman"/>
          <w:b/>
          <w:sz w:val="24"/>
          <w:szCs w:val="24"/>
        </w:rPr>
        <w:t xml:space="preserve">etal </w:t>
      </w:r>
      <w:r w:rsidRPr="00A51130">
        <w:rPr>
          <w:rFonts w:ascii="Times New Roman" w:hAnsi="Times New Roman" w:cs="Times New Roman"/>
          <w:b/>
          <w:sz w:val="24"/>
          <w:szCs w:val="24"/>
        </w:rPr>
        <w:t xml:space="preserve">growth </w:t>
      </w:r>
      <w:r w:rsidR="00090CA1" w:rsidRPr="00A51130">
        <w:rPr>
          <w:rFonts w:ascii="Times New Roman" w:hAnsi="Times New Roman" w:cs="Times New Roman"/>
          <w:b/>
          <w:sz w:val="24"/>
          <w:szCs w:val="24"/>
        </w:rPr>
        <w:t xml:space="preserve">does not modify the relationship </w:t>
      </w:r>
      <w:r w:rsidR="00EB0839" w:rsidRPr="00A51130">
        <w:rPr>
          <w:rFonts w:ascii="Times New Roman" w:hAnsi="Times New Roman" w:cs="Times New Roman"/>
          <w:b/>
          <w:sz w:val="24"/>
          <w:szCs w:val="24"/>
        </w:rPr>
        <w:t>of</w:t>
      </w:r>
      <w:r w:rsidR="00090CA1" w:rsidRPr="00A51130">
        <w:rPr>
          <w:rFonts w:ascii="Times New Roman" w:hAnsi="Times New Roman" w:cs="Times New Roman"/>
          <w:b/>
          <w:sz w:val="24"/>
          <w:szCs w:val="24"/>
        </w:rPr>
        <w:t xml:space="preserve"> infant weight </w:t>
      </w:r>
      <w:r w:rsidR="007B3F1D" w:rsidRPr="00A51130">
        <w:rPr>
          <w:rFonts w:ascii="Times New Roman" w:hAnsi="Times New Roman" w:cs="Times New Roman"/>
          <w:b/>
          <w:sz w:val="24"/>
          <w:szCs w:val="24"/>
        </w:rPr>
        <w:t>gain</w:t>
      </w:r>
      <w:r w:rsidR="00090CA1" w:rsidRPr="00A51130">
        <w:rPr>
          <w:rFonts w:ascii="Times New Roman" w:hAnsi="Times New Roman" w:cs="Times New Roman"/>
          <w:b/>
          <w:sz w:val="24"/>
          <w:szCs w:val="24"/>
        </w:rPr>
        <w:t xml:space="preserve"> </w:t>
      </w:r>
      <w:r w:rsidR="00240499" w:rsidRPr="00A51130">
        <w:rPr>
          <w:rFonts w:ascii="Times New Roman" w:hAnsi="Times New Roman" w:cs="Times New Roman"/>
          <w:b/>
          <w:sz w:val="24"/>
          <w:szCs w:val="24"/>
        </w:rPr>
        <w:t>with</w:t>
      </w:r>
      <w:r w:rsidR="00090CA1" w:rsidRPr="00A51130">
        <w:rPr>
          <w:rFonts w:ascii="Times New Roman" w:hAnsi="Times New Roman" w:cs="Times New Roman"/>
          <w:b/>
          <w:sz w:val="24"/>
          <w:szCs w:val="24"/>
        </w:rPr>
        <w:t xml:space="preserve"> </w:t>
      </w:r>
      <w:r w:rsidR="00AF1210" w:rsidRPr="00A51130">
        <w:rPr>
          <w:rFonts w:ascii="Times New Roman" w:hAnsi="Times New Roman" w:cs="Times New Roman"/>
          <w:b/>
          <w:sz w:val="24"/>
          <w:szCs w:val="24"/>
        </w:rPr>
        <w:t xml:space="preserve">childhood </w:t>
      </w:r>
      <w:r w:rsidR="00FE2480" w:rsidRPr="00A51130">
        <w:rPr>
          <w:rFonts w:ascii="Times New Roman" w:hAnsi="Times New Roman" w:cs="Times New Roman"/>
          <w:b/>
          <w:sz w:val="24"/>
          <w:szCs w:val="24"/>
        </w:rPr>
        <w:t>adiposity and blood pressure</w:t>
      </w:r>
      <w:r w:rsidR="00090CA1" w:rsidRPr="00A51130">
        <w:rPr>
          <w:rFonts w:ascii="Times New Roman" w:hAnsi="Times New Roman" w:cs="Times New Roman"/>
          <w:b/>
          <w:sz w:val="24"/>
          <w:szCs w:val="24"/>
        </w:rPr>
        <w:t xml:space="preserve"> in </w:t>
      </w:r>
      <w:r w:rsidR="00DA13FA" w:rsidRPr="00A51130">
        <w:rPr>
          <w:rFonts w:ascii="Times New Roman" w:hAnsi="Times New Roman" w:cs="Times New Roman"/>
          <w:b/>
          <w:sz w:val="24"/>
          <w:szCs w:val="24"/>
        </w:rPr>
        <w:t>the Southampton Women’s Survey</w:t>
      </w:r>
    </w:p>
    <w:p w14:paraId="737262C5" w14:textId="77777777" w:rsidR="00363CE7" w:rsidRPr="00A51130" w:rsidRDefault="00363CE7" w:rsidP="00363CE7">
      <w:pPr>
        <w:spacing w:line="480" w:lineRule="auto"/>
        <w:rPr>
          <w:rFonts w:ascii="Times New Roman" w:hAnsi="Times New Roman" w:cs="Times New Roman"/>
          <w:sz w:val="24"/>
          <w:szCs w:val="24"/>
        </w:rPr>
      </w:pPr>
      <w:r w:rsidRPr="00A51130">
        <w:rPr>
          <w:rFonts w:ascii="Times New Roman" w:hAnsi="Times New Roman" w:cs="Times New Roman"/>
          <w:sz w:val="24"/>
          <w:szCs w:val="24"/>
        </w:rPr>
        <w:t>Tom Norris</w:t>
      </w:r>
      <w:r w:rsidRPr="00A51130">
        <w:rPr>
          <w:rFonts w:ascii="Times New Roman" w:hAnsi="Times New Roman" w:cs="Times New Roman"/>
          <w:sz w:val="24"/>
          <w:szCs w:val="24"/>
          <w:vertAlign w:val="superscript"/>
        </w:rPr>
        <w:t>1</w:t>
      </w:r>
      <w:r w:rsidRPr="00A51130">
        <w:rPr>
          <w:rFonts w:ascii="Times New Roman" w:hAnsi="Times New Roman" w:cs="Times New Roman"/>
          <w:sz w:val="24"/>
          <w:szCs w:val="24"/>
        </w:rPr>
        <w:t>, Sarah R Crozier</w:t>
      </w:r>
      <w:r w:rsidRPr="00A51130">
        <w:rPr>
          <w:rFonts w:ascii="Times New Roman" w:hAnsi="Times New Roman" w:cs="Times New Roman"/>
          <w:sz w:val="24"/>
          <w:szCs w:val="24"/>
          <w:vertAlign w:val="superscript"/>
        </w:rPr>
        <w:t>2</w:t>
      </w:r>
      <w:r w:rsidRPr="00A51130">
        <w:rPr>
          <w:rFonts w:ascii="Times New Roman" w:hAnsi="Times New Roman" w:cs="Times New Roman"/>
          <w:sz w:val="24"/>
          <w:szCs w:val="24"/>
        </w:rPr>
        <w:t>, Noel Cameron</w:t>
      </w:r>
      <w:r w:rsidRPr="00A51130">
        <w:rPr>
          <w:rFonts w:ascii="Times New Roman" w:hAnsi="Times New Roman" w:cs="Times New Roman"/>
          <w:sz w:val="24"/>
          <w:szCs w:val="24"/>
          <w:vertAlign w:val="superscript"/>
        </w:rPr>
        <w:t>1</w:t>
      </w:r>
      <w:r w:rsidRPr="00A51130">
        <w:rPr>
          <w:rFonts w:ascii="Times New Roman" w:hAnsi="Times New Roman" w:cs="Times New Roman"/>
          <w:sz w:val="24"/>
          <w:szCs w:val="24"/>
        </w:rPr>
        <w:t>, Keith M Godfrey</w:t>
      </w:r>
      <w:r w:rsidRPr="00A51130">
        <w:rPr>
          <w:rFonts w:ascii="Times New Roman" w:hAnsi="Times New Roman" w:cs="Times New Roman"/>
          <w:sz w:val="24"/>
          <w:szCs w:val="24"/>
          <w:vertAlign w:val="superscript"/>
        </w:rPr>
        <w:t>2</w:t>
      </w:r>
      <w:r w:rsidRPr="00A51130">
        <w:rPr>
          <w:rFonts w:ascii="Times New Roman" w:hAnsi="Times New Roman" w:cs="Times New Roman"/>
          <w:sz w:val="24"/>
          <w:szCs w:val="24"/>
        </w:rPr>
        <w:t>, Hazel Inskip</w:t>
      </w:r>
      <w:r w:rsidRPr="00A51130">
        <w:rPr>
          <w:rFonts w:ascii="Times New Roman" w:hAnsi="Times New Roman" w:cs="Times New Roman"/>
          <w:sz w:val="24"/>
          <w:szCs w:val="24"/>
          <w:vertAlign w:val="superscript"/>
        </w:rPr>
        <w:t>2</w:t>
      </w:r>
      <w:r w:rsidRPr="00A51130">
        <w:rPr>
          <w:rFonts w:ascii="Times New Roman" w:hAnsi="Times New Roman" w:cs="Times New Roman"/>
          <w:sz w:val="24"/>
          <w:szCs w:val="24"/>
        </w:rPr>
        <w:t>, William Johnson</w:t>
      </w:r>
      <w:r w:rsidRPr="00A51130">
        <w:rPr>
          <w:rFonts w:ascii="Times New Roman" w:hAnsi="Times New Roman" w:cs="Times New Roman"/>
          <w:sz w:val="24"/>
          <w:szCs w:val="24"/>
          <w:vertAlign w:val="superscript"/>
        </w:rPr>
        <w:t>1</w:t>
      </w:r>
    </w:p>
    <w:p w14:paraId="06440459" w14:textId="77777777" w:rsidR="00363CE7" w:rsidRPr="00A51130" w:rsidRDefault="00363CE7" w:rsidP="00363CE7">
      <w:pPr>
        <w:spacing w:after="0" w:line="480" w:lineRule="auto"/>
        <w:rPr>
          <w:rFonts w:ascii="Times New Roman" w:hAnsi="Times New Roman" w:cs="Times New Roman"/>
          <w:sz w:val="24"/>
          <w:szCs w:val="24"/>
        </w:rPr>
      </w:pPr>
      <w:r w:rsidRPr="00A51130">
        <w:rPr>
          <w:rFonts w:ascii="Times New Roman" w:hAnsi="Times New Roman" w:cs="Times New Roman"/>
          <w:sz w:val="24"/>
          <w:szCs w:val="24"/>
          <w:vertAlign w:val="superscript"/>
        </w:rPr>
        <w:t>1</w:t>
      </w:r>
      <w:r w:rsidRPr="00A51130">
        <w:rPr>
          <w:rFonts w:ascii="Times New Roman" w:hAnsi="Times New Roman" w:cs="Times New Roman"/>
          <w:sz w:val="24"/>
          <w:szCs w:val="24"/>
        </w:rPr>
        <w:t>School of Sport, Exercise and Health Sciences, Loughborough University.</w:t>
      </w:r>
    </w:p>
    <w:p w14:paraId="7A6789A5" w14:textId="77777777" w:rsidR="00363CE7" w:rsidRPr="00A51130" w:rsidRDefault="00363CE7" w:rsidP="00363CE7">
      <w:pPr>
        <w:spacing w:after="0" w:line="480" w:lineRule="auto"/>
        <w:rPr>
          <w:rFonts w:ascii="Times New Roman" w:hAnsi="Times New Roman" w:cs="Times New Roman"/>
          <w:sz w:val="24"/>
          <w:szCs w:val="24"/>
        </w:rPr>
      </w:pPr>
      <w:r w:rsidRPr="00A51130">
        <w:rPr>
          <w:rFonts w:ascii="Times New Roman" w:hAnsi="Times New Roman" w:cs="Times New Roman"/>
          <w:sz w:val="24"/>
          <w:szCs w:val="24"/>
          <w:vertAlign w:val="superscript"/>
        </w:rPr>
        <w:t>2</w:t>
      </w:r>
      <w:r w:rsidRPr="00A51130">
        <w:rPr>
          <w:rFonts w:ascii="Times New Roman" w:hAnsi="Times New Roman" w:cs="Times New Roman"/>
          <w:sz w:val="24"/>
          <w:szCs w:val="24"/>
        </w:rPr>
        <w:t>MRC Lifecourse Epidemiology Unit, University of Southampton.</w:t>
      </w:r>
    </w:p>
    <w:p w14:paraId="71186B6F" w14:textId="77777777" w:rsidR="00363CE7" w:rsidRPr="00A51130" w:rsidRDefault="00363CE7" w:rsidP="00363CE7">
      <w:pPr>
        <w:spacing w:after="0" w:line="480" w:lineRule="auto"/>
        <w:rPr>
          <w:rFonts w:ascii="Times New Roman" w:hAnsi="Times New Roman" w:cs="Times New Roman"/>
          <w:sz w:val="24"/>
          <w:szCs w:val="24"/>
        </w:rPr>
      </w:pPr>
    </w:p>
    <w:p w14:paraId="50DE8220" w14:textId="77777777" w:rsidR="00363CE7" w:rsidRPr="00A51130" w:rsidRDefault="00363CE7" w:rsidP="00363CE7">
      <w:pPr>
        <w:spacing w:after="0" w:line="480" w:lineRule="auto"/>
        <w:rPr>
          <w:rFonts w:ascii="Times New Roman" w:hAnsi="Times New Roman" w:cs="Times New Roman"/>
          <w:b/>
          <w:sz w:val="24"/>
          <w:szCs w:val="24"/>
        </w:rPr>
      </w:pPr>
      <w:r w:rsidRPr="00A51130">
        <w:rPr>
          <w:rFonts w:ascii="Times New Roman" w:hAnsi="Times New Roman" w:cs="Times New Roman"/>
          <w:b/>
          <w:sz w:val="24"/>
          <w:szCs w:val="24"/>
        </w:rPr>
        <w:t xml:space="preserve">Corresponding author: </w:t>
      </w:r>
    </w:p>
    <w:p w14:paraId="0332E8C2" w14:textId="77777777" w:rsidR="00363CE7" w:rsidRPr="00A51130" w:rsidRDefault="00363CE7" w:rsidP="00363CE7">
      <w:pPr>
        <w:spacing w:after="0" w:line="480" w:lineRule="auto"/>
        <w:rPr>
          <w:rFonts w:ascii="Times New Roman" w:hAnsi="Times New Roman" w:cs="Times New Roman"/>
          <w:sz w:val="24"/>
          <w:szCs w:val="24"/>
        </w:rPr>
      </w:pPr>
      <w:r w:rsidRPr="00A51130">
        <w:rPr>
          <w:rFonts w:ascii="Times New Roman" w:hAnsi="Times New Roman" w:cs="Times New Roman"/>
          <w:sz w:val="24"/>
          <w:szCs w:val="24"/>
        </w:rPr>
        <w:t>William Johnson</w:t>
      </w:r>
    </w:p>
    <w:p w14:paraId="531819DD" w14:textId="77777777" w:rsidR="00363CE7" w:rsidRPr="00A51130" w:rsidRDefault="00363CE7" w:rsidP="00363CE7">
      <w:pPr>
        <w:spacing w:after="0" w:line="480" w:lineRule="auto"/>
        <w:rPr>
          <w:rFonts w:ascii="Times New Roman" w:hAnsi="Times New Roman" w:cs="Times New Roman"/>
          <w:sz w:val="24"/>
          <w:szCs w:val="24"/>
        </w:rPr>
      </w:pPr>
      <w:r w:rsidRPr="00A51130">
        <w:rPr>
          <w:rFonts w:ascii="Times New Roman" w:hAnsi="Times New Roman" w:cs="Times New Roman"/>
          <w:sz w:val="24"/>
          <w:szCs w:val="24"/>
        </w:rPr>
        <w:t xml:space="preserve">School of Sport, Exercise and Health Sciences, </w:t>
      </w:r>
    </w:p>
    <w:p w14:paraId="5EA526C0" w14:textId="77777777" w:rsidR="00363CE7" w:rsidRPr="00A51130" w:rsidRDefault="00363CE7" w:rsidP="00363CE7">
      <w:pPr>
        <w:spacing w:after="0" w:line="480" w:lineRule="auto"/>
        <w:rPr>
          <w:rFonts w:ascii="Times New Roman" w:hAnsi="Times New Roman" w:cs="Times New Roman"/>
          <w:sz w:val="24"/>
          <w:szCs w:val="24"/>
        </w:rPr>
      </w:pPr>
      <w:r w:rsidRPr="00A51130">
        <w:rPr>
          <w:rFonts w:ascii="Times New Roman" w:hAnsi="Times New Roman" w:cs="Times New Roman"/>
          <w:sz w:val="24"/>
          <w:szCs w:val="24"/>
        </w:rPr>
        <w:t>Loughborough University,</w:t>
      </w:r>
    </w:p>
    <w:p w14:paraId="00CC8113" w14:textId="77777777" w:rsidR="00363CE7" w:rsidRPr="00A51130" w:rsidRDefault="00363CE7" w:rsidP="00363CE7">
      <w:pPr>
        <w:spacing w:after="0" w:line="480" w:lineRule="auto"/>
        <w:rPr>
          <w:rFonts w:ascii="Times New Roman" w:hAnsi="Times New Roman" w:cs="Times New Roman"/>
          <w:sz w:val="24"/>
          <w:szCs w:val="24"/>
        </w:rPr>
      </w:pPr>
      <w:r w:rsidRPr="00A51130">
        <w:rPr>
          <w:rFonts w:ascii="Times New Roman" w:hAnsi="Times New Roman" w:cs="Times New Roman"/>
          <w:sz w:val="24"/>
          <w:szCs w:val="24"/>
        </w:rPr>
        <w:t>Loughborough,</w:t>
      </w:r>
    </w:p>
    <w:p w14:paraId="408069E7" w14:textId="77777777" w:rsidR="00363CE7" w:rsidRPr="00A51130" w:rsidRDefault="00363CE7" w:rsidP="00363CE7">
      <w:pPr>
        <w:spacing w:after="0" w:line="480" w:lineRule="auto"/>
        <w:rPr>
          <w:rFonts w:ascii="Times New Roman" w:hAnsi="Times New Roman" w:cs="Times New Roman"/>
          <w:sz w:val="24"/>
          <w:szCs w:val="24"/>
        </w:rPr>
      </w:pPr>
      <w:r w:rsidRPr="00A51130">
        <w:rPr>
          <w:rFonts w:ascii="Times New Roman" w:hAnsi="Times New Roman" w:cs="Times New Roman"/>
          <w:sz w:val="24"/>
          <w:szCs w:val="24"/>
        </w:rPr>
        <w:t xml:space="preserve">United Kingdom. </w:t>
      </w:r>
    </w:p>
    <w:p w14:paraId="043C88AC" w14:textId="196B9F02" w:rsidR="00363CE7" w:rsidRPr="00363CE7" w:rsidRDefault="00363CE7" w:rsidP="00363CE7">
      <w:pPr>
        <w:spacing w:line="480" w:lineRule="auto"/>
        <w:rPr>
          <w:rFonts w:ascii="Times New Roman" w:hAnsi="Times New Roman" w:cs="Times New Roman"/>
          <w:bCs/>
          <w:sz w:val="24"/>
          <w:szCs w:val="24"/>
        </w:rPr>
        <w:sectPr w:rsidR="00363CE7" w:rsidRPr="00363CE7">
          <w:footerReference w:type="default" r:id="rId11"/>
          <w:pgSz w:w="11906" w:h="16838"/>
          <w:pgMar w:top="1440" w:right="1440" w:bottom="1440" w:left="1440" w:header="708" w:footer="708" w:gutter="0"/>
          <w:cols w:space="708"/>
          <w:docGrid w:linePitch="360"/>
        </w:sectPr>
      </w:pPr>
      <w:r w:rsidRPr="00A51130">
        <w:rPr>
          <w:rFonts w:ascii="Times New Roman" w:hAnsi="Times New Roman" w:cs="Times New Roman"/>
          <w:sz w:val="24"/>
          <w:szCs w:val="24"/>
        </w:rPr>
        <w:t xml:space="preserve">Email: </w:t>
      </w:r>
      <w:hyperlink r:id="rId12" w:history="1">
        <w:r w:rsidRPr="00A51130">
          <w:rPr>
            <w:rStyle w:val="Hyperlink"/>
            <w:rFonts w:ascii="Times New Roman" w:hAnsi="Times New Roman" w:cs="Times New Roman"/>
            <w:sz w:val="24"/>
            <w:szCs w:val="24"/>
          </w:rPr>
          <w:t>w.o.johnson@lboro.ac.uk</w:t>
        </w:r>
      </w:hyperlink>
    </w:p>
    <w:p w14:paraId="7D5D4988" w14:textId="440162EA" w:rsidR="00B12AF7" w:rsidRPr="00A51130" w:rsidRDefault="00716D2B" w:rsidP="00A51130">
      <w:pPr>
        <w:spacing w:line="480" w:lineRule="auto"/>
        <w:rPr>
          <w:rFonts w:ascii="Times New Roman" w:hAnsi="Times New Roman" w:cs="Times New Roman"/>
          <w:b/>
          <w:sz w:val="24"/>
          <w:szCs w:val="24"/>
        </w:rPr>
      </w:pPr>
      <w:r w:rsidRPr="00A51130">
        <w:rPr>
          <w:rFonts w:ascii="Times New Roman" w:hAnsi="Times New Roman" w:cs="Times New Roman"/>
          <w:b/>
          <w:sz w:val="24"/>
          <w:szCs w:val="24"/>
        </w:rPr>
        <w:lastRenderedPageBreak/>
        <w:t xml:space="preserve">Abstract: </w:t>
      </w:r>
    </w:p>
    <w:p w14:paraId="21688D42" w14:textId="569DECF0" w:rsidR="00631873" w:rsidRPr="00A51130" w:rsidRDefault="00C03DF7" w:rsidP="00A51130">
      <w:pPr>
        <w:spacing w:line="480" w:lineRule="auto"/>
        <w:rPr>
          <w:rFonts w:ascii="Times New Roman" w:hAnsi="Times New Roman" w:cs="Times New Roman"/>
          <w:sz w:val="24"/>
          <w:szCs w:val="24"/>
        </w:rPr>
      </w:pPr>
      <w:r w:rsidRPr="00A51130">
        <w:rPr>
          <w:rFonts w:ascii="Times New Roman" w:hAnsi="Times New Roman" w:cs="Times New Roman"/>
          <w:b/>
          <w:sz w:val="24"/>
          <w:szCs w:val="24"/>
        </w:rPr>
        <w:t>Background</w:t>
      </w:r>
      <w:r w:rsidRPr="00A51130">
        <w:rPr>
          <w:rFonts w:ascii="Times New Roman" w:hAnsi="Times New Roman" w:cs="Times New Roman"/>
          <w:sz w:val="24"/>
          <w:szCs w:val="24"/>
        </w:rPr>
        <w:t>: Rapid infant weight gain is a risk factor for childhood obesity. This relationship may depend on whether infant weight gain is preceded by</w:t>
      </w:r>
      <w:r w:rsidR="00D24C1A" w:rsidRPr="00A51130">
        <w:rPr>
          <w:rFonts w:ascii="Times New Roman" w:hAnsi="Times New Roman" w:cs="Times New Roman"/>
          <w:sz w:val="24"/>
          <w:szCs w:val="24"/>
        </w:rPr>
        <w:t xml:space="preserve"> in</w:t>
      </w:r>
      <w:r w:rsidR="00DD4246" w:rsidRPr="00A51130">
        <w:rPr>
          <w:rFonts w:ascii="Times New Roman" w:hAnsi="Times New Roman" w:cs="Times New Roman"/>
          <w:sz w:val="24"/>
          <w:szCs w:val="24"/>
        </w:rPr>
        <w:t>-</w:t>
      </w:r>
      <w:r w:rsidR="00D24C1A" w:rsidRPr="00A51130">
        <w:rPr>
          <w:rFonts w:ascii="Times New Roman" w:hAnsi="Times New Roman" w:cs="Times New Roman"/>
          <w:sz w:val="24"/>
          <w:szCs w:val="24"/>
        </w:rPr>
        <w:t xml:space="preserve">utero </w:t>
      </w:r>
      <w:r w:rsidRPr="00A51130">
        <w:rPr>
          <w:rFonts w:ascii="Times New Roman" w:hAnsi="Times New Roman" w:cs="Times New Roman"/>
          <w:sz w:val="24"/>
          <w:szCs w:val="24"/>
        </w:rPr>
        <w:t xml:space="preserve">growth restriction. </w:t>
      </w:r>
    </w:p>
    <w:p w14:paraId="7E3D17D5" w14:textId="2EBB9DC1" w:rsidR="00C03DF7" w:rsidRPr="00A51130" w:rsidRDefault="00A51130" w:rsidP="00A51130">
      <w:pPr>
        <w:spacing w:line="480" w:lineRule="auto"/>
        <w:rPr>
          <w:rFonts w:ascii="Times New Roman" w:hAnsi="Times New Roman" w:cs="Times New Roman"/>
          <w:sz w:val="24"/>
          <w:szCs w:val="24"/>
        </w:rPr>
      </w:pPr>
      <w:r>
        <w:rPr>
          <w:rFonts w:ascii="Times New Roman" w:hAnsi="Times New Roman" w:cs="Times New Roman"/>
          <w:b/>
          <w:bCs/>
          <w:sz w:val="24"/>
          <w:szCs w:val="24"/>
        </w:rPr>
        <w:t>Aim</w:t>
      </w:r>
      <w:r w:rsidR="00631873" w:rsidRPr="00A51130">
        <w:rPr>
          <w:rFonts w:ascii="Times New Roman" w:hAnsi="Times New Roman" w:cs="Times New Roman"/>
          <w:sz w:val="24"/>
          <w:szCs w:val="24"/>
        </w:rPr>
        <w:t>: E</w:t>
      </w:r>
      <w:r w:rsidR="00C03DF7" w:rsidRPr="00A51130">
        <w:rPr>
          <w:rFonts w:ascii="Times New Roman" w:hAnsi="Times New Roman" w:cs="Times New Roman"/>
          <w:sz w:val="24"/>
          <w:szCs w:val="24"/>
        </w:rPr>
        <w:t>xamine whether</w:t>
      </w:r>
      <w:r w:rsidR="00D24C1A" w:rsidRPr="00A51130">
        <w:rPr>
          <w:rFonts w:ascii="Times New Roman" w:hAnsi="Times New Roman" w:cs="Times New Roman"/>
          <w:sz w:val="24"/>
          <w:szCs w:val="24"/>
        </w:rPr>
        <w:t xml:space="preserve"> fetal growth </w:t>
      </w:r>
      <w:r w:rsidR="00C03DF7" w:rsidRPr="00A51130">
        <w:rPr>
          <w:rFonts w:ascii="Times New Roman" w:hAnsi="Times New Roman" w:cs="Times New Roman"/>
          <w:sz w:val="24"/>
          <w:szCs w:val="24"/>
        </w:rPr>
        <w:t>modif</w:t>
      </w:r>
      <w:r w:rsidR="00920208" w:rsidRPr="00A51130">
        <w:rPr>
          <w:rFonts w:ascii="Times New Roman" w:hAnsi="Times New Roman" w:cs="Times New Roman"/>
          <w:sz w:val="24"/>
          <w:szCs w:val="24"/>
        </w:rPr>
        <w:t xml:space="preserve">ies </w:t>
      </w:r>
      <w:r w:rsidR="00C03DF7" w:rsidRPr="00A51130">
        <w:rPr>
          <w:rFonts w:ascii="Times New Roman" w:hAnsi="Times New Roman" w:cs="Times New Roman"/>
          <w:sz w:val="24"/>
          <w:szCs w:val="24"/>
        </w:rPr>
        <w:t xml:space="preserve">the relationship </w:t>
      </w:r>
      <w:r w:rsidR="00446A74" w:rsidRPr="00A51130">
        <w:rPr>
          <w:rFonts w:ascii="Times New Roman" w:hAnsi="Times New Roman" w:cs="Times New Roman"/>
          <w:sz w:val="24"/>
          <w:szCs w:val="24"/>
        </w:rPr>
        <w:t>between</w:t>
      </w:r>
      <w:r w:rsidR="00C03DF7" w:rsidRPr="00A51130">
        <w:rPr>
          <w:rFonts w:ascii="Times New Roman" w:hAnsi="Times New Roman" w:cs="Times New Roman"/>
          <w:sz w:val="24"/>
          <w:szCs w:val="24"/>
        </w:rPr>
        <w:t xml:space="preserve"> infant weight gain </w:t>
      </w:r>
      <w:r w:rsidR="00446A74" w:rsidRPr="00A51130">
        <w:rPr>
          <w:rFonts w:ascii="Times New Roman" w:hAnsi="Times New Roman" w:cs="Times New Roman"/>
          <w:sz w:val="24"/>
          <w:szCs w:val="24"/>
        </w:rPr>
        <w:t>and</w:t>
      </w:r>
      <w:r w:rsidR="00C03DF7" w:rsidRPr="00A51130">
        <w:rPr>
          <w:rFonts w:ascii="Times New Roman" w:hAnsi="Times New Roman" w:cs="Times New Roman"/>
          <w:sz w:val="24"/>
          <w:szCs w:val="24"/>
        </w:rPr>
        <w:t xml:space="preserve"> childhood adiposity and blood pressure. </w:t>
      </w:r>
    </w:p>
    <w:p w14:paraId="08C82F5B" w14:textId="005A4892" w:rsidR="00C03DF7" w:rsidRPr="00A51130" w:rsidRDefault="00A51130" w:rsidP="00A51130">
      <w:pPr>
        <w:spacing w:line="480" w:lineRule="auto"/>
        <w:rPr>
          <w:rFonts w:ascii="Times New Roman" w:hAnsi="Times New Roman" w:cs="Times New Roman"/>
          <w:sz w:val="24"/>
          <w:szCs w:val="24"/>
        </w:rPr>
      </w:pPr>
      <w:r>
        <w:rPr>
          <w:rFonts w:ascii="Times New Roman" w:hAnsi="Times New Roman" w:cs="Times New Roman"/>
          <w:b/>
          <w:sz w:val="24"/>
          <w:szCs w:val="24"/>
        </w:rPr>
        <w:t>Subjects and m</w:t>
      </w:r>
      <w:r w:rsidR="00C03DF7" w:rsidRPr="00A51130">
        <w:rPr>
          <w:rFonts w:ascii="Times New Roman" w:hAnsi="Times New Roman" w:cs="Times New Roman"/>
          <w:b/>
          <w:sz w:val="24"/>
          <w:szCs w:val="24"/>
        </w:rPr>
        <w:t>ethods</w:t>
      </w:r>
      <w:r w:rsidR="00C03DF7" w:rsidRPr="00A51130">
        <w:rPr>
          <w:rFonts w:ascii="Times New Roman" w:hAnsi="Times New Roman" w:cs="Times New Roman"/>
          <w:sz w:val="24"/>
          <w:szCs w:val="24"/>
        </w:rPr>
        <w:t xml:space="preserve">: </w:t>
      </w:r>
      <w:r w:rsidR="00027C6A" w:rsidRPr="00A51130">
        <w:rPr>
          <w:rFonts w:ascii="Times New Roman" w:hAnsi="Times New Roman" w:cs="Times New Roman"/>
          <w:sz w:val="24"/>
          <w:szCs w:val="24"/>
        </w:rPr>
        <w:t>78</w:t>
      </w:r>
      <w:r w:rsidR="00027C6A">
        <w:rPr>
          <w:rFonts w:ascii="Times New Roman" w:hAnsi="Times New Roman" w:cs="Times New Roman"/>
          <w:sz w:val="24"/>
          <w:szCs w:val="24"/>
        </w:rPr>
        <w:t>6</w:t>
      </w:r>
      <w:r w:rsidR="00027C6A" w:rsidRPr="00A51130">
        <w:rPr>
          <w:rFonts w:ascii="Times New Roman" w:hAnsi="Times New Roman" w:cs="Times New Roman"/>
          <w:sz w:val="24"/>
          <w:szCs w:val="24"/>
        </w:rPr>
        <w:t xml:space="preserve"> </w:t>
      </w:r>
      <w:r w:rsidR="00C03DF7" w:rsidRPr="00A51130">
        <w:rPr>
          <w:rFonts w:ascii="Times New Roman" w:hAnsi="Times New Roman" w:cs="Times New Roman"/>
          <w:sz w:val="24"/>
          <w:szCs w:val="24"/>
        </w:rPr>
        <w:t>children in the Southampton Women’s Survey</w:t>
      </w:r>
      <w:r w:rsidR="00CE74BD">
        <w:rPr>
          <w:rFonts w:ascii="Times New Roman" w:hAnsi="Times New Roman" w:cs="Times New Roman"/>
          <w:sz w:val="24"/>
          <w:szCs w:val="24"/>
        </w:rPr>
        <w:t>. W</w:t>
      </w:r>
      <w:r w:rsidR="00C03DF7" w:rsidRPr="00A51130">
        <w:rPr>
          <w:rFonts w:ascii="Times New Roman" w:hAnsi="Times New Roman" w:cs="Times New Roman"/>
          <w:sz w:val="24"/>
          <w:szCs w:val="24"/>
        </w:rPr>
        <w:t xml:space="preserve">e related </w:t>
      </w:r>
      <w:r w:rsidR="003248F3" w:rsidRPr="00A51130">
        <w:rPr>
          <w:rFonts w:ascii="Times New Roman" w:hAnsi="Times New Roman" w:cs="Times New Roman"/>
          <w:sz w:val="24"/>
          <w:szCs w:val="24"/>
        </w:rPr>
        <w:t>infant weight gain</w:t>
      </w:r>
      <w:r w:rsidR="00D804A0">
        <w:rPr>
          <w:rFonts w:ascii="Times New Roman" w:hAnsi="Times New Roman" w:cs="Times New Roman"/>
          <w:sz w:val="24"/>
          <w:szCs w:val="24"/>
        </w:rPr>
        <w:t xml:space="preserve"> (weight at 2 years-birth weight)</w:t>
      </w:r>
      <w:r w:rsidR="003248F3" w:rsidRPr="00A51130">
        <w:rPr>
          <w:rFonts w:ascii="Times New Roman" w:hAnsi="Times New Roman" w:cs="Times New Roman"/>
          <w:sz w:val="24"/>
          <w:szCs w:val="24"/>
        </w:rPr>
        <w:t xml:space="preserve"> </w:t>
      </w:r>
      <w:r w:rsidR="00C03DF7" w:rsidRPr="00A51130">
        <w:rPr>
          <w:rFonts w:ascii="Times New Roman" w:hAnsi="Times New Roman" w:cs="Times New Roman"/>
          <w:sz w:val="24"/>
          <w:szCs w:val="24"/>
        </w:rPr>
        <w:t>to body mass index (BMI), %body fat, trunk fat (kg), systolic</w:t>
      </w:r>
      <w:r w:rsidR="00377B21">
        <w:rPr>
          <w:rFonts w:ascii="Times New Roman" w:hAnsi="Times New Roman" w:cs="Times New Roman"/>
          <w:sz w:val="24"/>
          <w:szCs w:val="24"/>
        </w:rPr>
        <w:t xml:space="preserve"> (SBP)</w:t>
      </w:r>
      <w:r w:rsidR="00C03DF7" w:rsidRPr="00A51130">
        <w:rPr>
          <w:rFonts w:ascii="Times New Roman" w:hAnsi="Times New Roman" w:cs="Times New Roman"/>
          <w:sz w:val="24"/>
          <w:szCs w:val="24"/>
        </w:rPr>
        <w:t xml:space="preserve"> </w:t>
      </w:r>
      <w:r w:rsidR="00377B21">
        <w:rPr>
          <w:rFonts w:ascii="Times New Roman" w:hAnsi="Times New Roman" w:cs="Times New Roman"/>
          <w:sz w:val="24"/>
          <w:szCs w:val="24"/>
        </w:rPr>
        <w:t xml:space="preserve">and </w:t>
      </w:r>
      <w:r w:rsidR="00C03DF7" w:rsidRPr="00A51130">
        <w:rPr>
          <w:rFonts w:ascii="Times New Roman" w:hAnsi="Times New Roman" w:cs="Times New Roman"/>
          <w:sz w:val="24"/>
          <w:szCs w:val="24"/>
        </w:rPr>
        <w:t xml:space="preserve">diastolic blood pressure (DBP) at age 6-7 years. </w:t>
      </w:r>
      <w:r w:rsidR="00627790">
        <w:rPr>
          <w:rFonts w:ascii="Times New Roman" w:hAnsi="Times New Roman" w:cs="Times New Roman"/>
          <w:sz w:val="24"/>
          <w:szCs w:val="24"/>
        </w:rPr>
        <w:t xml:space="preserve">Mean </w:t>
      </w:r>
      <w:r w:rsidR="002D4875">
        <w:rPr>
          <w:rFonts w:ascii="Times New Roman" w:hAnsi="Times New Roman" w:cs="Times New Roman"/>
          <w:sz w:val="24"/>
          <w:szCs w:val="24"/>
        </w:rPr>
        <w:t xml:space="preserve">estimated </w:t>
      </w:r>
      <w:r w:rsidR="00627790">
        <w:rPr>
          <w:rFonts w:ascii="Times New Roman" w:hAnsi="Times New Roman" w:cs="Times New Roman"/>
          <w:sz w:val="24"/>
          <w:szCs w:val="24"/>
        </w:rPr>
        <w:t>fetal</w:t>
      </w:r>
      <w:r w:rsidR="00627790" w:rsidRPr="00A51130">
        <w:rPr>
          <w:rFonts w:ascii="Times New Roman" w:hAnsi="Times New Roman" w:cs="Times New Roman"/>
          <w:sz w:val="24"/>
          <w:szCs w:val="24"/>
        </w:rPr>
        <w:t xml:space="preserve"> </w:t>
      </w:r>
      <w:r w:rsidR="00C97A19" w:rsidRPr="00A51130">
        <w:rPr>
          <w:rFonts w:ascii="Times New Roman" w:hAnsi="Times New Roman" w:cs="Times New Roman"/>
          <w:sz w:val="24"/>
          <w:szCs w:val="24"/>
        </w:rPr>
        <w:t>weight</w:t>
      </w:r>
      <w:r w:rsidR="002D4875">
        <w:rPr>
          <w:rFonts w:ascii="Times New Roman" w:hAnsi="Times New Roman" w:cs="Times New Roman"/>
          <w:sz w:val="24"/>
          <w:szCs w:val="24"/>
        </w:rPr>
        <w:t xml:space="preserve"> (EFW)</w:t>
      </w:r>
      <w:r w:rsidR="00C97A19" w:rsidRPr="00A51130">
        <w:rPr>
          <w:rFonts w:ascii="Times New Roman" w:hAnsi="Times New Roman" w:cs="Times New Roman"/>
          <w:sz w:val="24"/>
          <w:szCs w:val="24"/>
        </w:rPr>
        <w:t xml:space="preserve"> </w:t>
      </w:r>
      <w:r w:rsidR="00627790">
        <w:rPr>
          <w:rFonts w:ascii="Times New Roman" w:hAnsi="Times New Roman" w:cs="Times New Roman"/>
          <w:sz w:val="24"/>
          <w:szCs w:val="24"/>
        </w:rPr>
        <w:t xml:space="preserve">between </w:t>
      </w:r>
      <w:r w:rsidR="00C97A19" w:rsidRPr="00A51130">
        <w:rPr>
          <w:rFonts w:ascii="Times New Roman" w:hAnsi="Times New Roman" w:cs="Times New Roman"/>
          <w:sz w:val="24"/>
          <w:szCs w:val="24"/>
        </w:rPr>
        <w:t>19</w:t>
      </w:r>
      <w:r w:rsidR="00627790">
        <w:rPr>
          <w:rFonts w:ascii="Times New Roman" w:hAnsi="Times New Roman" w:cs="Times New Roman"/>
          <w:sz w:val="24"/>
          <w:szCs w:val="24"/>
        </w:rPr>
        <w:t>-34</w:t>
      </w:r>
      <w:r w:rsidR="00C97A19" w:rsidRPr="00A51130">
        <w:rPr>
          <w:rFonts w:ascii="Times New Roman" w:hAnsi="Times New Roman" w:cs="Times New Roman"/>
          <w:sz w:val="24"/>
          <w:szCs w:val="24"/>
        </w:rPr>
        <w:t xml:space="preserve"> weeks and </w:t>
      </w:r>
      <w:r w:rsidR="00627790">
        <w:rPr>
          <w:rFonts w:ascii="Times New Roman" w:hAnsi="Times New Roman" w:cs="Times New Roman"/>
          <w:sz w:val="24"/>
          <w:szCs w:val="24"/>
        </w:rPr>
        <w:t xml:space="preserve">change in </w:t>
      </w:r>
      <w:r w:rsidR="002D4875">
        <w:rPr>
          <w:rFonts w:ascii="Times New Roman" w:hAnsi="Times New Roman" w:cs="Times New Roman"/>
          <w:sz w:val="24"/>
          <w:szCs w:val="24"/>
        </w:rPr>
        <w:t>EFW</w:t>
      </w:r>
      <w:r w:rsidR="00C97A19" w:rsidRPr="00A51130">
        <w:rPr>
          <w:rFonts w:ascii="Times New Roman" w:hAnsi="Times New Roman" w:cs="Times New Roman"/>
          <w:sz w:val="24"/>
          <w:szCs w:val="24"/>
        </w:rPr>
        <w:t xml:space="preserve"> (19-</w:t>
      </w:r>
      <w:r w:rsidR="00627790">
        <w:rPr>
          <w:rFonts w:ascii="Times New Roman" w:hAnsi="Times New Roman" w:cs="Times New Roman"/>
          <w:sz w:val="24"/>
          <w:szCs w:val="24"/>
        </w:rPr>
        <w:t>3</w:t>
      </w:r>
      <w:r w:rsidR="00C97A19" w:rsidRPr="00A51130">
        <w:rPr>
          <w:rFonts w:ascii="Times New Roman" w:hAnsi="Times New Roman" w:cs="Times New Roman"/>
          <w:sz w:val="24"/>
          <w:szCs w:val="24"/>
        </w:rPr>
        <w:t>4 weeks)</w:t>
      </w:r>
      <w:r w:rsidR="00C03DF7" w:rsidRPr="00A51130">
        <w:rPr>
          <w:rFonts w:ascii="Times New Roman" w:hAnsi="Times New Roman" w:cs="Times New Roman"/>
          <w:sz w:val="24"/>
          <w:szCs w:val="24"/>
        </w:rPr>
        <w:t xml:space="preserve"> were added to models as </w:t>
      </w:r>
      <w:r w:rsidR="00CC51C2">
        <w:rPr>
          <w:rFonts w:ascii="Times New Roman" w:hAnsi="Times New Roman" w:cs="Times New Roman"/>
          <w:sz w:val="24"/>
          <w:szCs w:val="24"/>
        </w:rPr>
        <w:t>effect modifiers</w:t>
      </w:r>
      <w:r w:rsidR="00C03DF7" w:rsidRPr="00A51130">
        <w:rPr>
          <w:rFonts w:ascii="Times New Roman" w:hAnsi="Times New Roman" w:cs="Times New Roman"/>
          <w:sz w:val="24"/>
          <w:szCs w:val="24"/>
        </w:rPr>
        <w:t xml:space="preserve">. </w:t>
      </w:r>
    </w:p>
    <w:p w14:paraId="02CD7BF9" w14:textId="20B4C922" w:rsidR="00C03DF7" w:rsidRPr="00A51130" w:rsidRDefault="00C03DF7" w:rsidP="00A51130">
      <w:pPr>
        <w:spacing w:line="480" w:lineRule="auto"/>
        <w:rPr>
          <w:rFonts w:ascii="Times New Roman" w:hAnsi="Times New Roman" w:cs="Times New Roman"/>
          <w:sz w:val="24"/>
          <w:szCs w:val="24"/>
        </w:rPr>
      </w:pPr>
      <w:r w:rsidRPr="00A51130">
        <w:rPr>
          <w:rFonts w:ascii="Times New Roman" w:hAnsi="Times New Roman" w:cs="Times New Roman"/>
          <w:b/>
          <w:sz w:val="24"/>
          <w:szCs w:val="24"/>
        </w:rPr>
        <w:t>Results</w:t>
      </w:r>
      <w:r w:rsidRPr="00A51130">
        <w:rPr>
          <w:rFonts w:ascii="Times New Roman" w:hAnsi="Times New Roman" w:cs="Times New Roman"/>
          <w:sz w:val="24"/>
          <w:szCs w:val="24"/>
        </w:rPr>
        <w:t xml:space="preserve">: Infant weight </w:t>
      </w:r>
      <w:r w:rsidR="00C97A19" w:rsidRPr="00A51130">
        <w:rPr>
          <w:rFonts w:ascii="Times New Roman" w:hAnsi="Times New Roman" w:cs="Times New Roman"/>
          <w:sz w:val="24"/>
          <w:szCs w:val="24"/>
        </w:rPr>
        <w:t xml:space="preserve">gain </w:t>
      </w:r>
      <w:r w:rsidRPr="00A51130">
        <w:rPr>
          <w:rFonts w:ascii="Times New Roman" w:hAnsi="Times New Roman" w:cs="Times New Roman"/>
          <w:sz w:val="24"/>
          <w:szCs w:val="24"/>
        </w:rPr>
        <w:t xml:space="preserve">was positively associated with all childhood outcomes. We found no evidence that these effects were modified by </w:t>
      </w:r>
      <w:r w:rsidR="003E632E" w:rsidRPr="00A51130">
        <w:rPr>
          <w:rFonts w:ascii="Times New Roman" w:hAnsi="Times New Roman" w:cs="Times New Roman"/>
          <w:sz w:val="24"/>
          <w:szCs w:val="24"/>
        </w:rPr>
        <w:t>fetal growth</w:t>
      </w:r>
      <w:r w:rsidRPr="00A51130">
        <w:rPr>
          <w:rFonts w:ascii="Times New Roman" w:hAnsi="Times New Roman" w:cs="Times New Roman"/>
          <w:sz w:val="24"/>
          <w:szCs w:val="24"/>
        </w:rPr>
        <w:t xml:space="preserve"> (</w:t>
      </w:r>
      <w:r w:rsidRPr="00DF08EA">
        <w:rPr>
          <w:rFonts w:ascii="Times New Roman" w:hAnsi="Times New Roman" w:cs="Times New Roman"/>
          <w:sz w:val="24"/>
          <w:szCs w:val="24"/>
        </w:rPr>
        <w:t>p</w:t>
      </w:r>
      <w:r w:rsidRPr="00A51130">
        <w:rPr>
          <w:rFonts w:ascii="Times New Roman" w:hAnsi="Times New Roman" w:cs="Times New Roman"/>
          <w:sz w:val="24"/>
          <w:szCs w:val="24"/>
        </w:rPr>
        <w:t>&gt;</w:t>
      </w:r>
      <w:r w:rsidR="00541451" w:rsidRPr="00A51130">
        <w:rPr>
          <w:rFonts w:ascii="Times New Roman" w:hAnsi="Times New Roman" w:cs="Times New Roman"/>
          <w:sz w:val="24"/>
          <w:szCs w:val="24"/>
        </w:rPr>
        <w:t>0.1</w:t>
      </w:r>
      <w:r w:rsidRPr="00A51130">
        <w:rPr>
          <w:rFonts w:ascii="Times New Roman" w:hAnsi="Times New Roman" w:cs="Times New Roman"/>
          <w:sz w:val="24"/>
          <w:szCs w:val="24"/>
        </w:rPr>
        <w:t xml:space="preserve"> for all interaction terms). For example, </w:t>
      </w:r>
      <w:r w:rsidR="0035257A" w:rsidRPr="00A51130">
        <w:rPr>
          <w:rFonts w:ascii="Times New Roman" w:hAnsi="Times New Roman" w:cs="Times New Roman"/>
          <w:sz w:val="24"/>
          <w:szCs w:val="24"/>
        </w:rPr>
        <w:t xml:space="preserve">a </w:t>
      </w:r>
      <w:r w:rsidR="000F57F3">
        <w:rPr>
          <w:rFonts w:ascii="Times New Roman" w:hAnsi="Times New Roman" w:cs="Times New Roman"/>
          <w:sz w:val="24"/>
          <w:szCs w:val="24"/>
        </w:rPr>
        <w:t>1 standard deviation</w:t>
      </w:r>
      <w:r w:rsidR="008257E1">
        <w:rPr>
          <w:rFonts w:ascii="Times New Roman" w:hAnsi="Times New Roman" w:cs="Times New Roman"/>
          <w:sz w:val="24"/>
          <w:szCs w:val="24"/>
        </w:rPr>
        <w:t xml:space="preserve"> (SD)</w:t>
      </w:r>
      <w:r w:rsidR="0035257A" w:rsidRPr="00A51130">
        <w:rPr>
          <w:rFonts w:ascii="Times New Roman" w:hAnsi="Times New Roman" w:cs="Times New Roman"/>
          <w:sz w:val="24"/>
          <w:szCs w:val="24"/>
        </w:rPr>
        <w:t xml:space="preserve"> increase in </w:t>
      </w:r>
      <w:r w:rsidRPr="00A51130">
        <w:rPr>
          <w:rFonts w:ascii="Times New Roman" w:hAnsi="Times New Roman" w:cs="Times New Roman"/>
          <w:sz w:val="24"/>
          <w:szCs w:val="24"/>
        </w:rPr>
        <w:t xml:space="preserve">infant weight </w:t>
      </w:r>
      <w:r w:rsidR="00A87C91" w:rsidRPr="00A51130">
        <w:rPr>
          <w:rFonts w:ascii="Times New Roman" w:hAnsi="Times New Roman" w:cs="Times New Roman"/>
          <w:sz w:val="24"/>
          <w:szCs w:val="24"/>
        </w:rPr>
        <w:t xml:space="preserve">gain </w:t>
      </w:r>
      <w:r w:rsidRPr="00A51130">
        <w:rPr>
          <w:rFonts w:ascii="Times New Roman" w:hAnsi="Times New Roman" w:cs="Times New Roman"/>
          <w:sz w:val="24"/>
          <w:szCs w:val="24"/>
        </w:rPr>
        <w:t xml:space="preserve">was associated with an increase in </w:t>
      </w:r>
      <w:r w:rsidR="00CA242D" w:rsidRPr="00A51130">
        <w:rPr>
          <w:rFonts w:ascii="Times New Roman" w:hAnsi="Times New Roman" w:cs="Times New Roman"/>
          <w:sz w:val="24"/>
          <w:szCs w:val="24"/>
        </w:rPr>
        <w:t>BMI z-score</w:t>
      </w:r>
      <w:r w:rsidRPr="00A51130">
        <w:rPr>
          <w:rFonts w:ascii="Times New Roman" w:hAnsi="Times New Roman" w:cs="Times New Roman"/>
          <w:sz w:val="24"/>
          <w:szCs w:val="24"/>
        </w:rPr>
        <w:t xml:space="preserve"> of </w:t>
      </w:r>
      <w:r w:rsidR="004929C3" w:rsidRPr="00A51130">
        <w:rPr>
          <w:rFonts w:ascii="Times New Roman" w:hAnsi="Times New Roman" w:cs="Times New Roman"/>
          <w:sz w:val="24"/>
          <w:szCs w:val="24"/>
        </w:rPr>
        <w:t>0.</w:t>
      </w:r>
      <w:r w:rsidR="000F57F3">
        <w:rPr>
          <w:rFonts w:ascii="Times New Roman" w:hAnsi="Times New Roman" w:cs="Times New Roman"/>
          <w:sz w:val="24"/>
          <w:szCs w:val="24"/>
        </w:rPr>
        <w:t>51</w:t>
      </w:r>
      <w:r w:rsidRPr="00A51130">
        <w:rPr>
          <w:rFonts w:ascii="Times New Roman" w:hAnsi="Times New Roman" w:cs="Times New Roman"/>
          <w:sz w:val="24"/>
          <w:szCs w:val="24"/>
        </w:rPr>
        <w:t xml:space="preserve"> </w:t>
      </w:r>
      <w:r w:rsidR="004929C3" w:rsidRPr="00A51130">
        <w:rPr>
          <w:rFonts w:ascii="Times New Roman" w:hAnsi="Times New Roman" w:cs="Times New Roman"/>
          <w:sz w:val="24"/>
          <w:szCs w:val="24"/>
        </w:rPr>
        <w:t>(95% CI</w:t>
      </w:r>
      <w:r w:rsidR="003C31FD" w:rsidRPr="00A51130">
        <w:rPr>
          <w:rFonts w:ascii="Times New Roman" w:hAnsi="Times New Roman" w:cs="Times New Roman"/>
          <w:sz w:val="24"/>
          <w:szCs w:val="24"/>
        </w:rPr>
        <w:t xml:space="preserve"> 0.</w:t>
      </w:r>
      <w:r w:rsidR="000F57F3">
        <w:rPr>
          <w:rFonts w:ascii="Times New Roman" w:hAnsi="Times New Roman" w:cs="Times New Roman"/>
          <w:sz w:val="24"/>
          <w:szCs w:val="24"/>
        </w:rPr>
        <w:t>37</w:t>
      </w:r>
      <w:r w:rsidR="00CC51C2">
        <w:rPr>
          <w:rFonts w:ascii="Times New Roman" w:hAnsi="Times New Roman" w:cs="Times New Roman"/>
          <w:sz w:val="24"/>
          <w:szCs w:val="24"/>
        </w:rPr>
        <w:t>;</w:t>
      </w:r>
      <w:r w:rsidR="005958A8" w:rsidRPr="00A51130">
        <w:rPr>
          <w:rFonts w:ascii="Times New Roman" w:hAnsi="Times New Roman" w:cs="Times New Roman"/>
          <w:sz w:val="24"/>
          <w:szCs w:val="24"/>
        </w:rPr>
        <w:t>0.</w:t>
      </w:r>
      <w:r w:rsidR="000F57F3">
        <w:rPr>
          <w:rFonts w:ascii="Times New Roman" w:hAnsi="Times New Roman" w:cs="Times New Roman"/>
          <w:sz w:val="24"/>
          <w:szCs w:val="24"/>
        </w:rPr>
        <w:t>64</w:t>
      </w:r>
      <w:r w:rsidR="003C31FD" w:rsidRPr="00A51130">
        <w:rPr>
          <w:rFonts w:ascii="Times New Roman" w:hAnsi="Times New Roman" w:cs="Times New Roman"/>
          <w:sz w:val="24"/>
          <w:szCs w:val="24"/>
        </w:rPr>
        <w:t xml:space="preserve">) </w:t>
      </w:r>
      <w:r w:rsidR="00A87C91" w:rsidRPr="00A51130">
        <w:rPr>
          <w:rFonts w:ascii="Times New Roman" w:hAnsi="Times New Roman" w:cs="Times New Roman"/>
          <w:sz w:val="24"/>
          <w:szCs w:val="24"/>
        </w:rPr>
        <w:t xml:space="preserve">when </w:t>
      </w:r>
      <w:r w:rsidR="002D4875">
        <w:rPr>
          <w:rFonts w:ascii="Times New Roman" w:hAnsi="Times New Roman" w:cs="Times New Roman"/>
          <w:sz w:val="24"/>
          <w:szCs w:val="24"/>
        </w:rPr>
        <w:t>EFW</w:t>
      </w:r>
      <w:r w:rsidR="00036CB2">
        <w:rPr>
          <w:rFonts w:ascii="Times New Roman" w:hAnsi="Times New Roman" w:cs="Times New Roman"/>
          <w:sz w:val="24"/>
          <w:szCs w:val="24"/>
        </w:rPr>
        <w:t>-</w:t>
      </w:r>
      <w:r w:rsidR="000F57F3">
        <w:rPr>
          <w:rFonts w:ascii="Times New Roman" w:hAnsi="Times New Roman" w:cs="Times New Roman"/>
          <w:sz w:val="24"/>
          <w:szCs w:val="24"/>
        </w:rPr>
        <w:t>change</w:t>
      </w:r>
      <w:r w:rsidR="000F57F3" w:rsidRPr="00A51130">
        <w:rPr>
          <w:rFonts w:ascii="Times New Roman" w:hAnsi="Times New Roman" w:cs="Times New Roman"/>
          <w:sz w:val="24"/>
          <w:szCs w:val="24"/>
        </w:rPr>
        <w:t xml:space="preserve"> </w:t>
      </w:r>
      <w:r w:rsidR="00A87C91" w:rsidRPr="00A51130">
        <w:rPr>
          <w:rFonts w:ascii="Times New Roman" w:hAnsi="Times New Roman" w:cs="Times New Roman"/>
          <w:sz w:val="24"/>
          <w:szCs w:val="24"/>
        </w:rPr>
        <w:t xml:space="preserve">was set at </w:t>
      </w:r>
      <w:r w:rsidR="00382A92" w:rsidRPr="00A51130">
        <w:rPr>
          <w:rFonts w:ascii="Times New Roman" w:hAnsi="Times New Roman" w:cs="Times New Roman"/>
          <w:sz w:val="24"/>
          <w:szCs w:val="24"/>
        </w:rPr>
        <w:t>-</w:t>
      </w:r>
      <w:r w:rsidR="00DF7B3B" w:rsidRPr="00A51130">
        <w:rPr>
          <w:rFonts w:ascii="Times New Roman" w:hAnsi="Times New Roman" w:cs="Times New Roman"/>
          <w:sz w:val="24"/>
          <w:szCs w:val="24"/>
        </w:rPr>
        <w:t>2</w:t>
      </w:r>
      <w:r w:rsidR="00A87C91" w:rsidRPr="00A51130">
        <w:rPr>
          <w:rFonts w:ascii="Times New Roman" w:hAnsi="Times New Roman" w:cs="Times New Roman"/>
          <w:sz w:val="24"/>
          <w:szCs w:val="24"/>
        </w:rPr>
        <w:t xml:space="preserve"> </w:t>
      </w:r>
      <w:r w:rsidR="000F57F3">
        <w:rPr>
          <w:rFonts w:ascii="Times New Roman" w:hAnsi="Times New Roman" w:cs="Times New Roman"/>
          <w:sz w:val="24"/>
          <w:szCs w:val="24"/>
        </w:rPr>
        <w:t>SD-scores</w:t>
      </w:r>
      <w:r w:rsidR="000B6C47" w:rsidRPr="00A51130">
        <w:rPr>
          <w:rFonts w:ascii="Times New Roman" w:hAnsi="Times New Roman" w:cs="Times New Roman"/>
          <w:sz w:val="24"/>
          <w:szCs w:val="24"/>
        </w:rPr>
        <w:t xml:space="preserve"> </w:t>
      </w:r>
      <w:r w:rsidRPr="00A51130">
        <w:rPr>
          <w:rFonts w:ascii="Times New Roman" w:hAnsi="Times New Roman" w:cs="Times New Roman"/>
          <w:sz w:val="24"/>
          <w:szCs w:val="24"/>
        </w:rPr>
        <w:t xml:space="preserve">compared with an increase of </w:t>
      </w:r>
      <w:r w:rsidR="00D73D90" w:rsidRPr="00A51130">
        <w:rPr>
          <w:rFonts w:ascii="Times New Roman" w:hAnsi="Times New Roman" w:cs="Times New Roman"/>
          <w:sz w:val="24"/>
          <w:szCs w:val="24"/>
        </w:rPr>
        <w:t>0.</w:t>
      </w:r>
      <w:r w:rsidR="000F57F3">
        <w:rPr>
          <w:rFonts w:ascii="Times New Roman" w:hAnsi="Times New Roman" w:cs="Times New Roman"/>
          <w:sz w:val="24"/>
          <w:szCs w:val="24"/>
        </w:rPr>
        <w:t>41</w:t>
      </w:r>
      <w:r w:rsidR="00D73D90" w:rsidRPr="00A51130">
        <w:rPr>
          <w:rFonts w:ascii="Times New Roman" w:hAnsi="Times New Roman" w:cs="Times New Roman"/>
          <w:sz w:val="24"/>
          <w:szCs w:val="24"/>
        </w:rPr>
        <w:t xml:space="preserve"> (95% CI 0.</w:t>
      </w:r>
      <w:r w:rsidR="000F57F3">
        <w:rPr>
          <w:rFonts w:ascii="Times New Roman" w:hAnsi="Times New Roman" w:cs="Times New Roman"/>
          <w:sz w:val="24"/>
          <w:szCs w:val="24"/>
        </w:rPr>
        <w:t>27</w:t>
      </w:r>
      <w:r w:rsidR="00CC51C2">
        <w:rPr>
          <w:rFonts w:ascii="Times New Roman" w:hAnsi="Times New Roman" w:cs="Times New Roman"/>
          <w:sz w:val="24"/>
          <w:szCs w:val="24"/>
        </w:rPr>
        <w:t>;</w:t>
      </w:r>
      <w:r w:rsidR="00AF2F42" w:rsidRPr="00A51130">
        <w:rPr>
          <w:rFonts w:ascii="Times New Roman" w:hAnsi="Times New Roman" w:cs="Times New Roman"/>
          <w:sz w:val="24"/>
          <w:szCs w:val="24"/>
        </w:rPr>
        <w:t>0.</w:t>
      </w:r>
      <w:r w:rsidR="000F57F3">
        <w:rPr>
          <w:rFonts w:ascii="Times New Roman" w:hAnsi="Times New Roman" w:cs="Times New Roman"/>
          <w:sz w:val="24"/>
          <w:szCs w:val="24"/>
        </w:rPr>
        <w:t>54</w:t>
      </w:r>
      <w:r w:rsidR="006A5392">
        <w:rPr>
          <w:rFonts w:ascii="Times New Roman" w:hAnsi="Times New Roman" w:cs="Times New Roman"/>
          <w:sz w:val="24"/>
          <w:szCs w:val="24"/>
        </w:rPr>
        <w:t>,p</w:t>
      </w:r>
      <w:r w:rsidR="006A5392" w:rsidRPr="008257E1">
        <w:rPr>
          <w:rFonts w:ascii="Times New Roman" w:hAnsi="Times New Roman" w:cs="Times New Roman"/>
          <w:sz w:val="24"/>
          <w:szCs w:val="24"/>
          <w:vertAlign w:val="subscript"/>
        </w:rPr>
        <w:t>(interaction)</w:t>
      </w:r>
      <w:r w:rsidR="006A5392">
        <w:rPr>
          <w:rFonts w:ascii="Times New Roman" w:hAnsi="Times New Roman" w:cs="Times New Roman"/>
          <w:sz w:val="24"/>
          <w:szCs w:val="24"/>
        </w:rPr>
        <w:t>=0.48</w:t>
      </w:r>
      <w:r w:rsidR="00D73D90" w:rsidRPr="00A51130">
        <w:rPr>
          <w:rFonts w:ascii="Times New Roman" w:hAnsi="Times New Roman" w:cs="Times New Roman"/>
          <w:sz w:val="24"/>
          <w:szCs w:val="24"/>
        </w:rPr>
        <w:t>)</w:t>
      </w:r>
      <w:r w:rsidRPr="00A51130">
        <w:rPr>
          <w:rFonts w:ascii="Times New Roman" w:hAnsi="Times New Roman" w:cs="Times New Roman"/>
          <w:sz w:val="24"/>
          <w:szCs w:val="24"/>
        </w:rPr>
        <w:t xml:space="preserve"> </w:t>
      </w:r>
      <w:r w:rsidR="000B6C47" w:rsidRPr="00A51130">
        <w:rPr>
          <w:rFonts w:ascii="Times New Roman" w:hAnsi="Times New Roman" w:cs="Times New Roman"/>
          <w:sz w:val="24"/>
          <w:szCs w:val="24"/>
        </w:rPr>
        <w:t xml:space="preserve">when set at </w:t>
      </w:r>
      <w:r w:rsidR="000D154A" w:rsidRPr="00A51130">
        <w:rPr>
          <w:rFonts w:ascii="Times New Roman" w:hAnsi="Times New Roman" w:cs="Times New Roman"/>
          <w:sz w:val="24"/>
          <w:szCs w:val="24"/>
        </w:rPr>
        <w:t>2</w:t>
      </w:r>
      <w:r w:rsidR="000B6C47" w:rsidRPr="00A51130">
        <w:rPr>
          <w:rFonts w:ascii="Times New Roman" w:hAnsi="Times New Roman" w:cs="Times New Roman"/>
          <w:sz w:val="24"/>
          <w:szCs w:val="24"/>
        </w:rPr>
        <w:t xml:space="preserve"> </w:t>
      </w:r>
      <w:r w:rsidR="000F57F3">
        <w:rPr>
          <w:rFonts w:ascii="Times New Roman" w:hAnsi="Times New Roman" w:cs="Times New Roman"/>
          <w:sz w:val="24"/>
          <w:szCs w:val="24"/>
        </w:rPr>
        <w:t>SD</w:t>
      </w:r>
      <w:r w:rsidR="000B6C47" w:rsidRPr="00A51130">
        <w:rPr>
          <w:rFonts w:ascii="Times New Roman" w:hAnsi="Times New Roman" w:cs="Times New Roman"/>
          <w:sz w:val="24"/>
          <w:szCs w:val="24"/>
        </w:rPr>
        <w:t>-scores</w:t>
      </w:r>
      <w:r w:rsidR="000D64CF">
        <w:rPr>
          <w:rFonts w:ascii="Times New Roman" w:hAnsi="Times New Roman" w:cs="Times New Roman"/>
          <w:sz w:val="24"/>
          <w:szCs w:val="24"/>
        </w:rPr>
        <w:t>.</w:t>
      </w:r>
    </w:p>
    <w:p w14:paraId="0A204CAD" w14:textId="00431951" w:rsidR="000D31B5" w:rsidRPr="00A51130" w:rsidRDefault="00C03DF7" w:rsidP="00A51130">
      <w:pPr>
        <w:spacing w:line="480" w:lineRule="auto"/>
        <w:rPr>
          <w:rFonts w:ascii="Times New Roman" w:hAnsi="Times New Roman" w:cs="Times New Roman"/>
          <w:sz w:val="24"/>
          <w:szCs w:val="24"/>
        </w:rPr>
      </w:pPr>
      <w:r w:rsidRPr="00A51130">
        <w:rPr>
          <w:rFonts w:ascii="Times New Roman" w:hAnsi="Times New Roman" w:cs="Times New Roman"/>
          <w:b/>
          <w:sz w:val="24"/>
          <w:szCs w:val="24"/>
        </w:rPr>
        <w:t>Conclusion</w:t>
      </w:r>
      <w:r w:rsidRPr="00A51130">
        <w:rPr>
          <w:rFonts w:ascii="Times New Roman" w:hAnsi="Times New Roman" w:cs="Times New Roman"/>
          <w:sz w:val="24"/>
          <w:szCs w:val="24"/>
        </w:rPr>
        <w:t xml:space="preserve">: </w:t>
      </w:r>
      <w:r w:rsidR="00DF08EA">
        <w:rPr>
          <w:rFonts w:ascii="Times New Roman" w:hAnsi="Times New Roman" w:cs="Times New Roman"/>
          <w:sz w:val="24"/>
          <w:szCs w:val="24"/>
        </w:rPr>
        <w:t>T</w:t>
      </w:r>
      <w:r w:rsidR="00752FD5" w:rsidRPr="00A51130">
        <w:rPr>
          <w:rFonts w:ascii="Times New Roman" w:hAnsi="Times New Roman" w:cs="Times New Roman"/>
          <w:sz w:val="24"/>
          <w:szCs w:val="24"/>
        </w:rPr>
        <w:t xml:space="preserve">he documented adverse consequences of rapid infant weight </w:t>
      </w:r>
      <w:r w:rsidR="006A0D54" w:rsidRPr="00A51130">
        <w:rPr>
          <w:rFonts w:ascii="Times New Roman" w:hAnsi="Times New Roman" w:cs="Times New Roman"/>
          <w:sz w:val="24"/>
          <w:szCs w:val="24"/>
        </w:rPr>
        <w:t>gain</w:t>
      </w:r>
      <w:r w:rsidR="00752FD5" w:rsidRPr="00A51130">
        <w:rPr>
          <w:rFonts w:ascii="Times New Roman" w:hAnsi="Times New Roman" w:cs="Times New Roman"/>
          <w:sz w:val="24"/>
          <w:szCs w:val="24"/>
        </w:rPr>
        <w:t xml:space="preserve"> may occur regardless of whether growth was constrained in</w:t>
      </w:r>
      <w:r w:rsidR="00920208" w:rsidRPr="00A51130">
        <w:rPr>
          <w:rFonts w:ascii="Times New Roman" w:hAnsi="Times New Roman" w:cs="Times New Roman"/>
          <w:sz w:val="24"/>
          <w:szCs w:val="24"/>
        </w:rPr>
        <w:t>-</w:t>
      </w:r>
      <w:r w:rsidR="00752FD5" w:rsidRPr="00A51130">
        <w:rPr>
          <w:rFonts w:ascii="Times New Roman" w:hAnsi="Times New Roman" w:cs="Times New Roman"/>
          <w:sz w:val="24"/>
          <w:szCs w:val="24"/>
        </w:rPr>
        <w:t>utero.</w:t>
      </w:r>
    </w:p>
    <w:p w14:paraId="327F598C" w14:textId="77777777" w:rsidR="00396A61" w:rsidRDefault="00396A61" w:rsidP="00A51130">
      <w:pPr>
        <w:spacing w:line="480" w:lineRule="auto"/>
        <w:rPr>
          <w:rFonts w:ascii="Times New Roman" w:hAnsi="Times New Roman" w:cs="Times New Roman"/>
          <w:b/>
          <w:sz w:val="24"/>
          <w:szCs w:val="24"/>
        </w:rPr>
      </w:pPr>
    </w:p>
    <w:p w14:paraId="055E9053" w14:textId="77777777" w:rsidR="000D3E44" w:rsidRDefault="000D3E44" w:rsidP="00A51130">
      <w:pPr>
        <w:spacing w:line="480" w:lineRule="auto"/>
        <w:rPr>
          <w:rFonts w:ascii="Times New Roman" w:hAnsi="Times New Roman" w:cs="Times New Roman"/>
          <w:b/>
          <w:sz w:val="24"/>
          <w:szCs w:val="24"/>
        </w:rPr>
        <w:sectPr w:rsidR="000D3E44">
          <w:pgSz w:w="11906" w:h="16838"/>
          <w:pgMar w:top="1440" w:right="1440" w:bottom="1440" w:left="1440" w:header="708" w:footer="708" w:gutter="0"/>
          <w:cols w:space="708"/>
          <w:docGrid w:linePitch="360"/>
        </w:sectPr>
      </w:pPr>
    </w:p>
    <w:p w14:paraId="157D6418" w14:textId="036DC8D0" w:rsidR="00197813" w:rsidRPr="00A51130" w:rsidRDefault="00941B10" w:rsidP="00A51130">
      <w:pPr>
        <w:spacing w:line="480" w:lineRule="auto"/>
        <w:rPr>
          <w:rFonts w:ascii="Times New Roman" w:hAnsi="Times New Roman" w:cs="Times New Roman"/>
          <w:sz w:val="24"/>
          <w:szCs w:val="24"/>
        </w:rPr>
      </w:pPr>
      <w:r w:rsidRPr="00A51130">
        <w:rPr>
          <w:rFonts w:ascii="Times New Roman" w:hAnsi="Times New Roman" w:cs="Times New Roman"/>
          <w:b/>
          <w:sz w:val="24"/>
          <w:szCs w:val="24"/>
        </w:rPr>
        <w:lastRenderedPageBreak/>
        <w:t>Keywords</w:t>
      </w:r>
      <w:r w:rsidRPr="00A51130">
        <w:rPr>
          <w:rFonts w:ascii="Times New Roman" w:hAnsi="Times New Roman" w:cs="Times New Roman"/>
          <w:sz w:val="24"/>
          <w:szCs w:val="24"/>
        </w:rPr>
        <w:t xml:space="preserve">: </w:t>
      </w:r>
      <w:r w:rsidR="00197813" w:rsidRPr="00A51130">
        <w:rPr>
          <w:rFonts w:ascii="Times New Roman" w:hAnsi="Times New Roman" w:cs="Times New Roman"/>
          <w:sz w:val="24"/>
          <w:szCs w:val="24"/>
        </w:rPr>
        <w:t xml:space="preserve">estimated </w:t>
      </w:r>
      <w:r w:rsidRPr="00A51130">
        <w:rPr>
          <w:rFonts w:ascii="Times New Roman" w:hAnsi="Times New Roman" w:cs="Times New Roman"/>
          <w:sz w:val="24"/>
          <w:szCs w:val="24"/>
        </w:rPr>
        <w:t>fetal</w:t>
      </w:r>
      <w:r w:rsidR="00197813" w:rsidRPr="00A51130">
        <w:rPr>
          <w:rFonts w:ascii="Times New Roman" w:hAnsi="Times New Roman" w:cs="Times New Roman"/>
          <w:sz w:val="24"/>
          <w:szCs w:val="24"/>
        </w:rPr>
        <w:t xml:space="preserve"> weight</w:t>
      </w:r>
      <w:r w:rsidRPr="00A51130">
        <w:rPr>
          <w:rFonts w:ascii="Times New Roman" w:hAnsi="Times New Roman" w:cs="Times New Roman"/>
          <w:sz w:val="24"/>
          <w:szCs w:val="24"/>
        </w:rPr>
        <w:t>, infant</w:t>
      </w:r>
      <w:r w:rsidR="002B3042" w:rsidRPr="00A51130">
        <w:rPr>
          <w:rFonts w:ascii="Times New Roman" w:hAnsi="Times New Roman" w:cs="Times New Roman"/>
          <w:sz w:val="24"/>
          <w:szCs w:val="24"/>
        </w:rPr>
        <w:t xml:space="preserve"> weight gain</w:t>
      </w:r>
      <w:r w:rsidRPr="00A51130">
        <w:rPr>
          <w:rFonts w:ascii="Times New Roman" w:hAnsi="Times New Roman" w:cs="Times New Roman"/>
          <w:sz w:val="24"/>
          <w:szCs w:val="24"/>
        </w:rPr>
        <w:t xml:space="preserve">, </w:t>
      </w:r>
      <w:r w:rsidR="00197813" w:rsidRPr="00A51130">
        <w:rPr>
          <w:rFonts w:ascii="Times New Roman" w:hAnsi="Times New Roman" w:cs="Times New Roman"/>
          <w:sz w:val="24"/>
          <w:szCs w:val="24"/>
        </w:rPr>
        <w:t xml:space="preserve">childhood, </w:t>
      </w:r>
      <w:r w:rsidR="002B3809">
        <w:rPr>
          <w:rFonts w:ascii="Times New Roman" w:hAnsi="Times New Roman" w:cs="Times New Roman"/>
          <w:sz w:val="24"/>
          <w:szCs w:val="24"/>
        </w:rPr>
        <w:t>adiposity, blood pressure</w:t>
      </w:r>
    </w:p>
    <w:p w14:paraId="3C3DD472" w14:textId="1904778E" w:rsidR="00C75499" w:rsidRPr="008C67FC" w:rsidRDefault="00A25410" w:rsidP="00A51130">
      <w:pPr>
        <w:spacing w:line="480" w:lineRule="auto"/>
        <w:rPr>
          <w:rFonts w:ascii="Times New Roman" w:hAnsi="Times New Roman" w:cs="Times New Roman"/>
          <w:sz w:val="24"/>
          <w:szCs w:val="24"/>
        </w:rPr>
        <w:sectPr w:rsidR="00C75499" w:rsidRPr="008C67FC">
          <w:pgSz w:w="11906" w:h="16838"/>
          <w:pgMar w:top="1440" w:right="1440" w:bottom="1440" w:left="1440" w:header="708" w:footer="708" w:gutter="0"/>
          <w:cols w:space="708"/>
          <w:docGrid w:linePitch="360"/>
        </w:sectPr>
      </w:pPr>
      <w:r w:rsidRPr="00A51130">
        <w:rPr>
          <w:rFonts w:ascii="Times New Roman" w:hAnsi="Times New Roman" w:cs="Times New Roman"/>
          <w:b/>
          <w:bCs/>
          <w:sz w:val="24"/>
          <w:szCs w:val="24"/>
        </w:rPr>
        <w:t xml:space="preserve">Word count: </w:t>
      </w:r>
      <w:r w:rsidR="008A0DA5" w:rsidRPr="00A51130">
        <w:rPr>
          <w:rFonts w:ascii="Times New Roman" w:hAnsi="Times New Roman" w:cs="Times New Roman"/>
          <w:sz w:val="24"/>
          <w:szCs w:val="24"/>
        </w:rPr>
        <w:t>3</w:t>
      </w:r>
      <w:r w:rsidR="008C67FC">
        <w:rPr>
          <w:rFonts w:ascii="Times New Roman" w:hAnsi="Times New Roman" w:cs="Times New Roman"/>
          <w:sz w:val="24"/>
          <w:szCs w:val="24"/>
        </w:rPr>
        <w:t>289</w:t>
      </w:r>
    </w:p>
    <w:p w14:paraId="7C013EB2" w14:textId="136C491F" w:rsidR="00600DA0" w:rsidRPr="00A51130" w:rsidRDefault="00600DA0" w:rsidP="00A51130">
      <w:pPr>
        <w:spacing w:line="480" w:lineRule="auto"/>
        <w:rPr>
          <w:rFonts w:ascii="Times New Roman" w:hAnsi="Times New Roman" w:cs="Times New Roman"/>
          <w:b/>
          <w:sz w:val="24"/>
          <w:szCs w:val="24"/>
        </w:rPr>
      </w:pPr>
      <w:r w:rsidRPr="00A51130">
        <w:rPr>
          <w:rFonts w:ascii="Times New Roman" w:hAnsi="Times New Roman" w:cs="Times New Roman"/>
          <w:b/>
          <w:sz w:val="24"/>
          <w:szCs w:val="24"/>
        </w:rPr>
        <w:t>Introduction</w:t>
      </w:r>
    </w:p>
    <w:p w14:paraId="4C5903CC" w14:textId="28F42B94" w:rsidR="003657BC" w:rsidRPr="00A51130" w:rsidRDefault="003657BC"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 xml:space="preserve">Rapid infant weight gain is associated with increased </w:t>
      </w:r>
      <w:r w:rsidR="005819D4" w:rsidRPr="00A51130">
        <w:rPr>
          <w:rFonts w:ascii="Times New Roman" w:hAnsi="Times New Roman" w:cs="Times New Roman"/>
          <w:sz w:val="24"/>
          <w:szCs w:val="24"/>
        </w:rPr>
        <w:t>weight</w:t>
      </w:r>
      <w:r w:rsidRPr="00A51130">
        <w:rPr>
          <w:rFonts w:ascii="Times New Roman" w:hAnsi="Times New Roman" w:cs="Times New Roman"/>
          <w:sz w:val="24"/>
          <w:szCs w:val="24"/>
        </w:rPr>
        <w:t xml:space="preserve"> in later life</w:t>
      </w:r>
      <w:r w:rsidR="002D2735">
        <w:rPr>
          <w:rFonts w:ascii="Times New Roman" w:hAnsi="Times New Roman" w:cs="Times New Roman"/>
          <w:sz w:val="24"/>
          <w:szCs w:val="24"/>
        </w:rPr>
        <w:t>.</w:t>
      </w:r>
      <w:r w:rsidR="00AA05AD">
        <w:rPr>
          <w:rFonts w:ascii="Times New Roman" w:hAnsi="Times New Roman" w:cs="Times New Roman"/>
          <w:sz w:val="24"/>
          <w:szCs w:val="24"/>
        </w:rPr>
        <w:t xml:space="preserve"> </w:t>
      </w:r>
      <w:r w:rsidR="002D2735">
        <w:rPr>
          <w:rFonts w:ascii="Times New Roman" w:hAnsi="Times New Roman" w:cs="Times New Roman"/>
          <w:sz w:val="24"/>
          <w:szCs w:val="24"/>
        </w:rPr>
        <w:t>A</w:t>
      </w:r>
      <w:r w:rsidRPr="00A51130">
        <w:rPr>
          <w:rFonts w:ascii="Times New Roman" w:hAnsi="Times New Roman" w:cs="Times New Roman"/>
          <w:sz w:val="24"/>
          <w:szCs w:val="24"/>
        </w:rPr>
        <w:t xml:space="preserve"> recent meta-analysis observ</w:t>
      </w:r>
      <w:r w:rsidR="002D2735">
        <w:rPr>
          <w:rFonts w:ascii="Times New Roman" w:hAnsi="Times New Roman" w:cs="Times New Roman"/>
          <w:sz w:val="24"/>
          <w:szCs w:val="24"/>
        </w:rPr>
        <w:t>ed</w:t>
      </w:r>
      <w:r w:rsidRPr="00A51130">
        <w:rPr>
          <w:rFonts w:ascii="Times New Roman" w:hAnsi="Times New Roman" w:cs="Times New Roman"/>
          <w:sz w:val="24"/>
          <w:szCs w:val="24"/>
        </w:rPr>
        <w:t xml:space="preserve"> a four-fold increased </w:t>
      </w:r>
      <w:r w:rsidR="00F75EEE" w:rsidRPr="00A51130">
        <w:rPr>
          <w:rFonts w:ascii="Times New Roman" w:hAnsi="Times New Roman" w:cs="Times New Roman"/>
          <w:sz w:val="24"/>
          <w:szCs w:val="24"/>
        </w:rPr>
        <w:t xml:space="preserve">odds </w:t>
      </w:r>
      <w:r w:rsidRPr="00A51130">
        <w:rPr>
          <w:rFonts w:ascii="Times New Roman" w:hAnsi="Times New Roman" w:cs="Times New Roman"/>
          <w:sz w:val="24"/>
          <w:szCs w:val="24"/>
        </w:rPr>
        <w:t>of overweight/obesity</w:t>
      </w:r>
      <w:r w:rsidR="00671A60" w:rsidRPr="00A51130">
        <w:rPr>
          <w:rFonts w:ascii="Times New Roman" w:hAnsi="Times New Roman" w:cs="Times New Roman"/>
          <w:sz w:val="24"/>
          <w:szCs w:val="24"/>
        </w:rPr>
        <w:t xml:space="preserve"> (OR 4.16, 95% CI 3.26</w:t>
      </w:r>
      <w:r w:rsidR="00BB29C1" w:rsidRPr="00A51130">
        <w:rPr>
          <w:rFonts w:ascii="Times New Roman" w:hAnsi="Times New Roman" w:cs="Times New Roman"/>
          <w:sz w:val="24"/>
          <w:szCs w:val="24"/>
        </w:rPr>
        <w:t xml:space="preserve">, </w:t>
      </w:r>
      <w:r w:rsidR="00671A60" w:rsidRPr="00A51130">
        <w:rPr>
          <w:rFonts w:ascii="Times New Roman" w:hAnsi="Times New Roman" w:cs="Times New Roman"/>
          <w:sz w:val="24"/>
          <w:szCs w:val="24"/>
        </w:rPr>
        <w:t xml:space="preserve">5.32) </w:t>
      </w:r>
      <w:r w:rsidR="00F15631" w:rsidRPr="00A51130">
        <w:rPr>
          <w:rFonts w:ascii="Times New Roman" w:hAnsi="Times New Roman" w:cs="Times New Roman"/>
          <w:sz w:val="24"/>
          <w:szCs w:val="24"/>
        </w:rPr>
        <w:t>in childhood</w:t>
      </w:r>
      <w:r w:rsidRPr="00A51130">
        <w:rPr>
          <w:rFonts w:ascii="Times New Roman" w:hAnsi="Times New Roman" w:cs="Times New Roman"/>
          <w:sz w:val="24"/>
          <w:szCs w:val="24"/>
        </w:rPr>
        <w:t xml:space="preserve"> </w:t>
      </w:r>
      <w:r w:rsidR="001D1721" w:rsidRPr="00A51130">
        <w:rPr>
          <w:rFonts w:ascii="Times New Roman" w:hAnsi="Times New Roman" w:cs="Times New Roman"/>
          <w:sz w:val="24"/>
          <w:szCs w:val="24"/>
        </w:rPr>
        <w:t xml:space="preserve">in those </w:t>
      </w:r>
      <w:r w:rsidRPr="00A51130">
        <w:rPr>
          <w:rFonts w:ascii="Times New Roman" w:hAnsi="Times New Roman" w:cs="Times New Roman"/>
          <w:sz w:val="24"/>
          <w:szCs w:val="24"/>
        </w:rPr>
        <w:t xml:space="preserve">who </w:t>
      </w:r>
      <w:r w:rsidR="002D2735">
        <w:rPr>
          <w:rFonts w:ascii="Times New Roman" w:hAnsi="Times New Roman" w:cs="Times New Roman"/>
          <w:sz w:val="24"/>
          <w:szCs w:val="24"/>
        </w:rPr>
        <w:t>previously</w:t>
      </w:r>
      <w:r w:rsidR="002D2735" w:rsidRPr="00A51130">
        <w:rPr>
          <w:rFonts w:ascii="Times New Roman" w:hAnsi="Times New Roman" w:cs="Times New Roman"/>
          <w:sz w:val="24"/>
          <w:szCs w:val="24"/>
        </w:rPr>
        <w:t xml:space="preserve"> </w:t>
      </w:r>
      <w:r w:rsidRPr="00A51130">
        <w:rPr>
          <w:rFonts w:ascii="Times New Roman" w:hAnsi="Times New Roman" w:cs="Times New Roman"/>
          <w:sz w:val="24"/>
          <w:szCs w:val="24"/>
        </w:rPr>
        <w:t>demonstrated rapid infant weight gain</w:t>
      </w:r>
      <w:r w:rsidR="002D2735">
        <w:rPr>
          <w:rFonts w:ascii="Times New Roman" w:hAnsi="Times New Roman" w:cs="Times New Roman"/>
          <w:sz w:val="24"/>
          <w:szCs w:val="24"/>
        </w:rPr>
        <w:t xml:space="preserve"> </w:t>
      </w:r>
      <w:r w:rsidR="00FD4158"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{"citationItems":[{"id":"ITEM-1","itemData":{"DOI":"10.1111/obr.12632","ISSN":"14677881","PMID":"29052309","abstract":"The contribution of rapid weight gain (RWG) during infancy to later adiposity has received considerable investigation. The present systematic review and meta-analysis aimed to update the literature on association between RWG and subsequent adiposity outcomes. Electronic searches were undertaken in EMBASE, MEDLINE, psycINFO, PubMed and ScienceDirect. Studies that examined the associations between RWG (a change in weight z-scores &gt; 0.67) during infancy (from birth to age 2 years) and subsequent adiposity outcomes were included. Random effects meta-analysis was conducted to obtain the weighted-pooled estimates of the odds of overweight/obesity for those with RWG. Seventeen studies were eligible for inclusion with the majority of studies (15/17) being of high/acceptable quality and reporting positive associations between RWG during infancy and later adiposity outcomes. RWG in infancy was associated with overweight/obesity from childhood to adulthood (pooled odds ratio = 3.66, 95% confidence interval: 2.59-5.17, I2  &gt; 75%). Subgroup analyses revealed that RWG during infancy was associated with higher odds of overweight/obesity in childhood than in adulthood, and RWG from birth to 1 year was associated with higher odds of overweight/obesity than RWG from birth to 2 years. The present study supports that RWG during infancy is a significant predictor of adiposity in later life.","author":[{"dropping-particle":"","family":"Zheng","given":"M.","non-dropping-particle":"","parse-names":false,"suffix":""},{"dropping-particle":"","family":"Lamb","given":"K. E.","non-dropping-particle":"","parse-names":false,"suffix":""},{"dropping-particle":"","family":"Grimes","given":"C.","non-dropping-particle":"","parse-names":false,"suffix":""},{"dropping-particle":"","family":"Laws","given":"R.","non-dropping-particle":"","parse-names":false,"suffix":""},{"dropping-particle":"","family":"Bolton","given":"K.","non-dropping-particle":"","parse-names":false,"suffix":""},{"dropping-particle":"","family":"Ong","given":"K. K.","non-dropping-particle":"","parse-names":false,"suffix":""},{"dropping-particle":"","family":"Campbell","given":"K.","non-dropping-particle":"","parse-names":false,"suffix":""}],"container-title":"Obesity Reviews","id":"ITEM-1","issue":"3","issued":{"date-parts":[["2018","3"]]},"page":"321-332","title":"Rapid weight gain during infancy and subsequent adiposity: a systematic review and meta-analysis of evidence","type":"article-journal","volume":"19"},"uris":["http://www.mendeley.com/documents/?uuid=7ff46364-d324-3ba8-abc9-7b279a687290"]}],"mendeley":{"formattedCitation":"(Zheng et al. 2018)","plainTextFormattedCitation":"(Zheng et al. 2018)","previouslyFormattedCitation":"(Zheng et al. 2018)"},"properties":{"noteIndex":0},"schema":"https://github.com/citation-style-language/schema/raw/master/csl-citation.json"}</w:instrText>
      </w:r>
      <w:r w:rsidR="00FD4158"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(Zheng et al. 2018)</w:t>
      </w:r>
      <w:r w:rsidR="00FD4158" w:rsidRPr="00A51130">
        <w:rPr>
          <w:rFonts w:ascii="Times New Roman" w:hAnsi="Times New Roman" w:cs="Times New Roman"/>
          <w:sz w:val="24"/>
          <w:szCs w:val="24"/>
        </w:rPr>
        <w:fldChar w:fldCharType="end"/>
      </w:r>
      <w:r w:rsidR="005D596F" w:rsidRPr="00A51130">
        <w:rPr>
          <w:rFonts w:ascii="Times New Roman" w:hAnsi="Times New Roman" w:cs="Times New Roman"/>
          <w:sz w:val="24"/>
          <w:szCs w:val="24"/>
        </w:rPr>
        <w:t xml:space="preserve">. </w:t>
      </w:r>
      <w:r w:rsidR="008D1CC7" w:rsidRPr="00A51130">
        <w:rPr>
          <w:rFonts w:ascii="Times New Roman" w:hAnsi="Times New Roman" w:cs="Times New Roman"/>
          <w:sz w:val="24"/>
          <w:szCs w:val="24"/>
        </w:rPr>
        <w:t>Less is known about the relationship between infant weight gain and childhood cardiometabolic outcomes</w:t>
      </w:r>
      <w:r w:rsidR="002D2735">
        <w:rPr>
          <w:rFonts w:ascii="Times New Roman" w:hAnsi="Times New Roman" w:cs="Times New Roman"/>
          <w:sz w:val="24"/>
          <w:szCs w:val="24"/>
        </w:rPr>
        <w:t>.</w:t>
      </w:r>
      <w:r w:rsidR="008D1CC7" w:rsidRPr="00A51130">
        <w:rPr>
          <w:rFonts w:ascii="Times New Roman" w:hAnsi="Times New Roman" w:cs="Times New Roman"/>
          <w:sz w:val="24"/>
          <w:szCs w:val="24"/>
        </w:rPr>
        <w:t xml:space="preserve"> </w:t>
      </w:r>
      <w:r w:rsidR="002D2735">
        <w:rPr>
          <w:rFonts w:ascii="Times New Roman" w:hAnsi="Times New Roman" w:cs="Times New Roman"/>
          <w:sz w:val="24"/>
          <w:szCs w:val="24"/>
        </w:rPr>
        <w:t>A</w:t>
      </w:r>
      <w:r w:rsidR="009176EB" w:rsidRPr="00A51130">
        <w:rPr>
          <w:rFonts w:ascii="Times New Roman" w:hAnsi="Times New Roman" w:cs="Times New Roman"/>
          <w:sz w:val="24"/>
          <w:szCs w:val="24"/>
        </w:rPr>
        <w:t xml:space="preserve"> small number of studies have</w:t>
      </w:r>
      <w:r w:rsidR="002D2735">
        <w:rPr>
          <w:rFonts w:ascii="Times New Roman" w:hAnsi="Times New Roman" w:cs="Times New Roman"/>
          <w:sz w:val="24"/>
          <w:szCs w:val="24"/>
        </w:rPr>
        <w:t xml:space="preserve"> however,</w:t>
      </w:r>
      <w:r w:rsidR="009176EB" w:rsidRPr="00A51130">
        <w:rPr>
          <w:rFonts w:ascii="Times New Roman" w:hAnsi="Times New Roman" w:cs="Times New Roman"/>
          <w:sz w:val="24"/>
          <w:szCs w:val="24"/>
        </w:rPr>
        <w:t xml:space="preserve"> observed p</w:t>
      </w:r>
      <w:r w:rsidR="003210CB" w:rsidRPr="00A51130">
        <w:rPr>
          <w:rFonts w:ascii="Times New Roman" w:hAnsi="Times New Roman" w:cs="Times New Roman"/>
          <w:sz w:val="24"/>
          <w:szCs w:val="24"/>
        </w:rPr>
        <w:t>ositive a</w:t>
      </w:r>
      <w:r w:rsidRPr="00A51130">
        <w:rPr>
          <w:rFonts w:ascii="Times New Roman" w:hAnsi="Times New Roman" w:cs="Times New Roman"/>
          <w:sz w:val="24"/>
          <w:szCs w:val="24"/>
        </w:rPr>
        <w:t xml:space="preserve">ssociations between rapid infant </w:t>
      </w:r>
      <w:r w:rsidR="00C534A9" w:rsidRPr="00A51130">
        <w:rPr>
          <w:rFonts w:ascii="Times New Roman" w:hAnsi="Times New Roman" w:cs="Times New Roman"/>
          <w:sz w:val="24"/>
          <w:szCs w:val="24"/>
        </w:rPr>
        <w:t xml:space="preserve">weight gain </w:t>
      </w:r>
      <w:r w:rsidRPr="00A51130">
        <w:rPr>
          <w:rFonts w:ascii="Times New Roman" w:hAnsi="Times New Roman" w:cs="Times New Roman"/>
          <w:sz w:val="24"/>
          <w:szCs w:val="24"/>
        </w:rPr>
        <w:t>and blood pressure</w:t>
      </w:r>
      <w:r w:rsidR="003B2408"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{"citationItems":[{"id":"ITEM-1","itemData":{"ISSN":"0263-6352","PMID":"10930178","abstract":"OBJECTIVE To conduct a systematic review in order to (i) summarize the relationship between birthweight and blood pressure, following numerous publications in the last 3 years, (ii) assess whether other measures of size at birth are related to blood pressure, and (iii) study the role of postnatal catch-up growth in predicting blood pressure. DATA IDENTIFICATION All papers published between March 1996 and March 2000 that examined the relationship between birth weight and systolic blood pressure were identified and combined with the papers examined in a previous review. SUBJECTS More than 444,000 male and female subjects aged 0-84 years of all ages and races. RESULTS Eighty studies described the relationship of blood pressure with birth weight The majority of the studies in children, adolescents and adults reported that blood pressure fell with increasing birth weight, the size of the effect being approximately 2 mmHg/kg. Head circumference was the only other birth measurement to be most consistently associated with blood pressure, the magnitude of the association being a decrease in blood pressure by approximately 0.5 mmHg/cm. Skeletal and non-skeletal postnatal catch-up growth were positively associated with blood pressure, with the highest blood pressures occurring in individuals of low birth weight but high rates of growth subsequently. CONCLUSIONS Both birth weight and head circumference at birth are inversely related to systolic blood pressure. The relationship is present in adolescence but attenuated compared to both the pre- and post-adolescence periods. Accelerated postnatal growth is also associated with raised blood pressure.","author":[{"dropping-particle":"","family":"Huxley","given":"R R","non-dropping-particle":"","parse-names":false,"suffix":""},{"dropping-particle":"","family":"Shiell","given":"A W","non-dropping-particle":"","parse-names":false,"suffix":""},{"dropping-particle":"","family":"Law","given":"C M","non-dropping-particle":"","parse-names":false,"suffix":""}],"container-title":"Journal of hypertension","id":"ITEM-1","issue":"7","issued":{"date-parts":[["2000","7"]]},"page":"815-31","title":"The role of size at birth and postnatal catch-up growth in determining systolic blood pressure: a systematic review of the literature.","type":"article-journal","volume":"18"},"uris":["http://www.mendeley.com/documents/?uuid=7fb7ccbd-27da-38c0-883f-27b80fd9d978"]},{"id":"ITEM-2","itemData":{"DOI":"10.1016/j.jpeds.2007.05.010","ISSN":"1097-6833","PMID":"18035150","abstract":"OBJECTIVES Our aim was to determine the extent to which infant growth-in weight-for-length-from birth to 6 months is associated with systolic blood pressure (SBP) at 3 years and to determine whether this association varies with birth size. STUDY DESIGN In 530 children from the prospective cohort Project Viva, we measured birth length and 6-month weight and length with research standard instruments and SBP at age 3 years with a Dinamap automated recorder. We derived weight-for-length z-scores (WFL-z) and analyzed data with mixed effects regression models. RESULTS The mean (SD) WFL-z was 0.47 (0.75) at birth and 0.70 (0.96) at 6 months. Mean (SD) SBP at 3 years was 91.7 (9.4) mm Hg. After adjusting for confounding variables and birth WFL-z, child SBP was 1.0 mm Hg (95% CI 0.2, 1.8) higher for each z-score increment in 6-month WFL-z. The SBP of children in the lowest birth WFL-z quartile and the highest 6-month WFL-z quartile was 5.5 mm Hg (95% CI 2.6, 8.4) higher than that of children in the highest birth and lowest 6-month WFL-z quartiles. CONCLUSIONS More rapid increase in weight-for-length, a measure of adiposity, in the first 6 months of life is associated with higher early childhood SBP, particularly in children who are thin at birth.","author":[{"dropping-particle":"","family":"Belfort","given":"Mandy B","non-dropping-particle":"","parse-names":false,"suffix":""},{"dropping-particle":"","family":"Rifas-Shiman","given":"Sheryl L","non-dropping-particle":"","parse-names":false,"suffix":""},{"dropping-particle":"","family":"Rich-Edwards","given":"Janet","non-dropping-particle":"","parse-names":false,"suffix":""},{"dropping-particle":"","family":"Kleinman","given":"Ken P","non-dropping-particle":"","parse-names":false,"suffix":""},{"dropping-particle":"","family":"Gillman","given":"Matthew W","non-dropping-particle":"","parse-names":false,"suffix":""}],"container-title":"The Journal of pediatrics","id":"ITEM-2","issue":"6","issued":{"date-parts":[["2007","12"]]},"page":"670-4","publisher":"NIH Public Access","title":"Size at birth, infant growth, and blood pressure at three years of age.","type":"article-journal","volume":"151"},"uris":["http://www.mendeley.com/documents/?uuid=617a24dc-a36f-3ed4-937a-5ef5045cabc9"]},{"id":"ITEM-3","itemData":{"DOI":"10.1161/CIRCULATIONAHA.106.617811","ISSN":"0009-7322","PMID":"17179023","abstract":"BACKGROUND Being born small for gestational age is associated with later risk factors for cardiovascular disease, such as high blood pressure. Promotion of postnatal growth has been proposed to ameliorate these effects. There is evidence in animals and infants born prematurely, however, that promotion of growth by increased postnatal nutrition increases rather than decreases later cardiovascular risk. We report the long-term impact of growth promotion in term infants born small for gestational age (birth weight &lt;10th percentile). METHODS AND RESULTS Blood pressure was measured at 6 to 8 years in 153 of 299 (51%) of a cohort of children born small for gestational age and randomly assigned at birth to receive either a standard or a nutrient-enriched formula. The enriched formula contained 28% more protein than standard formula and promoted weight gain. Diastolic and mean (but not systolic) blood pressure was significantly lower in children assigned to standard compared with nutrient-enriched formula (unadjusted mean difference for diastolic blood pressure, -3.2 mm Hg; 95% CI, -5.8 to -0.5; P=0.02) independent of potential confounding factors (adjusted difference, -3.5 mm Hg; P=0.01). In observational analyses, faster weight gain in infancy was associated with higher later blood pressure. CONCLUSIONS In the present randomized study targeted to investigate the effect of early nutrition on long-term cardiovascular health, we found that a nutrient-enriched diet increased later blood pressure. These findings support an adverse effect of relative \"overnutrition\" in infancy on long-term cardiovascular disease risk, have implications for the early origins of cardiovascular disease hypothesis, and do not support the promotion of faster weight gain in infants born small for gestational age.","author":[{"dropping-particle":"","family":"Singhal","given":"Atul","non-dropping-particle":"","parse-names":false,"suffix":""},{"dropping-particle":"","family":"Cole","given":"Tim J.","non-dropping-particle":"","parse-names":false,"suffix":""},{"dropping-particle":"","family":"Fewtrell","given":"Mary","non-dropping-particle":"","parse-names":false,"suffix":""},{"dropping-particle":"","family":"Kennedy","given":"Kathy","non-dropping-particle":"","parse-names":false,"suffix":""},{"dropping-particle":"","family":"Stephenson","given":"Terence","non-dropping-particle":"","parse-names":false,"suffix":""},{"dropping-particle":"","family":"Elias-Jones","given":"Alun","non-dropping-particle":"","parse-names":false,"suffix":""},{"dropping-particle":"","family":"Lucas","given":"Alan","non-dropping-particle":"","parse-names":false,"suffix":""}],"container-title":"Circulation","id":"ITEM-3","issue":"2","issued":{"date-parts":[["2007","1","16"]]},"page":"213-220","title":"Promotion of Faster Weight Gain in Infants Born Small for Gestational Age","type":"article-journal","volume":"115"},"uris":["http://www.mendeley.com/documents/?uuid=fabde319-3580-39ef-bfb3-7955fb6f9080"]}],"mendeley":{"formattedCitation":"(Huxley et al. 2000; Singhal et al. 2007; Belfort et al. 2007)","plainTextFormattedCitation":"(Huxley et al. 2000; Singhal et al. 2007; Belfort et al. 2007)","previouslyFormattedCitation":"(Huxley et al. 2000; Singhal et al. 2007; Belfort et al. 2007)"},"properties":{"noteIndex":0},"schema":"https://github.com/citation-style-language/schema/raw/master/csl-citation.json"}</w:instrText>
      </w:r>
      <w:r w:rsidR="003B2408"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(Huxley et al. 2000; Singhal et al. 2007; Belfort et al. 2007)</w:t>
      </w:r>
      <w:r w:rsidR="003B2408" w:rsidRPr="00A51130">
        <w:rPr>
          <w:rFonts w:ascii="Times New Roman" w:hAnsi="Times New Roman" w:cs="Times New Roman"/>
          <w:sz w:val="24"/>
          <w:szCs w:val="24"/>
        </w:rPr>
        <w:fldChar w:fldCharType="end"/>
      </w:r>
      <w:r w:rsidRPr="00A51130">
        <w:rPr>
          <w:rFonts w:ascii="Times New Roman" w:hAnsi="Times New Roman" w:cs="Times New Roman"/>
          <w:sz w:val="24"/>
          <w:szCs w:val="24"/>
        </w:rPr>
        <w:t>, glucose and insulin metabolism</w:t>
      </w:r>
      <w:r w:rsidR="00B946F7"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{"citationItems":[{"id":"ITEM-1","itemData":{"DOI":"10.1007/s001250051046","ISSN":"0012-186X","PMID":"9794102","abstract":"A number of studies have shown that glucose tolerance falls with decreasing birth weight and that people with low birth weight and high body mass index (BMI) as adults are those at greatest risk of developing Type II (non-insulin-dependent) diabetes mellitus. No such studies have been carried out in African populations. Therefore we investigated the relation between glucose tolerance and birth weight in a group of 7-year-old black South Africans for whom longitudinal anthropometric data were available. Oral glucose tolerance tests (OGTTs) were carried out on 152 subjects and inverse correlations were found between birth weight and the total amount of insulin secreted during the first 30 min (r = -0.19, p = 0.04) and last 90 min (r = -0.19, p = 0.04) of the oral glucose tolerance test and also between birth weight and the 30 min glucose concentrations (r = -0.20, p = 0.02). Children born with low birth weights but who had high weights at 7 years had higher insulin concentrations and indices of obesity compared with those with low birth weights and low weights at 7 years. There were also positive correlations between weight velocity and BMI (r = 0.24, p = 0.02) and weight velocity and insulin resistance (r = 0.18, p = 0.04) as measured using homeostasis model assessment (HOMA). Thus, low birth weight in conjunction with rapid childhood gains in weight especially as subcutaneous fat, produces poor glucose tolerance in 7-year-old children and can make them susceptible to the development of Type II diabetes later in life. A number of studies have shown that glucose tolerance declines with decreasing birth weight and that people with low birth weight and high body mass index (BMI) as adults are at the highest risk of developing type II (non-insulin-dependent) diabetes mellitus. The authors explored the relation between glucose tolerance and birth weight in a group of 7-year old Black South Africans for whom longitudinal anthropometric data were available. Oral glucose tolerance tests (OGTTs) were conducted on 152 subjects and inverse correlations were found between birth weight and the total amount of insulin secreted during the first 30 minutes and last 90 minutes of the oral glucose tolerance test, and also between birth weight and the 30 minute glucose concentrations. Children born with low birth weights, but who had high weights at age 7 years had higher insulin concentrations and indices of obesity compared with those with low birth weights and low weigh…","author":[{"dropping-particle":"","family":"Crowther","given":"N. J.","non-dropping-particle":"","parse-names":false,"suffix":""},{"dropping-particle":"","family":"Cameron","given":"N.","non-dropping-particle":"","parse-names":false,"suffix":""},{"dropping-particle":"","family":"Trusler","given":"J.","non-dropping-particle":"","parse-names":false,"suffix":""},{"dropping-particle":"","family":"Gray","given":"I. P.","non-dropping-particle":"","parse-names":false,"suffix":""}],"container-title":"Diabetologia","id":"ITEM-1","issue":"10","issued":{"date-parts":[["1998","9","18"]]},"page":"1163-1167","title":"Association between poor glucose tolerance and rapid post natal weight gain in seven-year-old children","type":"article-journal","volume":"41"},"uris":["http://www.mendeley.com/documents/?uuid=375b1499-d5af-33c3-9733-421fa37109b4"]},{"id":"ITEM-2","itemData":{"DOI":"10.1007/s00125-004-1405-8","ISSN":"0012-186X","PMID":"15156313","abstract":"AIMS/HYPOTHESIS Type 2 diabetes risk is associated with low birth weight, rapid weight gain during childhood, and shorter stature and lower circulating IGF-I levels in adults. The largest variations in growth rates occur during the first postnatal years. We hypothesised that early postnatal variations in height and weight gain and IGF-I levels may be associated with risk markers for adult disease. METHODS We measured the fasting insulin sensitivity (Homeostasis model) and insulin secretion post-oral glucose (insulinogenic index 0-30 min) in 851 normal 8-year-old children from a prospective birth cohort. We examined associations between size at birth, postnatal weight gain and circulating IGF-I levels with insulin sensitivity and secretion at 8 years of age. RESULTS Fasting insulin sensitivity at 8 years was closely related to current BMI (r= -0.33, p&lt;0.0005). Lower insulin sensitivity and higher BMI and waist circumference were all predicted by greater weight gain between birth to 3 years of age (all p&lt;0.0005); lower birth weight was associated with reduced insulin sensitivity only in the highest current BMI tertile ( r=0.17, p=0.006). In contrast, lower insulin secretion was related to smaller size at birth ( p=0.01), independent of postnatal weight gain and insulin sensitivity. Lower insulin secretion was also independently related to shorter stature at 8 years of age relative to parental height ( p=0.047) and with lower plasma IGF-I levels at 5 years of age ( n=252, p=0.004). CONCLUSIONS/INTERPRETATION Associations between lower birth weight and insulin resistance may be dependent on rapid weight gain during the early postnatal years. However, irrespective of postnatal weight gain, smaller size at birth, lower IGF-I levels and lower childhood height predicted reduced compensatory insulin secretion.","author":[{"dropping-particle":"","family":"Ong","given":"K.K.","non-dropping-particle":"","parse-names":false,"suffix":""},{"dropping-particle":"","family":"Petry","given":"C.J.","non-dropping-particle":"","parse-names":false,"suffix":""},{"dropping-particle":"","family":"Emmett","given":"P.M.","non-dropping-particle":"","parse-names":false,"suffix":""},{"dropping-particle":"","family":"Sandhu","given":"M.S.","non-dropping-particle":"","parse-names":false,"suffix":""},{"dropping-particle":"","family":"Kiess","given":"W.","non-dropping-particle":"","parse-names":false,"suffix":""},{"dropping-particle":"","family":"Hales","given":"C.N.","non-dropping-particle":"","parse-names":false,"suffix":""},{"dropping-particle":"","family":"Ness","given":"A.R.","non-dropping-particle":"","parse-names":false,"suffix":""},{"dropping-particle":"","family":"Dunger","given":"D.B.","non-dropping-particle":"","parse-names":false,"suffix":""},{"dropping-particle":"","family":"ALSPAC study team","given":"","non-dropping-particle":"","parse-names":false,"suffix":""}],"container-title":"Diabetologia","id":"ITEM-2","issue":"6","issued":{"date-parts":[["2004","6","20"]]},"page":"1064-70","title":"Insulin sensitivity and secretion in normal children related to size at birth, postnatal growth, and plasma insulin-like growth factor-I levels","type":"article-journal","volume":"47"},"uris":["http://www.mendeley.com/documents/?uuid=aea3ce36-1a98-3172-b70b-8a93920581ae"]}],"mendeley":{"formattedCitation":"(Crowther et al. 1998; Ong et al. 2004)","plainTextFormattedCitation":"(Crowther et al. 1998; Ong et al. 2004)","previouslyFormattedCitation":"(Crowther et al. 1998; Ong et al. 2004)"},"properties":{"noteIndex":0},"schema":"https://github.com/citation-style-language/schema/raw/master/csl-citation.json"}</w:instrText>
      </w:r>
      <w:r w:rsidR="00B946F7"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(Crowther et al. 1998; Ong et al. 2004)</w:t>
      </w:r>
      <w:r w:rsidR="00B946F7" w:rsidRPr="00A51130">
        <w:rPr>
          <w:rFonts w:ascii="Times New Roman" w:hAnsi="Times New Roman" w:cs="Times New Roman"/>
          <w:sz w:val="24"/>
          <w:szCs w:val="24"/>
        </w:rPr>
        <w:fldChar w:fldCharType="end"/>
      </w:r>
      <w:r w:rsidRPr="00A51130">
        <w:rPr>
          <w:rFonts w:ascii="Times New Roman" w:hAnsi="Times New Roman" w:cs="Times New Roman"/>
          <w:sz w:val="24"/>
          <w:szCs w:val="24"/>
        </w:rPr>
        <w:t xml:space="preserve">, </w:t>
      </w:r>
      <w:r w:rsidR="00080ECF">
        <w:rPr>
          <w:rFonts w:ascii="Times New Roman" w:hAnsi="Times New Roman" w:cs="Times New Roman"/>
          <w:sz w:val="24"/>
          <w:szCs w:val="24"/>
        </w:rPr>
        <w:t>total-</w:t>
      </w:r>
      <w:r w:rsidR="00465CC0">
        <w:rPr>
          <w:rFonts w:ascii="Times New Roman" w:hAnsi="Times New Roman" w:cs="Times New Roman"/>
          <w:sz w:val="24"/>
          <w:szCs w:val="24"/>
        </w:rPr>
        <w:t>to-</w:t>
      </w:r>
      <w:r w:rsidRPr="00A51130">
        <w:rPr>
          <w:rFonts w:ascii="Times New Roman" w:hAnsi="Times New Roman" w:cs="Times New Roman"/>
          <w:sz w:val="24"/>
          <w:szCs w:val="24"/>
        </w:rPr>
        <w:t>high</w:t>
      </w:r>
      <w:r w:rsidR="00465CC0">
        <w:rPr>
          <w:rFonts w:ascii="Times New Roman" w:hAnsi="Times New Roman" w:cs="Times New Roman"/>
          <w:sz w:val="24"/>
          <w:szCs w:val="24"/>
        </w:rPr>
        <w:t xml:space="preserve"> density lipoprotein cholesterol (HDL) ratio</w:t>
      </w:r>
      <w:r w:rsidR="00465CC0" w:rsidRPr="00A51130" w:rsidDel="00465CC0">
        <w:rPr>
          <w:rFonts w:ascii="Times New Roman" w:hAnsi="Times New Roman" w:cs="Times New Roman"/>
          <w:sz w:val="24"/>
          <w:szCs w:val="24"/>
        </w:rPr>
        <w:t xml:space="preserve"> </w:t>
      </w:r>
      <w:r w:rsidR="002E355B"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{"citationItems":[{"id":"ITEM-1","itemData":{"DOI":"10.1371/journal.pone.0025533","ISSN":"1932-6203","PMID":"21980486","abstract":"BACKGROUND Adult cholesterol concentrations might be influenced by early-life factors, such as breastfeeding and birth weight, referred to as \"early programming\". How such early factors exert their influence over the life course is still poorly understood. Evidence from studies in children and adolescents is scarce and conflicting. We investigated the influence of 6 different perinatal risk factors on childhood total and HDL cholesterol concentrations and total-to-HDL cholesterol ratio measured at 8 years of age, and additionally we studied the role of the child's current Body Mass Index (BMI). METHODS Anthropometric measures and blood plasma samples were collected during a medical examination in 751 8-year-old children participating in the prospective Prevention and Incidence of Asthma and Mite Allergy (PIAMA) birth cohort study. Linear and logistic regression were performed to estimate associations of total and HDL cholesterol concentrations with breastfeeding, birth weight, infant weight gain, maternal overweight before pregnancy, gestational diabetes and maternal smoking during pregnancy, taking into account the child's current BMI. RESULTS Linear regressions showed an association between total-to-HDL cholesterol ratio and maternal pre-pregnancy overweight (β = 0.15, Confidence Interval 95% (CI): 0.02, 0.28), rapid infant weight gain (β = 0.13, 95%CI: 0.01, 0.26), and maternal smoking during pregnancy (β = 0.14, 95%CI: 0.00, 0.29). These associations were partly mediated by the child's BMI. CONCLUSION Total-to-HDL cholesterol ratio in 8-year-old children was positively associated with maternal pre-pregnancy overweight, maternal smoking during pregnancy and rapid infant weight gain.","author":[{"dropping-particle":"","family":"Bekkers","given":"Marga B M","non-dropping-particle":"","parse-names":false,"suffix":""},{"dropping-particle":"","family":"Brunekreef","given":"Bert","non-dropping-particle":"","parse-names":false,"suffix":""},{"dropping-particle":"","family":"Smit","given":"Henriëtte A","non-dropping-particle":"","parse-names":false,"suffix":""},{"dropping-particle":"","family":"Kerkhof","given":"Marjan","non-dropping-particle":"","parse-names":false,"suffix":""},{"dropping-particle":"","family":"Koppelman","given":"Gerard H","non-dropping-particle":"","parse-names":false,"suffix":""},{"dropping-particle":"","family":"Oldenwening","given":"Marieke","non-dropping-particle":"","parse-names":false,"suffix":""},{"dropping-particle":"","family":"Wijga","given":"Alet H","non-dropping-particle":"","parse-names":false,"suffix":""}],"container-title":"PloS one","id":"ITEM-1","issue":"9","issued":{"date-parts":[["2011"]]},"page":"e25533","publisher":"Public Library of Science","title":"Early-life determinants of total and HDL cholesterol concentrations in 8-year-old children; the PIAMA birth cohort study.","type":"article-journal","volume":"6"},"uris":["http://www.mendeley.com/documents/?uuid=66fa5e1a-d825-3dcb-92ca-59ddc5ff9062"]}],"mendeley":{"formattedCitation":"(Bekkers et al. 2011)","plainTextFormattedCitation":"(Bekkers et al. 2011)","previouslyFormattedCitation":"(Bekkers et al. 2011)"},"properties":{"noteIndex":0},"schema":"https://github.com/citation-style-language/schema/raw/master/csl-citation.json"}</w:instrText>
      </w:r>
      <w:r w:rsidR="002E355B"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(Bekkers et al. 2011)</w:t>
      </w:r>
      <w:r w:rsidR="002E355B" w:rsidRPr="00A51130">
        <w:rPr>
          <w:rFonts w:ascii="Times New Roman" w:hAnsi="Times New Roman" w:cs="Times New Roman"/>
          <w:sz w:val="24"/>
          <w:szCs w:val="24"/>
        </w:rPr>
        <w:fldChar w:fldCharType="end"/>
      </w:r>
      <w:r w:rsidR="003210CB" w:rsidRPr="00A51130">
        <w:rPr>
          <w:rFonts w:ascii="Times New Roman" w:hAnsi="Times New Roman" w:cs="Times New Roman"/>
          <w:sz w:val="24"/>
          <w:szCs w:val="24"/>
        </w:rPr>
        <w:t>,</w:t>
      </w:r>
      <w:r w:rsidRPr="00A51130">
        <w:rPr>
          <w:rFonts w:ascii="Times New Roman" w:hAnsi="Times New Roman" w:cs="Times New Roman"/>
          <w:sz w:val="24"/>
          <w:szCs w:val="24"/>
        </w:rPr>
        <w:t xml:space="preserve"> and triglycerides</w:t>
      </w:r>
      <w:r w:rsidR="00C86DF8"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{"citationItems":[{"id":"ITEM-1","itemData":{"DOI":"10.1210/jc.2002-030031","ISSN":"0021-972X","PMID":"12915649","abstract":"Strong associations between low birth weight and insulin resistance have been described. However, most of these studies have been retrospective. We aimed to determine whether infants born small for gestational age (SGA: birth weight &lt;5th percentile for gestational age) have decreased insulin sensitivity, compared with appropriate for gestational age (AGA: birth weight &gt;10th percentile) at 1 yr of age. We studied blood lipids, fasting insulin levels, other markers of insulin sensitivity, and insulin secretion during an iv glucose tolerance test in a cohort of 85 SGA and 23 AGA 1-yr-old infants. In addition, SGA infants were stratified according to catch-up growth (CUG) in weight (WCUG) or length (LCUG) during the first year of life. At 1 yr, SGA infants had a clear tendency to higher triglycerides. Fasting insulin was significantly higher in SGA infants with WCUG, compared with those who did not catch up and AGA infants (mean +/- SEM, 32.6 +/- 4.6 vs. 14.9 +/- 2.3 vs. 21.4 +/- 3.3 pM, respectively; P &lt; 0.05). Length increment (in SD score) was the principal determinant of postload insulin secretion (R(2) = 0.1, P &lt; 0.01). We conclude that insulin secretion and sensitivity are closely linked to patterns of rapid WCUG and LCUG during early postnatal life. Fasting insulin sensitivity is more related to WCUG and current body mass index, whereas insulin secretion seems to be directly related to LCUG.","author":[{"dropping-particle":"","family":"Soto","given":"Néstor","non-dropping-particle":"","parse-names":false,"suffix":""},{"dropping-particle":"","family":"Bazaes","given":"Rodrigo A.","non-dropping-particle":"","parse-names":false,"suffix":""},{"dropping-particle":"","family":"Peña","given":"Verónica","non-dropping-particle":"","parse-names":false,"suffix":""},{"dropping-particle":"","family":"Salazar","given":"Teresa","non-dropping-particle":"","parse-names":false,"suffix":""},{"dropping-particle":"","family":"Ávila","given":"Alejandra","non-dropping-particle":"","parse-names":false,"suffix":""},{"dropping-particle":"","family":"Iñiguez","given":"Germán","non-dropping-particle":"","parse-names":false,"suffix":""},{"dropping-particle":"","family":"Ong","given":"Ken K.","non-dropping-particle":"","parse-names":false,"suffix":""},{"dropping-particle":"","family":"Dunger","given":"David B.","non-dropping-particle":"","parse-names":false,"suffix":""},{"dropping-particle":"","family":"Mericq","given":"M. Verónica","non-dropping-particle":"","parse-names":false,"suffix":""}],"container-title":"The Journal of Clinical Endocrinology &amp; Metabolism","id":"ITEM-1","issue":"8","issued":{"date-parts":[["2003","8"]]},"page":"3645-3650","title":"Insulin Sensitivity and Secretion Are Related to Catch-Up Growth in Small-for-Gestational-Age Infants at Age 1 Year: Results from a Prospective Cohort","type":"article-journal","volume":"88"},"uris":["http://www.mendeley.com/documents/?uuid=6118d5ec-9d8f-3eac-980d-185e96e38850"]}],"mendeley":{"formattedCitation":"(Soto et al. 2003)","plainTextFormattedCitation":"(Soto et al. 2003)","previouslyFormattedCitation":"(Soto et al. 2003)"},"properties":{"noteIndex":0},"schema":"https://github.com/citation-style-language/schema/raw/master/csl-citation.json"}</w:instrText>
      </w:r>
      <w:r w:rsidR="00C86DF8"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(Soto et al. 2003)</w:t>
      </w:r>
      <w:r w:rsidR="00C86DF8" w:rsidRPr="00A51130">
        <w:rPr>
          <w:rFonts w:ascii="Times New Roman" w:hAnsi="Times New Roman" w:cs="Times New Roman"/>
          <w:sz w:val="24"/>
          <w:szCs w:val="24"/>
        </w:rPr>
        <w:fldChar w:fldCharType="end"/>
      </w:r>
      <w:r w:rsidRPr="00A51130">
        <w:rPr>
          <w:rFonts w:ascii="Times New Roman" w:hAnsi="Times New Roman" w:cs="Times New Roman"/>
          <w:sz w:val="24"/>
          <w:szCs w:val="24"/>
        </w:rPr>
        <w:t>.</w:t>
      </w:r>
    </w:p>
    <w:p w14:paraId="1899E0AA" w14:textId="2A6570EF" w:rsidR="00125D5B" w:rsidRPr="00A51130" w:rsidRDefault="00A13CB0"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w:t>
      </w:r>
      <w:r w:rsidR="00581E29" w:rsidRPr="00A51130">
        <w:rPr>
          <w:rFonts w:ascii="Times New Roman" w:hAnsi="Times New Roman" w:cs="Times New Roman"/>
          <w:sz w:val="24"/>
          <w:szCs w:val="24"/>
        </w:rPr>
        <w:t>Catch-up growth</w:t>
      </w:r>
      <w:r w:rsidRPr="00A51130">
        <w:rPr>
          <w:rFonts w:ascii="Times New Roman" w:hAnsi="Times New Roman" w:cs="Times New Roman"/>
          <w:sz w:val="24"/>
          <w:szCs w:val="24"/>
        </w:rPr>
        <w:t>”</w:t>
      </w:r>
      <w:r w:rsidR="00581E29" w:rsidRPr="00A51130">
        <w:rPr>
          <w:rFonts w:ascii="Times New Roman" w:hAnsi="Times New Roman" w:cs="Times New Roman"/>
          <w:sz w:val="24"/>
          <w:szCs w:val="24"/>
        </w:rPr>
        <w:t xml:space="preserve"> </w:t>
      </w:r>
      <w:r w:rsidR="007708D1" w:rsidRPr="00A51130">
        <w:rPr>
          <w:rFonts w:ascii="Times New Roman" w:hAnsi="Times New Roman" w:cs="Times New Roman"/>
          <w:sz w:val="24"/>
          <w:szCs w:val="24"/>
        </w:rPr>
        <w:t>during infancy</w:t>
      </w:r>
      <w:r w:rsidR="00BF1E9E" w:rsidRPr="00A51130">
        <w:rPr>
          <w:rFonts w:ascii="Times New Roman" w:hAnsi="Times New Roman" w:cs="Times New Roman"/>
          <w:sz w:val="24"/>
          <w:szCs w:val="24"/>
        </w:rPr>
        <w:t xml:space="preserve"> </w:t>
      </w:r>
      <w:r w:rsidR="00237FF5" w:rsidRPr="00A51130">
        <w:rPr>
          <w:rFonts w:ascii="Times New Roman" w:hAnsi="Times New Roman" w:cs="Times New Roman"/>
          <w:sz w:val="24"/>
          <w:szCs w:val="24"/>
        </w:rPr>
        <w:t>has historically been</w:t>
      </w:r>
      <w:r w:rsidR="00AA182C" w:rsidRPr="00A51130">
        <w:rPr>
          <w:rFonts w:ascii="Times New Roman" w:hAnsi="Times New Roman" w:cs="Times New Roman"/>
          <w:sz w:val="24"/>
          <w:szCs w:val="24"/>
        </w:rPr>
        <w:t xml:space="preserve"> </w:t>
      </w:r>
      <w:r w:rsidR="0037702A">
        <w:rPr>
          <w:rFonts w:ascii="Times New Roman" w:hAnsi="Times New Roman" w:cs="Times New Roman"/>
          <w:sz w:val="24"/>
          <w:szCs w:val="24"/>
        </w:rPr>
        <w:t>determined</w:t>
      </w:r>
      <w:r w:rsidR="0037702A" w:rsidRPr="00A51130">
        <w:rPr>
          <w:rFonts w:ascii="Times New Roman" w:hAnsi="Times New Roman" w:cs="Times New Roman"/>
          <w:sz w:val="24"/>
          <w:szCs w:val="24"/>
        </w:rPr>
        <w:t xml:space="preserve"> </w:t>
      </w:r>
      <w:r w:rsidR="00AA182C" w:rsidRPr="00A51130">
        <w:rPr>
          <w:rFonts w:ascii="Times New Roman" w:hAnsi="Times New Roman" w:cs="Times New Roman"/>
          <w:sz w:val="24"/>
          <w:szCs w:val="24"/>
        </w:rPr>
        <w:t>based on linear growth</w:t>
      </w:r>
      <w:r w:rsidR="002D2735">
        <w:rPr>
          <w:rFonts w:ascii="Times New Roman" w:hAnsi="Times New Roman" w:cs="Times New Roman"/>
          <w:sz w:val="24"/>
          <w:szCs w:val="24"/>
        </w:rPr>
        <w:t>.</w:t>
      </w:r>
      <w:r w:rsidR="00585EF4">
        <w:rPr>
          <w:rFonts w:ascii="Times New Roman" w:hAnsi="Times New Roman" w:cs="Times New Roman"/>
          <w:sz w:val="24"/>
          <w:szCs w:val="24"/>
        </w:rPr>
        <w:t xml:space="preserve"> </w:t>
      </w:r>
      <w:r w:rsidR="002D2735">
        <w:rPr>
          <w:rFonts w:ascii="Times New Roman" w:hAnsi="Times New Roman" w:cs="Times New Roman"/>
          <w:sz w:val="24"/>
          <w:szCs w:val="24"/>
        </w:rPr>
        <w:t xml:space="preserve">It has been </w:t>
      </w:r>
      <w:r w:rsidR="00237FF5" w:rsidRPr="00A51130">
        <w:rPr>
          <w:rFonts w:ascii="Times New Roman" w:hAnsi="Times New Roman" w:cs="Times New Roman"/>
          <w:sz w:val="24"/>
          <w:szCs w:val="24"/>
        </w:rPr>
        <w:t xml:space="preserve">considered a </w:t>
      </w:r>
      <w:r w:rsidR="00C537E9" w:rsidRPr="00A51130">
        <w:rPr>
          <w:rFonts w:ascii="Times New Roman" w:hAnsi="Times New Roman" w:cs="Times New Roman"/>
          <w:sz w:val="24"/>
          <w:szCs w:val="24"/>
        </w:rPr>
        <w:t xml:space="preserve">normal response to </w:t>
      </w:r>
      <w:r w:rsidR="00CD2B37" w:rsidRPr="00A51130">
        <w:rPr>
          <w:rFonts w:ascii="Times New Roman" w:hAnsi="Times New Roman" w:cs="Times New Roman"/>
          <w:sz w:val="24"/>
          <w:szCs w:val="24"/>
        </w:rPr>
        <w:t>fetal</w:t>
      </w:r>
      <w:r w:rsidR="00431CA7" w:rsidRPr="00A51130">
        <w:rPr>
          <w:rFonts w:ascii="Times New Roman" w:hAnsi="Times New Roman" w:cs="Times New Roman"/>
          <w:sz w:val="24"/>
          <w:szCs w:val="24"/>
        </w:rPr>
        <w:t xml:space="preserve"> </w:t>
      </w:r>
      <w:r w:rsidR="00C537E9" w:rsidRPr="00A51130">
        <w:rPr>
          <w:rFonts w:ascii="Times New Roman" w:hAnsi="Times New Roman" w:cs="Times New Roman"/>
          <w:sz w:val="24"/>
          <w:szCs w:val="24"/>
        </w:rPr>
        <w:t>constraint in uter</w:t>
      </w:r>
      <w:r w:rsidR="006B378D" w:rsidRPr="00A51130">
        <w:rPr>
          <w:rFonts w:ascii="Times New Roman" w:hAnsi="Times New Roman" w:cs="Times New Roman"/>
          <w:sz w:val="24"/>
          <w:szCs w:val="24"/>
        </w:rPr>
        <w:t>o</w:t>
      </w:r>
      <w:r w:rsidR="008D209B" w:rsidRPr="00A51130">
        <w:rPr>
          <w:rFonts w:ascii="Times New Roman" w:hAnsi="Times New Roman" w:cs="Times New Roman"/>
          <w:sz w:val="24"/>
          <w:szCs w:val="24"/>
        </w:rPr>
        <w:t xml:space="preserve"> and part of the </w:t>
      </w:r>
      <w:r w:rsidR="002F27D9" w:rsidRPr="00A51130">
        <w:rPr>
          <w:rFonts w:ascii="Times New Roman" w:hAnsi="Times New Roman" w:cs="Times New Roman"/>
          <w:sz w:val="24"/>
          <w:szCs w:val="24"/>
        </w:rPr>
        <w:t xml:space="preserve">natural growth re-assortment that occurs in the first </w:t>
      </w:r>
      <w:r w:rsidR="00673ADD" w:rsidRPr="00A51130">
        <w:rPr>
          <w:rFonts w:ascii="Times New Roman" w:hAnsi="Times New Roman" w:cs="Times New Roman"/>
          <w:sz w:val="24"/>
          <w:szCs w:val="24"/>
        </w:rPr>
        <w:t>1-2</w:t>
      </w:r>
      <w:r w:rsidR="00021578" w:rsidRPr="00A51130">
        <w:rPr>
          <w:rFonts w:ascii="Times New Roman" w:hAnsi="Times New Roman" w:cs="Times New Roman"/>
          <w:sz w:val="24"/>
          <w:szCs w:val="24"/>
        </w:rPr>
        <w:t xml:space="preserve"> years of life. </w:t>
      </w:r>
      <w:r w:rsidR="00690662" w:rsidRPr="00A51130">
        <w:rPr>
          <w:rFonts w:ascii="Times New Roman" w:hAnsi="Times New Roman" w:cs="Times New Roman"/>
          <w:sz w:val="24"/>
          <w:szCs w:val="24"/>
        </w:rPr>
        <w:t>For example</w:t>
      </w:r>
      <w:r w:rsidR="000C6D15" w:rsidRPr="00A51130">
        <w:rPr>
          <w:rFonts w:ascii="Times New Roman" w:hAnsi="Times New Roman" w:cs="Times New Roman"/>
          <w:sz w:val="24"/>
          <w:szCs w:val="24"/>
        </w:rPr>
        <w:t>,</w:t>
      </w:r>
      <w:r w:rsidR="00690662" w:rsidRPr="00A51130">
        <w:rPr>
          <w:rFonts w:ascii="Times New Roman" w:hAnsi="Times New Roman" w:cs="Times New Roman"/>
          <w:sz w:val="24"/>
          <w:szCs w:val="24"/>
        </w:rPr>
        <w:t xml:space="preserve"> </w:t>
      </w:r>
      <w:r w:rsidR="00910646" w:rsidRPr="00A51130">
        <w:rPr>
          <w:rFonts w:ascii="Times New Roman" w:hAnsi="Times New Roman" w:cs="Times New Roman"/>
          <w:sz w:val="24"/>
          <w:szCs w:val="24"/>
        </w:rPr>
        <w:t xml:space="preserve">in the first 13 months of life, </w:t>
      </w:r>
      <w:r w:rsidR="00061081" w:rsidRPr="00A51130">
        <w:rPr>
          <w:rFonts w:ascii="Times New Roman" w:hAnsi="Times New Roman" w:cs="Times New Roman"/>
          <w:sz w:val="24"/>
          <w:szCs w:val="24"/>
        </w:rPr>
        <w:t xml:space="preserve">it has been observed that </w:t>
      </w:r>
      <w:r w:rsidR="00910646" w:rsidRPr="00A51130">
        <w:rPr>
          <w:rFonts w:ascii="Times New Roman" w:hAnsi="Times New Roman" w:cs="Times New Roman"/>
          <w:sz w:val="24"/>
          <w:szCs w:val="24"/>
        </w:rPr>
        <w:t xml:space="preserve">as many as two thirds of </w:t>
      </w:r>
      <w:r w:rsidR="002D2735">
        <w:rPr>
          <w:rFonts w:ascii="Times New Roman" w:hAnsi="Times New Roman" w:cs="Times New Roman"/>
          <w:sz w:val="24"/>
          <w:szCs w:val="24"/>
        </w:rPr>
        <w:t xml:space="preserve">all </w:t>
      </w:r>
      <w:r w:rsidR="00910646" w:rsidRPr="00A51130">
        <w:rPr>
          <w:rFonts w:ascii="Times New Roman" w:hAnsi="Times New Roman" w:cs="Times New Roman"/>
          <w:sz w:val="24"/>
          <w:szCs w:val="24"/>
        </w:rPr>
        <w:t>infants shift centiles to achieve a new growth canal</w:t>
      </w:r>
      <w:r w:rsidR="00E24D76"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{"citationItems":[{"id":"ITEM-1","itemData":{"ISSN":"0022-3476","PMID":"940016","abstract":"A percentile linear growth chart, from the third to ninety-seven percentiles, was derived from longitudinal data on 90 normal full-term infants of middle class suburban families, and the individual growth curves of each infant was contrasted to the growth chart for the entire group. Individual shifting in growth rate was noted in two thirds of the infants. To better determine the timing and nature of these shifts in linear growth, a search was made for otherwise normal full-term infants who were at or below the tenth percentile for length at birth and who moved up to the fiftieth percentile or better by age 2 years and those who were at or above the ninetieth percentile at birth and moved down to the fiftieth percentile or less by 2 years of age. Those shifting upward had accelerated linear growth soon after birth; they achieved a new \"channel\" at a mean age of 11.5 months. Those shifting downward did not decelerate until after the first three to six months; they achieved a new channel by the mean age of 13 months. These findings plus the correlation coefficients relating parental size to the length of the infant at birth, one year, and two years of age are compatible with the following statements: Birth length relates predominantly to maternal size whereas by 2 years of age the length correlates best to mean parental height, reflecting the genetic growth factors of both parents. Those infants \"catching-up\" after birth usually do so in early infancy, whereas those \"lagging-down\" tend to do so in midinfancy.","author":[{"dropping-particle":"","family":"Smith","given":"D W","non-dropping-particle":"","parse-names":false,"suffix":""},{"dropping-particle":"","family":"Truog","given":"W","non-dropping-particle":"","parse-names":false,"suffix":""},{"dropping-particle":"","family":"Rogers","given":"J E","non-dropping-particle":"","parse-names":false,"suffix":""},{"dropping-particle":"","family":"Greitzer","given":"L J","non-dropping-particle":"","parse-names":false,"suffix":""},{"dropping-particle":"","family":"Skinner","given":"A L","non-dropping-particle":"","parse-names":false,"suffix":""},{"dropping-particle":"","family":"McCann","given":"J J","non-dropping-particle":"","parse-names":false,"suffix":""},{"dropping-particle":"","family":"Harvey","given":"M A","non-dropping-particle":"","parse-names":false,"suffix":""}],"container-title":"The Journal of pediatrics","id":"ITEM-1","issue":"2","issued":{"date-parts":[["1976","8"]]},"page":"225-30","title":"Shifting linear growth during infancy: illustration of genetic factors in growth from fetal life through infancy.","type":"article-journal","volume":"89"},"uris":["http://www.mendeley.com/documents/?uuid=ce817577-fd67-3b8b-9065-d4d1ae05491b"]}],"mendeley":{"formattedCitation":"(Smith et al. 1976)","plainTextFormattedCitation":"(Smith et al. 1976)","previouslyFormattedCitation":"(Smith et al. 1976)"},"properties":{"noteIndex":0},"schema":"https://github.com/citation-style-language/schema/raw/master/csl-citation.json"}</w:instrText>
      </w:r>
      <w:r w:rsidR="00E24D76"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(Smith et al. 1976)</w:t>
      </w:r>
      <w:r w:rsidR="00E24D76" w:rsidRPr="00A51130">
        <w:rPr>
          <w:rFonts w:ascii="Times New Roman" w:hAnsi="Times New Roman" w:cs="Times New Roman"/>
          <w:sz w:val="24"/>
          <w:szCs w:val="24"/>
        </w:rPr>
        <w:fldChar w:fldCharType="end"/>
      </w:r>
      <w:r w:rsidR="00E24D76" w:rsidRPr="00A51130">
        <w:rPr>
          <w:rFonts w:ascii="Times New Roman" w:hAnsi="Times New Roman" w:cs="Times New Roman"/>
          <w:sz w:val="24"/>
          <w:szCs w:val="24"/>
        </w:rPr>
        <w:t xml:space="preserve">. </w:t>
      </w:r>
      <w:r w:rsidR="000E1713" w:rsidRPr="00A51130">
        <w:rPr>
          <w:rFonts w:ascii="Times New Roman" w:hAnsi="Times New Roman" w:cs="Times New Roman"/>
          <w:sz w:val="24"/>
          <w:szCs w:val="24"/>
        </w:rPr>
        <w:t xml:space="preserve">More recently, focus has </w:t>
      </w:r>
      <w:r w:rsidR="00F37869" w:rsidRPr="00A51130">
        <w:rPr>
          <w:rFonts w:ascii="Times New Roman" w:hAnsi="Times New Roman" w:cs="Times New Roman"/>
          <w:sz w:val="24"/>
          <w:szCs w:val="24"/>
        </w:rPr>
        <w:t>shifted to</w:t>
      </w:r>
      <w:r w:rsidR="003D2361" w:rsidRPr="00A51130">
        <w:rPr>
          <w:rFonts w:ascii="Times New Roman" w:hAnsi="Times New Roman" w:cs="Times New Roman"/>
          <w:sz w:val="24"/>
          <w:szCs w:val="24"/>
        </w:rPr>
        <w:t xml:space="preserve"> the epidemiology of</w:t>
      </w:r>
      <w:r w:rsidR="00F37869" w:rsidRPr="00A51130">
        <w:rPr>
          <w:rFonts w:ascii="Times New Roman" w:hAnsi="Times New Roman" w:cs="Times New Roman"/>
          <w:sz w:val="24"/>
          <w:szCs w:val="24"/>
        </w:rPr>
        <w:t xml:space="preserve"> </w:t>
      </w:r>
      <w:r w:rsidRPr="00A51130">
        <w:rPr>
          <w:rFonts w:ascii="Times New Roman" w:hAnsi="Times New Roman" w:cs="Times New Roman"/>
          <w:sz w:val="24"/>
          <w:szCs w:val="24"/>
        </w:rPr>
        <w:t>“</w:t>
      </w:r>
      <w:r w:rsidR="003D2361" w:rsidRPr="00A51130">
        <w:rPr>
          <w:rFonts w:ascii="Times New Roman" w:hAnsi="Times New Roman" w:cs="Times New Roman"/>
          <w:sz w:val="24"/>
          <w:szCs w:val="24"/>
        </w:rPr>
        <w:t>rapid infant weight ga</w:t>
      </w:r>
      <w:r w:rsidR="00CB6B04" w:rsidRPr="00A51130">
        <w:rPr>
          <w:rFonts w:ascii="Times New Roman" w:hAnsi="Times New Roman" w:cs="Times New Roman"/>
          <w:sz w:val="24"/>
          <w:szCs w:val="24"/>
        </w:rPr>
        <w:t>i</w:t>
      </w:r>
      <w:r w:rsidR="003D2361" w:rsidRPr="00A51130">
        <w:rPr>
          <w:rFonts w:ascii="Times New Roman" w:hAnsi="Times New Roman" w:cs="Times New Roman"/>
          <w:sz w:val="24"/>
          <w:szCs w:val="24"/>
        </w:rPr>
        <w:t>n</w:t>
      </w:r>
      <w:r w:rsidRPr="00A51130">
        <w:rPr>
          <w:rFonts w:ascii="Times New Roman" w:hAnsi="Times New Roman" w:cs="Times New Roman"/>
          <w:sz w:val="24"/>
          <w:szCs w:val="24"/>
        </w:rPr>
        <w:t>”</w:t>
      </w:r>
      <w:r w:rsidR="00CB6B04" w:rsidRPr="00A51130">
        <w:rPr>
          <w:rFonts w:ascii="Times New Roman" w:hAnsi="Times New Roman" w:cs="Times New Roman"/>
          <w:sz w:val="24"/>
          <w:szCs w:val="24"/>
        </w:rPr>
        <w:t xml:space="preserve">, with Ong et al reporting that more than 30% of infants display </w:t>
      </w:r>
      <w:r w:rsidR="00094A51" w:rsidRPr="00A51130">
        <w:rPr>
          <w:rFonts w:ascii="Times New Roman" w:hAnsi="Times New Roman" w:cs="Times New Roman"/>
          <w:sz w:val="24"/>
          <w:szCs w:val="24"/>
        </w:rPr>
        <w:t xml:space="preserve">a </w:t>
      </w:r>
      <w:r w:rsidR="00CB6B04" w:rsidRPr="00A51130">
        <w:rPr>
          <w:rFonts w:ascii="Times New Roman" w:hAnsi="Times New Roman" w:cs="Times New Roman"/>
          <w:sz w:val="24"/>
          <w:szCs w:val="24"/>
        </w:rPr>
        <w:t>change in weight-for-age SD score between 0-2 years &gt;0.67</w:t>
      </w:r>
      <w:r w:rsidR="00807CA0"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{"citationItems":[{"id":"ITEM-1","itemData":{"DOI":"10.1136/BMJ.320.7240.967","ISSN":"0959-8138","PMID":"10753147","abstract":"OBJECTIVE To identify predictors of postnatal catch-up growth from birth to two years and its relation to size and obesity at five years. DESIGN Regional prospective cohort study. SETTING Avon longitudinal study of pregnancy and childhood, United Kingdom. SUBJECTS 848 full term singletons from a 10% random sample of the Avon longitudinal study of pregnancy and childhood. MAIN OUTCOME MEASURES Maternal birth weight, prepregnancy weight, pregnancy weight gain, height, smoking, and parity, and paternal height. Weight and length of infants at birth, two years, and five years expressed as standard deviation (SD) scores from the UK reference scores for 1990. Percentage fat mass and total fat mass (estimated from skinfolds) and waist circumference at five years. RESULTS Size at birth was representative of the national reference. Overall, 30. 7% (260 of 848) of infants showed a gain in SD score for weight greater than 0.67 SD scores between zero and two years, indicating clinically significant catch-up growth. These children had lower weight, length, and ponderal index at birth than other children, and were more often from primiparous pregnancies. They also had taller fathers than other children, and their mothers had lower birth weights and were more likely to smoke during pregnancy. Children who showed catch-up growth between zero and two years were heavier, taller, and fatter (body mass index, percentage body fat, and waist circumference) at five years than other children. CONCLUSIONS In this contemporary well nourished cohort, catch-up growth was predicted by factors relating to intrauterine restraint of fetal growth. Children who showed catch-up growth between zero and two years were fatter and had more central fat distribution at five years than other children. Mechanisms that signal and regulate early catch-up growth in the postnatal period may influence associations between small size at birth and risks for disease in adulthood.","author":[{"dropping-particle":"","family":"Ong","given":"K K","non-dropping-particle":"","parse-names":false,"suffix":""},{"dropping-particle":"","family":"Ahmed","given":"M L","non-dropping-particle":"","parse-names":false,"suffix":""},{"dropping-particle":"","family":"Emmett","given":"P M","non-dropping-particle":"","parse-names":false,"suffix":""},{"dropping-particle":"","family":"Preece","given":"M A","non-dropping-particle":"","parse-names":false,"suffix":""},{"dropping-particle":"","family":"Dunger","given":"D B","non-dropping-particle":"","parse-names":false,"suffix":""}],"container-title":"BMJ (Clinical research ed.)","id":"ITEM-1","issue":"7240","issued":{"date-parts":[["2000","4","8"]]},"page":"967-71","publisher":"British Medical Journal Publishing Group","title":"Association between postnatal catch-up growth and obesity in childhood: prospective cohort study.","type":"article-journal","volume":"320"},"uris":["http://www.mendeley.com/documents/?uuid=12c46eba-cefe-390e-823e-27df1b880b68"]}],"mendeley":{"formattedCitation":"(Ong et al. 2000)","plainTextFormattedCitation":"(Ong et al. 2000)","previouslyFormattedCitation":"(Ong et al. 2000)"},"properties":{"noteIndex":0},"schema":"https://github.com/citation-style-language/schema/raw/master/csl-citation.json"}</w:instrText>
      </w:r>
      <w:r w:rsidR="00807CA0"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(Ong et al. 2000)</w:t>
      </w:r>
      <w:r w:rsidR="00807CA0" w:rsidRPr="00A51130">
        <w:rPr>
          <w:rFonts w:ascii="Times New Roman" w:hAnsi="Times New Roman" w:cs="Times New Roman"/>
          <w:sz w:val="24"/>
          <w:szCs w:val="24"/>
        </w:rPr>
        <w:fldChar w:fldCharType="end"/>
      </w:r>
      <w:r w:rsidR="00CB6B04" w:rsidRPr="00A51130">
        <w:rPr>
          <w:rFonts w:ascii="Times New Roman" w:hAnsi="Times New Roman" w:cs="Times New Roman"/>
          <w:sz w:val="24"/>
          <w:szCs w:val="24"/>
        </w:rPr>
        <w:t xml:space="preserve">. </w:t>
      </w:r>
      <w:r w:rsidR="00A826B1" w:rsidRPr="00A51130">
        <w:rPr>
          <w:rFonts w:ascii="Times New Roman" w:hAnsi="Times New Roman" w:cs="Times New Roman"/>
          <w:sz w:val="24"/>
          <w:szCs w:val="24"/>
        </w:rPr>
        <w:t>If</w:t>
      </w:r>
      <w:r w:rsidR="008C042D" w:rsidRPr="00A51130">
        <w:rPr>
          <w:rFonts w:ascii="Times New Roman" w:hAnsi="Times New Roman" w:cs="Times New Roman"/>
          <w:sz w:val="24"/>
          <w:szCs w:val="24"/>
        </w:rPr>
        <w:t>, as</w:t>
      </w:r>
      <w:r w:rsidR="00B545C2" w:rsidRPr="00A51130">
        <w:rPr>
          <w:rFonts w:ascii="Times New Roman" w:hAnsi="Times New Roman" w:cs="Times New Roman"/>
          <w:sz w:val="24"/>
          <w:szCs w:val="24"/>
        </w:rPr>
        <w:t xml:space="preserve"> was </w:t>
      </w:r>
      <w:r w:rsidR="00183D8C" w:rsidRPr="00A51130">
        <w:rPr>
          <w:rFonts w:ascii="Times New Roman" w:hAnsi="Times New Roman" w:cs="Times New Roman"/>
          <w:sz w:val="24"/>
          <w:szCs w:val="24"/>
        </w:rPr>
        <w:t xml:space="preserve">originally </w:t>
      </w:r>
      <w:r w:rsidR="00B545C2" w:rsidRPr="00A51130">
        <w:rPr>
          <w:rFonts w:ascii="Times New Roman" w:hAnsi="Times New Roman" w:cs="Times New Roman"/>
          <w:sz w:val="24"/>
          <w:szCs w:val="24"/>
        </w:rPr>
        <w:t xml:space="preserve">thought for </w:t>
      </w:r>
      <w:r w:rsidR="00067572" w:rsidRPr="00A51130">
        <w:rPr>
          <w:rFonts w:ascii="Times New Roman" w:hAnsi="Times New Roman" w:cs="Times New Roman"/>
          <w:sz w:val="24"/>
          <w:szCs w:val="24"/>
        </w:rPr>
        <w:t>catch-up growth</w:t>
      </w:r>
      <w:r w:rsidR="00B545C2" w:rsidRPr="00A51130">
        <w:rPr>
          <w:rFonts w:ascii="Times New Roman" w:hAnsi="Times New Roman" w:cs="Times New Roman"/>
          <w:sz w:val="24"/>
          <w:szCs w:val="24"/>
        </w:rPr>
        <w:t xml:space="preserve">, </w:t>
      </w:r>
      <w:r w:rsidR="00067572" w:rsidRPr="00A51130">
        <w:rPr>
          <w:rFonts w:ascii="Times New Roman" w:hAnsi="Times New Roman" w:cs="Times New Roman"/>
          <w:sz w:val="24"/>
          <w:szCs w:val="24"/>
        </w:rPr>
        <w:t xml:space="preserve">rapid infant weight gain </w:t>
      </w:r>
      <w:r w:rsidR="00A826B1" w:rsidRPr="00A51130">
        <w:rPr>
          <w:rFonts w:ascii="Times New Roman" w:hAnsi="Times New Roman" w:cs="Times New Roman"/>
          <w:sz w:val="24"/>
          <w:szCs w:val="24"/>
        </w:rPr>
        <w:t>is a natural response to fetal constraint in utero, it would not be expected to be associated with deleterious longer-term outcomes.</w:t>
      </w:r>
      <w:r w:rsidR="00807CA0" w:rsidRPr="00A51130">
        <w:rPr>
          <w:rFonts w:ascii="Times New Roman" w:hAnsi="Times New Roman" w:cs="Times New Roman"/>
          <w:sz w:val="24"/>
          <w:szCs w:val="24"/>
        </w:rPr>
        <w:t xml:space="preserve"> </w:t>
      </w:r>
      <w:r w:rsidR="00C61F0A" w:rsidRPr="00A51130">
        <w:rPr>
          <w:rFonts w:ascii="Times New Roman" w:hAnsi="Times New Roman" w:cs="Times New Roman"/>
          <w:sz w:val="24"/>
          <w:szCs w:val="24"/>
        </w:rPr>
        <w:t>However, the</w:t>
      </w:r>
      <w:r w:rsidR="00402F59" w:rsidRPr="00A51130">
        <w:rPr>
          <w:rFonts w:ascii="Times New Roman" w:hAnsi="Times New Roman" w:cs="Times New Roman"/>
          <w:sz w:val="24"/>
          <w:szCs w:val="24"/>
        </w:rPr>
        <w:t xml:space="preserve"> positive association </w:t>
      </w:r>
      <w:r w:rsidR="002A73C4" w:rsidRPr="00A51130">
        <w:rPr>
          <w:rFonts w:ascii="Times New Roman" w:hAnsi="Times New Roman" w:cs="Times New Roman"/>
          <w:sz w:val="24"/>
          <w:szCs w:val="24"/>
        </w:rPr>
        <w:t xml:space="preserve">observed between rapid infant </w:t>
      </w:r>
      <w:r w:rsidR="00B80C94" w:rsidRPr="00A51130">
        <w:rPr>
          <w:rFonts w:ascii="Times New Roman" w:hAnsi="Times New Roman" w:cs="Times New Roman"/>
          <w:sz w:val="24"/>
          <w:szCs w:val="24"/>
        </w:rPr>
        <w:t xml:space="preserve">weight gain </w:t>
      </w:r>
      <w:r w:rsidR="002A73C4" w:rsidRPr="00A51130">
        <w:rPr>
          <w:rFonts w:ascii="Times New Roman" w:hAnsi="Times New Roman" w:cs="Times New Roman"/>
          <w:sz w:val="24"/>
          <w:szCs w:val="24"/>
        </w:rPr>
        <w:t xml:space="preserve">and future </w:t>
      </w:r>
      <w:r w:rsidR="00F20403" w:rsidRPr="00A51130">
        <w:rPr>
          <w:rFonts w:ascii="Times New Roman" w:hAnsi="Times New Roman" w:cs="Times New Roman"/>
          <w:sz w:val="24"/>
          <w:szCs w:val="24"/>
        </w:rPr>
        <w:t xml:space="preserve">adiposity and cardiometabolic risk factors </w:t>
      </w:r>
      <w:r w:rsidR="00402F59" w:rsidRPr="00A51130">
        <w:rPr>
          <w:rFonts w:ascii="Times New Roman" w:hAnsi="Times New Roman" w:cs="Times New Roman"/>
          <w:sz w:val="24"/>
          <w:szCs w:val="24"/>
        </w:rPr>
        <w:t>has</w:t>
      </w:r>
      <w:r w:rsidR="00F16F5C" w:rsidRPr="00A51130">
        <w:rPr>
          <w:rFonts w:ascii="Times New Roman" w:hAnsi="Times New Roman" w:cs="Times New Roman"/>
          <w:sz w:val="24"/>
          <w:szCs w:val="24"/>
        </w:rPr>
        <w:t xml:space="preserve"> also</w:t>
      </w:r>
      <w:r w:rsidR="00402F59" w:rsidRPr="00A51130">
        <w:rPr>
          <w:rFonts w:ascii="Times New Roman" w:hAnsi="Times New Roman" w:cs="Times New Roman"/>
          <w:sz w:val="24"/>
          <w:szCs w:val="24"/>
        </w:rPr>
        <w:t xml:space="preserve"> been </w:t>
      </w:r>
      <w:r w:rsidR="00E850C7" w:rsidRPr="00A51130">
        <w:rPr>
          <w:rFonts w:ascii="Times New Roman" w:hAnsi="Times New Roman" w:cs="Times New Roman"/>
          <w:sz w:val="24"/>
          <w:szCs w:val="24"/>
        </w:rPr>
        <w:t>reported</w:t>
      </w:r>
      <w:r w:rsidR="00402F59" w:rsidRPr="00A51130">
        <w:rPr>
          <w:rFonts w:ascii="Times New Roman" w:hAnsi="Times New Roman" w:cs="Times New Roman"/>
          <w:sz w:val="24"/>
          <w:szCs w:val="24"/>
        </w:rPr>
        <w:t xml:space="preserve"> </w:t>
      </w:r>
      <w:r w:rsidR="009C212A" w:rsidRPr="00A51130">
        <w:rPr>
          <w:rFonts w:ascii="Times New Roman" w:hAnsi="Times New Roman" w:cs="Times New Roman"/>
          <w:sz w:val="24"/>
          <w:szCs w:val="24"/>
        </w:rPr>
        <w:t xml:space="preserve">both </w:t>
      </w:r>
      <w:r w:rsidR="00402F59" w:rsidRPr="00A51130">
        <w:rPr>
          <w:rFonts w:ascii="Times New Roman" w:hAnsi="Times New Roman" w:cs="Times New Roman"/>
          <w:sz w:val="24"/>
          <w:szCs w:val="24"/>
        </w:rPr>
        <w:t xml:space="preserve">in </w:t>
      </w:r>
      <w:r w:rsidR="00F16F5C" w:rsidRPr="00A51130">
        <w:rPr>
          <w:rFonts w:ascii="Times New Roman" w:hAnsi="Times New Roman" w:cs="Times New Roman"/>
          <w:sz w:val="24"/>
          <w:szCs w:val="24"/>
        </w:rPr>
        <w:t xml:space="preserve">preterm and </w:t>
      </w:r>
      <w:r w:rsidR="00871672" w:rsidRPr="00A51130">
        <w:rPr>
          <w:rFonts w:ascii="Times New Roman" w:hAnsi="Times New Roman" w:cs="Times New Roman"/>
          <w:sz w:val="24"/>
          <w:szCs w:val="24"/>
        </w:rPr>
        <w:t>small-for-gestational age</w:t>
      </w:r>
      <w:r w:rsidR="00F16F5C" w:rsidRPr="00A51130">
        <w:rPr>
          <w:rFonts w:ascii="Times New Roman" w:hAnsi="Times New Roman" w:cs="Times New Roman"/>
          <w:sz w:val="24"/>
          <w:szCs w:val="24"/>
        </w:rPr>
        <w:t xml:space="preserve"> </w:t>
      </w:r>
      <w:r w:rsidR="00402F59" w:rsidRPr="00A51130">
        <w:rPr>
          <w:rFonts w:ascii="Times New Roman" w:hAnsi="Times New Roman" w:cs="Times New Roman"/>
          <w:sz w:val="24"/>
          <w:szCs w:val="24"/>
        </w:rPr>
        <w:t>infants</w:t>
      </w:r>
      <w:r w:rsidR="00813B06"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{"citationItems":[{"id":"ITEM-1","itemData":{"DOI":"10.1159/000464302","ISSN":"0250-6807","PMID":"28301849","abstract":"BACKGROUND Whilst prevention of growth faltering has both short- and long-term health benefits, whether too fast or accelerated infant growth adversely affects later health outcomes is controversial and a major focus of research. SUMMARY Many observational studies suggest that rapid weight gain in infancy (upward centile crossing) increases the long-term risk of obesity and non-communicable disease. This association has been seen in infants from low- and high-income countries, in infants born preterm or at term, and those born with normal or low birth weight for gestation. Experimental (randomized) studies in both breast- and formula-fed infants support a causal link between early growth acceleration and infant nutrition and later risk of obesity. These observations suggest that strategies to optimize the pattern of infant growth could make a major contribution to stemming the current global epidemic of non-communicable disease. Key Messages: The optimal pattern of infant weight gain is likely to differ in different populations. The benefits of rapid infant weight gain for later neurodevelopment favors the promotion of rapid growth in infants born preterm. However, growth acceleration in healthy infants born at term (either normal or low birth weight for gestation) is likely to have adverse effects for long-term health.","author":[{"dropping-particle":"","family":"Singhal","given":"Atul","non-dropping-particle":"","parse-names":false,"suffix":""}],"container-title":"Annals of Nutrition and Metabolism","id":"ITEM-1","issue":"3","issued":{"date-parts":[["2017"]]},"page":"236-240","title":"Long-Term Adverse Effects of Early Growth Acceleration or Catch-Up Growth","type":"article-journal","volume":"70"},"uris":["http://www.mendeley.com/documents/?uuid=2ebfad3b-397d-3027-9f68-86bc141a1b98"]},{"id":"ITEM-2","itemData":{"DOI":"10.1093/ije/dym010","ISSN":"0300-5771","PMID":"17376801","abstract":"BACKGROUND Pre-natal and post-natal growth are associated with adult body composition, but the relative importance of growth in different periods of childhood is still unclear, particularly in stunted populations. METHODS We studied 358 women and 352 men measured as children in 1969-77 in four villages in Guatemala, and re-measured as adults in 2002-04 (mean age 32.7 years). We determined the associations of body mass index (BMI) and length at birth, and changes in BMI and length during infancy (0-1.0 year) and early (1.0-3.0 years) and later (3.0-7.0 years) childhood, with adult BMI ((a)BMI), percentage of body fat ((a)PBF), abdominal circumference ((a)AC) and fat-free mass ((a)FFM). RESULTS Prevalence of stunting was high (64% at 3 years; HAZ &lt; -2SD). Obesity (WHZ &gt; 2SD) prevalence in childhood was &lt;2%, while overweight prevalence in adulthood was 52%. BMI at birth was positively associated with (a)BMI and (a)FFM while length at birth was positively associated with (a)AC and (a)FFM. Increased BMI in infancy and later childhood were positively associated with all four adult body composition measures; associations in later childhood with fatness and abdominal fatness were stronger than those with (a)FFM. Change in length during infancy and early childhood was positively associated with all four adult body composition outcomes; the associations with (a)FFM were stronger than those with fat mass. CONCLUSIONS Increases in BMI between 3.0 and 7.0 years had stronger associations with adult fat mass and abdominal fat than with (a)FFM; increases in length prior to age 3.0 years were most strongly associated with increases in (a)FFM.","author":[{"dropping-particle":"","family":"Corvalan","given":"C","non-dropping-particle":"","parse-names":false,"suffix":""},{"dropping-particle":"","family":"Gregory","given":"C.","non-dropping-particle":"","parse-names":false,"suffix":""},{"dropping-particle":"","family":"Ramirez-Zea","given":"M","non-dropping-particle":"","parse-names":false,"suffix":""},{"dropping-particle":"","family":"Martorell","given":"R","non-dropping-particle":"","parse-names":false,"suffix":""},{"dropping-particle":"","family":"Stein","given":"A.","non-dropping-particle":"","parse-names":false,"suffix":""}],"container-title":"International Journal of Epidemiology","id":"ITEM-2","issue":"3","issued":{"date-parts":[["2007","6","1"]]},"page":"550-557","title":"Size at birth, infant, early and later childhood growth and adult body composition: a prospective study in a stunted population","type":"article-journal","volume":"36"},"uris":["http://www.mendeley.com/documents/?uuid=0ef2a5c3-d176-3d74-897b-e34ebd2a230d"]},{"id":"ITEM-3","itemData":{"DOI":"10.1093/ajcn/86.4.907","ISSN":"0002-9165","PMID":"17921364","abstract":"BACKGROUND Birth weight has been shown to be positively associated with adult obesity, but relatively few studies have examined the associations with growth in specific periods of early childhood. OBJECTIVE The objective was to assess the association of measures of growth between birth and 5 y of age with adult measures of adiposity. DESIGN We conducted a longitudinal study of young adults from Barry and Caerphilly, United Kingdom, who had previously taken part between 1972 and 1974 in a randomized controlled trial of milk supplementation. We reexamined 679 men and women (72% of the target population) to measure body mass index (BMI; in kg/m(2)), waist-to-hip ratio, sagittal abdominal diameter, and waist circumference. RESULTS An increase in weight velocity from 1 y and 9 mo to 5 y of age was the most important predictor of BMI, waist circumference, and sagittal abdominal diameter. A z-score increase in weight gain in this period was associated with an increase in BMI of 1.13 (95% CI: 0.69, 1.57; P &lt; 0.001). Infant weight gain from 5 mo to 1 y and 9 mo was the strongest predictor of waist-to-hip ratio (0.51; 95% CI: 0.00, 1.02; P = 0.05). CONCLUSIONS Birth weight does not predict adiposity on the basis of weight gain in childhood. The association between adult adiposity and weight gain in different periods is variable and depends on the measure of adiposity that is used. It remains unclear whether early childhood is the optimum period in the life course for the primary prevention of adult adiposity.","author":[{"dropping-particle":"","family":"McCarthy","given":"Anne","non-dropping-particle":"","parse-names":false,"suffix":""},{"dropping-particle":"","family":"Hughes","given":"Rachael","non-dropping-particle":"","parse-names":false,"suffix":""},{"dropping-particle":"","family":"Tilling","given":"Kate","non-dropping-particle":"","parse-names":false,"suffix":""},{"dropping-particle":"","family":"Davies","given":"David","non-dropping-particle":"","parse-names":false,"suffix":""},{"dropping-particle":"","family":"Davey Smith","given":"George","non-dropping-particle":"","parse-names":false,"suffix":""},{"dropping-particle":"","family":"Ben-Shlomo","given":"Yoav","non-dropping-particle":"","parse-names":false,"suffix":""}],"container-title":"The American Journal of Clinical Nutrition","id":"ITEM-3","issue":"4","issued":{"date-parts":[["2007","10","1"]]},"page":"907-913","title":"Birth weight; postnatal, infant, and childhood growth; and obesity in young adulthood: evidence from the Barry Caerphilly Growth Study","type":"article-journal","volume":"86"},"uris":["http://www.mendeley.com/documents/?uuid=49c38e45-7ed7-360d-96d2-e35fa8eed9a4"]},{"id":"ITEM-4","itemData":{"DOI":"10.3945/ajcn.2010.29247","ISSN":"0002-9165","PMID":"20519560","abstract":"BACKGROUND Several studies reported inverse associations between birth weight and central adiposity in adults. However, few studies investigated the contributions of different abdominal fat compartments. OBJECTIVE We examined associations between birth weight and adult visceral and subcutaneous abdominal fat in the population-based Fenland study. DESIGN A total of 1092 adults (437 men and 655 women) aged 30-55 y had available data on reported birth weight, standard anthropometric measures, and visceral and subcutaneous abdominal fat estimated by ultrasound. In a subgroup (n = 766), dual-energy X-ray absorptiometry assessment of total abdominal fat was performed. Linear regression models were used to analyze relations between birth weight and the various fat variables adjusted for sex, age, education, smoking, and body mass index (BMI). RESULTS After adjustment for adult BMI, there was an inverse association between birth weight and total abdominal fat [B (partial regression coefficient expressed as SD/1-kg change in birth weight) = -0.09, P = 0.002] and visceral fat (B = -0.07, P = 0.01) but not between birth weight and subcutaneous abdominal fat (B = -0.01, P = 0.3). Tests for interaction showed that adult BMI modified the association between birth weight and visceral fat (P for interaction = 0.01). In stratified analysis, the association between birth weight and visceral fat was apparent only in individuals with the highest BMI tertile (B = -0.08, P = 0.04). CONCLUSIONS The inverse association between birth weight and adult abdominal fat appeared to be specific to visceral fat. However, associations with birth weight were apparent only after adjustment for adult BMI. Therefore, we suggest that rapid postnatal weight gain, rather than birth weight alone, leads to increased visceral fat.","author":[{"dropping-particle":"","family":"Lucia Rolfe","given":"Emanuella","non-dropping-particle":"De","parse-names":false,"suffix":""},{"dropping-particle":"","family":"Loos","given":"Ruth JF","non-dropping-particle":"","parse-names":false,"suffix":""},{"dropping-particle":"","family":"Druet","given":"Céline","non-dropping-particle":"","parse-names":false,"suffix":""},{"dropping-particle":"","family":"Stolk","given":"Ronald P","non-dropping-particle":"","parse-names":false,"suffix":""},{"dropping-particle":"","family":"Ekelund","given":"Ulf","non-dropping-particle":"","parse-names":false,"suffix":""},{"dropping-particle":"","family":"Griffin","given":"Simon J","non-dropping-particle":"","parse-names":false,"suffix":""},{"dropping-particle":"","family":"Forouhi","given":"Nita G","non-dropping-particle":"","parse-names":false,"suffix":""},{"dropping-particle":"","family":"Wareham","given":"Nicholas J","non-dropping-particle":"","parse-names":false,"suffix":""},{"dropping-particle":"","family":"Ong","given":"Ken K","non-dropping-particle":"","parse-names":false,"suffix":""}],"container-title":"The American Journal of Clinical Nutrition","id":"ITEM-4","issue":"2","issued":{"date-parts":[["2010","8","1"]]},"page":"347-352","title":"Association between birth weight and visceral fat in adults","type":"article-journal","volume":"92"},"uris":["http://www.mendeley.com/documents/?uuid=19329289-972d-3628-a0d1-16d771ddf471"]}],"mendeley":{"formattedCitation":"(Corvalan et al. 2007; McCarthy et al. 2007; De Lucia Rolfe et al. 2010; Singhal 2017)","plainTextFormattedCitation":"(Corvalan et al. 2007; McCarthy et al. 2007; De Lucia Rolfe et al. 2010; Singhal 2017)","previouslyFormattedCitation":"(Corvalan et al. 2007; McCarthy et al. 2007; De Lucia Rolfe et al. 2010; Singhal 2017)"},"properties":{"noteIndex":0},"schema":"https://github.com/citation-style-language/schema/raw/master/csl-citation.json"}</w:instrText>
      </w:r>
      <w:r w:rsidR="00813B06"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(Corvalan et al. 2007; McCarthy et al. 2007; De Lucia Rolfe et al. 2010; Singhal 2017)</w:t>
      </w:r>
      <w:r w:rsidR="00813B06" w:rsidRPr="00A51130">
        <w:rPr>
          <w:rFonts w:ascii="Times New Roman" w:hAnsi="Times New Roman" w:cs="Times New Roman"/>
          <w:sz w:val="24"/>
          <w:szCs w:val="24"/>
        </w:rPr>
        <w:fldChar w:fldCharType="end"/>
      </w:r>
      <w:r w:rsidR="00AF5E06" w:rsidRPr="00A51130">
        <w:rPr>
          <w:rFonts w:ascii="Times New Roman" w:hAnsi="Times New Roman" w:cs="Times New Roman"/>
          <w:sz w:val="24"/>
          <w:szCs w:val="24"/>
        </w:rPr>
        <w:t xml:space="preserve">. </w:t>
      </w:r>
      <w:r w:rsidR="004C49A6" w:rsidRPr="00A51130">
        <w:rPr>
          <w:rFonts w:ascii="Times New Roman" w:hAnsi="Times New Roman" w:cs="Times New Roman"/>
          <w:sz w:val="24"/>
          <w:szCs w:val="24"/>
        </w:rPr>
        <w:t xml:space="preserve">This suggests that </w:t>
      </w:r>
      <w:r w:rsidR="00046831" w:rsidRPr="00A51130">
        <w:rPr>
          <w:rFonts w:ascii="Times New Roman" w:hAnsi="Times New Roman" w:cs="Times New Roman"/>
          <w:sz w:val="24"/>
          <w:szCs w:val="24"/>
        </w:rPr>
        <w:t>rapid</w:t>
      </w:r>
      <w:r w:rsidR="000E37C6" w:rsidRPr="00A51130">
        <w:rPr>
          <w:rFonts w:ascii="Times New Roman" w:hAnsi="Times New Roman" w:cs="Times New Roman"/>
          <w:sz w:val="24"/>
          <w:szCs w:val="24"/>
        </w:rPr>
        <w:t xml:space="preserve"> </w:t>
      </w:r>
      <w:r w:rsidR="00D57422" w:rsidRPr="00A51130">
        <w:rPr>
          <w:rFonts w:ascii="Times New Roman" w:hAnsi="Times New Roman" w:cs="Times New Roman"/>
          <w:sz w:val="24"/>
          <w:szCs w:val="24"/>
        </w:rPr>
        <w:t>weight gain</w:t>
      </w:r>
      <w:r w:rsidR="000E37C6" w:rsidRPr="00A51130">
        <w:rPr>
          <w:rFonts w:ascii="Times New Roman" w:hAnsi="Times New Roman" w:cs="Times New Roman"/>
          <w:sz w:val="24"/>
          <w:szCs w:val="24"/>
        </w:rPr>
        <w:t xml:space="preserve"> in infancy, regardless of</w:t>
      </w:r>
      <w:r w:rsidR="002C1DB9" w:rsidRPr="00A51130">
        <w:rPr>
          <w:rFonts w:ascii="Times New Roman" w:hAnsi="Times New Roman" w:cs="Times New Roman"/>
          <w:sz w:val="24"/>
          <w:szCs w:val="24"/>
        </w:rPr>
        <w:t xml:space="preserve"> whether </w:t>
      </w:r>
      <w:r w:rsidR="006C2DF4" w:rsidRPr="00A51130">
        <w:rPr>
          <w:rFonts w:ascii="Times New Roman" w:hAnsi="Times New Roman" w:cs="Times New Roman"/>
          <w:sz w:val="24"/>
          <w:szCs w:val="24"/>
        </w:rPr>
        <w:t xml:space="preserve">it is in response to a </w:t>
      </w:r>
      <w:r w:rsidR="00895DEA" w:rsidRPr="00A51130">
        <w:rPr>
          <w:rFonts w:ascii="Times New Roman" w:hAnsi="Times New Roman" w:cs="Times New Roman"/>
          <w:sz w:val="24"/>
          <w:szCs w:val="24"/>
        </w:rPr>
        <w:t>growth constraint in utero</w:t>
      </w:r>
      <w:r w:rsidR="00321367" w:rsidRPr="00A51130">
        <w:rPr>
          <w:rFonts w:ascii="Times New Roman" w:hAnsi="Times New Roman" w:cs="Times New Roman"/>
          <w:sz w:val="24"/>
          <w:szCs w:val="24"/>
        </w:rPr>
        <w:t xml:space="preserve">, is deleterious for subsequent cardiometabolic health. </w:t>
      </w:r>
      <w:r w:rsidR="004B3D0C" w:rsidRPr="00A51130">
        <w:rPr>
          <w:rFonts w:ascii="Times New Roman" w:hAnsi="Times New Roman" w:cs="Times New Roman"/>
          <w:sz w:val="24"/>
          <w:szCs w:val="24"/>
        </w:rPr>
        <w:t>A</w:t>
      </w:r>
      <w:r w:rsidR="00C74317" w:rsidRPr="00A51130">
        <w:rPr>
          <w:rFonts w:ascii="Times New Roman" w:hAnsi="Times New Roman" w:cs="Times New Roman"/>
          <w:sz w:val="24"/>
          <w:szCs w:val="24"/>
        </w:rPr>
        <w:t xml:space="preserve"> recent </w:t>
      </w:r>
      <w:r w:rsidR="00845128" w:rsidRPr="00A51130">
        <w:rPr>
          <w:rFonts w:ascii="Times New Roman" w:hAnsi="Times New Roman" w:cs="Times New Roman"/>
          <w:sz w:val="24"/>
          <w:szCs w:val="24"/>
        </w:rPr>
        <w:t xml:space="preserve">systematic review </w:t>
      </w:r>
      <w:r w:rsidR="004B3D0C" w:rsidRPr="00A51130">
        <w:rPr>
          <w:rFonts w:ascii="Times New Roman" w:hAnsi="Times New Roman" w:cs="Times New Roman"/>
          <w:sz w:val="24"/>
          <w:szCs w:val="24"/>
        </w:rPr>
        <w:t>supports this view</w:t>
      </w:r>
      <w:r w:rsidR="00D26AD2"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{"citationItems":[{"id":"ITEM-1","itemData":{"DOI":"10.1038/ejcn.2016.258","ISSN":"0954-3007","abstract":"Relationship between prenatal growth, postnatal growth and childhood obesity: a review","author":[{"dropping-particle":"","family":"Matthews","given":"E K","non-dropping-particle":"","parse-names":false,"suffix":""},{"dropping-particle":"","family":"Wei","given":"J","non-dropping-particle":"","parse-names":false,"suffix":""},{"dropping-particle":"","family":"Cunningham","given":"S A","non-dropping-particle":"","parse-names":false,"suffix":""}],"container-title":"European Journal of Clinical Nutrition","id":"ITEM-1","issue":"8","issued":{"date-parts":[["2017","8","1"]]},"page":"919-930","publisher":"Nature Publishing Group","title":"Relationship between prenatal growth, postnatal growth and childhood obesity: a review","type":"article-journal","volume":"71"},"uris":["http://www.mendeley.com/documents/?uuid=75be1e10-e7c8-39fa-9503-4b27dfef6450"]}],"mendeley":{"formattedCitation":"(Matthews et al. 2017)","plainTextFormattedCitation":"(Matthews et al. 2017)","previouslyFormattedCitation":"(Matthews et al. 2017)"},"properties":{"noteIndex":0},"schema":"https://github.com/citation-style-language/schema/raw/master/csl-citation.json"}</w:instrText>
      </w:r>
      <w:r w:rsidR="00D26AD2"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(Matthews et al. 2017)</w:t>
      </w:r>
      <w:r w:rsidR="00D26AD2" w:rsidRPr="00A51130">
        <w:rPr>
          <w:rFonts w:ascii="Times New Roman" w:hAnsi="Times New Roman" w:cs="Times New Roman"/>
          <w:sz w:val="24"/>
          <w:szCs w:val="24"/>
        </w:rPr>
        <w:fldChar w:fldCharType="end"/>
      </w:r>
      <w:r w:rsidR="005167B8" w:rsidRPr="00A51130">
        <w:rPr>
          <w:rFonts w:ascii="Times New Roman" w:hAnsi="Times New Roman" w:cs="Times New Roman"/>
          <w:sz w:val="24"/>
          <w:szCs w:val="24"/>
        </w:rPr>
        <w:t>; w</w:t>
      </w:r>
      <w:r w:rsidR="008423BA" w:rsidRPr="00A51130">
        <w:rPr>
          <w:rFonts w:ascii="Times New Roman" w:hAnsi="Times New Roman" w:cs="Times New Roman"/>
          <w:sz w:val="24"/>
          <w:szCs w:val="24"/>
        </w:rPr>
        <w:t xml:space="preserve">hile a consistent positive association was observed between infant </w:t>
      </w:r>
      <w:r w:rsidR="00AB33EE" w:rsidRPr="00A51130">
        <w:rPr>
          <w:rFonts w:ascii="Times New Roman" w:hAnsi="Times New Roman" w:cs="Times New Roman"/>
          <w:sz w:val="24"/>
          <w:szCs w:val="24"/>
        </w:rPr>
        <w:t>weight gain</w:t>
      </w:r>
      <w:r w:rsidR="008423BA" w:rsidRPr="00A51130">
        <w:rPr>
          <w:rFonts w:ascii="Times New Roman" w:hAnsi="Times New Roman" w:cs="Times New Roman"/>
          <w:sz w:val="24"/>
          <w:szCs w:val="24"/>
        </w:rPr>
        <w:t xml:space="preserve"> </w:t>
      </w:r>
      <w:r w:rsidR="009433E2" w:rsidRPr="00A51130">
        <w:rPr>
          <w:rFonts w:ascii="Times New Roman" w:hAnsi="Times New Roman" w:cs="Times New Roman"/>
          <w:sz w:val="24"/>
          <w:szCs w:val="24"/>
        </w:rPr>
        <w:t xml:space="preserve"> </w:t>
      </w:r>
      <w:r w:rsidR="008423BA" w:rsidRPr="00A51130">
        <w:rPr>
          <w:rFonts w:ascii="Times New Roman" w:hAnsi="Times New Roman" w:cs="Times New Roman"/>
          <w:sz w:val="24"/>
          <w:szCs w:val="24"/>
        </w:rPr>
        <w:t xml:space="preserve">and </w:t>
      </w:r>
      <w:r w:rsidR="0000686A" w:rsidRPr="00A51130">
        <w:rPr>
          <w:rFonts w:ascii="Times New Roman" w:hAnsi="Times New Roman" w:cs="Times New Roman"/>
          <w:sz w:val="24"/>
          <w:szCs w:val="24"/>
        </w:rPr>
        <w:t>subsequent</w:t>
      </w:r>
      <w:r w:rsidR="008423BA" w:rsidRPr="00A51130">
        <w:rPr>
          <w:rFonts w:ascii="Times New Roman" w:hAnsi="Times New Roman" w:cs="Times New Roman"/>
          <w:sz w:val="24"/>
          <w:szCs w:val="24"/>
        </w:rPr>
        <w:t xml:space="preserve"> obesity, 15 out of 18 eligible studies did not observe an interaction effect with </w:t>
      </w:r>
      <w:r w:rsidR="003E4718" w:rsidRPr="00A51130">
        <w:rPr>
          <w:rFonts w:ascii="Times New Roman" w:hAnsi="Times New Roman" w:cs="Times New Roman"/>
          <w:sz w:val="24"/>
          <w:szCs w:val="24"/>
        </w:rPr>
        <w:t>birthweight</w:t>
      </w:r>
      <w:r w:rsidR="001325C1" w:rsidRPr="00A51130">
        <w:rPr>
          <w:rFonts w:ascii="Times New Roman" w:hAnsi="Times New Roman" w:cs="Times New Roman"/>
          <w:sz w:val="24"/>
          <w:szCs w:val="24"/>
        </w:rPr>
        <w:t xml:space="preserve">. </w:t>
      </w:r>
      <w:r w:rsidR="003B3521" w:rsidRPr="00A51130">
        <w:rPr>
          <w:rFonts w:ascii="Times New Roman" w:hAnsi="Times New Roman" w:cs="Times New Roman"/>
          <w:sz w:val="24"/>
          <w:szCs w:val="24"/>
        </w:rPr>
        <w:t>However, w</w:t>
      </w:r>
      <w:r w:rsidR="003E4718" w:rsidRPr="00A51130">
        <w:rPr>
          <w:rFonts w:ascii="Times New Roman" w:hAnsi="Times New Roman" w:cs="Times New Roman"/>
          <w:sz w:val="24"/>
          <w:szCs w:val="24"/>
        </w:rPr>
        <w:t xml:space="preserve">eight </w:t>
      </w:r>
      <w:r w:rsidR="001325C1" w:rsidRPr="00A51130">
        <w:rPr>
          <w:rFonts w:ascii="Times New Roman" w:hAnsi="Times New Roman" w:cs="Times New Roman"/>
          <w:sz w:val="24"/>
          <w:szCs w:val="24"/>
        </w:rPr>
        <w:t>at birth</w:t>
      </w:r>
      <w:r w:rsidR="00AE5BBB" w:rsidRPr="00A51130">
        <w:rPr>
          <w:rFonts w:ascii="Times New Roman" w:hAnsi="Times New Roman" w:cs="Times New Roman"/>
          <w:sz w:val="24"/>
          <w:szCs w:val="24"/>
        </w:rPr>
        <w:t xml:space="preserve"> </w:t>
      </w:r>
      <w:r w:rsidR="00C54A2D" w:rsidRPr="00A51130">
        <w:rPr>
          <w:rFonts w:ascii="Times New Roman" w:hAnsi="Times New Roman" w:cs="Times New Roman"/>
          <w:sz w:val="24"/>
          <w:szCs w:val="24"/>
        </w:rPr>
        <w:t>is only a proxy for fetal growth and does not capture the</w:t>
      </w:r>
      <w:r w:rsidR="00AB6E52" w:rsidRPr="00A51130">
        <w:rPr>
          <w:rFonts w:ascii="Times New Roman" w:hAnsi="Times New Roman" w:cs="Times New Roman"/>
          <w:sz w:val="24"/>
          <w:szCs w:val="24"/>
        </w:rPr>
        <w:t xml:space="preserve"> pattern</w:t>
      </w:r>
      <w:r w:rsidR="005D6FD5" w:rsidRPr="00A51130">
        <w:rPr>
          <w:rFonts w:ascii="Times New Roman" w:hAnsi="Times New Roman" w:cs="Times New Roman"/>
          <w:sz w:val="24"/>
          <w:szCs w:val="24"/>
        </w:rPr>
        <w:t>s</w:t>
      </w:r>
      <w:r w:rsidR="00AB6E52" w:rsidRPr="00A51130">
        <w:rPr>
          <w:rFonts w:ascii="Times New Roman" w:hAnsi="Times New Roman" w:cs="Times New Roman"/>
          <w:sz w:val="24"/>
          <w:szCs w:val="24"/>
        </w:rPr>
        <w:t xml:space="preserve"> (e.g. fetal constraint)</w:t>
      </w:r>
      <w:r w:rsidR="005D6FD5" w:rsidRPr="00A51130">
        <w:rPr>
          <w:rFonts w:ascii="Times New Roman" w:hAnsi="Times New Roman" w:cs="Times New Roman"/>
          <w:sz w:val="24"/>
          <w:szCs w:val="24"/>
        </w:rPr>
        <w:t xml:space="preserve"> that lead to a given birthweight</w:t>
      </w:r>
      <w:r w:rsidR="00DB1264" w:rsidRPr="00A51130">
        <w:rPr>
          <w:rFonts w:ascii="Times New Roman" w:hAnsi="Times New Roman" w:cs="Times New Roman"/>
          <w:sz w:val="24"/>
          <w:szCs w:val="24"/>
        </w:rPr>
        <w:t>.</w:t>
      </w:r>
    </w:p>
    <w:p w14:paraId="0DF3886C" w14:textId="35F66BC1" w:rsidR="003657BC" w:rsidRPr="00A51130" w:rsidRDefault="005F0880"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 xml:space="preserve">Three papers from the </w:t>
      </w:r>
      <w:r w:rsidR="00164C0B" w:rsidRPr="00A51130">
        <w:rPr>
          <w:rFonts w:ascii="Times New Roman" w:hAnsi="Times New Roman" w:cs="Times New Roman"/>
          <w:sz w:val="24"/>
          <w:szCs w:val="24"/>
        </w:rPr>
        <w:t>Generation R</w:t>
      </w:r>
      <w:r w:rsidR="00496351" w:rsidRPr="00A51130">
        <w:rPr>
          <w:rFonts w:ascii="Times New Roman" w:hAnsi="Times New Roman" w:cs="Times New Roman"/>
          <w:sz w:val="24"/>
          <w:szCs w:val="24"/>
        </w:rPr>
        <w:t xml:space="preserve"> </w:t>
      </w:r>
      <w:r w:rsidR="00194CBE" w:rsidRPr="00A51130">
        <w:rPr>
          <w:rFonts w:ascii="Times New Roman" w:hAnsi="Times New Roman" w:cs="Times New Roman"/>
          <w:sz w:val="24"/>
          <w:szCs w:val="24"/>
        </w:rPr>
        <w:t>birth cohort</w:t>
      </w:r>
      <w:r w:rsidR="00F90EF7" w:rsidRPr="00A51130">
        <w:rPr>
          <w:rFonts w:ascii="Times New Roman" w:hAnsi="Times New Roman" w:cs="Times New Roman"/>
          <w:sz w:val="24"/>
          <w:szCs w:val="24"/>
        </w:rPr>
        <w:t xml:space="preserve"> study</w:t>
      </w:r>
      <w:r w:rsidR="00194CBE" w:rsidRPr="00A51130">
        <w:rPr>
          <w:rFonts w:ascii="Times New Roman" w:hAnsi="Times New Roman" w:cs="Times New Roman"/>
          <w:sz w:val="24"/>
          <w:szCs w:val="24"/>
        </w:rPr>
        <w:t xml:space="preserve"> </w:t>
      </w:r>
      <w:r w:rsidR="008C0572" w:rsidRPr="00A51130">
        <w:rPr>
          <w:rFonts w:ascii="Times New Roman" w:hAnsi="Times New Roman" w:cs="Times New Roman"/>
          <w:sz w:val="24"/>
          <w:szCs w:val="24"/>
        </w:rPr>
        <w:t>based in the Netherlands</w:t>
      </w:r>
      <w:r w:rsidR="00DB45C4" w:rsidRPr="00A51130">
        <w:rPr>
          <w:rFonts w:ascii="Times New Roman" w:hAnsi="Times New Roman" w:cs="Times New Roman"/>
          <w:sz w:val="24"/>
          <w:szCs w:val="24"/>
        </w:rPr>
        <w:t>,</w:t>
      </w:r>
      <w:r w:rsidR="00F90EF7" w:rsidRPr="00A51130">
        <w:rPr>
          <w:rFonts w:ascii="Times New Roman" w:hAnsi="Times New Roman" w:cs="Times New Roman"/>
          <w:sz w:val="24"/>
          <w:szCs w:val="24"/>
        </w:rPr>
        <w:t xml:space="preserve"> </w:t>
      </w:r>
      <w:r w:rsidRPr="00A51130">
        <w:rPr>
          <w:rFonts w:ascii="Times New Roman" w:hAnsi="Times New Roman" w:cs="Times New Roman"/>
          <w:sz w:val="24"/>
          <w:szCs w:val="24"/>
        </w:rPr>
        <w:t>have shown that</w:t>
      </w:r>
      <w:r w:rsidR="00BF4A9D" w:rsidRPr="00A51130">
        <w:rPr>
          <w:rFonts w:ascii="Times New Roman" w:hAnsi="Times New Roman" w:cs="Times New Roman"/>
          <w:sz w:val="24"/>
          <w:szCs w:val="24"/>
        </w:rPr>
        <w:t xml:space="preserve"> the relationship between infant weight gain and</w:t>
      </w:r>
      <w:r w:rsidR="00F90EF7" w:rsidRPr="00A51130">
        <w:rPr>
          <w:rFonts w:ascii="Times New Roman" w:hAnsi="Times New Roman" w:cs="Times New Roman"/>
          <w:sz w:val="24"/>
          <w:szCs w:val="24"/>
        </w:rPr>
        <w:t xml:space="preserve"> childhood outcomes differ</w:t>
      </w:r>
      <w:r w:rsidR="00BF4A9D" w:rsidRPr="00A51130">
        <w:rPr>
          <w:rFonts w:ascii="Times New Roman" w:hAnsi="Times New Roman" w:cs="Times New Roman"/>
          <w:sz w:val="24"/>
          <w:szCs w:val="24"/>
        </w:rPr>
        <w:t>s</w:t>
      </w:r>
      <w:r w:rsidR="00F90EF7" w:rsidRPr="00A51130">
        <w:rPr>
          <w:rFonts w:ascii="Times New Roman" w:hAnsi="Times New Roman" w:cs="Times New Roman"/>
          <w:sz w:val="24"/>
          <w:szCs w:val="24"/>
        </w:rPr>
        <w:t xml:space="preserve"> according to </w:t>
      </w:r>
      <w:r w:rsidR="00DE5CB4" w:rsidRPr="00A51130">
        <w:rPr>
          <w:rFonts w:ascii="Times New Roman" w:hAnsi="Times New Roman" w:cs="Times New Roman"/>
          <w:sz w:val="24"/>
          <w:szCs w:val="24"/>
        </w:rPr>
        <w:t>direct</w:t>
      </w:r>
      <w:r w:rsidR="00CE58DA" w:rsidRPr="00A51130">
        <w:rPr>
          <w:rFonts w:ascii="Times New Roman" w:hAnsi="Times New Roman" w:cs="Times New Roman"/>
          <w:sz w:val="24"/>
          <w:szCs w:val="24"/>
        </w:rPr>
        <w:t xml:space="preserve"> </w:t>
      </w:r>
      <w:r w:rsidR="00DE5CB4" w:rsidRPr="00A51130">
        <w:rPr>
          <w:rFonts w:ascii="Times New Roman" w:hAnsi="Times New Roman" w:cs="Times New Roman"/>
          <w:sz w:val="24"/>
          <w:szCs w:val="24"/>
        </w:rPr>
        <w:t xml:space="preserve">measures of </w:t>
      </w:r>
      <w:r w:rsidR="00F90EF7" w:rsidRPr="00A51130">
        <w:rPr>
          <w:rFonts w:ascii="Times New Roman" w:hAnsi="Times New Roman" w:cs="Times New Roman"/>
          <w:sz w:val="24"/>
          <w:szCs w:val="24"/>
        </w:rPr>
        <w:t>fetal growth</w:t>
      </w:r>
      <w:r w:rsidR="00FD3EE4" w:rsidRPr="00A51130">
        <w:rPr>
          <w:rFonts w:ascii="Times New Roman" w:hAnsi="Times New Roman" w:cs="Times New Roman"/>
          <w:sz w:val="24"/>
          <w:szCs w:val="24"/>
        </w:rPr>
        <w:t xml:space="preserve">. </w:t>
      </w:r>
      <w:r w:rsidR="00F46AFF" w:rsidRPr="00A51130">
        <w:rPr>
          <w:rFonts w:ascii="Times New Roman" w:hAnsi="Times New Roman" w:cs="Times New Roman"/>
          <w:sz w:val="24"/>
          <w:szCs w:val="24"/>
        </w:rPr>
        <w:t xml:space="preserve">In these studies, </w:t>
      </w:r>
      <w:r w:rsidR="00641C2A" w:rsidRPr="00A51130">
        <w:rPr>
          <w:rFonts w:ascii="Times New Roman" w:hAnsi="Times New Roman" w:cs="Times New Roman"/>
          <w:sz w:val="24"/>
          <w:szCs w:val="24"/>
        </w:rPr>
        <w:t>‘fetal growth acceleration’</w:t>
      </w:r>
      <w:r w:rsidR="008E6ECD" w:rsidRPr="00A51130">
        <w:rPr>
          <w:rFonts w:ascii="Times New Roman" w:hAnsi="Times New Roman" w:cs="Times New Roman"/>
          <w:sz w:val="24"/>
          <w:szCs w:val="24"/>
        </w:rPr>
        <w:t xml:space="preserve"> </w:t>
      </w:r>
      <w:r w:rsidR="00F46AFF" w:rsidRPr="00A51130">
        <w:rPr>
          <w:rFonts w:ascii="Times New Roman" w:hAnsi="Times New Roman" w:cs="Times New Roman"/>
          <w:sz w:val="24"/>
          <w:szCs w:val="24"/>
        </w:rPr>
        <w:t xml:space="preserve">and ‘fetal growth deceleration’ were defined as </w:t>
      </w:r>
      <w:r w:rsidR="00F40B10" w:rsidRPr="00A51130">
        <w:rPr>
          <w:rFonts w:ascii="Times New Roman" w:hAnsi="Times New Roman" w:cs="Times New Roman"/>
          <w:sz w:val="24"/>
          <w:szCs w:val="24"/>
        </w:rPr>
        <w:t xml:space="preserve">a </w:t>
      </w:r>
      <w:r w:rsidR="00734810" w:rsidRPr="00A51130">
        <w:rPr>
          <w:rFonts w:ascii="Times New Roman" w:hAnsi="Times New Roman" w:cs="Times New Roman"/>
          <w:sz w:val="24"/>
          <w:szCs w:val="24"/>
        </w:rPr>
        <w:t>difference between 20 week estimated fetal weight (EFW) z-score and birthweight z-score</w:t>
      </w:r>
      <w:r w:rsidR="002B1EAD" w:rsidRPr="00A51130">
        <w:rPr>
          <w:rFonts w:ascii="Times New Roman" w:hAnsi="Times New Roman" w:cs="Times New Roman"/>
          <w:sz w:val="24"/>
          <w:szCs w:val="24"/>
        </w:rPr>
        <w:t>&gt;0.67</w:t>
      </w:r>
      <w:r w:rsidR="00F40B10" w:rsidRPr="00A51130">
        <w:rPr>
          <w:rFonts w:ascii="Times New Roman" w:hAnsi="Times New Roman" w:cs="Times New Roman"/>
          <w:sz w:val="24"/>
          <w:szCs w:val="24"/>
        </w:rPr>
        <w:t xml:space="preserve"> and &lt;-0.67, respectively</w:t>
      </w:r>
      <w:r w:rsidR="00D03DE1" w:rsidRPr="00A51130">
        <w:rPr>
          <w:rFonts w:ascii="Times New Roman" w:hAnsi="Times New Roman" w:cs="Times New Roman"/>
          <w:sz w:val="24"/>
          <w:szCs w:val="24"/>
        </w:rPr>
        <w:t xml:space="preserve">. These were then </w:t>
      </w:r>
      <w:r w:rsidR="00574702" w:rsidRPr="00A51130">
        <w:rPr>
          <w:rFonts w:ascii="Times New Roman" w:hAnsi="Times New Roman" w:cs="Times New Roman"/>
          <w:sz w:val="24"/>
          <w:szCs w:val="24"/>
        </w:rPr>
        <w:t xml:space="preserve">related to </w:t>
      </w:r>
      <w:r w:rsidR="00F90EF7" w:rsidRPr="00A51130">
        <w:rPr>
          <w:rFonts w:ascii="Times New Roman" w:hAnsi="Times New Roman" w:cs="Times New Roman"/>
          <w:sz w:val="24"/>
          <w:szCs w:val="24"/>
        </w:rPr>
        <w:t xml:space="preserve">infant </w:t>
      </w:r>
      <w:r w:rsidR="00994277" w:rsidRPr="00A51130">
        <w:rPr>
          <w:rFonts w:ascii="Times New Roman" w:hAnsi="Times New Roman" w:cs="Times New Roman"/>
          <w:sz w:val="24"/>
          <w:szCs w:val="24"/>
        </w:rPr>
        <w:t>weight gain</w:t>
      </w:r>
      <w:r w:rsidR="00F90EF7" w:rsidRPr="00A51130">
        <w:rPr>
          <w:rFonts w:ascii="Times New Roman" w:hAnsi="Times New Roman" w:cs="Times New Roman"/>
          <w:sz w:val="24"/>
          <w:szCs w:val="24"/>
        </w:rPr>
        <w:t xml:space="preserve"> (</w:t>
      </w:r>
      <w:r w:rsidR="00C85D40" w:rsidRPr="00A51130">
        <w:rPr>
          <w:rFonts w:ascii="Times New Roman" w:hAnsi="Times New Roman" w:cs="Times New Roman"/>
          <w:sz w:val="24"/>
          <w:szCs w:val="24"/>
        </w:rPr>
        <w:t xml:space="preserve">difference in </w:t>
      </w:r>
      <w:r w:rsidR="004B78B3" w:rsidRPr="00A51130">
        <w:rPr>
          <w:rFonts w:ascii="Times New Roman" w:hAnsi="Times New Roman" w:cs="Times New Roman"/>
          <w:sz w:val="24"/>
          <w:szCs w:val="24"/>
        </w:rPr>
        <w:t>weight</w:t>
      </w:r>
      <w:r w:rsidR="00994277" w:rsidRPr="00A51130">
        <w:rPr>
          <w:rFonts w:ascii="Times New Roman" w:hAnsi="Times New Roman" w:cs="Times New Roman"/>
          <w:sz w:val="24"/>
          <w:szCs w:val="24"/>
        </w:rPr>
        <w:t xml:space="preserve">-for-age z-scores </w:t>
      </w:r>
      <w:r w:rsidR="0054170F" w:rsidRPr="00A51130">
        <w:rPr>
          <w:rFonts w:ascii="Times New Roman" w:hAnsi="Times New Roman" w:cs="Times New Roman"/>
          <w:sz w:val="24"/>
          <w:szCs w:val="24"/>
        </w:rPr>
        <w:t>between birth-6 months, 6-12 months and 12-24 months</w:t>
      </w:r>
      <w:r w:rsidR="003E7A1A" w:rsidRPr="00A51130">
        <w:rPr>
          <w:rFonts w:ascii="Times New Roman" w:hAnsi="Times New Roman" w:cs="Times New Roman"/>
          <w:sz w:val="24"/>
          <w:szCs w:val="24"/>
        </w:rPr>
        <w:t>,</w:t>
      </w:r>
      <w:r w:rsidR="004F52D6" w:rsidRPr="00A51130">
        <w:rPr>
          <w:rFonts w:ascii="Times New Roman" w:hAnsi="Times New Roman" w:cs="Times New Roman"/>
          <w:sz w:val="24"/>
          <w:szCs w:val="24"/>
        </w:rPr>
        <w:t xml:space="preserve"> </w:t>
      </w:r>
      <w:r w:rsidR="003E7A1A" w:rsidRPr="00A51130">
        <w:rPr>
          <w:rFonts w:ascii="Times New Roman" w:hAnsi="Times New Roman" w:cs="Times New Roman"/>
          <w:sz w:val="24"/>
          <w:szCs w:val="24"/>
        </w:rPr>
        <w:t xml:space="preserve">with a difference of &gt;0.67 and &lt;-0.67 z-scores indicating </w:t>
      </w:r>
      <w:r w:rsidR="00FD23B6" w:rsidRPr="00A51130">
        <w:rPr>
          <w:rFonts w:ascii="Times New Roman" w:hAnsi="Times New Roman" w:cs="Times New Roman"/>
          <w:sz w:val="24"/>
          <w:szCs w:val="24"/>
        </w:rPr>
        <w:t>‘</w:t>
      </w:r>
      <w:r w:rsidR="003E7A1A" w:rsidRPr="00A51130">
        <w:rPr>
          <w:rFonts w:ascii="Times New Roman" w:hAnsi="Times New Roman" w:cs="Times New Roman"/>
          <w:sz w:val="24"/>
          <w:szCs w:val="24"/>
        </w:rPr>
        <w:t>infant growth acceleration</w:t>
      </w:r>
      <w:r w:rsidR="00FD23B6" w:rsidRPr="00A51130">
        <w:rPr>
          <w:rFonts w:ascii="Times New Roman" w:hAnsi="Times New Roman" w:cs="Times New Roman"/>
          <w:sz w:val="24"/>
          <w:szCs w:val="24"/>
        </w:rPr>
        <w:t>’</w:t>
      </w:r>
      <w:r w:rsidR="003E7A1A" w:rsidRPr="00A51130">
        <w:rPr>
          <w:rFonts w:ascii="Times New Roman" w:hAnsi="Times New Roman" w:cs="Times New Roman"/>
          <w:sz w:val="24"/>
          <w:szCs w:val="24"/>
        </w:rPr>
        <w:t xml:space="preserve"> and </w:t>
      </w:r>
      <w:r w:rsidR="00FD23B6" w:rsidRPr="00A51130">
        <w:rPr>
          <w:rFonts w:ascii="Times New Roman" w:hAnsi="Times New Roman" w:cs="Times New Roman"/>
          <w:sz w:val="24"/>
          <w:szCs w:val="24"/>
        </w:rPr>
        <w:t>‘</w:t>
      </w:r>
      <w:r w:rsidR="003E7A1A" w:rsidRPr="00A51130">
        <w:rPr>
          <w:rFonts w:ascii="Times New Roman" w:hAnsi="Times New Roman" w:cs="Times New Roman"/>
          <w:sz w:val="24"/>
          <w:szCs w:val="24"/>
        </w:rPr>
        <w:t>deceleration</w:t>
      </w:r>
      <w:r w:rsidR="00FD23B6" w:rsidRPr="00A51130">
        <w:rPr>
          <w:rFonts w:ascii="Times New Roman" w:hAnsi="Times New Roman" w:cs="Times New Roman"/>
          <w:sz w:val="24"/>
          <w:szCs w:val="24"/>
        </w:rPr>
        <w:t>’</w:t>
      </w:r>
      <w:r w:rsidR="003E7A1A" w:rsidRPr="00A51130">
        <w:rPr>
          <w:rFonts w:ascii="Times New Roman" w:hAnsi="Times New Roman" w:cs="Times New Roman"/>
          <w:sz w:val="24"/>
          <w:szCs w:val="24"/>
        </w:rPr>
        <w:t>, respectively</w:t>
      </w:r>
      <w:r w:rsidR="00F90EF7" w:rsidRPr="00A51130">
        <w:rPr>
          <w:rFonts w:ascii="Times New Roman" w:hAnsi="Times New Roman" w:cs="Times New Roman"/>
          <w:sz w:val="24"/>
          <w:szCs w:val="24"/>
        </w:rPr>
        <w:t>)</w:t>
      </w:r>
      <w:r w:rsidR="003E7A1A" w:rsidRPr="00A51130">
        <w:rPr>
          <w:rFonts w:ascii="Times New Roman" w:hAnsi="Times New Roman" w:cs="Times New Roman"/>
          <w:sz w:val="24"/>
          <w:szCs w:val="24"/>
        </w:rPr>
        <w:t xml:space="preserve">. </w:t>
      </w:r>
      <w:r w:rsidR="00715B69">
        <w:rPr>
          <w:rFonts w:ascii="Times New Roman" w:hAnsi="Times New Roman" w:cs="Times New Roman"/>
          <w:sz w:val="24"/>
          <w:szCs w:val="24"/>
        </w:rPr>
        <w:t xml:space="preserve">While all three studies showed an interaction effect, </w:t>
      </w:r>
      <w:r w:rsidR="006B2FDE" w:rsidRPr="00A51130">
        <w:rPr>
          <w:rFonts w:ascii="Times New Roman" w:hAnsi="Times New Roman" w:cs="Times New Roman"/>
          <w:sz w:val="24"/>
          <w:szCs w:val="24"/>
        </w:rPr>
        <w:t>the effects differed depending on the outcome</w:t>
      </w:r>
      <w:r w:rsidR="006B2FDE">
        <w:rPr>
          <w:rFonts w:ascii="Times New Roman" w:hAnsi="Times New Roman" w:cs="Times New Roman"/>
          <w:sz w:val="24"/>
          <w:szCs w:val="24"/>
        </w:rPr>
        <w:t xml:space="preserve">, </w:t>
      </w:r>
      <w:r w:rsidR="006B2FDE" w:rsidRPr="00A51130">
        <w:rPr>
          <w:rFonts w:ascii="Times New Roman" w:hAnsi="Times New Roman" w:cs="Times New Roman"/>
          <w:sz w:val="24"/>
          <w:szCs w:val="24"/>
        </w:rPr>
        <w:t xml:space="preserve">with some outcomes associated with ‘reduced fetal + increased infant’ growth while others were associated with ‘increased fetal + increased infant’ growth. </w:t>
      </w:r>
      <w:r w:rsidR="006B2FDE" w:rsidRPr="00A51130" w:rsidDel="006B2FDE">
        <w:rPr>
          <w:rFonts w:ascii="Times New Roman" w:hAnsi="Times New Roman" w:cs="Times New Roman"/>
          <w:sz w:val="24"/>
          <w:szCs w:val="24"/>
        </w:rPr>
        <w:t xml:space="preserve"> </w:t>
      </w:r>
      <w:r w:rsidR="006B2FDE">
        <w:rPr>
          <w:rFonts w:ascii="Times New Roman" w:hAnsi="Times New Roman" w:cs="Times New Roman"/>
          <w:sz w:val="24"/>
          <w:szCs w:val="24"/>
        </w:rPr>
        <w:t>As such</w:t>
      </w:r>
      <w:r w:rsidR="003657BC" w:rsidRPr="00A51130">
        <w:rPr>
          <w:rFonts w:ascii="Times New Roman" w:hAnsi="Times New Roman" w:cs="Times New Roman"/>
          <w:sz w:val="24"/>
          <w:szCs w:val="24"/>
        </w:rPr>
        <w:t>,</w:t>
      </w:r>
      <w:r w:rsidR="00D21251" w:rsidRPr="00A51130">
        <w:rPr>
          <w:rFonts w:ascii="Times New Roman" w:hAnsi="Times New Roman" w:cs="Times New Roman"/>
          <w:sz w:val="24"/>
          <w:szCs w:val="24"/>
        </w:rPr>
        <w:t xml:space="preserve"> the results from these three studies are equivocal and </w:t>
      </w:r>
      <w:r w:rsidR="009E1E46" w:rsidRPr="00A51130">
        <w:rPr>
          <w:rFonts w:ascii="Times New Roman" w:hAnsi="Times New Roman" w:cs="Times New Roman"/>
          <w:sz w:val="24"/>
          <w:szCs w:val="24"/>
        </w:rPr>
        <w:t xml:space="preserve">further research </w:t>
      </w:r>
      <w:r w:rsidR="00A62C4E" w:rsidRPr="00A51130">
        <w:rPr>
          <w:rFonts w:ascii="Times New Roman" w:hAnsi="Times New Roman" w:cs="Times New Roman"/>
          <w:sz w:val="24"/>
          <w:szCs w:val="24"/>
        </w:rPr>
        <w:t xml:space="preserve">in different </w:t>
      </w:r>
      <w:r w:rsidR="00B74132" w:rsidRPr="00A51130">
        <w:rPr>
          <w:rFonts w:ascii="Times New Roman" w:hAnsi="Times New Roman" w:cs="Times New Roman"/>
          <w:sz w:val="24"/>
          <w:szCs w:val="24"/>
        </w:rPr>
        <w:t>cohorts</w:t>
      </w:r>
      <w:r w:rsidR="00A62C4E" w:rsidRPr="00A51130">
        <w:rPr>
          <w:rFonts w:ascii="Times New Roman" w:hAnsi="Times New Roman" w:cs="Times New Roman"/>
          <w:sz w:val="24"/>
          <w:szCs w:val="24"/>
        </w:rPr>
        <w:t xml:space="preserve"> is required</w:t>
      </w:r>
      <w:r w:rsidR="00B74132" w:rsidRPr="00A51130">
        <w:rPr>
          <w:rFonts w:ascii="Times New Roman" w:hAnsi="Times New Roman" w:cs="Times New Roman"/>
          <w:sz w:val="24"/>
          <w:szCs w:val="24"/>
        </w:rPr>
        <w:t>.</w:t>
      </w:r>
      <w:r w:rsidR="00382E39" w:rsidRPr="00A51130">
        <w:rPr>
          <w:rFonts w:ascii="Times New Roman" w:hAnsi="Times New Roman" w:cs="Times New Roman"/>
          <w:sz w:val="24"/>
          <w:szCs w:val="24"/>
        </w:rPr>
        <w:t xml:space="preserve"> </w:t>
      </w:r>
    </w:p>
    <w:p w14:paraId="5BAA8585" w14:textId="758BB90A" w:rsidR="003657BC" w:rsidRPr="00A51130" w:rsidRDefault="00196487" w:rsidP="00A51130">
      <w:pPr>
        <w:spacing w:line="480" w:lineRule="auto"/>
        <w:rPr>
          <w:rFonts w:ascii="Times New Roman" w:hAnsi="Times New Roman" w:cs="Times New Roman"/>
          <w:b/>
          <w:sz w:val="24"/>
          <w:szCs w:val="24"/>
        </w:rPr>
        <w:sectPr w:rsidR="003657BC" w:rsidRPr="00A51130">
          <w:pgSz w:w="11906" w:h="16838"/>
          <w:pgMar w:top="1440" w:right="1440" w:bottom="1440" w:left="1440" w:header="708" w:footer="708" w:gutter="0"/>
          <w:cols w:space="708"/>
          <w:docGrid w:linePitch="360"/>
        </w:sectPr>
      </w:pPr>
      <w:r w:rsidRPr="00A51130">
        <w:rPr>
          <w:rFonts w:ascii="Times New Roman" w:hAnsi="Times New Roman" w:cs="Times New Roman"/>
          <w:sz w:val="24"/>
          <w:szCs w:val="24"/>
        </w:rPr>
        <w:t>The aim of th</w:t>
      </w:r>
      <w:r w:rsidR="007936D6" w:rsidRPr="00A51130">
        <w:rPr>
          <w:rFonts w:ascii="Times New Roman" w:hAnsi="Times New Roman" w:cs="Times New Roman"/>
          <w:sz w:val="24"/>
          <w:szCs w:val="24"/>
        </w:rPr>
        <w:t xml:space="preserve">e present </w:t>
      </w:r>
      <w:r w:rsidRPr="00A51130">
        <w:rPr>
          <w:rFonts w:ascii="Times New Roman" w:hAnsi="Times New Roman" w:cs="Times New Roman"/>
          <w:sz w:val="24"/>
          <w:szCs w:val="24"/>
        </w:rPr>
        <w:t xml:space="preserve">study </w:t>
      </w:r>
      <w:r w:rsidR="005B4298" w:rsidRPr="00A51130">
        <w:rPr>
          <w:rFonts w:ascii="Times New Roman" w:hAnsi="Times New Roman" w:cs="Times New Roman"/>
          <w:sz w:val="24"/>
          <w:szCs w:val="24"/>
        </w:rPr>
        <w:t>was to</w:t>
      </w:r>
      <w:r w:rsidR="001919D6" w:rsidRPr="00A51130">
        <w:rPr>
          <w:rFonts w:ascii="Times New Roman" w:hAnsi="Times New Roman" w:cs="Times New Roman"/>
          <w:sz w:val="24"/>
          <w:szCs w:val="24"/>
        </w:rPr>
        <w:t xml:space="preserve"> assess </w:t>
      </w:r>
      <w:r w:rsidR="005747F4" w:rsidRPr="00A51130">
        <w:rPr>
          <w:rFonts w:ascii="Times New Roman" w:hAnsi="Times New Roman" w:cs="Times New Roman"/>
          <w:sz w:val="24"/>
          <w:szCs w:val="24"/>
        </w:rPr>
        <w:t xml:space="preserve">whether </w:t>
      </w:r>
      <w:r w:rsidR="00E314EF" w:rsidRPr="00A51130">
        <w:rPr>
          <w:rFonts w:ascii="Times New Roman" w:hAnsi="Times New Roman" w:cs="Times New Roman"/>
          <w:sz w:val="24"/>
          <w:szCs w:val="24"/>
        </w:rPr>
        <w:t xml:space="preserve">the relationship </w:t>
      </w:r>
      <w:r w:rsidR="00EB15E6" w:rsidRPr="00A51130">
        <w:rPr>
          <w:rFonts w:ascii="Times New Roman" w:hAnsi="Times New Roman" w:cs="Times New Roman"/>
          <w:sz w:val="24"/>
          <w:szCs w:val="24"/>
        </w:rPr>
        <w:t>of infant weight gain (</w:t>
      </w:r>
      <w:r w:rsidR="00BC0670" w:rsidRPr="00A51130">
        <w:rPr>
          <w:rFonts w:ascii="Times New Roman" w:hAnsi="Times New Roman" w:cs="Times New Roman"/>
          <w:sz w:val="24"/>
          <w:szCs w:val="24"/>
        </w:rPr>
        <w:t>0-2</w:t>
      </w:r>
      <w:r w:rsidR="006C253E" w:rsidRPr="00A51130">
        <w:rPr>
          <w:rFonts w:ascii="Times New Roman" w:hAnsi="Times New Roman" w:cs="Times New Roman"/>
          <w:sz w:val="24"/>
          <w:szCs w:val="24"/>
        </w:rPr>
        <w:t xml:space="preserve"> </w:t>
      </w:r>
      <w:r w:rsidR="00BC0670" w:rsidRPr="00A51130">
        <w:rPr>
          <w:rFonts w:ascii="Times New Roman" w:hAnsi="Times New Roman" w:cs="Times New Roman"/>
          <w:sz w:val="24"/>
          <w:szCs w:val="24"/>
        </w:rPr>
        <w:t>year</w:t>
      </w:r>
      <w:r w:rsidR="00EB15E6" w:rsidRPr="00A51130">
        <w:rPr>
          <w:rFonts w:ascii="Times New Roman" w:hAnsi="Times New Roman" w:cs="Times New Roman"/>
          <w:sz w:val="24"/>
          <w:szCs w:val="24"/>
        </w:rPr>
        <w:t>)</w:t>
      </w:r>
      <w:r w:rsidR="00E314EF" w:rsidRPr="00A51130">
        <w:rPr>
          <w:rFonts w:ascii="Times New Roman" w:hAnsi="Times New Roman" w:cs="Times New Roman"/>
          <w:sz w:val="24"/>
          <w:szCs w:val="24"/>
        </w:rPr>
        <w:t xml:space="preserve"> </w:t>
      </w:r>
      <w:r w:rsidR="0060035E" w:rsidRPr="00A51130">
        <w:rPr>
          <w:rFonts w:ascii="Times New Roman" w:hAnsi="Times New Roman" w:cs="Times New Roman"/>
          <w:sz w:val="24"/>
          <w:szCs w:val="24"/>
        </w:rPr>
        <w:t xml:space="preserve">with </w:t>
      </w:r>
      <w:r w:rsidR="00243941" w:rsidRPr="00A51130">
        <w:rPr>
          <w:rFonts w:ascii="Times New Roman" w:hAnsi="Times New Roman" w:cs="Times New Roman"/>
          <w:sz w:val="24"/>
          <w:szCs w:val="24"/>
        </w:rPr>
        <w:t xml:space="preserve">childhood </w:t>
      </w:r>
      <w:r w:rsidR="0060035E" w:rsidRPr="00A51130">
        <w:rPr>
          <w:rFonts w:ascii="Times New Roman" w:hAnsi="Times New Roman" w:cs="Times New Roman"/>
          <w:sz w:val="24"/>
          <w:szCs w:val="24"/>
        </w:rPr>
        <w:t xml:space="preserve">adiposity and </w:t>
      </w:r>
      <w:r w:rsidR="00243941" w:rsidRPr="00A51130">
        <w:rPr>
          <w:rFonts w:ascii="Times New Roman" w:hAnsi="Times New Roman" w:cs="Times New Roman"/>
          <w:sz w:val="24"/>
          <w:szCs w:val="24"/>
        </w:rPr>
        <w:t>blood pressure</w:t>
      </w:r>
      <w:r w:rsidR="005747F4" w:rsidRPr="00A51130">
        <w:rPr>
          <w:rFonts w:ascii="Times New Roman" w:hAnsi="Times New Roman" w:cs="Times New Roman"/>
          <w:sz w:val="24"/>
          <w:szCs w:val="24"/>
        </w:rPr>
        <w:t xml:space="preserve"> </w:t>
      </w:r>
      <w:r w:rsidR="006F61CB" w:rsidRPr="00A51130">
        <w:rPr>
          <w:rFonts w:ascii="Times New Roman" w:hAnsi="Times New Roman" w:cs="Times New Roman"/>
          <w:sz w:val="24"/>
          <w:szCs w:val="24"/>
        </w:rPr>
        <w:t>was</w:t>
      </w:r>
      <w:r w:rsidR="005747F4" w:rsidRPr="00A51130">
        <w:rPr>
          <w:rFonts w:ascii="Times New Roman" w:hAnsi="Times New Roman" w:cs="Times New Roman"/>
          <w:sz w:val="24"/>
          <w:szCs w:val="24"/>
        </w:rPr>
        <w:t xml:space="preserve"> modified by </w:t>
      </w:r>
      <w:r w:rsidR="0060035E" w:rsidRPr="00A51130">
        <w:rPr>
          <w:rFonts w:ascii="Times New Roman" w:hAnsi="Times New Roman" w:cs="Times New Roman"/>
          <w:sz w:val="24"/>
          <w:szCs w:val="24"/>
        </w:rPr>
        <w:t xml:space="preserve">fetal growth in the </w:t>
      </w:r>
      <w:r w:rsidR="00D14407" w:rsidRPr="00A51130">
        <w:rPr>
          <w:rFonts w:ascii="Times New Roman" w:hAnsi="Times New Roman" w:cs="Times New Roman"/>
          <w:sz w:val="24"/>
          <w:szCs w:val="24"/>
        </w:rPr>
        <w:t xml:space="preserve">Southampton Women’s </w:t>
      </w:r>
      <w:r w:rsidR="0060035E" w:rsidRPr="00A51130">
        <w:rPr>
          <w:rFonts w:ascii="Times New Roman" w:hAnsi="Times New Roman" w:cs="Times New Roman"/>
          <w:sz w:val="24"/>
          <w:szCs w:val="24"/>
        </w:rPr>
        <w:t>S</w:t>
      </w:r>
      <w:r w:rsidR="00D14407" w:rsidRPr="00A51130">
        <w:rPr>
          <w:rFonts w:ascii="Times New Roman" w:hAnsi="Times New Roman" w:cs="Times New Roman"/>
          <w:sz w:val="24"/>
          <w:szCs w:val="24"/>
        </w:rPr>
        <w:t>urvey, a population</w:t>
      </w:r>
      <w:r w:rsidR="006C253E" w:rsidRPr="00A51130">
        <w:rPr>
          <w:rFonts w:ascii="Times New Roman" w:hAnsi="Times New Roman" w:cs="Times New Roman"/>
          <w:sz w:val="24"/>
          <w:szCs w:val="24"/>
        </w:rPr>
        <w:t>-</w:t>
      </w:r>
      <w:r w:rsidR="00D14407" w:rsidRPr="00A51130">
        <w:rPr>
          <w:rFonts w:ascii="Times New Roman" w:hAnsi="Times New Roman" w:cs="Times New Roman"/>
          <w:sz w:val="24"/>
          <w:szCs w:val="24"/>
        </w:rPr>
        <w:t>based cohort-study in the U</w:t>
      </w:r>
      <w:r w:rsidR="00DE2602" w:rsidRPr="00A51130">
        <w:rPr>
          <w:rFonts w:ascii="Times New Roman" w:hAnsi="Times New Roman" w:cs="Times New Roman"/>
          <w:sz w:val="24"/>
          <w:szCs w:val="24"/>
        </w:rPr>
        <w:t>nited Kingdom</w:t>
      </w:r>
      <w:r w:rsidR="0060035E" w:rsidRPr="00A51130">
        <w:rPr>
          <w:rFonts w:ascii="Times New Roman" w:hAnsi="Times New Roman" w:cs="Times New Roman"/>
          <w:sz w:val="24"/>
          <w:szCs w:val="24"/>
        </w:rPr>
        <w:t xml:space="preserve">. </w:t>
      </w:r>
    </w:p>
    <w:p w14:paraId="009D184C" w14:textId="77777777" w:rsidR="00600DA0" w:rsidRPr="00A51130" w:rsidRDefault="00600DA0" w:rsidP="00A51130">
      <w:pPr>
        <w:spacing w:line="480" w:lineRule="auto"/>
        <w:rPr>
          <w:rFonts w:ascii="Times New Roman" w:hAnsi="Times New Roman" w:cs="Times New Roman"/>
          <w:b/>
          <w:sz w:val="24"/>
          <w:szCs w:val="24"/>
        </w:rPr>
      </w:pPr>
      <w:r w:rsidRPr="00A51130">
        <w:rPr>
          <w:rFonts w:ascii="Times New Roman" w:hAnsi="Times New Roman" w:cs="Times New Roman"/>
          <w:b/>
          <w:sz w:val="24"/>
          <w:szCs w:val="24"/>
        </w:rPr>
        <w:t>Methods</w:t>
      </w:r>
    </w:p>
    <w:p w14:paraId="03C5CD14" w14:textId="22F224B2" w:rsidR="000425E0" w:rsidRPr="00A51130" w:rsidRDefault="000425E0" w:rsidP="00A51130">
      <w:pPr>
        <w:spacing w:line="480" w:lineRule="auto"/>
        <w:rPr>
          <w:rFonts w:ascii="Times New Roman" w:hAnsi="Times New Roman" w:cs="Times New Roman"/>
          <w:b/>
          <w:bCs/>
          <w:i/>
          <w:sz w:val="24"/>
          <w:szCs w:val="24"/>
        </w:rPr>
      </w:pPr>
      <w:r w:rsidRPr="00A51130">
        <w:rPr>
          <w:rFonts w:ascii="Times New Roman" w:hAnsi="Times New Roman" w:cs="Times New Roman"/>
          <w:b/>
          <w:bCs/>
          <w:i/>
          <w:sz w:val="24"/>
          <w:szCs w:val="24"/>
        </w:rPr>
        <w:t>Participants</w:t>
      </w:r>
    </w:p>
    <w:p w14:paraId="2CE00F90" w14:textId="7CC79680" w:rsidR="003F3BE2" w:rsidRPr="00A51130" w:rsidRDefault="00EE7DEB"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 xml:space="preserve">We used data </w:t>
      </w:r>
      <w:r w:rsidR="000425E0" w:rsidRPr="00A51130">
        <w:rPr>
          <w:rFonts w:ascii="Times New Roman" w:hAnsi="Times New Roman" w:cs="Times New Roman"/>
          <w:sz w:val="24"/>
          <w:szCs w:val="24"/>
        </w:rPr>
        <w:t xml:space="preserve">from the Southampton Women’s Survey, a prospective cohort study of 12,583 </w:t>
      </w:r>
      <w:r w:rsidR="00C278A7" w:rsidRPr="00A51130">
        <w:rPr>
          <w:rFonts w:ascii="Times New Roman" w:hAnsi="Times New Roman" w:cs="Times New Roman"/>
          <w:sz w:val="24"/>
          <w:szCs w:val="24"/>
        </w:rPr>
        <w:t xml:space="preserve">non-pregnant </w:t>
      </w:r>
      <w:r w:rsidR="000425E0" w:rsidRPr="00A51130">
        <w:rPr>
          <w:rFonts w:ascii="Times New Roman" w:hAnsi="Times New Roman" w:cs="Times New Roman"/>
          <w:sz w:val="24"/>
          <w:szCs w:val="24"/>
        </w:rPr>
        <w:t>women aged 20-34 years recruited from the general population</w:t>
      </w:r>
      <w:r w:rsidR="007D3AC8"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{"citationItems":[{"id":"ITEM-1","itemData":{"DOI":"10.1093/ije/dyi202","ISSN":"1464-3685","author":[{"dropping-particle":"","family":"Inskip","given":"Hazel M","non-dropping-particle":"","parse-names":false,"suffix":""},{"dropping-particle":"","family":"Godfrey","given":"Keith M","non-dropping-particle":"","parse-names":false,"suffix":""},{"dropping-particle":"","family":"Robinson","given":"Siân M","non-dropping-particle":"","parse-names":false,"suffix":""},{"dropping-particle":"","family":"Law","given":"Catherine M","non-dropping-particle":"","parse-names":false,"suffix":""},{"dropping-particle":"","family":"Barker","given":"David JP","non-dropping-particle":"","parse-names":false,"suffix":""},{"dropping-particle":"","family":"Cooper","given":"Cyrus","non-dropping-particle":"","parse-names":false,"suffix":""}],"container-title":"International Journal of Epidemiology","id":"ITEM-1","issue":"1","issued":{"date-parts":[["2006","2","1"]]},"page":"42-48","publisher":"Oxford University Press","title":"Cohort profile: The Southampton Women's Survey","type":"article-journal","volume":"35"},"uris":["http://www.mendeley.com/documents/?uuid=4da0f9f6-0f6a-3df2-8894-29648a81599a"]}],"mendeley":{"formattedCitation":"(Inskip et al. 2006)","plainTextFormattedCitation":"(Inskip et al. 2006)","previouslyFormattedCitation":"(Inskip et al. 2006)"},"properties":{"noteIndex":0},"schema":"https://github.com/citation-style-language/schema/raw/master/csl-citation.json"}</w:instrText>
      </w:r>
      <w:r w:rsidR="007D3AC8"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(Inskip et al. 2006)</w:t>
      </w:r>
      <w:r w:rsidR="007D3AC8" w:rsidRPr="00A51130">
        <w:rPr>
          <w:rFonts w:ascii="Times New Roman" w:hAnsi="Times New Roman" w:cs="Times New Roman"/>
          <w:sz w:val="24"/>
          <w:szCs w:val="24"/>
        </w:rPr>
        <w:fldChar w:fldCharType="end"/>
      </w:r>
      <w:r w:rsidR="000425E0" w:rsidRPr="00A51130">
        <w:rPr>
          <w:rFonts w:ascii="Times New Roman" w:hAnsi="Times New Roman" w:cs="Times New Roman"/>
          <w:sz w:val="24"/>
          <w:szCs w:val="24"/>
        </w:rPr>
        <w:t xml:space="preserve">. </w:t>
      </w:r>
      <w:r w:rsidR="00E21716" w:rsidRPr="00A51130">
        <w:rPr>
          <w:rFonts w:ascii="Times New Roman" w:hAnsi="Times New Roman" w:cs="Times New Roman"/>
          <w:sz w:val="24"/>
          <w:szCs w:val="24"/>
        </w:rPr>
        <w:t>A total of 3,15</w:t>
      </w:r>
      <w:r w:rsidR="001B0570" w:rsidRPr="00A51130">
        <w:rPr>
          <w:rFonts w:ascii="Times New Roman" w:hAnsi="Times New Roman" w:cs="Times New Roman"/>
          <w:sz w:val="24"/>
          <w:szCs w:val="24"/>
        </w:rPr>
        <w:t>8</w:t>
      </w:r>
      <w:r w:rsidR="00E21716" w:rsidRPr="00A51130">
        <w:rPr>
          <w:rFonts w:ascii="Times New Roman" w:hAnsi="Times New Roman" w:cs="Times New Roman"/>
          <w:sz w:val="24"/>
          <w:szCs w:val="24"/>
        </w:rPr>
        <w:t xml:space="preserve"> of these women were followed through a subsequent pregnancy and delivered a live-born </w:t>
      </w:r>
      <w:r w:rsidR="00C278A7" w:rsidRPr="00A51130">
        <w:rPr>
          <w:rFonts w:ascii="Times New Roman" w:hAnsi="Times New Roman" w:cs="Times New Roman"/>
          <w:sz w:val="24"/>
          <w:szCs w:val="24"/>
        </w:rPr>
        <w:t xml:space="preserve">singleton </w:t>
      </w:r>
      <w:r w:rsidR="00E21716" w:rsidRPr="00A51130">
        <w:rPr>
          <w:rFonts w:ascii="Times New Roman" w:hAnsi="Times New Roman" w:cs="Times New Roman"/>
          <w:sz w:val="24"/>
          <w:szCs w:val="24"/>
        </w:rPr>
        <w:t>infant.</w:t>
      </w:r>
      <w:r w:rsidR="007D5E5F" w:rsidRPr="00A51130">
        <w:rPr>
          <w:rFonts w:ascii="Times New Roman" w:hAnsi="Times New Roman" w:cs="Times New Roman"/>
          <w:sz w:val="24"/>
          <w:szCs w:val="24"/>
        </w:rPr>
        <w:t xml:space="preserve"> The study had full approval from the Southampton and Southwest Hampshire Local Research Ethics Committee and all participants gave written informed consent.</w:t>
      </w:r>
      <w:r w:rsidR="00003C1C" w:rsidRPr="00A51130">
        <w:rPr>
          <w:rFonts w:ascii="Times New Roman" w:hAnsi="Times New Roman" w:cs="Times New Roman"/>
          <w:sz w:val="24"/>
          <w:szCs w:val="24"/>
        </w:rPr>
        <w:t xml:space="preserve"> </w:t>
      </w:r>
    </w:p>
    <w:p w14:paraId="1B0AAB22" w14:textId="4990A2A1" w:rsidR="003F3BE2" w:rsidRPr="00A51130" w:rsidRDefault="003F3BE2"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Of the 3,158 liveborn singleton infants, 3,031 were targeted for 6-year follow-up and 2,048 were visited at home at 6-7 years of age. Of these, 1,614 were willing to attend a clinic for further measurements, and a subset of 1,240 had a whole body DXA scan due to willingness of the participant and availability of facilities.</w:t>
      </w:r>
      <w:r w:rsidR="00182DE9" w:rsidRPr="00A51130">
        <w:rPr>
          <w:rFonts w:ascii="Times New Roman" w:hAnsi="Times New Roman" w:cs="Times New Roman"/>
          <w:sz w:val="24"/>
          <w:szCs w:val="24"/>
        </w:rPr>
        <w:t xml:space="preserve"> </w:t>
      </w:r>
      <w:r w:rsidR="00A63C60" w:rsidRPr="00A51130">
        <w:rPr>
          <w:rFonts w:ascii="Times New Roman" w:hAnsi="Times New Roman" w:cs="Times New Roman"/>
          <w:sz w:val="24"/>
          <w:szCs w:val="24"/>
        </w:rPr>
        <w:t xml:space="preserve">The analysis was limited to those with </w:t>
      </w:r>
      <w:r w:rsidR="00AA05AD">
        <w:rPr>
          <w:rFonts w:ascii="Times New Roman" w:hAnsi="Times New Roman" w:cs="Times New Roman"/>
          <w:sz w:val="24"/>
          <w:szCs w:val="24"/>
        </w:rPr>
        <w:t xml:space="preserve">complete </w:t>
      </w:r>
      <w:r w:rsidR="00563114" w:rsidRPr="00A51130">
        <w:rPr>
          <w:rFonts w:ascii="Times New Roman" w:hAnsi="Times New Roman" w:cs="Times New Roman"/>
          <w:sz w:val="24"/>
          <w:szCs w:val="24"/>
        </w:rPr>
        <w:t>fetal growth</w:t>
      </w:r>
      <w:r w:rsidR="00A63C60" w:rsidRPr="00A51130">
        <w:rPr>
          <w:rFonts w:ascii="Times New Roman" w:hAnsi="Times New Roman" w:cs="Times New Roman"/>
          <w:sz w:val="24"/>
          <w:szCs w:val="24"/>
        </w:rPr>
        <w:t xml:space="preserve">, </w:t>
      </w:r>
      <w:r w:rsidR="00563114" w:rsidRPr="00A51130">
        <w:rPr>
          <w:rFonts w:ascii="Times New Roman" w:hAnsi="Times New Roman" w:cs="Times New Roman"/>
          <w:sz w:val="24"/>
          <w:szCs w:val="24"/>
        </w:rPr>
        <w:t>infant weight gain</w:t>
      </w:r>
      <w:r w:rsidR="00A63C60" w:rsidRPr="00A51130">
        <w:rPr>
          <w:rFonts w:ascii="Times New Roman" w:hAnsi="Times New Roman" w:cs="Times New Roman"/>
          <w:sz w:val="24"/>
          <w:szCs w:val="24"/>
        </w:rPr>
        <w:t xml:space="preserve"> and 6-year BMI data (n=78</w:t>
      </w:r>
      <w:r w:rsidR="00027C6A">
        <w:rPr>
          <w:rFonts w:ascii="Times New Roman" w:hAnsi="Times New Roman" w:cs="Times New Roman"/>
          <w:sz w:val="24"/>
          <w:szCs w:val="24"/>
        </w:rPr>
        <w:t>6</w:t>
      </w:r>
      <w:r w:rsidR="002D04AD">
        <w:rPr>
          <w:rFonts w:ascii="Times New Roman" w:hAnsi="Times New Roman" w:cs="Times New Roman"/>
          <w:sz w:val="24"/>
          <w:szCs w:val="24"/>
        </w:rPr>
        <w:t>, supplementary figure 1</w:t>
      </w:r>
      <w:r w:rsidR="00A63C60" w:rsidRPr="00A51130">
        <w:rPr>
          <w:rFonts w:ascii="Times New Roman" w:hAnsi="Times New Roman" w:cs="Times New Roman"/>
          <w:sz w:val="24"/>
          <w:szCs w:val="24"/>
        </w:rPr>
        <w:t>).</w:t>
      </w:r>
      <w:r w:rsidR="00563114" w:rsidRPr="00A51130">
        <w:rPr>
          <w:rFonts w:ascii="Times New Roman" w:hAnsi="Times New Roman" w:cs="Times New Roman"/>
          <w:sz w:val="24"/>
          <w:szCs w:val="24"/>
        </w:rPr>
        <w:t xml:space="preserve"> </w:t>
      </w:r>
    </w:p>
    <w:p w14:paraId="2D95763C" w14:textId="216764C8" w:rsidR="00E21716" w:rsidRPr="00A51130" w:rsidRDefault="00246AB3" w:rsidP="00A51130">
      <w:pPr>
        <w:spacing w:line="480" w:lineRule="auto"/>
        <w:rPr>
          <w:rFonts w:ascii="Times New Roman" w:hAnsi="Times New Roman" w:cs="Times New Roman"/>
          <w:b/>
          <w:bCs/>
          <w:i/>
          <w:sz w:val="24"/>
          <w:szCs w:val="24"/>
        </w:rPr>
      </w:pPr>
      <w:r w:rsidRPr="00A51130">
        <w:rPr>
          <w:rFonts w:ascii="Times New Roman" w:hAnsi="Times New Roman" w:cs="Times New Roman"/>
          <w:b/>
          <w:bCs/>
          <w:i/>
          <w:sz w:val="24"/>
          <w:szCs w:val="24"/>
        </w:rPr>
        <w:t>Exposure: i</w:t>
      </w:r>
      <w:r w:rsidR="00E21716" w:rsidRPr="00A51130">
        <w:rPr>
          <w:rFonts w:ascii="Times New Roman" w:hAnsi="Times New Roman" w:cs="Times New Roman"/>
          <w:b/>
          <w:bCs/>
          <w:i/>
          <w:sz w:val="24"/>
          <w:szCs w:val="24"/>
        </w:rPr>
        <w:t xml:space="preserve">nfant </w:t>
      </w:r>
      <w:r w:rsidR="00895AA6" w:rsidRPr="00A51130">
        <w:rPr>
          <w:rFonts w:ascii="Times New Roman" w:hAnsi="Times New Roman" w:cs="Times New Roman"/>
          <w:b/>
          <w:bCs/>
          <w:i/>
          <w:sz w:val="24"/>
          <w:szCs w:val="24"/>
        </w:rPr>
        <w:t xml:space="preserve">weight </w:t>
      </w:r>
      <w:r w:rsidR="00D54FBA" w:rsidRPr="00A51130">
        <w:rPr>
          <w:rFonts w:ascii="Times New Roman" w:hAnsi="Times New Roman" w:cs="Times New Roman"/>
          <w:b/>
          <w:bCs/>
          <w:i/>
          <w:sz w:val="24"/>
          <w:szCs w:val="24"/>
        </w:rPr>
        <w:t>gain</w:t>
      </w:r>
      <w:r w:rsidR="00895AA6" w:rsidRPr="00A51130">
        <w:rPr>
          <w:rFonts w:ascii="Times New Roman" w:hAnsi="Times New Roman" w:cs="Times New Roman"/>
          <w:b/>
          <w:bCs/>
          <w:i/>
          <w:sz w:val="24"/>
          <w:szCs w:val="24"/>
        </w:rPr>
        <w:t xml:space="preserve"> (0-2</w:t>
      </w:r>
      <w:r w:rsidR="00D54FBA" w:rsidRPr="00A51130">
        <w:rPr>
          <w:rFonts w:ascii="Times New Roman" w:hAnsi="Times New Roman" w:cs="Times New Roman"/>
          <w:b/>
          <w:bCs/>
          <w:i/>
          <w:sz w:val="24"/>
          <w:szCs w:val="24"/>
        </w:rPr>
        <w:t xml:space="preserve"> </w:t>
      </w:r>
      <w:r w:rsidR="00895AA6" w:rsidRPr="00A51130">
        <w:rPr>
          <w:rFonts w:ascii="Times New Roman" w:hAnsi="Times New Roman" w:cs="Times New Roman"/>
          <w:b/>
          <w:bCs/>
          <w:i/>
          <w:sz w:val="24"/>
          <w:szCs w:val="24"/>
        </w:rPr>
        <w:t>years)</w:t>
      </w:r>
      <w:r w:rsidR="00E21716" w:rsidRPr="00A51130">
        <w:rPr>
          <w:rFonts w:ascii="Times New Roman" w:hAnsi="Times New Roman" w:cs="Times New Roman"/>
          <w:b/>
          <w:bCs/>
          <w:i/>
          <w:sz w:val="24"/>
          <w:szCs w:val="24"/>
        </w:rPr>
        <w:t xml:space="preserve"> </w:t>
      </w:r>
    </w:p>
    <w:p w14:paraId="56A745CE" w14:textId="79D127DE" w:rsidR="00E21716" w:rsidRPr="00A51130" w:rsidRDefault="00D54FBA"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 xml:space="preserve">Birth weight was measured using </w:t>
      </w:r>
      <w:r w:rsidR="008554CB" w:rsidRPr="00A51130">
        <w:rPr>
          <w:rFonts w:ascii="Times New Roman" w:hAnsi="Times New Roman" w:cs="Times New Roman"/>
          <w:sz w:val="24"/>
          <w:szCs w:val="24"/>
        </w:rPr>
        <w:t xml:space="preserve">calibrated digital scales (Seca, UK). </w:t>
      </w:r>
      <w:r w:rsidR="00FA3879" w:rsidRPr="00A51130">
        <w:rPr>
          <w:rFonts w:ascii="Times New Roman" w:hAnsi="Times New Roman" w:cs="Times New Roman"/>
          <w:sz w:val="24"/>
          <w:szCs w:val="24"/>
        </w:rPr>
        <w:t xml:space="preserve">The </w:t>
      </w:r>
      <w:r w:rsidR="002A4DCB" w:rsidRPr="00A51130">
        <w:rPr>
          <w:rFonts w:ascii="Times New Roman" w:hAnsi="Times New Roman" w:cs="Times New Roman"/>
          <w:sz w:val="24"/>
          <w:szCs w:val="24"/>
        </w:rPr>
        <w:t>2</w:t>
      </w:r>
      <w:r w:rsidR="002619DB">
        <w:rPr>
          <w:rFonts w:ascii="Times New Roman" w:hAnsi="Times New Roman" w:cs="Times New Roman"/>
          <w:sz w:val="24"/>
          <w:szCs w:val="24"/>
        </w:rPr>
        <w:t>-</w:t>
      </w:r>
      <w:r w:rsidR="002A4DCB" w:rsidRPr="00A51130">
        <w:rPr>
          <w:rFonts w:ascii="Times New Roman" w:hAnsi="Times New Roman" w:cs="Times New Roman"/>
          <w:sz w:val="24"/>
          <w:szCs w:val="24"/>
        </w:rPr>
        <w:t>year</w:t>
      </w:r>
      <w:r w:rsidR="00FA3879" w:rsidRPr="00A51130">
        <w:rPr>
          <w:rFonts w:ascii="Times New Roman" w:hAnsi="Times New Roman" w:cs="Times New Roman"/>
          <w:sz w:val="24"/>
          <w:szCs w:val="24"/>
        </w:rPr>
        <w:t xml:space="preserve"> assessment was </w:t>
      </w:r>
      <w:r w:rsidR="001B0570" w:rsidRPr="00A51130">
        <w:rPr>
          <w:rFonts w:ascii="Times New Roman" w:hAnsi="Times New Roman" w:cs="Times New Roman"/>
          <w:sz w:val="24"/>
          <w:szCs w:val="24"/>
        </w:rPr>
        <w:t xml:space="preserve">performed </w:t>
      </w:r>
      <w:r w:rsidR="00FD398B" w:rsidRPr="00A51130">
        <w:rPr>
          <w:rFonts w:ascii="Times New Roman" w:hAnsi="Times New Roman" w:cs="Times New Roman"/>
          <w:sz w:val="24"/>
          <w:szCs w:val="24"/>
        </w:rPr>
        <w:t xml:space="preserve">by a research nurse </w:t>
      </w:r>
      <w:r w:rsidR="001B0570" w:rsidRPr="00A51130">
        <w:rPr>
          <w:rFonts w:ascii="Times New Roman" w:hAnsi="Times New Roman" w:cs="Times New Roman"/>
          <w:sz w:val="24"/>
          <w:szCs w:val="24"/>
        </w:rPr>
        <w:t xml:space="preserve">during </w:t>
      </w:r>
      <w:r w:rsidR="00E21716" w:rsidRPr="00A51130">
        <w:rPr>
          <w:rFonts w:ascii="Times New Roman" w:hAnsi="Times New Roman" w:cs="Times New Roman"/>
          <w:sz w:val="24"/>
          <w:szCs w:val="24"/>
        </w:rPr>
        <w:t>a home visit</w:t>
      </w:r>
      <w:r w:rsidR="00CF4014" w:rsidRPr="00A51130">
        <w:rPr>
          <w:rFonts w:ascii="Times New Roman" w:hAnsi="Times New Roman" w:cs="Times New Roman"/>
          <w:sz w:val="24"/>
          <w:szCs w:val="24"/>
        </w:rPr>
        <w:t xml:space="preserve">, </w:t>
      </w:r>
      <w:r w:rsidR="002619DB">
        <w:rPr>
          <w:rFonts w:ascii="Times New Roman" w:hAnsi="Times New Roman" w:cs="Times New Roman"/>
          <w:sz w:val="24"/>
          <w:szCs w:val="24"/>
        </w:rPr>
        <w:t xml:space="preserve">in </w:t>
      </w:r>
      <w:r w:rsidR="00CF4014" w:rsidRPr="00A51130">
        <w:rPr>
          <w:rFonts w:ascii="Times New Roman" w:hAnsi="Times New Roman" w:cs="Times New Roman"/>
          <w:sz w:val="24"/>
          <w:szCs w:val="24"/>
        </w:rPr>
        <w:t>which w</w:t>
      </w:r>
      <w:r w:rsidR="00E21716" w:rsidRPr="00A51130">
        <w:rPr>
          <w:rFonts w:ascii="Times New Roman" w:hAnsi="Times New Roman" w:cs="Times New Roman"/>
          <w:sz w:val="24"/>
          <w:szCs w:val="24"/>
        </w:rPr>
        <w:t>eight</w:t>
      </w:r>
      <w:r w:rsidR="00FA3879" w:rsidRPr="00A51130">
        <w:rPr>
          <w:rFonts w:ascii="Times New Roman" w:hAnsi="Times New Roman" w:cs="Times New Roman"/>
          <w:sz w:val="24"/>
          <w:szCs w:val="24"/>
        </w:rPr>
        <w:t xml:space="preserve"> </w:t>
      </w:r>
      <w:r w:rsidR="00E21716" w:rsidRPr="00A51130">
        <w:rPr>
          <w:rFonts w:ascii="Times New Roman" w:hAnsi="Times New Roman" w:cs="Times New Roman"/>
          <w:sz w:val="24"/>
          <w:szCs w:val="24"/>
        </w:rPr>
        <w:t>was measured using calibrated digital scales (Seca Ltd, UK).</w:t>
      </w:r>
      <w:r w:rsidR="00676A11" w:rsidRPr="00A51130">
        <w:rPr>
          <w:rFonts w:ascii="Times New Roman" w:hAnsi="Times New Roman" w:cs="Times New Roman"/>
          <w:sz w:val="24"/>
          <w:szCs w:val="24"/>
        </w:rPr>
        <w:t>.</w:t>
      </w:r>
      <w:r w:rsidR="00E215AF" w:rsidRPr="00A51130">
        <w:rPr>
          <w:rFonts w:ascii="Times New Roman" w:hAnsi="Times New Roman" w:cs="Times New Roman"/>
          <w:sz w:val="24"/>
          <w:szCs w:val="24"/>
        </w:rPr>
        <w:t xml:space="preserve"> </w:t>
      </w:r>
      <w:r w:rsidR="00D23B4A" w:rsidRPr="00A51130">
        <w:rPr>
          <w:rFonts w:ascii="Times New Roman" w:hAnsi="Times New Roman" w:cs="Times New Roman"/>
          <w:sz w:val="24"/>
          <w:szCs w:val="24"/>
        </w:rPr>
        <w:t>Infant weight gain</w:t>
      </w:r>
      <w:r w:rsidR="00E215AF" w:rsidRPr="00A51130">
        <w:rPr>
          <w:rFonts w:ascii="Times New Roman" w:hAnsi="Times New Roman" w:cs="Times New Roman"/>
          <w:sz w:val="24"/>
          <w:szCs w:val="24"/>
        </w:rPr>
        <w:t xml:space="preserve"> was calculated by subtracting birth</w:t>
      </w:r>
      <w:r w:rsidR="002619DB">
        <w:rPr>
          <w:rFonts w:ascii="Times New Roman" w:hAnsi="Times New Roman" w:cs="Times New Roman"/>
          <w:sz w:val="24"/>
          <w:szCs w:val="24"/>
        </w:rPr>
        <w:t xml:space="preserve"> </w:t>
      </w:r>
      <w:r w:rsidR="00D05BB8">
        <w:rPr>
          <w:rFonts w:ascii="Times New Roman" w:hAnsi="Times New Roman" w:cs="Times New Roman"/>
          <w:sz w:val="24"/>
          <w:szCs w:val="24"/>
        </w:rPr>
        <w:t>weight</w:t>
      </w:r>
      <w:r w:rsidR="00E215AF" w:rsidRPr="00A51130">
        <w:rPr>
          <w:rFonts w:ascii="Times New Roman" w:hAnsi="Times New Roman" w:cs="Times New Roman"/>
          <w:sz w:val="24"/>
          <w:szCs w:val="24"/>
        </w:rPr>
        <w:t xml:space="preserve"> from </w:t>
      </w:r>
      <w:r w:rsidR="00D05BB8">
        <w:rPr>
          <w:rFonts w:ascii="Times New Roman" w:hAnsi="Times New Roman" w:cs="Times New Roman"/>
          <w:sz w:val="24"/>
          <w:szCs w:val="24"/>
        </w:rPr>
        <w:t>weight</w:t>
      </w:r>
      <w:r w:rsidR="00D05BB8" w:rsidRPr="00A51130">
        <w:rPr>
          <w:rFonts w:ascii="Times New Roman" w:hAnsi="Times New Roman" w:cs="Times New Roman"/>
          <w:sz w:val="24"/>
          <w:szCs w:val="24"/>
        </w:rPr>
        <w:t xml:space="preserve"> </w:t>
      </w:r>
      <w:r w:rsidR="00E215AF" w:rsidRPr="00A51130">
        <w:rPr>
          <w:rFonts w:ascii="Times New Roman" w:hAnsi="Times New Roman" w:cs="Times New Roman"/>
          <w:sz w:val="24"/>
          <w:szCs w:val="24"/>
        </w:rPr>
        <w:t>at 2 years</w:t>
      </w:r>
      <w:r w:rsidR="0083444B" w:rsidRPr="00A51130">
        <w:rPr>
          <w:rFonts w:ascii="Times New Roman" w:hAnsi="Times New Roman" w:cs="Times New Roman"/>
          <w:sz w:val="24"/>
          <w:szCs w:val="24"/>
        </w:rPr>
        <w:t xml:space="preserve">. </w:t>
      </w:r>
    </w:p>
    <w:p w14:paraId="58684E92" w14:textId="1D5ACDB9" w:rsidR="00E21716" w:rsidRPr="00A51130" w:rsidRDefault="00246AB3" w:rsidP="00A51130">
      <w:pPr>
        <w:spacing w:line="480" w:lineRule="auto"/>
        <w:rPr>
          <w:rFonts w:ascii="Times New Roman" w:hAnsi="Times New Roman" w:cs="Times New Roman"/>
          <w:b/>
          <w:bCs/>
          <w:i/>
          <w:sz w:val="24"/>
          <w:szCs w:val="24"/>
        </w:rPr>
      </w:pPr>
      <w:r w:rsidRPr="00A51130">
        <w:rPr>
          <w:rFonts w:ascii="Times New Roman" w:hAnsi="Times New Roman" w:cs="Times New Roman"/>
          <w:b/>
          <w:bCs/>
          <w:i/>
          <w:sz w:val="24"/>
          <w:szCs w:val="24"/>
        </w:rPr>
        <w:t>Outcomes: c</w:t>
      </w:r>
      <w:r w:rsidR="00D042C7" w:rsidRPr="00A51130">
        <w:rPr>
          <w:rFonts w:ascii="Times New Roman" w:hAnsi="Times New Roman" w:cs="Times New Roman"/>
          <w:b/>
          <w:bCs/>
          <w:i/>
          <w:sz w:val="24"/>
          <w:szCs w:val="24"/>
        </w:rPr>
        <w:t>hild</w:t>
      </w:r>
      <w:r w:rsidR="00155870" w:rsidRPr="00A51130">
        <w:rPr>
          <w:rFonts w:ascii="Times New Roman" w:hAnsi="Times New Roman" w:cs="Times New Roman"/>
          <w:b/>
          <w:bCs/>
          <w:i/>
          <w:sz w:val="24"/>
          <w:szCs w:val="24"/>
        </w:rPr>
        <w:t>hood</w:t>
      </w:r>
      <w:r w:rsidR="00D042C7" w:rsidRPr="00A51130">
        <w:rPr>
          <w:rFonts w:ascii="Times New Roman" w:hAnsi="Times New Roman" w:cs="Times New Roman"/>
          <w:b/>
          <w:bCs/>
          <w:i/>
          <w:sz w:val="24"/>
          <w:szCs w:val="24"/>
        </w:rPr>
        <w:t xml:space="preserve"> adiposity and blood pressure</w:t>
      </w:r>
      <w:r w:rsidR="001B0570" w:rsidRPr="00A51130">
        <w:rPr>
          <w:rFonts w:ascii="Times New Roman" w:hAnsi="Times New Roman" w:cs="Times New Roman"/>
          <w:b/>
          <w:bCs/>
          <w:i/>
          <w:sz w:val="24"/>
          <w:szCs w:val="24"/>
        </w:rPr>
        <w:t xml:space="preserve"> </w:t>
      </w:r>
      <w:r w:rsidR="00C110B1" w:rsidRPr="00A51130">
        <w:rPr>
          <w:rFonts w:ascii="Times New Roman" w:hAnsi="Times New Roman" w:cs="Times New Roman"/>
          <w:b/>
          <w:bCs/>
          <w:i/>
          <w:sz w:val="24"/>
          <w:szCs w:val="24"/>
        </w:rPr>
        <w:t>(</w:t>
      </w:r>
      <w:r w:rsidR="001B0570" w:rsidRPr="00A51130">
        <w:rPr>
          <w:rFonts w:ascii="Times New Roman" w:hAnsi="Times New Roman" w:cs="Times New Roman"/>
          <w:b/>
          <w:bCs/>
          <w:i/>
          <w:sz w:val="24"/>
          <w:szCs w:val="24"/>
        </w:rPr>
        <w:t>6</w:t>
      </w:r>
      <w:r w:rsidR="00CC6104" w:rsidRPr="00A51130">
        <w:rPr>
          <w:rFonts w:ascii="Times New Roman" w:hAnsi="Times New Roman" w:cs="Times New Roman"/>
          <w:b/>
          <w:bCs/>
          <w:i/>
          <w:sz w:val="24"/>
          <w:szCs w:val="24"/>
        </w:rPr>
        <w:t>-7</w:t>
      </w:r>
      <w:r w:rsidR="001B0570" w:rsidRPr="00A51130">
        <w:rPr>
          <w:rFonts w:ascii="Times New Roman" w:hAnsi="Times New Roman" w:cs="Times New Roman"/>
          <w:b/>
          <w:bCs/>
          <w:i/>
          <w:sz w:val="24"/>
          <w:szCs w:val="24"/>
        </w:rPr>
        <w:t xml:space="preserve"> years</w:t>
      </w:r>
      <w:r w:rsidR="00C110B1" w:rsidRPr="00A51130">
        <w:rPr>
          <w:rFonts w:ascii="Times New Roman" w:hAnsi="Times New Roman" w:cs="Times New Roman"/>
          <w:b/>
          <w:bCs/>
          <w:i/>
          <w:sz w:val="24"/>
          <w:szCs w:val="24"/>
        </w:rPr>
        <w:t>)</w:t>
      </w:r>
    </w:p>
    <w:p w14:paraId="43FAE8EE" w14:textId="6C1B8D77" w:rsidR="00FE0CBE" w:rsidRPr="00A51130" w:rsidRDefault="00627063"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 xml:space="preserve">Whole-body scans were obtained using a Hologic Discovery A instrument with APEX 3.0 software (Hologic, Bedford, MA). To encourage compliance, a sheet with appropriate pictures was laid on the couch, and to help reduce movement artefact, the children were shown a suitable DVD. The total radiation doses for the scan </w:t>
      </w:r>
      <w:r w:rsidR="00D54AAE" w:rsidRPr="00A51130">
        <w:rPr>
          <w:rFonts w:ascii="Times New Roman" w:hAnsi="Times New Roman" w:cs="Times New Roman"/>
          <w:sz w:val="24"/>
          <w:szCs w:val="24"/>
        </w:rPr>
        <w:t xml:space="preserve">was </w:t>
      </w:r>
      <w:r w:rsidRPr="00A51130">
        <w:rPr>
          <w:rFonts w:ascii="Times New Roman" w:hAnsi="Times New Roman" w:cs="Times New Roman"/>
          <w:sz w:val="24"/>
          <w:szCs w:val="24"/>
        </w:rPr>
        <w:t>4.7 μSv</w:t>
      </w:r>
      <w:r w:rsidR="00D54AAE" w:rsidRPr="00A51130">
        <w:rPr>
          <w:rFonts w:ascii="Times New Roman" w:hAnsi="Times New Roman" w:cs="Times New Roman"/>
          <w:sz w:val="24"/>
          <w:szCs w:val="24"/>
        </w:rPr>
        <w:t xml:space="preserve">. </w:t>
      </w:r>
      <w:r w:rsidR="008501D6" w:rsidRPr="00A51130">
        <w:rPr>
          <w:rFonts w:ascii="Times New Roman" w:hAnsi="Times New Roman" w:cs="Times New Roman"/>
          <w:sz w:val="24"/>
          <w:szCs w:val="24"/>
        </w:rPr>
        <w:t xml:space="preserve">From this scan </w:t>
      </w:r>
      <w:r w:rsidR="003135CD" w:rsidRPr="00A51130">
        <w:rPr>
          <w:rFonts w:ascii="Times New Roman" w:hAnsi="Times New Roman" w:cs="Times New Roman"/>
          <w:sz w:val="24"/>
          <w:szCs w:val="24"/>
        </w:rPr>
        <w:t xml:space="preserve">sex- and age-adjusted estimates of </w:t>
      </w:r>
      <w:r w:rsidR="00E86FCE" w:rsidRPr="00A51130">
        <w:rPr>
          <w:rFonts w:ascii="Times New Roman" w:hAnsi="Times New Roman" w:cs="Times New Roman"/>
          <w:sz w:val="24"/>
          <w:szCs w:val="24"/>
        </w:rPr>
        <w:t xml:space="preserve">percent body fat and trunk fat (kg) were obtained. </w:t>
      </w:r>
      <w:r w:rsidR="00A64AB5" w:rsidRPr="00A51130">
        <w:rPr>
          <w:rFonts w:ascii="Times New Roman" w:hAnsi="Times New Roman" w:cs="Times New Roman"/>
          <w:sz w:val="24"/>
          <w:szCs w:val="24"/>
        </w:rPr>
        <w:t>During the assessment, the child’s height (using a Leicester height measure, Seca) and weight (using calibrated digital scales, Seca) were also measured.</w:t>
      </w:r>
      <w:r w:rsidR="007B599B" w:rsidRPr="00A51130">
        <w:rPr>
          <w:rFonts w:ascii="Times New Roman" w:hAnsi="Times New Roman" w:cs="Times New Roman"/>
          <w:sz w:val="24"/>
          <w:szCs w:val="24"/>
        </w:rPr>
        <w:t xml:space="preserve"> </w:t>
      </w:r>
      <w:r w:rsidR="00E44AC7" w:rsidRPr="00A51130">
        <w:rPr>
          <w:rFonts w:ascii="Times New Roman" w:hAnsi="Times New Roman" w:cs="Times New Roman"/>
          <w:sz w:val="24"/>
          <w:szCs w:val="24"/>
        </w:rPr>
        <w:t xml:space="preserve">At </w:t>
      </w:r>
      <w:r w:rsidR="002B6022" w:rsidRPr="00A51130">
        <w:rPr>
          <w:rFonts w:ascii="Times New Roman" w:hAnsi="Times New Roman" w:cs="Times New Roman"/>
          <w:sz w:val="24"/>
          <w:szCs w:val="24"/>
        </w:rPr>
        <w:t>the clinic visit</w:t>
      </w:r>
      <w:r w:rsidR="00E44AC7" w:rsidRPr="00A51130">
        <w:rPr>
          <w:rFonts w:ascii="Times New Roman" w:hAnsi="Times New Roman" w:cs="Times New Roman"/>
          <w:sz w:val="24"/>
          <w:szCs w:val="24"/>
        </w:rPr>
        <w:t>,</w:t>
      </w:r>
      <w:r w:rsidR="00AD2F89" w:rsidRPr="00A51130">
        <w:rPr>
          <w:rFonts w:ascii="Times New Roman" w:hAnsi="Times New Roman" w:cs="Times New Roman"/>
          <w:sz w:val="24"/>
          <w:szCs w:val="24"/>
        </w:rPr>
        <w:t xml:space="preserve"> a single measurement of</w:t>
      </w:r>
      <w:r w:rsidR="00E70278" w:rsidRPr="00A51130">
        <w:rPr>
          <w:rFonts w:ascii="Times New Roman" w:hAnsi="Times New Roman" w:cs="Times New Roman"/>
          <w:sz w:val="24"/>
          <w:szCs w:val="24"/>
        </w:rPr>
        <w:t xml:space="preserve"> </w:t>
      </w:r>
      <w:r w:rsidR="00470F05" w:rsidRPr="00A51130">
        <w:rPr>
          <w:rFonts w:ascii="Times New Roman" w:hAnsi="Times New Roman" w:cs="Times New Roman"/>
          <w:sz w:val="24"/>
          <w:szCs w:val="24"/>
        </w:rPr>
        <w:t xml:space="preserve">seated </w:t>
      </w:r>
      <w:r w:rsidR="00140C29" w:rsidRPr="00A51130">
        <w:rPr>
          <w:rFonts w:ascii="Times New Roman" w:hAnsi="Times New Roman" w:cs="Times New Roman"/>
          <w:sz w:val="24"/>
          <w:szCs w:val="24"/>
        </w:rPr>
        <w:t xml:space="preserve">blood pressure was obtained </w:t>
      </w:r>
      <w:r w:rsidR="00470F05" w:rsidRPr="00A51130">
        <w:rPr>
          <w:rFonts w:ascii="Times New Roman" w:hAnsi="Times New Roman" w:cs="Times New Roman"/>
          <w:sz w:val="24"/>
          <w:szCs w:val="24"/>
        </w:rPr>
        <w:t>using a Dinamap</w:t>
      </w:r>
      <w:r w:rsidR="00AD2F89" w:rsidRPr="00A51130">
        <w:rPr>
          <w:rFonts w:ascii="Times New Roman" w:hAnsi="Times New Roman" w:cs="Times New Roman"/>
          <w:sz w:val="24"/>
          <w:szCs w:val="24"/>
        </w:rPr>
        <w:t xml:space="preserve"> monitor. </w:t>
      </w:r>
      <w:r w:rsidR="00F619E9" w:rsidRPr="00A51130">
        <w:rPr>
          <w:rFonts w:ascii="Times New Roman" w:hAnsi="Times New Roman" w:cs="Times New Roman"/>
          <w:sz w:val="24"/>
          <w:szCs w:val="24"/>
        </w:rPr>
        <w:t>The five outcome variables investigated were</w:t>
      </w:r>
      <w:r w:rsidR="00FE7453" w:rsidRPr="00A51130">
        <w:rPr>
          <w:rFonts w:ascii="Times New Roman" w:hAnsi="Times New Roman" w:cs="Times New Roman"/>
          <w:sz w:val="24"/>
          <w:szCs w:val="24"/>
        </w:rPr>
        <w:t xml:space="preserve"> </w:t>
      </w:r>
      <w:r w:rsidR="00F619E9" w:rsidRPr="00A51130">
        <w:rPr>
          <w:rFonts w:ascii="Times New Roman" w:hAnsi="Times New Roman" w:cs="Times New Roman"/>
          <w:sz w:val="24"/>
          <w:szCs w:val="24"/>
        </w:rPr>
        <w:t xml:space="preserve">BMI, </w:t>
      </w:r>
      <w:r w:rsidR="007D11F7" w:rsidRPr="00A51130">
        <w:rPr>
          <w:rFonts w:ascii="Times New Roman" w:hAnsi="Times New Roman" w:cs="Times New Roman"/>
          <w:sz w:val="24"/>
          <w:szCs w:val="24"/>
        </w:rPr>
        <w:t>trunk fat</w:t>
      </w:r>
      <w:r w:rsidR="00E754CA" w:rsidRPr="00A51130">
        <w:rPr>
          <w:rFonts w:ascii="Times New Roman" w:hAnsi="Times New Roman" w:cs="Times New Roman"/>
          <w:sz w:val="24"/>
          <w:szCs w:val="24"/>
        </w:rPr>
        <w:t xml:space="preserve">, </w:t>
      </w:r>
      <w:r w:rsidR="007D11F7" w:rsidRPr="00A51130">
        <w:rPr>
          <w:rFonts w:ascii="Times New Roman" w:hAnsi="Times New Roman" w:cs="Times New Roman"/>
          <w:sz w:val="24"/>
          <w:szCs w:val="24"/>
        </w:rPr>
        <w:t>percent body fat</w:t>
      </w:r>
      <w:r w:rsidR="00E754CA" w:rsidRPr="00A51130">
        <w:rPr>
          <w:rFonts w:ascii="Times New Roman" w:hAnsi="Times New Roman" w:cs="Times New Roman"/>
          <w:sz w:val="24"/>
          <w:szCs w:val="24"/>
        </w:rPr>
        <w:t xml:space="preserve"> and systolic</w:t>
      </w:r>
      <w:r w:rsidR="00D05BB8">
        <w:rPr>
          <w:rFonts w:ascii="Times New Roman" w:hAnsi="Times New Roman" w:cs="Times New Roman"/>
          <w:sz w:val="24"/>
          <w:szCs w:val="24"/>
        </w:rPr>
        <w:t xml:space="preserve"> (SBP</w:t>
      </w:r>
      <w:r w:rsidR="00585EF4">
        <w:rPr>
          <w:rFonts w:ascii="Times New Roman" w:hAnsi="Times New Roman" w:cs="Times New Roman"/>
          <w:sz w:val="24"/>
          <w:szCs w:val="24"/>
        </w:rPr>
        <w:t>)</w:t>
      </w:r>
      <w:r w:rsidR="00E754CA" w:rsidRPr="00A51130">
        <w:rPr>
          <w:rFonts w:ascii="Times New Roman" w:hAnsi="Times New Roman" w:cs="Times New Roman"/>
          <w:sz w:val="24"/>
          <w:szCs w:val="24"/>
        </w:rPr>
        <w:t xml:space="preserve"> and diastolic blood pressure</w:t>
      </w:r>
      <w:r w:rsidR="00D05BB8">
        <w:rPr>
          <w:rFonts w:ascii="Times New Roman" w:hAnsi="Times New Roman" w:cs="Times New Roman"/>
          <w:sz w:val="24"/>
          <w:szCs w:val="24"/>
        </w:rPr>
        <w:t xml:space="preserve"> (DBP)</w:t>
      </w:r>
      <w:r w:rsidR="007D11F7" w:rsidRPr="00A51130">
        <w:rPr>
          <w:rFonts w:ascii="Times New Roman" w:hAnsi="Times New Roman" w:cs="Times New Roman"/>
          <w:sz w:val="24"/>
          <w:szCs w:val="24"/>
        </w:rPr>
        <w:t xml:space="preserve">. </w:t>
      </w:r>
    </w:p>
    <w:p w14:paraId="07C4AC7B" w14:textId="780EF4BB" w:rsidR="0035028B" w:rsidRPr="00585EF4" w:rsidRDefault="00DB4EB7" w:rsidP="00A51130">
      <w:pPr>
        <w:spacing w:line="480" w:lineRule="auto"/>
        <w:rPr>
          <w:rFonts w:ascii="Times New Roman" w:hAnsi="Times New Roman" w:cs="Times New Roman"/>
          <w:b/>
          <w:bCs/>
          <w:i/>
          <w:sz w:val="24"/>
          <w:szCs w:val="24"/>
        </w:rPr>
      </w:pPr>
      <w:r w:rsidRPr="00585EF4">
        <w:rPr>
          <w:rFonts w:ascii="Times New Roman" w:hAnsi="Times New Roman" w:cs="Times New Roman"/>
          <w:b/>
          <w:bCs/>
          <w:i/>
          <w:sz w:val="24"/>
          <w:szCs w:val="24"/>
        </w:rPr>
        <w:t>Effect modifier</w:t>
      </w:r>
      <w:r w:rsidR="00246AB3" w:rsidRPr="00585EF4">
        <w:rPr>
          <w:rFonts w:ascii="Times New Roman" w:hAnsi="Times New Roman" w:cs="Times New Roman"/>
          <w:b/>
          <w:bCs/>
          <w:i/>
          <w:sz w:val="24"/>
          <w:szCs w:val="24"/>
        </w:rPr>
        <w:t xml:space="preserve">: </w:t>
      </w:r>
      <w:r w:rsidR="00FE0CBE" w:rsidRPr="00585EF4">
        <w:rPr>
          <w:rFonts w:ascii="Times New Roman" w:hAnsi="Times New Roman" w:cs="Times New Roman"/>
          <w:b/>
          <w:bCs/>
          <w:i/>
          <w:sz w:val="24"/>
          <w:szCs w:val="24"/>
        </w:rPr>
        <w:t>fetal growth</w:t>
      </w:r>
      <w:r w:rsidR="00EB7A85" w:rsidRPr="00585EF4">
        <w:rPr>
          <w:rFonts w:ascii="Times New Roman" w:hAnsi="Times New Roman" w:cs="Times New Roman"/>
          <w:b/>
          <w:bCs/>
          <w:i/>
          <w:sz w:val="24"/>
          <w:szCs w:val="24"/>
        </w:rPr>
        <w:t xml:space="preserve"> </w:t>
      </w:r>
      <w:r w:rsidR="00C110B1" w:rsidRPr="00585EF4">
        <w:rPr>
          <w:rFonts w:ascii="Times New Roman" w:hAnsi="Times New Roman" w:cs="Times New Roman"/>
          <w:b/>
          <w:bCs/>
          <w:i/>
          <w:sz w:val="24"/>
          <w:szCs w:val="24"/>
        </w:rPr>
        <w:t>(</w:t>
      </w:r>
      <w:r w:rsidR="00B36622" w:rsidRPr="00585EF4">
        <w:rPr>
          <w:rFonts w:ascii="Times New Roman" w:hAnsi="Times New Roman" w:cs="Times New Roman"/>
          <w:b/>
          <w:bCs/>
          <w:i/>
          <w:sz w:val="24"/>
          <w:szCs w:val="24"/>
        </w:rPr>
        <w:t>19-</w:t>
      </w:r>
      <w:r w:rsidR="00027C6A" w:rsidRPr="00585EF4">
        <w:rPr>
          <w:rFonts w:ascii="Times New Roman" w:hAnsi="Times New Roman" w:cs="Times New Roman"/>
          <w:b/>
          <w:bCs/>
          <w:i/>
          <w:sz w:val="24"/>
          <w:szCs w:val="24"/>
        </w:rPr>
        <w:t>3</w:t>
      </w:r>
      <w:r w:rsidR="00B36622" w:rsidRPr="00585EF4">
        <w:rPr>
          <w:rFonts w:ascii="Times New Roman" w:hAnsi="Times New Roman" w:cs="Times New Roman"/>
          <w:b/>
          <w:bCs/>
          <w:i/>
          <w:sz w:val="24"/>
          <w:szCs w:val="24"/>
        </w:rPr>
        <w:t>4 weeks</w:t>
      </w:r>
      <w:r w:rsidR="00463000" w:rsidRPr="00585EF4">
        <w:rPr>
          <w:rFonts w:ascii="Times New Roman" w:hAnsi="Times New Roman" w:cs="Times New Roman"/>
          <w:b/>
          <w:bCs/>
          <w:i/>
          <w:sz w:val="24"/>
          <w:szCs w:val="24"/>
        </w:rPr>
        <w:t xml:space="preserve"> gestation</w:t>
      </w:r>
      <w:r w:rsidR="00C110B1" w:rsidRPr="00585EF4">
        <w:rPr>
          <w:rFonts w:ascii="Times New Roman" w:hAnsi="Times New Roman" w:cs="Times New Roman"/>
          <w:b/>
          <w:bCs/>
          <w:i/>
          <w:sz w:val="24"/>
          <w:szCs w:val="24"/>
        </w:rPr>
        <w:t>)</w:t>
      </w:r>
    </w:p>
    <w:p w14:paraId="7199EBEA" w14:textId="126AC0BA" w:rsidR="00295C9B" w:rsidRPr="00A51130" w:rsidRDefault="008C09EE" w:rsidP="00A51130">
      <w:pPr>
        <w:spacing w:line="480" w:lineRule="auto"/>
        <w:rPr>
          <w:rFonts w:ascii="Times New Roman" w:hAnsi="Times New Roman" w:cs="Times New Roman"/>
          <w:sz w:val="24"/>
          <w:szCs w:val="24"/>
        </w:rPr>
      </w:pPr>
      <w:r w:rsidRPr="00585EF4">
        <w:rPr>
          <w:rFonts w:ascii="Times New Roman" w:hAnsi="Times New Roman" w:cs="Times New Roman"/>
          <w:sz w:val="24"/>
          <w:szCs w:val="24"/>
        </w:rPr>
        <w:t xml:space="preserve">Our </w:t>
      </w:r>
      <w:r w:rsidR="00AF7CD0" w:rsidRPr="00585EF4">
        <w:rPr>
          <w:rFonts w:ascii="Times New Roman" w:hAnsi="Times New Roman" w:cs="Times New Roman"/>
          <w:sz w:val="24"/>
          <w:szCs w:val="24"/>
        </w:rPr>
        <w:t xml:space="preserve">two effect modifiers were </w:t>
      </w:r>
      <w:r w:rsidR="006A5392" w:rsidRPr="00585EF4">
        <w:rPr>
          <w:rFonts w:ascii="Times New Roman" w:hAnsi="Times New Roman" w:cs="Times New Roman"/>
          <w:sz w:val="24"/>
          <w:szCs w:val="24"/>
        </w:rPr>
        <w:t xml:space="preserve">the mean of, and difference between, the </w:t>
      </w:r>
      <w:r w:rsidR="002D4875" w:rsidRPr="00585EF4">
        <w:rPr>
          <w:rFonts w:ascii="Times New Roman" w:hAnsi="Times New Roman" w:cs="Times New Roman"/>
          <w:sz w:val="24"/>
          <w:szCs w:val="24"/>
        </w:rPr>
        <w:t xml:space="preserve">estimated </w:t>
      </w:r>
      <w:r w:rsidR="00AF7CD0" w:rsidRPr="00585EF4">
        <w:rPr>
          <w:rFonts w:ascii="Times New Roman" w:hAnsi="Times New Roman" w:cs="Times New Roman"/>
          <w:sz w:val="24"/>
          <w:szCs w:val="24"/>
        </w:rPr>
        <w:t>fetal weight</w:t>
      </w:r>
      <w:r w:rsidR="006A5392" w:rsidRPr="00585EF4">
        <w:rPr>
          <w:rFonts w:ascii="Times New Roman" w:hAnsi="Times New Roman" w:cs="Times New Roman"/>
          <w:sz w:val="24"/>
          <w:szCs w:val="24"/>
        </w:rPr>
        <w:t xml:space="preserve">s </w:t>
      </w:r>
      <w:r w:rsidR="002D4875" w:rsidRPr="00585EF4">
        <w:rPr>
          <w:rFonts w:ascii="Times New Roman" w:hAnsi="Times New Roman" w:cs="Times New Roman"/>
          <w:sz w:val="24"/>
          <w:szCs w:val="24"/>
        </w:rPr>
        <w:t>(EFW</w:t>
      </w:r>
      <w:r w:rsidR="00E73C7C" w:rsidRPr="00585EF4">
        <w:rPr>
          <w:rFonts w:ascii="Times New Roman" w:hAnsi="Times New Roman" w:cs="Times New Roman"/>
          <w:sz w:val="24"/>
          <w:szCs w:val="24"/>
        </w:rPr>
        <w:t>, grams</w:t>
      </w:r>
      <w:r w:rsidR="002D4875" w:rsidRPr="00585EF4">
        <w:rPr>
          <w:rFonts w:ascii="Times New Roman" w:hAnsi="Times New Roman" w:cs="Times New Roman"/>
          <w:sz w:val="24"/>
          <w:szCs w:val="24"/>
        </w:rPr>
        <w:t xml:space="preserve">) </w:t>
      </w:r>
      <w:r w:rsidR="006A5392" w:rsidRPr="00585EF4">
        <w:rPr>
          <w:rFonts w:ascii="Times New Roman" w:hAnsi="Times New Roman" w:cs="Times New Roman"/>
          <w:sz w:val="24"/>
          <w:szCs w:val="24"/>
        </w:rPr>
        <w:t>obtained at</w:t>
      </w:r>
      <w:r w:rsidR="00AF7CD0" w:rsidRPr="00585EF4">
        <w:rPr>
          <w:rFonts w:ascii="Times New Roman" w:hAnsi="Times New Roman" w:cs="Times New Roman"/>
          <w:sz w:val="24"/>
          <w:szCs w:val="24"/>
        </w:rPr>
        <w:t xml:space="preserve"> 19</w:t>
      </w:r>
      <w:r w:rsidR="006A5392" w:rsidRPr="00585EF4">
        <w:rPr>
          <w:rFonts w:ascii="Times New Roman" w:hAnsi="Times New Roman" w:cs="Times New Roman"/>
          <w:sz w:val="24"/>
          <w:szCs w:val="24"/>
        </w:rPr>
        <w:t xml:space="preserve"> and 34</w:t>
      </w:r>
      <w:r w:rsidR="00AF7CD0" w:rsidRPr="00585EF4">
        <w:rPr>
          <w:rFonts w:ascii="Times New Roman" w:hAnsi="Times New Roman" w:cs="Times New Roman"/>
          <w:sz w:val="24"/>
          <w:szCs w:val="24"/>
        </w:rPr>
        <w:t xml:space="preserve"> weeks</w:t>
      </w:r>
      <w:r w:rsidR="00E73C7C" w:rsidRPr="00585EF4">
        <w:rPr>
          <w:rFonts w:ascii="Times New Roman" w:hAnsi="Times New Roman" w:cs="Times New Roman"/>
          <w:sz w:val="24"/>
          <w:szCs w:val="24"/>
        </w:rPr>
        <w:t>. These were calculated for males and females separately</w:t>
      </w:r>
      <w:r w:rsidR="00D804A0" w:rsidRPr="00585EF4">
        <w:rPr>
          <w:rFonts w:ascii="Times New Roman" w:hAnsi="Times New Roman" w:cs="Times New Roman"/>
          <w:sz w:val="24"/>
          <w:szCs w:val="24"/>
        </w:rPr>
        <w:t xml:space="preserve"> (supplementary table 1).</w:t>
      </w:r>
      <w:r w:rsidR="000D0986" w:rsidRPr="00585EF4">
        <w:rPr>
          <w:rFonts w:ascii="Times New Roman" w:hAnsi="Times New Roman" w:cs="Times New Roman"/>
          <w:sz w:val="24"/>
          <w:szCs w:val="24"/>
        </w:rPr>
        <w:t xml:space="preserve"> More details about the </w:t>
      </w:r>
      <w:r w:rsidR="00B421D8" w:rsidRPr="00585EF4">
        <w:rPr>
          <w:rFonts w:ascii="Times New Roman" w:hAnsi="Times New Roman" w:cs="Times New Roman"/>
          <w:sz w:val="24"/>
          <w:szCs w:val="24"/>
        </w:rPr>
        <w:t>measurement protocol for obtaining fetal parameters and the calculation of EFW</w:t>
      </w:r>
      <w:r w:rsidR="006A5392" w:rsidRPr="00585EF4">
        <w:rPr>
          <w:rFonts w:ascii="Times New Roman" w:hAnsi="Times New Roman" w:cs="Times New Roman"/>
          <w:sz w:val="24"/>
          <w:szCs w:val="24"/>
        </w:rPr>
        <w:t xml:space="preserve"> </w:t>
      </w:r>
      <w:r w:rsidR="00B421D8" w:rsidRPr="00585EF4">
        <w:rPr>
          <w:rFonts w:ascii="Times New Roman" w:hAnsi="Times New Roman" w:cs="Times New Roman"/>
          <w:sz w:val="24"/>
          <w:szCs w:val="24"/>
        </w:rPr>
        <w:t>can be found in the supplementary material.</w:t>
      </w:r>
      <w:r w:rsidR="00B421D8" w:rsidRPr="00A51130">
        <w:rPr>
          <w:rFonts w:ascii="Times New Roman" w:hAnsi="Times New Roman" w:cs="Times New Roman"/>
          <w:sz w:val="24"/>
          <w:szCs w:val="24"/>
        </w:rPr>
        <w:t xml:space="preserve"> </w:t>
      </w:r>
    </w:p>
    <w:p w14:paraId="4AF5E3B1" w14:textId="62131306" w:rsidR="00794DC8" w:rsidRPr="00A51130" w:rsidRDefault="00794DC8" w:rsidP="00A51130">
      <w:pPr>
        <w:spacing w:line="480" w:lineRule="auto"/>
        <w:rPr>
          <w:rFonts w:ascii="Times New Roman" w:hAnsi="Times New Roman" w:cs="Times New Roman"/>
          <w:b/>
          <w:bCs/>
          <w:i/>
          <w:sz w:val="24"/>
          <w:szCs w:val="24"/>
        </w:rPr>
      </w:pPr>
      <w:r w:rsidRPr="00A51130">
        <w:rPr>
          <w:rFonts w:ascii="Times New Roman" w:hAnsi="Times New Roman" w:cs="Times New Roman"/>
          <w:b/>
          <w:bCs/>
          <w:i/>
          <w:sz w:val="24"/>
          <w:szCs w:val="24"/>
        </w:rPr>
        <w:t>Covariates:</w:t>
      </w:r>
    </w:p>
    <w:p w14:paraId="10CDA932" w14:textId="536B14A1" w:rsidR="00794DC8" w:rsidRPr="00A51130" w:rsidRDefault="00794DC8"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At 11 weeks</w:t>
      </w:r>
      <w:r w:rsidR="004D39B9" w:rsidRPr="00A51130">
        <w:rPr>
          <w:rFonts w:ascii="Times New Roman" w:hAnsi="Times New Roman" w:cs="Times New Roman"/>
          <w:sz w:val="24"/>
          <w:szCs w:val="24"/>
        </w:rPr>
        <w:t>’</w:t>
      </w:r>
      <w:r w:rsidRPr="00A51130">
        <w:rPr>
          <w:rFonts w:ascii="Times New Roman" w:hAnsi="Times New Roman" w:cs="Times New Roman"/>
          <w:sz w:val="24"/>
          <w:szCs w:val="24"/>
        </w:rPr>
        <w:t xml:space="preserve"> gestation, women were interviewed by research nurses. At this visit women provided information on whether they were currently smoking, resulting in a binary smoking status variable (yes/no). Women were weighed again and </w:t>
      </w:r>
      <w:r w:rsidR="004D39B9" w:rsidRPr="00A51130">
        <w:rPr>
          <w:rFonts w:ascii="Times New Roman" w:hAnsi="Times New Roman" w:cs="Times New Roman"/>
          <w:sz w:val="24"/>
          <w:szCs w:val="24"/>
        </w:rPr>
        <w:t xml:space="preserve">using </w:t>
      </w:r>
      <w:r w:rsidRPr="00A51130">
        <w:rPr>
          <w:rFonts w:ascii="Times New Roman" w:hAnsi="Times New Roman" w:cs="Times New Roman"/>
          <w:sz w:val="24"/>
          <w:szCs w:val="24"/>
        </w:rPr>
        <w:t xml:space="preserve">the heights recorded from the initial pre-pregnancy interview, first trimester body mass index (BMI) was calculated. </w:t>
      </w:r>
      <w:r w:rsidR="006353D8" w:rsidRPr="00A51130">
        <w:rPr>
          <w:rFonts w:ascii="Times New Roman" w:hAnsi="Times New Roman" w:cs="Times New Roman"/>
          <w:sz w:val="24"/>
          <w:szCs w:val="24"/>
        </w:rPr>
        <w:t>D</w:t>
      </w:r>
      <w:r w:rsidRPr="00A51130">
        <w:rPr>
          <w:rFonts w:ascii="Times New Roman" w:hAnsi="Times New Roman" w:cs="Times New Roman"/>
          <w:sz w:val="24"/>
          <w:szCs w:val="24"/>
        </w:rPr>
        <w:t xml:space="preserve">ata relating to pregnancy characteristics were extracted from </w:t>
      </w:r>
      <w:r w:rsidR="004D39B9" w:rsidRPr="00A51130">
        <w:rPr>
          <w:rFonts w:ascii="Times New Roman" w:hAnsi="Times New Roman" w:cs="Times New Roman"/>
          <w:sz w:val="24"/>
          <w:szCs w:val="24"/>
        </w:rPr>
        <w:t xml:space="preserve">obstetric </w:t>
      </w:r>
      <w:r w:rsidRPr="00A51130">
        <w:rPr>
          <w:rFonts w:ascii="Times New Roman" w:hAnsi="Times New Roman" w:cs="Times New Roman"/>
          <w:sz w:val="24"/>
          <w:szCs w:val="24"/>
        </w:rPr>
        <w:t>notes. From these, a binary gestational diabetes variable was obtained (yes/no).</w:t>
      </w:r>
      <w:r w:rsidR="006353D8" w:rsidRPr="00A51130">
        <w:rPr>
          <w:rFonts w:ascii="Times New Roman" w:hAnsi="Times New Roman" w:cs="Times New Roman"/>
          <w:sz w:val="24"/>
          <w:szCs w:val="24"/>
        </w:rPr>
        <w:t xml:space="preserve"> The occupation of the woman and her partner were obtained, from which the social class was determined (according to the Registrar General classifications); the dominant social class of woman and her partner was used for analysis. This resulted in a categorical variable with the following values: ‘professional’; ‘management and technical’; ‘skilled non-manual’; ‘skilled manual’; ‘partly skilled’; and ‘unskilled’.</w:t>
      </w:r>
    </w:p>
    <w:p w14:paraId="54A3F553" w14:textId="042BC0C6" w:rsidR="006475BB" w:rsidRPr="00A51130" w:rsidRDefault="00295C9B" w:rsidP="00A51130">
      <w:pPr>
        <w:spacing w:line="480" w:lineRule="auto"/>
        <w:rPr>
          <w:rFonts w:ascii="Times New Roman" w:hAnsi="Times New Roman" w:cs="Times New Roman"/>
          <w:b/>
          <w:bCs/>
          <w:i/>
          <w:sz w:val="24"/>
          <w:szCs w:val="24"/>
        </w:rPr>
      </w:pPr>
      <w:r w:rsidRPr="00A51130">
        <w:rPr>
          <w:rFonts w:ascii="Times New Roman" w:hAnsi="Times New Roman" w:cs="Times New Roman"/>
          <w:b/>
          <w:bCs/>
          <w:i/>
          <w:sz w:val="24"/>
          <w:szCs w:val="24"/>
        </w:rPr>
        <w:t>Statistical analysis</w:t>
      </w:r>
    </w:p>
    <w:p w14:paraId="1F442D18" w14:textId="29A47919" w:rsidR="000624D0" w:rsidRPr="00A51130" w:rsidRDefault="00244915"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 xml:space="preserve">We </w:t>
      </w:r>
      <w:r w:rsidR="001E0168" w:rsidRPr="00A51130">
        <w:rPr>
          <w:rFonts w:ascii="Times New Roman" w:hAnsi="Times New Roman" w:cs="Times New Roman"/>
          <w:sz w:val="24"/>
          <w:szCs w:val="24"/>
        </w:rPr>
        <w:t xml:space="preserve">used </w:t>
      </w:r>
      <w:r w:rsidR="009644CB" w:rsidRPr="00A51130">
        <w:rPr>
          <w:rFonts w:ascii="Times New Roman" w:hAnsi="Times New Roman" w:cs="Times New Roman"/>
          <w:sz w:val="24"/>
          <w:szCs w:val="24"/>
        </w:rPr>
        <w:t xml:space="preserve">general </w:t>
      </w:r>
      <w:r w:rsidR="001E0168" w:rsidRPr="00A51130">
        <w:rPr>
          <w:rFonts w:ascii="Times New Roman" w:hAnsi="Times New Roman" w:cs="Times New Roman"/>
          <w:sz w:val="24"/>
          <w:szCs w:val="24"/>
        </w:rPr>
        <w:t xml:space="preserve">linear regression to </w:t>
      </w:r>
      <w:r w:rsidRPr="00A51130">
        <w:rPr>
          <w:rFonts w:ascii="Times New Roman" w:hAnsi="Times New Roman" w:cs="Times New Roman"/>
          <w:sz w:val="24"/>
          <w:szCs w:val="24"/>
        </w:rPr>
        <w:t>investigate how</w:t>
      </w:r>
      <w:r w:rsidR="00DB4611" w:rsidRPr="00A51130">
        <w:rPr>
          <w:rFonts w:ascii="Times New Roman" w:hAnsi="Times New Roman" w:cs="Times New Roman"/>
          <w:sz w:val="24"/>
          <w:szCs w:val="24"/>
        </w:rPr>
        <w:t xml:space="preserve"> the association between </w:t>
      </w:r>
      <w:r w:rsidR="001E0168" w:rsidRPr="00A51130">
        <w:rPr>
          <w:rFonts w:ascii="Times New Roman" w:hAnsi="Times New Roman" w:cs="Times New Roman"/>
          <w:sz w:val="24"/>
          <w:szCs w:val="24"/>
        </w:rPr>
        <w:t>infant weight</w:t>
      </w:r>
      <w:r w:rsidR="000E37BE" w:rsidRPr="00A51130">
        <w:rPr>
          <w:rFonts w:ascii="Times New Roman" w:hAnsi="Times New Roman" w:cs="Times New Roman"/>
          <w:sz w:val="24"/>
          <w:szCs w:val="24"/>
        </w:rPr>
        <w:t xml:space="preserve"> gain (0-2 </w:t>
      </w:r>
      <w:r w:rsidR="000E37BE" w:rsidRPr="00556B1C">
        <w:rPr>
          <w:rFonts w:ascii="Times New Roman" w:hAnsi="Times New Roman" w:cs="Times New Roman"/>
          <w:sz w:val="24"/>
          <w:szCs w:val="24"/>
        </w:rPr>
        <w:t>years)</w:t>
      </w:r>
      <w:r w:rsidR="001E0168" w:rsidRPr="00556B1C">
        <w:rPr>
          <w:rFonts w:ascii="Times New Roman" w:hAnsi="Times New Roman" w:cs="Times New Roman"/>
          <w:sz w:val="24"/>
          <w:szCs w:val="24"/>
        </w:rPr>
        <w:t xml:space="preserve"> and </w:t>
      </w:r>
      <w:r w:rsidR="00DB4611" w:rsidRPr="00556B1C">
        <w:rPr>
          <w:rFonts w:ascii="Times New Roman" w:hAnsi="Times New Roman" w:cs="Times New Roman"/>
          <w:sz w:val="24"/>
          <w:szCs w:val="24"/>
        </w:rPr>
        <w:t xml:space="preserve">each outcome </w:t>
      </w:r>
      <w:r w:rsidRPr="00556B1C">
        <w:rPr>
          <w:rFonts w:ascii="Times New Roman" w:hAnsi="Times New Roman" w:cs="Times New Roman"/>
          <w:sz w:val="24"/>
          <w:szCs w:val="24"/>
        </w:rPr>
        <w:t xml:space="preserve">was modified by </w:t>
      </w:r>
      <w:r w:rsidR="006A5392" w:rsidRPr="00556B1C">
        <w:rPr>
          <w:rFonts w:ascii="Times New Roman" w:hAnsi="Times New Roman" w:cs="Times New Roman"/>
          <w:sz w:val="24"/>
          <w:szCs w:val="24"/>
        </w:rPr>
        <w:t xml:space="preserve">mean </w:t>
      </w:r>
      <w:r w:rsidR="002D4875" w:rsidRPr="00556B1C">
        <w:rPr>
          <w:rFonts w:ascii="Times New Roman" w:hAnsi="Times New Roman" w:cs="Times New Roman"/>
          <w:sz w:val="24"/>
          <w:szCs w:val="24"/>
        </w:rPr>
        <w:t>EFW</w:t>
      </w:r>
      <w:r w:rsidR="000E37BE" w:rsidRPr="00556B1C">
        <w:rPr>
          <w:rFonts w:ascii="Times New Roman" w:hAnsi="Times New Roman" w:cs="Times New Roman"/>
          <w:sz w:val="24"/>
          <w:szCs w:val="24"/>
        </w:rPr>
        <w:t xml:space="preserve"> </w:t>
      </w:r>
      <w:r w:rsidR="007D4CC1" w:rsidRPr="00556B1C">
        <w:rPr>
          <w:rFonts w:ascii="Times New Roman" w:hAnsi="Times New Roman" w:cs="Times New Roman"/>
          <w:sz w:val="24"/>
          <w:szCs w:val="24"/>
        </w:rPr>
        <w:t>(</w:t>
      </w:r>
      <w:r w:rsidR="0038050D" w:rsidRPr="00556B1C">
        <w:rPr>
          <w:rFonts w:ascii="Times New Roman" w:hAnsi="Times New Roman" w:cs="Times New Roman"/>
          <w:sz w:val="24"/>
          <w:szCs w:val="24"/>
        </w:rPr>
        <w:t>19</w:t>
      </w:r>
      <w:r w:rsidR="006A5392" w:rsidRPr="00556B1C">
        <w:rPr>
          <w:rFonts w:ascii="Times New Roman" w:hAnsi="Times New Roman" w:cs="Times New Roman"/>
          <w:sz w:val="24"/>
          <w:szCs w:val="24"/>
        </w:rPr>
        <w:t>-34</w:t>
      </w:r>
      <w:r w:rsidR="00026C87" w:rsidRPr="00556B1C">
        <w:rPr>
          <w:rFonts w:ascii="Times New Roman" w:hAnsi="Times New Roman" w:cs="Times New Roman"/>
          <w:sz w:val="24"/>
          <w:szCs w:val="24"/>
        </w:rPr>
        <w:t xml:space="preserve"> weeks</w:t>
      </w:r>
      <w:r w:rsidR="007D4CC1" w:rsidRPr="00556B1C">
        <w:rPr>
          <w:rFonts w:ascii="Times New Roman" w:hAnsi="Times New Roman" w:cs="Times New Roman"/>
          <w:sz w:val="24"/>
          <w:szCs w:val="24"/>
        </w:rPr>
        <w:t>)</w:t>
      </w:r>
      <w:r w:rsidR="0038050D" w:rsidRPr="00556B1C">
        <w:rPr>
          <w:rFonts w:ascii="Times New Roman" w:hAnsi="Times New Roman" w:cs="Times New Roman"/>
          <w:sz w:val="24"/>
          <w:szCs w:val="24"/>
        </w:rPr>
        <w:t xml:space="preserve"> and </w:t>
      </w:r>
      <w:r w:rsidR="002D4875" w:rsidRPr="00556B1C">
        <w:rPr>
          <w:rFonts w:ascii="Times New Roman" w:hAnsi="Times New Roman" w:cs="Times New Roman"/>
          <w:sz w:val="24"/>
          <w:szCs w:val="24"/>
        </w:rPr>
        <w:t>EFW</w:t>
      </w:r>
      <w:r w:rsidR="0038050D" w:rsidRPr="00556B1C">
        <w:rPr>
          <w:rFonts w:ascii="Times New Roman" w:hAnsi="Times New Roman" w:cs="Times New Roman"/>
          <w:sz w:val="24"/>
          <w:szCs w:val="24"/>
        </w:rPr>
        <w:t xml:space="preserve"> </w:t>
      </w:r>
      <w:r w:rsidR="006A5392" w:rsidRPr="00556B1C">
        <w:rPr>
          <w:rFonts w:ascii="Times New Roman" w:hAnsi="Times New Roman" w:cs="Times New Roman"/>
          <w:sz w:val="24"/>
          <w:szCs w:val="24"/>
        </w:rPr>
        <w:t xml:space="preserve">change </w:t>
      </w:r>
      <w:r w:rsidR="007D4CC1" w:rsidRPr="00556B1C">
        <w:rPr>
          <w:rFonts w:ascii="Times New Roman" w:hAnsi="Times New Roman" w:cs="Times New Roman"/>
          <w:sz w:val="24"/>
          <w:szCs w:val="24"/>
        </w:rPr>
        <w:t>(</w:t>
      </w:r>
      <w:r w:rsidR="0038050D" w:rsidRPr="00556B1C">
        <w:rPr>
          <w:rFonts w:ascii="Times New Roman" w:hAnsi="Times New Roman" w:cs="Times New Roman"/>
          <w:sz w:val="24"/>
          <w:szCs w:val="24"/>
        </w:rPr>
        <w:t>1</w:t>
      </w:r>
      <w:r w:rsidR="007D4CC1" w:rsidRPr="00556B1C">
        <w:rPr>
          <w:rFonts w:ascii="Times New Roman" w:hAnsi="Times New Roman" w:cs="Times New Roman"/>
          <w:sz w:val="24"/>
          <w:szCs w:val="24"/>
        </w:rPr>
        <w:t>9-</w:t>
      </w:r>
      <w:r w:rsidR="006A5392" w:rsidRPr="00556B1C">
        <w:rPr>
          <w:rFonts w:ascii="Times New Roman" w:hAnsi="Times New Roman" w:cs="Times New Roman"/>
          <w:sz w:val="24"/>
          <w:szCs w:val="24"/>
        </w:rPr>
        <w:t>3</w:t>
      </w:r>
      <w:r w:rsidR="007D4CC1" w:rsidRPr="00556B1C">
        <w:rPr>
          <w:rFonts w:ascii="Times New Roman" w:hAnsi="Times New Roman" w:cs="Times New Roman"/>
          <w:sz w:val="24"/>
          <w:szCs w:val="24"/>
        </w:rPr>
        <w:t>4 weeks)</w:t>
      </w:r>
      <w:r w:rsidR="00026C87" w:rsidRPr="00556B1C">
        <w:rPr>
          <w:rFonts w:ascii="Times New Roman" w:hAnsi="Times New Roman" w:cs="Times New Roman"/>
          <w:sz w:val="24"/>
          <w:szCs w:val="24"/>
        </w:rPr>
        <w:t>.</w:t>
      </w:r>
      <w:r w:rsidR="00264699" w:rsidRPr="00556B1C">
        <w:rPr>
          <w:rFonts w:ascii="Times New Roman" w:hAnsi="Times New Roman" w:cs="Times New Roman"/>
          <w:sz w:val="24"/>
          <w:szCs w:val="24"/>
        </w:rPr>
        <w:t xml:space="preserve"> </w:t>
      </w:r>
      <w:r w:rsidR="000624D0" w:rsidRPr="00556B1C">
        <w:rPr>
          <w:rFonts w:ascii="Times New Roman" w:hAnsi="Times New Roman" w:cs="Times New Roman"/>
          <w:sz w:val="24"/>
          <w:szCs w:val="24"/>
        </w:rPr>
        <w:t xml:space="preserve">In the first set of models, each outcome was regressed on infant weight gain. </w:t>
      </w:r>
      <w:r w:rsidR="004D39B9" w:rsidRPr="00556B1C">
        <w:rPr>
          <w:rFonts w:ascii="Times New Roman" w:hAnsi="Times New Roman" w:cs="Times New Roman"/>
          <w:sz w:val="24"/>
          <w:szCs w:val="24"/>
        </w:rPr>
        <w:t>T</w:t>
      </w:r>
      <w:r w:rsidR="000624D0" w:rsidRPr="00556B1C">
        <w:rPr>
          <w:rFonts w:ascii="Times New Roman" w:hAnsi="Times New Roman" w:cs="Times New Roman"/>
          <w:sz w:val="24"/>
          <w:szCs w:val="24"/>
        </w:rPr>
        <w:t>he second set of models</w:t>
      </w:r>
      <w:r w:rsidR="004D39B9" w:rsidRPr="00556B1C">
        <w:rPr>
          <w:rFonts w:ascii="Times New Roman" w:hAnsi="Times New Roman" w:cs="Times New Roman"/>
          <w:sz w:val="24"/>
          <w:szCs w:val="24"/>
        </w:rPr>
        <w:t xml:space="preserve"> included the interaction between </w:t>
      </w:r>
      <w:r w:rsidR="006A5392" w:rsidRPr="00556B1C">
        <w:rPr>
          <w:rFonts w:ascii="Times New Roman" w:hAnsi="Times New Roman" w:cs="Times New Roman"/>
          <w:sz w:val="24"/>
          <w:szCs w:val="24"/>
        </w:rPr>
        <w:t xml:space="preserve">mean </w:t>
      </w:r>
      <w:r w:rsidR="002D4875" w:rsidRPr="00556B1C">
        <w:rPr>
          <w:rFonts w:ascii="Times New Roman" w:hAnsi="Times New Roman" w:cs="Times New Roman"/>
          <w:sz w:val="24"/>
          <w:szCs w:val="24"/>
        </w:rPr>
        <w:t>EFW</w:t>
      </w:r>
      <w:r w:rsidR="000624D0" w:rsidRPr="00556B1C">
        <w:rPr>
          <w:rFonts w:ascii="Times New Roman" w:hAnsi="Times New Roman" w:cs="Times New Roman"/>
          <w:sz w:val="24"/>
          <w:szCs w:val="24"/>
        </w:rPr>
        <w:t xml:space="preserve"> (19</w:t>
      </w:r>
      <w:r w:rsidR="006A5392" w:rsidRPr="00556B1C">
        <w:rPr>
          <w:rFonts w:ascii="Times New Roman" w:hAnsi="Times New Roman" w:cs="Times New Roman"/>
          <w:sz w:val="24"/>
          <w:szCs w:val="24"/>
        </w:rPr>
        <w:t>-34</w:t>
      </w:r>
      <w:r w:rsidR="000624D0" w:rsidRPr="00556B1C">
        <w:rPr>
          <w:rFonts w:ascii="Times New Roman" w:hAnsi="Times New Roman" w:cs="Times New Roman"/>
          <w:sz w:val="24"/>
          <w:szCs w:val="24"/>
        </w:rPr>
        <w:t xml:space="preserve"> weeks) </w:t>
      </w:r>
      <w:r w:rsidR="004D39B9" w:rsidRPr="00556B1C">
        <w:rPr>
          <w:rFonts w:ascii="Times New Roman" w:hAnsi="Times New Roman" w:cs="Times New Roman"/>
          <w:sz w:val="24"/>
          <w:szCs w:val="24"/>
        </w:rPr>
        <w:t>and</w:t>
      </w:r>
      <w:r w:rsidR="000624D0" w:rsidRPr="00556B1C">
        <w:rPr>
          <w:rFonts w:ascii="Times New Roman" w:hAnsi="Times New Roman" w:cs="Times New Roman"/>
          <w:sz w:val="24"/>
          <w:szCs w:val="24"/>
        </w:rPr>
        <w:t xml:space="preserve"> infant weight gain. </w:t>
      </w:r>
      <w:r w:rsidR="004D39B9" w:rsidRPr="00556B1C">
        <w:rPr>
          <w:rFonts w:ascii="Times New Roman" w:hAnsi="Times New Roman" w:cs="Times New Roman"/>
          <w:sz w:val="24"/>
          <w:szCs w:val="24"/>
        </w:rPr>
        <w:t>T</w:t>
      </w:r>
      <w:r w:rsidR="000624D0" w:rsidRPr="00556B1C">
        <w:rPr>
          <w:rFonts w:ascii="Times New Roman" w:hAnsi="Times New Roman" w:cs="Times New Roman"/>
          <w:sz w:val="24"/>
          <w:szCs w:val="24"/>
        </w:rPr>
        <w:t xml:space="preserve">he third set </w:t>
      </w:r>
      <w:r w:rsidR="004D39B9" w:rsidRPr="00556B1C">
        <w:rPr>
          <w:rFonts w:ascii="Times New Roman" w:hAnsi="Times New Roman" w:cs="Times New Roman"/>
          <w:sz w:val="24"/>
          <w:szCs w:val="24"/>
        </w:rPr>
        <w:t>included the interaction between</w:t>
      </w:r>
      <w:r w:rsidR="000624D0" w:rsidRPr="00556B1C">
        <w:rPr>
          <w:rFonts w:ascii="Times New Roman" w:hAnsi="Times New Roman" w:cs="Times New Roman"/>
          <w:sz w:val="24"/>
          <w:szCs w:val="24"/>
        </w:rPr>
        <w:t xml:space="preserve"> </w:t>
      </w:r>
      <w:r w:rsidR="002D4875" w:rsidRPr="00556B1C">
        <w:rPr>
          <w:rFonts w:ascii="Times New Roman" w:hAnsi="Times New Roman" w:cs="Times New Roman"/>
          <w:sz w:val="24"/>
          <w:szCs w:val="24"/>
        </w:rPr>
        <w:t>EFW</w:t>
      </w:r>
      <w:r w:rsidR="000624D0" w:rsidRPr="00556B1C">
        <w:rPr>
          <w:rFonts w:ascii="Times New Roman" w:hAnsi="Times New Roman" w:cs="Times New Roman"/>
          <w:sz w:val="24"/>
          <w:szCs w:val="24"/>
        </w:rPr>
        <w:t xml:space="preserve"> </w:t>
      </w:r>
      <w:r w:rsidR="006A5392" w:rsidRPr="00556B1C">
        <w:rPr>
          <w:rFonts w:ascii="Times New Roman" w:hAnsi="Times New Roman" w:cs="Times New Roman"/>
          <w:sz w:val="24"/>
          <w:szCs w:val="24"/>
        </w:rPr>
        <w:t xml:space="preserve">change </w:t>
      </w:r>
      <w:r w:rsidR="000624D0" w:rsidRPr="00556B1C">
        <w:rPr>
          <w:rFonts w:ascii="Times New Roman" w:hAnsi="Times New Roman" w:cs="Times New Roman"/>
          <w:sz w:val="24"/>
          <w:szCs w:val="24"/>
        </w:rPr>
        <w:t>(19-</w:t>
      </w:r>
      <w:r w:rsidR="006A5392" w:rsidRPr="00556B1C">
        <w:rPr>
          <w:rFonts w:ascii="Times New Roman" w:hAnsi="Times New Roman" w:cs="Times New Roman"/>
          <w:sz w:val="24"/>
          <w:szCs w:val="24"/>
        </w:rPr>
        <w:t>3</w:t>
      </w:r>
      <w:r w:rsidR="000624D0" w:rsidRPr="00556B1C">
        <w:rPr>
          <w:rFonts w:ascii="Times New Roman" w:hAnsi="Times New Roman" w:cs="Times New Roman"/>
          <w:sz w:val="24"/>
          <w:szCs w:val="24"/>
        </w:rPr>
        <w:t xml:space="preserve">4 weeks) </w:t>
      </w:r>
      <w:r w:rsidR="004D39B9" w:rsidRPr="00556B1C">
        <w:rPr>
          <w:rFonts w:ascii="Times New Roman" w:hAnsi="Times New Roman" w:cs="Times New Roman"/>
          <w:sz w:val="24"/>
          <w:szCs w:val="24"/>
        </w:rPr>
        <w:t>and</w:t>
      </w:r>
      <w:r w:rsidR="000624D0" w:rsidRPr="00556B1C">
        <w:rPr>
          <w:rFonts w:ascii="Times New Roman" w:hAnsi="Times New Roman" w:cs="Times New Roman"/>
          <w:sz w:val="24"/>
          <w:szCs w:val="24"/>
        </w:rPr>
        <w:t xml:space="preserve"> infant weight gain.</w:t>
      </w:r>
      <w:r w:rsidR="000624D0" w:rsidRPr="00A51130">
        <w:rPr>
          <w:rFonts w:ascii="Times New Roman" w:hAnsi="Times New Roman" w:cs="Times New Roman"/>
          <w:sz w:val="24"/>
          <w:szCs w:val="24"/>
        </w:rPr>
        <w:t xml:space="preserve"> </w:t>
      </w:r>
      <w:bookmarkStart w:id="1" w:name="_Hlk26521762"/>
      <w:r w:rsidR="006E33A1" w:rsidRPr="006E33A1">
        <w:rPr>
          <w:rFonts w:ascii="Times New Roman" w:hAnsi="Times New Roman" w:cs="Times New Roman"/>
          <w:sz w:val="24"/>
          <w:szCs w:val="24"/>
        </w:rPr>
        <w:t>95% confidence intervals of the interaction term</w:t>
      </w:r>
      <w:r w:rsidR="00556B1C">
        <w:rPr>
          <w:rFonts w:ascii="Times New Roman" w:hAnsi="Times New Roman" w:cs="Times New Roman"/>
          <w:sz w:val="24"/>
          <w:szCs w:val="24"/>
        </w:rPr>
        <w:t>s</w:t>
      </w:r>
      <w:r w:rsidR="006E33A1" w:rsidRPr="006E33A1">
        <w:rPr>
          <w:rFonts w:ascii="Times New Roman" w:hAnsi="Times New Roman" w:cs="Times New Roman"/>
          <w:sz w:val="24"/>
          <w:szCs w:val="24"/>
        </w:rPr>
        <w:t xml:space="preserve"> were obtained, and we also performed a test of nested models, where the null hypothesis was that the added interaction term was equal to zero.</w:t>
      </w:r>
      <w:r w:rsidR="006E33A1">
        <w:rPr>
          <w:rFonts w:ascii="Times New Roman" w:hAnsi="Times New Roman" w:cs="Times New Roman"/>
          <w:sz w:val="24"/>
          <w:szCs w:val="24"/>
        </w:rPr>
        <w:t xml:space="preserve"> Therefore, a significant result (p&lt;0.05) on this test suggests that the models including the interaction term(s) (i.e. the less restrictive models) are a better fit to the data. </w:t>
      </w:r>
    </w:p>
    <w:bookmarkEnd w:id="1"/>
    <w:p w14:paraId="4196415A" w14:textId="2DA0E87E" w:rsidR="00363124" w:rsidRPr="00A51130" w:rsidRDefault="00FF7F3E"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 xml:space="preserve">Unadjusted analyses were </w:t>
      </w:r>
      <w:r w:rsidR="004D39B9" w:rsidRPr="00A51130">
        <w:rPr>
          <w:rFonts w:ascii="Times New Roman" w:hAnsi="Times New Roman" w:cs="Times New Roman"/>
          <w:sz w:val="24"/>
          <w:szCs w:val="24"/>
        </w:rPr>
        <w:t xml:space="preserve">conducted </w:t>
      </w:r>
      <w:r w:rsidRPr="00A51130">
        <w:rPr>
          <w:rFonts w:ascii="Times New Roman" w:hAnsi="Times New Roman" w:cs="Times New Roman"/>
          <w:sz w:val="24"/>
          <w:szCs w:val="24"/>
        </w:rPr>
        <w:t>first</w:t>
      </w:r>
      <w:r w:rsidR="004D39B9" w:rsidRPr="00A51130">
        <w:rPr>
          <w:rFonts w:ascii="Times New Roman" w:hAnsi="Times New Roman" w:cs="Times New Roman"/>
          <w:sz w:val="24"/>
          <w:szCs w:val="24"/>
        </w:rPr>
        <w:t>,</w:t>
      </w:r>
      <w:r w:rsidRPr="00A51130">
        <w:rPr>
          <w:rFonts w:ascii="Times New Roman" w:hAnsi="Times New Roman" w:cs="Times New Roman"/>
          <w:sz w:val="24"/>
          <w:szCs w:val="24"/>
        </w:rPr>
        <w:t xml:space="preserve"> </w:t>
      </w:r>
      <w:r w:rsidR="007C1DD6" w:rsidRPr="00A51130">
        <w:rPr>
          <w:rFonts w:ascii="Times New Roman" w:hAnsi="Times New Roman" w:cs="Times New Roman"/>
          <w:sz w:val="24"/>
          <w:szCs w:val="24"/>
        </w:rPr>
        <w:t>before</w:t>
      </w:r>
      <w:r w:rsidR="00363124" w:rsidRPr="00A51130">
        <w:rPr>
          <w:rFonts w:ascii="Times New Roman" w:hAnsi="Times New Roman" w:cs="Times New Roman"/>
          <w:sz w:val="24"/>
          <w:szCs w:val="24"/>
        </w:rPr>
        <w:t xml:space="preserve"> adjust</w:t>
      </w:r>
      <w:r w:rsidR="007C1DD6" w:rsidRPr="00A51130">
        <w:rPr>
          <w:rFonts w:ascii="Times New Roman" w:hAnsi="Times New Roman" w:cs="Times New Roman"/>
          <w:sz w:val="24"/>
          <w:szCs w:val="24"/>
        </w:rPr>
        <w:t>ing</w:t>
      </w:r>
      <w:r w:rsidR="00363124" w:rsidRPr="00A51130">
        <w:rPr>
          <w:rFonts w:ascii="Times New Roman" w:hAnsi="Times New Roman" w:cs="Times New Roman"/>
          <w:sz w:val="24"/>
          <w:szCs w:val="24"/>
        </w:rPr>
        <w:t xml:space="preserve"> for</w:t>
      </w:r>
      <w:r w:rsidR="00A67C69" w:rsidRPr="00A51130">
        <w:rPr>
          <w:rFonts w:ascii="Times New Roman" w:hAnsi="Times New Roman" w:cs="Times New Roman"/>
          <w:sz w:val="24"/>
          <w:szCs w:val="24"/>
        </w:rPr>
        <w:t xml:space="preserve"> </w:t>
      </w:r>
      <w:r w:rsidR="00363124" w:rsidRPr="00A51130">
        <w:rPr>
          <w:rFonts w:ascii="Times New Roman" w:hAnsi="Times New Roman" w:cs="Times New Roman"/>
          <w:sz w:val="24"/>
          <w:szCs w:val="24"/>
        </w:rPr>
        <w:t xml:space="preserve">confounding variables </w:t>
      </w:r>
      <w:r w:rsidR="00FE6F64" w:rsidRPr="00A51130">
        <w:rPr>
          <w:rFonts w:ascii="Times New Roman" w:hAnsi="Times New Roman" w:cs="Times New Roman"/>
          <w:sz w:val="24"/>
          <w:szCs w:val="24"/>
        </w:rPr>
        <w:t>(</w:t>
      </w:r>
      <w:r w:rsidR="00485229" w:rsidRPr="00A51130">
        <w:rPr>
          <w:rFonts w:ascii="Times New Roman" w:hAnsi="Times New Roman" w:cs="Times New Roman"/>
          <w:sz w:val="24"/>
          <w:szCs w:val="24"/>
        </w:rPr>
        <w:t xml:space="preserve">maternal </w:t>
      </w:r>
      <w:r w:rsidR="00285E87" w:rsidRPr="00A51130">
        <w:rPr>
          <w:rFonts w:ascii="Times New Roman" w:hAnsi="Times New Roman" w:cs="Times New Roman"/>
          <w:sz w:val="24"/>
          <w:szCs w:val="24"/>
        </w:rPr>
        <w:t xml:space="preserve">first trimester </w:t>
      </w:r>
      <w:r w:rsidR="00D75CD7" w:rsidRPr="00A51130">
        <w:rPr>
          <w:rFonts w:ascii="Times New Roman" w:hAnsi="Times New Roman" w:cs="Times New Roman"/>
          <w:sz w:val="24"/>
          <w:szCs w:val="24"/>
        </w:rPr>
        <w:t>BMI</w:t>
      </w:r>
      <w:r w:rsidR="00530AC9" w:rsidRPr="00A51130">
        <w:rPr>
          <w:rFonts w:ascii="Times New Roman" w:hAnsi="Times New Roman" w:cs="Times New Roman"/>
          <w:sz w:val="24"/>
          <w:szCs w:val="24"/>
        </w:rPr>
        <w:t xml:space="preserve">, </w:t>
      </w:r>
      <w:r w:rsidR="006433F1" w:rsidRPr="00A51130">
        <w:rPr>
          <w:rFonts w:ascii="Times New Roman" w:hAnsi="Times New Roman" w:cs="Times New Roman"/>
          <w:sz w:val="24"/>
          <w:szCs w:val="24"/>
        </w:rPr>
        <w:t xml:space="preserve">maternal </w:t>
      </w:r>
      <w:r w:rsidR="00530AC9" w:rsidRPr="00A51130">
        <w:rPr>
          <w:rFonts w:ascii="Times New Roman" w:hAnsi="Times New Roman" w:cs="Times New Roman"/>
          <w:sz w:val="24"/>
          <w:szCs w:val="24"/>
        </w:rPr>
        <w:t xml:space="preserve">smoking during pregnancy, gestational diabetes, and </w:t>
      </w:r>
      <w:r w:rsidR="00285E87" w:rsidRPr="00A51130">
        <w:rPr>
          <w:rFonts w:ascii="Times New Roman" w:hAnsi="Times New Roman" w:cs="Times New Roman"/>
          <w:sz w:val="24"/>
          <w:szCs w:val="24"/>
        </w:rPr>
        <w:t xml:space="preserve">household </w:t>
      </w:r>
      <w:r w:rsidR="00530AC9" w:rsidRPr="00A51130">
        <w:rPr>
          <w:rFonts w:ascii="Times New Roman" w:hAnsi="Times New Roman" w:cs="Times New Roman"/>
          <w:sz w:val="24"/>
          <w:szCs w:val="24"/>
        </w:rPr>
        <w:t>social class</w:t>
      </w:r>
      <w:r w:rsidR="0097101A" w:rsidRPr="00A51130">
        <w:rPr>
          <w:rFonts w:ascii="Times New Roman" w:hAnsi="Times New Roman" w:cs="Times New Roman"/>
          <w:sz w:val="24"/>
          <w:szCs w:val="24"/>
        </w:rPr>
        <w:t>)</w:t>
      </w:r>
      <w:r w:rsidR="003964D4" w:rsidRPr="00A51130">
        <w:rPr>
          <w:rFonts w:ascii="Times New Roman" w:hAnsi="Times New Roman" w:cs="Times New Roman"/>
          <w:sz w:val="24"/>
          <w:szCs w:val="24"/>
        </w:rPr>
        <w:t xml:space="preserve">. </w:t>
      </w:r>
      <w:r w:rsidR="00A63C60" w:rsidRPr="00A51130">
        <w:rPr>
          <w:rFonts w:ascii="Times New Roman" w:hAnsi="Times New Roman" w:cs="Times New Roman"/>
          <w:sz w:val="24"/>
          <w:szCs w:val="24"/>
        </w:rPr>
        <w:t xml:space="preserve">These confounding variables </w:t>
      </w:r>
      <w:r w:rsidR="00064A0D" w:rsidRPr="00A51130">
        <w:rPr>
          <w:rFonts w:ascii="Times New Roman" w:hAnsi="Times New Roman" w:cs="Times New Roman"/>
          <w:sz w:val="24"/>
          <w:szCs w:val="24"/>
        </w:rPr>
        <w:t xml:space="preserve">were identified </w:t>
      </w:r>
      <w:r w:rsidR="00A63C60" w:rsidRPr="00A51130">
        <w:rPr>
          <w:rFonts w:ascii="Times New Roman" w:hAnsi="Times New Roman" w:cs="Times New Roman"/>
          <w:sz w:val="24"/>
          <w:szCs w:val="24"/>
        </w:rPr>
        <w:t>with</w:t>
      </w:r>
      <w:r w:rsidR="005E4AF4" w:rsidRPr="00A51130">
        <w:rPr>
          <w:rFonts w:ascii="Times New Roman" w:hAnsi="Times New Roman" w:cs="Times New Roman"/>
          <w:sz w:val="24"/>
          <w:szCs w:val="24"/>
        </w:rPr>
        <w:t xml:space="preserve"> the use of a directed acyclic graph (DAG</w:t>
      </w:r>
      <w:r w:rsidR="002E3A5F" w:rsidRPr="00A51130">
        <w:rPr>
          <w:rFonts w:ascii="Times New Roman" w:hAnsi="Times New Roman" w:cs="Times New Roman"/>
          <w:sz w:val="24"/>
          <w:szCs w:val="24"/>
        </w:rPr>
        <w:t>)</w:t>
      </w:r>
      <w:r w:rsidR="00363124" w:rsidRPr="00A51130">
        <w:rPr>
          <w:rFonts w:ascii="Times New Roman" w:hAnsi="Times New Roman" w:cs="Times New Roman"/>
          <w:sz w:val="24"/>
          <w:szCs w:val="24"/>
        </w:rPr>
        <w:t xml:space="preserve"> </w:t>
      </w:r>
      <w:r w:rsidR="007C1DD6" w:rsidRPr="00A51130">
        <w:rPr>
          <w:rFonts w:ascii="Times New Roman" w:hAnsi="Times New Roman" w:cs="Times New Roman"/>
          <w:sz w:val="24"/>
          <w:szCs w:val="24"/>
        </w:rPr>
        <w:t>(</w:t>
      </w:r>
      <w:r w:rsidR="00A6743C" w:rsidRPr="00A51130">
        <w:rPr>
          <w:rFonts w:ascii="Times New Roman" w:hAnsi="Times New Roman" w:cs="Times New Roman"/>
          <w:sz w:val="24"/>
          <w:szCs w:val="24"/>
        </w:rPr>
        <w:t xml:space="preserve">supplementary </w:t>
      </w:r>
      <w:r w:rsidR="002D04AD">
        <w:rPr>
          <w:rFonts w:ascii="Times New Roman" w:hAnsi="Times New Roman" w:cs="Times New Roman"/>
          <w:sz w:val="24"/>
          <w:szCs w:val="24"/>
        </w:rPr>
        <w:t>figure 2</w:t>
      </w:r>
      <w:r w:rsidR="007C1DD6" w:rsidRPr="00A51130">
        <w:rPr>
          <w:rFonts w:ascii="Times New Roman" w:hAnsi="Times New Roman" w:cs="Times New Roman"/>
          <w:sz w:val="24"/>
          <w:szCs w:val="24"/>
        </w:rPr>
        <w:t>)</w:t>
      </w:r>
      <w:r w:rsidR="00A6743C" w:rsidRPr="00A51130">
        <w:rPr>
          <w:rFonts w:ascii="Times New Roman" w:hAnsi="Times New Roman" w:cs="Times New Roman"/>
          <w:sz w:val="24"/>
          <w:szCs w:val="24"/>
        </w:rPr>
        <w:t xml:space="preserve">. </w:t>
      </w:r>
    </w:p>
    <w:p w14:paraId="3C55FF26" w14:textId="4EA65DA6" w:rsidR="00363124" w:rsidRPr="00A51130" w:rsidRDefault="00F45D22"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 xml:space="preserve">Missing </w:t>
      </w:r>
      <w:r w:rsidR="002B3669" w:rsidRPr="00A51130">
        <w:rPr>
          <w:rFonts w:ascii="Times New Roman" w:hAnsi="Times New Roman" w:cs="Times New Roman"/>
          <w:sz w:val="24"/>
          <w:szCs w:val="24"/>
        </w:rPr>
        <w:t>outcome</w:t>
      </w:r>
      <w:r w:rsidR="00D0314E" w:rsidRPr="00A51130">
        <w:rPr>
          <w:rFonts w:ascii="Times New Roman" w:hAnsi="Times New Roman" w:cs="Times New Roman"/>
          <w:sz w:val="24"/>
          <w:szCs w:val="24"/>
        </w:rPr>
        <w:t xml:space="preserve"> and covariate</w:t>
      </w:r>
      <w:r w:rsidRPr="00A51130">
        <w:rPr>
          <w:rFonts w:ascii="Times New Roman" w:hAnsi="Times New Roman" w:cs="Times New Roman"/>
          <w:sz w:val="24"/>
          <w:szCs w:val="24"/>
        </w:rPr>
        <w:t xml:space="preserve"> </w:t>
      </w:r>
      <w:r w:rsidR="009228FD" w:rsidRPr="00A51130">
        <w:rPr>
          <w:rFonts w:ascii="Times New Roman" w:hAnsi="Times New Roman" w:cs="Times New Roman"/>
          <w:sz w:val="24"/>
          <w:szCs w:val="24"/>
        </w:rPr>
        <w:t xml:space="preserve">data </w:t>
      </w:r>
      <w:r w:rsidRPr="00A51130">
        <w:rPr>
          <w:rFonts w:ascii="Times New Roman" w:hAnsi="Times New Roman" w:cs="Times New Roman"/>
          <w:sz w:val="24"/>
          <w:szCs w:val="24"/>
        </w:rPr>
        <w:t xml:space="preserve">were handled using </w:t>
      </w:r>
      <w:r w:rsidR="00363124" w:rsidRPr="00A51130">
        <w:rPr>
          <w:rFonts w:ascii="Times New Roman" w:hAnsi="Times New Roman" w:cs="Times New Roman"/>
          <w:sz w:val="24"/>
          <w:szCs w:val="24"/>
        </w:rPr>
        <w:t>multiple</w:t>
      </w:r>
      <w:r w:rsidR="0005534A" w:rsidRPr="00A51130">
        <w:rPr>
          <w:rFonts w:ascii="Times New Roman" w:hAnsi="Times New Roman" w:cs="Times New Roman"/>
          <w:sz w:val="24"/>
          <w:szCs w:val="24"/>
        </w:rPr>
        <w:t xml:space="preserve"> </w:t>
      </w:r>
      <w:r w:rsidR="00363124" w:rsidRPr="00A51130">
        <w:rPr>
          <w:rFonts w:ascii="Times New Roman" w:hAnsi="Times New Roman" w:cs="Times New Roman"/>
          <w:sz w:val="24"/>
          <w:szCs w:val="24"/>
        </w:rPr>
        <w:t>imputation by chained equations (MICE)</w:t>
      </w:r>
      <w:r w:rsidR="008F370B"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{"citationItems":[{"id":"ITEM-1","itemData":{"DOI":"10.18637/jss.v045.i04","ISBN":"9781420065213","ISSN":"1548-7660","PMID":"15333621","abstract":"Missing data are a common occurrence in real datasets. For epidemiological and prognostic factors studies inmedicine, multiple imputation is becoming the standard route to estimating models with missing covariate data under a missing-at-random assumption. We describe ice, an implementation in Stata of theMICE approach tomultiple imputation. Real data from an observational study in ovarian cancer are used to illustrate the most important of the many options available with ice. We remark briefly on the new database architecture and procedures for multiple imputation introduced in releases 11 and 12 of Stata.","author":[{"dropping-particle":"","family":"Royston","given":"Patrick","non-dropping-particle":"","parse-names":false,"suffix":""},{"dropping-particle":"","family":"White","given":"Ian","non-dropping-particle":"","parse-names":false,"suffix":""}],"container-title":"Journal of Statistical Software","id":"ITEM-1","issue":"4","issued":{"date-parts":[["2011"]]},"title":"Multiple Imputation by Chained Equations (MICE): Implementation in Stata","type":"article-journal","volume":"45"},"uris":["http://www.mendeley.com/documents/?uuid=68ff4304-a81f-3a35-b4a7-b2c62f2bfbea"]}],"mendeley":{"formattedCitation":"(Royston &amp; White 2011)","plainTextFormattedCitation":"(Royston &amp; White 2011)","previouslyFormattedCitation":"(Royston &amp; White 2011)"},"properties":{"noteIndex":0},"schema":"https://github.com/citation-style-language/schema/raw/master/csl-citation.json"}</w:instrText>
      </w:r>
      <w:r w:rsidR="008F370B"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(Royston &amp; White 2011)</w:t>
      </w:r>
      <w:r w:rsidR="008F370B" w:rsidRPr="00A51130">
        <w:rPr>
          <w:rFonts w:ascii="Times New Roman" w:hAnsi="Times New Roman" w:cs="Times New Roman"/>
          <w:sz w:val="24"/>
          <w:szCs w:val="24"/>
        </w:rPr>
        <w:fldChar w:fldCharType="end"/>
      </w:r>
      <w:r w:rsidR="00363124" w:rsidRPr="00A51130">
        <w:rPr>
          <w:rFonts w:ascii="Times New Roman" w:hAnsi="Times New Roman" w:cs="Times New Roman"/>
          <w:sz w:val="24"/>
          <w:szCs w:val="24"/>
        </w:rPr>
        <w:t>,</w:t>
      </w:r>
      <w:r w:rsidR="008F370B" w:rsidRPr="00A51130">
        <w:rPr>
          <w:rFonts w:ascii="Times New Roman" w:hAnsi="Times New Roman" w:cs="Times New Roman"/>
          <w:sz w:val="24"/>
          <w:szCs w:val="24"/>
        </w:rPr>
        <w:t xml:space="preserve"> </w:t>
      </w:r>
      <w:r w:rsidR="00363124" w:rsidRPr="00A51130">
        <w:rPr>
          <w:rFonts w:ascii="Times New Roman" w:hAnsi="Times New Roman" w:cs="Times New Roman"/>
          <w:sz w:val="24"/>
          <w:szCs w:val="24"/>
        </w:rPr>
        <w:t>combining estimates using Rubin’s rules</w:t>
      </w:r>
      <w:r w:rsidR="006A5392">
        <w:rPr>
          <w:rFonts w:ascii="Times New Roman" w:hAnsi="Times New Roman" w:cs="Times New Roman"/>
          <w:sz w:val="24"/>
          <w:szCs w:val="24"/>
        </w:rPr>
        <w:t xml:space="preserve"> </w:t>
      </w:r>
      <w:r w:rsidR="008F370B"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{"citationItems":[{"id":"ITEM-1","itemData":{"author":[{"dropping-particle":"","family":"Rubin","given":"DB","non-dropping-particle":"","parse-names":false,"suffix":""}],"id":"ITEM-1","issued":{"date-parts":[["2004"]]},"publisher":"John Wiley &amp; Sons, Ltd","title":"Multiple imputation for nonresponse in surveys","type":"book"},"uris":["http://www.mendeley.com/documents/?uuid=99c94c81-73f5-312c-9043-614eccd4f350"]}],"mendeley":{"formattedCitation":"(Rubin 2004)","plainTextFormattedCitation":"(Rubin 2004)","previouslyFormattedCitation":"(Rubin 2004)"},"properties":{"noteIndex":0},"schema":"https://github.com/citation-style-language/schema/raw/master/csl-citation.json"}</w:instrText>
      </w:r>
      <w:r w:rsidR="008F370B"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(Rubin 2004)</w:t>
      </w:r>
      <w:r w:rsidR="008F370B" w:rsidRPr="00A51130">
        <w:rPr>
          <w:rFonts w:ascii="Times New Roman" w:hAnsi="Times New Roman" w:cs="Times New Roman"/>
          <w:sz w:val="24"/>
          <w:szCs w:val="24"/>
        </w:rPr>
        <w:fldChar w:fldCharType="end"/>
      </w:r>
      <w:r w:rsidR="00B277C7" w:rsidRPr="00A51130">
        <w:rPr>
          <w:rFonts w:ascii="Times New Roman" w:hAnsi="Times New Roman" w:cs="Times New Roman"/>
          <w:sz w:val="24"/>
          <w:szCs w:val="24"/>
        </w:rPr>
        <w:t>.</w:t>
      </w:r>
      <w:r w:rsidR="00B00A70" w:rsidRPr="00A51130">
        <w:rPr>
          <w:rFonts w:ascii="Times New Roman" w:hAnsi="Times New Roman" w:cs="Times New Roman"/>
          <w:sz w:val="24"/>
          <w:szCs w:val="24"/>
        </w:rPr>
        <w:t xml:space="preserve"> We imputed back to th</w:t>
      </w:r>
      <w:r w:rsidR="0075403C" w:rsidRPr="00A51130">
        <w:rPr>
          <w:rFonts w:ascii="Times New Roman" w:hAnsi="Times New Roman" w:cs="Times New Roman"/>
          <w:sz w:val="24"/>
          <w:szCs w:val="24"/>
        </w:rPr>
        <w:t xml:space="preserve">e sample </w:t>
      </w:r>
      <w:r w:rsidR="00B00A70" w:rsidRPr="00A51130">
        <w:rPr>
          <w:rFonts w:ascii="Times New Roman" w:hAnsi="Times New Roman" w:cs="Times New Roman"/>
          <w:sz w:val="24"/>
          <w:szCs w:val="24"/>
        </w:rPr>
        <w:t>with complete exposure, modifier and 6</w:t>
      </w:r>
      <w:r w:rsidR="00556B1C">
        <w:rPr>
          <w:rFonts w:ascii="Times New Roman" w:hAnsi="Times New Roman" w:cs="Times New Roman"/>
          <w:sz w:val="24"/>
          <w:szCs w:val="24"/>
        </w:rPr>
        <w:t>-</w:t>
      </w:r>
      <w:r w:rsidR="00B00A70" w:rsidRPr="00A51130">
        <w:rPr>
          <w:rFonts w:ascii="Times New Roman" w:hAnsi="Times New Roman" w:cs="Times New Roman"/>
          <w:sz w:val="24"/>
          <w:szCs w:val="24"/>
        </w:rPr>
        <w:t>year BMI data (n=</w:t>
      </w:r>
      <w:r w:rsidR="00027C6A" w:rsidRPr="00A51130">
        <w:rPr>
          <w:rFonts w:ascii="Times New Roman" w:hAnsi="Times New Roman" w:cs="Times New Roman"/>
          <w:sz w:val="24"/>
          <w:szCs w:val="24"/>
        </w:rPr>
        <w:t>78</w:t>
      </w:r>
      <w:r w:rsidR="00027C6A">
        <w:rPr>
          <w:rFonts w:ascii="Times New Roman" w:hAnsi="Times New Roman" w:cs="Times New Roman"/>
          <w:sz w:val="24"/>
          <w:szCs w:val="24"/>
        </w:rPr>
        <w:t>6</w:t>
      </w:r>
      <w:r w:rsidR="00B00A70" w:rsidRPr="00A51130">
        <w:rPr>
          <w:rFonts w:ascii="Times New Roman" w:hAnsi="Times New Roman" w:cs="Times New Roman"/>
          <w:sz w:val="24"/>
          <w:szCs w:val="24"/>
        </w:rPr>
        <w:t>)</w:t>
      </w:r>
      <w:r w:rsidR="00EC6D98" w:rsidRPr="00A51130">
        <w:rPr>
          <w:rFonts w:ascii="Times New Roman" w:hAnsi="Times New Roman" w:cs="Times New Roman"/>
          <w:sz w:val="24"/>
          <w:szCs w:val="24"/>
        </w:rPr>
        <w:t>.</w:t>
      </w:r>
      <w:r w:rsidR="00577B66" w:rsidRPr="00A51130">
        <w:rPr>
          <w:rFonts w:ascii="Times New Roman" w:hAnsi="Times New Roman" w:cs="Times New Roman"/>
          <w:sz w:val="24"/>
          <w:szCs w:val="24"/>
        </w:rPr>
        <w:t xml:space="preserve"> </w:t>
      </w:r>
      <w:r w:rsidR="00363124" w:rsidRPr="00A51130" w:rsidDel="004D39B9">
        <w:rPr>
          <w:rFonts w:ascii="Times New Roman" w:hAnsi="Times New Roman" w:cs="Times New Roman"/>
          <w:sz w:val="24"/>
          <w:szCs w:val="24"/>
        </w:rPr>
        <w:t>In order to identify whether bias was introduced by limiting our analysis to those with complete exposure</w:t>
      </w:r>
      <w:r w:rsidR="00E830B0" w:rsidRPr="00A51130" w:rsidDel="004D39B9">
        <w:rPr>
          <w:rFonts w:ascii="Times New Roman" w:hAnsi="Times New Roman" w:cs="Times New Roman"/>
          <w:sz w:val="24"/>
          <w:szCs w:val="24"/>
        </w:rPr>
        <w:t xml:space="preserve">, </w:t>
      </w:r>
      <w:r w:rsidR="00E114DD" w:rsidRPr="00A51130" w:rsidDel="004D39B9">
        <w:rPr>
          <w:rFonts w:ascii="Times New Roman" w:hAnsi="Times New Roman" w:cs="Times New Roman"/>
          <w:sz w:val="24"/>
          <w:szCs w:val="24"/>
        </w:rPr>
        <w:t>modifier</w:t>
      </w:r>
      <w:r w:rsidR="00363124" w:rsidRPr="00A51130" w:rsidDel="004D39B9">
        <w:rPr>
          <w:rFonts w:ascii="Times New Roman" w:hAnsi="Times New Roman" w:cs="Times New Roman"/>
          <w:sz w:val="24"/>
          <w:szCs w:val="24"/>
        </w:rPr>
        <w:t xml:space="preserve"> and outcome data</w:t>
      </w:r>
      <w:r w:rsidR="003D1DF5" w:rsidRPr="00A51130">
        <w:rPr>
          <w:rFonts w:ascii="Times New Roman" w:hAnsi="Times New Roman" w:cs="Times New Roman"/>
          <w:sz w:val="24"/>
          <w:szCs w:val="24"/>
        </w:rPr>
        <w:t>, s</w:t>
      </w:r>
      <w:r w:rsidR="00363124" w:rsidRPr="00A51130">
        <w:rPr>
          <w:rFonts w:ascii="Times New Roman" w:hAnsi="Times New Roman" w:cs="Times New Roman"/>
          <w:sz w:val="24"/>
          <w:szCs w:val="24"/>
        </w:rPr>
        <w:t>upplementary analyses comparing maternal and neonatal data of those in/excluded were performed</w:t>
      </w:r>
      <w:r w:rsidR="00F24B2A" w:rsidRPr="00A51130">
        <w:rPr>
          <w:rFonts w:ascii="Times New Roman" w:hAnsi="Times New Roman" w:cs="Times New Roman"/>
          <w:sz w:val="24"/>
          <w:szCs w:val="24"/>
        </w:rPr>
        <w:t xml:space="preserve"> (supplementary table 2)</w:t>
      </w:r>
      <w:r w:rsidR="00363124" w:rsidRPr="00A51130">
        <w:rPr>
          <w:rFonts w:ascii="Times New Roman" w:hAnsi="Times New Roman" w:cs="Times New Roman"/>
          <w:sz w:val="24"/>
          <w:szCs w:val="24"/>
        </w:rPr>
        <w:t xml:space="preserve">. </w:t>
      </w:r>
    </w:p>
    <w:p w14:paraId="26D9D638" w14:textId="532D83A1" w:rsidR="007439D0" w:rsidRPr="00A51130" w:rsidRDefault="009115D5" w:rsidP="00A51130">
      <w:pPr>
        <w:spacing w:line="480" w:lineRule="auto"/>
        <w:rPr>
          <w:rFonts w:ascii="Times New Roman" w:hAnsi="Times New Roman" w:cs="Times New Roman"/>
          <w:sz w:val="24"/>
          <w:szCs w:val="24"/>
        </w:rPr>
      </w:pPr>
      <w:r>
        <w:rPr>
          <w:rFonts w:ascii="Times New Roman" w:hAnsi="Times New Roman" w:cs="Times New Roman"/>
          <w:sz w:val="24"/>
          <w:szCs w:val="24"/>
        </w:rPr>
        <w:t>For consistency across the two age periods, a</w:t>
      </w:r>
      <w:r w:rsidR="0007377E" w:rsidRPr="00A51130">
        <w:rPr>
          <w:rFonts w:ascii="Times New Roman" w:hAnsi="Times New Roman" w:cs="Times New Roman"/>
          <w:sz w:val="24"/>
          <w:szCs w:val="24"/>
        </w:rPr>
        <w:t xml:space="preserve">ll effect sizes are presented per </w:t>
      </w:r>
      <w:r>
        <w:rPr>
          <w:rFonts w:ascii="Times New Roman" w:hAnsi="Times New Roman" w:cs="Times New Roman"/>
          <w:sz w:val="24"/>
          <w:szCs w:val="24"/>
        </w:rPr>
        <w:t>standard deviation</w:t>
      </w:r>
      <w:r w:rsidR="006A5392">
        <w:rPr>
          <w:rFonts w:ascii="Times New Roman" w:hAnsi="Times New Roman" w:cs="Times New Roman"/>
          <w:sz w:val="24"/>
          <w:szCs w:val="24"/>
        </w:rPr>
        <w:t xml:space="preserve"> (SD)</w:t>
      </w:r>
      <w:r w:rsidR="004D39B9" w:rsidRPr="00A51130">
        <w:rPr>
          <w:rFonts w:ascii="Times New Roman" w:hAnsi="Times New Roman" w:cs="Times New Roman"/>
          <w:sz w:val="24"/>
          <w:szCs w:val="24"/>
        </w:rPr>
        <w:t>,</w:t>
      </w:r>
      <w:r w:rsidR="00511AA1" w:rsidRPr="00A51130">
        <w:rPr>
          <w:rFonts w:ascii="Times New Roman" w:hAnsi="Times New Roman" w:cs="Times New Roman"/>
          <w:sz w:val="24"/>
          <w:szCs w:val="24"/>
        </w:rPr>
        <w:t xml:space="preserve">. </w:t>
      </w:r>
      <w:r w:rsidR="007439D0" w:rsidRPr="00A51130">
        <w:rPr>
          <w:rFonts w:ascii="Times New Roman" w:hAnsi="Times New Roman" w:cs="Times New Roman"/>
          <w:sz w:val="24"/>
          <w:szCs w:val="24"/>
        </w:rPr>
        <w:t xml:space="preserve">To </w:t>
      </w:r>
      <w:r w:rsidR="003C21C8" w:rsidRPr="00A51130">
        <w:rPr>
          <w:rFonts w:ascii="Times New Roman" w:hAnsi="Times New Roman" w:cs="Times New Roman"/>
          <w:sz w:val="24"/>
          <w:szCs w:val="24"/>
        </w:rPr>
        <w:t>illustrate</w:t>
      </w:r>
      <w:r w:rsidR="004E450C" w:rsidRPr="00A51130">
        <w:rPr>
          <w:rFonts w:ascii="Times New Roman" w:hAnsi="Times New Roman" w:cs="Times New Roman"/>
          <w:sz w:val="24"/>
          <w:szCs w:val="24"/>
        </w:rPr>
        <w:t xml:space="preserve"> any </w:t>
      </w:r>
      <w:r w:rsidR="00CC5609" w:rsidRPr="00A51130">
        <w:rPr>
          <w:rFonts w:ascii="Times New Roman" w:hAnsi="Times New Roman" w:cs="Times New Roman"/>
          <w:sz w:val="24"/>
          <w:szCs w:val="24"/>
        </w:rPr>
        <w:t>interaction</w:t>
      </w:r>
      <w:r w:rsidR="007439D0" w:rsidRPr="00A51130">
        <w:rPr>
          <w:rFonts w:ascii="Times New Roman" w:hAnsi="Times New Roman" w:cs="Times New Roman"/>
          <w:sz w:val="24"/>
          <w:szCs w:val="24"/>
        </w:rPr>
        <w:t>, we pro</w:t>
      </w:r>
      <w:r w:rsidR="0090392A" w:rsidRPr="00A51130">
        <w:rPr>
          <w:rFonts w:ascii="Times New Roman" w:hAnsi="Times New Roman" w:cs="Times New Roman"/>
          <w:sz w:val="24"/>
          <w:szCs w:val="24"/>
        </w:rPr>
        <w:t>duced</w:t>
      </w:r>
      <w:r w:rsidR="004E450C" w:rsidRPr="00A51130">
        <w:rPr>
          <w:rFonts w:ascii="Times New Roman" w:hAnsi="Times New Roman" w:cs="Times New Roman"/>
          <w:sz w:val="24"/>
          <w:szCs w:val="24"/>
        </w:rPr>
        <w:t xml:space="preserve"> a </w:t>
      </w:r>
      <w:r w:rsidR="007439D0" w:rsidRPr="00A51130">
        <w:rPr>
          <w:rFonts w:ascii="Times New Roman" w:hAnsi="Times New Roman" w:cs="Times New Roman"/>
          <w:sz w:val="24"/>
          <w:szCs w:val="24"/>
        </w:rPr>
        <w:t>plot</w:t>
      </w:r>
      <w:r w:rsidR="004E450C" w:rsidRPr="00A51130">
        <w:rPr>
          <w:rFonts w:ascii="Times New Roman" w:hAnsi="Times New Roman" w:cs="Times New Roman"/>
          <w:sz w:val="24"/>
          <w:szCs w:val="24"/>
        </w:rPr>
        <w:t xml:space="preserve"> for each outcome</w:t>
      </w:r>
      <w:r w:rsidR="007439D0" w:rsidRPr="00A51130">
        <w:rPr>
          <w:rFonts w:ascii="Times New Roman" w:hAnsi="Times New Roman" w:cs="Times New Roman"/>
          <w:sz w:val="24"/>
          <w:szCs w:val="24"/>
        </w:rPr>
        <w:t xml:space="preserve"> </w:t>
      </w:r>
      <w:r w:rsidR="0025433E" w:rsidRPr="00A51130">
        <w:rPr>
          <w:rFonts w:ascii="Times New Roman" w:hAnsi="Times New Roman" w:cs="Times New Roman"/>
          <w:sz w:val="24"/>
          <w:szCs w:val="24"/>
        </w:rPr>
        <w:t>showing</w:t>
      </w:r>
      <w:r w:rsidR="007439D0" w:rsidRPr="00A51130">
        <w:rPr>
          <w:rFonts w:ascii="Times New Roman" w:hAnsi="Times New Roman" w:cs="Times New Roman"/>
          <w:sz w:val="24"/>
          <w:szCs w:val="24"/>
        </w:rPr>
        <w:t xml:space="preserve"> </w:t>
      </w:r>
      <w:r w:rsidR="0099707D" w:rsidRPr="00A51130">
        <w:rPr>
          <w:rFonts w:ascii="Times New Roman" w:hAnsi="Times New Roman" w:cs="Times New Roman"/>
          <w:sz w:val="24"/>
          <w:szCs w:val="24"/>
        </w:rPr>
        <w:t xml:space="preserve">how </w:t>
      </w:r>
      <w:r w:rsidR="007439D0" w:rsidRPr="00A51130">
        <w:rPr>
          <w:rFonts w:ascii="Times New Roman" w:hAnsi="Times New Roman" w:cs="Times New Roman"/>
          <w:sz w:val="24"/>
          <w:szCs w:val="24"/>
        </w:rPr>
        <w:t xml:space="preserve">the </w:t>
      </w:r>
      <w:r w:rsidR="0090392A" w:rsidRPr="00A51130">
        <w:rPr>
          <w:rFonts w:ascii="Times New Roman" w:hAnsi="Times New Roman" w:cs="Times New Roman"/>
          <w:sz w:val="24"/>
          <w:szCs w:val="24"/>
        </w:rPr>
        <w:t xml:space="preserve">infant weight gain effect size </w:t>
      </w:r>
      <w:r w:rsidR="004E450C" w:rsidRPr="00A51130">
        <w:rPr>
          <w:rFonts w:ascii="Times New Roman" w:hAnsi="Times New Roman" w:cs="Times New Roman"/>
          <w:sz w:val="24"/>
          <w:szCs w:val="24"/>
        </w:rPr>
        <w:t xml:space="preserve">varies </w:t>
      </w:r>
      <w:r w:rsidR="0099707D" w:rsidRPr="00A51130">
        <w:rPr>
          <w:rFonts w:ascii="Times New Roman" w:hAnsi="Times New Roman" w:cs="Times New Roman"/>
          <w:sz w:val="24"/>
          <w:szCs w:val="24"/>
        </w:rPr>
        <w:t>across</w:t>
      </w:r>
      <w:r w:rsidR="007439D0" w:rsidRPr="00A51130">
        <w:rPr>
          <w:rFonts w:ascii="Times New Roman" w:hAnsi="Times New Roman" w:cs="Times New Roman"/>
          <w:sz w:val="24"/>
          <w:szCs w:val="24"/>
        </w:rPr>
        <w:t xml:space="preserve"> the distribution of each </w:t>
      </w:r>
      <w:r w:rsidR="0090392A" w:rsidRPr="00A51130">
        <w:rPr>
          <w:rFonts w:ascii="Times New Roman" w:hAnsi="Times New Roman" w:cs="Times New Roman"/>
          <w:sz w:val="24"/>
          <w:szCs w:val="24"/>
        </w:rPr>
        <w:t>fetal growth</w:t>
      </w:r>
      <w:r w:rsidR="007439D0" w:rsidRPr="00A51130">
        <w:rPr>
          <w:rFonts w:ascii="Times New Roman" w:hAnsi="Times New Roman" w:cs="Times New Roman"/>
          <w:sz w:val="24"/>
          <w:szCs w:val="24"/>
        </w:rPr>
        <w:t xml:space="preserve"> variable.</w:t>
      </w:r>
    </w:p>
    <w:p w14:paraId="3913B111" w14:textId="4D004246" w:rsidR="00504848" w:rsidRPr="00A51130" w:rsidRDefault="00255AC0" w:rsidP="00A51130">
      <w:pPr>
        <w:spacing w:line="480" w:lineRule="auto"/>
        <w:rPr>
          <w:rFonts w:ascii="Times New Roman" w:hAnsi="Times New Roman" w:cs="Times New Roman"/>
          <w:b/>
          <w:bCs/>
          <w:i/>
          <w:sz w:val="24"/>
          <w:szCs w:val="24"/>
        </w:rPr>
      </w:pPr>
      <w:r w:rsidRPr="00A51130">
        <w:rPr>
          <w:rFonts w:ascii="Times New Roman" w:hAnsi="Times New Roman" w:cs="Times New Roman"/>
          <w:b/>
          <w:bCs/>
          <w:i/>
          <w:sz w:val="24"/>
          <w:szCs w:val="24"/>
        </w:rPr>
        <w:t>Supplementary</w:t>
      </w:r>
      <w:r w:rsidR="00504848" w:rsidRPr="00A51130">
        <w:rPr>
          <w:rFonts w:ascii="Times New Roman" w:hAnsi="Times New Roman" w:cs="Times New Roman"/>
          <w:b/>
          <w:bCs/>
          <w:i/>
          <w:sz w:val="24"/>
          <w:szCs w:val="24"/>
        </w:rPr>
        <w:t xml:space="preserve"> analyses</w:t>
      </w:r>
      <w:r w:rsidR="00121EF8" w:rsidRPr="00A51130">
        <w:rPr>
          <w:rFonts w:ascii="Times New Roman" w:hAnsi="Times New Roman" w:cs="Times New Roman"/>
          <w:b/>
          <w:bCs/>
          <w:i/>
          <w:sz w:val="24"/>
          <w:szCs w:val="24"/>
        </w:rPr>
        <w:t>:</w:t>
      </w:r>
    </w:p>
    <w:p w14:paraId="7FAF95A1" w14:textId="643F9790" w:rsidR="004E450C" w:rsidRPr="00A51130" w:rsidRDefault="004E450C"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 xml:space="preserve">Analyses were repeated using </w:t>
      </w:r>
      <w:r w:rsidR="00CE6025" w:rsidRPr="00A51130">
        <w:rPr>
          <w:rFonts w:ascii="Times New Roman" w:hAnsi="Times New Roman" w:cs="Times New Roman"/>
          <w:sz w:val="24"/>
          <w:szCs w:val="24"/>
        </w:rPr>
        <w:t xml:space="preserve">1) </w:t>
      </w:r>
      <w:r w:rsidRPr="00A51130">
        <w:rPr>
          <w:rFonts w:ascii="Times New Roman" w:hAnsi="Times New Roman" w:cs="Times New Roman"/>
          <w:sz w:val="24"/>
          <w:szCs w:val="24"/>
        </w:rPr>
        <w:t>infant weight gain 0-</w:t>
      </w:r>
      <w:r w:rsidR="00F60B8C" w:rsidRPr="00A51130">
        <w:rPr>
          <w:rFonts w:ascii="Times New Roman" w:hAnsi="Times New Roman" w:cs="Times New Roman"/>
          <w:sz w:val="24"/>
          <w:szCs w:val="24"/>
        </w:rPr>
        <w:t>6 months (instead of 0-2 years)</w:t>
      </w:r>
      <w:r w:rsidR="00CE6025" w:rsidRPr="00A51130">
        <w:rPr>
          <w:rFonts w:ascii="Times New Roman" w:hAnsi="Times New Roman" w:cs="Times New Roman"/>
          <w:sz w:val="24"/>
          <w:szCs w:val="24"/>
        </w:rPr>
        <w:t xml:space="preserve">, 2) infant weight gain </w:t>
      </w:r>
      <w:r w:rsidRPr="00A51130">
        <w:rPr>
          <w:rFonts w:ascii="Times New Roman" w:hAnsi="Times New Roman" w:cs="Times New Roman"/>
          <w:sz w:val="24"/>
          <w:szCs w:val="24"/>
        </w:rPr>
        <w:t>0-</w:t>
      </w:r>
      <w:r w:rsidR="00F60B8C" w:rsidRPr="00A51130">
        <w:rPr>
          <w:rFonts w:ascii="Times New Roman" w:hAnsi="Times New Roman" w:cs="Times New Roman"/>
          <w:sz w:val="24"/>
          <w:szCs w:val="24"/>
        </w:rPr>
        <w:t>12 months (instead of 0-2 years)</w:t>
      </w:r>
      <w:r w:rsidR="00CE6025" w:rsidRPr="00A51130">
        <w:rPr>
          <w:rFonts w:ascii="Times New Roman" w:hAnsi="Times New Roman" w:cs="Times New Roman"/>
          <w:sz w:val="24"/>
          <w:szCs w:val="24"/>
        </w:rPr>
        <w:t xml:space="preserve">, </w:t>
      </w:r>
      <w:r w:rsidR="00F60B8C" w:rsidRPr="00A51130">
        <w:rPr>
          <w:rFonts w:ascii="Times New Roman" w:hAnsi="Times New Roman" w:cs="Times New Roman"/>
          <w:sz w:val="24"/>
          <w:szCs w:val="24"/>
        </w:rPr>
        <w:t xml:space="preserve">and </w:t>
      </w:r>
      <w:r w:rsidR="00CE6025" w:rsidRPr="00A51130">
        <w:rPr>
          <w:rFonts w:ascii="Times New Roman" w:hAnsi="Times New Roman" w:cs="Times New Roman"/>
          <w:sz w:val="24"/>
          <w:szCs w:val="24"/>
        </w:rPr>
        <w:t>3) birth weight</w:t>
      </w:r>
      <w:r w:rsidR="00F60B8C" w:rsidRPr="00A51130">
        <w:rPr>
          <w:rFonts w:ascii="Times New Roman" w:hAnsi="Times New Roman" w:cs="Times New Roman"/>
          <w:sz w:val="24"/>
          <w:szCs w:val="24"/>
        </w:rPr>
        <w:t xml:space="preserve"> (instead of the fetal </w:t>
      </w:r>
      <w:r w:rsidR="003121B0" w:rsidRPr="00A51130">
        <w:rPr>
          <w:rFonts w:ascii="Times New Roman" w:hAnsi="Times New Roman" w:cs="Times New Roman"/>
          <w:sz w:val="24"/>
          <w:szCs w:val="24"/>
        </w:rPr>
        <w:t>growth variables</w:t>
      </w:r>
      <w:r w:rsidR="00F60B8C" w:rsidRPr="00A51130">
        <w:rPr>
          <w:rFonts w:ascii="Times New Roman" w:hAnsi="Times New Roman" w:cs="Times New Roman"/>
          <w:sz w:val="24"/>
          <w:szCs w:val="24"/>
        </w:rPr>
        <w:t xml:space="preserve">). </w:t>
      </w:r>
    </w:p>
    <w:p w14:paraId="4A2A2C65" w14:textId="19A47F19" w:rsidR="00363124" w:rsidRPr="00A51130" w:rsidRDefault="00363124" w:rsidP="00A51130">
      <w:pPr>
        <w:spacing w:line="480" w:lineRule="auto"/>
        <w:rPr>
          <w:rFonts w:ascii="Times New Roman" w:hAnsi="Times New Roman" w:cs="Times New Roman"/>
          <w:sz w:val="24"/>
          <w:szCs w:val="24"/>
        </w:rPr>
        <w:sectPr w:rsidR="00363124" w:rsidRPr="00A51130" w:rsidSect="00FE2480">
          <w:pgSz w:w="11906" w:h="16838"/>
          <w:pgMar w:top="1440" w:right="1440" w:bottom="1440" w:left="1440" w:header="708" w:footer="708" w:gutter="0"/>
          <w:cols w:space="708"/>
          <w:docGrid w:linePitch="360"/>
        </w:sectPr>
      </w:pPr>
      <w:r w:rsidRPr="00A51130">
        <w:rPr>
          <w:rFonts w:ascii="Times New Roman" w:hAnsi="Times New Roman" w:cs="Times New Roman"/>
          <w:sz w:val="24"/>
          <w:szCs w:val="24"/>
        </w:rPr>
        <w:t>All analyses were conducted using Stata version 15 (Stata Corp, College Station, TX</w:t>
      </w:r>
      <w:r w:rsidR="003121B0" w:rsidRPr="00A51130">
        <w:rPr>
          <w:rFonts w:ascii="Times New Roman" w:hAnsi="Times New Roman" w:cs="Times New Roman"/>
          <w:sz w:val="24"/>
          <w:szCs w:val="24"/>
        </w:rPr>
        <w:t>, USA</w:t>
      </w:r>
      <w:r w:rsidRPr="00A51130">
        <w:rPr>
          <w:rFonts w:ascii="Times New Roman" w:hAnsi="Times New Roman" w:cs="Times New Roman"/>
          <w:sz w:val="24"/>
          <w:szCs w:val="24"/>
        </w:rPr>
        <w:t xml:space="preserve">). </w:t>
      </w:r>
    </w:p>
    <w:p w14:paraId="7131FF75" w14:textId="5A3DB4BF" w:rsidR="000D0986" w:rsidRPr="00A51130" w:rsidRDefault="00600DA0" w:rsidP="00A51130">
      <w:pPr>
        <w:spacing w:line="480" w:lineRule="auto"/>
        <w:rPr>
          <w:rFonts w:ascii="Times New Roman" w:hAnsi="Times New Roman" w:cs="Times New Roman"/>
          <w:b/>
          <w:sz w:val="24"/>
          <w:szCs w:val="24"/>
        </w:rPr>
      </w:pPr>
      <w:r w:rsidRPr="00A51130">
        <w:rPr>
          <w:rFonts w:ascii="Times New Roman" w:hAnsi="Times New Roman" w:cs="Times New Roman"/>
          <w:b/>
          <w:sz w:val="24"/>
          <w:szCs w:val="24"/>
        </w:rPr>
        <w:t>Results</w:t>
      </w:r>
    </w:p>
    <w:p w14:paraId="5FC9CB55" w14:textId="1ACF0CEA" w:rsidR="00A51130" w:rsidRDefault="007035CB" w:rsidP="00FB39B0">
      <w:pPr>
        <w:spacing w:line="480" w:lineRule="auto"/>
        <w:rPr>
          <w:rFonts w:ascii="Times New Roman" w:hAnsi="Times New Roman" w:cs="Times New Roman"/>
          <w:sz w:val="24"/>
          <w:szCs w:val="24"/>
        </w:rPr>
      </w:pPr>
      <w:r w:rsidRPr="00A51130">
        <w:rPr>
          <w:rFonts w:ascii="Times New Roman" w:hAnsi="Times New Roman" w:cs="Times New Roman"/>
          <w:sz w:val="24"/>
          <w:szCs w:val="24"/>
        </w:rPr>
        <w:t xml:space="preserve">The mean </w:t>
      </w:r>
      <w:r w:rsidR="00941B10" w:rsidRPr="00A51130">
        <w:rPr>
          <w:rFonts w:ascii="Times New Roman" w:hAnsi="Times New Roman" w:cs="Times New Roman"/>
          <w:sz w:val="24"/>
          <w:szCs w:val="24"/>
        </w:rPr>
        <w:t>birthweight</w:t>
      </w:r>
      <w:r w:rsidRPr="00A51130">
        <w:rPr>
          <w:rFonts w:ascii="Times New Roman" w:hAnsi="Times New Roman" w:cs="Times New Roman"/>
          <w:sz w:val="24"/>
          <w:szCs w:val="24"/>
        </w:rPr>
        <w:t xml:space="preserve"> of the sample was</w:t>
      </w:r>
      <w:r w:rsidR="001B3927" w:rsidRPr="00A51130">
        <w:rPr>
          <w:rFonts w:ascii="Times New Roman" w:hAnsi="Times New Roman" w:cs="Times New Roman"/>
          <w:sz w:val="24"/>
          <w:szCs w:val="24"/>
        </w:rPr>
        <w:t xml:space="preserve"> </w:t>
      </w:r>
      <w:r w:rsidR="00EF4503" w:rsidRPr="00A51130">
        <w:rPr>
          <w:rFonts w:ascii="Times New Roman" w:hAnsi="Times New Roman" w:cs="Times New Roman"/>
          <w:sz w:val="24"/>
          <w:szCs w:val="24"/>
        </w:rPr>
        <w:t>34</w:t>
      </w:r>
      <w:r w:rsidR="006D3F3F" w:rsidRPr="00A51130">
        <w:rPr>
          <w:rFonts w:ascii="Times New Roman" w:hAnsi="Times New Roman" w:cs="Times New Roman"/>
          <w:sz w:val="24"/>
          <w:szCs w:val="24"/>
        </w:rPr>
        <w:t>70</w:t>
      </w:r>
      <w:r w:rsidR="00A42F0D" w:rsidRPr="00A51130">
        <w:rPr>
          <w:rFonts w:ascii="Times New Roman" w:hAnsi="Times New Roman" w:cs="Times New Roman"/>
          <w:sz w:val="24"/>
          <w:szCs w:val="24"/>
        </w:rPr>
        <w:t>g</w:t>
      </w:r>
      <w:r w:rsidRPr="00A51130">
        <w:rPr>
          <w:rFonts w:ascii="Times New Roman" w:hAnsi="Times New Roman" w:cs="Times New Roman"/>
          <w:sz w:val="24"/>
          <w:szCs w:val="24"/>
        </w:rPr>
        <w:t xml:space="preserve"> (SD=</w:t>
      </w:r>
      <w:r w:rsidR="00121AB9" w:rsidRPr="00A51130">
        <w:rPr>
          <w:rFonts w:ascii="Times New Roman" w:hAnsi="Times New Roman" w:cs="Times New Roman"/>
          <w:sz w:val="24"/>
          <w:szCs w:val="24"/>
        </w:rPr>
        <w:t>55</w:t>
      </w:r>
      <w:r w:rsidR="006A5392">
        <w:rPr>
          <w:rFonts w:ascii="Times New Roman" w:hAnsi="Times New Roman" w:cs="Times New Roman"/>
          <w:sz w:val="24"/>
          <w:szCs w:val="24"/>
        </w:rPr>
        <w:t>2</w:t>
      </w:r>
      <w:r w:rsidR="00A42F0D" w:rsidRPr="00A51130">
        <w:rPr>
          <w:rFonts w:ascii="Times New Roman" w:hAnsi="Times New Roman" w:cs="Times New Roman"/>
          <w:sz w:val="24"/>
          <w:szCs w:val="24"/>
        </w:rPr>
        <w:t>)</w:t>
      </w:r>
      <w:r w:rsidRPr="00A51130">
        <w:rPr>
          <w:rFonts w:ascii="Times New Roman" w:hAnsi="Times New Roman" w:cs="Times New Roman"/>
          <w:sz w:val="24"/>
          <w:szCs w:val="24"/>
        </w:rPr>
        <w:t xml:space="preserve"> </w:t>
      </w:r>
      <w:r w:rsidR="00FB39B0">
        <w:rPr>
          <w:rFonts w:ascii="Times New Roman" w:hAnsi="Times New Roman" w:cs="Times New Roman"/>
          <w:sz w:val="24"/>
          <w:szCs w:val="24"/>
        </w:rPr>
        <w:t xml:space="preserve">(males: </w:t>
      </w:r>
      <w:r w:rsidR="00FB39B0" w:rsidRPr="00FB39B0">
        <w:rPr>
          <w:rFonts w:ascii="Times New Roman" w:hAnsi="Times New Roman" w:cs="Times New Roman"/>
          <w:sz w:val="24"/>
          <w:szCs w:val="24"/>
        </w:rPr>
        <w:t>3531 (538)</w:t>
      </w:r>
      <w:r w:rsidR="00FB39B0">
        <w:rPr>
          <w:rFonts w:ascii="Times New Roman" w:hAnsi="Times New Roman" w:cs="Times New Roman"/>
          <w:sz w:val="24"/>
          <w:szCs w:val="24"/>
        </w:rPr>
        <w:t xml:space="preserve">; females: </w:t>
      </w:r>
      <w:r w:rsidR="00FB39B0" w:rsidRPr="00FB39B0">
        <w:rPr>
          <w:rFonts w:ascii="Times New Roman" w:hAnsi="Times New Roman" w:cs="Times New Roman"/>
          <w:sz w:val="24"/>
          <w:szCs w:val="24"/>
        </w:rPr>
        <w:t>3408 (558)</w:t>
      </w:r>
      <w:r w:rsidR="00FB39B0">
        <w:rPr>
          <w:rFonts w:ascii="Times New Roman" w:hAnsi="Times New Roman" w:cs="Times New Roman"/>
          <w:sz w:val="24"/>
          <w:szCs w:val="24"/>
        </w:rPr>
        <w:t xml:space="preserve">), </w:t>
      </w:r>
      <w:r w:rsidRPr="00A51130">
        <w:rPr>
          <w:rFonts w:ascii="Times New Roman" w:hAnsi="Times New Roman" w:cs="Times New Roman"/>
          <w:sz w:val="24"/>
          <w:szCs w:val="24"/>
        </w:rPr>
        <w:t xml:space="preserve">with a median gestational age at birth of </w:t>
      </w:r>
      <w:r w:rsidR="00121AB9" w:rsidRPr="00A51130">
        <w:rPr>
          <w:rFonts w:ascii="Times New Roman" w:hAnsi="Times New Roman" w:cs="Times New Roman"/>
          <w:sz w:val="24"/>
          <w:szCs w:val="24"/>
        </w:rPr>
        <w:t>40 weeks</w:t>
      </w:r>
      <w:r w:rsidRPr="00A51130">
        <w:rPr>
          <w:rFonts w:ascii="Times New Roman" w:hAnsi="Times New Roman" w:cs="Times New Roman"/>
          <w:sz w:val="24"/>
          <w:szCs w:val="24"/>
        </w:rPr>
        <w:t xml:space="preserve"> (IQR: </w:t>
      </w:r>
      <w:r w:rsidR="00121AB9" w:rsidRPr="00A51130">
        <w:rPr>
          <w:rFonts w:ascii="Times New Roman" w:hAnsi="Times New Roman" w:cs="Times New Roman"/>
          <w:sz w:val="24"/>
          <w:szCs w:val="24"/>
        </w:rPr>
        <w:t>39.1</w:t>
      </w:r>
      <w:r w:rsidR="00941B10" w:rsidRPr="00A51130">
        <w:rPr>
          <w:rFonts w:ascii="Times New Roman" w:hAnsi="Times New Roman" w:cs="Times New Roman"/>
          <w:sz w:val="24"/>
          <w:szCs w:val="24"/>
        </w:rPr>
        <w:t>,</w:t>
      </w:r>
      <w:r w:rsidR="00121AB9" w:rsidRPr="00A51130">
        <w:rPr>
          <w:rFonts w:ascii="Times New Roman" w:hAnsi="Times New Roman" w:cs="Times New Roman"/>
          <w:sz w:val="24"/>
          <w:szCs w:val="24"/>
        </w:rPr>
        <w:t>41.0</w:t>
      </w:r>
      <w:r w:rsidRPr="00A51130">
        <w:rPr>
          <w:rFonts w:ascii="Times New Roman" w:hAnsi="Times New Roman" w:cs="Times New Roman"/>
          <w:sz w:val="24"/>
          <w:szCs w:val="24"/>
        </w:rPr>
        <w:t xml:space="preserve">). </w:t>
      </w:r>
      <w:r w:rsidR="0074560E" w:rsidRPr="00A51130">
        <w:rPr>
          <w:rFonts w:ascii="Times New Roman" w:hAnsi="Times New Roman" w:cs="Times New Roman"/>
          <w:sz w:val="24"/>
          <w:szCs w:val="24"/>
        </w:rPr>
        <w:t>Mean weight at 2 years was 12.6kg (SD=1.</w:t>
      </w:r>
      <w:r w:rsidR="006A5392">
        <w:rPr>
          <w:rFonts w:ascii="Times New Roman" w:hAnsi="Times New Roman" w:cs="Times New Roman"/>
          <w:sz w:val="24"/>
          <w:szCs w:val="24"/>
        </w:rPr>
        <w:t>4</w:t>
      </w:r>
      <w:r w:rsidR="0074560E" w:rsidRPr="00A51130">
        <w:rPr>
          <w:rFonts w:ascii="Times New Roman" w:hAnsi="Times New Roman" w:cs="Times New Roman"/>
          <w:sz w:val="24"/>
          <w:szCs w:val="24"/>
        </w:rPr>
        <w:t>)</w:t>
      </w:r>
      <w:r w:rsidR="00FB39B0">
        <w:rPr>
          <w:rFonts w:ascii="Times New Roman" w:hAnsi="Times New Roman" w:cs="Times New Roman"/>
          <w:sz w:val="24"/>
          <w:szCs w:val="24"/>
        </w:rPr>
        <w:t xml:space="preserve"> (males: </w:t>
      </w:r>
      <w:r w:rsidR="00FB39B0" w:rsidRPr="00FB39B0">
        <w:rPr>
          <w:rFonts w:ascii="Times New Roman" w:hAnsi="Times New Roman" w:cs="Times New Roman"/>
          <w:sz w:val="24"/>
          <w:szCs w:val="24"/>
        </w:rPr>
        <w:t>12.9 (1.3)</w:t>
      </w:r>
      <w:r w:rsidR="00FB39B0">
        <w:rPr>
          <w:rFonts w:ascii="Times New Roman" w:hAnsi="Times New Roman" w:cs="Times New Roman"/>
          <w:sz w:val="24"/>
          <w:szCs w:val="24"/>
        </w:rPr>
        <w:t xml:space="preserve">; females: </w:t>
      </w:r>
      <w:r w:rsidR="00FB39B0" w:rsidRPr="00FB39B0">
        <w:rPr>
          <w:rFonts w:ascii="Times New Roman" w:hAnsi="Times New Roman" w:cs="Times New Roman"/>
          <w:sz w:val="24"/>
          <w:szCs w:val="24"/>
        </w:rPr>
        <w:t>12.3 (1.5</w:t>
      </w:r>
      <w:r w:rsidR="00FB39B0">
        <w:rPr>
          <w:rFonts w:ascii="Times New Roman" w:hAnsi="Times New Roman" w:cs="Times New Roman"/>
          <w:sz w:val="24"/>
          <w:szCs w:val="24"/>
        </w:rPr>
        <w:t>)</w:t>
      </w:r>
      <w:r w:rsidR="00FB39B0" w:rsidRPr="00FB39B0">
        <w:rPr>
          <w:rFonts w:ascii="Times New Roman" w:hAnsi="Times New Roman" w:cs="Times New Roman"/>
          <w:sz w:val="24"/>
          <w:szCs w:val="24"/>
        </w:rPr>
        <w:t>)</w:t>
      </w:r>
      <w:r w:rsidR="0074560E" w:rsidRPr="00A51130">
        <w:rPr>
          <w:rFonts w:ascii="Times New Roman" w:hAnsi="Times New Roman" w:cs="Times New Roman"/>
          <w:sz w:val="24"/>
          <w:szCs w:val="24"/>
        </w:rPr>
        <w:t>, with me</w:t>
      </w:r>
      <w:r w:rsidR="00FA31E8" w:rsidRPr="00A51130">
        <w:rPr>
          <w:rFonts w:ascii="Times New Roman" w:hAnsi="Times New Roman" w:cs="Times New Roman"/>
          <w:sz w:val="24"/>
          <w:szCs w:val="24"/>
        </w:rPr>
        <w:t>dian</w:t>
      </w:r>
      <w:r w:rsidR="0074560E" w:rsidRPr="00A51130">
        <w:rPr>
          <w:rFonts w:ascii="Times New Roman" w:hAnsi="Times New Roman" w:cs="Times New Roman"/>
          <w:sz w:val="24"/>
          <w:szCs w:val="24"/>
        </w:rPr>
        <w:t xml:space="preserve"> weight </w:t>
      </w:r>
      <w:r w:rsidR="007B352C" w:rsidRPr="00A51130">
        <w:rPr>
          <w:rFonts w:ascii="Times New Roman" w:hAnsi="Times New Roman" w:cs="Times New Roman"/>
          <w:sz w:val="24"/>
          <w:szCs w:val="24"/>
        </w:rPr>
        <w:t>gain</w:t>
      </w:r>
      <w:r w:rsidR="0074560E" w:rsidRPr="00A51130">
        <w:rPr>
          <w:rFonts w:ascii="Times New Roman" w:hAnsi="Times New Roman" w:cs="Times New Roman"/>
          <w:sz w:val="24"/>
          <w:szCs w:val="24"/>
        </w:rPr>
        <w:t xml:space="preserve"> between birth at</w:t>
      </w:r>
      <w:r w:rsidR="00A13897" w:rsidRPr="00A51130">
        <w:rPr>
          <w:rFonts w:ascii="Times New Roman" w:hAnsi="Times New Roman" w:cs="Times New Roman"/>
          <w:sz w:val="24"/>
          <w:szCs w:val="24"/>
        </w:rPr>
        <w:t xml:space="preserve"> 2 years of 9.1kg (</w:t>
      </w:r>
      <w:r w:rsidR="00FA31E8" w:rsidRPr="00A51130">
        <w:rPr>
          <w:rFonts w:ascii="Times New Roman" w:hAnsi="Times New Roman" w:cs="Times New Roman"/>
          <w:sz w:val="24"/>
          <w:szCs w:val="24"/>
        </w:rPr>
        <w:t>IQR: 8.2</w:t>
      </w:r>
      <w:r w:rsidR="00941B10" w:rsidRPr="00A51130">
        <w:rPr>
          <w:rFonts w:ascii="Times New Roman" w:hAnsi="Times New Roman" w:cs="Times New Roman"/>
          <w:sz w:val="24"/>
          <w:szCs w:val="24"/>
        </w:rPr>
        <w:t>,</w:t>
      </w:r>
      <w:r w:rsidR="00FA31E8" w:rsidRPr="00A51130">
        <w:rPr>
          <w:rFonts w:ascii="Times New Roman" w:hAnsi="Times New Roman" w:cs="Times New Roman"/>
          <w:sz w:val="24"/>
          <w:szCs w:val="24"/>
        </w:rPr>
        <w:t xml:space="preserve"> 10.0)</w:t>
      </w:r>
      <w:r w:rsidR="00FB39B0">
        <w:rPr>
          <w:rFonts w:ascii="Times New Roman" w:hAnsi="Times New Roman" w:cs="Times New Roman"/>
          <w:sz w:val="24"/>
          <w:szCs w:val="24"/>
        </w:rPr>
        <w:t xml:space="preserve"> (males:</w:t>
      </w:r>
      <w:r w:rsidR="00FB39B0" w:rsidRPr="00FB39B0">
        <w:t xml:space="preserve"> </w:t>
      </w:r>
      <w:r w:rsidR="00FB39B0" w:rsidRPr="00FB39B0">
        <w:rPr>
          <w:rFonts w:ascii="Times New Roman" w:hAnsi="Times New Roman" w:cs="Times New Roman"/>
          <w:sz w:val="24"/>
          <w:szCs w:val="24"/>
        </w:rPr>
        <w:t>9.3 (8.6, 10.2)</w:t>
      </w:r>
      <w:r w:rsidR="00FB39B0">
        <w:rPr>
          <w:rFonts w:ascii="Times New Roman" w:hAnsi="Times New Roman" w:cs="Times New Roman"/>
          <w:sz w:val="24"/>
          <w:szCs w:val="24"/>
        </w:rPr>
        <w:t xml:space="preserve">; females: </w:t>
      </w:r>
      <w:r w:rsidR="00FB39B0" w:rsidRPr="00FB39B0">
        <w:rPr>
          <w:rFonts w:ascii="Times New Roman" w:hAnsi="Times New Roman" w:cs="Times New Roman"/>
          <w:sz w:val="24"/>
          <w:szCs w:val="24"/>
        </w:rPr>
        <w:t>8.8 (8.0, 9.6</w:t>
      </w:r>
      <w:r w:rsidR="00FB39B0">
        <w:rPr>
          <w:rFonts w:ascii="Times New Roman" w:hAnsi="Times New Roman" w:cs="Times New Roman"/>
          <w:sz w:val="24"/>
          <w:szCs w:val="24"/>
        </w:rPr>
        <w:t>)</w:t>
      </w:r>
      <w:r w:rsidR="00FB39B0" w:rsidRPr="00FB39B0">
        <w:rPr>
          <w:rFonts w:ascii="Times New Roman" w:hAnsi="Times New Roman" w:cs="Times New Roman"/>
          <w:sz w:val="24"/>
          <w:szCs w:val="24"/>
        </w:rPr>
        <w:t>)</w:t>
      </w:r>
      <w:r w:rsidR="00FA31E8" w:rsidRPr="00A51130">
        <w:rPr>
          <w:rFonts w:ascii="Times New Roman" w:hAnsi="Times New Roman" w:cs="Times New Roman"/>
          <w:sz w:val="24"/>
          <w:szCs w:val="24"/>
        </w:rPr>
        <w:t>.</w:t>
      </w:r>
      <w:r w:rsidR="00C72547" w:rsidRPr="00A51130">
        <w:rPr>
          <w:rFonts w:ascii="Times New Roman" w:hAnsi="Times New Roman" w:cs="Times New Roman"/>
          <w:sz w:val="24"/>
          <w:szCs w:val="24"/>
        </w:rPr>
        <w:t xml:space="preserve"> </w:t>
      </w:r>
      <w:r w:rsidRPr="00A51130">
        <w:rPr>
          <w:rFonts w:ascii="Times New Roman" w:hAnsi="Times New Roman" w:cs="Times New Roman"/>
          <w:sz w:val="24"/>
          <w:szCs w:val="24"/>
        </w:rPr>
        <w:t xml:space="preserve">Further sample characteristics are reported in Table 1. </w:t>
      </w:r>
    </w:p>
    <w:p w14:paraId="65E77B6D" w14:textId="6EB63A76" w:rsidR="00A51130" w:rsidRDefault="00A51130" w:rsidP="00A51130">
      <w:pPr>
        <w:spacing w:line="480" w:lineRule="auto"/>
        <w:rPr>
          <w:rFonts w:ascii="Times New Roman" w:hAnsi="Times New Roman" w:cs="Times New Roman"/>
          <w:sz w:val="24"/>
          <w:szCs w:val="24"/>
        </w:rPr>
      </w:pPr>
      <w:r>
        <w:rPr>
          <w:rFonts w:ascii="Times New Roman" w:hAnsi="Times New Roman" w:cs="Times New Roman"/>
          <w:sz w:val="24"/>
          <w:szCs w:val="24"/>
        </w:rPr>
        <w:t>[Table 1 here]</w:t>
      </w:r>
    </w:p>
    <w:p w14:paraId="04A20E14" w14:textId="5B8A5B90" w:rsidR="005E5B40" w:rsidRPr="00A51130" w:rsidRDefault="00296AC5"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Most baseline differences between those included and excluded from the analysis were small, howeve</w:t>
      </w:r>
      <w:r w:rsidR="00D9565A" w:rsidRPr="00A51130">
        <w:rPr>
          <w:rFonts w:ascii="Times New Roman" w:hAnsi="Times New Roman" w:cs="Times New Roman"/>
          <w:sz w:val="24"/>
          <w:szCs w:val="24"/>
        </w:rPr>
        <w:t xml:space="preserve">r </w:t>
      </w:r>
      <w:r w:rsidR="006E61A8" w:rsidRPr="00A51130">
        <w:rPr>
          <w:rFonts w:ascii="Times New Roman" w:hAnsi="Times New Roman" w:cs="Times New Roman"/>
          <w:sz w:val="24"/>
          <w:szCs w:val="24"/>
        </w:rPr>
        <w:t>infants included in the sample were more likely to be born to olde</w:t>
      </w:r>
      <w:r w:rsidR="001F690C" w:rsidRPr="00A51130">
        <w:rPr>
          <w:rFonts w:ascii="Times New Roman" w:hAnsi="Times New Roman" w:cs="Times New Roman"/>
          <w:sz w:val="24"/>
          <w:szCs w:val="24"/>
        </w:rPr>
        <w:t>r</w:t>
      </w:r>
      <w:r w:rsidR="00350716" w:rsidRPr="00A51130">
        <w:rPr>
          <w:rFonts w:ascii="Times New Roman" w:hAnsi="Times New Roman" w:cs="Times New Roman"/>
          <w:sz w:val="24"/>
          <w:szCs w:val="24"/>
        </w:rPr>
        <w:t xml:space="preserve"> and more educated mother</w:t>
      </w:r>
      <w:r w:rsidR="001B758D" w:rsidRPr="00A51130">
        <w:rPr>
          <w:rFonts w:ascii="Times New Roman" w:hAnsi="Times New Roman" w:cs="Times New Roman"/>
          <w:sz w:val="24"/>
          <w:szCs w:val="24"/>
        </w:rPr>
        <w:t xml:space="preserve">s, from higher social backgrounds and who were less likely to have smoked </w:t>
      </w:r>
      <w:r w:rsidR="00890143" w:rsidRPr="00A51130">
        <w:rPr>
          <w:rFonts w:ascii="Times New Roman" w:hAnsi="Times New Roman" w:cs="Times New Roman"/>
          <w:sz w:val="24"/>
          <w:szCs w:val="24"/>
        </w:rPr>
        <w:t xml:space="preserve">during pregnancy </w:t>
      </w:r>
      <w:r w:rsidR="001B395E" w:rsidRPr="00A51130">
        <w:rPr>
          <w:rFonts w:ascii="Times New Roman" w:hAnsi="Times New Roman" w:cs="Times New Roman"/>
          <w:sz w:val="24"/>
          <w:szCs w:val="24"/>
        </w:rPr>
        <w:t xml:space="preserve">(supplementary table 2). </w:t>
      </w:r>
      <w:r w:rsidR="004768C9" w:rsidRPr="00A51130">
        <w:rPr>
          <w:rFonts w:ascii="Times New Roman" w:hAnsi="Times New Roman" w:cs="Times New Roman"/>
          <w:sz w:val="24"/>
          <w:szCs w:val="24"/>
        </w:rPr>
        <w:t xml:space="preserve">All results presented our based on </w:t>
      </w:r>
      <w:r w:rsidR="00D93B00" w:rsidRPr="00A51130">
        <w:rPr>
          <w:rFonts w:ascii="Times New Roman" w:hAnsi="Times New Roman" w:cs="Times New Roman"/>
          <w:sz w:val="24"/>
          <w:szCs w:val="24"/>
        </w:rPr>
        <w:t xml:space="preserve">multiply imputed data, with little differences observed in the effect estimates </w:t>
      </w:r>
      <w:r w:rsidR="00C97F2F" w:rsidRPr="00A51130">
        <w:rPr>
          <w:rFonts w:ascii="Times New Roman" w:hAnsi="Times New Roman" w:cs="Times New Roman"/>
          <w:sz w:val="24"/>
          <w:szCs w:val="24"/>
        </w:rPr>
        <w:t xml:space="preserve">when analyses were based on complete case data only (data not shown). </w:t>
      </w:r>
    </w:p>
    <w:p w14:paraId="4B9AC499" w14:textId="74B02437" w:rsidR="009E2D91" w:rsidRPr="00A51130" w:rsidRDefault="008B2FDF" w:rsidP="00A51130">
      <w:pPr>
        <w:spacing w:line="480" w:lineRule="auto"/>
        <w:rPr>
          <w:rFonts w:ascii="Times New Roman" w:hAnsi="Times New Roman" w:cs="Times New Roman"/>
          <w:b/>
          <w:bCs/>
          <w:i/>
          <w:sz w:val="24"/>
          <w:szCs w:val="24"/>
        </w:rPr>
      </w:pPr>
      <w:r w:rsidRPr="00A51130">
        <w:rPr>
          <w:rFonts w:ascii="Times New Roman" w:hAnsi="Times New Roman" w:cs="Times New Roman"/>
          <w:b/>
          <w:bCs/>
          <w:i/>
          <w:sz w:val="24"/>
          <w:szCs w:val="24"/>
        </w:rPr>
        <w:t>BMI z-score</w:t>
      </w:r>
    </w:p>
    <w:p w14:paraId="246A42E6" w14:textId="00EC3528" w:rsidR="008B2FDF" w:rsidRPr="00A51130" w:rsidRDefault="00F01FE7"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A</w:t>
      </w:r>
      <w:r w:rsidR="008B2FDF" w:rsidRPr="00A51130">
        <w:rPr>
          <w:rFonts w:ascii="Times New Roman" w:hAnsi="Times New Roman" w:cs="Times New Roman"/>
          <w:sz w:val="24"/>
          <w:szCs w:val="24"/>
        </w:rPr>
        <w:t xml:space="preserve"> </w:t>
      </w:r>
      <w:r w:rsidR="006A5392">
        <w:rPr>
          <w:rFonts w:ascii="Times New Roman" w:hAnsi="Times New Roman" w:cs="Times New Roman"/>
          <w:sz w:val="24"/>
          <w:szCs w:val="24"/>
        </w:rPr>
        <w:t>1</w:t>
      </w:r>
      <w:r w:rsidR="00B55007">
        <w:rPr>
          <w:rFonts w:ascii="Times New Roman" w:hAnsi="Times New Roman" w:cs="Times New Roman"/>
          <w:sz w:val="24"/>
          <w:szCs w:val="24"/>
        </w:rPr>
        <w:t xml:space="preserve"> </w:t>
      </w:r>
      <w:r w:rsidR="006A5392">
        <w:rPr>
          <w:rFonts w:ascii="Times New Roman" w:hAnsi="Times New Roman" w:cs="Times New Roman"/>
          <w:sz w:val="24"/>
          <w:szCs w:val="24"/>
        </w:rPr>
        <w:t>SD</w:t>
      </w:r>
      <w:r w:rsidR="00B55007">
        <w:rPr>
          <w:rFonts w:ascii="Times New Roman" w:hAnsi="Times New Roman" w:cs="Times New Roman"/>
          <w:sz w:val="24"/>
          <w:szCs w:val="24"/>
        </w:rPr>
        <w:t>-score</w:t>
      </w:r>
      <w:r w:rsidR="008B2FDF" w:rsidRPr="00A51130">
        <w:rPr>
          <w:rFonts w:ascii="Times New Roman" w:hAnsi="Times New Roman" w:cs="Times New Roman"/>
          <w:sz w:val="24"/>
          <w:szCs w:val="24"/>
        </w:rPr>
        <w:t xml:space="preserve"> increase in </w:t>
      </w:r>
      <w:r w:rsidR="007B352C" w:rsidRPr="00A51130">
        <w:rPr>
          <w:rFonts w:ascii="Times New Roman" w:hAnsi="Times New Roman" w:cs="Times New Roman"/>
          <w:sz w:val="24"/>
          <w:szCs w:val="24"/>
        </w:rPr>
        <w:t>infant weight gain</w:t>
      </w:r>
      <w:r w:rsidR="008B2FDF" w:rsidRPr="00A51130">
        <w:rPr>
          <w:rFonts w:ascii="Times New Roman" w:hAnsi="Times New Roman" w:cs="Times New Roman"/>
          <w:sz w:val="24"/>
          <w:szCs w:val="24"/>
        </w:rPr>
        <w:t xml:space="preserve"> </w:t>
      </w:r>
      <w:r w:rsidR="007B352C" w:rsidRPr="00A51130">
        <w:rPr>
          <w:rFonts w:ascii="Times New Roman" w:hAnsi="Times New Roman" w:cs="Times New Roman"/>
          <w:sz w:val="24"/>
          <w:szCs w:val="24"/>
        </w:rPr>
        <w:t xml:space="preserve">was </w:t>
      </w:r>
      <w:r w:rsidR="008B2FDF" w:rsidRPr="00A51130">
        <w:rPr>
          <w:rFonts w:ascii="Times New Roman" w:hAnsi="Times New Roman" w:cs="Times New Roman"/>
          <w:sz w:val="24"/>
          <w:szCs w:val="24"/>
        </w:rPr>
        <w:t>associated with a 0.</w:t>
      </w:r>
      <w:r w:rsidR="00361934">
        <w:rPr>
          <w:rFonts w:ascii="Times New Roman" w:hAnsi="Times New Roman" w:cs="Times New Roman"/>
          <w:sz w:val="24"/>
          <w:szCs w:val="24"/>
        </w:rPr>
        <w:t>46</w:t>
      </w:r>
      <w:r w:rsidR="008B2FDF" w:rsidRPr="00A51130">
        <w:rPr>
          <w:rFonts w:ascii="Times New Roman" w:hAnsi="Times New Roman" w:cs="Times New Roman"/>
          <w:sz w:val="24"/>
          <w:szCs w:val="24"/>
        </w:rPr>
        <w:t xml:space="preserve"> (95% CI: </w:t>
      </w:r>
      <w:r w:rsidR="00361934">
        <w:rPr>
          <w:rFonts w:ascii="Times New Roman" w:hAnsi="Times New Roman" w:cs="Times New Roman"/>
          <w:sz w:val="24"/>
          <w:szCs w:val="24"/>
        </w:rPr>
        <w:t>0.40, 0.52</w:t>
      </w:r>
      <w:r w:rsidR="008B2FDF" w:rsidRPr="00A51130">
        <w:rPr>
          <w:rFonts w:ascii="Times New Roman" w:hAnsi="Times New Roman" w:cs="Times New Roman"/>
          <w:sz w:val="24"/>
          <w:szCs w:val="24"/>
        </w:rPr>
        <w:t xml:space="preserve">) increase in BMI </w:t>
      </w:r>
      <w:r w:rsidR="00055A09">
        <w:rPr>
          <w:rFonts w:ascii="Times New Roman" w:hAnsi="Times New Roman" w:cs="Times New Roman"/>
          <w:sz w:val="24"/>
          <w:szCs w:val="24"/>
        </w:rPr>
        <w:t>z-score</w:t>
      </w:r>
      <w:r w:rsidR="00556B1C">
        <w:rPr>
          <w:rFonts w:ascii="Times New Roman" w:hAnsi="Times New Roman" w:cs="Times New Roman"/>
          <w:sz w:val="24"/>
          <w:szCs w:val="24"/>
        </w:rPr>
        <w:t xml:space="preserve"> </w:t>
      </w:r>
      <w:r w:rsidR="008B2FDF" w:rsidRPr="00A51130">
        <w:rPr>
          <w:rFonts w:ascii="Times New Roman" w:hAnsi="Times New Roman" w:cs="Times New Roman"/>
          <w:sz w:val="24"/>
          <w:szCs w:val="24"/>
        </w:rPr>
        <w:t>(table 2).</w:t>
      </w:r>
    </w:p>
    <w:p w14:paraId="068746E4" w14:textId="1BEBCE7F" w:rsidR="0047602B" w:rsidRDefault="00DA4839"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 xml:space="preserve">There was no evidence that this effect was modified by </w:t>
      </w:r>
      <w:r w:rsidR="002D4875">
        <w:rPr>
          <w:rFonts w:ascii="Times New Roman" w:hAnsi="Times New Roman" w:cs="Times New Roman"/>
          <w:sz w:val="24"/>
          <w:szCs w:val="24"/>
        </w:rPr>
        <w:t>mean</w:t>
      </w:r>
      <w:r w:rsidR="002D4875" w:rsidRPr="00A51130">
        <w:rPr>
          <w:rFonts w:ascii="Times New Roman" w:hAnsi="Times New Roman" w:cs="Times New Roman"/>
          <w:sz w:val="24"/>
          <w:szCs w:val="24"/>
        </w:rPr>
        <w:t xml:space="preserve"> </w:t>
      </w:r>
      <w:r w:rsidRPr="00A51130">
        <w:rPr>
          <w:rFonts w:ascii="Times New Roman" w:hAnsi="Times New Roman" w:cs="Times New Roman"/>
          <w:sz w:val="24"/>
          <w:szCs w:val="24"/>
        </w:rPr>
        <w:t xml:space="preserve">fetal weight or fetal weight </w:t>
      </w:r>
      <w:r w:rsidR="002D4875">
        <w:rPr>
          <w:rFonts w:ascii="Times New Roman" w:hAnsi="Times New Roman" w:cs="Times New Roman"/>
          <w:sz w:val="24"/>
          <w:szCs w:val="24"/>
        </w:rPr>
        <w:t>change</w:t>
      </w:r>
      <w:r w:rsidR="0047602B" w:rsidRPr="00A51130">
        <w:rPr>
          <w:rFonts w:ascii="Times New Roman" w:hAnsi="Times New Roman" w:cs="Times New Roman"/>
          <w:sz w:val="24"/>
          <w:szCs w:val="24"/>
        </w:rPr>
        <w:t xml:space="preserve">. For example, </w:t>
      </w:r>
      <w:r w:rsidR="00977C9E" w:rsidRPr="00A51130">
        <w:rPr>
          <w:rFonts w:ascii="Times New Roman" w:hAnsi="Times New Roman" w:cs="Times New Roman"/>
          <w:sz w:val="24"/>
          <w:szCs w:val="24"/>
        </w:rPr>
        <w:t xml:space="preserve">the </w:t>
      </w:r>
      <w:r w:rsidR="0047602B" w:rsidRPr="00A51130">
        <w:rPr>
          <w:rFonts w:ascii="Times New Roman" w:hAnsi="Times New Roman" w:cs="Times New Roman"/>
          <w:sz w:val="24"/>
          <w:szCs w:val="24"/>
        </w:rPr>
        <w:t xml:space="preserve">infant weight </w:t>
      </w:r>
      <w:r w:rsidR="004A5F7D" w:rsidRPr="00A51130">
        <w:rPr>
          <w:rFonts w:ascii="Times New Roman" w:hAnsi="Times New Roman" w:cs="Times New Roman"/>
          <w:sz w:val="24"/>
          <w:szCs w:val="24"/>
        </w:rPr>
        <w:t>gain</w:t>
      </w:r>
      <w:r w:rsidR="0047602B" w:rsidRPr="00A51130">
        <w:rPr>
          <w:rFonts w:ascii="Times New Roman" w:hAnsi="Times New Roman" w:cs="Times New Roman"/>
          <w:sz w:val="24"/>
          <w:szCs w:val="24"/>
        </w:rPr>
        <w:t xml:space="preserve"> </w:t>
      </w:r>
      <w:r w:rsidR="004A5F7D" w:rsidRPr="00A51130">
        <w:rPr>
          <w:rFonts w:ascii="Times New Roman" w:hAnsi="Times New Roman" w:cs="Times New Roman"/>
          <w:sz w:val="24"/>
          <w:szCs w:val="24"/>
        </w:rPr>
        <w:t xml:space="preserve">X </w:t>
      </w:r>
      <w:r w:rsidR="002D4875">
        <w:rPr>
          <w:rFonts w:ascii="Times New Roman" w:hAnsi="Times New Roman" w:cs="Times New Roman"/>
          <w:sz w:val="24"/>
          <w:szCs w:val="24"/>
        </w:rPr>
        <w:t>mean</w:t>
      </w:r>
      <w:r w:rsidR="002D4875" w:rsidRPr="00A51130">
        <w:rPr>
          <w:rFonts w:ascii="Times New Roman" w:hAnsi="Times New Roman" w:cs="Times New Roman"/>
          <w:sz w:val="24"/>
          <w:szCs w:val="24"/>
        </w:rPr>
        <w:t xml:space="preserve"> </w:t>
      </w:r>
      <w:r w:rsidR="0047602B" w:rsidRPr="00A51130">
        <w:rPr>
          <w:rFonts w:ascii="Times New Roman" w:hAnsi="Times New Roman" w:cs="Times New Roman"/>
          <w:sz w:val="24"/>
          <w:szCs w:val="24"/>
        </w:rPr>
        <w:t xml:space="preserve">EFW </w:t>
      </w:r>
      <w:r w:rsidR="00B934D8" w:rsidRPr="00A51130">
        <w:rPr>
          <w:rFonts w:ascii="Times New Roman" w:hAnsi="Times New Roman" w:cs="Times New Roman"/>
          <w:sz w:val="24"/>
          <w:szCs w:val="24"/>
        </w:rPr>
        <w:t>(19</w:t>
      </w:r>
      <w:r w:rsidR="002D4875">
        <w:rPr>
          <w:rFonts w:ascii="Times New Roman" w:hAnsi="Times New Roman" w:cs="Times New Roman"/>
          <w:sz w:val="24"/>
          <w:szCs w:val="24"/>
        </w:rPr>
        <w:t>-34</w:t>
      </w:r>
      <w:r w:rsidR="00B934D8" w:rsidRPr="00A51130">
        <w:rPr>
          <w:rFonts w:ascii="Times New Roman" w:hAnsi="Times New Roman" w:cs="Times New Roman"/>
          <w:sz w:val="24"/>
          <w:szCs w:val="24"/>
        </w:rPr>
        <w:t xml:space="preserve"> weeks) interaction</w:t>
      </w:r>
      <w:r w:rsidR="00BD5192" w:rsidRPr="00A51130">
        <w:rPr>
          <w:rFonts w:ascii="Times New Roman" w:hAnsi="Times New Roman" w:cs="Times New Roman"/>
          <w:sz w:val="24"/>
          <w:szCs w:val="24"/>
        </w:rPr>
        <w:t xml:space="preserve"> term</w:t>
      </w:r>
      <w:r w:rsidR="0047602B" w:rsidRPr="00A51130">
        <w:rPr>
          <w:rFonts w:ascii="Times New Roman" w:hAnsi="Times New Roman" w:cs="Times New Roman"/>
          <w:sz w:val="24"/>
          <w:szCs w:val="24"/>
        </w:rPr>
        <w:t xml:space="preserve"> </w:t>
      </w:r>
      <w:r w:rsidR="00CF2FD1" w:rsidRPr="00A51130">
        <w:rPr>
          <w:rFonts w:ascii="Times New Roman" w:hAnsi="Times New Roman" w:cs="Times New Roman"/>
          <w:sz w:val="24"/>
          <w:szCs w:val="24"/>
        </w:rPr>
        <w:t>was</w:t>
      </w:r>
      <w:r w:rsidR="0047602B" w:rsidRPr="00A51130">
        <w:rPr>
          <w:rFonts w:ascii="Times New Roman" w:hAnsi="Times New Roman" w:cs="Times New Roman"/>
          <w:sz w:val="24"/>
          <w:szCs w:val="24"/>
        </w:rPr>
        <w:t xml:space="preserve"> -0.0</w:t>
      </w:r>
      <w:r w:rsidR="002D4875">
        <w:rPr>
          <w:rFonts w:ascii="Times New Roman" w:hAnsi="Times New Roman" w:cs="Times New Roman"/>
          <w:sz w:val="24"/>
          <w:szCs w:val="24"/>
        </w:rPr>
        <w:t>3</w:t>
      </w:r>
      <w:r w:rsidR="0047602B" w:rsidRPr="00A51130">
        <w:rPr>
          <w:rFonts w:ascii="Times New Roman" w:hAnsi="Times New Roman" w:cs="Times New Roman"/>
          <w:sz w:val="24"/>
          <w:szCs w:val="24"/>
        </w:rPr>
        <w:t xml:space="preserve"> (</w:t>
      </w:r>
      <w:r w:rsidR="00055A09">
        <w:rPr>
          <w:rFonts w:ascii="Times New Roman" w:hAnsi="Times New Roman" w:cs="Times New Roman"/>
          <w:sz w:val="24"/>
          <w:szCs w:val="24"/>
        </w:rPr>
        <w:t>95% CI:</w:t>
      </w:r>
      <w:r w:rsidR="0047602B" w:rsidRPr="00A51130">
        <w:rPr>
          <w:rFonts w:ascii="Times New Roman" w:hAnsi="Times New Roman" w:cs="Times New Roman"/>
          <w:sz w:val="24"/>
          <w:szCs w:val="24"/>
        </w:rPr>
        <w:t>-0.0</w:t>
      </w:r>
      <w:r w:rsidR="002D4875">
        <w:rPr>
          <w:rFonts w:ascii="Times New Roman" w:hAnsi="Times New Roman" w:cs="Times New Roman"/>
          <w:sz w:val="24"/>
          <w:szCs w:val="24"/>
        </w:rPr>
        <w:t>9</w:t>
      </w:r>
      <w:r w:rsidR="00941B10" w:rsidRPr="00A51130">
        <w:rPr>
          <w:rFonts w:ascii="Times New Roman" w:hAnsi="Times New Roman" w:cs="Times New Roman"/>
          <w:sz w:val="24"/>
          <w:szCs w:val="24"/>
        </w:rPr>
        <w:t>,</w:t>
      </w:r>
      <w:r w:rsidR="0047602B" w:rsidRPr="00A51130">
        <w:rPr>
          <w:rFonts w:ascii="Times New Roman" w:hAnsi="Times New Roman" w:cs="Times New Roman"/>
          <w:sz w:val="24"/>
          <w:szCs w:val="24"/>
        </w:rPr>
        <w:t xml:space="preserve"> 0.0</w:t>
      </w:r>
      <w:r w:rsidR="002D4875">
        <w:rPr>
          <w:rFonts w:ascii="Times New Roman" w:hAnsi="Times New Roman" w:cs="Times New Roman"/>
          <w:sz w:val="24"/>
          <w:szCs w:val="24"/>
        </w:rPr>
        <w:t>3</w:t>
      </w:r>
      <w:r w:rsidR="00E670CD" w:rsidRPr="00A51130">
        <w:rPr>
          <w:rFonts w:ascii="Times New Roman" w:hAnsi="Times New Roman" w:cs="Times New Roman"/>
          <w:sz w:val="24"/>
          <w:szCs w:val="24"/>
        </w:rPr>
        <w:t xml:space="preserve">, </w:t>
      </w:r>
      <w:r w:rsidR="00E670CD" w:rsidRPr="00A51130">
        <w:rPr>
          <w:rFonts w:ascii="Times New Roman" w:hAnsi="Times New Roman" w:cs="Times New Roman"/>
          <w:i/>
          <w:sz w:val="24"/>
          <w:szCs w:val="24"/>
        </w:rPr>
        <w:t>p</w:t>
      </w:r>
      <w:r w:rsidR="00E670CD" w:rsidRPr="00A51130">
        <w:rPr>
          <w:rFonts w:ascii="Times New Roman" w:hAnsi="Times New Roman" w:cs="Times New Roman"/>
          <w:sz w:val="24"/>
          <w:szCs w:val="24"/>
        </w:rPr>
        <w:t>=</w:t>
      </w:r>
      <w:r w:rsidR="00B56F5D" w:rsidRPr="00A51130">
        <w:rPr>
          <w:rFonts w:ascii="Times New Roman" w:hAnsi="Times New Roman" w:cs="Times New Roman"/>
          <w:sz w:val="24"/>
          <w:szCs w:val="24"/>
        </w:rPr>
        <w:t>0.</w:t>
      </w:r>
      <w:r w:rsidR="002D4875">
        <w:rPr>
          <w:rFonts w:ascii="Times New Roman" w:hAnsi="Times New Roman" w:cs="Times New Roman"/>
          <w:sz w:val="24"/>
          <w:szCs w:val="24"/>
        </w:rPr>
        <w:t>3</w:t>
      </w:r>
      <w:r w:rsidR="00556B1C">
        <w:rPr>
          <w:rFonts w:ascii="Times New Roman" w:hAnsi="Times New Roman" w:cs="Times New Roman"/>
          <w:sz w:val="24"/>
          <w:szCs w:val="24"/>
        </w:rPr>
        <w:t>9</w:t>
      </w:r>
      <w:r w:rsidR="0047602B" w:rsidRPr="00A51130">
        <w:rPr>
          <w:rFonts w:ascii="Times New Roman" w:hAnsi="Times New Roman" w:cs="Times New Roman"/>
          <w:sz w:val="24"/>
          <w:szCs w:val="24"/>
        </w:rPr>
        <w:t>)</w:t>
      </w:r>
      <w:r w:rsidR="00BD5192" w:rsidRPr="00A51130">
        <w:rPr>
          <w:rFonts w:ascii="Times New Roman" w:hAnsi="Times New Roman" w:cs="Times New Roman"/>
          <w:sz w:val="24"/>
          <w:szCs w:val="24"/>
        </w:rPr>
        <w:t xml:space="preserve"> and</w:t>
      </w:r>
      <w:r w:rsidR="0047602B" w:rsidRPr="00A51130">
        <w:rPr>
          <w:rFonts w:ascii="Times New Roman" w:hAnsi="Times New Roman" w:cs="Times New Roman"/>
          <w:sz w:val="24"/>
          <w:szCs w:val="24"/>
        </w:rPr>
        <w:t xml:space="preserve"> </w:t>
      </w:r>
      <w:r w:rsidR="00B7398C" w:rsidRPr="00A51130">
        <w:rPr>
          <w:rFonts w:ascii="Times New Roman" w:hAnsi="Times New Roman" w:cs="Times New Roman"/>
          <w:sz w:val="24"/>
          <w:szCs w:val="24"/>
        </w:rPr>
        <w:t xml:space="preserve">the </w:t>
      </w:r>
      <w:r w:rsidR="0047602B" w:rsidRPr="00A51130">
        <w:rPr>
          <w:rFonts w:ascii="Times New Roman" w:hAnsi="Times New Roman" w:cs="Times New Roman"/>
          <w:sz w:val="24"/>
          <w:szCs w:val="24"/>
        </w:rPr>
        <w:t xml:space="preserve">infant weight </w:t>
      </w:r>
      <w:r w:rsidR="00B7398C" w:rsidRPr="00A51130">
        <w:rPr>
          <w:rFonts w:ascii="Times New Roman" w:hAnsi="Times New Roman" w:cs="Times New Roman"/>
          <w:sz w:val="24"/>
          <w:szCs w:val="24"/>
        </w:rPr>
        <w:t>gain</w:t>
      </w:r>
      <w:r w:rsidR="0047602B" w:rsidRPr="00A51130">
        <w:rPr>
          <w:rFonts w:ascii="Times New Roman" w:hAnsi="Times New Roman" w:cs="Times New Roman"/>
          <w:sz w:val="24"/>
          <w:szCs w:val="24"/>
        </w:rPr>
        <w:t xml:space="preserve"> </w:t>
      </w:r>
      <w:r w:rsidR="00B7398C" w:rsidRPr="00A51130">
        <w:rPr>
          <w:rFonts w:ascii="Times New Roman" w:hAnsi="Times New Roman" w:cs="Times New Roman"/>
          <w:sz w:val="24"/>
          <w:szCs w:val="24"/>
        </w:rPr>
        <w:t>X</w:t>
      </w:r>
      <w:r w:rsidR="0047602B" w:rsidRPr="00A51130">
        <w:rPr>
          <w:rFonts w:ascii="Times New Roman" w:hAnsi="Times New Roman" w:cs="Times New Roman"/>
          <w:sz w:val="24"/>
          <w:szCs w:val="24"/>
        </w:rPr>
        <w:t xml:space="preserve"> EFW </w:t>
      </w:r>
      <w:r w:rsidR="002D4875">
        <w:rPr>
          <w:rFonts w:ascii="Times New Roman" w:hAnsi="Times New Roman" w:cs="Times New Roman"/>
          <w:sz w:val="24"/>
          <w:szCs w:val="24"/>
        </w:rPr>
        <w:t>change</w:t>
      </w:r>
      <w:r w:rsidR="002D4875" w:rsidRPr="00A51130">
        <w:rPr>
          <w:rFonts w:ascii="Times New Roman" w:hAnsi="Times New Roman" w:cs="Times New Roman"/>
          <w:sz w:val="24"/>
          <w:szCs w:val="24"/>
        </w:rPr>
        <w:t xml:space="preserve"> </w:t>
      </w:r>
      <w:r w:rsidR="00B7398C" w:rsidRPr="00A51130">
        <w:rPr>
          <w:rFonts w:ascii="Times New Roman" w:hAnsi="Times New Roman" w:cs="Times New Roman"/>
          <w:sz w:val="24"/>
          <w:szCs w:val="24"/>
        </w:rPr>
        <w:t>(</w:t>
      </w:r>
      <w:r w:rsidR="0047602B" w:rsidRPr="00A51130">
        <w:rPr>
          <w:rFonts w:ascii="Times New Roman" w:hAnsi="Times New Roman" w:cs="Times New Roman"/>
          <w:sz w:val="24"/>
          <w:szCs w:val="24"/>
        </w:rPr>
        <w:t>19</w:t>
      </w:r>
      <w:r w:rsidR="00E85DF9" w:rsidRPr="00A51130">
        <w:rPr>
          <w:rFonts w:ascii="Times New Roman" w:hAnsi="Times New Roman" w:cs="Times New Roman"/>
          <w:sz w:val="24"/>
          <w:szCs w:val="24"/>
        </w:rPr>
        <w:t>-</w:t>
      </w:r>
      <w:r w:rsidR="002D4875">
        <w:rPr>
          <w:rFonts w:ascii="Times New Roman" w:hAnsi="Times New Roman" w:cs="Times New Roman"/>
          <w:sz w:val="24"/>
          <w:szCs w:val="24"/>
        </w:rPr>
        <w:t>34</w:t>
      </w:r>
      <w:r w:rsidR="00E85DF9" w:rsidRPr="00A51130">
        <w:rPr>
          <w:rFonts w:ascii="Times New Roman" w:hAnsi="Times New Roman" w:cs="Times New Roman"/>
          <w:sz w:val="24"/>
          <w:szCs w:val="24"/>
        </w:rPr>
        <w:t xml:space="preserve"> weeks)</w:t>
      </w:r>
      <w:r w:rsidR="0047602B" w:rsidRPr="00A51130">
        <w:rPr>
          <w:rFonts w:ascii="Times New Roman" w:hAnsi="Times New Roman" w:cs="Times New Roman"/>
          <w:sz w:val="24"/>
          <w:szCs w:val="24"/>
        </w:rPr>
        <w:t xml:space="preserve"> was -0.</w:t>
      </w:r>
      <w:r w:rsidR="002D4875">
        <w:rPr>
          <w:rFonts w:ascii="Times New Roman" w:hAnsi="Times New Roman" w:cs="Times New Roman"/>
          <w:sz w:val="24"/>
          <w:szCs w:val="24"/>
        </w:rPr>
        <w:t>02</w:t>
      </w:r>
      <w:r w:rsidR="0047602B" w:rsidRPr="00A51130">
        <w:rPr>
          <w:rFonts w:ascii="Times New Roman" w:hAnsi="Times New Roman" w:cs="Times New Roman"/>
          <w:sz w:val="24"/>
          <w:szCs w:val="24"/>
        </w:rPr>
        <w:t xml:space="preserve"> (</w:t>
      </w:r>
      <w:r w:rsidR="00055A09">
        <w:rPr>
          <w:rFonts w:ascii="Times New Roman" w:hAnsi="Times New Roman" w:cs="Times New Roman"/>
          <w:sz w:val="24"/>
          <w:szCs w:val="24"/>
        </w:rPr>
        <w:t>95% CI:</w:t>
      </w:r>
      <w:r w:rsidR="0047602B" w:rsidRPr="00A51130">
        <w:rPr>
          <w:rFonts w:ascii="Times New Roman" w:hAnsi="Times New Roman" w:cs="Times New Roman"/>
          <w:sz w:val="24"/>
          <w:szCs w:val="24"/>
        </w:rPr>
        <w:t>-0.0</w:t>
      </w:r>
      <w:r w:rsidR="002D4875">
        <w:rPr>
          <w:rFonts w:ascii="Times New Roman" w:hAnsi="Times New Roman" w:cs="Times New Roman"/>
          <w:sz w:val="24"/>
          <w:szCs w:val="24"/>
        </w:rPr>
        <w:t>8</w:t>
      </w:r>
      <w:r w:rsidR="00941B10" w:rsidRPr="00A51130">
        <w:rPr>
          <w:rFonts w:ascii="Times New Roman" w:hAnsi="Times New Roman" w:cs="Times New Roman"/>
          <w:sz w:val="24"/>
          <w:szCs w:val="24"/>
        </w:rPr>
        <w:t>,</w:t>
      </w:r>
      <w:r w:rsidR="0047602B" w:rsidRPr="00A51130">
        <w:rPr>
          <w:rFonts w:ascii="Times New Roman" w:hAnsi="Times New Roman" w:cs="Times New Roman"/>
          <w:sz w:val="24"/>
          <w:szCs w:val="24"/>
        </w:rPr>
        <w:t xml:space="preserve"> 0.0</w:t>
      </w:r>
      <w:r w:rsidR="002D4875">
        <w:rPr>
          <w:rFonts w:ascii="Times New Roman" w:hAnsi="Times New Roman" w:cs="Times New Roman"/>
          <w:sz w:val="24"/>
          <w:szCs w:val="24"/>
        </w:rPr>
        <w:t>4</w:t>
      </w:r>
      <w:r w:rsidR="00E670CD" w:rsidRPr="00A51130">
        <w:rPr>
          <w:rFonts w:ascii="Times New Roman" w:hAnsi="Times New Roman" w:cs="Times New Roman"/>
          <w:sz w:val="24"/>
          <w:szCs w:val="24"/>
        </w:rPr>
        <w:t>, p=</w:t>
      </w:r>
      <w:r w:rsidR="007E7B6F" w:rsidRPr="00A51130">
        <w:rPr>
          <w:rFonts w:ascii="Times New Roman" w:hAnsi="Times New Roman" w:cs="Times New Roman"/>
          <w:sz w:val="24"/>
          <w:szCs w:val="24"/>
        </w:rPr>
        <w:t>0.</w:t>
      </w:r>
      <w:r w:rsidR="002D4875">
        <w:rPr>
          <w:rFonts w:ascii="Times New Roman" w:hAnsi="Times New Roman" w:cs="Times New Roman"/>
          <w:sz w:val="24"/>
          <w:szCs w:val="24"/>
        </w:rPr>
        <w:t>48</w:t>
      </w:r>
      <w:r w:rsidR="0047602B" w:rsidRPr="00A51130">
        <w:rPr>
          <w:rFonts w:ascii="Times New Roman" w:hAnsi="Times New Roman" w:cs="Times New Roman"/>
          <w:sz w:val="24"/>
          <w:szCs w:val="24"/>
        </w:rPr>
        <w:t>)</w:t>
      </w:r>
      <w:r w:rsidR="000742D1" w:rsidRPr="00A51130">
        <w:rPr>
          <w:rFonts w:ascii="Times New Roman" w:hAnsi="Times New Roman" w:cs="Times New Roman"/>
          <w:sz w:val="24"/>
          <w:szCs w:val="24"/>
        </w:rPr>
        <w:t xml:space="preserve"> (table 3</w:t>
      </w:r>
      <w:r w:rsidR="00233DB0">
        <w:rPr>
          <w:rFonts w:ascii="Times New Roman" w:hAnsi="Times New Roman" w:cs="Times New Roman"/>
          <w:sz w:val="24"/>
          <w:szCs w:val="24"/>
        </w:rPr>
        <w:t xml:space="preserve"> and supplementary table 3 for unadjusted estimates</w:t>
      </w:r>
      <w:r w:rsidR="000742D1" w:rsidRPr="00A51130">
        <w:rPr>
          <w:rFonts w:ascii="Times New Roman" w:hAnsi="Times New Roman" w:cs="Times New Roman"/>
          <w:sz w:val="24"/>
          <w:szCs w:val="24"/>
        </w:rPr>
        <w:t>)</w:t>
      </w:r>
      <w:r w:rsidR="0047602B" w:rsidRPr="00A51130">
        <w:rPr>
          <w:rFonts w:ascii="Times New Roman" w:hAnsi="Times New Roman" w:cs="Times New Roman"/>
          <w:sz w:val="24"/>
          <w:szCs w:val="24"/>
        </w:rPr>
        <w:t xml:space="preserve">. In addition, testing whether the inclusion of the interaction terms resulted in better fitting models did not support their inclusion (minimum </w:t>
      </w:r>
      <w:r w:rsidR="0047602B" w:rsidRPr="00A51130">
        <w:rPr>
          <w:rFonts w:ascii="Times New Roman" w:hAnsi="Times New Roman" w:cs="Times New Roman"/>
          <w:i/>
          <w:sz w:val="24"/>
          <w:szCs w:val="24"/>
        </w:rPr>
        <w:t>p</w:t>
      </w:r>
      <w:r w:rsidR="0047602B" w:rsidRPr="00A51130">
        <w:rPr>
          <w:rFonts w:ascii="Times New Roman" w:hAnsi="Times New Roman" w:cs="Times New Roman"/>
          <w:sz w:val="24"/>
          <w:szCs w:val="24"/>
        </w:rPr>
        <w:t>&gt;0.</w:t>
      </w:r>
      <w:r w:rsidR="002D4875">
        <w:rPr>
          <w:rFonts w:ascii="Times New Roman" w:hAnsi="Times New Roman" w:cs="Times New Roman"/>
          <w:sz w:val="24"/>
          <w:szCs w:val="24"/>
        </w:rPr>
        <w:t>35</w:t>
      </w:r>
      <w:r w:rsidR="0047602B" w:rsidRPr="00A51130">
        <w:rPr>
          <w:rFonts w:ascii="Times New Roman" w:hAnsi="Times New Roman" w:cs="Times New Roman"/>
          <w:sz w:val="24"/>
          <w:szCs w:val="24"/>
        </w:rPr>
        <w:t>).</w:t>
      </w:r>
      <w:r w:rsidR="00351D8D" w:rsidRPr="00A51130">
        <w:rPr>
          <w:rFonts w:ascii="Times New Roman" w:hAnsi="Times New Roman" w:cs="Times New Roman"/>
          <w:sz w:val="24"/>
          <w:szCs w:val="24"/>
        </w:rPr>
        <w:t xml:space="preserve"> Figure 1 illustrates the lack of </w:t>
      </w:r>
      <w:r w:rsidR="00CC5609" w:rsidRPr="00A51130">
        <w:rPr>
          <w:rFonts w:ascii="Times New Roman" w:hAnsi="Times New Roman" w:cs="Times New Roman"/>
          <w:sz w:val="24"/>
          <w:szCs w:val="24"/>
        </w:rPr>
        <w:t>interaction</w:t>
      </w:r>
      <w:r w:rsidR="009D0A1E" w:rsidRPr="00A51130">
        <w:rPr>
          <w:rFonts w:ascii="Times New Roman" w:hAnsi="Times New Roman" w:cs="Times New Roman"/>
          <w:sz w:val="24"/>
          <w:szCs w:val="24"/>
        </w:rPr>
        <w:t xml:space="preserve">, </w:t>
      </w:r>
      <w:r w:rsidR="00EA1698" w:rsidRPr="00A51130">
        <w:rPr>
          <w:rFonts w:ascii="Times New Roman" w:hAnsi="Times New Roman" w:cs="Times New Roman"/>
          <w:sz w:val="24"/>
          <w:szCs w:val="24"/>
        </w:rPr>
        <w:t xml:space="preserve">with </w:t>
      </w:r>
      <w:r w:rsidR="002D4875">
        <w:rPr>
          <w:rFonts w:ascii="Times New Roman" w:hAnsi="Times New Roman" w:cs="Times New Roman"/>
          <w:sz w:val="24"/>
          <w:szCs w:val="24"/>
        </w:rPr>
        <w:t>mean</w:t>
      </w:r>
      <w:r w:rsidR="002D4875" w:rsidRPr="00A51130">
        <w:rPr>
          <w:rFonts w:ascii="Times New Roman" w:hAnsi="Times New Roman" w:cs="Times New Roman"/>
          <w:sz w:val="24"/>
          <w:szCs w:val="24"/>
        </w:rPr>
        <w:t xml:space="preserve"> </w:t>
      </w:r>
      <w:r w:rsidR="00EA1698" w:rsidRPr="00A51130">
        <w:rPr>
          <w:rFonts w:ascii="Times New Roman" w:hAnsi="Times New Roman" w:cs="Times New Roman"/>
          <w:sz w:val="24"/>
          <w:szCs w:val="24"/>
        </w:rPr>
        <w:t>EFW</w:t>
      </w:r>
      <w:r w:rsidR="002B7E65" w:rsidRPr="00A51130">
        <w:rPr>
          <w:rFonts w:ascii="Times New Roman" w:hAnsi="Times New Roman" w:cs="Times New Roman"/>
          <w:sz w:val="24"/>
          <w:szCs w:val="24"/>
        </w:rPr>
        <w:t xml:space="preserve"> (19</w:t>
      </w:r>
      <w:r w:rsidR="002D4875">
        <w:rPr>
          <w:rFonts w:ascii="Times New Roman" w:hAnsi="Times New Roman" w:cs="Times New Roman"/>
          <w:sz w:val="24"/>
          <w:szCs w:val="24"/>
        </w:rPr>
        <w:t>-34</w:t>
      </w:r>
      <w:r w:rsidR="002B7E65" w:rsidRPr="00A51130">
        <w:rPr>
          <w:rFonts w:ascii="Times New Roman" w:hAnsi="Times New Roman" w:cs="Times New Roman"/>
          <w:sz w:val="24"/>
          <w:szCs w:val="24"/>
        </w:rPr>
        <w:t xml:space="preserve"> weeks)</w:t>
      </w:r>
      <w:r w:rsidR="00EA1698" w:rsidRPr="00A51130">
        <w:rPr>
          <w:rFonts w:ascii="Times New Roman" w:hAnsi="Times New Roman" w:cs="Times New Roman"/>
          <w:sz w:val="24"/>
          <w:szCs w:val="24"/>
        </w:rPr>
        <w:t xml:space="preserve"> in the left panel and EFW </w:t>
      </w:r>
      <w:r w:rsidR="002D4875">
        <w:rPr>
          <w:rFonts w:ascii="Times New Roman" w:hAnsi="Times New Roman" w:cs="Times New Roman"/>
          <w:sz w:val="24"/>
          <w:szCs w:val="24"/>
        </w:rPr>
        <w:t>change</w:t>
      </w:r>
      <w:r w:rsidR="002D4875" w:rsidRPr="00A51130">
        <w:rPr>
          <w:rFonts w:ascii="Times New Roman" w:hAnsi="Times New Roman" w:cs="Times New Roman"/>
          <w:sz w:val="24"/>
          <w:szCs w:val="24"/>
        </w:rPr>
        <w:t xml:space="preserve"> </w:t>
      </w:r>
      <w:r w:rsidR="00EA1698" w:rsidRPr="00A51130">
        <w:rPr>
          <w:rFonts w:ascii="Times New Roman" w:hAnsi="Times New Roman" w:cs="Times New Roman"/>
          <w:sz w:val="24"/>
          <w:szCs w:val="24"/>
        </w:rPr>
        <w:t>(19-40 weeks) in the right panel.</w:t>
      </w:r>
      <w:r w:rsidR="006D661C" w:rsidRPr="00A51130">
        <w:rPr>
          <w:rFonts w:ascii="Times New Roman" w:hAnsi="Times New Roman" w:cs="Times New Roman"/>
          <w:sz w:val="24"/>
          <w:szCs w:val="24"/>
        </w:rPr>
        <w:t xml:space="preserve"> </w:t>
      </w:r>
      <w:r w:rsidR="00D11FF9" w:rsidRPr="00A51130">
        <w:rPr>
          <w:rFonts w:ascii="Times New Roman" w:hAnsi="Times New Roman" w:cs="Times New Roman"/>
          <w:sz w:val="24"/>
          <w:szCs w:val="24"/>
        </w:rPr>
        <w:t>T</w:t>
      </w:r>
      <w:r w:rsidR="0047602B" w:rsidRPr="00A51130">
        <w:rPr>
          <w:rFonts w:ascii="Times New Roman" w:hAnsi="Times New Roman" w:cs="Times New Roman"/>
          <w:sz w:val="24"/>
          <w:szCs w:val="24"/>
        </w:rPr>
        <w:t>he left panel shows that BMI</w:t>
      </w:r>
      <w:r w:rsidR="00055A09">
        <w:rPr>
          <w:rFonts w:ascii="Times New Roman" w:hAnsi="Times New Roman" w:cs="Times New Roman"/>
          <w:sz w:val="24"/>
          <w:szCs w:val="24"/>
        </w:rPr>
        <w:t xml:space="preserve"> z-score</w:t>
      </w:r>
      <w:r w:rsidR="0047602B" w:rsidRPr="00A51130">
        <w:rPr>
          <w:rFonts w:ascii="Times New Roman" w:hAnsi="Times New Roman" w:cs="Times New Roman"/>
          <w:sz w:val="24"/>
          <w:szCs w:val="24"/>
        </w:rPr>
        <w:t xml:space="preserve"> increases by 0.</w:t>
      </w:r>
      <w:r w:rsidR="002D4875">
        <w:rPr>
          <w:rFonts w:ascii="Times New Roman" w:hAnsi="Times New Roman" w:cs="Times New Roman"/>
          <w:sz w:val="24"/>
          <w:szCs w:val="24"/>
        </w:rPr>
        <w:t>5</w:t>
      </w:r>
      <w:r w:rsidR="00852358" w:rsidRPr="00A51130">
        <w:rPr>
          <w:rFonts w:ascii="Times New Roman" w:hAnsi="Times New Roman" w:cs="Times New Roman"/>
          <w:sz w:val="24"/>
          <w:szCs w:val="24"/>
        </w:rPr>
        <w:t>1</w:t>
      </w:r>
      <w:r w:rsidR="0047602B" w:rsidRPr="00A51130">
        <w:rPr>
          <w:rFonts w:ascii="Times New Roman" w:hAnsi="Times New Roman" w:cs="Times New Roman"/>
          <w:sz w:val="24"/>
          <w:szCs w:val="24"/>
        </w:rPr>
        <w:t xml:space="preserve"> (95% CI: 0.</w:t>
      </w:r>
      <w:r w:rsidR="002D4875">
        <w:rPr>
          <w:rFonts w:ascii="Times New Roman" w:hAnsi="Times New Roman" w:cs="Times New Roman"/>
          <w:sz w:val="24"/>
          <w:szCs w:val="24"/>
        </w:rPr>
        <w:t>38, 0.65</w:t>
      </w:r>
      <w:r w:rsidR="0047602B" w:rsidRPr="00A51130">
        <w:rPr>
          <w:rFonts w:ascii="Times New Roman" w:hAnsi="Times New Roman" w:cs="Times New Roman"/>
          <w:sz w:val="24"/>
          <w:szCs w:val="24"/>
        </w:rPr>
        <w:t xml:space="preserve">) per </w:t>
      </w:r>
      <w:r w:rsidR="002D4875">
        <w:rPr>
          <w:rFonts w:ascii="Times New Roman" w:hAnsi="Times New Roman" w:cs="Times New Roman"/>
          <w:sz w:val="24"/>
          <w:szCs w:val="24"/>
        </w:rPr>
        <w:t>SD increase</w:t>
      </w:r>
      <w:r w:rsidR="0047602B" w:rsidRPr="00A51130">
        <w:rPr>
          <w:rFonts w:ascii="Times New Roman" w:hAnsi="Times New Roman" w:cs="Times New Roman"/>
          <w:sz w:val="24"/>
          <w:szCs w:val="24"/>
        </w:rPr>
        <w:t xml:space="preserve"> in infant weight </w:t>
      </w:r>
      <w:r w:rsidR="00FF1EBA" w:rsidRPr="00A51130">
        <w:rPr>
          <w:rFonts w:ascii="Times New Roman" w:hAnsi="Times New Roman" w:cs="Times New Roman"/>
          <w:sz w:val="24"/>
          <w:szCs w:val="24"/>
        </w:rPr>
        <w:t>gain</w:t>
      </w:r>
      <w:r w:rsidR="0047602B" w:rsidRPr="00A51130">
        <w:rPr>
          <w:rFonts w:ascii="Times New Roman" w:hAnsi="Times New Roman" w:cs="Times New Roman"/>
          <w:sz w:val="24"/>
          <w:szCs w:val="24"/>
        </w:rPr>
        <w:t xml:space="preserve"> at a </w:t>
      </w:r>
      <w:r w:rsidR="002D4875">
        <w:rPr>
          <w:rFonts w:ascii="Times New Roman" w:hAnsi="Times New Roman" w:cs="Times New Roman"/>
          <w:sz w:val="24"/>
          <w:szCs w:val="24"/>
        </w:rPr>
        <w:t>mean</w:t>
      </w:r>
      <w:r w:rsidR="002D4875" w:rsidRPr="00A51130">
        <w:rPr>
          <w:rFonts w:ascii="Times New Roman" w:hAnsi="Times New Roman" w:cs="Times New Roman"/>
          <w:sz w:val="24"/>
          <w:szCs w:val="24"/>
        </w:rPr>
        <w:t xml:space="preserve"> </w:t>
      </w:r>
      <w:r w:rsidR="0047602B" w:rsidRPr="00A51130">
        <w:rPr>
          <w:rFonts w:ascii="Times New Roman" w:hAnsi="Times New Roman" w:cs="Times New Roman"/>
          <w:sz w:val="24"/>
          <w:szCs w:val="24"/>
        </w:rPr>
        <w:t xml:space="preserve">EFW </w:t>
      </w:r>
      <w:r w:rsidR="002D4875">
        <w:rPr>
          <w:rFonts w:ascii="Times New Roman" w:hAnsi="Times New Roman" w:cs="Times New Roman"/>
          <w:sz w:val="24"/>
          <w:szCs w:val="24"/>
        </w:rPr>
        <w:t>SD</w:t>
      </w:r>
      <w:r w:rsidR="00B55007">
        <w:rPr>
          <w:rFonts w:ascii="Times New Roman" w:hAnsi="Times New Roman" w:cs="Times New Roman"/>
          <w:sz w:val="24"/>
          <w:szCs w:val="24"/>
        </w:rPr>
        <w:t>-score</w:t>
      </w:r>
      <w:r w:rsidR="0047602B" w:rsidRPr="00A51130">
        <w:rPr>
          <w:rFonts w:ascii="Times New Roman" w:hAnsi="Times New Roman" w:cs="Times New Roman"/>
          <w:sz w:val="24"/>
          <w:szCs w:val="24"/>
        </w:rPr>
        <w:t xml:space="preserve"> of -2</w:t>
      </w:r>
      <w:r w:rsidR="006D661C" w:rsidRPr="00A51130">
        <w:rPr>
          <w:rFonts w:ascii="Times New Roman" w:hAnsi="Times New Roman" w:cs="Times New Roman"/>
          <w:sz w:val="24"/>
          <w:szCs w:val="24"/>
        </w:rPr>
        <w:t xml:space="preserve"> (</w:t>
      </w:r>
      <w:r w:rsidR="00DE6A68" w:rsidRPr="00A51130">
        <w:rPr>
          <w:rFonts w:ascii="Times New Roman" w:hAnsi="Times New Roman" w:cs="Times New Roman"/>
          <w:sz w:val="24"/>
          <w:szCs w:val="24"/>
        </w:rPr>
        <w:t>2</w:t>
      </w:r>
      <w:r w:rsidR="00DE6A68" w:rsidRPr="00A51130">
        <w:rPr>
          <w:rFonts w:ascii="Times New Roman" w:hAnsi="Times New Roman" w:cs="Times New Roman"/>
          <w:sz w:val="24"/>
          <w:szCs w:val="24"/>
          <w:vertAlign w:val="superscript"/>
        </w:rPr>
        <w:t>nd</w:t>
      </w:r>
      <w:r w:rsidR="00DE6A68" w:rsidRPr="00A51130">
        <w:rPr>
          <w:rFonts w:ascii="Times New Roman" w:hAnsi="Times New Roman" w:cs="Times New Roman"/>
          <w:sz w:val="24"/>
          <w:szCs w:val="24"/>
        </w:rPr>
        <w:t xml:space="preserve"> </w:t>
      </w:r>
      <w:r w:rsidR="006D661C" w:rsidRPr="00A51130">
        <w:rPr>
          <w:rFonts w:ascii="Times New Roman" w:hAnsi="Times New Roman" w:cs="Times New Roman"/>
          <w:sz w:val="24"/>
          <w:szCs w:val="24"/>
        </w:rPr>
        <w:t>percentile)</w:t>
      </w:r>
      <w:r w:rsidR="0047602B" w:rsidRPr="00A51130">
        <w:rPr>
          <w:rFonts w:ascii="Times New Roman" w:hAnsi="Times New Roman" w:cs="Times New Roman"/>
          <w:sz w:val="24"/>
          <w:szCs w:val="24"/>
        </w:rPr>
        <w:t xml:space="preserve">, compared </w:t>
      </w:r>
      <w:r w:rsidR="0025433E" w:rsidRPr="00A51130">
        <w:rPr>
          <w:rFonts w:ascii="Times New Roman" w:hAnsi="Times New Roman" w:cs="Times New Roman"/>
          <w:sz w:val="24"/>
          <w:szCs w:val="24"/>
        </w:rPr>
        <w:t xml:space="preserve">with </w:t>
      </w:r>
      <w:r w:rsidR="0047602B" w:rsidRPr="00A51130">
        <w:rPr>
          <w:rFonts w:ascii="Times New Roman" w:hAnsi="Times New Roman" w:cs="Times New Roman"/>
          <w:sz w:val="24"/>
          <w:szCs w:val="24"/>
        </w:rPr>
        <w:t>an increase of 0.</w:t>
      </w:r>
      <w:r w:rsidR="002D4875">
        <w:rPr>
          <w:rFonts w:ascii="Times New Roman" w:hAnsi="Times New Roman" w:cs="Times New Roman"/>
          <w:sz w:val="24"/>
          <w:szCs w:val="24"/>
        </w:rPr>
        <w:t>39</w:t>
      </w:r>
      <w:r w:rsidR="0047602B" w:rsidRPr="00A51130">
        <w:rPr>
          <w:rFonts w:ascii="Times New Roman" w:hAnsi="Times New Roman" w:cs="Times New Roman"/>
          <w:sz w:val="24"/>
          <w:szCs w:val="24"/>
        </w:rPr>
        <w:t xml:space="preserve"> (95% CI: 0.</w:t>
      </w:r>
      <w:r w:rsidR="002D4875">
        <w:rPr>
          <w:rFonts w:ascii="Times New Roman" w:hAnsi="Times New Roman" w:cs="Times New Roman"/>
          <w:sz w:val="24"/>
          <w:szCs w:val="24"/>
        </w:rPr>
        <w:t>26</w:t>
      </w:r>
      <w:r w:rsidR="00941B10" w:rsidRPr="00A51130">
        <w:rPr>
          <w:rFonts w:ascii="Times New Roman" w:hAnsi="Times New Roman" w:cs="Times New Roman"/>
          <w:sz w:val="24"/>
          <w:szCs w:val="24"/>
        </w:rPr>
        <w:t>,</w:t>
      </w:r>
      <w:r w:rsidR="0047602B" w:rsidRPr="00A51130">
        <w:rPr>
          <w:rFonts w:ascii="Times New Roman" w:hAnsi="Times New Roman" w:cs="Times New Roman"/>
          <w:sz w:val="24"/>
          <w:szCs w:val="24"/>
        </w:rPr>
        <w:t xml:space="preserve"> 0.</w:t>
      </w:r>
      <w:r w:rsidR="002D4875">
        <w:rPr>
          <w:rFonts w:ascii="Times New Roman" w:hAnsi="Times New Roman" w:cs="Times New Roman"/>
          <w:sz w:val="24"/>
          <w:szCs w:val="24"/>
        </w:rPr>
        <w:t>53</w:t>
      </w:r>
      <w:r w:rsidR="0047602B" w:rsidRPr="00A51130">
        <w:rPr>
          <w:rFonts w:ascii="Times New Roman" w:hAnsi="Times New Roman" w:cs="Times New Roman"/>
          <w:sz w:val="24"/>
          <w:szCs w:val="24"/>
        </w:rPr>
        <w:t xml:space="preserve">) at a </w:t>
      </w:r>
      <w:r w:rsidR="002D4875">
        <w:rPr>
          <w:rFonts w:ascii="Times New Roman" w:hAnsi="Times New Roman" w:cs="Times New Roman"/>
          <w:sz w:val="24"/>
          <w:szCs w:val="24"/>
        </w:rPr>
        <w:t>mean</w:t>
      </w:r>
      <w:r w:rsidR="002D4875" w:rsidRPr="00A51130">
        <w:rPr>
          <w:rFonts w:ascii="Times New Roman" w:hAnsi="Times New Roman" w:cs="Times New Roman"/>
          <w:sz w:val="24"/>
          <w:szCs w:val="24"/>
        </w:rPr>
        <w:t xml:space="preserve"> </w:t>
      </w:r>
      <w:r w:rsidR="0047602B" w:rsidRPr="00A51130">
        <w:rPr>
          <w:rFonts w:ascii="Times New Roman" w:hAnsi="Times New Roman" w:cs="Times New Roman"/>
          <w:sz w:val="24"/>
          <w:szCs w:val="24"/>
        </w:rPr>
        <w:t xml:space="preserve">EFW </w:t>
      </w:r>
      <w:r w:rsidR="002D4875">
        <w:rPr>
          <w:rFonts w:ascii="Times New Roman" w:hAnsi="Times New Roman" w:cs="Times New Roman"/>
          <w:sz w:val="24"/>
          <w:szCs w:val="24"/>
        </w:rPr>
        <w:t>SD</w:t>
      </w:r>
      <w:r w:rsidR="00B55007">
        <w:rPr>
          <w:rFonts w:ascii="Times New Roman" w:hAnsi="Times New Roman" w:cs="Times New Roman"/>
          <w:sz w:val="24"/>
          <w:szCs w:val="24"/>
        </w:rPr>
        <w:t>-score</w:t>
      </w:r>
      <w:r w:rsidR="0047602B" w:rsidRPr="00A51130">
        <w:rPr>
          <w:rFonts w:ascii="Times New Roman" w:hAnsi="Times New Roman" w:cs="Times New Roman"/>
          <w:sz w:val="24"/>
          <w:szCs w:val="24"/>
        </w:rPr>
        <w:t xml:space="preserve"> of 2</w:t>
      </w:r>
      <w:r w:rsidR="00E95308" w:rsidRPr="00A51130">
        <w:rPr>
          <w:rFonts w:ascii="Times New Roman" w:hAnsi="Times New Roman" w:cs="Times New Roman"/>
          <w:sz w:val="24"/>
          <w:szCs w:val="24"/>
        </w:rPr>
        <w:t xml:space="preserve"> (</w:t>
      </w:r>
      <w:r w:rsidR="006D661C" w:rsidRPr="00A51130">
        <w:rPr>
          <w:rFonts w:ascii="Times New Roman" w:hAnsi="Times New Roman" w:cs="Times New Roman"/>
          <w:sz w:val="24"/>
          <w:szCs w:val="24"/>
        </w:rPr>
        <w:t>9</w:t>
      </w:r>
      <w:r w:rsidR="00E95308" w:rsidRPr="00A51130">
        <w:rPr>
          <w:rFonts w:ascii="Times New Roman" w:hAnsi="Times New Roman" w:cs="Times New Roman"/>
          <w:sz w:val="24"/>
          <w:szCs w:val="24"/>
        </w:rPr>
        <w:t>8</w:t>
      </w:r>
      <w:r w:rsidR="00E95308" w:rsidRPr="00A51130">
        <w:rPr>
          <w:rFonts w:ascii="Times New Roman" w:hAnsi="Times New Roman" w:cs="Times New Roman"/>
          <w:sz w:val="24"/>
          <w:szCs w:val="24"/>
          <w:vertAlign w:val="superscript"/>
        </w:rPr>
        <w:t>th</w:t>
      </w:r>
      <w:r w:rsidR="00E95308" w:rsidRPr="00A51130">
        <w:rPr>
          <w:rFonts w:ascii="Times New Roman" w:hAnsi="Times New Roman" w:cs="Times New Roman"/>
          <w:sz w:val="24"/>
          <w:szCs w:val="24"/>
        </w:rPr>
        <w:t xml:space="preserve"> </w:t>
      </w:r>
      <w:r w:rsidR="006D661C" w:rsidRPr="00A51130">
        <w:rPr>
          <w:rFonts w:ascii="Times New Roman" w:hAnsi="Times New Roman" w:cs="Times New Roman"/>
          <w:sz w:val="24"/>
          <w:szCs w:val="24"/>
        </w:rPr>
        <w:t>percentile)</w:t>
      </w:r>
      <w:r w:rsidR="0047602B" w:rsidRPr="00A51130">
        <w:rPr>
          <w:rFonts w:ascii="Times New Roman" w:hAnsi="Times New Roman" w:cs="Times New Roman"/>
          <w:sz w:val="24"/>
          <w:szCs w:val="24"/>
        </w:rPr>
        <w:t xml:space="preserve">.  </w:t>
      </w:r>
    </w:p>
    <w:p w14:paraId="3FC9B937" w14:textId="13BC8654" w:rsidR="00A51130" w:rsidRPr="00A51130" w:rsidRDefault="00A51130" w:rsidP="00A51130">
      <w:pPr>
        <w:spacing w:line="480" w:lineRule="auto"/>
        <w:rPr>
          <w:rFonts w:ascii="Times New Roman" w:hAnsi="Times New Roman" w:cs="Times New Roman"/>
          <w:sz w:val="24"/>
          <w:szCs w:val="24"/>
        </w:rPr>
      </w:pPr>
      <w:r>
        <w:rPr>
          <w:rFonts w:ascii="Times New Roman" w:hAnsi="Times New Roman" w:cs="Times New Roman"/>
          <w:sz w:val="24"/>
          <w:szCs w:val="24"/>
        </w:rPr>
        <w:t>[Table 2 here]</w:t>
      </w:r>
    </w:p>
    <w:p w14:paraId="4B0F331A" w14:textId="77777777" w:rsidR="005371C7" w:rsidRPr="00A51130" w:rsidRDefault="005371C7" w:rsidP="00A51130">
      <w:pPr>
        <w:spacing w:line="480" w:lineRule="auto"/>
        <w:rPr>
          <w:rFonts w:ascii="Times New Roman" w:hAnsi="Times New Roman" w:cs="Times New Roman"/>
          <w:b/>
          <w:bCs/>
          <w:i/>
          <w:sz w:val="24"/>
          <w:szCs w:val="24"/>
        </w:rPr>
      </w:pPr>
      <w:r w:rsidRPr="00A51130">
        <w:rPr>
          <w:rFonts w:ascii="Times New Roman" w:hAnsi="Times New Roman" w:cs="Times New Roman"/>
          <w:b/>
          <w:bCs/>
          <w:i/>
          <w:sz w:val="24"/>
          <w:szCs w:val="24"/>
        </w:rPr>
        <w:t>Percent body fat and trunk fat (kg)</w:t>
      </w:r>
    </w:p>
    <w:p w14:paraId="2C2853F2" w14:textId="037DFF86" w:rsidR="008B2FDF" w:rsidRPr="00A51130" w:rsidRDefault="005371C7"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 xml:space="preserve">A </w:t>
      </w:r>
      <w:r w:rsidR="00B55007">
        <w:rPr>
          <w:rFonts w:ascii="Times New Roman" w:hAnsi="Times New Roman" w:cs="Times New Roman"/>
          <w:sz w:val="24"/>
          <w:szCs w:val="24"/>
        </w:rPr>
        <w:t>1 SD-score</w:t>
      </w:r>
      <w:r w:rsidRPr="00A51130">
        <w:rPr>
          <w:rFonts w:ascii="Times New Roman" w:hAnsi="Times New Roman" w:cs="Times New Roman"/>
          <w:sz w:val="24"/>
          <w:szCs w:val="24"/>
        </w:rPr>
        <w:t xml:space="preserve"> increase in infant weight </w:t>
      </w:r>
      <w:r w:rsidR="00FF1EBA" w:rsidRPr="00A51130">
        <w:rPr>
          <w:rFonts w:ascii="Times New Roman" w:hAnsi="Times New Roman" w:cs="Times New Roman"/>
          <w:sz w:val="24"/>
          <w:szCs w:val="24"/>
        </w:rPr>
        <w:t>gain</w:t>
      </w:r>
      <w:r w:rsidRPr="00A51130">
        <w:rPr>
          <w:rFonts w:ascii="Times New Roman" w:hAnsi="Times New Roman" w:cs="Times New Roman"/>
          <w:sz w:val="24"/>
          <w:szCs w:val="24"/>
        </w:rPr>
        <w:t xml:space="preserve"> was also positively associated with percent body fat (</w:t>
      </w:r>
      <w:r w:rsidR="00B55007">
        <w:rPr>
          <w:rFonts w:ascii="Times New Roman" w:hAnsi="Times New Roman" w:cs="Times New Roman"/>
          <w:sz w:val="24"/>
          <w:szCs w:val="24"/>
        </w:rPr>
        <w:t>1.32</w:t>
      </w:r>
      <w:r w:rsidR="00941B10" w:rsidRPr="00A51130">
        <w:rPr>
          <w:rFonts w:ascii="Times New Roman" w:hAnsi="Times New Roman" w:cs="Times New Roman"/>
          <w:sz w:val="24"/>
          <w:szCs w:val="24"/>
        </w:rPr>
        <w:t>;</w:t>
      </w:r>
      <w:r w:rsidRPr="00A51130">
        <w:rPr>
          <w:rFonts w:ascii="Times New Roman" w:hAnsi="Times New Roman" w:cs="Times New Roman"/>
          <w:sz w:val="24"/>
          <w:szCs w:val="24"/>
        </w:rPr>
        <w:t xml:space="preserve"> 95% CI: </w:t>
      </w:r>
      <w:r w:rsidR="00B55007">
        <w:rPr>
          <w:rFonts w:ascii="Times New Roman" w:hAnsi="Times New Roman" w:cs="Times New Roman"/>
          <w:sz w:val="24"/>
          <w:szCs w:val="24"/>
        </w:rPr>
        <w:t>0.96, 1.67</w:t>
      </w:r>
      <w:r w:rsidRPr="00A51130">
        <w:rPr>
          <w:rFonts w:ascii="Times New Roman" w:hAnsi="Times New Roman" w:cs="Times New Roman"/>
          <w:sz w:val="24"/>
          <w:szCs w:val="24"/>
        </w:rPr>
        <w:t>) and trunk fat (0.</w:t>
      </w:r>
      <w:r w:rsidR="00B55007">
        <w:rPr>
          <w:rFonts w:ascii="Times New Roman" w:hAnsi="Times New Roman" w:cs="Times New Roman"/>
          <w:sz w:val="24"/>
          <w:szCs w:val="24"/>
        </w:rPr>
        <w:t>38</w:t>
      </w:r>
      <w:r w:rsidRPr="00A51130">
        <w:rPr>
          <w:rFonts w:ascii="Times New Roman" w:hAnsi="Times New Roman" w:cs="Times New Roman"/>
          <w:sz w:val="24"/>
          <w:szCs w:val="24"/>
        </w:rPr>
        <w:t xml:space="preserve">; 95% CI: </w:t>
      </w:r>
      <w:r w:rsidR="00B55007">
        <w:rPr>
          <w:rFonts w:ascii="Times New Roman" w:hAnsi="Times New Roman" w:cs="Times New Roman"/>
          <w:sz w:val="24"/>
          <w:szCs w:val="24"/>
        </w:rPr>
        <w:t>0.32, 0.44</w:t>
      </w:r>
      <w:r w:rsidRPr="00A51130">
        <w:rPr>
          <w:rFonts w:ascii="Times New Roman" w:hAnsi="Times New Roman" w:cs="Times New Roman"/>
          <w:sz w:val="24"/>
          <w:szCs w:val="24"/>
        </w:rPr>
        <w:t>) (table 2)</w:t>
      </w:r>
    </w:p>
    <w:p w14:paraId="5D5443A5" w14:textId="036C2866" w:rsidR="00F7080E" w:rsidRPr="00A51130" w:rsidRDefault="002E18F5"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 xml:space="preserve">There was no evidence that this effect was modified by </w:t>
      </w:r>
      <w:r w:rsidR="00B55007">
        <w:rPr>
          <w:rFonts w:ascii="Times New Roman" w:hAnsi="Times New Roman" w:cs="Times New Roman"/>
          <w:sz w:val="24"/>
          <w:szCs w:val="24"/>
        </w:rPr>
        <w:t>mean</w:t>
      </w:r>
      <w:r w:rsidR="00B55007" w:rsidRPr="00A51130">
        <w:rPr>
          <w:rFonts w:ascii="Times New Roman" w:hAnsi="Times New Roman" w:cs="Times New Roman"/>
          <w:sz w:val="24"/>
          <w:szCs w:val="24"/>
        </w:rPr>
        <w:t xml:space="preserve"> </w:t>
      </w:r>
      <w:r w:rsidR="00B55007">
        <w:rPr>
          <w:rFonts w:ascii="Times New Roman" w:hAnsi="Times New Roman" w:cs="Times New Roman"/>
          <w:sz w:val="24"/>
          <w:szCs w:val="24"/>
        </w:rPr>
        <w:t>EFW</w:t>
      </w:r>
      <w:r w:rsidRPr="00A51130">
        <w:rPr>
          <w:rFonts w:ascii="Times New Roman" w:hAnsi="Times New Roman" w:cs="Times New Roman"/>
          <w:sz w:val="24"/>
          <w:szCs w:val="24"/>
        </w:rPr>
        <w:t xml:space="preserve"> or </w:t>
      </w:r>
      <w:r w:rsidR="00B55007">
        <w:rPr>
          <w:rFonts w:ascii="Times New Roman" w:hAnsi="Times New Roman" w:cs="Times New Roman"/>
          <w:sz w:val="24"/>
          <w:szCs w:val="24"/>
        </w:rPr>
        <w:t>EFW change</w:t>
      </w:r>
      <w:r w:rsidR="00BF7B27" w:rsidRPr="00A51130">
        <w:rPr>
          <w:rFonts w:ascii="Times New Roman" w:hAnsi="Times New Roman" w:cs="Times New Roman"/>
          <w:sz w:val="24"/>
          <w:szCs w:val="24"/>
        </w:rPr>
        <w:t>,</w:t>
      </w:r>
      <w:r w:rsidR="00F7080E" w:rsidRPr="00A51130">
        <w:rPr>
          <w:rFonts w:ascii="Times New Roman" w:hAnsi="Times New Roman" w:cs="Times New Roman"/>
          <w:sz w:val="24"/>
          <w:szCs w:val="24"/>
        </w:rPr>
        <w:t xml:space="preserve"> with all interaction effect sizes close to the null</w:t>
      </w:r>
      <w:r w:rsidR="00A77ECA" w:rsidRPr="00A51130">
        <w:rPr>
          <w:rFonts w:ascii="Times New Roman" w:hAnsi="Times New Roman" w:cs="Times New Roman"/>
          <w:sz w:val="24"/>
          <w:szCs w:val="24"/>
        </w:rPr>
        <w:t xml:space="preserve"> (table 3)</w:t>
      </w:r>
      <w:r w:rsidR="00F7080E" w:rsidRPr="00A51130">
        <w:rPr>
          <w:rFonts w:ascii="Times New Roman" w:hAnsi="Times New Roman" w:cs="Times New Roman"/>
          <w:sz w:val="24"/>
          <w:szCs w:val="24"/>
        </w:rPr>
        <w:t>. In addition, testing whether the inclusion of the interaction terms resulted in better fitting models did not support their inclusion (minimum p&gt;0.</w:t>
      </w:r>
      <w:r w:rsidR="00B55007">
        <w:rPr>
          <w:rFonts w:ascii="Times New Roman" w:hAnsi="Times New Roman" w:cs="Times New Roman"/>
          <w:sz w:val="24"/>
          <w:szCs w:val="24"/>
        </w:rPr>
        <w:t>25</w:t>
      </w:r>
      <w:r w:rsidR="00F7080E" w:rsidRPr="00A51130">
        <w:rPr>
          <w:rFonts w:ascii="Times New Roman" w:hAnsi="Times New Roman" w:cs="Times New Roman"/>
          <w:sz w:val="24"/>
          <w:szCs w:val="24"/>
        </w:rPr>
        <w:t>).</w:t>
      </w:r>
      <w:r w:rsidR="006F5EB4" w:rsidRPr="00A51130">
        <w:rPr>
          <w:rFonts w:ascii="Times New Roman" w:hAnsi="Times New Roman" w:cs="Times New Roman"/>
          <w:sz w:val="24"/>
          <w:szCs w:val="24"/>
        </w:rPr>
        <w:t xml:space="preserve"> The lack of </w:t>
      </w:r>
      <w:r w:rsidR="00CC5609" w:rsidRPr="00A51130">
        <w:rPr>
          <w:rFonts w:ascii="Times New Roman" w:hAnsi="Times New Roman" w:cs="Times New Roman"/>
          <w:sz w:val="24"/>
          <w:szCs w:val="24"/>
        </w:rPr>
        <w:t>interaction with</w:t>
      </w:r>
      <w:r w:rsidR="00B507AB" w:rsidRPr="00A51130">
        <w:rPr>
          <w:rFonts w:ascii="Times New Roman" w:hAnsi="Times New Roman" w:cs="Times New Roman"/>
          <w:sz w:val="24"/>
          <w:szCs w:val="24"/>
        </w:rPr>
        <w:t xml:space="preserve"> fetal growth variables can</w:t>
      </w:r>
      <w:r w:rsidR="006F5EB4" w:rsidRPr="00A51130">
        <w:rPr>
          <w:rFonts w:ascii="Times New Roman" w:hAnsi="Times New Roman" w:cs="Times New Roman"/>
          <w:sz w:val="24"/>
          <w:szCs w:val="24"/>
        </w:rPr>
        <w:t xml:space="preserve"> be </w:t>
      </w:r>
      <w:r w:rsidR="00B507AB" w:rsidRPr="00A51130">
        <w:rPr>
          <w:rFonts w:ascii="Times New Roman" w:hAnsi="Times New Roman" w:cs="Times New Roman"/>
          <w:sz w:val="24"/>
          <w:szCs w:val="24"/>
        </w:rPr>
        <w:t xml:space="preserve">further </w:t>
      </w:r>
      <w:r w:rsidR="006F5EB4" w:rsidRPr="00A51130">
        <w:rPr>
          <w:rFonts w:ascii="Times New Roman" w:hAnsi="Times New Roman" w:cs="Times New Roman"/>
          <w:sz w:val="24"/>
          <w:szCs w:val="24"/>
        </w:rPr>
        <w:t>observed in the i</w:t>
      </w:r>
      <w:r w:rsidR="00F7080E" w:rsidRPr="00A51130">
        <w:rPr>
          <w:rFonts w:ascii="Times New Roman" w:hAnsi="Times New Roman" w:cs="Times New Roman"/>
          <w:sz w:val="24"/>
          <w:szCs w:val="24"/>
        </w:rPr>
        <w:t>nteraction plots for percent body fat and trunk fat</w:t>
      </w:r>
      <w:r w:rsidR="006F5EB4" w:rsidRPr="00A51130">
        <w:rPr>
          <w:rFonts w:ascii="Times New Roman" w:hAnsi="Times New Roman" w:cs="Times New Roman"/>
          <w:sz w:val="24"/>
          <w:szCs w:val="24"/>
        </w:rPr>
        <w:t xml:space="preserve">, </w:t>
      </w:r>
      <w:r w:rsidR="00F7080E" w:rsidRPr="00A51130">
        <w:rPr>
          <w:rFonts w:ascii="Times New Roman" w:hAnsi="Times New Roman" w:cs="Times New Roman"/>
          <w:sz w:val="24"/>
          <w:szCs w:val="24"/>
        </w:rPr>
        <w:t>presented in figures 2 and 3</w:t>
      </w:r>
      <w:r w:rsidR="006F5EB4" w:rsidRPr="00A51130">
        <w:rPr>
          <w:rFonts w:ascii="Times New Roman" w:hAnsi="Times New Roman" w:cs="Times New Roman"/>
          <w:sz w:val="24"/>
          <w:szCs w:val="24"/>
        </w:rPr>
        <w:t>, respectively</w:t>
      </w:r>
      <w:r w:rsidR="007129AF" w:rsidRPr="00A51130">
        <w:rPr>
          <w:rFonts w:ascii="Times New Roman" w:hAnsi="Times New Roman" w:cs="Times New Roman"/>
          <w:sz w:val="24"/>
          <w:szCs w:val="24"/>
        </w:rPr>
        <w:t>.</w:t>
      </w:r>
    </w:p>
    <w:p w14:paraId="7BFFCB40" w14:textId="7DB120DE" w:rsidR="003B20C4" w:rsidRPr="00A51130" w:rsidRDefault="00D05BB8" w:rsidP="00A51130">
      <w:pPr>
        <w:spacing w:line="480" w:lineRule="auto"/>
        <w:rPr>
          <w:rFonts w:ascii="Times New Roman" w:hAnsi="Times New Roman" w:cs="Times New Roman"/>
          <w:b/>
          <w:bCs/>
          <w:i/>
          <w:sz w:val="24"/>
          <w:szCs w:val="24"/>
        </w:rPr>
      </w:pPr>
      <w:r>
        <w:rPr>
          <w:rFonts w:ascii="Times New Roman" w:hAnsi="Times New Roman" w:cs="Times New Roman"/>
          <w:b/>
          <w:bCs/>
          <w:i/>
          <w:sz w:val="24"/>
          <w:szCs w:val="24"/>
        </w:rPr>
        <w:t>SBP</w:t>
      </w:r>
      <w:r w:rsidRPr="00A51130">
        <w:rPr>
          <w:rFonts w:ascii="Times New Roman" w:hAnsi="Times New Roman" w:cs="Times New Roman"/>
          <w:b/>
          <w:bCs/>
          <w:i/>
          <w:sz w:val="24"/>
          <w:szCs w:val="24"/>
        </w:rPr>
        <w:t xml:space="preserve"> </w:t>
      </w:r>
      <w:r w:rsidR="00101068" w:rsidRPr="00A51130">
        <w:rPr>
          <w:rFonts w:ascii="Times New Roman" w:hAnsi="Times New Roman" w:cs="Times New Roman"/>
          <w:b/>
          <w:bCs/>
          <w:i/>
          <w:sz w:val="24"/>
          <w:szCs w:val="24"/>
        </w:rPr>
        <w:t xml:space="preserve">and </w:t>
      </w:r>
      <w:r>
        <w:rPr>
          <w:rFonts w:ascii="Times New Roman" w:hAnsi="Times New Roman" w:cs="Times New Roman"/>
          <w:b/>
          <w:bCs/>
          <w:i/>
          <w:sz w:val="24"/>
          <w:szCs w:val="24"/>
        </w:rPr>
        <w:t>DBP</w:t>
      </w:r>
    </w:p>
    <w:p w14:paraId="7EED75BD" w14:textId="6FEB7857" w:rsidR="009B366A" w:rsidRPr="00A51130" w:rsidRDefault="00D05BB8" w:rsidP="00A51130">
      <w:pPr>
        <w:spacing w:line="480" w:lineRule="auto"/>
        <w:rPr>
          <w:rFonts w:ascii="Times New Roman" w:hAnsi="Times New Roman" w:cs="Times New Roman"/>
          <w:sz w:val="24"/>
          <w:szCs w:val="24"/>
        </w:rPr>
      </w:pPr>
      <w:r>
        <w:rPr>
          <w:rFonts w:ascii="Times New Roman" w:hAnsi="Times New Roman" w:cs="Times New Roman"/>
          <w:sz w:val="24"/>
          <w:szCs w:val="24"/>
        </w:rPr>
        <w:t>A p</w:t>
      </w:r>
      <w:r w:rsidR="00A94B24" w:rsidRPr="00A51130">
        <w:rPr>
          <w:rFonts w:ascii="Times New Roman" w:hAnsi="Times New Roman" w:cs="Times New Roman"/>
          <w:sz w:val="24"/>
          <w:szCs w:val="24"/>
        </w:rPr>
        <w:t xml:space="preserve">ositive association </w:t>
      </w:r>
      <w:r>
        <w:rPr>
          <w:rFonts w:ascii="Times New Roman" w:hAnsi="Times New Roman" w:cs="Times New Roman"/>
          <w:sz w:val="24"/>
          <w:szCs w:val="24"/>
        </w:rPr>
        <w:t>was</w:t>
      </w:r>
      <w:r w:rsidRPr="00A51130">
        <w:rPr>
          <w:rFonts w:ascii="Times New Roman" w:hAnsi="Times New Roman" w:cs="Times New Roman"/>
          <w:sz w:val="24"/>
          <w:szCs w:val="24"/>
        </w:rPr>
        <w:t xml:space="preserve"> </w:t>
      </w:r>
      <w:r w:rsidR="00A94B24" w:rsidRPr="00A51130">
        <w:rPr>
          <w:rFonts w:ascii="Times New Roman" w:hAnsi="Times New Roman" w:cs="Times New Roman"/>
          <w:sz w:val="24"/>
          <w:szCs w:val="24"/>
        </w:rPr>
        <w:t xml:space="preserve">observed between infant weight </w:t>
      </w:r>
      <w:r w:rsidR="00E734AC" w:rsidRPr="00A51130">
        <w:rPr>
          <w:rFonts w:ascii="Times New Roman" w:hAnsi="Times New Roman" w:cs="Times New Roman"/>
          <w:sz w:val="24"/>
          <w:szCs w:val="24"/>
        </w:rPr>
        <w:t>gain</w:t>
      </w:r>
      <w:r w:rsidR="00A94B24" w:rsidRPr="00A51130">
        <w:rPr>
          <w:rFonts w:ascii="Times New Roman" w:hAnsi="Times New Roman" w:cs="Times New Roman"/>
          <w:sz w:val="24"/>
          <w:szCs w:val="24"/>
        </w:rPr>
        <w:t xml:space="preserve"> and childhood </w:t>
      </w:r>
      <w:r>
        <w:rPr>
          <w:rFonts w:ascii="Times New Roman" w:hAnsi="Times New Roman" w:cs="Times New Roman"/>
          <w:sz w:val="24"/>
          <w:szCs w:val="24"/>
        </w:rPr>
        <w:t xml:space="preserve">systolic </w:t>
      </w:r>
      <w:r w:rsidR="00A94B24" w:rsidRPr="00A51130">
        <w:rPr>
          <w:rFonts w:ascii="Times New Roman" w:hAnsi="Times New Roman" w:cs="Times New Roman"/>
          <w:sz w:val="24"/>
          <w:szCs w:val="24"/>
        </w:rPr>
        <w:t xml:space="preserve">blood pressure, </w:t>
      </w:r>
      <w:r>
        <w:rPr>
          <w:rFonts w:ascii="Times New Roman" w:hAnsi="Times New Roman" w:cs="Times New Roman"/>
          <w:sz w:val="24"/>
          <w:szCs w:val="24"/>
        </w:rPr>
        <w:t xml:space="preserve">with a 1 SD-score increase in infant weight gain associated with a 1.53mmHg (95% CI: 0.49, 2.57) increase in SBP. While a positive association was observed between a 1 SD-score increase in infant weight gain and DBP (β=0.53), the </w:t>
      </w:r>
      <w:r w:rsidR="00055A09">
        <w:rPr>
          <w:rFonts w:ascii="Times New Roman" w:hAnsi="Times New Roman" w:cs="Times New Roman"/>
          <w:sz w:val="24"/>
          <w:szCs w:val="24"/>
        </w:rPr>
        <w:t xml:space="preserve">95% </w:t>
      </w:r>
      <w:r>
        <w:rPr>
          <w:rFonts w:ascii="Times New Roman" w:hAnsi="Times New Roman" w:cs="Times New Roman"/>
          <w:sz w:val="24"/>
          <w:szCs w:val="24"/>
        </w:rPr>
        <w:t xml:space="preserve">confidence intervals suggested an effect anywhere between -0.23 and 1.29. </w:t>
      </w:r>
    </w:p>
    <w:p w14:paraId="5AE85EE6" w14:textId="45B3D4C3" w:rsidR="00334A79" w:rsidRDefault="008F367C"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For both SBP and DBP, t</w:t>
      </w:r>
      <w:r w:rsidR="003C6F7A" w:rsidRPr="00A51130">
        <w:rPr>
          <w:rFonts w:ascii="Times New Roman" w:hAnsi="Times New Roman" w:cs="Times New Roman"/>
          <w:sz w:val="24"/>
          <w:szCs w:val="24"/>
        </w:rPr>
        <w:t xml:space="preserve">here was no evidence that </w:t>
      </w:r>
      <w:r w:rsidRPr="00A51130">
        <w:rPr>
          <w:rFonts w:ascii="Times New Roman" w:hAnsi="Times New Roman" w:cs="Times New Roman"/>
          <w:sz w:val="24"/>
          <w:szCs w:val="24"/>
        </w:rPr>
        <w:t xml:space="preserve">the </w:t>
      </w:r>
      <w:r w:rsidR="00BE54C6" w:rsidRPr="00A51130">
        <w:rPr>
          <w:rFonts w:ascii="Times New Roman" w:hAnsi="Times New Roman" w:cs="Times New Roman"/>
          <w:sz w:val="24"/>
          <w:szCs w:val="24"/>
        </w:rPr>
        <w:t>association with</w:t>
      </w:r>
      <w:r w:rsidRPr="00A51130">
        <w:rPr>
          <w:rFonts w:ascii="Times New Roman" w:hAnsi="Times New Roman" w:cs="Times New Roman"/>
          <w:sz w:val="24"/>
          <w:szCs w:val="24"/>
        </w:rPr>
        <w:t xml:space="preserve"> infant weight gain</w:t>
      </w:r>
      <w:r w:rsidR="003C6F7A" w:rsidRPr="00A51130">
        <w:rPr>
          <w:rFonts w:ascii="Times New Roman" w:hAnsi="Times New Roman" w:cs="Times New Roman"/>
          <w:sz w:val="24"/>
          <w:szCs w:val="24"/>
        </w:rPr>
        <w:t xml:space="preserve"> was modified by </w:t>
      </w:r>
      <w:r w:rsidR="00D05BB8">
        <w:rPr>
          <w:rFonts w:ascii="Times New Roman" w:hAnsi="Times New Roman" w:cs="Times New Roman"/>
          <w:sz w:val="24"/>
          <w:szCs w:val="24"/>
        </w:rPr>
        <w:t>mean EFW</w:t>
      </w:r>
      <w:r w:rsidR="003C6F7A" w:rsidRPr="00A51130">
        <w:rPr>
          <w:rFonts w:ascii="Times New Roman" w:hAnsi="Times New Roman" w:cs="Times New Roman"/>
          <w:sz w:val="24"/>
          <w:szCs w:val="24"/>
        </w:rPr>
        <w:t xml:space="preserve"> or </w:t>
      </w:r>
      <w:r w:rsidR="00D05BB8">
        <w:rPr>
          <w:rFonts w:ascii="Times New Roman" w:hAnsi="Times New Roman" w:cs="Times New Roman"/>
          <w:sz w:val="24"/>
          <w:szCs w:val="24"/>
        </w:rPr>
        <w:t>EFW change</w:t>
      </w:r>
      <w:r w:rsidRPr="00A51130">
        <w:rPr>
          <w:rFonts w:ascii="Times New Roman" w:hAnsi="Times New Roman" w:cs="Times New Roman"/>
          <w:sz w:val="24"/>
          <w:szCs w:val="24"/>
        </w:rPr>
        <w:t xml:space="preserve"> </w:t>
      </w:r>
      <w:r w:rsidR="003C6F7A" w:rsidRPr="00A51130">
        <w:rPr>
          <w:rFonts w:ascii="Times New Roman" w:hAnsi="Times New Roman" w:cs="Times New Roman"/>
          <w:sz w:val="24"/>
          <w:szCs w:val="24"/>
        </w:rPr>
        <w:t xml:space="preserve">(table 3). </w:t>
      </w:r>
      <w:r w:rsidRPr="00A51130">
        <w:rPr>
          <w:rFonts w:ascii="Times New Roman" w:hAnsi="Times New Roman" w:cs="Times New Roman"/>
          <w:sz w:val="24"/>
          <w:szCs w:val="24"/>
        </w:rPr>
        <w:t>Furthermore,</w:t>
      </w:r>
      <w:r w:rsidR="00A77ECA" w:rsidRPr="00A51130">
        <w:rPr>
          <w:rFonts w:ascii="Times New Roman" w:hAnsi="Times New Roman" w:cs="Times New Roman"/>
          <w:sz w:val="24"/>
          <w:szCs w:val="24"/>
        </w:rPr>
        <w:t xml:space="preserve"> th</w:t>
      </w:r>
      <w:r w:rsidR="00EE2A7B" w:rsidRPr="00A51130">
        <w:rPr>
          <w:rFonts w:ascii="Times New Roman" w:hAnsi="Times New Roman" w:cs="Times New Roman"/>
          <w:sz w:val="24"/>
          <w:szCs w:val="24"/>
        </w:rPr>
        <w:t>e test of nested models did not provide</w:t>
      </w:r>
      <w:r w:rsidR="00D050B4" w:rsidRPr="00A51130">
        <w:rPr>
          <w:rFonts w:ascii="Times New Roman" w:hAnsi="Times New Roman" w:cs="Times New Roman"/>
          <w:sz w:val="24"/>
          <w:szCs w:val="24"/>
        </w:rPr>
        <w:t xml:space="preserve"> evidence </w:t>
      </w:r>
      <w:r w:rsidR="00EE2A7B" w:rsidRPr="00A51130">
        <w:rPr>
          <w:rFonts w:ascii="Times New Roman" w:hAnsi="Times New Roman" w:cs="Times New Roman"/>
          <w:sz w:val="24"/>
          <w:szCs w:val="24"/>
        </w:rPr>
        <w:t xml:space="preserve">in support of </w:t>
      </w:r>
      <w:r w:rsidR="00D050B4" w:rsidRPr="00A51130">
        <w:rPr>
          <w:rFonts w:ascii="Times New Roman" w:hAnsi="Times New Roman" w:cs="Times New Roman"/>
          <w:sz w:val="24"/>
          <w:szCs w:val="24"/>
        </w:rPr>
        <w:t xml:space="preserve">the </w:t>
      </w:r>
      <w:r w:rsidR="00EE2A7B" w:rsidRPr="00A51130">
        <w:rPr>
          <w:rFonts w:ascii="Times New Roman" w:hAnsi="Times New Roman" w:cs="Times New Roman"/>
          <w:sz w:val="24"/>
          <w:szCs w:val="24"/>
        </w:rPr>
        <w:t>interaction</w:t>
      </w:r>
      <w:r w:rsidR="006B0ABF" w:rsidRPr="00A51130">
        <w:rPr>
          <w:rFonts w:ascii="Times New Roman" w:hAnsi="Times New Roman" w:cs="Times New Roman"/>
          <w:sz w:val="24"/>
          <w:szCs w:val="24"/>
        </w:rPr>
        <w:t xml:space="preserve"> models </w:t>
      </w:r>
      <w:r w:rsidR="00D050B4" w:rsidRPr="00A51130">
        <w:rPr>
          <w:rFonts w:ascii="Times New Roman" w:hAnsi="Times New Roman" w:cs="Times New Roman"/>
          <w:sz w:val="24"/>
          <w:szCs w:val="24"/>
        </w:rPr>
        <w:t xml:space="preserve">over the </w:t>
      </w:r>
      <w:r w:rsidR="00EE2A7B" w:rsidRPr="00A51130">
        <w:rPr>
          <w:rFonts w:ascii="Times New Roman" w:hAnsi="Times New Roman" w:cs="Times New Roman"/>
          <w:sz w:val="24"/>
          <w:szCs w:val="24"/>
        </w:rPr>
        <w:t xml:space="preserve">null </w:t>
      </w:r>
      <w:r w:rsidR="00642F69" w:rsidRPr="00A51130">
        <w:rPr>
          <w:rFonts w:ascii="Times New Roman" w:hAnsi="Times New Roman" w:cs="Times New Roman"/>
          <w:sz w:val="24"/>
          <w:szCs w:val="24"/>
        </w:rPr>
        <w:t xml:space="preserve">model </w:t>
      </w:r>
      <w:r w:rsidR="000E5ADA" w:rsidRPr="00A51130">
        <w:rPr>
          <w:rFonts w:ascii="Times New Roman" w:hAnsi="Times New Roman" w:cs="Times New Roman"/>
          <w:sz w:val="24"/>
          <w:szCs w:val="24"/>
        </w:rPr>
        <w:t>(minimum p&gt;0.</w:t>
      </w:r>
      <w:r w:rsidR="000373A3" w:rsidRPr="00A51130">
        <w:rPr>
          <w:rFonts w:ascii="Times New Roman" w:hAnsi="Times New Roman" w:cs="Times New Roman"/>
          <w:sz w:val="24"/>
          <w:szCs w:val="24"/>
        </w:rPr>
        <w:t>1</w:t>
      </w:r>
      <w:r w:rsidR="000E5ADA" w:rsidRPr="00A51130">
        <w:rPr>
          <w:rFonts w:ascii="Times New Roman" w:hAnsi="Times New Roman" w:cs="Times New Roman"/>
          <w:sz w:val="24"/>
          <w:szCs w:val="24"/>
        </w:rPr>
        <w:t>)</w:t>
      </w:r>
      <w:r w:rsidR="00BE54C6" w:rsidRPr="00A51130">
        <w:rPr>
          <w:rFonts w:ascii="Times New Roman" w:hAnsi="Times New Roman" w:cs="Times New Roman"/>
          <w:sz w:val="24"/>
          <w:szCs w:val="24"/>
        </w:rPr>
        <w:t xml:space="preserve"> and 95% confidence intervals were wide</w:t>
      </w:r>
      <w:r w:rsidR="000E5ADA" w:rsidRPr="00A51130">
        <w:rPr>
          <w:rFonts w:ascii="Times New Roman" w:hAnsi="Times New Roman" w:cs="Times New Roman"/>
          <w:sz w:val="24"/>
          <w:szCs w:val="24"/>
        </w:rPr>
        <w:t>.</w:t>
      </w:r>
      <w:r w:rsidRPr="00A51130">
        <w:rPr>
          <w:rFonts w:ascii="Times New Roman" w:hAnsi="Times New Roman" w:cs="Times New Roman"/>
          <w:sz w:val="24"/>
          <w:szCs w:val="24"/>
        </w:rPr>
        <w:t xml:space="preserve"> </w:t>
      </w:r>
      <w:r w:rsidR="000E5ADA" w:rsidRPr="00A51130">
        <w:rPr>
          <w:rFonts w:ascii="Times New Roman" w:hAnsi="Times New Roman" w:cs="Times New Roman"/>
          <w:sz w:val="24"/>
          <w:szCs w:val="24"/>
        </w:rPr>
        <w:t xml:space="preserve">Interaction plots for </w:t>
      </w:r>
      <w:r w:rsidR="005514C7" w:rsidRPr="00A51130">
        <w:rPr>
          <w:rFonts w:ascii="Times New Roman" w:hAnsi="Times New Roman" w:cs="Times New Roman"/>
          <w:sz w:val="24"/>
          <w:szCs w:val="24"/>
        </w:rPr>
        <w:t xml:space="preserve">SBP and DBP </w:t>
      </w:r>
      <w:r w:rsidR="000E5ADA" w:rsidRPr="00A51130">
        <w:rPr>
          <w:rFonts w:ascii="Times New Roman" w:hAnsi="Times New Roman" w:cs="Times New Roman"/>
          <w:sz w:val="24"/>
          <w:szCs w:val="24"/>
        </w:rPr>
        <w:t xml:space="preserve">are presented in figures </w:t>
      </w:r>
      <w:r w:rsidR="005514C7" w:rsidRPr="00A51130">
        <w:rPr>
          <w:rFonts w:ascii="Times New Roman" w:hAnsi="Times New Roman" w:cs="Times New Roman"/>
          <w:sz w:val="24"/>
          <w:szCs w:val="24"/>
        </w:rPr>
        <w:t>4</w:t>
      </w:r>
      <w:r w:rsidR="000E5ADA" w:rsidRPr="00A51130">
        <w:rPr>
          <w:rFonts w:ascii="Times New Roman" w:hAnsi="Times New Roman" w:cs="Times New Roman"/>
          <w:sz w:val="24"/>
          <w:szCs w:val="24"/>
        </w:rPr>
        <w:t xml:space="preserve"> and </w:t>
      </w:r>
      <w:r w:rsidR="005514C7" w:rsidRPr="00A51130">
        <w:rPr>
          <w:rFonts w:ascii="Times New Roman" w:hAnsi="Times New Roman" w:cs="Times New Roman"/>
          <w:sz w:val="24"/>
          <w:szCs w:val="24"/>
        </w:rPr>
        <w:t>5</w:t>
      </w:r>
      <w:r w:rsidR="000E5ADA" w:rsidRPr="00A51130">
        <w:rPr>
          <w:rFonts w:ascii="Times New Roman" w:hAnsi="Times New Roman" w:cs="Times New Roman"/>
          <w:sz w:val="24"/>
          <w:szCs w:val="24"/>
        </w:rPr>
        <w:t xml:space="preserve">, respectively. </w:t>
      </w:r>
      <w:r w:rsidR="00F055F8" w:rsidRPr="00A51130">
        <w:rPr>
          <w:rFonts w:ascii="Times New Roman" w:hAnsi="Times New Roman" w:cs="Times New Roman"/>
          <w:sz w:val="24"/>
          <w:szCs w:val="24"/>
        </w:rPr>
        <w:t xml:space="preserve">For example, </w:t>
      </w:r>
      <w:r w:rsidR="00FF601F" w:rsidRPr="00A51130">
        <w:rPr>
          <w:rFonts w:ascii="Times New Roman" w:hAnsi="Times New Roman" w:cs="Times New Roman"/>
          <w:sz w:val="24"/>
          <w:szCs w:val="24"/>
        </w:rPr>
        <w:t xml:space="preserve">a </w:t>
      </w:r>
      <w:r w:rsidR="004F588C">
        <w:rPr>
          <w:rFonts w:ascii="Times New Roman" w:hAnsi="Times New Roman" w:cs="Times New Roman"/>
          <w:sz w:val="24"/>
          <w:szCs w:val="24"/>
        </w:rPr>
        <w:t>1 SD-score</w:t>
      </w:r>
      <w:r w:rsidR="00FF601F" w:rsidRPr="00A51130">
        <w:rPr>
          <w:rFonts w:ascii="Times New Roman" w:hAnsi="Times New Roman" w:cs="Times New Roman"/>
          <w:sz w:val="24"/>
          <w:szCs w:val="24"/>
        </w:rPr>
        <w:t xml:space="preserve"> increase in infant weight </w:t>
      </w:r>
      <w:r w:rsidR="007477BC" w:rsidRPr="00A51130">
        <w:rPr>
          <w:rFonts w:ascii="Times New Roman" w:hAnsi="Times New Roman" w:cs="Times New Roman"/>
          <w:sz w:val="24"/>
          <w:szCs w:val="24"/>
        </w:rPr>
        <w:t>gain</w:t>
      </w:r>
      <w:r w:rsidR="00FF601F" w:rsidRPr="00A51130">
        <w:rPr>
          <w:rFonts w:ascii="Times New Roman" w:hAnsi="Times New Roman" w:cs="Times New Roman"/>
          <w:sz w:val="24"/>
          <w:szCs w:val="24"/>
        </w:rPr>
        <w:t xml:space="preserve"> was associated with an increase in SBP of </w:t>
      </w:r>
      <w:r w:rsidR="004F588C">
        <w:rPr>
          <w:rFonts w:ascii="Times New Roman" w:hAnsi="Times New Roman" w:cs="Times New Roman"/>
          <w:sz w:val="24"/>
          <w:szCs w:val="24"/>
        </w:rPr>
        <w:t>3.23</w:t>
      </w:r>
      <w:r w:rsidR="00FF601F" w:rsidRPr="00A51130">
        <w:rPr>
          <w:rFonts w:ascii="Times New Roman" w:hAnsi="Times New Roman" w:cs="Times New Roman"/>
          <w:sz w:val="24"/>
          <w:szCs w:val="24"/>
        </w:rPr>
        <w:t xml:space="preserve"> (95% CI: </w:t>
      </w:r>
      <w:r w:rsidR="004F588C">
        <w:rPr>
          <w:rFonts w:ascii="Times New Roman" w:hAnsi="Times New Roman" w:cs="Times New Roman"/>
          <w:sz w:val="24"/>
          <w:szCs w:val="24"/>
        </w:rPr>
        <w:t>1.23, 5.22</w:t>
      </w:r>
      <w:r w:rsidR="00661492" w:rsidRPr="00A51130">
        <w:rPr>
          <w:rFonts w:ascii="Times New Roman" w:hAnsi="Times New Roman" w:cs="Times New Roman"/>
          <w:sz w:val="24"/>
          <w:szCs w:val="24"/>
        </w:rPr>
        <w:t>)</w:t>
      </w:r>
      <w:r w:rsidR="00103C40" w:rsidRPr="00A51130">
        <w:rPr>
          <w:rFonts w:ascii="Times New Roman" w:hAnsi="Times New Roman" w:cs="Times New Roman"/>
          <w:sz w:val="24"/>
          <w:szCs w:val="24"/>
        </w:rPr>
        <w:t xml:space="preserve"> at a </w:t>
      </w:r>
      <w:r w:rsidR="004F588C">
        <w:rPr>
          <w:rFonts w:ascii="Times New Roman" w:hAnsi="Times New Roman" w:cs="Times New Roman"/>
          <w:sz w:val="24"/>
          <w:szCs w:val="24"/>
        </w:rPr>
        <w:t>mean</w:t>
      </w:r>
      <w:r w:rsidR="004F588C" w:rsidRPr="00A51130">
        <w:rPr>
          <w:rFonts w:ascii="Times New Roman" w:hAnsi="Times New Roman" w:cs="Times New Roman"/>
          <w:sz w:val="24"/>
          <w:szCs w:val="24"/>
        </w:rPr>
        <w:t xml:space="preserve"> </w:t>
      </w:r>
      <w:r w:rsidR="00103C40" w:rsidRPr="00A51130">
        <w:rPr>
          <w:rFonts w:ascii="Times New Roman" w:hAnsi="Times New Roman" w:cs="Times New Roman"/>
          <w:sz w:val="24"/>
          <w:szCs w:val="24"/>
        </w:rPr>
        <w:t xml:space="preserve">EFW </w:t>
      </w:r>
      <w:r w:rsidR="004F588C">
        <w:rPr>
          <w:rFonts w:ascii="Times New Roman" w:hAnsi="Times New Roman" w:cs="Times New Roman"/>
          <w:sz w:val="24"/>
          <w:szCs w:val="24"/>
        </w:rPr>
        <w:t>SD</w:t>
      </w:r>
      <w:r w:rsidR="00103C40" w:rsidRPr="00A51130">
        <w:rPr>
          <w:rFonts w:ascii="Times New Roman" w:hAnsi="Times New Roman" w:cs="Times New Roman"/>
          <w:sz w:val="24"/>
          <w:szCs w:val="24"/>
        </w:rPr>
        <w:t>-score of -2</w:t>
      </w:r>
      <w:r w:rsidR="00BB53B9" w:rsidRPr="00A51130">
        <w:rPr>
          <w:rFonts w:ascii="Times New Roman" w:hAnsi="Times New Roman" w:cs="Times New Roman"/>
          <w:sz w:val="24"/>
          <w:szCs w:val="24"/>
        </w:rPr>
        <w:t xml:space="preserve"> </w:t>
      </w:r>
      <w:r w:rsidR="009851DD" w:rsidRPr="00A51130">
        <w:rPr>
          <w:rFonts w:ascii="Times New Roman" w:hAnsi="Times New Roman" w:cs="Times New Roman"/>
          <w:sz w:val="24"/>
          <w:szCs w:val="24"/>
        </w:rPr>
        <w:t xml:space="preserve">reducing to </w:t>
      </w:r>
      <w:r w:rsidR="004F588C">
        <w:rPr>
          <w:rFonts w:ascii="Times New Roman" w:hAnsi="Times New Roman" w:cs="Times New Roman"/>
          <w:sz w:val="24"/>
          <w:szCs w:val="24"/>
        </w:rPr>
        <w:t>-</w:t>
      </w:r>
      <w:r w:rsidR="000A34CE" w:rsidRPr="00A51130">
        <w:rPr>
          <w:rFonts w:ascii="Times New Roman" w:hAnsi="Times New Roman" w:cs="Times New Roman"/>
          <w:sz w:val="24"/>
          <w:szCs w:val="24"/>
        </w:rPr>
        <w:t>0.1</w:t>
      </w:r>
      <w:r w:rsidR="004F588C">
        <w:rPr>
          <w:rFonts w:ascii="Times New Roman" w:hAnsi="Times New Roman" w:cs="Times New Roman"/>
          <w:sz w:val="24"/>
          <w:szCs w:val="24"/>
        </w:rPr>
        <w:t>3</w:t>
      </w:r>
      <w:r w:rsidR="00E50E0F" w:rsidRPr="00A51130">
        <w:rPr>
          <w:rFonts w:ascii="Times New Roman" w:hAnsi="Times New Roman" w:cs="Times New Roman"/>
          <w:sz w:val="24"/>
          <w:szCs w:val="24"/>
        </w:rPr>
        <w:t xml:space="preserve"> (95% CI</w:t>
      </w:r>
      <w:r w:rsidR="00556B1C">
        <w:rPr>
          <w:rFonts w:ascii="Times New Roman" w:hAnsi="Times New Roman" w:cs="Times New Roman"/>
          <w:sz w:val="24"/>
          <w:szCs w:val="24"/>
        </w:rPr>
        <w:t xml:space="preserve">: </w:t>
      </w:r>
      <w:r w:rsidR="004F588C">
        <w:rPr>
          <w:rFonts w:ascii="Times New Roman" w:hAnsi="Times New Roman" w:cs="Times New Roman"/>
          <w:sz w:val="24"/>
          <w:szCs w:val="24"/>
        </w:rPr>
        <w:t>-2.33, 2.07</w:t>
      </w:r>
      <w:r w:rsidR="007852F6" w:rsidRPr="00A51130">
        <w:rPr>
          <w:rFonts w:ascii="Times New Roman" w:hAnsi="Times New Roman" w:cs="Times New Roman"/>
          <w:sz w:val="24"/>
          <w:szCs w:val="24"/>
        </w:rPr>
        <w:t>)</w:t>
      </w:r>
      <w:r w:rsidR="00D00F9D" w:rsidRPr="00A51130">
        <w:rPr>
          <w:rFonts w:ascii="Times New Roman" w:hAnsi="Times New Roman" w:cs="Times New Roman"/>
          <w:sz w:val="24"/>
          <w:szCs w:val="24"/>
        </w:rPr>
        <w:t xml:space="preserve"> </w:t>
      </w:r>
      <w:r w:rsidR="007477BC" w:rsidRPr="00A51130">
        <w:rPr>
          <w:rFonts w:ascii="Times New Roman" w:hAnsi="Times New Roman" w:cs="Times New Roman"/>
          <w:sz w:val="24"/>
          <w:szCs w:val="24"/>
        </w:rPr>
        <w:t xml:space="preserve">at a </w:t>
      </w:r>
      <w:r w:rsidR="004F588C">
        <w:rPr>
          <w:rFonts w:ascii="Times New Roman" w:hAnsi="Times New Roman" w:cs="Times New Roman"/>
          <w:sz w:val="24"/>
          <w:szCs w:val="24"/>
        </w:rPr>
        <w:t>mean</w:t>
      </w:r>
      <w:r w:rsidR="004F588C" w:rsidRPr="00A51130">
        <w:rPr>
          <w:rFonts w:ascii="Times New Roman" w:hAnsi="Times New Roman" w:cs="Times New Roman"/>
          <w:sz w:val="24"/>
          <w:szCs w:val="24"/>
        </w:rPr>
        <w:t xml:space="preserve"> </w:t>
      </w:r>
      <w:r w:rsidR="007477BC" w:rsidRPr="00A51130">
        <w:rPr>
          <w:rFonts w:ascii="Times New Roman" w:hAnsi="Times New Roman" w:cs="Times New Roman"/>
          <w:sz w:val="24"/>
          <w:szCs w:val="24"/>
        </w:rPr>
        <w:t>EFW</w:t>
      </w:r>
      <w:r w:rsidR="00D00F9D" w:rsidRPr="00A51130">
        <w:rPr>
          <w:rFonts w:ascii="Times New Roman" w:hAnsi="Times New Roman" w:cs="Times New Roman"/>
          <w:sz w:val="24"/>
          <w:szCs w:val="24"/>
        </w:rPr>
        <w:t xml:space="preserve"> </w:t>
      </w:r>
      <w:r w:rsidR="004F588C">
        <w:rPr>
          <w:rFonts w:ascii="Times New Roman" w:hAnsi="Times New Roman" w:cs="Times New Roman"/>
          <w:sz w:val="24"/>
          <w:szCs w:val="24"/>
        </w:rPr>
        <w:t>SD</w:t>
      </w:r>
      <w:r w:rsidR="00D00F9D" w:rsidRPr="00A51130">
        <w:rPr>
          <w:rFonts w:ascii="Times New Roman" w:hAnsi="Times New Roman" w:cs="Times New Roman"/>
          <w:sz w:val="24"/>
          <w:szCs w:val="24"/>
        </w:rPr>
        <w:t>-score of 2</w:t>
      </w:r>
      <w:r w:rsidR="00BB53B9" w:rsidRPr="00A51130">
        <w:rPr>
          <w:rFonts w:ascii="Times New Roman" w:hAnsi="Times New Roman" w:cs="Times New Roman"/>
          <w:sz w:val="24"/>
          <w:szCs w:val="24"/>
        </w:rPr>
        <w:t>.</w:t>
      </w:r>
      <w:r w:rsidR="00D00F9D" w:rsidRPr="00A51130">
        <w:rPr>
          <w:rFonts w:ascii="Times New Roman" w:hAnsi="Times New Roman" w:cs="Times New Roman"/>
          <w:sz w:val="24"/>
          <w:szCs w:val="24"/>
        </w:rPr>
        <w:t xml:space="preserve"> </w:t>
      </w:r>
      <w:r w:rsidR="00166664" w:rsidRPr="00A51130">
        <w:rPr>
          <w:rFonts w:ascii="Times New Roman" w:hAnsi="Times New Roman" w:cs="Times New Roman"/>
          <w:sz w:val="24"/>
          <w:szCs w:val="24"/>
        </w:rPr>
        <w:t>Similarly, for</w:t>
      </w:r>
      <w:r w:rsidR="00770C84" w:rsidRPr="00A51130">
        <w:rPr>
          <w:rFonts w:ascii="Times New Roman" w:hAnsi="Times New Roman" w:cs="Times New Roman"/>
          <w:sz w:val="24"/>
          <w:szCs w:val="24"/>
        </w:rPr>
        <w:t xml:space="preserve"> the interaction between</w:t>
      </w:r>
      <w:r w:rsidR="00157765" w:rsidRPr="00A51130">
        <w:rPr>
          <w:rFonts w:ascii="Times New Roman" w:hAnsi="Times New Roman" w:cs="Times New Roman"/>
          <w:sz w:val="24"/>
          <w:szCs w:val="24"/>
        </w:rPr>
        <w:t xml:space="preserve"> infant weight </w:t>
      </w:r>
      <w:r w:rsidR="007477BC" w:rsidRPr="00A51130">
        <w:rPr>
          <w:rFonts w:ascii="Times New Roman" w:hAnsi="Times New Roman" w:cs="Times New Roman"/>
          <w:sz w:val="24"/>
          <w:szCs w:val="24"/>
        </w:rPr>
        <w:t>gain</w:t>
      </w:r>
      <w:r w:rsidR="00157765" w:rsidRPr="00A51130">
        <w:rPr>
          <w:rFonts w:ascii="Times New Roman" w:hAnsi="Times New Roman" w:cs="Times New Roman"/>
          <w:sz w:val="24"/>
          <w:szCs w:val="24"/>
        </w:rPr>
        <w:t xml:space="preserve"> and EFW </w:t>
      </w:r>
      <w:r w:rsidR="004F588C">
        <w:rPr>
          <w:rFonts w:ascii="Times New Roman" w:hAnsi="Times New Roman" w:cs="Times New Roman"/>
          <w:sz w:val="24"/>
          <w:szCs w:val="24"/>
        </w:rPr>
        <w:t>change</w:t>
      </w:r>
      <w:r w:rsidR="00157765" w:rsidRPr="00A51130">
        <w:rPr>
          <w:rFonts w:ascii="Times New Roman" w:hAnsi="Times New Roman" w:cs="Times New Roman"/>
          <w:sz w:val="24"/>
          <w:szCs w:val="24"/>
        </w:rPr>
        <w:t xml:space="preserve">, </w:t>
      </w:r>
      <w:r w:rsidR="0073732B" w:rsidRPr="00A51130">
        <w:rPr>
          <w:rFonts w:ascii="Times New Roman" w:hAnsi="Times New Roman" w:cs="Times New Roman"/>
          <w:sz w:val="24"/>
          <w:szCs w:val="24"/>
        </w:rPr>
        <w:t xml:space="preserve">a </w:t>
      </w:r>
      <w:r w:rsidR="004F588C">
        <w:rPr>
          <w:rFonts w:ascii="Times New Roman" w:hAnsi="Times New Roman" w:cs="Times New Roman"/>
          <w:sz w:val="24"/>
          <w:szCs w:val="24"/>
        </w:rPr>
        <w:t>1 SD-score</w:t>
      </w:r>
      <w:r w:rsidR="0073732B" w:rsidRPr="00A51130">
        <w:rPr>
          <w:rFonts w:ascii="Times New Roman" w:hAnsi="Times New Roman" w:cs="Times New Roman"/>
          <w:sz w:val="24"/>
          <w:szCs w:val="24"/>
        </w:rPr>
        <w:t xml:space="preserve"> increase in infa</w:t>
      </w:r>
      <w:r w:rsidR="00BE1C44" w:rsidRPr="00A51130">
        <w:rPr>
          <w:rFonts w:ascii="Times New Roman" w:hAnsi="Times New Roman" w:cs="Times New Roman"/>
          <w:sz w:val="24"/>
          <w:szCs w:val="24"/>
        </w:rPr>
        <w:t>n</w:t>
      </w:r>
      <w:r w:rsidR="0073732B" w:rsidRPr="00A51130">
        <w:rPr>
          <w:rFonts w:ascii="Times New Roman" w:hAnsi="Times New Roman" w:cs="Times New Roman"/>
          <w:sz w:val="24"/>
          <w:szCs w:val="24"/>
        </w:rPr>
        <w:t xml:space="preserve">t weight </w:t>
      </w:r>
      <w:r w:rsidR="00E734AC" w:rsidRPr="00A51130">
        <w:rPr>
          <w:rFonts w:ascii="Times New Roman" w:hAnsi="Times New Roman" w:cs="Times New Roman"/>
          <w:sz w:val="24"/>
          <w:szCs w:val="24"/>
        </w:rPr>
        <w:t>gain</w:t>
      </w:r>
      <w:r w:rsidR="0073732B" w:rsidRPr="00A51130">
        <w:rPr>
          <w:rFonts w:ascii="Times New Roman" w:hAnsi="Times New Roman" w:cs="Times New Roman"/>
          <w:sz w:val="24"/>
          <w:szCs w:val="24"/>
        </w:rPr>
        <w:t xml:space="preserve"> </w:t>
      </w:r>
      <w:r w:rsidR="00BE54C6" w:rsidRPr="00A51130">
        <w:rPr>
          <w:rFonts w:ascii="Times New Roman" w:hAnsi="Times New Roman" w:cs="Times New Roman"/>
          <w:sz w:val="24"/>
          <w:szCs w:val="24"/>
        </w:rPr>
        <w:t xml:space="preserve">was </w:t>
      </w:r>
      <w:r w:rsidR="0073732B" w:rsidRPr="00A51130">
        <w:rPr>
          <w:rFonts w:ascii="Times New Roman" w:hAnsi="Times New Roman" w:cs="Times New Roman"/>
          <w:sz w:val="24"/>
          <w:szCs w:val="24"/>
        </w:rPr>
        <w:t xml:space="preserve">associated with an increase in SBP of </w:t>
      </w:r>
      <w:r w:rsidR="004F588C">
        <w:rPr>
          <w:rFonts w:ascii="Times New Roman" w:hAnsi="Times New Roman" w:cs="Times New Roman"/>
          <w:sz w:val="24"/>
          <w:szCs w:val="24"/>
        </w:rPr>
        <w:t>3.33</w:t>
      </w:r>
      <w:r w:rsidR="00661D2C" w:rsidRPr="00A51130">
        <w:rPr>
          <w:rFonts w:ascii="Times New Roman" w:hAnsi="Times New Roman" w:cs="Times New Roman"/>
          <w:sz w:val="24"/>
          <w:szCs w:val="24"/>
        </w:rPr>
        <w:t xml:space="preserve"> (95% CI: </w:t>
      </w:r>
      <w:r w:rsidR="004F588C">
        <w:rPr>
          <w:rFonts w:ascii="Times New Roman" w:hAnsi="Times New Roman" w:cs="Times New Roman"/>
          <w:sz w:val="24"/>
          <w:szCs w:val="24"/>
        </w:rPr>
        <w:t>1.32, 5.33</w:t>
      </w:r>
      <w:r w:rsidR="00661D2C" w:rsidRPr="00A51130">
        <w:rPr>
          <w:rFonts w:ascii="Times New Roman" w:hAnsi="Times New Roman" w:cs="Times New Roman"/>
          <w:sz w:val="24"/>
          <w:szCs w:val="24"/>
        </w:rPr>
        <w:t xml:space="preserve">) </w:t>
      </w:r>
      <w:r w:rsidR="00937C25" w:rsidRPr="00A51130">
        <w:rPr>
          <w:rFonts w:ascii="Times New Roman" w:hAnsi="Times New Roman" w:cs="Times New Roman"/>
          <w:sz w:val="24"/>
          <w:szCs w:val="24"/>
        </w:rPr>
        <w:t>at a</w:t>
      </w:r>
      <w:r w:rsidR="00334A79" w:rsidRPr="00A51130">
        <w:rPr>
          <w:rFonts w:ascii="Times New Roman" w:hAnsi="Times New Roman" w:cs="Times New Roman"/>
          <w:sz w:val="24"/>
          <w:szCs w:val="24"/>
        </w:rPr>
        <w:t>n</w:t>
      </w:r>
      <w:r w:rsidR="00937C25" w:rsidRPr="00A51130">
        <w:rPr>
          <w:rFonts w:ascii="Times New Roman" w:hAnsi="Times New Roman" w:cs="Times New Roman"/>
          <w:sz w:val="24"/>
          <w:szCs w:val="24"/>
        </w:rPr>
        <w:t xml:space="preserve"> EFW </w:t>
      </w:r>
      <w:r w:rsidR="004F588C">
        <w:rPr>
          <w:rFonts w:ascii="Times New Roman" w:hAnsi="Times New Roman" w:cs="Times New Roman"/>
          <w:sz w:val="24"/>
          <w:szCs w:val="24"/>
        </w:rPr>
        <w:t>change SD</w:t>
      </w:r>
      <w:r w:rsidR="00556B1C">
        <w:rPr>
          <w:rFonts w:ascii="Times New Roman" w:hAnsi="Times New Roman" w:cs="Times New Roman"/>
          <w:sz w:val="24"/>
          <w:szCs w:val="24"/>
        </w:rPr>
        <w:t>-</w:t>
      </w:r>
      <w:r w:rsidR="00937C25" w:rsidRPr="00A51130">
        <w:rPr>
          <w:rFonts w:ascii="Times New Roman" w:hAnsi="Times New Roman" w:cs="Times New Roman"/>
          <w:sz w:val="24"/>
          <w:szCs w:val="24"/>
        </w:rPr>
        <w:t xml:space="preserve">score of -2 </w:t>
      </w:r>
      <w:r w:rsidR="00166664" w:rsidRPr="00A51130">
        <w:rPr>
          <w:rFonts w:ascii="Times New Roman" w:hAnsi="Times New Roman" w:cs="Times New Roman"/>
          <w:sz w:val="24"/>
          <w:szCs w:val="24"/>
        </w:rPr>
        <w:t xml:space="preserve">which reduced </w:t>
      </w:r>
      <w:r w:rsidR="00937C25" w:rsidRPr="00A51130">
        <w:rPr>
          <w:rFonts w:ascii="Times New Roman" w:hAnsi="Times New Roman" w:cs="Times New Roman"/>
          <w:sz w:val="24"/>
          <w:szCs w:val="24"/>
        </w:rPr>
        <w:t xml:space="preserve">to </w:t>
      </w:r>
      <w:r w:rsidR="004F588C">
        <w:rPr>
          <w:rFonts w:ascii="Times New Roman" w:hAnsi="Times New Roman" w:cs="Times New Roman"/>
          <w:sz w:val="24"/>
          <w:szCs w:val="24"/>
        </w:rPr>
        <w:t>-</w:t>
      </w:r>
      <w:r w:rsidR="002E6113" w:rsidRPr="00A51130">
        <w:rPr>
          <w:rFonts w:ascii="Times New Roman" w:hAnsi="Times New Roman" w:cs="Times New Roman"/>
          <w:sz w:val="24"/>
          <w:szCs w:val="24"/>
        </w:rPr>
        <w:t>0.</w:t>
      </w:r>
      <w:r w:rsidR="004F588C">
        <w:rPr>
          <w:rFonts w:ascii="Times New Roman" w:hAnsi="Times New Roman" w:cs="Times New Roman"/>
          <w:sz w:val="24"/>
          <w:szCs w:val="24"/>
        </w:rPr>
        <w:t>21</w:t>
      </w:r>
      <w:r w:rsidR="002E6113" w:rsidRPr="00A51130">
        <w:rPr>
          <w:rFonts w:ascii="Times New Roman" w:hAnsi="Times New Roman" w:cs="Times New Roman"/>
          <w:sz w:val="24"/>
          <w:szCs w:val="24"/>
        </w:rPr>
        <w:t xml:space="preserve"> </w:t>
      </w:r>
      <w:r w:rsidR="00334A79" w:rsidRPr="00A51130">
        <w:rPr>
          <w:rFonts w:ascii="Times New Roman" w:hAnsi="Times New Roman" w:cs="Times New Roman"/>
          <w:sz w:val="24"/>
          <w:szCs w:val="24"/>
        </w:rPr>
        <w:t xml:space="preserve">(95% CI: </w:t>
      </w:r>
      <w:r w:rsidR="004F588C">
        <w:rPr>
          <w:rFonts w:ascii="Times New Roman" w:hAnsi="Times New Roman" w:cs="Times New Roman"/>
          <w:sz w:val="24"/>
          <w:szCs w:val="24"/>
        </w:rPr>
        <w:t>-2.40, 1.97</w:t>
      </w:r>
      <w:r w:rsidR="00334A79" w:rsidRPr="00A51130">
        <w:rPr>
          <w:rFonts w:ascii="Times New Roman" w:hAnsi="Times New Roman" w:cs="Times New Roman"/>
          <w:sz w:val="24"/>
          <w:szCs w:val="24"/>
        </w:rPr>
        <w:t>)</w:t>
      </w:r>
      <w:r w:rsidR="002609A1" w:rsidRPr="00A51130">
        <w:rPr>
          <w:rFonts w:ascii="Times New Roman" w:hAnsi="Times New Roman" w:cs="Times New Roman"/>
          <w:sz w:val="24"/>
          <w:szCs w:val="24"/>
        </w:rPr>
        <w:t xml:space="preserve"> at an</w:t>
      </w:r>
      <w:r w:rsidR="00334A79" w:rsidRPr="00A51130">
        <w:rPr>
          <w:rFonts w:ascii="Times New Roman" w:hAnsi="Times New Roman" w:cs="Times New Roman"/>
          <w:sz w:val="24"/>
          <w:szCs w:val="24"/>
        </w:rPr>
        <w:t xml:space="preserve"> EFW </w:t>
      </w:r>
      <w:r w:rsidR="004F588C">
        <w:rPr>
          <w:rFonts w:ascii="Times New Roman" w:hAnsi="Times New Roman" w:cs="Times New Roman"/>
          <w:sz w:val="24"/>
          <w:szCs w:val="24"/>
        </w:rPr>
        <w:t>change</w:t>
      </w:r>
      <w:r w:rsidR="004F588C" w:rsidRPr="00A51130">
        <w:rPr>
          <w:rFonts w:ascii="Times New Roman" w:hAnsi="Times New Roman" w:cs="Times New Roman"/>
          <w:sz w:val="24"/>
          <w:szCs w:val="24"/>
        </w:rPr>
        <w:t xml:space="preserve"> </w:t>
      </w:r>
      <w:r w:rsidR="004F588C">
        <w:rPr>
          <w:rFonts w:ascii="Times New Roman" w:hAnsi="Times New Roman" w:cs="Times New Roman"/>
          <w:sz w:val="24"/>
          <w:szCs w:val="24"/>
        </w:rPr>
        <w:t>SD</w:t>
      </w:r>
      <w:r w:rsidR="00334A79" w:rsidRPr="00A51130">
        <w:rPr>
          <w:rFonts w:ascii="Times New Roman" w:hAnsi="Times New Roman" w:cs="Times New Roman"/>
          <w:sz w:val="24"/>
          <w:szCs w:val="24"/>
        </w:rPr>
        <w:t>-score of 2</w:t>
      </w:r>
      <w:r w:rsidR="000F43FA" w:rsidRPr="00A51130">
        <w:rPr>
          <w:rFonts w:ascii="Times New Roman" w:hAnsi="Times New Roman" w:cs="Times New Roman"/>
          <w:sz w:val="24"/>
          <w:szCs w:val="24"/>
        </w:rPr>
        <w:t>.</w:t>
      </w:r>
    </w:p>
    <w:p w14:paraId="5EC0BF33" w14:textId="7978955F" w:rsidR="00A51130" w:rsidRPr="00A51130" w:rsidRDefault="00A51130" w:rsidP="00A51130">
      <w:pPr>
        <w:spacing w:line="480" w:lineRule="auto"/>
        <w:rPr>
          <w:rFonts w:ascii="Times New Roman" w:hAnsi="Times New Roman" w:cs="Times New Roman"/>
          <w:sz w:val="24"/>
          <w:szCs w:val="24"/>
        </w:rPr>
      </w:pPr>
      <w:r>
        <w:rPr>
          <w:rFonts w:ascii="Times New Roman" w:hAnsi="Times New Roman" w:cs="Times New Roman"/>
          <w:sz w:val="24"/>
          <w:szCs w:val="24"/>
        </w:rPr>
        <w:t>[Table 3 here]</w:t>
      </w:r>
    </w:p>
    <w:p w14:paraId="184570CA" w14:textId="2D3B66ED" w:rsidR="000E5ADA" w:rsidRPr="00A51130" w:rsidRDefault="00396955" w:rsidP="00A51130">
      <w:pPr>
        <w:spacing w:line="480" w:lineRule="auto"/>
        <w:rPr>
          <w:rFonts w:ascii="Times New Roman" w:hAnsi="Times New Roman" w:cs="Times New Roman"/>
          <w:b/>
          <w:bCs/>
          <w:i/>
          <w:iCs/>
          <w:sz w:val="24"/>
          <w:szCs w:val="24"/>
        </w:rPr>
      </w:pPr>
      <w:r w:rsidRPr="00A51130">
        <w:rPr>
          <w:rFonts w:ascii="Times New Roman" w:hAnsi="Times New Roman" w:cs="Times New Roman"/>
          <w:b/>
          <w:bCs/>
          <w:i/>
          <w:iCs/>
          <w:sz w:val="24"/>
          <w:szCs w:val="24"/>
        </w:rPr>
        <w:t>Supplementary analyses</w:t>
      </w:r>
    </w:p>
    <w:p w14:paraId="11ACE792" w14:textId="7EAF2522" w:rsidR="00396955" w:rsidRPr="00A51130" w:rsidRDefault="005C7297"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Supplementary analyses using 1) infant weight gain 0-6 months (instead of 0-2 years), 2) infant weight gain 0-12 months (instead of 0-2 years), and 3) birth weight (instead of the fetal growth variables) found similar results (</w:t>
      </w:r>
      <w:r w:rsidR="007A0FEF" w:rsidRPr="00A51130">
        <w:rPr>
          <w:rFonts w:ascii="Times New Roman" w:hAnsi="Times New Roman" w:cs="Times New Roman"/>
          <w:sz w:val="24"/>
          <w:szCs w:val="24"/>
        </w:rPr>
        <w:t>supplementary tables 4-6</w:t>
      </w:r>
      <w:r w:rsidRPr="00A51130">
        <w:rPr>
          <w:rFonts w:ascii="Times New Roman" w:hAnsi="Times New Roman" w:cs="Times New Roman"/>
          <w:sz w:val="24"/>
          <w:szCs w:val="24"/>
        </w:rPr>
        <w:t>)</w:t>
      </w:r>
      <w:r w:rsidR="007A0FEF" w:rsidRPr="00A51130">
        <w:rPr>
          <w:rFonts w:ascii="Times New Roman" w:hAnsi="Times New Roman" w:cs="Times New Roman"/>
          <w:sz w:val="24"/>
          <w:szCs w:val="24"/>
        </w:rPr>
        <w:t xml:space="preserve">. </w:t>
      </w:r>
    </w:p>
    <w:p w14:paraId="4EA36FF5" w14:textId="77777777" w:rsidR="005450A6" w:rsidRPr="00A51130" w:rsidRDefault="005450A6" w:rsidP="00A51130">
      <w:pPr>
        <w:spacing w:line="480" w:lineRule="auto"/>
        <w:rPr>
          <w:rFonts w:ascii="Times New Roman" w:hAnsi="Times New Roman" w:cs="Times New Roman"/>
          <w:sz w:val="24"/>
          <w:szCs w:val="24"/>
        </w:rPr>
      </w:pPr>
    </w:p>
    <w:p w14:paraId="73078E4E" w14:textId="77777777" w:rsidR="00092538" w:rsidRPr="00A51130" w:rsidRDefault="00092538" w:rsidP="00A51130">
      <w:pPr>
        <w:spacing w:line="480" w:lineRule="auto"/>
        <w:rPr>
          <w:rFonts w:ascii="Times New Roman" w:hAnsi="Times New Roman" w:cs="Times New Roman"/>
          <w:b/>
          <w:sz w:val="24"/>
          <w:szCs w:val="24"/>
        </w:rPr>
        <w:sectPr w:rsidR="00092538" w:rsidRPr="00A51130">
          <w:pgSz w:w="11906" w:h="16838"/>
          <w:pgMar w:top="1440" w:right="1440" w:bottom="1440" w:left="1440" w:header="708" w:footer="708" w:gutter="0"/>
          <w:cols w:space="708"/>
          <w:docGrid w:linePitch="360"/>
        </w:sectPr>
      </w:pPr>
    </w:p>
    <w:p w14:paraId="1A4834BE" w14:textId="01AD5E4E" w:rsidR="008B713C" w:rsidRPr="00A51130" w:rsidRDefault="00600DA0" w:rsidP="00A51130">
      <w:pPr>
        <w:spacing w:line="480" w:lineRule="auto"/>
        <w:rPr>
          <w:rFonts w:ascii="Times New Roman" w:hAnsi="Times New Roman" w:cs="Times New Roman"/>
          <w:b/>
          <w:sz w:val="24"/>
          <w:szCs w:val="24"/>
        </w:rPr>
      </w:pPr>
      <w:r w:rsidRPr="00A51130">
        <w:rPr>
          <w:rFonts w:ascii="Times New Roman" w:hAnsi="Times New Roman" w:cs="Times New Roman"/>
          <w:b/>
          <w:sz w:val="24"/>
          <w:szCs w:val="24"/>
        </w:rPr>
        <w:t xml:space="preserve">Comments </w:t>
      </w:r>
    </w:p>
    <w:p w14:paraId="416C1DDE" w14:textId="645A85A7" w:rsidR="00B34713" w:rsidRPr="00A51130" w:rsidRDefault="00BA05B8"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 xml:space="preserve">In the Southampton Women’s </w:t>
      </w:r>
      <w:r w:rsidR="00166664" w:rsidRPr="00A51130">
        <w:rPr>
          <w:rFonts w:ascii="Times New Roman" w:hAnsi="Times New Roman" w:cs="Times New Roman"/>
          <w:sz w:val="24"/>
          <w:szCs w:val="24"/>
        </w:rPr>
        <w:t>S</w:t>
      </w:r>
      <w:r w:rsidRPr="00A51130">
        <w:rPr>
          <w:rFonts w:ascii="Times New Roman" w:hAnsi="Times New Roman" w:cs="Times New Roman"/>
          <w:sz w:val="24"/>
          <w:szCs w:val="24"/>
        </w:rPr>
        <w:t>urvey, we observed positive associations between infant weight</w:t>
      </w:r>
      <w:r w:rsidR="00807429" w:rsidRPr="00A51130">
        <w:rPr>
          <w:rFonts w:ascii="Times New Roman" w:hAnsi="Times New Roman" w:cs="Times New Roman"/>
          <w:sz w:val="24"/>
          <w:szCs w:val="24"/>
        </w:rPr>
        <w:t xml:space="preserve"> </w:t>
      </w:r>
      <w:r w:rsidR="00264699" w:rsidRPr="00A51130">
        <w:rPr>
          <w:rFonts w:ascii="Times New Roman" w:hAnsi="Times New Roman" w:cs="Times New Roman"/>
          <w:sz w:val="24"/>
          <w:szCs w:val="24"/>
        </w:rPr>
        <w:t>gain</w:t>
      </w:r>
      <w:r w:rsidRPr="00A51130">
        <w:rPr>
          <w:rFonts w:ascii="Times New Roman" w:hAnsi="Times New Roman" w:cs="Times New Roman"/>
          <w:sz w:val="24"/>
          <w:szCs w:val="24"/>
        </w:rPr>
        <w:t xml:space="preserve"> and </w:t>
      </w:r>
      <w:r w:rsidR="00024918" w:rsidRPr="00A51130">
        <w:rPr>
          <w:rFonts w:ascii="Times New Roman" w:hAnsi="Times New Roman" w:cs="Times New Roman"/>
          <w:sz w:val="24"/>
          <w:szCs w:val="24"/>
        </w:rPr>
        <w:t>childhood adiposity and blood pressure</w:t>
      </w:r>
      <w:r w:rsidR="00DA72AB" w:rsidRPr="00A51130">
        <w:rPr>
          <w:rFonts w:ascii="Times New Roman" w:hAnsi="Times New Roman" w:cs="Times New Roman"/>
          <w:sz w:val="24"/>
          <w:szCs w:val="24"/>
        </w:rPr>
        <w:t xml:space="preserve">, </w:t>
      </w:r>
      <w:r w:rsidR="00166664" w:rsidRPr="00A51130">
        <w:rPr>
          <w:rFonts w:ascii="Times New Roman" w:hAnsi="Times New Roman" w:cs="Times New Roman"/>
          <w:sz w:val="24"/>
          <w:szCs w:val="24"/>
        </w:rPr>
        <w:t>as</w:t>
      </w:r>
      <w:r w:rsidR="00DA72AB" w:rsidRPr="00A51130">
        <w:rPr>
          <w:rFonts w:ascii="Times New Roman" w:hAnsi="Times New Roman" w:cs="Times New Roman"/>
          <w:sz w:val="24"/>
          <w:szCs w:val="24"/>
        </w:rPr>
        <w:t xml:space="preserve"> observed</w:t>
      </w:r>
      <w:r w:rsidR="001612B8" w:rsidRPr="00A51130">
        <w:rPr>
          <w:rFonts w:ascii="Times New Roman" w:hAnsi="Times New Roman" w:cs="Times New Roman"/>
          <w:sz w:val="24"/>
          <w:szCs w:val="24"/>
        </w:rPr>
        <w:t xml:space="preserve"> previously </w:t>
      </w:r>
      <w:r w:rsidR="00DA72AB" w:rsidRPr="00A51130">
        <w:rPr>
          <w:rFonts w:ascii="Times New Roman" w:hAnsi="Times New Roman" w:cs="Times New Roman"/>
          <w:sz w:val="24"/>
          <w:szCs w:val="24"/>
        </w:rPr>
        <w:t>in many studies</w:t>
      </w:r>
      <w:r w:rsidR="001612B8" w:rsidRPr="00A51130">
        <w:rPr>
          <w:rFonts w:ascii="Times New Roman" w:hAnsi="Times New Roman" w:cs="Times New Roman"/>
          <w:sz w:val="24"/>
          <w:szCs w:val="24"/>
        </w:rPr>
        <w:t xml:space="preserve">. </w:t>
      </w:r>
      <w:r w:rsidR="00294754" w:rsidRPr="00A51130">
        <w:rPr>
          <w:rFonts w:ascii="Times New Roman" w:hAnsi="Times New Roman" w:cs="Times New Roman"/>
          <w:sz w:val="24"/>
          <w:szCs w:val="24"/>
        </w:rPr>
        <w:t xml:space="preserve">We </w:t>
      </w:r>
      <w:r w:rsidR="0058581E" w:rsidRPr="00A51130">
        <w:rPr>
          <w:rFonts w:ascii="Times New Roman" w:hAnsi="Times New Roman" w:cs="Times New Roman"/>
          <w:sz w:val="24"/>
          <w:szCs w:val="24"/>
        </w:rPr>
        <w:t>have added</w:t>
      </w:r>
      <w:r w:rsidR="00842A4B" w:rsidRPr="00A51130">
        <w:rPr>
          <w:rFonts w:ascii="Times New Roman" w:hAnsi="Times New Roman" w:cs="Times New Roman"/>
          <w:sz w:val="24"/>
          <w:szCs w:val="24"/>
        </w:rPr>
        <w:t xml:space="preserve"> to</w:t>
      </w:r>
      <w:r w:rsidR="00294754" w:rsidRPr="00A51130">
        <w:rPr>
          <w:rFonts w:ascii="Times New Roman" w:hAnsi="Times New Roman" w:cs="Times New Roman"/>
          <w:sz w:val="24"/>
          <w:szCs w:val="24"/>
        </w:rPr>
        <w:t xml:space="preserve"> these studies by investigating whether </w:t>
      </w:r>
      <w:r w:rsidR="009C6BF1" w:rsidRPr="00A51130">
        <w:rPr>
          <w:rFonts w:ascii="Times New Roman" w:hAnsi="Times New Roman" w:cs="Times New Roman"/>
          <w:sz w:val="24"/>
          <w:szCs w:val="24"/>
        </w:rPr>
        <w:t xml:space="preserve">fetal growth modified </w:t>
      </w:r>
      <w:r w:rsidR="00294754" w:rsidRPr="00A51130">
        <w:rPr>
          <w:rFonts w:ascii="Times New Roman" w:hAnsi="Times New Roman" w:cs="Times New Roman"/>
          <w:sz w:val="24"/>
          <w:szCs w:val="24"/>
        </w:rPr>
        <w:t>these associations</w:t>
      </w:r>
      <w:r w:rsidR="00166664" w:rsidRPr="00A51130">
        <w:rPr>
          <w:rFonts w:ascii="Times New Roman" w:hAnsi="Times New Roman" w:cs="Times New Roman"/>
          <w:sz w:val="24"/>
          <w:szCs w:val="24"/>
        </w:rPr>
        <w:t>,</w:t>
      </w:r>
      <w:r w:rsidR="00294754" w:rsidRPr="00A51130">
        <w:rPr>
          <w:rFonts w:ascii="Times New Roman" w:hAnsi="Times New Roman" w:cs="Times New Roman"/>
          <w:sz w:val="24"/>
          <w:szCs w:val="24"/>
        </w:rPr>
        <w:t xml:space="preserve"> and </w:t>
      </w:r>
      <w:r w:rsidR="00917318" w:rsidRPr="00A51130">
        <w:rPr>
          <w:rFonts w:ascii="Times New Roman" w:hAnsi="Times New Roman" w:cs="Times New Roman"/>
          <w:sz w:val="24"/>
          <w:szCs w:val="24"/>
        </w:rPr>
        <w:t>observed</w:t>
      </w:r>
      <w:r w:rsidR="00A774E5" w:rsidRPr="00A51130">
        <w:rPr>
          <w:rFonts w:ascii="Times New Roman" w:hAnsi="Times New Roman" w:cs="Times New Roman"/>
          <w:sz w:val="24"/>
          <w:szCs w:val="24"/>
        </w:rPr>
        <w:t xml:space="preserve"> no evidence </w:t>
      </w:r>
      <w:r w:rsidR="006C346C" w:rsidRPr="00A51130">
        <w:rPr>
          <w:rFonts w:ascii="Times New Roman" w:hAnsi="Times New Roman" w:cs="Times New Roman"/>
          <w:sz w:val="24"/>
          <w:szCs w:val="24"/>
        </w:rPr>
        <w:t>for a modifying role of growth</w:t>
      </w:r>
      <w:r w:rsidR="00917318" w:rsidRPr="00A51130">
        <w:rPr>
          <w:rFonts w:ascii="Times New Roman" w:hAnsi="Times New Roman" w:cs="Times New Roman"/>
          <w:sz w:val="24"/>
          <w:szCs w:val="24"/>
        </w:rPr>
        <w:t xml:space="preserve"> in </w:t>
      </w:r>
      <w:r w:rsidR="00A675E5">
        <w:rPr>
          <w:rFonts w:ascii="Times New Roman" w:hAnsi="Times New Roman" w:cs="Times New Roman"/>
          <w:sz w:val="24"/>
          <w:szCs w:val="24"/>
        </w:rPr>
        <w:t xml:space="preserve">the second half of pregnancy </w:t>
      </w:r>
      <w:r w:rsidR="003576E1" w:rsidRPr="00A51130">
        <w:rPr>
          <w:rFonts w:ascii="Times New Roman" w:hAnsi="Times New Roman" w:cs="Times New Roman"/>
          <w:sz w:val="24"/>
          <w:szCs w:val="24"/>
        </w:rPr>
        <w:t xml:space="preserve">. </w:t>
      </w:r>
      <w:r w:rsidR="00A774E5" w:rsidRPr="00A51130">
        <w:rPr>
          <w:rFonts w:ascii="Times New Roman" w:hAnsi="Times New Roman" w:cs="Times New Roman"/>
          <w:sz w:val="24"/>
          <w:szCs w:val="24"/>
        </w:rPr>
        <w:t xml:space="preserve"> </w:t>
      </w:r>
      <w:r w:rsidR="0057245A" w:rsidRPr="00A51130">
        <w:rPr>
          <w:rFonts w:ascii="Times New Roman" w:hAnsi="Times New Roman" w:cs="Times New Roman"/>
          <w:sz w:val="24"/>
          <w:szCs w:val="24"/>
        </w:rPr>
        <w:t xml:space="preserve"> </w:t>
      </w:r>
    </w:p>
    <w:p w14:paraId="4C28D4C4" w14:textId="4C5FCF9C" w:rsidR="007832C1" w:rsidRPr="00A51130" w:rsidRDefault="008E1724"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The growth acceleration hypothesis</w:t>
      </w:r>
      <w:r w:rsidR="00FE2976"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10.1016/S0140-6736(04)16210-7","ISSN":"01406736","PMID":"15145640","author":[{"dropping-particle":"","family":"Singhal","given":"Atul","non-dropping-particle":"","parse-names":false,"suffix":""},{"dropping-particle":"","family":"Lucas","given":"Alan","non-dropping-particle":"","parse-names":false,"suffix":""}],"container-title":"The Lancet","id":"ITEM-1","issue":"9421","issued":{"date-parts":[["2004","5","15"]]},"page":"1642-1645","title":"Early origins of cardiovascular disease: is there a unifying hypothesis?","type":"article-journal","volume":"363"},"uris":["http://www.mendeley.com/documents/?uuid=f59a46a6-69d8-3eb3-8a94-799fc7c240cd"]}],"mendeley":{"formattedCitation":"(Singhal &amp; Lucas 2004)","plainTextFormattedCitation":"(Singhal &amp; Lucas 2004)","previouslyFormattedCitation":"(Singhal &amp; Lucas 2004)"},"properties":{"noteIndex":0},"schema":"https://github.com/citation-style-language/schema/raw/master/csl-citation.json"}</w:instrText>
      </w:r>
      <w:r w:rsidR="00FE2976"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(Singhal &amp; Lucas 2004)</w:t>
      </w:r>
      <w:r w:rsidR="00FE2976" w:rsidRPr="00A51130">
        <w:rPr>
          <w:rFonts w:ascii="Times New Roman" w:hAnsi="Times New Roman" w:cs="Times New Roman"/>
          <w:sz w:val="24"/>
          <w:szCs w:val="24"/>
        </w:rPr>
        <w:fldChar w:fldCharType="end"/>
      </w:r>
      <w:r w:rsidR="00DD30D5" w:rsidRPr="00A51130">
        <w:rPr>
          <w:rFonts w:ascii="Times New Roman" w:hAnsi="Times New Roman" w:cs="Times New Roman"/>
          <w:sz w:val="24"/>
          <w:szCs w:val="24"/>
        </w:rPr>
        <w:t xml:space="preserve"> </w:t>
      </w:r>
      <w:r w:rsidR="007E6F65" w:rsidRPr="00A51130">
        <w:rPr>
          <w:rFonts w:ascii="Times New Roman" w:hAnsi="Times New Roman" w:cs="Times New Roman"/>
          <w:sz w:val="24"/>
          <w:szCs w:val="24"/>
        </w:rPr>
        <w:t>suggests that any upward weight centile crossing in infancy</w:t>
      </w:r>
      <w:r w:rsidR="00C9522D" w:rsidRPr="00A51130">
        <w:rPr>
          <w:rFonts w:ascii="Times New Roman" w:hAnsi="Times New Roman" w:cs="Times New Roman"/>
          <w:sz w:val="24"/>
          <w:szCs w:val="24"/>
        </w:rPr>
        <w:t xml:space="preserve">, regardless of </w:t>
      </w:r>
      <w:r w:rsidR="007C4DC7" w:rsidRPr="00A51130">
        <w:rPr>
          <w:rFonts w:ascii="Times New Roman" w:hAnsi="Times New Roman" w:cs="Times New Roman"/>
          <w:sz w:val="24"/>
          <w:szCs w:val="24"/>
        </w:rPr>
        <w:t>its cause (</w:t>
      </w:r>
      <w:r w:rsidR="00466F4A" w:rsidRPr="00A51130">
        <w:rPr>
          <w:rFonts w:ascii="Times New Roman" w:hAnsi="Times New Roman" w:cs="Times New Roman"/>
          <w:sz w:val="24"/>
          <w:szCs w:val="24"/>
        </w:rPr>
        <w:t>e.g.</w:t>
      </w:r>
      <w:r w:rsidR="007C4DC7" w:rsidRPr="00A51130">
        <w:rPr>
          <w:rFonts w:ascii="Times New Roman" w:hAnsi="Times New Roman" w:cs="Times New Roman"/>
          <w:sz w:val="24"/>
          <w:szCs w:val="24"/>
        </w:rPr>
        <w:t xml:space="preserve"> </w:t>
      </w:r>
      <w:r w:rsidR="00626B12" w:rsidRPr="00A51130">
        <w:rPr>
          <w:rFonts w:ascii="Times New Roman" w:hAnsi="Times New Roman" w:cs="Times New Roman"/>
          <w:sz w:val="24"/>
          <w:szCs w:val="24"/>
        </w:rPr>
        <w:t xml:space="preserve">rapid infant weight gain </w:t>
      </w:r>
      <w:r w:rsidR="00C119E1" w:rsidRPr="00A51130">
        <w:rPr>
          <w:rFonts w:ascii="Times New Roman" w:hAnsi="Times New Roman" w:cs="Times New Roman"/>
          <w:sz w:val="24"/>
          <w:szCs w:val="24"/>
        </w:rPr>
        <w:t>following restricted growth</w:t>
      </w:r>
      <w:r w:rsidR="00626B12" w:rsidRPr="00A51130">
        <w:rPr>
          <w:rFonts w:ascii="Times New Roman" w:hAnsi="Times New Roman" w:cs="Times New Roman"/>
          <w:sz w:val="24"/>
          <w:szCs w:val="24"/>
        </w:rPr>
        <w:t xml:space="preserve"> in utero</w:t>
      </w:r>
      <w:r w:rsidR="00466F4A" w:rsidRPr="00A51130">
        <w:rPr>
          <w:rFonts w:ascii="Times New Roman" w:hAnsi="Times New Roman" w:cs="Times New Roman"/>
          <w:sz w:val="24"/>
          <w:szCs w:val="24"/>
        </w:rPr>
        <w:t xml:space="preserve"> or </w:t>
      </w:r>
      <w:r w:rsidR="00C97B1D" w:rsidRPr="00A51130">
        <w:rPr>
          <w:rFonts w:ascii="Times New Roman" w:hAnsi="Times New Roman" w:cs="Times New Roman"/>
          <w:sz w:val="24"/>
          <w:szCs w:val="24"/>
        </w:rPr>
        <w:t xml:space="preserve">simply </w:t>
      </w:r>
      <w:r w:rsidR="005B4E34" w:rsidRPr="00A51130">
        <w:rPr>
          <w:rFonts w:ascii="Times New Roman" w:hAnsi="Times New Roman" w:cs="Times New Roman"/>
          <w:sz w:val="24"/>
          <w:szCs w:val="24"/>
        </w:rPr>
        <w:t>greater</w:t>
      </w:r>
      <w:r w:rsidR="00466F4A" w:rsidRPr="00A51130">
        <w:rPr>
          <w:rFonts w:ascii="Times New Roman" w:hAnsi="Times New Roman" w:cs="Times New Roman"/>
          <w:sz w:val="24"/>
          <w:szCs w:val="24"/>
        </w:rPr>
        <w:t xml:space="preserve"> nutrition</w:t>
      </w:r>
      <w:r w:rsidR="00917E9F" w:rsidRPr="00A51130">
        <w:rPr>
          <w:rFonts w:ascii="Times New Roman" w:hAnsi="Times New Roman" w:cs="Times New Roman"/>
          <w:sz w:val="24"/>
          <w:szCs w:val="24"/>
        </w:rPr>
        <w:t>al</w:t>
      </w:r>
      <w:r w:rsidR="004D2856" w:rsidRPr="00A51130">
        <w:rPr>
          <w:rFonts w:ascii="Times New Roman" w:hAnsi="Times New Roman" w:cs="Times New Roman"/>
          <w:sz w:val="24"/>
          <w:szCs w:val="24"/>
        </w:rPr>
        <w:t xml:space="preserve"> intake</w:t>
      </w:r>
      <w:r w:rsidR="00466F4A" w:rsidRPr="00A51130">
        <w:rPr>
          <w:rFonts w:ascii="Times New Roman" w:hAnsi="Times New Roman" w:cs="Times New Roman"/>
          <w:sz w:val="24"/>
          <w:szCs w:val="24"/>
        </w:rPr>
        <w:t>)</w:t>
      </w:r>
      <w:r w:rsidR="007E6F65" w:rsidRPr="00A51130">
        <w:rPr>
          <w:rFonts w:ascii="Times New Roman" w:hAnsi="Times New Roman" w:cs="Times New Roman"/>
          <w:sz w:val="24"/>
          <w:szCs w:val="24"/>
        </w:rPr>
        <w:t xml:space="preserve"> </w:t>
      </w:r>
      <w:r w:rsidR="00E958EE" w:rsidRPr="00A51130">
        <w:rPr>
          <w:rFonts w:ascii="Times New Roman" w:hAnsi="Times New Roman" w:cs="Times New Roman"/>
          <w:sz w:val="24"/>
          <w:szCs w:val="24"/>
        </w:rPr>
        <w:t xml:space="preserve">will be associated with deleterious </w:t>
      </w:r>
      <w:r w:rsidR="00C9522D" w:rsidRPr="00A51130">
        <w:rPr>
          <w:rFonts w:ascii="Times New Roman" w:hAnsi="Times New Roman" w:cs="Times New Roman"/>
          <w:sz w:val="24"/>
          <w:szCs w:val="24"/>
        </w:rPr>
        <w:t>longer-term outcomes</w:t>
      </w:r>
      <w:r w:rsidR="00466F4A" w:rsidRPr="00A51130">
        <w:rPr>
          <w:rFonts w:ascii="Times New Roman" w:hAnsi="Times New Roman" w:cs="Times New Roman"/>
          <w:sz w:val="24"/>
          <w:szCs w:val="24"/>
        </w:rPr>
        <w:t xml:space="preserve">. </w:t>
      </w:r>
      <w:r w:rsidR="00A93C02" w:rsidRPr="00A51130">
        <w:rPr>
          <w:rFonts w:ascii="Times New Roman" w:hAnsi="Times New Roman" w:cs="Times New Roman"/>
          <w:sz w:val="24"/>
          <w:szCs w:val="24"/>
        </w:rPr>
        <w:t xml:space="preserve">The hypothesis was based on </w:t>
      </w:r>
      <w:r w:rsidR="00C476D5" w:rsidRPr="00A51130">
        <w:rPr>
          <w:rFonts w:ascii="Times New Roman" w:hAnsi="Times New Roman" w:cs="Times New Roman"/>
          <w:sz w:val="24"/>
          <w:szCs w:val="24"/>
        </w:rPr>
        <w:t>studies</w:t>
      </w:r>
      <w:r w:rsidR="00A93C02" w:rsidRPr="00A51130">
        <w:rPr>
          <w:rFonts w:ascii="Times New Roman" w:hAnsi="Times New Roman" w:cs="Times New Roman"/>
          <w:sz w:val="24"/>
          <w:szCs w:val="24"/>
        </w:rPr>
        <w:t xml:space="preserve"> </w:t>
      </w:r>
      <w:r w:rsidR="00130951" w:rsidRPr="00A51130">
        <w:rPr>
          <w:rFonts w:ascii="Times New Roman" w:hAnsi="Times New Roman" w:cs="Times New Roman"/>
          <w:sz w:val="24"/>
          <w:szCs w:val="24"/>
        </w:rPr>
        <w:t>showing</w:t>
      </w:r>
      <w:r w:rsidR="00A93C02" w:rsidRPr="00A51130">
        <w:rPr>
          <w:rFonts w:ascii="Times New Roman" w:hAnsi="Times New Roman" w:cs="Times New Roman"/>
          <w:sz w:val="24"/>
          <w:szCs w:val="24"/>
        </w:rPr>
        <w:t xml:space="preserve"> increased adverse </w:t>
      </w:r>
      <w:r w:rsidR="001B2160" w:rsidRPr="00A51130">
        <w:rPr>
          <w:rFonts w:ascii="Times New Roman" w:hAnsi="Times New Roman" w:cs="Times New Roman"/>
          <w:sz w:val="24"/>
          <w:szCs w:val="24"/>
        </w:rPr>
        <w:t xml:space="preserve">cardiometabolic </w:t>
      </w:r>
      <w:r w:rsidR="00A93C02" w:rsidRPr="00A51130">
        <w:rPr>
          <w:rFonts w:ascii="Times New Roman" w:hAnsi="Times New Roman" w:cs="Times New Roman"/>
          <w:sz w:val="24"/>
          <w:szCs w:val="24"/>
        </w:rPr>
        <w:t xml:space="preserve">outcomes </w:t>
      </w:r>
      <w:r w:rsidR="007C3272" w:rsidRPr="00A51130">
        <w:rPr>
          <w:rFonts w:ascii="Times New Roman" w:hAnsi="Times New Roman" w:cs="Times New Roman"/>
          <w:sz w:val="24"/>
          <w:szCs w:val="24"/>
        </w:rPr>
        <w:t xml:space="preserve">in those born </w:t>
      </w:r>
      <w:r w:rsidR="00D653DA" w:rsidRPr="00A51130">
        <w:rPr>
          <w:rFonts w:ascii="Times New Roman" w:hAnsi="Times New Roman" w:cs="Times New Roman"/>
          <w:sz w:val="24"/>
          <w:szCs w:val="24"/>
        </w:rPr>
        <w:t>preterm or</w:t>
      </w:r>
      <w:r w:rsidR="003F4DD7" w:rsidRPr="00A51130">
        <w:rPr>
          <w:rFonts w:ascii="Times New Roman" w:hAnsi="Times New Roman" w:cs="Times New Roman"/>
          <w:sz w:val="24"/>
          <w:szCs w:val="24"/>
        </w:rPr>
        <w:t xml:space="preserve"> small-for-gestational age</w:t>
      </w:r>
      <w:r w:rsidR="00D653DA" w:rsidRPr="00A51130">
        <w:rPr>
          <w:rFonts w:ascii="Times New Roman" w:hAnsi="Times New Roman" w:cs="Times New Roman"/>
          <w:sz w:val="24"/>
          <w:szCs w:val="24"/>
        </w:rPr>
        <w:t xml:space="preserve"> </w:t>
      </w:r>
      <w:r w:rsidR="003F4DD7" w:rsidRPr="00A51130">
        <w:rPr>
          <w:rFonts w:ascii="Times New Roman" w:hAnsi="Times New Roman" w:cs="Times New Roman"/>
          <w:sz w:val="24"/>
          <w:szCs w:val="24"/>
        </w:rPr>
        <w:t>(</w:t>
      </w:r>
      <w:r w:rsidR="007C3272" w:rsidRPr="00A51130">
        <w:rPr>
          <w:rFonts w:ascii="Times New Roman" w:hAnsi="Times New Roman" w:cs="Times New Roman"/>
          <w:sz w:val="24"/>
          <w:szCs w:val="24"/>
        </w:rPr>
        <w:t>SGA</w:t>
      </w:r>
      <w:r w:rsidR="003F4DD7" w:rsidRPr="00A51130">
        <w:rPr>
          <w:rFonts w:ascii="Times New Roman" w:hAnsi="Times New Roman" w:cs="Times New Roman"/>
          <w:sz w:val="24"/>
          <w:szCs w:val="24"/>
        </w:rPr>
        <w:t>)</w:t>
      </w:r>
      <w:r w:rsidR="007C3272" w:rsidRPr="00A51130">
        <w:rPr>
          <w:rFonts w:ascii="Times New Roman" w:hAnsi="Times New Roman" w:cs="Times New Roman"/>
          <w:sz w:val="24"/>
          <w:szCs w:val="24"/>
        </w:rPr>
        <w:t xml:space="preserve"> </w:t>
      </w:r>
      <w:r w:rsidR="00D653DA" w:rsidRPr="00A51130">
        <w:rPr>
          <w:rFonts w:ascii="Times New Roman" w:hAnsi="Times New Roman" w:cs="Times New Roman"/>
          <w:sz w:val="24"/>
          <w:szCs w:val="24"/>
        </w:rPr>
        <w:t>(at term)</w:t>
      </w:r>
      <w:r w:rsidR="00876673" w:rsidRPr="00A51130">
        <w:rPr>
          <w:rFonts w:ascii="Times New Roman" w:hAnsi="Times New Roman" w:cs="Times New Roman"/>
          <w:sz w:val="24"/>
          <w:szCs w:val="24"/>
        </w:rPr>
        <w:t xml:space="preserve">, </w:t>
      </w:r>
      <w:r w:rsidR="007C3272" w:rsidRPr="00A51130">
        <w:rPr>
          <w:rFonts w:ascii="Times New Roman" w:hAnsi="Times New Roman" w:cs="Times New Roman"/>
          <w:sz w:val="24"/>
          <w:szCs w:val="24"/>
        </w:rPr>
        <w:t xml:space="preserve">who then subsequently demonstrated increased infant </w:t>
      </w:r>
      <w:r w:rsidR="006A0E61" w:rsidRPr="00A51130">
        <w:rPr>
          <w:rFonts w:ascii="Times New Roman" w:hAnsi="Times New Roman" w:cs="Times New Roman"/>
          <w:sz w:val="24"/>
          <w:szCs w:val="24"/>
        </w:rPr>
        <w:t>weight gain</w:t>
      </w:r>
      <w:r w:rsidR="00FE2976"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{"citationItems":[{"id":"ITEM-1","itemData":{"DOI":"10.1159/000464302","ISSN":"0250-6807","PMID":"28301849","abstract":"BACKGROUND Whilst prevention of growth faltering has both short- and long-term health benefits, whether too fast or accelerated infant growth adversely affects later health outcomes is controversial and a major focus of research. SUMMARY Many observational studies suggest that rapid weight gain in infancy (upward centile crossing) increases the long-term risk of obesity and non-communicable disease. This association has been seen in infants from low- and high-income countries, in infants born preterm or at term, and those born with normal or low birth weight for gestation. Experimental (randomized) studies in both breast- and formula-fed infants support a causal link between early growth acceleration and infant nutrition and later risk of obesity. These observations suggest that strategies to optimize the pattern of infant growth could make a major contribution to stemming the current global epidemic of non-communicable disease. Key Messages: The optimal pattern of infant weight gain is likely to differ in different populations. The benefits of rapid infant weight gain for later neurodevelopment favors the promotion of rapid growth in infants born preterm. However, growth acceleration in healthy infants born at term (either normal or low birth weight for gestation) is likely to have adverse effects for long-term health.","author":[{"dropping-particle":"","family":"Singhal","given":"Atul","non-dropping-particle":"","parse-names":false,"suffix":""}],"container-title":"Annals of Nutrition and Metabolism","id":"ITEM-1","issue":"3","issued":{"date-parts":[["2017"]]},"page":"236-240","title":"Long-Term Adverse Effects of Early Growth Acceleration or Catch-Up Growth","type":"article-journal","volume":"70"},"uris":["http://www.mendeley.com/documents/?uuid=2ebfad3b-397d-3027-9f68-86bc141a1b98"]}],"mendeley":{"formattedCitation":"(Singhal 2017)","plainTextFormattedCitation":"(Singhal 2017)","previouslyFormattedCitation":"(Singhal 2017)"},"properties":{"noteIndex":0},"schema":"https://github.com/citation-style-language/schema/raw/master/csl-citation.json"}</w:instrText>
      </w:r>
      <w:r w:rsidR="00FE2976"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(Singhal 2017)</w:t>
      </w:r>
      <w:r w:rsidR="00FE2976" w:rsidRPr="00A51130">
        <w:rPr>
          <w:rFonts w:ascii="Times New Roman" w:hAnsi="Times New Roman" w:cs="Times New Roman"/>
          <w:sz w:val="24"/>
          <w:szCs w:val="24"/>
        </w:rPr>
        <w:fldChar w:fldCharType="end"/>
      </w:r>
      <w:r w:rsidR="00876673" w:rsidRPr="00A51130">
        <w:rPr>
          <w:rFonts w:ascii="Times New Roman" w:hAnsi="Times New Roman" w:cs="Times New Roman"/>
          <w:sz w:val="24"/>
          <w:szCs w:val="24"/>
        </w:rPr>
        <w:t xml:space="preserve">. </w:t>
      </w:r>
      <w:r w:rsidR="00166664" w:rsidRPr="00A51130">
        <w:rPr>
          <w:rFonts w:ascii="Times New Roman" w:hAnsi="Times New Roman" w:cs="Times New Roman"/>
          <w:sz w:val="24"/>
          <w:szCs w:val="24"/>
        </w:rPr>
        <w:t>However, the hypothesis would not be valid</w:t>
      </w:r>
      <w:r w:rsidR="00BA6594" w:rsidRPr="00A51130">
        <w:rPr>
          <w:rFonts w:ascii="Times New Roman" w:hAnsi="Times New Roman" w:cs="Times New Roman"/>
          <w:sz w:val="24"/>
          <w:szCs w:val="24"/>
        </w:rPr>
        <w:t xml:space="preserve"> if </w:t>
      </w:r>
      <w:r w:rsidR="00AD665B" w:rsidRPr="00A51130">
        <w:rPr>
          <w:rFonts w:ascii="Times New Roman" w:hAnsi="Times New Roman" w:cs="Times New Roman"/>
          <w:sz w:val="24"/>
          <w:szCs w:val="24"/>
        </w:rPr>
        <w:t>rapid infant weight gain occur</w:t>
      </w:r>
      <w:r w:rsidR="00BA6594" w:rsidRPr="00A51130">
        <w:rPr>
          <w:rFonts w:ascii="Times New Roman" w:hAnsi="Times New Roman" w:cs="Times New Roman"/>
          <w:sz w:val="24"/>
          <w:szCs w:val="24"/>
        </w:rPr>
        <w:t>s</w:t>
      </w:r>
      <w:r w:rsidR="00166664" w:rsidRPr="00A51130">
        <w:rPr>
          <w:rFonts w:ascii="Times New Roman" w:hAnsi="Times New Roman" w:cs="Times New Roman"/>
          <w:sz w:val="24"/>
          <w:szCs w:val="24"/>
        </w:rPr>
        <w:t xml:space="preserve"> mainly</w:t>
      </w:r>
      <w:r w:rsidR="00AD665B" w:rsidRPr="00A51130">
        <w:rPr>
          <w:rFonts w:ascii="Times New Roman" w:hAnsi="Times New Roman" w:cs="Times New Roman"/>
          <w:sz w:val="24"/>
          <w:szCs w:val="24"/>
        </w:rPr>
        <w:t xml:space="preserve"> </w:t>
      </w:r>
      <w:r w:rsidR="00A43EAD" w:rsidRPr="00A51130">
        <w:rPr>
          <w:rFonts w:ascii="Times New Roman" w:hAnsi="Times New Roman" w:cs="Times New Roman"/>
          <w:sz w:val="24"/>
          <w:szCs w:val="24"/>
        </w:rPr>
        <w:t xml:space="preserve">as a natural </w:t>
      </w:r>
      <w:r w:rsidR="00AD665B" w:rsidRPr="00A51130">
        <w:rPr>
          <w:rFonts w:ascii="Times New Roman" w:hAnsi="Times New Roman" w:cs="Times New Roman"/>
          <w:sz w:val="24"/>
          <w:szCs w:val="24"/>
        </w:rPr>
        <w:t xml:space="preserve">response to </w:t>
      </w:r>
      <w:r w:rsidR="00A43EAD" w:rsidRPr="00A51130">
        <w:rPr>
          <w:rFonts w:ascii="Times New Roman" w:hAnsi="Times New Roman" w:cs="Times New Roman"/>
          <w:sz w:val="24"/>
          <w:szCs w:val="24"/>
        </w:rPr>
        <w:t>a period of fetal constraint</w:t>
      </w:r>
      <w:r w:rsidR="00CC63EB" w:rsidRPr="00A51130">
        <w:rPr>
          <w:rFonts w:ascii="Times New Roman" w:hAnsi="Times New Roman" w:cs="Times New Roman"/>
          <w:sz w:val="24"/>
          <w:szCs w:val="24"/>
        </w:rPr>
        <w:t xml:space="preserve">. </w:t>
      </w:r>
      <w:r w:rsidR="00166664" w:rsidRPr="00A51130">
        <w:rPr>
          <w:rFonts w:ascii="Times New Roman" w:hAnsi="Times New Roman" w:cs="Times New Roman"/>
          <w:sz w:val="24"/>
          <w:szCs w:val="24"/>
        </w:rPr>
        <w:t>S</w:t>
      </w:r>
      <w:r w:rsidR="00C74D96" w:rsidRPr="00A51130">
        <w:rPr>
          <w:rFonts w:ascii="Times New Roman" w:hAnsi="Times New Roman" w:cs="Times New Roman"/>
          <w:sz w:val="24"/>
          <w:szCs w:val="24"/>
        </w:rPr>
        <w:t xml:space="preserve">ize at birth </w:t>
      </w:r>
      <w:r w:rsidR="0036299E" w:rsidRPr="00A51130">
        <w:rPr>
          <w:rFonts w:ascii="Times New Roman" w:hAnsi="Times New Roman" w:cs="Times New Roman"/>
          <w:sz w:val="24"/>
          <w:szCs w:val="24"/>
        </w:rPr>
        <w:t xml:space="preserve">is only a proxy for fetal growth </w:t>
      </w:r>
      <w:r w:rsidR="000665D5" w:rsidRPr="00A51130">
        <w:rPr>
          <w:rFonts w:ascii="Times New Roman" w:hAnsi="Times New Roman" w:cs="Times New Roman"/>
          <w:sz w:val="24"/>
          <w:szCs w:val="24"/>
        </w:rPr>
        <w:t>and does not distinguish between the constitutionally small</w:t>
      </w:r>
      <w:r w:rsidR="00810D93" w:rsidRPr="00A51130">
        <w:rPr>
          <w:rFonts w:ascii="Times New Roman" w:hAnsi="Times New Roman" w:cs="Times New Roman"/>
          <w:sz w:val="24"/>
          <w:szCs w:val="24"/>
        </w:rPr>
        <w:t xml:space="preserve"> and the growth</w:t>
      </w:r>
      <w:r w:rsidR="00166664" w:rsidRPr="00A51130">
        <w:rPr>
          <w:rFonts w:ascii="Times New Roman" w:hAnsi="Times New Roman" w:cs="Times New Roman"/>
          <w:sz w:val="24"/>
          <w:szCs w:val="24"/>
        </w:rPr>
        <w:t>-</w:t>
      </w:r>
      <w:r w:rsidR="00810D93" w:rsidRPr="00A51130">
        <w:rPr>
          <w:rFonts w:ascii="Times New Roman" w:hAnsi="Times New Roman" w:cs="Times New Roman"/>
          <w:sz w:val="24"/>
          <w:szCs w:val="24"/>
        </w:rPr>
        <w:t xml:space="preserve">restricted infant. </w:t>
      </w:r>
      <w:r w:rsidR="00DD211C" w:rsidRPr="00A51130">
        <w:rPr>
          <w:rFonts w:ascii="Times New Roman" w:hAnsi="Times New Roman" w:cs="Times New Roman"/>
          <w:sz w:val="24"/>
          <w:szCs w:val="24"/>
        </w:rPr>
        <w:t xml:space="preserve">Without </w:t>
      </w:r>
      <w:r w:rsidR="00342283" w:rsidRPr="00A51130">
        <w:rPr>
          <w:rFonts w:ascii="Times New Roman" w:hAnsi="Times New Roman" w:cs="Times New Roman"/>
          <w:sz w:val="24"/>
          <w:szCs w:val="24"/>
        </w:rPr>
        <w:t>such a distinction</w:t>
      </w:r>
      <w:r w:rsidR="00166664" w:rsidRPr="00A51130">
        <w:rPr>
          <w:rFonts w:ascii="Times New Roman" w:hAnsi="Times New Roman" w:cs="Times New Roman"/>
          <w:sz w:val="24"/>
          <w:szCs w:val="24"/>
        </w:rPr>
        <w:t>,</w:t>
      </w:r>
      <w:r w:rsidR="00C74D96" w:rsidRPr="00A51130">
        <w:rPr>
          <w:rFonts w:ascii="Times New Roman" w:hAnsi="Times New Roman" w:cs="Times New Roman"/>
          <w:sz w:val="24"/>
          <w:szCs w:val="24"/>
        </w:rPr>
        <w:t xml:space="preserve"> </w:t>
      </w:r>
      <w:r w:rsidR="005B3796" w:rsidRPr="00A51130">
        <w:rPr>
          <w:rFonts w:ascii="Times New Roman" w:hAnsi="Times New Roman" w:cs="Times New Roman"/>
          <w:sz w:val="24"/>
          <w:szCs w:val="24"/>
        </w:rPr>
        <w:t xml:space="preserve">it is </w:t>
      </w:r>
      <w:r w:rsidR="00C74D96" w:rsidRPr="00A51130">
        <w:rPr>
          <w:rFonts w:ascii="Times New Roman" w:hAnsi="Times New Roman" w:cs="Times New Roman"/>
          <w:sz w:val="24"/>
          <w:szCs w:val="24"/>
        </w:rPr>
        <w:t xml:space="preserve">not possible to establish whether </w:t>
      </w:r>
      <w:r w:rsidR="00E22BCE" w:rsidRPr="00A51130">
        <w:rPr>
          <w:rFonts w:ascii="Times New Roman" w:hAnsi="Times New Roman" w:cs="Times New Roman"/>
          <w:sz w:val="24"/>
          <w:szCs w:val="24"/>
        </w:rPr>
        <w:t>periods of increased/reduced fetal</w:t>
      </w:r>
      <w:r w:rsidR="00C74D96" w:rsidRPr="00A51130">
        <w:rPr>
          <w:rFonts w:ascii="Times New Roman" w:hAnsi="Times New Roman" w:cs="Times New Roman"/>
          <w:sz w:val="24"/>
          <w:szCs w:val="24"/>
        </w:rPr>
        <w:t xml:space="preserve"> </w:t>
      </w:r>
      <w:r w:rsidR="008F3DB4" w:rsidRPr="00A51130">
        <w:rPr>
          <w:rFonts w:ascii="Times New Roman" w:hAnsi="Times New Roman" w:cs="Times New Roman"/>
          <w:sz w:val="24"/>
          <w:szCs w:val="24"/>
        </w:rPr>
        <w:t xml:space="preserve">growth </w:t>
      </w:r>
      <w:r w:rsidR="00E22BCE" w:rsidRPr="00A51130">
        <w:rPr>
          <w:rFonts w:ascii="Times New Roman" w:hAnsi="Times New Roman" w:cs="Times New Roman"/>
          <w:sz w:val="24"/>
          <w:szCs w:val="24"/>
        </w:rPr>
        <w:t>modify</w:t>
      </w:r>
      <w:r w:rsidR="008F3DB4" w:rsidRPr="00A51130">
        <w:rPr>
          <w:rFonts w:ascii="Times New Roman" w:hAnsi="Times New Roman" w:cs="Times New Roman"/>
          <w:sz w:val="24"/>
          <w:szCs w:val="24"/>
        </w:rPr>
        <w:t xml:space="preserve"> the </w:t>
      </w:r>
      <w:r w:rsidR="007A75A6" w:rsidRPr="00A51130">
        <w:rPr>
          <w:rFonts w:ascii="Times New Roman" w:hAnsi="Times New Roman" w:cs="Times New Roman"/>
          <w:sz w:val="24"/>
          <w:szCs w:val="24"/>
        </w:rPr>
        <w:t xml:space="preserve">relationship </w:t>
      </w:r>
      <w:r w:rsidR="00E22BCE" w:rsidRPr="00A51130">
        <w:rPr>
          <w:rFonts w:ascii="Times New Roman" w:hAnsi="Times New Roman" w:cs="Times New Roman"/>
          <w:sz w:val="24"/>
          <w:szCs w:val="24"/>
        </w:rPr>
        <w:t>between</w:t>
      </w:r>
      <w:r w:rsidR="007A75A6" w:rsidRPr="00A51130">
        <w:rPr>
          <w:rFonts w:ascii="Times New Roman" w:hAnsi="Times New Roman" w:cs="Times New Roman"/>
          <w:sz w:val="24"/>
          <w:szCs w:val="24"/>
        </w:rPr>
        <w:t xml:space="preserve"> increased infant weight </w:t>
      </w:r>
      <w:r w:rsidR="00155146" w:rsidRPr="00A51130">
        <w:rPr>
          <w:rFonts w:ascii="Times New Roman" w:hAnsi="Times New Roman" w:cs="Times New Roman"/>
          <w:sz w:val="24"/>
          <w:szCs w:val="24"/>
        </w:rPr>
        <w:t>gain</w:t>
      </w:r>
      <w:r w:rsidR="007A75A6" w:rsidRPr="00A51130">
        <w:rPr>
          <w:rFonts w:ascii="Times New Roman" w:hAnsi="Times New Roman" w:cs="Times New Roman"/>
          <w:sz w:val="24"/>
          <w:szCs w:val="24"/>
        </w:rPr>
        <w:t xml:space="preserve"> and cardiometabolic outcomes</w:t>
      </w:r>
      <w:r w:rsidR="00C74D96" w:rsidRPr="00A51130">
        <w:rPr>
          <w:rFonts w:ascii="Times New Roman" w:hAnsi="Times New Roman" w:cs="Times New Roman"/>
          <w:sz w:val="24"/>
          <w:szCs w:val="24"/>
        </w:rPr>
        <w:t xml:space="preserve">, as the hypothesis states. </w:t>
      </w:r>
      <w:r w:rsidR="00E3289D" w:rsidRPr="00A51130">
        <w:rPr>
          <w:rFonts w:ascii="Times New Roman" w:hAnsi="Times New Roman" w:cs="Times New Roman"/>
          <w:sz w:val="24"/>
          <w:szCs w:val="24"/>
        </w:rPr>
        <w:t xml:space="preserve">Our findings </w:t>
      </w:r>
      <w:r w:rsidR="008053AD" w:rsidRPr="00A51130">
        <w:rPr>
          <w:rFonts w:ascii="Times New Roman" w:hAnsi="Times New Roman" w:cs="Times New Roman"/>
          <w:sz w:val="24"/>
          <w:szCs w:val="24"/>
        </w:rPr>
        <w:t>provide support for the</w:t>
      </w:r>
      <w:r w:rsidR="004A27B9" w:rsidRPr="00A51130">
        <w:rPr>
          <w:rFonts w:ascii="Times New Roman" w:hAnsi="Times New Roman" w:cs="Times New Roman"/>
          <w:sz w:val="24"/>
          <w:szCs w:val="24"/>
        </w:rPr>
        <w:t xml:space="preserve"> growth accel</w:t>
      </w:r>
      <w:r w:rsidR="009F2C98" w:rsidRPr="00A51130">
        <w:rPr>
          <w:rFonts w:ascii="Times New Roman" w:hAnsi="Times New Roman" w:cs="Times New Roman"/>
          <w:sz w:val="24"/>
          <w:szCs w:val="24"/>
        </w:rPr>
        <w:t>eration</w:t>
      </w:r>
      <w:r w:rsidR="008053AD" w:rsidRPr="00A51130">
        <w:rPr>
          <w:rFonts w:ascii="Times New Roman" w:hAnsi="Times New Roman" w:cs="Times New Roman"/>
          <w:sz w:val="24"/>
          <w:szCs w:val="24"/>
        </w:rPr>
        <w:t xml:space="preserve"> hypothesis and suggest that </w:t>
      </w:r>
      <w:r w:rsidR="00E54250" w:rsidRPr="00A51130">
        <w:rPr>
          <w:rFonts w:ascii="Times New Roman" w:hAnsi="Times New Roman" w:cs="Times New Roman"/>
          <w:sz w:val="24"/>
          <w:szCs w:val="24"/>
        </w:rPr>
        <w:t xml:space="preserve">increased weight </w:t>
      </w:r>
      <w:r w:rsidR="00155146" w:rsidRPr="00A51130">
        <w:rPr>
          <w:rFonts w:ascii="Times New Roman" w:hAnsi="Times New Roman" w:cs="Times New Roman"/>
          <w:sz w:val="24"/>
          <w:szCs w:val="24"/>
        </w:rPr>
        <w:t>gain</w:t>
      </w:r>
      <w:r w:rsidR="00E54250" w:rsidRPr="00A51130">
        <w:rPr>
          <w:rFonts w:ascii="Times New Roman" w:hAnsi="Times New Roman" w:cs="Times New Roman"/>
          <w:sz w:val="24"/>
          <w:szCs w:val="24"/>
        </w:rPr>
        <w:t xml:space="preserve"> in infancy, irrespective of </w:t>
      </w:r>
      <w:r w:rsidR="00915510" w:rsidRPr="00A51130">
        <w:rPr>
          <w:rFonts w:ascii="Times New Roman" w:hAnsi="Times New Roman" w:cs="Times New Roman"/>
          <w:sz w:val="24"/>
          <w:szCs w:val="24"/>
        </w:rPr>
        <w:t>EFW</w:t>
      </w:r>
      <w:r w:rsidR="00E54250" w:rsidRPr="00A51130">
        <w:rPr>
          <w:rFonts w:ascii="Times New Roman" w:hAnsi="Times New Roman" w:cs="Times New Roman"/>
          <w:sz w:val="24"/>
          <w:szCs w:val="24"/>
        </w:rPr>
        <w:t xml:space="preserve">, </w:t>
      </w:r>
      <w:r w:rsidR="00C522A8" w:rsidRPr="00A51130">
        <w:rPr>
          <w:rFonts w:ascii="Times New Roman" w:hAnsi="Times New Roman" w:cs="Times New Roman"/>
          <w:sz w:val="24"/>
          <w:szCs w:val="24"/>
        </w:rPr>
        <w:t>may be</w:t>
      </w:r>
      <w:r w:rsidR="00E54250" w:rsidRPr="00A51130">
        <w:rPr>
          <w:rFonts w:ascii="Times New Roman" w:hAnsi="Times New Roman" w:cs="Times New Roman"/>
          <w:sz w:val="24"/>
          <w:szCs w:val="24"/>
        </w:rPr>
        <w:t xml:space="preserve"> </w:t>
      </w:r>
      <w:r w:rsidR="004A27B9" w:rsidRPr="00A51130">
        <w:rPr>
          <w:rFonts w:ascii="Times New Roman" w:hAnsi="Times New Roman" w:cs="Times New Roman"/>
          <w:sz w:val="24"/>
          <w:szCs w:val="24"/>
        </w:rPr>
        <w:t xml:space="preserve">positively </w:t>
      </w:r>
      <w:r w:rsidR="00E54250" w:rsidRPr="00A51130">
        <w:rPr>
          <w:rFonts w:ascii="Times New Roman" w:hAnsi="Times New Roman" w:cs="Times New Roman"/>
          <w:sz w:val="24"/>
          <w:szCs w:val="24"/>
        </w:rPr>
        <w:t xml:space="preserve">associated with </w:t>
      </w:r>
      <w:r w:rsidR="004A27B9" w:rsidRPr="00A51130">
        <w:rPr>
          <w:rFonts w:ascii="Times New Roman" w:hAnsi="Times New Roman" w:cs="Times New Roman"/>
          <w:sz w:val="24"/>
          <w:szCs w:val="24"/>
        </w:rPr>
        <w:t xml:space="preserve">cardiometabolic outcomes in childhood. </w:t>
      </w:r>
    </w:p>
    <w:p w14:paraId="56E7E7C4" w14:textId="76E4960A" w:rsidR="00B760F6" w:rsidRPr="00A51130" w:rsidRDefault="00D54347"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 xml:space="preserve">These findings </w:t>
      </w:r>
      <w:r w:rsidR="00966C36" w:rsidRPr="00A51130">
        <w:rPr>
          <w:rFonts w:ascii="Times New Roman" w:hAnsi="Times New Roman" w:cs="Times New Roman"/>
          <w:sz w:val="24"/>
          <w:szCs w:val="24"/>
        </w:rPr>
        <w:t xml:space="preserve">are further support for the decision to </w:t>
      </w:r>
      <w:r w:rsidR="00D5651C" w:rsidRPr="00A51130">
        <w:rPr>
          <w:rFonts w:ascii="Times New Roman" w:hAnsi="Times New Roman" w:cs="Times New Roman"/>
          <w:sz w:val="24"/>
          <w:szCs w:val="24"/>
        </w:rPr>
        <w:t xml:space="preserve">reorient </w:t>
      </w:r>
      <w:r w:rsidRPr="00A51130">
        <w:rPr>
          <w:rFonts w:ascii="Times New Roman" w:hAnsi="Times New Roman" w:cs="Times New Roman"/>
          <w:sz w:val="24"/>
          <w:szCs w:val="24"/>
        </w:rPr>
        <w:t>the ‘fetal origins hypothesis’</w:t>
      </w:r>
      <w:r w:rsidR="00F24617"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{"citationItems":[{"id":"ITEM-1","itemData":{"author":[{"dropping-particle":"","family":"Barker","given":"David JP","non-dropping-particle":"","parse-names":false,"suffix":""}],"container-title":"British Medical Journal","id":"ITEM-1","issued":{"date-parts":[["1995"]]},"page":"171","title":"Fetal origins of coronary heart disease","type":"article-journal","volume":"311"},"uris":["http://www.mendeley.com/documents/?uuid=34b8f1d7-742b-4cb1-b79a-b7fae8c0bae2"]}],"mendeley":{"formattedCitation":"(Barker 1995)","plainTextFormattedCitation":"(Barker 1995)","previouslyFormattedCitation":"(Barker 1995)"},"properties":{"noteIndex":0},"schema":"https://github.com/citation-style-language/schema/raw/master/csl-citation.json"}</w:instrText>
      </w:r>
      <w:r w:rsidR="00F24617"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(Barker 1995)</w:t>
      </w:r>
      <w:r w:rsidR="00F24617" w:rsidRPr="00A51130">
        <w:rPr>
          <w:rFonts w:ascii="Times New Roman" w:hAnsi="Times New Roman" w:cs="Times New Roman"/>
          <w:sz w:val="24"/>
          <w:szCs w:val="24"/>
        </w:rPr>
        <w:fldChar w:fldCharType="end"/>
      </w:r>
      <w:r w:rsidR="00E56B43" w:rsidRPr="00A51130">
        <w:rPr>
          <w:rFonts w:ascii="Times New Roman" w:hAnsi="Times New Roman" w:cs="Times New Roman"/>
          <w:sz w:val="24"/>
          <w:szCs w:val="24"/>
        </w:rPr>
        <w:t xml:space="preserve">, the notion that </w:t>
      </w:r>
      <w:r w:rsidR="00AF60A0" w:rsidRPr="00A51130">
        <w:rPr>
          <w:rFonts w:ascii="Times New Roman" w:hAnsi="Times New Roman" w:cs="Times New Roman"/>
          <w:sz w:val="24"/>
          <w:szCs w:val="24"/>
        </w:rPr>
        <w:t xml:space="preserve">adverse </w:t>
      </w:r>
      <w:r w:rsidR="00E56B43" w:rsidRPr="00A51130">
        <w:rPr>
          <w:rFonts w:ascii="Times New Roman" w:hAnsi="Times New Roman" w:cs="Times New Roman"/>
          <w:sz w:val="24"/>
          <w:szCs w:val="24"/>
        </w:rPr>
        <w:t>exposures in utero programme later</w:t>
      </w:r>
      <w:r w:rsidR="00346AA7" w:rsidRPr="00A51130">
        <w:rPr>
          <w:rFonts w:ascii="Times New Roman" w:hAnsi="Times New Roman" w:cs="Times New Roman"/>
          <w:sz w:val="24"/>
          <w:szCs w:val="24"/>
        </w:rPr>
        <w:t xml:space="preserve"> </w:t>
      </w:r>
      <w:r w:rsidR="00AF60A0" w:rsidRPr="00A51130">
        <w:rPr>
          <w:rFonts w:ascii="Times New Roman" w:hAnsi="Times New Roman" w:cs="Times New Roman"/>
          <w:sz w:val="24"/>
          <w:szCs w:val="24"/>
        </w:rPr>
        <w:t xml:space="preserve">sub-optimal </w:t>
      </w:r>
      <w:r w:rsidR="00132BB8" w:rsidRPr="00A51130">
        <w:rPr>
          <w:rFonts w:ascii="Times New Roman" w:hAnsi="Times New Roman" w:cs="Times New Roman"/>
          <w:sz w:val="24"/>
          <w:szCs w:val="24"/>
        </w:rPr>
        <w:t>health</w:t>
      </w:r>
      <w:r w:rsidR="00237432" w:rsidRPr="00A51130">
        <w:rPr>
          <w:rFonts w:ascii="Times New Roman" w:hAnsi="Times New Roman" w:cs="Times New Roman"/>
          <w:sz w:val="24"/>
          <w:szCs w:val="24"/>
        </w:rPr>
        <w:t xml:space="preserve">, </w:t>
      </w:r>
      <w:r w:rsidRPr="00A51130">
        <w:rPr>
          <w:rFonts w:ascii="Times New Roman" w:hAnsi="Times New Roman" w:cs="Times New Roman"/>
          <w:sz w:val="24"/>
          <w:szCs w:val="24"/>
        </w:rPr>
        <w:t xml:space="preserve">to </w:t>
      </w:r>
      <w:r w:rsidR="005D2C18" w:rsidRPr="00A51130">
        <w:rPr>
          <w:rFonts w:ascii="Times New Roman" w:hAnsi="Times New Roman" w:cs="Times New Roman"/>
          <w:sz w:val="24"/>
          <w:szCs w:val="24"/>
        </w:rPr>
        <w:t>cover</w:t>
      </w:r>
      <w:r w:rsidR="00966C36" w:rsidRPr="00A51130">
        <w:rPr>
          <w:rFonts w:ascii="Times New Roman" w:hAnsi="Times New Roman" w:cs="Times New Roman"/>
          <w:sz w:val="24"/>
          <w:szCs w:val="24"/>
        </w:rPr>
        <w:t xml:space="preserve"> a </w:t>
      </w:r>
      <w:r w:rsidR="006159C1" w:rsidRPr="00A51130">
        <w:rPr>
          <w:rFonts w:ascii="Times New Roman" w:hAnsi="Times New Roman" w:cs="Times New Roman"/>
          <w:sz w:val="24"/>
          <w:szCs w:val="24"/>
        </w:rPr>
        <w:t xml:space="preserve">greater </w:t>
      </w:r>
      <w:r w:rsidR="005D2C18" w:rsidRPr="00A51130">
        <w:rPr>
          <w:rFonts w:ascii="Times New Roman" w:hAnsi="Times New Roman" w:cs="Times New Roman"/>
          <w:sz w:val="24"/>
          <w:szCs w:val="24"/>
        </w:rPr>
        <w:t>period</w:t>
      </w:r>
      <w:r w:rsidR="006159C1" w:rsidRPr="00A51130">
        <w:rPr>
          <w:rFonts w:ascii="Times New Roman" w:hAnsi="Times New Roman" w:cs="Times New Roman"/>
          <w:sz w:val="24"/>
          <w:szCs w:val="24"/>
        </w:rPr>
        <w:t xml:space="preserve"> of early life</w:t>
      </w:r>
      <w:r w:rsidR="005D2C18" w:rsidRPr="00A51130">
        <w:rPr>
          <w:rFonts w:ascii="Times New Roman" w:hAnsi="Times New Roman" w:cs="Times New Roman"/>
          <w:sz w:val="24"/>
          <w:szCs w:val="24"/>
        </w:rPr>
        <w:t>.</w:t>
      </w:r>
      <w:r w:rsidR="00EB1873" w:rsidRPr="00A51130">
        <w:rPr>
          <w:rFonts w:ascii="Times New Roman" w:hAnsi="Times New Roman" w:cs="Times New Roman"/>
          <w:sz w:val="24"/>
          <w:szCs w:val="24"/>
        </w:rPr>
        <w:t xml:space="preserve"> </w:t>
      </w:r>
      <w:r w:rsidR="006A231A" w:rsidRPr="00A51130">
        <w:rPr>
          <w:rFonts w:ascii="Times New Roman" w:hAnsi="Times New Roman" w:cs="Times New Roman"/>
          <w:sz w:val="24"/>
          <w:szCs w:val="24"/>
        </w:rPr>
        <w:t xml:space="preserve">Indeed, as many growth-restricted fetuses display subsequent rapid infant growth, many of the observed associations between low birthweight and later cardiovascular risk could have simply been a proxy for the adverse effects of early postnatal weight gain. </w:t>
      </w:r>
    </w:p>
    <w:p w14:paraId="7649499D" w14:textId="10A9C6A9" w:rsidR="00A24494" w:rsidRPr="00A51130" w:rsidRDefault="008572C5"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 xml:space="preserve">Our findings </w:t>
      </w:r>
      <w:r w:rsidR="0093502F" w:rsidRPr="00A51130">
        <w:rPr>
          <w:rFonts w:ascii="Times New Roman" w:hAnsi="Times New Roman" w:cs="Times New Roman"/>
          <w:sz w:val="24"/>
          <w:szCs w:val="24"/>
        </w:rPr>
        <w:t>differ</w:t>
      </w:r>
      <w:r w:rsidRPr="00A51130">
        <w:rPr>
          <w:rFonts w:ascii="Times New Roman" w:hAnsi="Times New Roman" w:cs="Times New Roman"/>
          <w:sz w:val="24"/>
          <w:szCs w:val="24"/>
        </w:rPr>
        <w:t xml:space="preserve"> </w:t>
      </w:r>
      <w:r w:rsidR="00166664" w:rsidRPr="00A51130">
        <w:rPr>
          <w:rFonts w:ascii="Times New Roman" w:hAnsi="Times New Roman" w:cs="Times New Roman"/>
          <w:sz w:val="24"/>
          <w:szCs w:val="24"/>
        </w:rPr>
        <w:t xml:space="preserve">from </w:t>
      </w:r>
      <w:r w:rsidR="009C1AAB" w:rsidRPr="00A51130">
        <w:rPr>
          <w:rFonts w:ascii="Times New Roman" w:hAnsi="Times New Roman" w:cs="Times New Roman"/>
          <w:sz w:val="24"/>
          <w:szCs w:val="24"/>
        </w:rPr>
        <w:t>three</w:t>
      </w:r>
      <w:r w:rsidR="00A81F27" w:rsidRPr="00A51130">
        <w:rPr>
          <w:rFonts w:ascii="Times New Roman" w:hAnsi="Times New Roman" w:cs="Times New Roman"/>
          <w:sz w:val="24"/>
          <w:szCs w:val="24"/>
        </w:rPr>
        <w:t xml:space="preserve"> studies from the ‘Generation </w:t>
      </w:r>
      <w:r w:rsidR="00C63E02" w:rsidRPr="00A51130">
        <w:rPr>
          <w:rFonts w:ascii="Times New Roman" w:hAnsi="Times New Roman" w:cs="Times New Roman"/>
          <w:sz w:val="24"/>
          <w:szCs w:val="24"/>
        </w:rPr>
        <w:t>R</w:t>
      </w:r>
      <w:r w:rsidR="00A81F27" w:rsidRPr="00A51130">
        <w:rPr>
          <w:rFonts w:ascii="Times New Roman" w:hAnsi="Times New Roman" w:cs="Times New Roman"/>
          <w:sz w:val="24"/>
          <w:szCs w:val="24"/>
        </w:rPr>
        <w:t>’ cohort</w:t>
      </w:r>
      <w:r w:rsidR="006F4514" w:rsidRPr="00A51130">
        <w:rPr>
          <w:rFonts w:ascii="Times New Roman" w:hAnsi="Times New Roman" w:cs="Times New Roman"/>
          <w:sz w:val="24"/>
          <w:szCs w:val="24"/>
        </w:rPr>
        <w:t xml:space="preserve">, </w:t>
      </w:r>
      <w:r w:rsidR="00BE2EE3" w:rsidRPr="00A51130">
        <w:rPr>
          <w:rFonts w:ascii="Times New Roman" w:hAnsi="Times New Roman" w:cs="Times New Roman"/>
          <w:sz w:val="24"/>
          <w:szCs w:val="24"/>
        </w:rPr>
        <w:t xml:space="preserve">which did observe interaction effects between infant weight </w:t>
      </w:r>
      <w:r w:rsidR="00571B2D" w:rsidRPr="00A51130">
        <w:rPr>
          <w:rFonts w:ascii="Times New Roman" w:hAnsi="Times New Roman" w:cs="Times New Roman"/>
          <w:sz w:val="24"/>
          <w:szCs w:val="24"/>
        </w:rPr>
        <w:t>gain</w:t>
      </w:r>
      <w:r w:rsidR="00BE2EE3" w:rsidRPr="00A51130">
        <w:rPr>
          <w:rFonts w:ascii="Times New Roman" w:hAnsi="Times New Roman" w:cs="Times New Roman"/>
          <w:sz w:val="24"/>
          <w:szCs w:val="24"/>
        </w:rPr>
        <w:t xml:space="preserve"> and patterns of fetal weight gain</w:t>
      </w:r>
      <w:r w:rsidR="00BE2EE3"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{"citationItems":[{"id":"ITEM-1","itemData":{"DOI":"10.1210/jc.2013-4345","ISSN":"0021-972X","PMID":"24712569","abstract":"CONTEXT Higher infant growth rates are associated with an increased risk of obesity in later life. OBJECTIVE We examined the associations of longitudinally measured fetal and infant growth patterns with total and abdominal fat distribution in childhood. DESIGN, SETTING, AND PARTICIPANTS We performed a population-based prospective cohort study among 6464 children. We measured growth characteristics in the second and third trimesters of pregnancy, at birth, and at 6, 12, and 24 months. MAIN OUTCOME MEASURES Body mass index, fat mass index (body fat mass/height(2)), lean mass index (body lean mass/height(2)), android/gynoid fat ratio measured by dual-energy x-ray absorptiometry, and sc and preperitoneal abdominal fat measured by ultrasound at the median age of 6.0 years (90% range, 5.7-7.4). RESULTS We observed that weight gain in the second and third trimesters of fetal life and in early, mid, and late infancy were independently and positively associated with childhood body mass index (P &lt; .05). Only infant weight gain was associated with higher fat mass index, android/gynoid fat ratio, and abdominal fat in childhood (P &lt; .05). Children with both fetal and infant growth acceleration had the highest childhood body mass index, fat mass index, and sc abdominal fat, whereas children with fetal growth deceleration and infant growth acceleration had the highest value for android/gynoid fat ratio and the lowest value for lean mass index (P &lt; .05). CONCLUSIONS Growth in both fetal life and infancy affects childhood body mass index, whereas only infant growth directly affects measured total body and abdominal fat. Fetal growth deceleration followed by infant growth acceleration may lead to an adverse body fat distribution in childhood.","author":[{"dropping-particle":"","family":"Gishti","given":"Olta","non-dropping-particle":"","parse-names":false,"suffix":""},{"dropping-particle":"","family":"Gaillard","given":"Romy","non-dropping-particle":"","parse-names":false,"suffix":""},{"dropping-particle":"","family":"Manniesing","given":"Rashindra","non-dropping-particle":"","parse-names":false,"suffix":""},{"dropping-particle":"","family":"Abrahamse-Berkeveld","given":"Marieke","non-dropping-particle":"","parse-names":false,"suffix":""},{"dropping-particle":"","family":"Beek","given":"Eline M.","non-dropping-particle":"van der","parse-names":false,"suffix":""},{"dropping-particle":"","family":"Heppe","given":"Denise H. M.","non-dropping-particle":"","parse-names":false,"suffix":""},{"dropping-particle":"","family":"Steegers","given":"Eric A. P.","non-dropping-particle":"","parse-names":false,"suffix":""},{"dropping-particle":"","family":"Hofman","given":"Albert","non-dropping-particle":"","parse-names":false,"suffix":""},{"dropping-particle":"","family":"Duijts","given":"Liesbeth","non-dropping-particle":"","parse-names":false,"suffix":""},{"dropping-particle":"","family":"Durmuş","given":"Büşra","non-dropping-particle":"","parse-names":false,"suffix":""},{"dropping-particle":"V.","family":"Jaddoe","given":"Vincent W.","non-dropping-particle":"","parse-names":false,"suffix":""}],"container-title":"The Journal of Clinical Endocrinology &amp; Metabolism","id":"ITEM-1","issue":"7","issued":{"date-parts":[["2014","7"]]},"page":"2557-2566","title":"Fetal and Infant Growth Patterns Associated With Total and Abdominal Fat Distribution in School-Age Children","type":"article-journal","volume":"99"},"uris":["http://www.mendeley.com/documents/?uuid=695a369b-816b-334f-bd47-c4648cb68896"]},{"id":"ITEM-2","itemData":{"DOI":"10.1097/HJH.0000000000000947","ISSN":"0263-6352","PMID":"27115338","abstract":"OBJECTIVE Low birth weight is associated with cardiovascular disease. We examined the effects of fetal and infant growth patterns on cardiovascular outcomes in children. METHODS In a population-based prospective cohort study among 6239 children, we estimated fetal-femur length and weight by 20 and 30 weeks ultrasound, and child length and weight at birth, 0.5, 1, 2 and 6 years. We measured blood pressure (BP), carotid-femoral pulse wave velocity, aortic root diameter, left ventricular mass and fractional shortening at 6 years. We used regression analyses to identify longitudinal growth patterns associated with height-standardized vascular outcomes and body-surface-area-standardized cardiac outcomes. RESULTS Younger gestational age and lower birth weight were associated with higher BP, smaller aortic root diameter and lower left ventricular mass in childhood (all P values &lt;0.05). Children with decelerated or normal fetal growth followed by accelerated infant growth had higher BP, whereas those with decelerated growth during both fetal life and infancy had a relatively larger left ventricular mass. Longitudinal growth analyses showed that children with increased BP tended to be smaller during third trimester of fetal life, but of normal size during infancy, than children with normal BP. Children with increased aortic root diameter or left ventricular mass tended to be larger during fetal life, but of similar size during infancy. CONCLUSION Specific fetal and infant growth patterns are associated with different cardiovascular outcomes in children. Further studies are needed to identify the underlying mechanisms and the long-term cardiovascular consequences.","author":[{"dropping-particle":"","family":"Toemen","given":"Liza","non-dropping-particle":"","parse-names":false,"suffix":""},{"dropping-particle":"","family":"Jonge","given":"Layla L.","non-dropping-particle":"de","parse-names":false,"suffix":""},{"dropping-particle":"","family":"Gishti","given":"Olta","non-dropping-particle":"","parse-names":false,"suffix":""},{"dropping-particle":"","family":"Osch-Gevers","given":"Lennie","non-dropping-particle":"van","parse-names":false,"suffix":""},{"dropping-particle":"","family":"Taal","given":"H. Rob","non-dropping-particle":"","parse-names":false,"suffix":""},{"dropping-particle":"","family":"Steegers","given":"Eric A.P.","non-dropping-particle":"","parse-names":false,"suffix":""},{"dropping-particle":"","family":"Hofman","given":"Albert","non-dropping-particle":"","parse-names":false,"suffix":""},{"dropping-particle":"","family":"Helbing","given":"Willem A.","non-dropping-particle":"","parse-names":false,"suffix":""},{"dropping-particle":"","family":"Jaddoe","given":"Vincent W.V.","non-dropping-particle":"","parse-names":false,"suffix":""}],"container-title":"Journal of Hypertension","id":"ITEM-2","issue":"7","issued":{"date-parts":[["2016","7"]]},"page":"1396-1406","title":"Longitudinal growth during fetal life and infancy and cardiovascular outcomes at school-age","type":"article-journal","volume":"34"},"uris":["http://www.mendeley.com/documents/?uuid=cb60083d-0e98-30c7-b107-39ad40dff4aa"]},{"id":"ITEM-3","itemData":{"DOI":"10.1001/jamanetworkopen.2019.2843","ISSN":"2574-3805","abstract":"&lt;h3&gt;Importance&lt;/h3&gt;&lt;p&gt;Both fetal and infant growth influence obesity later in life. The association of longitudinal fetal and infant growth patterns with organ fat is unknown.&lt;/p&gt;&lt;h3&gt;Objective&lt;/h3&gt;&lt;p&gt;To examine the associations of fetal and infant weight change with general, visceral, and organ adiposity at school age.&lt;/p&gt;&lt;h3&gt;Design, Setting, and Participants&lt;/h3&gt;&lt;p&gt;This cohort study was embedded in the Generation R Study, a population-based prospective cohort study in Rotterdam, the Netherlands. Pregnant women with a delivery date between April 2002 and January 2006 were eligible to participate. Follow-up measurements were performed for 3205 children. Data analysis of this population was performed from July 26, 2018, to February 7, 2019.&lt;/p&gt;&lt;h3&gt;Exposures&lt;/h3&gt;&lt;p&gt;Fetal weight was estimated in the second and third trimester of pregnancy. Infant weight was measured at 6, 12, and 24 months. Fetal and infant weight acceleration or deceleration were defined as a change in standard deviation scores greater than 0.67 between 2 ages.&lt;/p&gt;&lt;h3&gt;Main Outcomes and Measures&lt;/h3&gt;&lt;p&gt;Visceral fat index, pericardial fat index, and liver fat fraction were measured by magnetic resonance imaging.&lt;/p&gt;&lt;h3&gt;Results&lt;/h3&gt;&lt;p&gt;The sample consisted of 3205 children (1632 girls [50.9%]; mean [SD] age, 9.8 [0.3] years). Children born small for gestational age had the lowest median body mass index compared with children born appropriate for gestational age and large for gestational age (16.4 [90% range, 14.1-23.6] vs 16.9 [90% range, 14.4-22.8] vs 17.4 [90% range, 14.9-22.7]). Compared with children with normal fetal and infant growth (533 of 2370 [22.5%]), those with fetal weight deceleration followed by infant weight acceleration (263 of 2370 [11.1%]) had the highest visceral fat index (standard deviation scores, 0.18; 95% CI, 0.03-0.33;&lt;i&gt;P&lt;/i&gt; = .02) and liver fat fraction (standard deviation scores, 0.34; 95% CI, 0.20-0.48;&lt;i&gt;P&lt;/i&gt; &amp;lt; .001).&lt;/p&gt;&lt;h3&gt;Conclusions and Relevance&lt;/h3&gt;&lt;p&gt;Fetal and infant weight change patterns were both associated with childhood body fat, but weight change patterns in infancy tended to have larger effects. Fetal growth restriction followed by infant growth acceleration was associated with increased visceral and liver fat.&lt;/p&gt;","author":[{"dropping-particle":"","family":"Vogelezang","given":"Suzanne","non-dropping-particle":"","parse-names":false,"suffix":""},{"dropping-particle":"","family":"Santos","given":"Susana","non-dropping-particle":"","parse-names":false,"suffix":""},{"dropping-particle":"","family":"Toemen","given":"Liza","non-dropping-particle":"","parse-names":false,"suffix":""},{"dropping-particle":"","family":"Oei","given":"Edwin H. G.","non-dropping-particle":"","parse-names":false,"suffix":""},{"dropping-particle":"","family":"Felix","given":"Janine F.","non-dropping-particle":"","parse-names":false,"suffix":""},{"dropping-particle":"V.","family":"Jaddoe","given":"Vincent W.","non-dropping-particle":"","parse-names":false,"suffix":""}],"container-title":"JAMA Network Open","id":"ITEM-3","issue":"4","issued":{"date-parts":[["2019","4","26"]]},"page":"e192843","publisher":"American Medical Association","title":"Associations of Fetal and Infant Weight Change With General, Visceral, and Organ Adiposity at School Age","type":"article-journal","volume":"2"},"uris":["http://www.mendeley.com/documents/?uuid=7088dc8b-5454-3b59-ac1d-c32ef1b18cfb"]}],"mendeley":{"formattedCitation":"(Gishti et al. 2014; Toemen et al. 2016; Vogelezang et al. 2019)","plainTextFormattedCitation":"(Gishti et al. 2014; Toemen et al. 2016; Vogelezang et al. 2019)","previouslyFormattedCitation":"(Gishti et al. 2014; Toemen et al. 2016; Vogelezang et al. 2019)"},"properties":{"noteIndex":0},"schema":"https://github.com/citation-style-language/schema/raw/master/csl-citation.json"}</w:instrText>
      </w:r>
      <w:r w:rsidR="00BE2EE3"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(Gishti et al. 2014; Toemen et al. 2016; Vogelezang et al. 2019)</w:t>
      </w:r>
      <w:r w:rsidR="00BE2EE3" w:rsidRPr="00A51130">
        <w:rPr>
          <w:rFonts w:ascii="Times New Roman" w:hAnsi="Times New Roman" w:cs="Times New Roman"/>
          <w:sz w:val="24"/>
          <w:szCs w:val="24"/>
        </w:rPr>
        <w:fldChar w:fldCharType="end"/>
      </w:r>
      <w:r w:rsidR="00BE2EE3" w:rsidRPr="00A51130">
        <w:rPr>
          <w:rFonts w:ascii="Times New Roman" w:hAnsi="Times New Roman" w:cs="Times New Roman"/>
          <w:sz w:val="24"/>
          <w:szCs w:val="24"/>
        </w:rPr>
        <w:t>.</w:t>
      </w:r>
      <w:r w:rsidR="00556B1C">
        <w:rPr>
          <w:rFonts w:ascii="Times New Roman" w:hAnsi="Times New Roman" w:cs="Times New Roman"/>
          <w:sz w:val="24"/>
          <w:szCs w:val="24"/>
        </w:rPr>
        <w:t xml:space="preserve"> </w:t>
      </w:r>
      <w:r w:rsidR="00D31029" w:rsidRPr="00A51130">
        <w:rPr>
          <w:rFonts w:ascii="Times New Roman" w:hAnsi="Times New Roman" w:cs="Times New Roman"/>
          <w:sz w:val="24"/>
          <w:szCs w:val="24"/>
        </w:rPr>
        <w:t xml:space="preserve">However, </w:t>
      </w:r>
      <w:r w:rsidR="00960C5B">
        <w:rPr>
          <w:rFonts w:ascii="Times New Roman" w:hAnsi="Times New Roman" w:cs="Times New Roman"/>
          <w:sz w:val="24"/>
          <w:szCs w:val="24"/>
        </w:rPr>
        <w:t>across</w:t>
      </w:r>
      <w:r w:rsidR="00960C5B" w:rsidRPr="00A51130">
        <w:rPr>
          <w:rFonts w:ascii="Times New Roman" w:hAnsi="Times New Roman" w:cs="Times New Roman"/>
          <w:sz w:val="24"/>
          <w:szCs w:val="24"/>
        </w:rPr>
        <w:t xml:space="preserve"> </w:t>
      </w:r>
      <w:r w:rsidR="00276C3A" w:rsidRPr="00A51130">
        <w:rPr>
          <w:rFonts w:ascii="Times New Roman" w:hAnsi="Times New Roman" w:cs="Times New Roman"/>
          <w:sz w:val="24"/>
          <w:szCs w:val="24"/>
        </w:rPr>
        <w:t>the</w:t>
      </w:r>
      <w:r w:rsidR="00D07A04" w:rsidRPr="00A51130">
        <w:rPr>
          <w:rFonts w:ascii="Times New Roman" w:hAnsi="Times New Roman" w:cs="Times New Roman"/>
          <w:sz w:val="24"/>
          <w:szCs w:val="24"/>
        </w:rPr>
        <w:t xml:space="preserve"> </w:t>
      </w:r>
      <w:r w:rsidR="00960C5B">
        <w:rPr>
          <w:rFonts w:ascii="Times New Roman" w:hAnsi="Times New Roman" w:cs="Times New Roman"/>
          <w:sz w:val="24"/>
          <w:szCs w:val="24"/>
        </w:rPr>
        <w:t xml:space="preserve">three </w:t>
      </w:r>
      <w:r w:rsidR="00D07A04" w:rsidRPr="00A51130">
        <w:rPr>
          <w:rFonts w:ascii="Times New Roman" w:hAnsi="Times New Roman" w:cs="Times New Roman"/>
          <w:sz w:val="24"/>
          <w:szCs w:val="24"/>
        </w:rPr>
        <w:t>studies</w:t>
      </w:r>
      <w:r w:rsidR="00046F94" w:rsidRPr="00A51130">
        <w:rPr>
          <w:rFonts w:ascii="Times New Roman" w:hAnsi="Times New Roman" w:cs="Times New Roman"/>
          <w:sz w:val="24"/>
          <w:szCs w:val="24"/>
        </w:rPr>
        <w:t xml:space="preserve">, the </w:t>
      </w:r>
      <w:r w:rsidR="00B836B8" w:rsidRPr="00A51130">
        <w:rPr>
          <w:rFonts w:ascii="Times New Roman" w:hAnsi="Times New Roman" w:cs="Times New Roman"/>
          <w:sz w:val="24"/>
          <w:szCs w:val="24"/>
        </w:rPr>
        <w:t xml:space="preserve">interaction </w:t>
      </w:r>
      <w:r w:rsidR="00276C3A" w:rsidRPr="00A51130">
        <w:rPr>
          <w:rFonts w:ascii="Times New Roman" w:hAnsi="Times New Roman" w:cs="Times New Roman"/>
          <w:sz w:val="24"/>
          <w:szCs w:val="24"/>
        </w:rPr>
        <w:t>effect</w:t>
      </w:r>
      <w:r w:rsidR="004D607A" w:rsidRPr="00A51130">
        <w:rPr>
          <w:rFonts w:ascii="Times New Roman" w:hAnsi="Times New Roman" w:cs="Times New Roman"/>
          <w:sz w:val="24"/>
          <w:szCs w:val="24"/>
        </w:rPr>
        <w:t>s</w:t>
      </w:r>
      <w:r w:rsidR="00276C3A" w:rsidRPr="00A51130">
        <w:rPr>
          <w:rFonts w:ascii="Times New Roman" w:hAnsi="Times New Roman" w:cs="Times New Roman"/>
          <w:sz w:val="24"/>
          <w:szCs w:val="24"/>
        </w:rPr>
        <w:t xml:space="preserve"> </w:t>
      </w:r>
      <w:r w:rsidR="00B836B8" w:rsidRPr="00A51130">
        <w:rPr>
          <w:rFonts w:ascii="Times New Roman" w:hAnsi="Times New Roman" w:cs="Times New Roman"/>
          <w:sz w:val="24"/>
          <w:szCs w:val="24"/>
        </w:rPr>
        <w:t>differed depending on the outcome</w:t>
      </w:r>
      <w:r w:rsidR="00960C5B">
        <w:rPr>
          <w:rFonts w:ascii="Times New Roman" w:hAnsi="Times New Roman" w:cs="Times New Roman"/>
          <w:sz w:val="24"/>
          <w:szCs w:val="24"/>
        </w:rPr>
        <w:t xml:space="preserve">. For example, </w:t>
      </w:r>
      <w:r w:rsidR="006B2FDE" w:rsidRPr="00A51130">
        <w:rPr>
          <w:rFonts w:ascii="Times New Roman" w:hAnsi="Times New Roman" w:cs="Times New Roman"/>
          <w:sz w:val="24"/>
          <w:szCs w:val="24"/>
        </w:rPr>
        <w:t>Gishti et al (2014)</w:t>
      </w:r>
      <w:r w:rsidR="006B2FDE" w:rsidRPr="00A51130">
        <w:rPr>
          <w:rFonts w:ascii="Times New Roman" w:hAnsi="Times New Roman" w:cs="Times New Roman"/>
          <w:sz w:val="24"/>
          <w:szCs w:val="24"/>
        </w:rPr>
        <w:fldChar w:fldCharType="begin" w:fldLock="1"/>
      </w:r>
      <w:r w:rsidR="006B2FDE">
        <w:rPr>
          <w:rFonts w:ascii="Times New Roman" w:hAnsi="Times New Roman" w:cs="Times New Roman"/>
          <w:sz w:val="24"/>
          <w:szCs w:val="24"/>
        </w:rPr>
        <w:instrText>ADDIN CSL_CITATION {"citationItems":[{"id":"ITEM-1","itemData":{"DOI":"10.1210/jc.2013-4345","ISSN":"0021-972X","PMID":"24712569","abstract":"CONTEXT Higher infant growth rates are associated with an increased risk of obesity in later life. OBJECTIVE We examined the associations of longitudinally measured fetal and infant growth patterns with total and abdominal fat distribution in childhood. DESIGN, SETTING, AND PARTICIPANTS We performed a population-based prospective cohort study among 6464 children. We measured growth characteristics in the second and third trimesters of pregnancy, at birth, and at 6, 12, and 24 months. MAIN OUTCOME MEASURES Body mass index, fat mass index (body fat mass/height(2)), lean mass index (body lean mass/height(2)), android/gynoid fat ratio measured by dual-energy x-ray absorptiometry, and sc and preperitoneal abdominal fat measured by ultrasound at the median age of 6.0 years (90% range, 5.7-7.4). RESULTS We observed that weight gain in the second and third trimesters of fetal life and in early, mid, and late infancy were independently and positively associated with childhood body mass index (P &lt; .05). Only infant weight gain was associated with higher fat mass index, android/gynoid fat ratio, and abdominal fat in childhood (P &lt; .05). Children with both fetal and infant growth acceleration had the highest childhood body mass index, fat mass index, and sc abdominal fat, whereas children with fetal growth deceleration and infant growth acceleration had the highest value for android/gynoid fat ratio and the lowest value for lean mass index (P &lt; .05). CONCLUSIONS Growth in both fetal life and infancy affects childhood body mass index, whereas only infant growth directly affects measured total body and abdominal fat. Fetal growth deceleration followed by infant growth acceleration may lead to an adverse body fat distribution in childhood.","author":[{"dropping-particle":"","family":"Gishti","given":"Olta","non-dropping-particle":"","parse-names":false,"suffix":""},{"dropping-particle":"","family":"Gaillard","given":"Romy","non-dropping-particle":"","parse-names":false,"suffix":""},{"dropping-particle":"","family":"Manniesing","given":"Rashindra","non-dropping-particle":"","parse-names":false,"suffix":""},{"dropping-particle":"","family":"Abrahamse-Berkeveld","given":"Marieke","non-dropping-particle":"","parse-names":false,"suffix":""},{"dropping-particle":"","family":"Beek","given":"Eline M.","non-dropping-particle":"van der","parse-names":false,"suffix":""},{"dropping-particle":"","family":"Heppe","given":"Denise H. M.","non-dropping-particle":"","parse-names":false,"suffix":""},{"dropping-particle":"","family":"Steegers","given":"Eric A. P.","non-dropping-particle":"","parse-names":false,"suffix":""},{"dropping-particle":"","family":"Hofman","given":"Albert","non-dropping-particle":"","parse-names":false,"suffix":""},{"dropping-particle":"","family":"Duijts","given":"Liesbeth","non-dropping-particle":"","parse-names":false,"suffix":""},{"dropping-particle":"","family":"Durmuş","given":"Büşra","non-dropping-particle":"","parse-names":false,"suffix":""},{"dropping-particle":"V.","family":"Jaddoe","given":"Vincent W.","non-dropping-particle":"","parse-names":false,"suffix":""}],"container-title":"The Journal of Clinical Endocrinology &amp; Metabolism","id":"ITEM-1","issue":"7","issued":{"date-parts":[["2014","7"]]},"page":"2557-2566","title":"Fetal and Infant Growth Patterns Associated With Total and Abdominal Fat Distribution in School-Age Children","type":"article-journal","volume":"99"},"uris":["http://www.mendeley.com/documents/?uuid=695a369b-816b-334f-bd47-c4648cb68896"]}],"mendeley":{"formattedCitation":"(Gishti et al. 2014)","plainTextFormattedCitation":"(Gishti et al. 2014)","previouslyFormattedCitation":"(Gishti et al. 2014)"},"properties":{"noteIndex":0},"schema":"https://github.com/citation-style-language/schema/raw/master/csl-citation.json"}</w:instrText>
      </w:r>
      <w:r w:rsidR="006B2FDE" w:rsidRPr="00A51130">
        <w:rPr>
          <w:rFonts w:ascii="Times New Roman" w:hAnsi="Times New Roman" w:cs="Times New Roman"/>
          <w:sz w:val="24"/>
          <w:szCs w:val="24"/>
        </w:rPr>
        <w:fldChar w:fldCharType="separate"/>
      </w:r>
      <w:r w:rsidR="006B2FDE" w:rsidRPr="006A5DDF">
        <w:rPr>
          <w:rFonts w:ascii="Times New Roman" w:hAnsi="Times New Roman" w:cs="Times New Roman"/>
          <w:noProof/>
          <w:sz w:val="24"/>
          <w:szCs w:val="24"/>
        </w:rPr>
        <w:t>(Gishti et al. 2014)</w:t>
      </w:r>
      <w:r w:rsidR="006B2FDE" w:rsidRPr="00A51130">
        <w:rPr>
          <w:rFonts w:ascii="Times New Roman" w:hAnsi="Times New Roman" w:cs="Times New Roman"/>
          <w:sz w:val="24"/>
          <w:szCs w:val="24"/>
        </w:rPr>
        <w:fldChar w:fldCharType="end"/>
      </w:r>
      <w:r w:rsidR="006B2FDE" w:rsidRPr="00A51130">
        <w:rPr>
          <w:rFonts w:ascii="Times New Roman" w:hAnsi="Times New Roman" w:cs="Times New Roman"/>
          <w:sz w:val="24"/>
          <w:szCs w:val="24"/>
        </w:rPr>
        <w:t xml:space="preserve"> observed that children with both “fetal growth acceleration” and “infant growth acceleration” had the highest</w:t>
      </w:r>
      <w:r w:rsidR="006B2FDE">
        <w:rPr>
          <w:rFonts w:ascii="Times New Roman" w:hAnsi="Times New Roman" w:cs="Times New Roman"/>
          <w:sz w:val="24"/>
          <w:szCs w:val="24"/>
        </w:rPr>
        <w:t xml:space="preserve"> body mass index</w:t>
      </w:r>
      <w:r w:rsidR="006B2FDE" w:rsidRPr="00A51130">
        <w:rPr>
          <w:rFonts w:ascii="Times New Roman" w:hAnsi="Times New Roman" w:cs="Times New Roman"/>
          <w:sz w:val="24"/>
          <w:szCs w:val="24"/>
        </w:rPr>
        <w:t xml:space="preserve"> </w:t>
      </w:r>
      <w:r w:rsidR="006B2FDE">
        <w:rPr>
          <w:rFonts w:ascii="Times New Roman" w:hAnsi="Times New Roman" w:cs="Times New Roman"/>
          <w:sz w:val="24"/>
          <w:szCs w:val="24"/>
        </w:rPr>
        <w:t>(</w:t>
      </w:r>
      <w:r w:rsidR="006B2FDE" w:rsidRPr="00A51130">
        <w:rPr>
          <w:rFonts w:ascii="Times New Roman" w:hAnsi="Times New Roman" w:cs="Times New Roman"/>
          <w:sz w:val="24"/>
          <w:szCs w:val="24"/>
        </w:rPr>
        <w:t>BMI</w:t>
      </w:r>
      <w:r w:rsidR="006B2FDE">
        <w:rPr>
          <w:rFonts w:ascii="Times New Roman" w:hAnsi="Times New Roman" w:cs="Times New Roman"/>
          <w:sz w:val="24"/>
          <w:szCs w:val="24"/>
        </w:rPr>
        <w:t>)</w:t>
      </w:r>
      <w:r w:rsidR="006B2FDE" w:rsidRPr="00A51130">
        <w:rPr>
          <w:rFonts w:ascii="Times New Roman" w:hAnsi="Times New Roman" w:cs="Times New Roman"/>
          <w:sz w:val="24"/>
          <w:szCs w:val="24"/>
        </w:rPr>
        <w:t xml:space="preserve">, fat mass index, and abdominal fat at age 6 years. Conversely, children who had “fetal growth deceleration” and “infant growth acceleration” had the highest android/gynoid fat ratio and lowest lean mass index. In </w:t>
      </w:r>
      <w:r w:rsidR="006B2FDE">
        <w:rPr>
          <w:rFonts w:ascii="Times New Roman" w:hAnsi="Times New Roman" w:cs="Times New Roman"/>
          <w:sz w:val="24"/>
          <w:szCs w:val="24"/>
        </w:rPr>
        <w:t>a</w:t>
      </w:r>
      <w:r w:rsidR="006B2FDE" w:rsidRPr="00A51130">
        <w:rPr>
          <w:rFonts w:ascii="Times New Roman" w:hAnsi="Times New Roman" w:cs="Times New Roman"/>
          <w:sz w:val="24"/>
          <w:szCs w:val="24"/>
        </w:rPr>
        <w:t xml:space="preserve"> second study (n=6239), Toemen et al (2016) observed that children with “decelerated or normal fetal growth” followed by “accelerated infant growth” had higher blood pressure (compared to children with normal fetal and infant growth). Conversely, children who had “decelerated growth” during both gestation and infancy had a larger left ventricular mass</w:t>
      </w:r>
      <w:r w:rsidR="006B2FDE" w:rsidRPr="00A51130">
        <w:rPr>
          <w:rFonts w:ascii="Times New Roman" w:hAnsi="Times New Roman" w:cs="Times New Roman"/>
          <w:sz w:val="24"/>
          <w:szCs w:val="24"/>
        </w:rPr>
        <w:fldChar w:fldCharType="begin" w:fldLock="1"/>
      </w:r>
      <w:r w:rsidR="006B2FDE">
        <w:rPr>
          <w:rFonts w:ascii="Times New Roman" w:hAnsi="Times New Roman" w:cs="Times New Roman"/>
          <w:sz w:val="24"/>
          <w:szCs w:val="24"/>
        </w:rPr>
        <w:instrText>ADDIN CSL_CITATION {"citationItems":[{"id":"ITEM-1","itemData":{"DOI":"10.1097/HJH.0000000000000947","ISSN":"0263-6352","PMID":"27115338","abstract":"OBJECTIVE Low birth weight is associated with cardiovascular disease. We examined the effects of fetal and infant growth patterns on cardiovascular outcomes in children. METHODS In a population-based prospective cohort study among 6239 children, we estimated fetal-femur length and weight by 20 and 30 weeks ultrasound, and child length and weight at birth, 0.5, 1, 2 and 6 years. We measured blood pressure (BP), carotid-femoral pulse wave velocity, aortic root diameter, left ventricular mass and fractional shortening at 6 years. We used regression analyses to identify longitudinal growth patterns associated with height-standardized vascular outcomes and body-surface-area-standardized cardiac outcomes. RESULTS Younger gestational age and lower birth weight were associated with higher BP, smaller aortic root diameter and lower left ventricular mass in childhood (all P values &lt;0.05). Children with decelerated or normal fetal growth followed by accelerated infant growth had higher BP, whereas those with decelerated growth during both fetal life and infancy had a relatively larger left ventricular mass. Longitudinal growth analyses showed that children with increased BP tended to be smaller during third trimester of fetal life, but of normal size during infancy, than children with normal BP. Children with increased aortic root diameter or left ventricular mass tended to be larger during fetal life, but of similar size during infancy. CONCLUSION Specific fetal and infant growth patterns are associated with different cardiovascular outcomes in children. Further studies are needed to identify the underlying mechanisms and the long-term cardiovascular consequences.","author":[{"dropping-particle":"","family":"Toemen","given":"Liza","non-dropping-particle":"","parse-names":false,"suffix":""},{"dropping-particle":"","family":"Jonge","given":"Layla L.","non-dropping-particle":"de","parse-names":false,"suffix":""},{"dropping-particle":"","family":"Gishti","given":"Olta","non-dropping-particle":"","parse-names":false,"suffix":""},{"dropping-particle":"","family":"Osch-Gevers","given":"Lennie","non-dropping-particle":"van","parse-names":false,"suffix":""},{"dropping-particle":"","family":"Taal","given":"H. Rob","non-dropping-particle":"","parse-names":false,"suffix":""},{"dropping-particle":"","family":"Steegers","given":"Eric A.P.","non-dropping-particle":"","parse-names":false,"suffix":""},{"dropping-particle":"","family":"Hofman","given":"Albert","non-dropping-particle":"","parse-names":false,"suffix":""},{"dropping-particle":"","family":"Helbing","given":"Willem A.","non-dropping-particle":"","parse-names":false,"suffix":""},{"dropping-particle":"","family":"Jaddoe","given":"Vincent W.V.","non-dropping-particle":"","parse-names":false,"suffix":""}],"container-title":"Journal of Hypertension","id":"ITEM-1","issue":"7","issued":{"date-parts":[["2016","7"]]},"page":"1396-1406","title":"Longitudinal growth during fetal life and infancy and cardiovascular outcomes at school-age","type":"article-journal","volume":"34"},"uris":["http://www.mendeley.com/documents/?uuid=cb60083d-0e98-30c7-b107-39ad40dff4aa"]}],"mendeley":{"formattedCitation":"(Toemen et al. 2016)","plainTextFormattedCitation":"(Toemen et al. 2016)","previouslyFormattedCitation":"(Toemen et al. 2016)"},"properties":{"noteIndex":0},"schema":"https://github.com/citation-style-language/schema/raw/master/csl-citation.json"}</w:instrText>
      </w:r>
      <w:r w:rsidR="006B2FDE" w:rsidRPr="00A51130">
        <w:rPr>
          <w:rFonts w:ascii="Times New Roman" w:hAnsi="Times New Roman" w:cs="Times New Roman"/>
          <w:sz w:val="24"/>
          <w:szCs w:val="24"/>
        </w:rPr>
        <w:fldChar w:fldCharType="separate"/>
      </w:r>
      <w:r w:rsidR="006B2FDE" w:rsidRPr="006A5DDF">
        <w:rPr>
          <w:rFonts w:ascii="Times New Roman" w:hAnsi="Times New Roman" w:cs="Times New Roman"/>
          <w:noProof/>
          <w:sz w:val="24"/>
          <w:szCs w:val="24"/>
        </w:rPr>
        <w:t>(Toemen et al. 2016)</w:t>
      </w:r>
      <w:r w:rsidR="006B2FDE" w:rsidRPr="00A51130">
        <w:rPr>
          <w:rFonts w:ascii="Times New Roman" w:hAnsi="Times New Roman" w:cs="Times New Roman"/>
          <w:sz w:val="24"/>
          <w:szCs w:val="24"/>
        </w:rPr>
        <w:fldChar w:fldCharType="end"/>
      </w:r>
      <w:r w:rsidR="006B2FDE" w:rsidRPr="00A51130">
        <w:rPr>
          <w:rFonts w:ascii="Times New Roman" w:hAnsi="Times New Roman" w:cs="Times New Roman"/>
          <w:sz w:val="24"/>
          <w:szCs w:val="24"/>
        </w:rPr>
        <w:t>. Finally, in the third study, Vogelezang et al (2019)</w:t>
      </w:r>
      <w:r w:rsidR="006B2FDE" w:rsidRPr="00A51130">
        <w:rPr>
          <w:rFonts w:ascii="Times New Roman" w:hAnsi="Times New Roman" w:cs="Times New Roman"/>
          <w:sz w:val="24"/>
          <w:szCs w:val="24"/>
        </w:rPr>
        <w:fldChar w:fldCharType="begin" w:fldLock="1"/>
      </w:r>
      <w:r w:rsidR="006B2FDE">
        <w:rPr>
          <w:rFonts w:ascii="Times New Roman" w:hAnsi="Times New Roman" w:cs="Times New Roman"/>
          <w:sz w:val="24"/>
          <w:szCs w:val="24"/>
        </w:rPr>
        <w:instrText>ADDIN CSL_CITATION {"citationItems":[{"id":"ITEM-1","itemData":{"DOI":"10.1001/jamanetworkopen.2019.2843","ISSN":"2574-3805","abstract":"&lt;h3&gt;Importance&lt;/h3&gt;&lt;p&gt;Both fetal and infant growth influence obesity later in life. The association of longitudinal fetal and infant growth patterns with organ fat is unknown.&lt;/p&gt;&lt;h3&gt;Objective&lt;/h3&gt;&lt;p&gt;To examine the associations of fetal and infant weight change with general, visceral, and organ adiposity at school age.&lt;/p&gt;&lt;h3&gt;Design, Setting, and Participants&lt;/h3&gt;&lt;p&gt;This cohort study was embedded in the Generation R Study, a population-based prospective cohort study in Rotterdam, the Netherlands. Pregnant women with a delivery date between April 2002 and January 2006 were eligible to participate. Follow-up measurements were performed for 3205 children. Data analysis of this population was performed from July 26, 2018, to February 7, 2019.&lt;/p&gt;&lt;h3&gt;Exposures&lt;/h3&gt;&lt;p&gt;Fetal weight was estimated in the second and third trimester of pregnancy. Infant weight was measured at 6, 12, and 24 months. Fetal and infant weight acceleration or deceleration were defined as a change in standard deviation scores greater than 0.67 between 2 ages.&lt;/p&gt;&lt;h3&gt;Main Outcomes and Measures&lt;/h3&gt;&lt;p&gt;Visceral fat index, pericardial fat index, and liver fat fraction were measured by magnetic resonance imaging.&lt;/p&gt;&lt;h3&gt;Results&lt;/h3&gt;&lt;p&gt;The sample consisted of 3205 children (1632 girls [50.9%]; mean [SD] age, 9.8 [0.3] years). Children born small for gestational age had the lowest median body mass index compared with children born appropriate for gestational age and large for gestational age (16.4 [90% range, 14.1-23.6] vs 16.9 [90% range, 14.4-22.8] vs 17.4 [90% range, 14.9-22.7]). Compared with children with normal fetal and infant growth (533 of 2370 [22.5%]), those with fetal weight deceleration followed by infant weight acceleration (263 of 2370 [11.1%]) had the highest visceral fat index (standard deviation scores, 0.18; 95% CI, 0.03-0.33;&lt;i&gt;P&lt;/i&gt; = .02) and liver fat fraction (standard deviation scores, 0.34; 95% CI, 0.20-0.48;&lt;i&gt;P&lt;/i&gt; &amp;lt; .001).&lt;/p&gt;&lt;h3&gt;Conclusions and Relevance&lt;/h3&gt;&lt;p&gt;Fetal and infant weight change patterns were both associated with childhood body fat, but weight change patterns in infancy tended to have larger effects. Fetal growth restriction followed by infant growth acceleration was associated with increased visceral and liver fat.&lt;/p&gt;","author":[{"dropping-particle":"","family":"Vogelezang","given":"Suzanne","non-dropping-particle":"","parse-names":false,"suffix":""},{"dropping-particle":"","family":"Santos","given":"Susana","non-dropping-particle":"","parse-names":false,"suffix":""},{"dropping-particle":"","family":"Toemen","given":"Liza","non-dropping-particle":"","parse-names":false,"suffix":""},{"dropping-particle":"","family":"Oei","given":"Edwin H. G.","non-dropping-particle":"","parse-names":false,"suffix":""},{"dropping-particle":"","family":"Felix","given":"Janine F.","non-dropping-particle":"","parse-names":false,"suffix":""},{"dropping-particle":"V.","family":"Jaddoe","given":"Vincent W.","non-dropping-particle":"","parse-names":false,"suffix":""}],"container-title":"JAMA Network Open","id":"ITEM-1","issue":"4","issued":{"date-parts":[["2019","4","26"]]},"page":"e192843","publisher":"American Medical Association","title":"Associations of Fetal and Infant Weight Change With General, Visceral, and Organ Adiposity at School Age","type":"article-journal","volume":"2"},"uris":["http://www.mendeley.com/documents/?uuid=7088dc8b-5454-3b59-ac1d-c32ef1b18cfb"]}],"mendeley":{"formattedCitation":"(Vogelezang et al. 2019)","plainTextFormattedCitation":"(Vogelezang et al. 2019)","previouslyFormattedCitation":"(Vogelezang et al. 2019)"},"properties":{"noteIndex":0},"schema":"https://github.com/citation-style-language/schema/raw/master/csl-citation.json"}</w:instrText>
      </w:r>
      <w:r w:rsidR="006B2FDE" w:rsidRPr="00A51130">
        <w:rPr>
          <w:rFonts w:ascii="Times New Roman" w:hAnsi="Times New Roman" w:cs="Times New Roman"/>
          <w:sz w:val="24"/>
          <w:szCs w:val="24"/>
        </w:rPr>
        <w:fldChar w:fldCharType="separate"/>
      </w:r>
      <w:r w:rsidR="006B2FDE" w:rsidRPr="006A5DDF">
        <w:rPr>
          <w:rFonts w:ascii="Times New Roman" w:hAnsi="Times New Roman" w:cs="Times New Roman"/>
          <w:noProof/>
          <w:sz w:val="24"/>
          <w:szCs w:val="24"/>
        </w:rPr>
        <w:t>(Vogelezang et al. 2019)</w:t>
      </w:r>
      <w:r w:rsidR="006B2FDE" w:rsidRPr="00A51130">
        <w:rPr>
          <w:rFonts w:ascii="Times New Roman" w:hAnsi="Times New Roman" w:cs="Times New Roman"/>
          <w:sz w:val="24"/>
          <w:szCs w:val="24"/>
        </w:rPr>
        <w:fldChar w:fldCharType="end"/>
      </w:r>
      <w:r w:rsidR="006B2FDE" w:rsidRPr="00A51130">
        <w:rPr>
          <w:rFonts w:ascii="Times New Roman" w:hAnsi="Times New Roman" w:cs="Times New Roman"/>
          <w:sz w:val="24"/>
          <w:szCs w:val="24"/>
        </w:rPr>
        <w:t xml:space="preserve"> observed that children who had either fetal growth deceleration or acceleration followed by accelerated infant growth displayed sub-optimal adiposity profiles in childhood.</w:t>
      </w:r>
      <w:r w:rsidR="00AF4F63" w:rsidRPr="00A51130">
        <w:rPr>
          <w:rFonts w:ascii="Times New Roman" w:hAnsi="Times New Roman" w:cs="Times New Roman"/>
          <w:sz w:val="24"/>
          <w:szCs w:val="24"/>
        </w:rPr>
        <w:t xml:space="preserve"> </w:t>
      </w:r>
      <w:r w:rsidR="0061163F" w:rsidRPr="00A51130">
        <w:rPr>
          <w:rFonts w:ascii="Times New Roman" w:hAnsi="Times New Roman" w:cs="Times New Roman"/>
          <w:sz w:val="24"/>
          <w:szCs w:val="24"/>
        </w:rPr>
        <w:t xml:space="preserve">As such, </w:t>
      </w:r>
      <w:r w:rsidR="00C23827" w:rsidRPr="00A51130">
        <w:rPr>
          <w:rFonts w:ascii="Times New Roman" w:hAnsi="Times New Roman" w:cs="Times New Roman"/>
          <w:sz w:val="24"/>
          <w:szCs w:val="24"/>
        </w:rPr>
        <w:t xml:space="preserve">the </w:t>
      </w:r>
      <w:r w:rsidR="00915F56" w:rsidRPr="00A51130">
        <w:rPr>
          <w:rFonts w:ascii="Times New Roman" w:hAnsi="Times New Roman" w:cs="Times New Roman"/>
          <w:sz w:val="24"/>
          <w:szCs w:val="24"/>
        </w:rPr>
        <w:t>overall conclusion from</w:t>
      </w:r>
      <w:r w:rsidR="00C23827" w:rsidRPr="00A51130">
        <w:rPr>
          <w:rFonts w:ascii="Times New Roman" w:hAnsi="Times New Roman" w:cs="Times New Roman"/>
          <w:sz w:val="24"/>
          <w:szCs w:val="24"/>
        </w:rPr>
        <w:t xml:space="preserve"> these </w:t>
      </w:r>
      <w:r w:rsidR="00303892" w:rsidRPr="00A51130">
        <w:rPr>
          <w:rFonts w:ascii="Times New Roman" w:hAnsi="Times New Roman" w:cs="Times New Roman"/>
          <w:sz w:val="24"/>
          <w:szCs w:val="24"/>
        </w:rPr>
        <w:t>studies</w:t>
      </w:r>
      <w:r w:rsidR="00915F56" w:rsidRPr="00A51130">
        <w:rPr>
          <w:rFonts w:ascii="Times New Roman" w:hAnsi="Times New Roman" w:cs="Times New Roman"/>
          <w:sz w:val="24"/>
          <w:szCs w:val="24"/>
        </w:rPr>
        <w:t xml:space="preserve"> is unclear</w:t>
      </w:r>
      <w:r w:rsidR="00303892" w:rsidRPr="00A51130">
        <w:rPr>
          <w:rFonts w:ascii="Times New Roman" w:hAnsi="Times New Roman" w:cs="Times New Roman"/>
          <w:sz w:val="24"/>
          <w:szCs w:val="24"/>
        </w:rPr>
        <w:t xml:space="preserve">. </w:t>
      </w:r>
      <w:r w:rsidR="00B74B5E" w:rsidRPr="00A51130">
        <w:rPr>
          <w:rFonts w:ascii="Times New Roman" w:hAnsi="Times New Roman" w:cs="Times New Roman"/>
          <w:sz w:val="24"/>
          <w:szCs w:val="24"/>
        </w:rPr>
        <w:t>T</w:t>
      </w:r>
      <w:r w:rsidR="00A24494" w:rsidRPr="00A51130">
        <w:rPr>
          <w:rFonts w:ascii="Times New Roman" w:hAnsi="Times New Roman" w:cs="Times New Roman"/>
          <w:sz w:val="24"/>
          <w:szCs w:val="24"/>
        </w:rPr>
        <w:t>h</w:t>
      </w:r>
      <w:r w:rsidR="00B74B5E" w:rsidRPr="00A51130">
        <w:rPr>
          <w:rFonts w:ascii="Times New Roman" w:hAnsi="Times New Roman" w:cs="Times New Roman"/>
          <w:sz w:val="24"/>
          <w:szCs w:val="24"/>
        </w:rPr>
        <w:t xml:space="preserve">ese </w:t>
      </w:r>
      <w:r w:rsidR="00A24494" w:rsidRPr="00A51130">
        <w:rPr>
          <w:rFonts w:ascii="Times New Roman" w:hAnsi="Times New Roman" w:cs="Times New Roman"/>
          <w:sz w:val="24"/>
          <w:szCs w:val="24"/>
        </w:rPr>
        <w:t xml:space="preserve">studies </w:t>
      </w:r>
      <w:r w:rsidR="00B74B5E" w:rsidRPr="00A51130">
        <w:rPr>
          <w:rFonts w:ascii="Times New Roman" w:hAnsi="Times New Roman" w:cs="Times New Roman"/>
          <w:sz w:val="24"/>
          <w:szCs w:val="24"/>
        </w:rPr>
        <w:t xml:space="preserve">also </w:t>
      </w:r>
      <w:r w:rsidR="00A24494" w:rsidRPr="00A51130">
        <w:rPr>
          <w:rFonts w:ascii="Times New Roman" w:hAnsi="Times New Roman" w:cs="Times New Roman"/>
          <w:sz w:val="24"/>
          <w:szCs w:val="24"/>
        </w:rPr>
        <w:t>categorised fetal and infant growth, which reduces power and classifies individuals who are close to, but on opposite sides of the z-score cut-point, as having very different, rather than very similar growth.</w:t>
      </w:r>
      <w:r w:rsidR="00DB6FD8" w:rsidRPr="00A51130">
        <w:rPr>
          <w:rFonts w:ascii="Times New Roman" w:hAnsi="Times New Roman" w:cs="Times New Roman"/>
          <w:sz w:val="24"/>
          <w:szCs w:val="24"/>
        </w:rPr>
        <w:t xml:space="preserve"> We believe our approach of </w:t>
      </w:r>
      <w:r w:rsidR="007F4F47" w:rsidRPr="00A51130">
        <w:rPr>
          <w:rFonts w:ascii="Times New Roman" w:hAnsi="Times New Roman" w:cs="Times New Roman"/>
          <w:sz w:val="24"/>
          <w:szCs w:val="24"/>
        </w:rPr>
        <w:t xml:space="preserve">modelling fetal and infant growth </w:t>
      </w:r>
      <w:r w:rsidR="005E049A" w:rsidRPr="00A51130">
        <w:rPr>
          <w:rFonts w:ascii="Times New Roman" w:hAnsi="Times New Roman" w:cs="Times New Roman"/>
          <w:sz w:val="24"/>
          <w:szCs w:val="24"/>
        </w:rPr>
        <w:t xml:space="preserve">as continuous variables provides a more powerful </w:t>
      </w:r>
      <w:r w:rsidR="00C43198" w:rsidRPr="00A51130">
        <w:rPr>
          <w:rFonts w:ascii="Times New Roman" w:hAnsi="Times New Roman" w:cs="Times New Roman"/>
          <w:sz w:val="24"/>
          <w:szCs w:val="24"/>
        </w:rPr>
        <w:t xml:space="preserve">and realistic method of </w:t>
      </w:r>
      <w:r w:rsidR="008613D3" w:rsidRPr="00A51130">
        <w:rPr>
          <w:rFonts w:ascii="Times New Roman" w:hAnsi="Times New Roman" w:cs="Times New Roman"/>
          <w:sz w:val="24"/>
          <w:szCs w:val="24"/>
        </w:rPr>
        <w:t xml:space="preserve">exploring their potential interaction. </w:t>
      </w:r>
    </w:p>
    <w:p w14:paraId="4A1CF9EA" w14:textId="56A1E672" w:rsidR="005A40D1" w:rsidRPr="00A51130" w:rsidRDefault="00D962D8"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In light of our</w:t>
      </w:r>
      <w:r w:rsidR="00A16860" w:rsidRPr="00A51130">
        <w:rPr>
          <w:rFonts w:ascii="Times New Roman" w:hAnsi="Times New Roman" w:cs="Times New Roman"/>
          <w:sz w:val="24"/>
          <w:szCs w:val="24"/>
        </w:rPr>
        <w:t xml:space="preserve"> findings</w:t>
      </w:r>
      <w:r w:rsidRPr="00A51130">
        <w:rPr>
          <w:rFonts w:ascii="Times New Roman" w:hAnsi="Times New Roman" w:cs="Times New Roman"/>
          <w:sz w:val="24"/>
          <w:szCs w:val="24"/>
        </w:rPr>
        <w:t xml:space="preserve">, </w:t>
      </w:r>
      <w:r w:rsidR="00B40139" w:rsidRPr="00A51130">
        <w:rPr>
          <w:rFonts w:ascii="Times New Roman" w:hAnsi="Times New Roman" w:cs="Times New Roman"/>
          <w:sz w:val="24"/>
          <w:szCs w:val="24"/>
        </w:rPr>
        <w:t xml:space="preserve">the </w:t>
      </w:r>
      <w:r w:rsidR="003D44F0" w:rsidRPr="00A51130">
        <w:rPr>
          <w:rFonts w:ascii="Times New Roman" w:hAnsi="Times New Roman" w:cs="Times New Roman"/>
          <w:sz w:val="24"/>
          <w:szCs w:val="24"/>
        </w:rPr>
        <w:t xml:space="preserve">postnatal </w:t>
      </w:r>
      <w:r w:rsidR="00CD525D" w:rsidRPr="00A51130">
        <w:rPr>
          <w:rFonts w:ascii="Times New Roman" w:hAnsi="Times New Roman" w:cs="Times New Roman"/>
          <w:sz w:val="24"/>
          <w:szCs w:val="24"/>
        </w:rPr>
        <w:t>nutritional management</w:t>
      </w:r>
      <w:r w:rsidR="005015BF" w:rsidRPr="00A51130">
        <w:rPr>
          <w:rFonts w:ascii="Times New Roman" w:hAnsi="Times New Roman" w:cs="Times New Roman"/>
          <w:sz w:val="24"/>
          <w:szCs w:val="24"/>
        </w:rPr>
        <w:t xml:space="preserve"> of those who experienced a sub-optimal fetal milieu</w:t>
      </w:r>
      <w:r w:rsidR="00863CFC" w:rsidRPr="00A51130">
        <w:rPr>
          <w:rFonts w:ascii="Times New Roman" w:hAnsi="Times New Roman" w:cs="Times New Roman"/>
          <w:sz w:val="24"/>
          <w:szCs w:val="24"/>
        </w:rPr>
        <w:t xml:space="preserve"> (</w:t>
      </w:r>
      <w:r w:rsidR="006B2811" w:rsidRPr="00A51130">
        <w:rPr>
          <w:rFonts w:ascii="Times New Roman" w:hAnsi="Times New Roman" w:cs="Times New Roman"/>
          <w:sz w:val="24"/>
          <w:szCs w:val="24"/>
        </w:rPr>
        <w:t>culminat</w:t>
      </w:r>
      <w:r w:rsidR="00CE74B8" w:rsidRPr="00A51130">
        <w:rPr>
          <w:rFonts w:ascii="Times New Roman" w:hAnsi="Times New Roman" w:cs="Times New Roman"/>
          <w:sz w:val="24"/>
          <w:szCs w:val="24"/>
        </w:rPr>
        <w:t>ing</w:t>
      </w:r>
      <w:r w:rsidR="006B2811" w:rsidRPr="00A51130">
        <w:rPr>
          <w:rFonts w:ascii="Times New Roman" w:hAnsi="Times New Roman" w:cs="Times New Roman"/>
          <w:sz w:val="24"/>
          <w:szCs w:val="24"/>
        </w:rPr>
        <w:t xml:space="preserve"> in</w:t>
      </w:r>
      <w:r w:rsidR="00431B33" w:rsidRPr="00A51130">
        <w:rPr>
          <w:rFonts w:ascii="Times New Roman" w:hAnsi="Times New Roman" w:cs="Times New Roman"/>
          <w:sz w:val="24"/>
          <w:szCs w:val="24"/>
        </w:rPr>
        <w:t xml:space="preserve"> </w:t>
      </w:r>
      <w:r w:rsidR="00457114" w:rsidRPr="00A51130">
        <w:rPr>
          <w:rFonts w:ascii="Times New Roman" w:hAnsi="Times New Roman" w:cs="Times New Roman"/>
          <w:sz w:val="24"/>
          <w:szCs w:val="24"/>
        </w:rPr>
        <w:t xml:space="preserve">either </w:t>
      </w:r>
      <w:r w:rsidR="00431B33" w:rsidRPr="00A51130">
        <w:rPr>
          <w:rFonts w:ascii="Times New Roman" w:hAnsi="Times New Roman" w:cs="Times New Roman"/>
          <w:sz w:val="24"/>
          <w:szCs w:val="24"/>
        </w:rPr>
        <w:t xml:space="preserve">preterm or </w:t>
      </w:r>
      <w:r w:rsidR="006B2811" w:rsidRPr="00A51130">
        <w:rPr>
          <w:rFonts w:ascii="Times New Roman" w:hAnsi="Times New Roman" w:cs="Times New Roman"/>
          <w:sz w:val="24"/>
          <w:szCs w:val="24"/>
        </w:rPr>
        <w:t>term SGA birth</w:t>
      </w:r>
      <w:r w:rsidR="00863CFC" w:rsidRPr="00A51130">
        <w:rPr>
          <w:rFonts w:ascii="Times New Roman" w:hAnsi="Times New Roman" w:cs="Times New Roman"/>
          <w:sz w:val="24"/>
          <w:szCs w:val="24"/>
        </w:rPr>
        <w:t>), should be carefully considered</w:t>
      </w:r>
      <w:r w:rsidR="006B2811" w:rsidRPr="00A51130">
        <w:rPr>
          <w:rFonts w:ascii="Times New Roman" w:hAnsi="Times New Roman" w:cs="Times New Roman"/>
          <w:sz w:val="24"/>
          <w:szCs w:val="24"/>
        </w:rPr>
        <w:t xml:space="preserve">. </w:t>
      </w:r>
      <w:r w:rsidR="0060709E" w:rsidRPr="00A51130">
        <w:rPr>
          <w:rFonts w:ascii="Times New Roman" w:hAnsi="Times New Roman" w:cs="Times New Roman"/>
          <w:sz w:val="24"/>
          <w:szCs w:val="24"/>
        </w:rPr>
        <w:t xml:space="preserve">While the promotion of infant growth </w:t>
      </w:r>
      <w:r w:rsidR="00F43F2C" w:rsidRPr="00A51130">
        <w:rPr>
          <w:rFonts w:ascii="Times New Roman" w:hAnsi="Times New Roman" w:cs="Times New Roman"/>
          <w:sz w:val="24"/>
          <w:szCs w:val="24"/>
        </w:rPr>
        <w:t xml:space="preserve">in length </w:t>
      </w:r>
      <w:r w:rsidR="0060709E" w:rsidRPr="00A51130">
        <w:rPr>
          <w:rFonts w:ascii="Times New Roman" w:hAnsi="Times New Roman" w:cs="Times New Roman"/>
          <w:sz w:val="24"/>
          <w:szCs w:val="24"/>
        </w:rPr>
        <w:t>has been associated with favourable neurodevelopmental outcomes in those born preterm</w:t>
      </w:r>
      <w:r w:rsidR="002A3890"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{"citationItems":[{"id":"ITEM-1","itemData":{"DOI":"10.1016/j.jpeds.2009.02.030","ISSN":"00223476","PMID":"19446846","abstract":"OBJECTIVE To test the hypothesis that effects of early diet on cognition observed at age 8 years persist in adolescents born preterm at &lt; or = 30 weeks gestational age. STUDY DESIGN A subgroup from a preterm infant cohort recruited for a randomized trial studying the effects of early dietary intervention was assessed at age 16 years. IQ scores were compared between those assigned a high-nutrient diet (n = 49) or standard-nutrient diet (n = 46) in infancy at both 8 and 16 years. RESULTS At age 8 years, the high-nutrient group had higher mean Verbal IQ (VIQ; P = .03), Performance IQ (P = .01), and Full-Scale IQ (P = .02) scores compared with the standard-nutrient group; the VIQ difference persisted at adolescence (P = .02). This effect was accounted for principally by a significant difference in the mean Verbal Comprehension Index score (P &lt; .008). CONCLUSIONS A brief period of dietary intervention after preterm birth, principally between 26 and 34 weeks of gestation, affected IQ at age 16 years. A standard-nutrient diet was associated with lower VIQ, accounted for mainly by differences in verbal comprehension, which persisted after control of social factors.","author":[{"dropping-particle":"","family":"Isaacs","given":"Elizabeth B.","non-dropping-particle":"","parse-names":false,"suffix":""},{"dropping-particle":"","family":"Morley","given":"Ruth","non-dropping-particle":"","parse-names":false,"suffix":""},{"dropping-particle":"","family":"Lucas","given":"Alan","non-dropping-particle":"","parse-names":false,"suffix":""}],"container-title":"The Journal of Pediatrics","id":"ITEM-1","issue":"2","issued":{"date-parts":[["2009","8"]]},"page":"229-234","title":"Early Diet and General Cognitive Outcome at Adolescence in Children Born at or Below 30 Weeks Gestation","type":"article-journal","volume":"155"},"uris":["http://www.mendeley.com/documents/?uuid=2595a912-8975-30e9-9256-9ced4e01ba70"]}],"mendeley":{"formattedCitation":"(Isaacs et al. 2009)","plainTextFormattedCitation":"(Isaacs et al. 2009)","previouslyFormattedCitation":"(Isaacs et al. 2009)"},"properties":{"noteIndex":0},"schema":"https://github.com/citation-style-language/schema/raw/master/csl-citation.json"}</w:instrText>
      </w:r>
      <w:r w:rsidR="002A3890"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(Isaacs et al. 2009)</w:t>
      </w:r>
      <w:r w:rsidR="002A3890" w:rsidRPr="00A51130">
        <w:rPr>
          <w:rFonts w:ascii="Times New Roman" w:hAnsi="Times New Roman" w:cs="Times New Roman"/>
          <w:sz w:val="24"/>
          <w:szCs w:val="24"/>
        </w:rPr>
        <w:fldChar w:fldCharType="end"/>
      </w:r>
      <w:r w:rsidR="0060709E" w:rsidRPr="00A51130">
        <w:rPr>
          <w:rFonts w:ascii="Times New Roman" w:hAnsi="Times New Roman" w:cs="Times New Roman"/>
          <w:sz w:val="24"/>
          <w:szCs w:val="24"/>
        </w:rPr>
        <w:t xml:space="preserve">, </w:t>
      </w:r>
      <w:r w:rsidR="0049127D" w:rsidRPr="00A51130">
        <w:rPr>
          <w:rFonts w:ascii="Times New Roman" w:hAnsi="Times New Roman" w:cs="Times New Roman"/>
          <w:sz w:val="24"/>
          <w:szCs w:val="24"/>
        </w:rPr>
        <w:t xml:space="preserve">it has also been observed that </w:t>
      </w:r>
      <w:r w:rsidR="00C019AE" w:rsidRPr="00A51130">
        <w:rPr>
          <w:rFonts w:ascii="Times New Roman" w:hAnsi="Times New Roman" w:cs="Times New Roman"/>
          <w:sz w:val="24"/>
          <w:szCs w:val="24"/>
        </w:rPr>
        <w:t xml:space="preserve">faster postnatal weight gain </w:t>
      </w:r>
      <w:r w:rsidR="00DD697B" w:rsidRPr="00A51130">
        <w:rPr>
          <w:rFonts w:ascii="Times New Roman" w:hAnsi="Times New Roman" w:cs="Times New Roman"/>
          <w:sz w:val="24"/>
          <w:szCs w:val="24"/>
        </w:rPr>
        <w:t>increases</w:t>
      </w:r>
      <w:r w:rsidR="00C019AE" w:rsidRPr="00A51130">
        <w:rPr>
          <w:rFonts w:ascii="Times New Roman" w:hAnsi="Times New Roman" w:cs="Times New Roman"/>
          <w:sz w:val="24"/>
          <w:szCs w:val="24"/>
        </w:rPr>
        <w:t xml:space="preserve"> later risk factors for cardiovascular disease</w:t>
      </w:r>
      <w:r w:rsidR="001824B2" w:rsidRPr="00A51130">
        <w:rPr>
          <w:rFonts w:ascii="Times New Roman" w:hAnsi="Times New Roman" w:cs="Times New Roman"/>
          <w:sz w:val="24"/>
          <w:szCs w:val="24"/>
        </w:rPr>
        <w:t xml:space="preserve"> (CVD)</w:t>
      </w:r>
      <w:r w:rsidR="00195038" w:rsidRPr="00A51130">
        <w:rPr>
          <w:rFonts w:ascii="Times New Roman" w:hAnsi="Times New Roman" w:cs="Times New Roman"/>
          <w:sz w:val="24"/>
          <w:szCs w:val="24"/>
        </w:rPr>
        <w:t xml:space="preserve"> in this group</w:t>
      </w:r>
      <w:r w:rsidR="00000B00"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{"citationItems":[{"id":"ITEM-1","itemData":{"DOI":"10.1111/apa.13128","ISSN":"08035253","PMID":"26179961","abstract":"UNLABELLED In preterm infants, poor postnatal growth is associated with adverse neurocognitive outcomes; conversely, rapid postnatal growth is supposedly harmful for future development of metabolic diseases. CONCLUSION In this systematic review, observational studies reported consistent positive associations between postnatal weight or head growth and neurocognitive outcomes; however, there was limited evidence from the few intervention studies. Evidence linking postnatal weight gain to later adiposity and other cardiovascular disease risk factors in preterm infants was also limited.","author":[{"dropping-particle":"","family":"Ong","given":"Ken K.","non-dropping-particle":"","parse-names":false,"suffix":""},{"dropping-particle":"","family":"Kennedy","given":"Kathy","non-dropping-particle":"","parse-names":false,"suffix":""},{"dropping-particle":"","family":"Castañeda-Gutiérrez","given":"Eurídice","non-dropping-particle":"","parse-names":false,"suffix":""},{"dropping-particle":"","family":"Forsyth","given":"Stewart","non-dropping-particle":"","parse-names":false,"suffix":""},{"dropping-particle":"","family":"Godfrey","given":"Keith M.","non-dropping-particle":"","parse-names":false,"suffix":""},{"dropping-particle":"","family":"Koletzko","given":"Berthold","non-dropping-particle":"","parse-names":false,"suffix":""},{"dropping-particle":"","family":"Latulippe","given":"Marie E.","non-dropping-particle":"","parse-names":false,"suffix":""},{"dropping-particle":"","family":"Ozanne","given":"Susan E.","non-dropping-particle":"","parse-names":false,"suffix":""},{"dropping-particle":"","family":"Rueda","given":"Ricardo","non-dropping-particle":"","parse-names":false,"suffix":""},{"dropping-particle":"","family":"Schoemaker","given":"Marieke H.","non-dropping-particle":"","parse-names":false,"suffix":""},{"dropping-particle":"","family":"Beek","given":"Eline M.","non-dropping-particle":"van der","parse-names":false,"suffix":""},{"dropping-particle":"","family":"Buuren","given":"Stef","non-dropping-particle":"van","parse-names":false,"suffix":""},{"dropping-particle":"","family":"Fewtrell","given":"Mary","non-dropping-particle":"","parse-names":false,"suffix":""}],"container-title":"Acta Paediatrica","id":"ITEM-1","issue":"10","issued":{"date-parts":[["2015","10"]]},"page":"974-986","title":"Postnatal growth in preterm infants and later health outcomes: a systematic review","type":"article-journal","volume":"104"},"uris":["http://www.mendeley.com/documents/?uuid=c4908de2-4768-3f16-ad4c-4f77d0fc431c"]},{"id":"ITEM-2","itemData":{"DOI":"10.1210/jc.2012-1716","ISSN":"0021-972X","PMID":"22993033","abstract":"INTRODUCTION Early postnatal weight gain is associated with determinants of cardiovascular disease (CVD) and type 2 diabetes mellitus (DM2) in adults born term. We aimed to investigate the association of weight gain during different periods, and weight trajectories in early life after preterm birth, with determinants of CVD and DM2 in early adulthood. METHODS Associations of first-year growth and tempo of weight gain with determinants of CVD and DM2 in 162 young adults (18-24 yr) born preterm (gestational age &lt;36 wk) were determined and compared with data of young adults born term (n = 217). RESULTS Gain in weight for length in the period from preterm birth up to term age, and in the first 3 months after term age, was positively associated with body fat percentage and waist circumference at 21 yr. Gain in weight for length in the first 3 months after term age was also positively associated with total cholesterol and low-density lipoprotein cholesterol levels in early adulthood. Subjects with the highest gain in weight from birth to term age (highest quartile) had significantly higher body fat percentage, waist circumference, acute insulin response, and disposition index in early adulthood than the subgroups with moderate and low gain in weight. Rapid catch-up in weight during the first 3 months after term age resulted in a higher fat percentage, waist circumference, and serum triglycerides level than slower catch-up in weight. CONCLUSION Accelerated neonatal gain in weight relative to length after preterm birth (immediately after birth and during the first 3 months after term age) is associated with determinants of CVD in early adulthood and should therefore be avoided.","author":[{"dropping-particle":"","family":"Kerkhof","given":"Gerthe F.","non-dropping-particle":"","parse-names":false,"suffix":""},{"dropping-particle":"","family":"Willemsen","given":"Ruben H.","non-dropping-particle":"","parse-names":false,"suffix":""},{"dropping-particle":"","family":"Leunissen","given":"Ralph W. J.","non-dropping-particle":"","parse-names":false,"suffix":""},{"dropping-particle":"","family":"Breukhoven","given":"Petra E.","non-dropping-particle":"","parse-names":false,"suffix":""},{"dropping-particle":"","family":"Hokken-Koelega","given":"Anita C. S.","non-dropping-particle":"","parse-names":false,"suffix":""}],"container-title":"The Journal of Clinical Endocrinology &amp; Metabolism","id":"ITEM-2","issue":"12","issued":{"date-parts":[["2012","12"]]},"page":"4498-4506","title":"Health Profile of Young Adults Born Preterm: Negative Effects of Rapid Weight Gain in Early Life","type":"article-journal","volume":"97"},"uris":["http://www.mendeley.com/documents/?uuid=cc7309dc-473e-318e-928d-1603cfe45457"]}],"mendeley":{"formattedCitation":"(Kerkhof et al. 2012; Ong et al. 2015)","plainTextFormattedCitation":"(Kerkhof et al. 2012; Ong et al. 2015)","previouslyFormattedCitation":"(Kerkhof et al. 2012; Ong et al. 2015)"},"properties":{"noteIndex":0},"schema":"https://github.com/citation-style-language/schema/raw/master/csl-citation.json"}</w:instrText>
      </w:r>
      <w:r w:rsidR="00000B00"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(Kerkhof et al. 2012; Ong et al. 2015)</w:t>
      </w:r>
      <w:r w:rsidR="00000B00" w:rsidRPr="00A51130">
        <w:rPr>
          <w:rFonts w:ascii="Times New Roman" w:hAnsi="Times New Roman" w:cs="Times New Roman"/>
          <w:sz w:val="24"/>
          <w:szCs w:val="24"/>
        </w:rPr>
        <w:fldChar w:fldCharType="end"/>
      </w:r>
      <w:r w:rsidR="00BB488C" w:rsidRPr="00A51130">
        <w:rPr>
          <w:rFonts w:ascii="Times New Roman" w:hAnsi="Times New Roman" w:cs="Times New Roman"/>
          <w:sz w:val="24"/>
          <w:szCs w:val="24"/>
        </w:rPr>
        <w:t>.</w:t>
      </w:r>
      <w:r w:rsidR="00C019AE" w:rsidRPr="00A51130">
        <w:rPr>
          <w:rFonts w:ascii="Times New Roman" w:hAnsi="Times New Roman" w:cs="Times New Roman"/>
          <w:sz w:val="24"/>
          <w:szCs w:val="24"/>
        </w:rPr>
        <w:t xml:space="preserve"> </w:t>
      </w:r>
      <w:r w:rsidR="00457114" w:rsidRPr="00A51130">
        <w:rPr>
          <w:rFonts w:ascii="Times New Roman" w:hAnsi="Times New Roman" w:cs="Times New Roman"/>
          <w:sz w:val="24"/>
          <w:szCs w:val="24"/>
        </w:rPr>
        <w:t xml:space="preserve">For those born SGA at term, </w:t>
      </w:r>
      <w:r w:rsidR="00921994" w:rsidRPr="00A51130">
        <w:rPr>
          <w:rFonts w:ascii="Times New Roman" w:hAnsi="Times New Roman" w:cs="Times New Roman"/>
          <w:sz w:val="24"/>
          <w:szCs w:val="24"/>
        </w:rPr>
        <w:t xml:space="preserve">evidence </w:t>
      </w:r>
      <w:r w:rsidR="00E33833" w:rsidRPr="00A51130">
        <w:rPr>
          <w:rFonts w:ascii="Times New Roman" w:hAnsi="Times New Roman" w:cs="Times New Roman"/>
          <w:sz w:val="24"/>
          <w:szCs w:val="24"/>
        </w:rPr>
        <w:t xml:space="preserve">from high income countries </w:t>
      </w:r>
      <w:r w:rsidR="00921994" w:rsidRPr="00A51130">
        <w:rPr>
          <w:rFonts w:ascii="Times New Roman" w:hAnsi="Times New Roman" w:cs="Times New Roman"/>
          <w:sz w:val="24"/>
          <w:szCs w:val="24"/>
        </w:rPr>
        <w:t xml:space="preserve">suggests that </w:t>
      </w:r>
      <w:r w:rsidR="009E6205" w:rsidRPr="00A51130">
        <w:rPr>
          <w:rFonts w:ascii="Times New Roman" w:hAnsi="Times New Roman" w:cs="Times New Roman"/>
          <w:sz w:val="24"/>
          <w:szCs w:val="24"/>
        </w:rPr>
        <w:t>greater</w:t>
      </w:r>
      <w:r w:rsidR="00831F70" w:rsidRPr="00A51130">
        <w:rPr>
          <w:rFonts w:ascii="Times New Roman" w:hAnsi="Times New Roman" w:cs="Times New Roman"/>
          <w:sz w:val="24"/>
          <w:szCs w:val="24"/>
        </w:rPr>
        <w:t xml:space="preserve"> infant weight gain increases </w:t>
      </w:r>
      <w:r w:rsidR="001824B2" w:rsidRPr="00A51130">
        <w:rPr>
          <w:rFonts w:ascii="Times New Roman" w:hAnsi="Times New Roman" w:cs="Times New Roman"/>
          <w:sz w:val="24"/>
          <w:szCs w:val="24"/>
        </w:rPr>
        <w:t>later risk for obesity and CVD</w:t>
      </w:r>
      <w:r w:rsidR="00363F19"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{"citationItems":[{"id":"ITEM-1","itemData":{"DOI":"10.1017/S0029665116000057","ISSN":"0029-6651","PMID":"27066843","abstract":"&lt;p&gt; Non-communicable diseases (NCD) and atherosclerotic CVD in particular, are the most important health problems of the 21st century. Already in every world region except Africa, NCD account for greater mortality than communicable, maternal, perinatal and nutritional conditions combined. Although modifiable lifestyle factors in adults are the main determinants, substantial evidence now suggests that factors in early life also have a major role in the development of NCD; commonly referred to as the Developmental Origins of Health and Disease hypothesis. Factors &lt;italic&gt;in utero&lt;/italic&gt; , early postnatal life and throughout childhood, have been shown to affect NCD by influencing risk factors for CVD such as obesity, diabetes, hypertension and dyslipidaemia. Infant nutrition (e.g. breastfeeding rather than bottle feeding) and a slower pattern of infant weight gain have been shown to be particularly protective against later risk of obesity and CVD in both low- and high-income countries. The mechanisms involved are poorly understood, but include epigenetic changes; effects on endocrine systems regulating body weight, food intake and fat deposition; and changes in appetite regulation. As a consequence, strategies to optimise early life nutrition could make a major contribution to stemming the current global epidemic of NCD. This review will consider the role of early life factors in the development of NCD, focusing on the impact of infant nutrition/growth on obesity and CVD. The review will highlight the experimental (randomised) evidence where available, briefly summarise the underlying mechanisms involved and consider the implications for public health. &lt;/p&gt;","author":[{"dropping-particle":"","family":"Singhal","given":"Atul","non-dropping-particle":"","parse-names":false,"suffix":""}],"container-title":"Proceedings of the Nutrition Society","id":"ITEM-1","issue":"02","issued":{"date-parts":[["2016","5","24"]]},"page":"162-168","title":"The role of infant nutrition in the global epidemic of non-communicable disease","type":"article-journal","volume":"75"},"uris":["http://www.mendeley.com/documents/?uuid=50768bf4-cf53-3d71-8abb-23de2eed5257"]}],"mendeley":{"formattedCitation":"(Singhal 2016)","plainTextFormattedCitation":"(Singhal 2016)","previouslyFormattedCitation":"(Singhal 2016)"},"properties":{"noteIndex":0},"schema":"https://github.com/citation-style-language/schema/raw/master/csl-citation.json"}</w:instrText>
      </w:r>
      <w:r w:rsidR="00363F19"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(Singhal 2016)</w:t>
      </w:r>
      <w:r w:rsidR="00363F19" w:rsidRPr="00A51130">
        <w:rPr>
          <w:rFonts w:ascii="Times New Roman" w:hAnsi="Times New Roman" w:cs="Times New Roman"/>
          <w:sz w:val="24"/>
          <w:szCs w:val="24"/>
        </w:rPr>
        <w:fldChar w:fldCharType="end"/>
      </w:r>
      <w:r w:rsidR="001824B2" w:rsidRPr="00A51130">
        <w:rPr>
          <w:rFonts w:ascii="Times New Roman" w:hAnsi="Times New Roman" w:cs="Times New Roman"/>
          <w:sz w:val="24"/>
          <w:szCs w:val="24"/>
        </w:rPr>
        <w:t xml:space="preserve">. </w:t>
      </w:r>
      <w:r w:rsidR="00573256" w:rsidRPr="00A51130">
        <w:rPr>
          <w:rFonts w:ascii="Times New Roman" w:hAnsi="Times New Roman" w:cs="Times New Roman"/>
          <w:sz w:val="24"/>
          <w:szCs w:val="24"/>
        </w:rPr>
        <w:t>I</w:t>
      </w:r>
      <w:r w:rsidR="0002785C" w:rsidRPr="00A51130">
        <w:rPr>
          <w:rFonts w:ascii="Times New Roman" w:hAnsi="Times New Roman" w:cs="Times New Roman"/>
          <w:sz w:val="24"/>
          <w:szCs w:val="24"/>
        </w:rPr>
        <w:t xml:space="preserve">n low-income countries, </w:t>
      </w:r>
      <w:r w:rsidR="002700B5" w:rsidRPr="00A51130">
        <w:rPr>
          <w:rFonts w:ascii="Times New Roman" w:hAnsi="Times New Roman" w:cs="Times New Roman"/>
          <w:sz w:val="24"/>
          <w:szCs w:val="24"/>
        </w:rPr>
        <w:t>faster postnatal growth</w:t>
      </w:r>
      <w:r w:rsidR="004B548D" w:rsidRPr="00A51130">
        <w:rPr>
          <w:rFonts w:ascii="Times New Roman" w:hAnsi="Times New Roman" w:cs="Times New Roman"/>
          <w:sz w:val="24"/>
          <w:szCs w:val="24"/>
        </w:rPr>
        <w:t xml:space="preserve"> in length</w:t>
      </w:r>
      <w:r w:rsidR="002700B5" w:rsidRPr="00A51130">
        <w:rPr>
          <w:rFonts w:ascii="Times New Roman" w:hAnsi="Times New Roman" w:cs="Times New Roman"/>
          <w:sz w:val="24"/>
          <w:szCs w:val="24"/>
        </w:rPr>
        <w:t xml:space="preserve"> has been associated with </w:t>
      </w:r>
      <w:r w:rsidR="009E6205" w:rsidRPr="00A51130">
        <w:rPr>
          <w:rFonts w:ascii="Times New Roman" w:hAnsi="Times New Roman" w:cs="Times New Roman"/>
          <w:sz w:val="24"/>
          <w:szCs w:val="24"/>
        </w:rPr>
        <w:t xml:space="preserve">lower </w:t>
      </w:r>
      <w:r w:rsidR="002700B5" w:rsidRPr="00A51130">
        <w:rPr>
          <w:rFonts w:ascii="Times New Roman" w:hAnsi="Times New Roman" w:cs="Times New Roman"/>
          <w:sz w:val="24"/>
          <w:szCs w:val="24"/>
        </w:rPr>
        <w:t xml:space="preserve">morbidity in low </w:t>
      </w:r>
      <w:r w:rsidR="00941B10" w:rsidRPr="00A51130">
        <w:rPr>
          <w:rFonts w:ascii="Times New Roman" w:hAnsi="Times New Roman" w:cs="Times New Roman"/>
          <w:sz w:val="24"/>
          <w:szCs w:val="24"/>
        </w:rPr>
        <w:t>birthweight</w:t>
      </w:r>
      <w:r w:rsidR="002700B5" w:rsidRPr="00A51130">
        <w:rPr>
          <w:rFonts w:ascii="Times New Roman" w:hAnsi="Times New Roman" w:cs="Times New Roman"/>
          <w:sz w:val="24"/>
          <w:szCs w:val="24"/>
        </w:rPr>
        <w:t xml:space="preserve"> infants</w:t>
      </w:r>
      <w:r w:rsidR="0080340A"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10.1007/s11154-012-9216-6","ISSN":"1389-9155","author":[{"dropping-particle":"","family":"Jain","given":"Vandana","non-dropping-particle":"","parse-names":false,"suffix":""},{"dropping-particle":"","family":"Singhal","given":"Atul","non-dropping-particle":"","parse-names":false,"suffix":""}],"container-title":"Reviews in Endocrine and Metabolic Disorders","id":"ITEM-1","issue":"2","issued":{"date-parts":[["2012","6","14"]]},"page":"141-147","publisher":"Springer US","title":"Catch up growth in low birth weight infants: Striking a healthy balance","type":"article-journal","volume":"13"},"uris":["http://www.mendeley.com/documents/?uuid=ba76765c-8ae2-3619-a402-c57ff5339928"]}],"mendeley":{"formattedCitation":"(Jain &amp; Singhal 2012)","plainTextFormattedCitation":"(Jain &amp; Singhal 2012)","previouslyFormattedCitation":"(Jain &amp; Singhal 2012)"},"properties":{"noteIndex":0},"schema":"https://github.com/citation-style-language/schema/raw/master/csl-citation.json"}</w:instrText>
      </w:r>
      <w:r w:rsidR="0080340A"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(Jain &amp; Singhal 2012)</w:t>
      </w:r>
      <w:r w:rsidR="0080340A" w:rsidRPr="00A51130">
        <w:rPr>
          <w:rFonts w:ascii="Times New Roman" w:hAnsi="Times New Roman" w:cs="Times New Roman"/>
          <w:sz w:val="24"/>
          <w:szCs w:val="24"/>
        </w:rPr>
        <w:fldChar w:fldCharType="end"/>
      </w:r>
      <w:r w:rsidR="00D87A1A" w:rsidRPr="00A51130">
        <w:rPr>
          <w:rFonts w:ascii="Times New Roman" w:hAnsi="Times New Roman" w:cs="Times New Roman"/>
          <w:sz w:val="24"/>
          <w:szCs w:val="24"/>
        </w:rPr>
        <w:t xml:space="preserve">, however it has also been </w:t>
      </w:r>
      <w:r w:rsidR="003B66F0" w:rsidRPr="00A51130">
        <w:rPr>
          <w:rFonts w:ascii="Times New Roman" w:hAnsi="Times New Roman" w:cs="Times New Roman"/>
          <w:sz w:val="24"/>
          <w:szCs w:val="24"/>
        </w:rPr>
        <w:t>shown</w:t>
      </w:r>
      <w:r w:rsidR="00D87A1A" w:rsidRPr="00A51130">
        <w:rPr>
          <w:rFonts w:ascii="Times New Roman" w:hAnsi="Times New Roman" w:cs="Times New Roman"/>
          <w:sz w:val="24"/>
          <w:szCs w:val="24"/>
        </w:rPr>
        <w:t xml:space="preserve"> that</w:t>
      </w:r>
      <w:r w:rsidR="00384CC2" w:rsidRPr="00A51130">
        <w:rPr>
          <w:rFonts w:ascii="Times New Roman" w:hAnsi="Times New Roman" w:cs="Times New Roman"/>
          <w:sz w:val="24"/>
          <w:szCs w:val="24"/>
        </w:rPr>
        <w:t xml:space="preserve"> even transient rapid infancy weight gain (i.e. weight gain that is followed by </w:t>
      </w:r>
      <w:r w:rsidR="00E952A2" w:rsidRPr="00A51130">
        <w:rPr>
          <w:rFonts w:ascii="Times New Roman" w:hAnsi="Times New Roman" w:cs="Times New Roman"/>
          <w:sz w:val="24"/>
          <w:szCs w:val="24"/>
        </w:rPr>
        <w:t>growth faltering)</w:t>
      </w:r>
      <w:r w:rsidR="00D87A1A" w:rsidRPr="00A51130">
        <w:rPr>
          <w:rFonts w:ascii="Times New Roman" w:hAnsi="Times New Roman" w:cs="Times New Roman"/>
          <w:sz w:val="24"/>
          <w:szCs w:val="24"/>
        </w:rPr>
        <w:t xml:space="preserve"> </w:t>
      </w:r>
      <w:r w:rsidR="00E952A2" w:rsidRPr="00A51130">
        <w:rPr>
          <w:rFonts w:ascii="Times New Roman" w:hAnsi="Times New Roman" w:cs="Times New Roman"/>
          <w:sz w:val="24"/>
          <w:szCs w:val="24"/>
        </w:rPr>
        <w:t xml:space="preserve">is </w:t>
      </w:r>
      <w:r w:rsidR="00932210" w:rsidRPr="00A51130">
        <w:rPr>
          <w:rFonts w:ascii="Times New Roman" w:hAnsi="Times New Roman" w:cs="Times New Roman"/>
          <w:sz w:val="24"/>
          <w:szCs w:val="24"/>
        </w:rPr>
        <w:t xml:space="preserve">associated with greater adiposity in </w:t>
      </w:r>
      <w:r w:rsidR="00C952B6" w:rsidRPr="00A51130">
        <w:rPr>
          <w:rFonts w:ascii="Times New Roman" w:hAnsi="Times New Roman" w:cs="Times New Roman"/>
          <w:sz w:val="24"/>
          <w:szCs w:val="24"/>
        </w:rPr>
        <w:t xml:space="preserve">childhood and </w:t>
      </w:r>
      <w:r w:rsidR="00932210" w:rsidRPr="00A51130">
        <w:rPr>
          <w:rFonts w:ascii="Times New Roman" w:hAnsi="Times New Roman" w:cs="Times New Roman"/>
          <w:sz w:val="24"/>
          <w:szCs w:val="24"/>
        </w:rPr>
        <w:t>early adulthood</w:t>
      </w:r>
      <w:r w:rsidR="003B66F0"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{"citationItems":[{"id":"ITEM-1","itemData":{"DOI":"10.1038/ijo.2015.25","ISSN":"0307-0565","PMID":"25771929","abstract":"BACKGROUND Early postnatal rapid 'catch-up' weight gain has been consistently associated with subsequent higher obesity risk and earlier pubertal development. In many low- and middle-income countries, infancy catch-up weight gain is transient and often followed by growth faltering. We explored the hypothesis that even transient catch-up weight gain during infancy is associated with later obesity risk and earlier puberty. METHODS A total of 2352 (1151 male, 1201 female) black South African children in the birth to twenty prospective birth cohort study (Johannesburg-Soweto) underwent serial measurements of body size and composition from birth to 18 years of age. At the age of 18 years, whole-body fat mass and fat-free mass were determined using dual-energy X-ray absorptiometry. Pubertal development was assessed by the research team between ages 9 and 10 years, and it was recorded annually from the age of 11 years using a validated self-assessment protocol. RESULTS Catch-up weight gain from birth to the age of 1 year, despite being followed by growth faltering between ages 1 and 2 years, was associated with greater mid-upper arm circumference (P=0.04) and skinfold thickness (P=0.048) at 8 years of age, and with higher weight (P&lt;0.001) and body mass index (P=0.001) at 18 years of age after adjustment for sex, age, smoking during pregnancy, birth order, gestational age, formula-milk feeding and household socio-economic status. Infancy catch-up weight gain was also associated with younger age at menarche in girls (P&lt;0.001). This association persisted after adjustment for smoking during pregnancy, birth order, gestational age, formula-milk feeding and household socio-economic status (P=0.005). CONCLUSION Transient catch-up weight gain from birth to the age of 1 year among children born in a low-income area of South Africa was associated with earlier menarche and greater adiposity in early adulthood. This observation suggests that modifiable determinants of rapid infancy weight gain may be targeted in order to prevent later obesity and consequences of earlier puberty in girls.","author":[{"dropping-particle":"","family":"Salgin","given":"B","non-dropping-particle":"","parse-names":false,"suffix":""},{"dropping-particle":"","family":"Norris","given":"S A","non-dropping-particle":"","parse-names":false,"suffix":""},{"dropping-particle":"","family":"Prentice","given":"P","non-dropping-particle":"","parse-names":false,"suffix":""},{"dropping-particle":"","family":"Pettifor","given":"J M","non-dropping-particle":"","parse-names":false,"suffix":""},{"dropping-particle":"","family":"Richter","given":"L M","non-dropping-particle":"","parse-names":false,"suffix":""},{"dropping-particle":"","family":"Ong","given":"K K","non-dropping-particle":"","parse-names":false,"suffix":""},{"dropping-particle":"","family":"Dunger","given":"D B","non-dropping-particle":"","parse-names":false,"suffix":""}],"container-title":"International Journal of Obesity","id":"ITEM-1","issue":"6","issued":{"date-parts":[["2015","6","16"]]},"page":"939-944","title":"Even transient rapid infancy weight gain is associated with higher BMI in young adults and earlier menarche","type":"article-journal","volume":"39"},"uris":["http://www.mendeley.com/documents/?uuid=09b61109-c7b6-37bf-bf81-236f38a6acda"]}],"mendeley":{"formattedCitation":"(Salgin et al. 2015)","plainTextFormattedCitation":"(Salgin et al. 2015)","previouslyFormattedCitation":"(Salgin et al. 2015)"},"properties":{"noteIndex":0},"schema":"https://github.com/citation-style-language/schema/raw/master/csl-citation.json"}</w:instrText>
      </w:r>
      <w:r w:rsidR="003B66F0"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(Salgin et al. 2015)</w:t>
      </w:r>
      <w:r w:rsidR="003B66F0" w:rsidRPr="00A51130">
        <w:rPr>
          <w:rFonts w:ascii="Times New Roman" w:hAnsi="Times New Roman" w:cs="Times New Roman"/>
          <w:sz w:val="24"/>
          <w:szCs w:val="24"/>
        </w:rPr>
        <w:fldChar w:fldCharType="end"/>
      </w:r>
      <w:r w:rsidR="00932210" w:rsidRPr="00A51130">
        <w:rPr>
          <w:rFonts w:ascii="Times New Roman" w:hAnsi="Times New Roman" w:cs="Times New Roman"/>
          <w:sz w:val="24"/>
          <w:szCs w:val="24"/>
        </w:rPr>
        <w:t>.</w:t>
      </w:r>
      <w:r w:rsidR="009D59E8" w:rsidRPr="00A51130">
        <w:rPr>
          <w:rFonts w:ascii="Times New Roman" w:hAnsi="Times New Roman" w:cs="Times New Roman"/>
          <w:sz w:val="24"/>
          <w:szCs w:val="24"/>
        </w:rPr>
        <w:t xml:space="preserve"> </w:t>
      </w:r>
      <w:r w:rsidR="00166664" w:rsidRPr="00A51130">
        <w:rPr>
          <w:rFonts w:ascii="Times New Roman" w:hAnsi="Times New Roman" w:cs="Times New Roman"/>
          <w:sz w:val="24"/>
          <w:szCs w:val="24"/>
        </w:rPr>
        <w:t>Nonetheless, managing weight gain in infancy is far from straightforward and care must be taken in the leap from finding an association to deciding whether to intervene.</w:t>
      </w:r>
    </w:p>
    <w:p w14:paraId="66C7CB08" w14:textId="77777777" w:rsidR="001D3319" w:rsidRPr="00A51130" w:rsidRDefault="00CC6E78" w:rsidP="00A51130">
      <w:pPr>
        <w:spacing w:line="480" w:lineRule="auto"/>
        <w:rPr>
          <w:rFonts w:ascii="Times New Roman" w:hAnsi="Times New Roman" w:cs="Times New Roman"/>
          <w:b/>
          <w:i/>
          <w:iCs/>
          <w:sz w:val="24"/>
          <w:szCs w:val="24"/>
        </w:rPr>
      </w:pPr>
      <w:r w:rsidRPr="00A51130">
        <w:rPr>
          <w:rFonts w:ascii="Times New Roman" w:hAnsi="Times New Roman" w:cs="Times New Roman"/>
          <w:b/>
          <w:i/>
          <w:iCs/>
          <w:sz w:val="24"/>
          <w:szCs w:val="24"/>
        </w:rPr>
        <w:t>S</w:t>
      </w:r>
      <w:r w:rsidR="00854814" w:rsidRPr="00A51130">
        <w:rPr>
          <w:rFonts w:ascii="Times New Roman" w:hAnsi="Times New Roman" w:cs="Times New Roman"/>
          <w:b/>
          <w:i/>
          <w:iCs/>
          <w:sz w:val="24"/>
          <w:szCs w:val="24"/>
        </w:rPr>
        <w:t xml:space="preserve">trengths </w:t>
      </w:r>
    </w:p>
    <w:p w14:paraId="35CFFBD8" w14:textId="232C7C97" w:rsidR="00BE7F01" w:rsidRPr="00A51130" w:rsidRDefault="00BE52D7" w:rsidP="00A51130">
      <w:pPr>
        <w:spacing w:line="480" w:lineRule="auto"/>
        <w:rPr>
          <w:rFonts w:ascii="Times New Roman" w:hAnsi="Times New Roman" w:cs="Times New Roman"/>
          <w:b/>
          <w:sz w:val="24"/>
          <w:szCs w:val="24"/>
        </w:rPr>
      </w:pPr>
      <w:r w:rsidRPr="00A51130">
        <w:rPr>
          <w:rFonts w:ascii="Times New Roman" w:hAnsi="Times New Roman" w:cs="Times New Roman"/>
          <w:sz w:val="24"/>
          <w:szCs w:val="24"/>
        </w:rPr>
        <w:t xml:space="preserve">As well as BMI, </w:t>
      </w:r>
      <w:r w:rsidR="00943A14" w:rsidRPr="00A51130">
        <w:rPr>
          <w:rFonts w:ascii="Times New Roman" w:hAnsi="Times New Roman" w:cs="Times New Roman"/>
          <w:sz w:val="24"/>
          <w:szCs w:val="24"/>
        </w:rPr>
        <w:t>w</w:t>
      </w:r>
      <w:r w:rsidR="00B9137B" w:rsidRPr="00A51130">
        <w:rPr>
          <w:rFonts w:ascii="Times New Roman" w:hAnsi="Times New Roman" w:cs="Times New Roman"/>
          <w:sz w:val="24"/>
          <w:szCs w:val="24"/>
        </w:rPr>
        <w:t xml:space="preserve">e </w:t>
      </w:r>
      <w:r w:rsidR="00943A14" w:rsidRPr="00A51130">
        <w:rPr>
          <w:rFonts w:ascii="Times New Roman" w:hAnsi="Times New Roman" w:cs="Times New Roman"/>
          <w:sz w:val="24"/>
          <w:szCs w:val="24"/>
        </w:rPr>
        <w:t xml:space="preserve">have investigated </w:t>
      </w:r>
      <w:r w:rsidR="007F656F" w:rsidRPr="00A51130">
        <w:rPr>
          <w:rFonts w:ascii="Times New Roman" w:hAnsi="Times New Roman" w:cs="Times New Roman"/>
          <w:sz w:val="24"/>
          <w:szCs w:val="24"/>
        </w:rPr>
        <w:t xml:space="preserve">relationships </w:t>
      </w:r>
      <w:r w:rsidR="00330BA5" w:rsidRPr="00A51130">
        <w:rPr>
          <w:rFonts w:ascii="Times New Roman" w:hAnsi="Times New Roman" w:cs="Times New Roman"/>
          <w:sz w:val="24"/>
          <w:szCs w:val="24"/>
        </w:rPr>
        <w:t>with adiposity obtained via</w:t>
      </w:r>
      <w:r w:rsidR="00AB34DE" w:rsidRPr="00A51130">
        <w:rPr>
          <w:rFonts w:ascii="Times New Roman" w:hAnsi="Times New Roman" w:cs="Times New Roman"/>
          <w:sz w:val="24"/>
          <w:szCs w:val="24"/>
        </w:rPr>
        <w:t xml:space="preserve"> </w:t>
      </w:r>
      <w:r w:rsidR="00AD21F6" w:rsidRPr="00A51130">
        <w:rPr>
          <w:rFonts w:ascii="Times New Roman" w:hAnsi="Times New Roman" w:cs="Times New Roman"/>
          <w:sz w:val="24"/>
          <w:szCs w:val="24"/>
        </w:rPr>
        <w:t>DXA</w:t>
      </w:r>
      <w:r w:rsidR="00330BA5" w:rsidRPr="00A51130">
        <w:rPr>
          <w:rFonts w:ascii="Times New Roman" w:hAnsi="Times New Roman" w:cs="Times New Roman"/>
          <w:sz w:val="24"/>
          <w:szCs w:val="24"/>
        </w:rPr>
        <w:t xml:space="preserve">, which is able to </w:t>
      </w:r>
      <w:r w:rsidR="00F9007A" w:rsidRPr="00A51130">
        <w:rPr>
          <w:rFonts w:ascii="Times New Roman" w:hAnsi="Times New Roman" w:cs="Times New Roman"/>
          <w:sz w:val="24"/>
          <w:szCs w:val="24"/>
        </w:rPr>
        <w:t>provide</w:t>
      </w:r>
      <w:r w:rsidR="00AA5F2B" w:rsidRPr="00A51130">
        <w:rPr>
          <w:rFonts w:ascii="Times New Roman" w:hAnsi="Times New Roman" w:cs="Times New Roman"/>
          <w:sz w:val="24"/>
          <w:szCs w:val="24"/>
        </w:rPr>
        <w:t xml:space="preserve"> </w:t>
      </w:r>
      <w:r w:rsidR="0038307D" w:rsidRPr="00A51130">
        <w:rPr>
          <w:rFonts w:ascii="Times New Roman" w:hAnsi="Times New Roman" w:cs="Times New Roman"/>
          <w:sz w:val="24"/>
          <w:szCs w:val="24"/>
        </w:rPr>
        <w:t xml:space="preserve">a </w:t>
      </w:r>
      <w:r w:rsidR="00AA5F2B" w:rsidRPr="00A51130">
        <w:rPr>
          <w:rFonts w:ascii="Times New Roman" w:hAnsi="Times New Roman" w:cs="Times New Roman"/>
          <w:sz w:val="24"/>
          <w:szCs w:val="24"/>
        </w:rPr>
        <w:t>more</w:t>
      </w:r>
      <w:r w:rsidR="00F9007A" w:rsidRPr="00A51130">
        <w:rPr>
          <w:rFonts w:ascii="Times New Roman" w:hAnsi="Times New Roman" w:cs="Times New Roman"/>
          <w:sz w:val="24"/>
          <w:szCs w:val="24"/>
        </w:rPr>
        <w:t xml:space="preserve"> accurate </w:t>
      </w:r>
      <w:r w:rsidR="0038307D" w:rsidRPr="00A51130">
        <w:rPr>
          <w:rFonts w:ascii="Times New Roman" w:hAnsi="Times New Roman" w:cs="Times New Roman"/>
          <w:sz w:val="24"/>
          <w:szCs w:val="24"/>
        </w:rPr>
        <w:t>reflection</w:t>
      </w:r>
      <w:r w:rsidR="00F9007A" w:rsidRPr="00A51130">
        <w:rPr>
          <w:rFonts w:ascii="Times New Roman" w:hAnsi="Times New Roman" w:cs="Times New Roman"/>
          <w:sz w:val="24"/>
          <w:szCs w:val="24"/>
        </w:rPr>
        <w:t xml:space="preserve"> of whole body and regional </w:t>
      </w:r>
      <w:r w:rsidR="00F97373" w:rsidRPr="00A51130">
        <w:rPr>
          <w:rFonts w:ascii="Times New Roman" w:hAnsi="Times New Roman" w:cs="Times New Roman"/>
          <w:sz w:val="24"/>
          <w:szCs w:val="24"/>
        </w:rPr>
        <w:t xml:space="preserve">adiposity. </w:t>
      </w:r>
      <w:r w:rsidR="00483514" w:rsidRPr="00A51130">
        <w:rPr>
          <w:rFonts w:ascii="Times New Roman" w:hAnsi="Times New Roman" w:cs="Times New Roman"/>
          <w:sz w:val="24"/>
          <w:szCs w:val="24"/>
        </w:rPr>
        <w:t xml:space="preserve">We </w:t>
      </w:r>
      <w:r w:rsidR="006C2940" w:rsidRPr="00A51130">
        <w:rPr>
          <w:rFonts w:ascii="Times New Roman" w:hAnsi="Times New Roman" w:cs="Times New Roman"/>
          <w:sz w:val="24"/>
          <w:szCs w:val="24"/>
        </w:rPr>
        <w:t xml:space="preserve">have </w:t>
      </w:r>
      <w:r w:rsidR="00483514" w:rsidRPr="00A51130">
        <w:rPr>
          <w:rFonts w:ascii="Times New Roman" w:hAnsi="Times New Roman" w:cs="Times New Roman"/>
          <w:sz w:val="24"/>
          <w:szCs w:val="24"/>
        </w:rPr>
        <w:t xml:space="preserve">performed a number of </w:t>
      </w:r>
      <w:r w:rsidR="0095193B" w:rsidRPr="00A51130">
        <w:rPr>
          <w:rFonts w:ascii="Times New Roman" w:hAnsi="Times New Roman" w:cs="Times New Roman"/>
          <w:sz w:val="24"/>
          <w:szCs w:val="24"/>
        </w:rPr>
        <w:t>supplementary</w:t>
      </w:r>
      <w:r w:rsidR="00483514" w:rsidRPr="00A51130">
        <w:rPr>
          <w:rFonts w:ascii="Times New Roman" w:hAnsi="Times New Roman" w:cs="Times New Roman"/>
          <w:sz w:val="24"/>
          <w:szCs w:val="24"/>
        </w:rPr>
        <w:t xml:space="preserve"> analyses</w:t>
      </w:r>
      <w:r w:rsidR="00901C83" w:rsidRPr="00A51130">
        <w:rPr>
          <w:rFonts w:ascii="Times New Roman" w:hAnsi="Times New Roman" w:cs="Times New Roman"/>
          <w:sz w:val="24"/>
          <w:szCs w:val="24"/>
        </w:rPr>
        <w:t>, including</w:t>
      </w:r>
      <w:r w:rsidR="00483514" w:rsidRPr="00A51130">
        <w:rPr>
          <w:rFonts w:ascii="Times New Roman" w:hAnsi="Times New Roman" w:cs="Times New Roman"/>
          <w:sz w:val="24"/>
          <w:szCs w:val="24"/>
        </w:rPr>
        <w:t xml:space="preserve"> </w:t>
      </w:r>
      <w:r w:rsidR="00AC0600" w:rsidRPr="00A51130">
        <w:rPr>
          <w:rFonts w:ascii="Times New Roman" w:hAnsi="Times New Roman" w:cs="Times New Roman"/>
          <w:sz w:val="24"/>
          <w:szCs w:val="24"/>
        </w:rPr>
        <w:t>reparameteris</w:t>
      </w:r>
      <w:r w:rsidR="002225C1" w:rsidRPr="00A51130">
        <w:rPr>
          <w:rFonts w:ascii="Times New Roman" w:hAnsi="Times New Roman" w:cs="Times New Roman"/>
          <w:sz w:val="24"/>
          <w:szCs w:val="24"/>
        </w:rPr>
        <w:t>ing</w:t>
      </w:r>
      <w:r w:rsidR="00AC0600" w:rsidRPr="00A51130">
        <w:rPr>
          <w:rFonts w:ascii="Times New Roman" w:hAnsi="Times New Roman" w:cs="Times New Roman"/>
          <w:sz w:val="24"/>
          <w:szCs w:val="24"/>
        </w:rPr>
        <w:t xml:space="preserve"> infant </w:t>
      </w:r>
      <w:r w:rsidR="00D67E6A" w:rsidRPr="00A51130">
        <w:rPr>
          <w:rFonts w:ascii="Times New Roman" w:hAnsi="Times New Roman" w:cs="Times New Roman"/>
          <w:sz w:val="24"/>
          <w:szCs w:val="24"/>
        </w:rPr>
        <w:t xml:space="preserve">weight </w:t>
      </w:r>
      <w:r w:rsidR="00571B2D" w:rsidRPr="00A51130">
        <w:rPr>
          <w:rFonts w:ascii="Times New Roman" w:hAnsi="Times New Roman" w:cs="Times New Roman"/>
          <w:sz w:val="24"/>
          <w:szCs w:val="24"/>
        </w:rPr>
        <w:t>gain</w:t>
      </w:r>
      <w:r w:rsidR="00AC0600" w:rsidRPr="00A51130">
        <w:rPr>
          <w:rFonts w:ascii="Times New Roman" w:hAnsi="Times New Roman" w:cs="Times New Roman"/>
          <w:sz w:val="24"/>
          <w:szCs w:val="24"/>
        </w:rPr>
        <w:t xml:space="preserve"> </w:t>
      </w:r>
      <w:r w:rsidR="00803B46" w:rsidRPr="00A51130">
        <w:rPr>
          <w:rFonts w:ascii="Times New Roman" w:hAnsi="Times New Roman" w:cs="Times New Roman"/>
          <w:sz w:val="24"/>
          <w:szCs w:val="24"/>
        </w:rPr>
        <w:t>and replac</w:t>
      </w:r>
      <w:r w:rsidR="0047358D" w:rsidRPr="00A51130">
        <w:rPr>
          <w:rFonts w:ascii="Times New Roman" w:hAnsi="Times New Roman" w:cs="Times New Roman"/>
          <w:sz w:val="24"/>
          <w:szCs w:val="24"/>
        </w:rPr>
        <w:t>ing</w:t>
      </w:r>
      <w:r w:rsidR="00803B46" w:rsidRPr="00A51130">
        <w:rPr>
          <w:rFonts w:ascii="Times New Roman" w:hAnsi="Times New Roman" w:cs="Times New Roman"/>
          <w:sz w:val="24"/>
          <w:szCs w:val="24"/>
        </w:rPr>
        <w:t xml:space="preserve"> fetal weight with </w:t>
      </w:r>
      <w:r w:rsidR="00941B10" w:rsidRPr="00A51130">
        <w:rPr>
          <w:rFonts w:ascii="Times New Roman" w:hAnsi="Times New Roman" w:cs="Times New Roman"/>
          <w:sz w:val="24"/>
          <w:szCs w:val="24"/>
        </w:rPr>
        <w:t>birthweight</w:t>
      </w:r>
      <w:r w:rsidR="007D22DC" w:rsidRPr="00A51130">
        <w:rPr>
          <w:rFonts w:ascii="Times New Roman" w:hAnsi="Times New Roman" w:cs="Times New Roman"/>
          <w:sz w:val="24"/>
          <w:szCs w:val="24"/>
        </w:rPr>
        <w:t xml:space="preserve">. These analyses </w:t>
      </w:r>
      <w:r w:rsidR="00AC0600" w:rsidRPr="00A51130">
        <w:rPr>
          <w:rFonts w:ascii="Times New Roman" w:hAnsi="Times New Roman" w:cs="Times New Roman"/>
          <w:sz w:val="24"/>
          <w:szCs w:val="24"/>
        </w:rPr>
        <w:t>yielded similar associations to the main analysis</w:t>
      </w:r>
      <w:r w:rsidR="007D22DC" w:rsidRPr="00A51130">
        <w:rPr>
          <w:rFonts w:ascii="Times New Roman" w:hAnsi="Times New Roman" w:cs="Times New Roman"/>
          <w:sz w:val="24"/>
          <w:szCs w:val="24"/>
        </w:rPr>
        <w:t xml:space="preserve"> and thus increase the robustness of our </w:t>
      </w:r>
      <w:r w:rsidR="001E1A80" w:rsidRPr="00A51130">
        <w:rPr>
          <w:rFonts w:ascii="Times New Roman" w:hAnsi="Times New Roman" w:cs="Times New Roman"/>
          <w:sz w:val="24"/>
          <w:szCs w:val="24"/>
        </w:rPr>
        <w:t xml:space="preserve">findings. </w:t>
      </w:r>
      <w:bookmarkStart w:id="2" w:name="_Hlk26522398"/>
      <w:r w:rsidR="00DC3636">
        <w:rPr>
          <w:rFonts w:ascii="Times New Roman" w:hAnsi="Times New Roman" w:cs="Times New Roman"/>
          <w:sz w:val="24"/>
          <w:szCs w:val="24"/>
        </w:rPr>
        <w:t xml:space="preserve">The extensive data collection and number of variables available in SWS enabled us to adjust for all of the confounding variables identified in our DAG </w:t>
      </w:r>
      <w:bookmarkEnd w:id="2"/>
      <w:r w:rsidR="00854814" w:rsidRPr="00A51130">
        <w:rPr>
          <w:rFonts w:ascii="Times New Roman" w:hAnsi="Times New Roman" w:cs="Times New Roman"/>
          <w:sz w:val="24"/>
          <w:szCs w:val="24"/>
        </w:rPr>
        <w:t xml:space="preserve">We are, however, cautious not to refer to any association as ‘causal’ as the possibility of the presence of residual confounding </w:t>
      </w:r>
      <w:r w:rsidR="009E6205" w:rsidRPr="00A51130">
        <w:rPr>
          <w:rFonts w:ascii="Times New Roman" w:hAnsi="Times New Roman" w:cs="Times New Roman"/>
          <w:sz w:val="24"/>
          <w:szCs w:val="24"/>
        </w:rPr>
        <w:t xml:space="preserve">cannot be excluded </w:t>
      </w:r>
      <w:r w:rsidR="00854814" w:rsidRPr="00A51130">
        <w:rPr>
          <w:rFonts w:ascii="Times New Roman" w:hAnsi="Times New Roman" w:cs="Times New Roman"/>
          <w:sz w:val="24"/>
          <w:szCs w:val="24"/>
        </w:rPr>
        <w:t>and the</w:t>
      </w:r>
      <w:r w:rsidR="00D54792" w:rsidRPr="00A51130">
        <w:rPr>
          <w:rFonts w:ascii="Times New Roman" w:hAnsi="Times New Roman" w:cs="Times New Roman"/>
          <w:sz w:val="24"/>
          <w:szCs w:val="24"/>
        </w:rPr>
        <w:t xml:space="preserve">re is </w:t>
      </w:r>
      <w:r w:rsidR="00594549" w:rsidRPr="00A51130">
        <w:rPr>
          <w:rFonts w:ascii="Times New Roman" w:hAnsi="Times New Roman" w:cs="Times New Roman"/>
          <w:sz w:val="24"/>
          <w:szCs w:val="24"/>
        </w:rPr>
        <w:t>known error associated with the calculation of EFW</w:t>
      </w:r>
      <w:r w:rsidR="007832C1"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{"citationItems":[{"id":"ITEM-1","itemData":{"DOI":"10.1177/1742271X17732807","ISSN":"1742-271X","abstract":"Ultrasound estimation of fetal weight is a highly influential factor in antenatal management, guiding both the timing and mode of delivery of a pregnancy. Although substantial research has investigated the most accurate ultrasound formula for calculating estimated fetal weight, current evidence indicates significant error levels. The aim of this systematic review was to identify the most accurate method, whilst identifying sources of inaccuracy in order to facilitate recommendations for future practice. Seven studies met the inclusion criteria and 11 different formulae were assessed; ultrasound calculation of fetal weight was most commonly overestimated. The Hadlock A formula produced the most accurate results, with the lowest levels of random error. Methods incorporating just two measurement parameters were inconsistent, producing large random errors across multiple studies. Key sources of inaccuracy included difficulties obtaining accurate fetal measurements in late gestation; the remainder were operato...","author":[{"dropping-particle":"","family":"Milner","given":"Julia","non-dropping-particle":"","parse-names":false,"suffix":""},{"dropping-particle":"","family":"Arezina","given":"Jane","non-dropping-particle":"","parse-names":false,"suffix":""}],"container-title":"Ultrasound","id":"ITEM-1","issue":"1","issued":{"date-parts":[["2018","2","7"]]},"page":"32-41","publisher":"SAGE PublicationsSage UK: London, England","title":"The accuracy of ultrasound estimation of fetal weight in comparison to birth weight: A systematic review","type":"article-journal","volume":"26"},"uris":["http://www.mendeley.com/documents/?uuid=ee6b7026-c627-3836-839f-4e155ba4b161"]}],"mendeley":{"formattedCitation":"(Milner &amp; Arezina 2018)","plainTextFormattedCitation":"(Milner &amp; Arezina 2018)","previouslyFormattedCitation":"(Milner &amp; Arezina 2018)"},"properties":{"noteIndex":0},"schema":"https://github.com/citation-style-language/schema/raw/master/csl-citation.json"}</w:instrText>
      </w:r>
      <w:r w:rsidR="007832C1"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(Milner &amp; Arezina 2018)</w:t>
      </w:r>
      <w:r w:rsidR="007832C1" w:rsidRPr="00A51130">
        <w:rPr>
          <w:rFonts w:ascii="Times New Roman" w:hAnsi="Times New Roman" w:cs="Times New Roman"/>
          <w:sz w:val="24"/>
          <w:szCs w:val="24"/>
        </w:rPr>
        <w:fldChar w:fldCharType="end"/>
      </w:r>
      <w:r w:rsidR="00854814" w:rsidRPr="00A51130">
        <w:rPr>
          <w:rFonts w:ascii="Times New Roman" w:hAnsi="Times New Roman" w:cs="Times New Roman"/>
          <w:sz w:val="24"/>
          <w:szCs w:val="24"/>
        </w:rPr>
        <w:t xml:space="preserve">. In participants </w:t>
      </w:r>
      <w:r w:rsidR="00AC46C9" w:rsidRPr="00A51130">
        <w:rPr>
          <w:rFonts w:ascii="Times New Roman" w:hAnsi="Times New Roman" w:cs="Times New Roman"/>
          <w:sz w:val="24"/>
          <w:szCs w:val="24"/>
        </w:rPr>
        <w:t xml:space="preserve">with </w:t>
      </w:r>
      <w:r w:rsidR="00854814" w:rsidRPr="00A51130">
        <w:rPr>
          <w:rFonts w:ascii="Times New Roman" w:hAnsi="Times New Roman" w:cs="Times New Roman"/>
          <w:sz w:val="24"/>
          <w:szCs w:val="24"/>
        </w:rPr>
        <w:t xml:space="preserve">missing data, multiple imputation was used to impute missing values. </w:t>
      </w:r>
    </w:p>
    <w:p w14:paraId="4DE6164D" w14:textId="25BC49B6" w:rsidR="00DF7DC5" w:rsidRPr="00A51130" w:rsidRDefault="00DF7DC5" w:rsidP="00A51130">
      <w:pPr>
        <w:spacing w:line="480" w:lineRule="auto"/>
        <w:rPr>
          <w:rFonts w:ascii="Times New Roman" w:hAnsi="Times New Roman" w:cs="Times New Roman"/>
          <w:b/>
          <w:i/>
          <w:iCs/>
          <w:sz w:val="24"/>
          <w:szCs w:val="24"/>
        </w:rPr>
      </w:pPr>
      <w:r w:rsidRPr="00A51130">
        <w:rPr>
          <w:rFonts w:ascii="Times New Roman" w:hAnsi="Times New Roman" w:cs="Times New Roman"/>
          <w:b/>
          <w:i/>
          <w:iCs/>
          <w:sz w:val="24"/>
          <w:szCs w:val="24"/>
        </w:rPr>
        <w:t xml:space="preserve">Limitations </w:t>
      </w:r>
    </w:p>
    <w:p w14:paraId="3DC38985" w14:textId="47AC2412" w:rsidR="00854814" w:rsidRPr="00A51130" w:rsidRDefault="0091485B"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 xml:space="preserve">The use of EFW provided us with a measure of prenatal </w:t>
      </w:r>
      <w:r w:rsidR="001E73AD" w:rsidRPr="00A51130">
        <w:rPr>
          <w:rFonts w:ascii="Times New Roman" w:hAnsi="Times New Roman" w:cs="Times New Roman"/>
          <w:sz w:val="24"/>
          <w:szCs w:val="24"/>
        </w:rPr>
        <w:t>growth</w:t>
      </w:r>
      <w:r w:rsidRPr="00A51130">
        <w:rPr>
          <w:rFonts w:ascii="Times New Roman" w:hAnsi="Times New Roman" w:cs="Times New Roman"/>
          <w:sz w:val="24"/>
          <w:szCs w:val="24"/>
        </w:rPr>
        <w:t xml:space="preserve"> that could be </w:t>
      </w:r>
      <w:r w:rsidR="00810524" w:rsidRPr="00A51130">
        <w:rPr>
          <w:rFonts w:ascii="Times New Roman" w:hAnsi="Times New Roman" w:cs="Times New Roman"/>
          <w:sz w:val="24"/>
          <w:szCs w:val="24"/>
        </w:rPr>
        <w:t xml:space="preserve">used </w:t>
      </w:r>
      <w:r w:rsidR="00E15FC8" w:rsidRPr="00A51130">
        <w:rPr>
          <w:rFonts w:ascii="Times New Roman" w:hAnsi="Times New Roman" w:cs="Times New Roman"/>
          <w:sz w:val="24"/>
          <w:szCs w:val="24"/>
        </w:rPr>
        <w:t xml:space="preserve">in conjunction with </w:t>
      </w:r>
      <w:r w:rsidRPr="00A51130">
        <w:rPr>
          <w:rFonts w:ascii="Times New Roman" w:hAnsi="Times New Roman" w:cs="Times New Roman"/>
          <w:sz w:val="24"/>
          <w:szCs w:val="24"/>
        </w:rPr>
        <w:t xml:space="preserve">infant weight </w:t>
      </w:r>
      <w:r w:rsidR="00571B2D" w:rsidRPr="00A51130">
        <w:rPr>
          <w:rFonts w:ascii="Times New Roman" w:hAnsi="Times New Roman" w:cs="Times New Roman"/>
          <w:sz w:val="24"/>
          <w:szCs w:val="24"/>
        </w:rPr>
        <w:t>gain</w:t>
      </w:r>
      <w:r w:rsidRPr="00A51130">
        <w:rPr>
          <w:rFonts w:ascii="Times New Roman" w:hAnsi="Times New Roman" w:cs="Times New Roman"/>
          <w:sz w:val="24"/>
          <w:szCs w:val="24"/>
        </w:rPr>
        <w:t xml:space="preserve"> </w:t>
      </w:r>
      <w:r w:rsidR="00E317A8" w:rsidRPr="00A51130">
        <w:rPr>
          <w:rFonts w:ascii="Times New Roman" w:hAnsi="Times New Roman" w:cs="Times New Roman"/>
          <w:sz w:val="24"/>
          <w:szCs w:val="24"/>
        </w:rPr>
        <w:t>and also</w:t>
      </w:r>
      <w:r w:rsidR="00446398" w:rsidRPr="00A51130">
        <w:rPr>
          <w:rFonts w:ascii="Times New Roman" w:hAnsi="Times New Roman" w:cs="Times New Roman"/>
          <w:sz w:val="24"/>
          <w:szCs w:val="24"/>
        </w:rPr>
        <w:t xml:space="preserve"> enabled some comparison </w:t>
      </w:r>
      <w:r w:rsidR="00E317A8" w:rsidRPr="00A51130">
        <w:rPr>
          <w:rFonts w:ascii="Times New Roman" w:hAnsi="Times New Roman" w:cs="Times New Roman"/>
          <w:sz w:val="24"/>
          <w:szCs w:val="24"/>
        </w:rPr>
        <w:t xml:space="preserve">to the related studies from the </w:t>
      </w:r>
      <w:r w:rsidR="00626204" w:rsidRPr="00A51130">
        <w:rPr>
          <w:rFonts w:ascii="Times New Roman" w:hAnsi="Times New Roman" w:cs="Times New Roman"/>
          <w:sz w:val="24"/>
          <w:szCs w:val="24"/>
        </w:rPr>
        <w:t>‘</w:t>
      </w:r>
      <w:r w:rsidR="00E317A8" w:rsidRPr="00A51130">
        <w:rPr>
          <w:rFonts w:ascii="Times New Roman" w:hAnsi="Times New Roman" w:cs="Times New Roman"/>
          <w:sz w:val="24"/>
          <w:szCs w:val="24"/>
        </w:rPr>
        <w:t>Generation R</w:t>
      </w:r>
      <w:r w:rsidR="00626204" w:rsidRPr="00A51130">
        <w:rPr>
          <w:rFonts w:ascii="Times New Roman" w:hAnsi="Times New Roman" w:cs="Times New Roman"/>
          <w:sz w:val="24"/>
          <w:szCs w:val="24"/>
        </w:rPr>
        <w:t>’</w:t>
      </w:r>
      <w:r w:rsidR="00E317A8" w:rsidRPr="00A51130">
        <w:rPr>
          <w:rFonts w:ascii="Times New Roman" w:hAnsi="Times New Roman" w:cs="Times New Roman"/>
          <w:sz w:val="24"/>
          <w:szCs w:val="24"/>
        </w:rPr>
        <w:t xml:space="preserve"> cohort</w:t>
      </w:r>
      <w:r w:rsidR="00626204"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{"citationItems":[{"id":"ITEM-1","itemData":{"DOI":"10.1210/jc.2013-4345","ISSN":"0021-972X","PMID":"24712569","abstract":"CONTEXT Higher infant growth rates are associated with an increased risk of obesity in later life. OBJECTIVE We examined the associations of longitudinally measured fetal and infant growth patterns with total and abdominal fat distribution in childhood. DESIGN, SETTING, AND PARTICIPANTS We performed a population-based prospective cohort study among 6464 children. We measured growth characteristics in the second and third trimesters of pregnancy, at birth, and at 6, 12, and 24 months. MAIN OUTCOME MEASURES Body mass index, fat mass index (body fat mass/height(2)), lean mass index (body lean mass/height(2)), android/gynoid fat ratio measured by dual-energy x-ray absorptiometry, and sc and preperitoneal abdominal fat measured by ultrasound at the median age of 6.0 years (90% range, 5.7-7.4). RESULTS We observed that weight gain in the second and third trimesters of fetal life and in early, mid, and late infancy were independently and positively associated with childhood body mass index (P &lt; .05). Only infant weight gain was associated with higher fat mass index, android/gynoid fat ratio, and abdominal fat in childhood (P &lt; .05). Children with both fetal and infant growth acceleration had the highest childhood body mass index, fat mass index, and sc abdominal fat, whereas children with fetal growth deceleration and infant growth acceleration had the highest value for android/gynoid fat ratio and the lowest value for lean mass index (P &lt; .05). CONCLUSIONS Growth in both fetal life and infancy affects childhood body mass index, whereas only infant growth directly affects measured total body and abdominal fat. Fetal growth deceleration followed by infant growth acceleration may lead to an adverse body fat distribution in childhood.","author":[{"dropping-particle":"","family":"Gishti","given":"Olta","non-dropping-particle":"","parse-names":false,"suffix":""},{"dropping-particle":"","family":"Gaillard","given":"Romy","non-dropping-particle":"","parse-names":false,"suffix":""},{"dropping-particle":"","family":"Manniesing","given":"Rashindra","non-dropping-particle":"","parse-names":false,"suffix":""},{"dropping-particle":"","family":"Abrahamse-Berkeveld","given":"Marieke","non-dropping-particle":"","parse-names":false,"suffix":""},{"dropping-particle":"","family":"Beek","given":"Eline M.","non-dropping-particle":"van der","parse-names":false,"suffix":""},{"dropping-particle":"","family":"Heppe","given":"Denise H. M.","non-dropping-particle":"","parse-names":false,"suffix":""},{"dropping-particle":"","family":"Steegers","given":"Eric A. P.","non-dropping-particle":"","parse-names":false,"suffix":""},{"dropping-particle":"","family":"Hofman","given":"Albert","non-dropping-particle":"","parse-names":false,"suffix":""},{"dropping-particle":"","family":"Duijts","given":"Liesbeth","non-dropping-particle":"","parse-names":false,"suffix":""},{"dropping-particle":"","family":"Durmuş","given":"Büşra","non-dropping-particle":"","parse-names":false,"suffix":""},{"dropping-particle":"V.","family":"Jaddoe","given":"Vincent W.","non-dropping-particle":"","parse-names":false,"suffix":""}],"container-title":"The Journal of Clinical Endocrinology &amp; Metabolism","id":"ITEM-1","issue":"7","issued":{"date-parts":[["2014","7"]]},"page":"2557-2566","title":"Fetal and Infant Growth Patterns Associated With Total and Abdominal Fat Distribution in School-Age Children","type":"article-journal","volume":"99"},"uris":["http://www.mendeley.com/documents/?uuid=695a369b-816b-334f-bd47-c4648cb68896"]},{"id":"ITEM-2","itemData":{"DOI":"10.1097/HJH.0000000000000947","ISSN":"0263-6352","PMID":"27115338","abstract":"OBJECTIVE Low birth weight is associated with cardiovascular disease. We examined the effects of fetal and infant growth patterns on cardiovascular outcomes in children. METHODS In a population-based prospective cohort study among 6239 children, we estimated fetal-femur length and weight by 20 and 30 weeks ultrasound, and child length and weight at birth, 0.5, 1, 2 and 6 years. We measured blood pressure (BP), carotid-femoral pulse wave velocity, aortic root diameter, left ventricular mass and fractional shortening at 6 years. We used regression analyses to identify longitudinal growth patterns associated with height-standardized vascular outcomes and body-surface-area-standardized cardiac outcomes. RESULTS Younger gestational age and lower birth weight were associated with higher BP, smaller aortic root diameter and lower left ventricular mass in childhood (all P values &lt;0.05). Children with decelerated or normal fetal growth followed by accelerated infant growth had higher BP, whereas those with decelerated growth during both fetal life and infancy had a relatively larger left ventricular mass. Longitudinal growth analyses showed that children with increased BP tended to be smaller during third trimester of fetal life, but of normal size during infancy, than children with normal BP. Children with increased aortic root diameter or left ventricular mass tended to be larger during fetal life, but of similar size during infancy. CONCLUSION Specific fetal and infant growth patterns are associated with different cardiovascular outcomes in children. Further studies are needed to identify the underlying mechanisms and the long-term cardiovascular consequences.","author":[{"dropping-particle":"","family":"Toemen","given":"Liza","non-dropping-particle":"","parse-names":false,"suffix":""},{"dropping-particle":"","family":"Jonge","given":"Layla L.","non-dropping-particle":"de","parse-names":false,"suffix":""},{"dropping-particle":"","family":"Gishti","given":"Olta","non-dropping-particle":"","parse-names":false,"suffix":""},{"dropping-particle":"","family":"Osch-Gevers","given":"Lennie","non-dropping-particle":"van","parse-names":false,"suffix":""},{"dropping-particle":"","family":"Taal","given":"H. Rob","non-dropping-particle":"","parse-names":false,"suffix":""},{"dropping-particle":"","family":"Steegers","given":"Eric A.P.","non-dropping-particle":"","parse-names":false,"suffix":""},{"dropping-particle":"","family":"Hofman","given":"Albert","non-dropping-particle":"","parse-names":false,"suffix":""},{"dropping-particle":"","family":"Helbing","given":"Willem A.","non-dropping-particle":"","parse-names":false,"suffix":""},{"dropping-particle":"","family":"Jaddoe","given":"Vincent W.V.","non-dropping-particle":"","parse-names":false,"suffix":""}],"container-title":"Journal of Hypertension","id":"ITEM-2","issue":"7","issued":{"date-parts":[["2016","7"]]},"page":"1396-1406","title":"Longitudinal growth during fetal life and infancy and cardiovascular outcomes at school-age","type":"article-journal","volume":"34"},"uris":["http://www.mendeley.com/documents/?uuid=cb60083d-0e98-30c7-b107-39ad40dff4aa"]},{"id":"ITEM-3","itemData":{"DOI":"10.1001/jamanetworkopen.2019.2843","ISSN":"2574-3805","abstract":"&lt;h3&gt;Importance&lt;/h3&gt;&lt;p&gt;Both fetal and infant growth influence obesity later in life. The association of longitudinal fetal and infant growth patterns with organ fat is unknown.&lt;/p&gt;&lt;h3&gt;Objective&lt;/h3&gt;&lt;p&gt;To examine the associations of fetal and infant weight change with general, visceral, and organ adiposity at school age.&lt;/p&gt;&lt;h3&gt;Design, Setting, and Participants&lt;/h3&gt;&lt;p&gt;This cohort study was embedded in the Generation R Study, a population-based prospective cohort study in Rotterdam, the Netherlands. Pregnant women with a delivery date between April 2002 and January 2006 were eligible to participate. Follow-up measurements were performed for 3205 children. Data analysis of this population was performed from July 26, 2018, to February 7, 2019.&lt;/p&gt;&lt;h3&gt;Exposures&lt;/h3&gt;&lt;p&gt;Fetal weight was estimated in the second and third trimester of pregnancy. Infant weight was measured at 6, 12, and 24 months. Fetal and infant weight acceleration or deceleration were defined as a change in standard deviation scores greater than 0.67 between 2 ages.&lt;/p&gt;&lt;h3&gt;Main Outcomes and Measures&lt;/h3&gt;&lt;p&gt;Visceral fat index, pericardial fat index, and liver fat fraction were measured by magnetic resonance imaging.&lt;/p&gt;&lt;h3&gt;Results&lt;/h3&gt;&lt;p&gt;The sample consisted of 3205 children (1632 girls [50.9%]; mean [SD] age, 9.8 [0.3] years). Children born small for gestational age had the lowest median body mass index compared with children born appropriate for gestational age and large for gestational age (16.4 [90% range, 14.1-23.6] vs 16.9 [90% range, 14.4-22.8] vs 17.4 [90% range, 14.9-22.7]). Compared with children with normal fetal and infant growth (533 of 2370 [22.5%]), those with fetal weight deceleration followed by infant weight acceleration (263 of 2370 [11.1%]) had the highest visceral fat index (standard deviation scores, 0.18; 95% CI, 0.03-0.33;&lt;i&gt;P&lt;/i&gt; = .02) and liver fat fraction (standard deviation scores, 0.34; 95% CI, 0.20-0.48;&lt;i&gt;P&lt;/i&gt; &amp;lt; .001).&lt;/p&gt;&lt;h3&gt;Conclusions and Relevance&lt;/h3&gt;&lt;p&gt;Fetal and infant weight change patterns were both associated with childhood body fat, but weight change patterns in infancy tended to have larger effects. Fetal growth restriction followed by infant growth acceleration was associated with increased visceral and liver fat.&lt;/p&gt;","author":[{"dropping-particle":"","family":"Vogelezang","given":"Suzanne","non-dropping-particle":"","parse-names":false,"suffix":""},{"dropping-particle":"","family":"Santos","given":"Susana","non-dropping-particle":"","parse-names":false,"suffix":""},{"dropping-particle":"","family":"Toemen","given":"Liza","non-dropping-particle":"","parse-names":false,"suffix":""},{"dropping-particle":"","family":"Oei","given":"Edwin H. G.","non-dropping-particle":"","parse-names":false,"suffix":""},{"dropping-particle":"","family":"Felix","given":"Janine F.","non-dropping-particle":"","parse-names":false,"suffix":""},{"dropping-particle":"V.","family":"Jaddoe","given":"Vincent W.","non-dropping-particle":"","parse-names":false,"suffix":""}],"container-title":"JAMA Network Open","id":"ITEM-3","issue":"4","issued":{"date-parts":[["2019","4","26"]]},"page":"e192843","publisher":"American Medical Association","title":"Associations of Fetal and Infant Weight Change With General, Visceral, and Organ Adiposity at School Age","type":"article-journal","volume":"2"},"uris":["http://www.mendeley.com/documents/?uuid=7088dc8b-5454-3b59-ac1d-c32ef1b18cfb"]}],"mendeley":{"formattedCitation":"(Gishti et al. 2014; Toemen et al. 2016; Vogelezang et al. 2019)","plainTextFormattedCitation":"(Gishti et al. 2014; Toemen et al. 2016; Vogelezang et al. 2019)","previouslyFormattedCitation":"(Gishti et al. 2014; Toemen et al. 2016; Vogelezang et al. 2019)"},"properties":{"noteIndex":0},"schema":"https://github.com/citation-style-language/schema/raw/master/csl-citation.json"}</w:instrText>
      </w:r>
      <w:r w:rsidR="00626204"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(Gishti et al. 2014; Toemen et al. 2016; Vogelezang et al. 2019)</w:t>
      </w:r>
      <w:r w:rsidR="00626204" w:rsidRPr="00A51130">
        <w:rPr>
          <w:rFonts w:ascii="Times New Roman" w:hAnsi="Times New Roman" w:cs="Times New Roman"/>
          <w:sz w:val="24"/>
          <w:szCs w:val="24"/>
        </w:rPr>
        <w:fldChar w:fldCharType="end"/>
      </w:r>
      <w:r w:rsidR="00E317A8" w:rsidRPr="00A51130">
        <w:rPr>
          <w:rFonts w:ascii="Times New Roman" w:hAnsi="Times New Roman" w:cs="Times New Roman"/>
          <w:sz w:val="24"/>
          <w:szCs w:val="24"/>
        </w:rPr>
        <w:t>.</w:t>
      </w:r>
      <w:r w:rsidR="00BF56CA" w:rsidRPr="00A51130">
        <w:rPr>
          <w:rFonts w:ascii="Times New Roman" w:hAnsi="Times New Roman" w:cs="Times New Roman"/>
          <w:sz w:val="24"/>
          <w:szCs w:val="24"/>
        </w:rPr>
        <w:t xml:space="preserve"> The generation of EFW is however, associated with error</w:t>
      </w:r>
      <w:r w:rsidR="001804FA" w:rsidRPr="00A51130">
        <w:rPr>
          <w:rFonts w:ascii="Times New Roman" w:hAnsi="Times New Roman" w:cs="Times New Roman"/>
          <w:sz w:val="24"/>
          <w:szCs w:val="24"/>
        </w:rPr>
        <w:t xml:space="preserve">. In our study, </w:t>
      </w:r>
      <w:r w:rsidR="0062271E" w:rsidRPr="00A51130">
        <w:rPr>
          <w:rFonts w:ascii="Times New Roman" w:hAnsi="Times New Roman" w:cs="Times New Roman"/>
          <w:sz w:val="24"/>
          <w:szCs w:val="24"/>
        </w:rPr>
        <w:t>EFW was generated according to</w:t>
      </w:r>
      <w:r w:rsidR="001804FA" w:rsidRPr="00A51130">
        <w:rPr>
          <w:rFonts w:ascii="Times New Roman" w:hAnsi="Times New Roman" w:cs="Times New Roman"/>
          <w:sz w:val="24"/>
          <w:szCs w:val="24"/>
        </w:rPr>
        <w:t xml:space="preserve"> the Hadlock formula</w:t>
      </w:r>
      <w:r w:rsidR="001804FA"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{"citationItems":[{"id":"ITEM-1","itemData":{"ISSN":"0002-9378","PMID":"3881966","abstract":"In utero estimates of fetal weight were evaluated prospectively in 109 fetuses with the use of sonographic models developed in a previous study. This report confirms that the best in utero weight estimates result from the use of models based on measurements of head size, abdominal size, and femur length. Since the accuracy of these models (1 SD = 7.5%) is significantly better than those based on measurements of head and body (e.g., biparietal diameter, abdominal circumference), we recommend routine use of such models in obstetric sonography.","author":[{"dropping-particle":"","family":"Hadlock","given":"F P","non-dropping-particle":"","parse-names":false,"suffix":""},{"dropping-particle":"","family":"Harrist","given":"R B","non-dropping-particle":"","parse-names":false,"suffix":""},{"dropping-particle":"","family":"Sharman","given":"R S","non-dropping-particle":"","parse-names":false,"suffix":""},{"dropping-particle":"","family":"Deter","given":"R L","non-dropping-particle":"","parse-names":false,"suffix":""},{"dropping-particle":"","family":"Park","given":"S K","non-dropping-particle":"","parse-names":false,"suffix":""}],"container-title":"American journal of obstetrics and gynecology","id":"ITEM-1","issue":"3","issued":{"date-parts":[["1985","2","1"]]},"page":"333-7","title":"Estimation of fetal weight with the use of head, body, and femur measurements--a prospective study.","type":"article-journal","volume":"151"},"uris":["http://www.mendeley.com/documents/?uuid=b635454a-5720-3b30-81f5-7c7ebc48812b"]}],"mendeley":{"formattedCitation":"(Hadlock et al. 1985)","plainTextFormattedCitation":"(Hadlock et al. 1985)","previouslyFormattedCitation":"(Hadlock et al. 1985)"},"properties":{"noteIndex":0},"schema":"https://github.com/citation-style-language/schema/raw/master/csl-citation.json"}</w:instrText>
      </w:r>
      <w:r w:rsidR="001804FA"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(Hadlock et al. 1985)</w:t>
      </w:r>
      <w:r w:rsidR="001804FA" w:rsidRPr="00A51130">
        <w:rPr>
          <w:rFonts w:ascii="Times New Roman" w:hAnsi="Times New Roman" w:cs="Times New Roman"/>
          <w:sz w:val="24"/>
          <w:szCs w:val="24"/>
        </w:rPr>
        <w:fldChar w:fldCharType="end"/>
      </w:r>
      <w:r w:rsidR="00AE5094" w:rsidRPr="00A51130">
        <w:rPr>
          <w:rFonts w:ascii="Times New Roman" w:hAnsi="Times New Roman" w:cs="Times New Roman"/>
          <w:sz w:val="24"/>
          <w:szCs w:val="24"/>
        </w:rPr>
        <w:t xml:space="preserve">. </w:t>
      </w:r>
      <w:r w:rsidR="00CE1A4D" w:rsidRPr="00A51130">
        <w:rPr>
          <w:rFonts w:ascii="Times New Roman" w:hAnsi="Times New Roman" w:cs="Times New Roman"/>
          <w:sz w:val="24"/>
          <w:szCs w:val="24"/>
        </w:rPr>
        <w:t>T</w:t>
      </w:r>
      <w:r w:rsidR="00D72DE3" w:rsidRPr="00A51130">
        <w:rPr>
          <w:rFonts w:ascii="Times New Roman" w:hAnsi="Times New Roman" w:cs="Times New Roman"/>
          <w:sz w:val="24"/>
          <w:szCs w:val="24"/>
        </w:rPr>
        <w:t xml:space="preserve">he most recent systematic review </w:t>
      </w:r>
      <w:r w:rsidR="00AE4FFA" w:rsidRPr="00A51130">
        <w:rPr>
          <w:rFonts w:ascii="Times New Roman" w:hAnsi="Times New Roman" w:cs="Times New Roman"/>
          <w:sz w:val="24"/>
          <w:szCs w:val="24"/>
        </w:rPr>
        <w:t xml:space="preserve">investigating </w:t>
      </w:r>
      <w:r w:rsidR="00EA7241" w:rsidRPr="00A51130">
        <w:rPr>
          <w:rFonts w:ascii="Times New Roman" w:hAnsi="Times New Roman" w:cs="Times New Roman"/>
          <w:sz w:val="24"/>
          <w:szCs w:val="24"/>
        </w:rPr>
        <w:t xml:space="preserve">the accuracy of </w:t>
      </w:r>
      <w:r w:rsidR="00BC0726" w:rsidRPr="00A51130">
        <w:rPr>
          <w:rFonts w:ascii="Times New Roman" w:hAnsi="Times New Roman" w:cs="Times New Roman"/>
          <w:sz w:val="24"/>
          <w:szCs w:val="24"/>
        </w:rPr>
        <w:t xml:space="preserve"> different fo</w:t>
      </w:r>
      <w:r w:rsidR="002F25C2" w:rsidRPr="00A51130">
        <w:rPr>
          <w:rFonts w:ascii="Times New Roman" w:hAnsi="Times New Roman" w:cs="Times New Roman"/>
          <w:sz w:val="24"/>
          <w:szCs w:val="24"/>
        </w:rPr>
        <w:t>rmulae for the c</w:t>
      </w:r>
      <w:r w:rsidR="00EA7241" w:rsidRPr="00A51130">
        <w:rPr>
          <w:rFonts w:ascii="Times New Roman" w:hAnsi="Times New Roman" w:cs="Times New Roman"/>
          <w:sz w:val="24"/>
          <w:szCs w:val="24"/>
        </w:rPr>
        <w:t>alculation of EFW</w:t>
      </w:r>
      <w:r w:rsidR="00BC0726" w:rsidRPr="00A51130">
        <w:rPr>
          <w:rFonts w:ascii="Times New Roman" w:hAnsi="Times New Roman" w:cs="Times New Roman"/>
          <w:sz w:val="24"/>
          <w:szCs w:val="24"/>
        </w:rPr>
        <w:t xml:space="preserve"> concluded that </w:t>
      </w:r>
      <w:r w:rsidR="00325DF5" w:rsidRPr="00A51130">
        <w:rPr>
          <w:rFonts w:ascii="Times New Roman" w:hAnsi="Times New Roman" w:cs="Times New Roman"/>
          <w:sz w:val="24"/>
          <w:szCs w:val="24"/>
        </w:rPr>
        <w:t xml:space="preserve">the Hadlock </w:t>
      </w:r>
      <w:r w:rsidR="002F25C2" w:rsidRPr="00A51130">
        <w:rPr>
          <w:rFonts w:ascii="Times New Roman" w:hAnsi="Times New Roman" w:cs="Times New Roman"/>
          <w:sz w:val="24"/>
          <w:szCs w:val="24"/>
        </w:rPr>
        <w:t xml:space="preserve">formula </w:t>
      </w:r>
      <w:r w:rsidR="009C52D7" w:rsidRPr="00A51130">
        <w:rPr>
          <w:rFonts w:ascii="Times New Roman" w:hAnsi="Times New Roman" w:cs="Times New Roman"/>
          <w:sz w:val="24"/>
          <w:szCs w:val="24"/>
        </w:rPr>
        <w:t>produced the most accurate results</w:t>
      </w:r>
      <w:r w:rsidR="008C5F02" w:rsidRPr="00A51130">
        <w:rPr>
          <w:rFonts w:ascii="Times New Roman" w:hAnsi="Times New Roman" w:cs="Times New Roman"/>
          <w:sz w:val="24"/>
          <w:szCs w:val="24"/>
        </w:rPr>
        <w:fldChar w:fldCharType="begin" w:fldLock="1"/>
      </w:r>
      <w:r w:rsidR="006A5DDF">
        <w:rPr>
          <w:rFonts w:ascii="Times New Roman" w:hAnsi="Times New Roman" w:cs="Times New Roman"/>
          <w:sz w:val="24"/>
          <w:szCs w:val="24"/>
        </w:rPr>
        <w:instrText>ADDIN CSL_CITATION {"citationItems":[{"id":"ITEM-1","itemData":{"DOI":"10.1177/1742271X17732807","ISSN":"1742-271X","abstract":"Ultrasound estimation of fetal weight is a highly influential factor in antenatal management, guiding both the timing and mode of delivery of a pregnancy. Although substantial research has investigated the most accurate ultrasound formula for calculating estimated fetal weight, current evidence indicates significant error levels. The aim of this systematic review was to identify the most accurate method, whilst identifying sources of inaccuracy in order to facilitate recommendations for future practice. Seven studies met the inclusion criteria and 11 different formulae were assessed; ultrasound calculation of fetal weight was most commonly overestimated. The Hadlock A formula produced the most accurate results, with the lowest levels of random error. Methods incorporating just two measurement parameters were inconsistent, producing large random errors across multiple studies. Key sources of inaccuracy included difficulties obtaining accurate fetal measurements in late gestation; the remainder were operato...","author":[{"dropping-particle":"","family":"Milner","given":"Julia","non-dropping-particle":"","parse-names":false,"suffix":""},{"dropping-particle":"","family":"Arezina","given":"Jane","non-dropping-particle":"","parse-names":false,"suffix":""}],"container-title":"Ultrasound","id":"ITEM-1","issue":"1","issued":{"date-parts":[["2018","2","7"]]},"page":"32-41","publisher":"SAGE PublicationsSage UK: London, England","title":"The accuracy of ultrasound estimation of fetal weight in comparison to birth weight: A systematic review","type":"article-journal","volume":"26"},"uris":["http://www.mendeley.com/documents/?uuid=ee6b7026-c627-3836-839f-4e155ba4b161"]}],"mendeley":{"formattedCitation":"(Milner &amp; Arezina 2018)","plainTextFormattedCitation":"(Milner &amp; Arezina 2018)","previouslyFormattedCitation":"(Milner &amp; Arezina 2018)"},"properties":{"noteIndex":0},"schema":"https://github.com/citation-style-language/schema/raw/master/csl-citation.json"}</w:instrText>
      </w:r>
      <w:r w:rsidR="008C5F02"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(Milner &amp; Arezina 2018)</w:t>
      </w:r>
      <w:r w:rsidR="008C5F02" w:rsidRPr="00A51130">
        <w:rPr>
          <w:rFonts w:ascii="Times New Roman" w:hAnsi="Times New Roman" w:cs="Times New Roman"/>
          <w:sz w:val="24"/>
          <w:szCs w:val="24"/>
        </w:rPr>
        <w:fldChar w:fldCharType="end"/>
      </w:r>
      <w:r w:rsidR="009C52D7" w:rsidRPr="00A51130">
        <w:rPr>
          <w:rFonts w:ascii="Times New Roman" w:hAnsi="Times New Roman" w:cs="Times New Roman"/>
          <w:sz w:val="24"/>
          <w:szCs w:val="24"/>
        </w:rPr>
        <w:t>.</w:t>
      </w:r>
      <w:r w:rsidR="00333A20" w:rsidRPr="00A51130">
        <w:rPr>
          <w:rFonts w:ascii="Times New Roman" w:hAnsi="Times New Roman" w:cs="Times New Roman"/>
          <w:sz w:val="24"/>
          <w:szCs w:val="24"/>
        </w:rPr>
        <w:t xml:space="preserve">. </w:t>
      </w:r>
      <w:r w:rsidR="00CF771F" w:rsidRPr="00A51130">
        <w:rPr>
          <w:rFonts w:ascii="Times New Roman" w:hAnsi="Times New Roman" w:cs="Times New Roman"/>
          <w:sz w:val="24"/>
          <w:szCs w:val="24"/>
        </w:rPr>
        <w:t xml:space="preserve">While most baseline differences between those included and excluded from the analysis were small (supplementary table 2), </w:t>
      </w:r>
      <w:r w:rsidR="00BE7263" w:rsidRPr="00A51130">
        <w:rPr>
          <w:rFonts w:ascii="Times New Roman" w:hAnsi="Times New Roman" w:cs="Times New Roman"/>
          <w:sz w:val="24"/>
          <w:szCs w:val="24"/>
        </w:rPr>
        <w:t xml:space="preserve">our sample </w:t>
      </w:r>
      <w:r w:rsidR="00CF771F" w:rsidRPr="00A51130">
        <w:rPr>
          <w:rFonts w:ascii="Times New Roman" w:hAnsi="Times New Roman" w:cs="Times New Roman"/>
          <w:sz w:val="24"/>
          <w:szCs w:val="24"/>
        </w:rPr>
        <w:t>selected a more educated group of women from higher occupational social class bac</w:t>
      </w:r>
      <w:r w:rsidR="000A4184" w:rsidRPr="00A51130">
        <w:rPr>
          <w:rFonts w:ascii="Times New Roman" w:hAnsi="Times New Roman" w:cs="Times New Roman"/>
          <w:sz w:val="24"/>
          <w:szCs w:val="24"/>
        </w:rPr>
        <w:t>kgrounds</w:t>
      </w:r>
      <w:r w:rsidR="00225F97" w:rsidRPr="00A51130">
        <w:rPr>
          <w:rFonts w:ascii="Times New Roman" w:hAnsi="Times New Roman" w:cs="Times New Roman"/>
          <w:sz w:val="24"/>
          <w:szCs w:val="24"/>
        </w:rPr>
        <w:t xml:space="preserve">, which may limit the </w:t>
      </w:r>
      <w:r w:rsidR="009F2190" w:rsidRPr="00A51130">
        <w:rPr>
          <w:rFonts w:ascii="Times New Roman" w:hAnsi="Times New Roman" w:cs="Times New Roman"/>
          <w:sz w:val="24"/>
          <w:szCs w:val="24"/>
        </w:rPr>
        <w:t>generalisability of our findings</w:t>
      </w:r>
      <w:r w:rsidR="000A4184" w:rsidRPr="00A51130">
        <w:rPr>
          <w:rFonts w:ascii="Times New Roman" w:hAnsi="Times New Roman" w:cs="Times New Roman"/>
          <w:sz w:val="24"/>
          <w:szCs w:val="24"/>
        </w:rPr>
        <w:t xml:space="preserve">. </w:t>
      </w:r>
    </w:p>
    <w:p w14:paraId="3D6DAF7F" w14:textId="55E7CE43" w:rsidR="00003290" w:rsidRPr="00A51130" w:rsidRDefault="00003290" w:rsidP="00A51130">
      <w:pPr>
        <w:spacing w:line="480" w:lineRule="auto"/>
        <w:rPr>
          <w:rFonts w:ascii="Times New Roman" w:hAnsi="Times New Roman" w:cs="Times New Roman"/>
          <w:b/>
          <w:sz w:val="24"/>
          <w:szCs w:val="24"/>
        </w:rPr>
      </w:pPr>
      <w:r w:rsidRPr="00A51130">
        <w:rPr>
          <w:rFonts w:ascii="Times New Roman" w:hAnsi="Times New Roman" w:cs="Times New Roman"/>
          <w:b/>
          <w:sz w:val="24"/>
          <w:szCs w:val="24"/>
        </w:rPr>
        <w:t xml:space="preserve">Conclusions: </w:t>
      </w:r>
    </w:p>
    <w:p w14:paraId="4B450F3E" w14:textId="77777777" w:rsidR="00996524" w:rsidRDefault="000940FC"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 xml:space="preserve">The relationship of infant weight gain with cardiometabolic disease risk factors in childhood was not modified by </w:t>
      </w:r>
      <w:r w:rsidR="00530055" w:rsidRPr="00A51130">
        <w:rPr>
          <w:rFonts w:ascii="Times New Roman" w:hAnsi="Times New Roman" w:cs="Times New Roman"/>
          <w:sz w:val="24"/>
          <w:szCs w:val="24"/>
        </w:rPr>
        <w:t>fetal growth</w:t>
      </w:r>
      <w:r w:rsidRPr="00A51130">
        <w:rPr>
          <w:rFonts w:ascii="Times New Roman" w:hAnsi="Times New Roman" w:cs="Times New Roman"/>
          <w:sz w:val="24"/>
          <w:szCs w:val="24"/>
        </w:rPr>
        <w:t xml:space="preserve"> in the Southampton Women’s Study. This suggests that the documented adverse consequences of rapid infant weight gain may occur regardless </w:t>
      </w:r>
      <w:r w:rsidR="008A6849" w:rsidRPr="00A51130">
        <w:rPr>
          <w:rFonts w:ascii="Times New Roman" w:hAnsi="Times New Roman" w:cs="Times New Roman"/>
          <w:sz w:val="24"/>
          <w:szCs w:val="24"/>
        </w:rPr>
        <w:t>of whether or not growth was constrained in utero.</w:t>
      </w:r>
    </w:p>
    <w:p w14:paraId="032B2C8E" w14:textId="77777777" w:rsidR="00C75499" w:rsidRDefault="00C75499" w:rsidP="00A51130">
      <w:pPr>
        <w:spacing w:line="480" w:lineRule="auto"/>
        <w:rPr>
          <w:rFonts w:ascii="Times New Roman" w:hAnsi="Times New Roman" w:cs="Times New Roman"/>
          <w:sz w:val="24"/>
          <w:szCs w:val="24"/>
        </w:rPr>
        <w:sectPr w:rsidR="00C75499">
          <w:pgSz w:w="11906" w:h="16838"/>
          <w:pgMar w:top="1440" w:right="1440" w:bottom="1440" w:left="1440" w:header="708" w:footer="708" w:gutter="0"/>
          <w:cols w:space="708"/>
          <w:docGrid w:linePitch="360"/>
        </w:sectPr>
      </w:pPr>
    </w:p>
    <w:p w14:paraId="74215AA7" w14:textId="77777777" w:rsidR="00C75499" w:rsidRDefault="00C75499" w:rsidP="00C75499">
      <w:pPr>
        <w:spacing w:line="480" w:lineRule="auto"/>
        <w:rPr>
          <w:rFonts w:ascii="Times New Roman" w:hAnsi="Times New Roman" w:cs="Times New Roman"/>
          <w:sz w:val="24"/>
          <w:szCs w:val="24"/>
        </w:rPr>
      </w:pPr>
      <w:r>
        <w:rPr>
          <w:rFonts w:ascii="Times New Roman" w:hAnsi="Times New Roman" w:cs="Times New Roman"/>
          <w:b/>
          <w:bCs/>
          <w:sz w:val="24"/>
          <w:szCs w:val="24"/>
        </w:rPr>
        <w:t>Disclosure of interest</w:t>
      </w:r>
      <w:r w:rsidRPr="00A51130">
        <w:rPr>
          <w:rFonts w:ascii="Times New Roman" w:hAnsi="Times New Roman" w:cs="Times New Roman"/>
          <w:b/>
          <w:bCs/>
          <w:sz w:val="24"/>
          <w:szCs w:val="24"/>
        </w:rPr>
        <w:t>:</w:t>
      </w:r>
      <w:r w:rsidRPr="00A51130">
        <w:rPr>
          <w:rFonts w:ascii="Times New Roman" w:hAnsi="Times New Roman" w:cs="Times New Roman"/>
          <w:sz w:val="24"/>
          <w:szCs w:val="24"/>
        </w:rPr>
        <w:t xml:space="preserve"> The authors </w:t>
      </w:r>
      <w:r>
        <w:rPr>
          <w:rFonts w:ascii="Times New Roman" w:hAnsi="Times New Roman" w:cs="Times New Roman"/>
          <w:sz w:val="24"/>
          <w:szCs w:val="24"/>
        </w:rPr>
        <w:t>report</w:t>
      </w:r>
      <w:r w:rsidRPr="00A51130">
        <w:rPr>
          <w:rFonts w:ascii="Times New Roman" w:hAnsi="Times New Roman" w:cs="Times New Roman"/>
          <w:sz w:val="24"/>
          <w:szCs w:val="24"/>
        </w:rPr>
        <w:t xml:space="preserve"> no conflict of interest. </w:t>
      </w:r>
    </w:p>
    <w:p w14:paraId="3E9FB02E" w14:textId="77777777" w:rsidR="00C75499" w:rsidRDefault="00C75499" w:rsidP="00C75499">
      <w:pPr>
        <w:spacing w:line="480" w:lineRule="auto"/>
        <w:rPr>
          <w:rFonts w:ascii="Times New Roman" w:hAnsi="Times New Roman" w:cs="Times New Roman"/>
          <w:sz w:val="24"/>
          <w:szCs w:val="24"/>
        </w:rPr>
      </w:pPr>
      <w:r w:rsidRPr="00A51130">
        <w:rPr>
          <w:rFonts w:ascii="Times New Roman" w:hAnsi="Times New Roman" w:cs="Times New Roman"/>
          <w:b/>
          <w:bCs/>
          <w:sz w:val="24"/>
          <w:szCs w:val="24"/>
        </w:rPr>
        <w:t>Funding:</w:t>
      </w:r>
      <w:r w:rsidRPr="00A51130">
        <w:rPr>
          <w:rFonts w:ascii="Times New Roman" w:hAnsi="Times New Roman" w:cs="Times New Roman"/>
          <w:sz w:val="24"/>
          <w:szCs w:val="24"/>
        </w:rPr>
        <w:t xml:space="preserve"> This work was supported by a UK Medical Research Council (MRC) New Investigator Research Grant (MR/P023347/1).</w:t>
      </w:r>
    </w:p>
    <w:p w14:paraId="55DFD30F" w14:textId="3366A094" w:rsidR="00C75499" w:rsidRPr="00A51130" w:rsidRDefault="00C75499" w:rsidP="00A51130">
      <w:pPr>
        <w:spacing w:line="480" w:lineRule="auto"/>
        <w:rPr>
          <w:rFonts w:ascii="Times New Roman" w:hAnsi="Times New Roman" w:cs="Times New Roman"/>
          <w:sz w:val="24"/>
          <w:szCs w:val="24"/>
        </w:rPr>
        <w:sectPr w:rsidR="00C75499" w:rsidRPr="00A51130">
          <w:pgSz w:w="11906" w:h="16838"/>
          <w:pgMar w:top="1440" w:right="1440" w:bottom="1440" w:left="1440" w:header="708" w:footer="708" w:gutter="0"/>
          <w:cols w:space="708"/>
          <w:docGrid w:linePitch="360"/>
        </w:sectPr>
      </w:pPr>
    </w:p>
    <w:p w14:paraId="595D1887" w14:textId="77777777" w:rsidR="00003290" w:rsidRPr="00A51130" w:rsidRDefault="006A573F" w:rsidP="00A51130">
      <w:pPr>
        <w:spacing w:line="480" w:lineRule="auto"/>
        <w:rPr>
          <w:rFonts w:ascii="Times New Roman" w:hAnsi="Times New Roman" w:cs="Times New Roman"/>
          <w:b/>
          <w:sz w:val="24"/>
          <w:szCs w:val="24"/>
        </w:rPr>
      </w:pPr>
      <w:r w:rsidRPr="00A51130">
        <w:rPr>
          <w:rFonts w:ascii="Times New Roman" w:hAnsi="Times New Roman" w:cs="Times New Roman"/>
          <w:b/>
          <w:sz w:val="24"/>
          <w:szCs w:val="24"/>
        </w:rPr>
        <w:t>References</w:t>
      </w:r>
    </w:p>
    <w:p w14:paraId="7315BF24" w14:textId="590D6C36" w:rsidR="006A5DDF" w:rsidRPr="006A5DDF" w:rsidRDefault="006A573F" w:rsidP="006A5DDF">
      <w:pPr>
        <w:widowControl w:val="0"/>
        <w:autoSpaceDE w:val="0"/>
        <w:autoSpaceDN w:val="0"/>
        <w:adjustRightInd w:val="0"/>
        <w:spacing w:line="480" w:lineRule="auto"/>
        <w:rPr>
          <w:rFonts w:ascii="Times New Roman" w:hAnsi="Times New Roman" w:cs="Times New Roman"/>
          <w:noProof/>
          <w:sz w:val="24"/>
          <w:szCs w:val="24"/>
        </w:rPr>
      </w:pPr>
      <w:r w:rsidRPr="00A51130">
        <w:rPr>
          <w:rFonts w:ascii="Times New Roman" w:hAnsi="Times New Roman" w:cs="Times New Roman"/>
          <w:sz w:val="24"/>
          <w:szCs w:val="24"/>
        </w:rPr>
        <w:fldChar w:fldCharType="begin" w:fldLock="1"/>
      </w:r>
      <w:r w:rsidRPr="00A51130">
        <w:rPr>
          <w:rFonts w:ascii="Times New Roman" w:hAnsi="Times New Roman" w:cs="Times New Roman"/>
          <w:sz w:val="24"/>
          <w:szCs w:val="24"/>
        </w:rPr>
        <w:instrText xml:space="preserve">ADDIN Mendeley Bibliography CSL_BIBLIOGRAPHY </w:instrText>
      </w:r>
      <w:r w:rsidRPr="00A51130">
        <w:rPr>
          <w:rFonts w:ascii="Times New Roman" w:hAnsi="Times New Roman" w:cs="Times New Roman"/>
          <w:sz w:val="24"/>
          <w:szCs w:val="24"/>
        </w:rPr>
        <w:fldChar w:fldCharType="separate"/>
      </w:r>
      <w:r w:rsidR="006A5DDF" w:rsidRPr="006A5DDF">
        <w:rPr>
          <w:rFonts w:ascii="Times New Roman" w:hAnsi="Times New Roman" w:cs="Times New Roman"/>
          <w:noProof/>
          <w:sz w:val="24"/>
          <w:szCs w:val="24"/>
        </w:rPr>
        <w:t>Barker DJ. 1995. Fetal origins of coronary heart disease. Br Med J. 311:171.</w:t>
      </w:r>
    </w:p>
    <w:p w14:paraId="2452C5BC"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Bekkers MBM, Brunekreef B, Smit HA, Kerkhof M, Koppelman GH, Oldenwening M, Wijga AH. 2011. Early-life determinants of total and HDL cholesterol concentrations in 8-year-old children; the PIAMA birth cohort study. PLoS One [Internet]. [cited 2019 Feb 19]; 6:e25533. Available from: http://www.ncbi.nlm.nih.gov/pubmed/21980486</w:t>
      </w:r>
    </w:p>
    <w:p w14:paraId="1678884E"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Belfort MB, Rifas-Shiman SL, Rich-Edwards J, Kleinman KP, Gillman MW. 2007. Size at birth, infant growth, and blood pressure at three years of age. J Pediatr [Internet]. [cited 2019 Feb 19]; 151:670–4. Available from: http://www.ncbi.nlm.nih.gov/pubmed/18035150</w:t>
      </w:r>
    </w:p>
    <w:p w14:paraId="2911C4FF"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Corvalan C, Gregory C, Ramirez-Zea M, Martorell R, Stein A. 2007. Size at birth, infant, early and later childhood growth and adult body composition: a prospective study in a stunted population. Int J Epidemiol [Internet]. [cited 2019 Mar 5]; 36:550–557. Available from: http://www.ncbi.nlm.nih.gov/pubmed/17376801</w:t>
      </w:r>
    </w:p>
    <w:p w14:paraId="29BF2801"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Crowther NJ, Cameron N, Trusler J, Gray IP. 1998. Association between poor glucose tolerance and rapid post natal weight gain in seven-year-old children. Diabetologia [Internet]. [cited 2019 Feb 19]; 41:1163–1167. Available from: http://www.ncbi.nlm.nih.gov/pubmed/9794102</w:t>
      </w:r>
    </w:p>
    <w:p w14:paraId="256E7F23"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Druet C, Stettler N, Sharp S, Simmons RK, Cooper C, Davey Smith G, Ekelund U, Lévy-Marchal C, Jarvelin MR, Kuh D, Ong KK. 2012. Prediction of childhood obesity by infancy weight gain: An individual-level meta-analysis. Paediatr Perinat Epidemiol.</w:t>
      </w:r>
    </w:p>
    <w:p w14:paraId="1B103437"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Gishti O, Gaillard R, Manniesing R, Abrahamse-Berkeveld M, van der Beek EM, Heppe DHM, Steegers EAP, Hofman A, Duijts L, Durmuş B, Jaddoe VW V. 2014. Fetal and Infant Growth Patterns Associated With Total and Abdominal Fat Distribution in School-Age Children. J Clin Endocrinol Metab [Internet]. [cited 2019 Feb 19]; 99:2557–2566. Available from: http://www.ncbi.nlm.nih.gov/pubmed/24712569</w:t>
      </w:r>
    </w:p>
    <w:p w14:paraId="57AFD4EE"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Hadlock FP, Harrist RB, Sharman RS, Deter RL, Park SK. 1985. Estimation of fetal weight with the use of head, body, and femur measurements--a prospective study. Am J Obstet Gynecol [Internet]. [cited 2019 Feb 5]; 151:333–7. Available from: http://www.ncbi.nlm.nih.gov/pubmed/3881966</w:t>
      </w:r>
    </w:p>
    <w:p w14:paraId="0F889C16"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Huxley RR, Shiell AW, Law CM. 2000. The role of size at birth and postnatal catch-up growth in determining systolic blood pressure: a systematic review of the literature. J Hypertens [Internet]. [cited 2019 Feb 19]; 18:815–31. Available from: http://www.ncbi.nlm.nih.gov/pubmed/10930178</w:t>
      </w:r>
    </w:p>
    <w:p w14:paraId="06D8A182"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Inskip HM, Godfrey KM, Robinson SM, Law CM, Barker DJ, Cooper C. 2006. Cohort profile: The Southampton Women’s Survey. Int J Epidemiol [Internet]. [cited 2019 Feb 4]; 35:42–48. Available from: http://academic.oup.com/ije/article/35/1/42/849776/Cohort-profile-The-Southampton-Womens-Survey</w:t>
      </w:r>
    </w:p>
    <w:p w14:paraId="3FB89D77"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Isaacs EB, Morley R, Lucas A. 2009. Early Diet and General Cognitive Outcome at Adolescence in Children Born at or Below 30 Weeks Gestation. J Pediatr [Internet]. [cited 2019 Feb 20]; 155:229–234. Available from: http://www.ncbi.nlm.nih.gov/pubmed/19446846</w:t>
      </w:r>
    </w:p>
    <w:p w14:paraId="287DC2A3"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Jain V, Singhal A. 2012. Catch up growth in low birth weight infants: Striking a healthy balance. Rev Endocr Metab Disord [Internet]. [cited 2019 Feb 20]; 13:141–147. Available from: http://link.springer.com/10.1007/s11154-012-9216-6</w:t>
      </w:r>
    </w:p>
    <w:p w14:paraId="7BA0A9F9"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Kerkhof GF, Willemsen RH, Leunissen RWJ, Breukhoven PE, Hokken-Koelega ACS. 2012. Health Profile of Young Adults Born Preterm: Negative Effects of Rapid Weight Gain in Early Life. J Clin Endocrinol Metab [Internet]. [cited 2019 Feb 20]; 97:4498–4506. Available from: http://www.ncbi.nlm.nih.gov/pubmed/22993033</w:t>
      </w:r>
    </w:p>
    <w:p w14:paraId="5DA5AF97"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De Lucia Rolfe E, Loos RJ, Druet C, Stolk RP, Ekelund U, Griffin SJ, Forouhi NG, Wareham NJ, Ong KK. 2010. Association between birth weight and visceral fat in adults. Am J Clin Nutr [Internet]. [cited 2019 Mar 5]; 92:347–352. Available from: http://www.ncbi.nlm.nih.gov/pubmed/20519560</w:t>
      </w:r>
    </w:p>
    <w:p w14:paraId="384E10B1"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Matthews EK, Wei J, Cunningham SA. 2017. Relationship between prenatal growth, postnatal growth and childhood obesity: a review. Eur J Clin Nutr [Internet]. [cited 2019 Feb 20]; 71:919–930. Available from: http://www.nature.com/doifinder/10.1038/ejcn.2016.258</w:t>
      </w:r>
    </w:p>
    <w:p w14:paraId="25E3322A"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McCarthy A, Hughes R, Tilling K, Davies D, Davey Smith G, Ben-Shlomo Y. 2007. Birth weight; postnatal, infant, and childhood growth; and obesity in young adulthood: evidence from the Barry Caerphilly Growth Study. Am J Clin Nutr [Internet]. [cited 2019 Mar 5]; 86:907–913. Available from: http://www.ncbi.nlm.nih.gov/pubmed/17921364</w:t>
      </w:r>
    </w:p>
    <w:p w14:paraId="18084343"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Milner J, Arezina J. 2018. The accuracy of ultrasound estimation of fetal weight in comparison to birth weight: A systematic review. Ultrasound [Internet]. [cited 2019 Mar 4]; 26:32–41. Available from: http://journals.sagepub.com/doi/10.1177/1742271X17732807</w:t>
      </w:r>
    </w:p>
    <w:p w14:paraId="10091831"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Ong KK, Ahmed ML, Emmett PM, Preece MA, Dunger DB. 2000. Association between postnatal catch-up growth and obesity in childhood: prospective cohort study. BMJ [Internet]. [cited 2019 Mar 5]; 320:967–71. Available from: http://www.ncbi.nlm.nih.gov/pubmed/10753147</w:t>
      </w:r>
    </w:p>
    <w:p w14:paraId="47F1C1C7"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Ong KK, Emmett P, Northstone K, Golding J, Rogers I, Ness AR, Wells JC, Dunger DB. 2009. Infancy weight gain predicts childhood body fat and age at menarche in girls. J Clin Endocrinol Metab. 94:1527–1532.</w:t>
      </w:r>
    </w:p>
    <w:p w14:paraId="20A3CF0E"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Ong KK, Kennedy K, Castañeda-Gutiérrez E, Forsyth S, Godfrey KM, Koletzko B, Latulippe ME, Ozanne SE, Rueda R, Schoemaker MH, et al. 2015. Postnatal growth in preterm infants and later health outcomes: a systematic review. Acta Paediatr [Internet]. [cited 2019 Feb 20]; 104:974–986. Available from: http://www.ncbi.nlm.nih.gov/pubmed/26179961</w:t>
      </w:r>
    </w:p>
    <w:p w14:paraId="474B04CE"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Ong KK, Petry CJ, Emmett PM, Sandhu MS, Kiess W, Hales CN, Ness AR, Dunger DB, ALSPAC study team. 2004. Insulin sensitivity and secretion in normal children related to size at birth, postnatal growth, and plasma insulin-like growth factor-I levels. Diabetologia [Internet]. [cited 2019 Feb 19]; 47:1064–70. Available from: http://www.ncbi.nlm.nih.gov/pubmed/15156313</w:t>
      </w:r>
    </w:p>
    <w:p w14:paraId="24043FEF"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Perng W, Rifas-Shiman SL, Kramer MS, Haugaard LK, Oken E, Gillman MW, Belfort MB. 2016. Early Weight Gain, Linear Growth, and Mid-Childhood Blood Pressure: A Prospective Study in Project Viva. Hypertension.</w:t>
      </w:r>
    </w:p>
    <w:p w14:paraId="52157948"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Royston P, White I. 2011. Multiple Imputation by Chained Equations (MICE): Implementation in Stata. J Stat Softw [Internet]. [cited 2018 May 25]; 45. Available from: https://www.jstatsoft.org/article/view/v045i04/v45i04.pdf</w:t>
      </w:r>
    </w:p>
    <w:p w14:paraId="1CDAA79C"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Rubin D. 2004. Multiple imputation for nonresponse in surveys [Internet]. [place unknown]: John Wiley &amp; Sons, Ltd; [cited 2018 May 25]. Available from: https://books.google.co.uk/books?hl=en&amp;lr=&amp;id=bQBtw6rx_mUC&amp;oi=fnd&amp;pg=PR24&amp;dq=multiple+imputation+for+nonresponse+in+surveys&amp;ots=8OpM8KZ0hQ&amp;sig=UxYMFHtf1xNVr_m85V6Bmv5jETY</w:t>
      </w:r>
    </w:p>
    <w:p w14:paraId="0B5CC718"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Salgin B, Norris SA, Prentice P, Pettifor JM, Richter LM, Ong KK, Dunger DB. 2015. Even transient rapid infancy weight gain is associated with higher BMI in young adults and earlier menarche. Int J Obes [Internet]. [cited 2019 Mar 4]; 39:939–944. Available from: http://www.ncbi.nlm.nih.gov/pubmed/25771929</w:t>
      </w:r>
    </w:p>
    <w:p w14:paraId="014E98C6"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Scientific Advisory Committee on Nutrition (SACN)/ Royal College of Paediatrics and Child Health (RCPCH). 2007. Application of WHO growth standards in the UK. [place unknown].</w:t>
      </w:r>
    </w:p>
    <w:p w14:paraId="3F47881F"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Singhal A. 2016. The role of infant nutrition in the global epidemic of non-communicable disease. Proc Nutr Soc [Internet]. [cited 2019 Feb 20]; 75:162–168. Available from: http://www.ncbi.nlm.nih.gov/pubmed/27066843</w:t>
      </w:r>
    </w:p>
    <w:p w14:paraId="363DDCD6"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Singhal A. 2017. Long-Term Adverse Effects of Early Growth Acceleration or Catch-Up Growth. Ann Nutr Metab [Internet]. [cited 2019 Feb 19]; 70:236–240. Available from: http://www.ncbi.nlm.nih.gov/pubmed/28301849</w:t>
      </w:r>
    </w:p>
    <w:p w14:paraId="7E4DDF4C"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Singhal A, Cole TJ, Fewtrell M, Kennedy K, Stephenson T, Elias-Jones A, Lucas A. 2007. Promotion of Faster Weight Gain in Infants Born Small for Gestational Age. Circulation [Internet]. [cited 2019 Feb 19]; 115:213–220. Available from: http://www.ncbi.nlm.nih.gov/pubmed/17179023</w:t>
      </w:r>
    </w:p>
    <w:p w14:paraId="0C7C537C"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Singhal A, Lucas A. 2004. Early origins of cardiovascular disease: is there a unifying hypothesis? Lancet [Internet]. [cited 2019 Feb 20]; 363:1642–1645. Available from: http://www.ncbi.nlm.nih.gov/pubmed/15145640</w:t>
      </w:r>
    </w:p>
    <w:p w14:paraId="189B6CAE"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Smith DW, Truog W, Rogers JE, Greitzer LJ, Skinner AL, McCann JJ, Harvey MA. 1976. Shifting linear growth during infancy: illustration of genetic factors in growth from fetal life through infancy. J Pediatr [Internet]. [cited 2019 Mar 5]; 89:225–30. Available from: http://www.ncbi.nlm.nih.gov/pubmed/940016</w:t>
      </w:r>
    </w:p>
    <w:p w14:paraId="1DA4FE45"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Soto N, Bazaes RA, Peña V, Salazar T, Ávila A, Iñiguez G, Ong KK, Dunger DB, Mericq MV. 2003. Insulin Sensitivity and Secretion Are Related to Catch-Up Growth in Small-for-Gestational-Age Infants at Age 1 Year: Results from a Prospective Cohort. J Clin Endocrinol Metab [Internet]. [cited 2019 Feb 19]; 88:3645–3650. Available from: http://www.ncbi.nlm.nih.gov/pubmed/12915649</w:t>
      </w:r>
    </w:p>
    <w:p w14:paraId="5DBB533D"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Tilling K, Davies N, Windmeijer F, Kramer MS, Bogdanovich N, Matush L, Patel R, Smith GD, Ben-Shlomo Y, Martin RM. 2011. Is infant weight associated with childhood blood pressure? Analysis of the Promotion of Breastfeeding Intervention Trial (PROBIT) cohort. Int J Epidemiol. 40:1227–1237.</w:t>
      </w:r>
    </w:p>
    <w:p w14:paraId="76753182"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Toemen L, de Jonge LL, Gishti O, van Osch-Gevers L, Taal HR, Steegers EAP, Hofman A, Helbing WA, Jaddoe VWV. 2016. Longitudinal growth during fetal life and infancy and cardiovascular outcomes at school-age. J Hypertens [Internet]. [cited 2019 Feb 19]; 34:1396–1406. Available from: http://www.ncbi.nlm.nih.gov/pubmed/27115338</w:t>
      </w:r>
    </w:p>
    <w:p w14:paraId="08F94D14"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Vogelezang S, Santos S, Toemen L, Oei EHG, Felix JF, Jaddoe VW V. 2019. Associations of Fetal and Infant Weight Change With General, Visceral, and Organ Adiposity at School Age. JAMA Netw Open [Internet]. [cited 2019 Jun 14]; 2:e192843. Available from: http://jamanetworkopen.jamanetwork.com/article.aspx?doi=10.1001/jamanetworkopen.2019.2843</w:t>
      </w:r>
    </w:p>
    <w:p w14:paraId="5F0EADB0"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szCs w:val="24"/>
        </w:rPr>
      </w:pPr>
      <w:r w:rsidRPr="006A5DDF">
        <w:rPr>
          <w:rFonts w:ascii="Times New Roman" w:hAnsi="Times New Roman" w:cs="Times New Roman"/>
          <w:noProof/>
          <w:sz w:val="24"/>
          <w:szCs w:val="24"/>
        </w:rPr>
        <w:t>Wright CM, Williams AF, Birks E, Sachs G, Cole. 2010. Practice pointer: Using the new UK-WHO growth charts. Br Med J [Internet]. [cited 2018 Jun 24]; 340:647–650. Available from: http://eprints.gla.ac.uk/36751</w:t>
      </w:r>
    </w:p>
    <w:p w14:paraId="512A2655" w14:textId="77777777" w:rsidR="006A5DDF" w:rsidRPr="006A5DDF" w:rsidRDefault="006A5DDF" w:rsidP="006A5DDF">
      <w:pPr>
        <w:widowControl w:val="0"/>
        <w:autoSpaceDE w:val="0"/>
        <w:autoSpaceDN w:val="0"/>
        <w:adjustRightInd w:val="0"/>
        <w:spacing w:line="480" w:lineRule="auto"/>
        <w:rPr>
          <w:rFonts w:ascii="Times New Roman" w:hAnsi="Times New Roman" w:cs="Times New Roman"/>
          <w:noProof/>
          <w:sz w:val="24"/>
        </w:rPr>
      </w:pPr>
      <w:r w:rsidRPr="006A5DDF">
        <w:rPr>
          <w:rFonts w:ascii="Times New Roman" w:hAnsi="Times New Roman" w:cs="Times New Roman"/>
          <w:noProof/>
          <w:sz w:val="24"/>
          <w:szCs w:val="24"/>
        </w:rPr>
        <w:t>Zheng M, Lamb KE, Grimes C, Laws R, Bolton K, Ong KK, Campbell K. 2018. Rapid weight gain during infancy and subsequent adiposity: a systematic review and meta-analysis of evidence. Obes Rev [Internet]. [cited 2019 Feb 19]; 19:321–332. Available from: http://www.ncbi.nlm.nih.gov/pubmed/29052309</w:t>
      </w:r>
    </w:p>
    <w:p w14:paraId="6B4C5E0A" w14:textId="77777777" w:rsidR="00C3626F" w:rsidRPr="00A51130" w:rsidRDefault="006A573F" w:rsidP="00A51130">
      <w:pPr>
        <w:spacing w:line="480" w:lineRule="auto"/>
        <w:rPr>
          <w:rFonts w:ascii="Times New Roman" w:hAnsi="Times New Roman" w:cs="Times New Roman"/>
          <w:sz w:val="24"/>
          <w:szCs w:val="24"/>
        </w:rPr>
        <w:sectPr w:rsidR="00C3626F" w:rsidRPr="00A51130">
          <w:pgSz w:w="11906" w:h="16838"/>
          <w:pgMar w:top="1440" w:right="1440" w:bottom="1440" w:left="1440" w:header="708" w:footer="708" w:gutter="0"/>
          <w:cols w:space="708"/>
          <w:docGrid w:linePitch="360"/>
        </w:sectPr>
      </w:pPr>
      <w:r w:rsidRPr="00A51130">
        <w:rPr>
          <w:rFonts w:ascii="Times New Roman" w:hAnsi="Times New Roman" w:cs="Times New Roman"/>
          <w:sz w:val="24"/>
          <w:szCs w:val="24"/>
        </w:rPr>
        <w:fldChar w:fldCharType="end"/>
      </w:r>
    </w:p>
    <w:p w14:paraId="5CDB7004" w14:textId="77777777" w:rsidR="00372593" w:rsidRPr="00A51130" w:rsidRDefault="00372593" w:rsidP="00A51130">
      <w:pPr>
        <w:spacing w:line="480" w:lineRule="auto"/>
        <w:rPr>
          <w:rFonts w:ascii="Times New Roman" w:hAnsi="Times New Roman" w:cs="Times New Roman"/>
          <w:sz w:val="24"/>
          <w:szCs w:val="24"/>
        </w:rPr>
        <w:sectPr w:rsidR="00372593" w:rsidRPr="00A51130">
          <w:pgSz w:w="11906" w:h="16838"/>
          <w:pgMar w:top="1440" w:right="1440" w:bottom="1440" w:left="1440" w:header="708" w:footer="708" w:gutter="0"/>
          <w:cols w:space="708"/>
          <w:docGrid w:linePitch="360"/>
        </w:sectPr>
      </w:pPr>
    </w:p>
    <w:p w14:paraId="66F538DE" w14:textId="10C43D4E" w:rsidR="004A1D7D" w:rsidRPr="00A51130" w:rsidRDefault="004A1D7D"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Table 1</w:t>
      </w:r>
      <w:r w:rsidR="00A63C60" w:rsidRPr="00A51130">
        <w:rPr>
          <w:rFonts w:ascii="Times New Roman" w:hAnsi="Times New Roman" w:cs="Times New Roman"/>
          <w:sz w:val="24"/>
          <w:szCs w:val="24"/>
        </w:rPr>
        <w:t>.</w:t>
      </w:r>
      <w:r w:rsidRPr="00A51130">
        <w:rPr>
          <w:rFonts w:ascii="Times New Roman" w:hAnsi="Times New Roman" w:cs="Times New Roman"/>
          <w:sz w:val="24"/>
          <w:szCs w:val="24"/>
        </w:rPr>
        <w:t xml:space="preserve"> </w:t>
      </w:r>
      <w:r w:rsidR="00CF1FE7" w:rsidRPr="00A51130">
        <w:rPr>
          <w:rFonts w:ascii="Times New Roman" w:hAnsi="Times New Roman" w:cs="Times New Roman"/>
          <w:sz w:val="24"/>
          <w:szCs w:val="24"/>
        </w:rPr>
        <w:t>Fetal, i</w:t>
      </w:r>
      <w:r w:rsidRPr="00A51130">
        <w:rPr>
          <w:rFonts w:ascii="Times New Roman" w:hAnsi="Times New Roman" w:cs="Times New Roman"/>
          <w:sz w:val="24"/>
          <w:szCs w:val="24"/>
        </w:rPr>
        <w:t>nfant</w:t>
      </w:r>
      <w:r w:rsidR="00A63C60" w:rsidRPr="00A51130">
        <w:rPr>
          <w:rFonts w:ascii="Times New Roman" w:hAnsi="Times New Roman" w:cs="Times New Roman"/>
          <w:sz w:val="24"/>
          <w:szCs w:val="24"/>
        </w:rPr>
        <w:t>,</w:t>
      </w:r>
      <w:r w:rsidRPr="00A51130">
        <w:rPr>
          <w:rFonts w:ascii="Times New Roman" w:hAnsi="Times New Roman" w:cs="Times New Roman"/>
          <w:sz w:val="24"/>
          <w:szCs w:val="24"/>
        </w:rPr>
        <w:t xml:space="preserve"> and maternal characteristics</w:t>
      </w:r>
      <w:r w:rsidR="00474675" w:rsidRPr="00A51130">
        <w:rPr>
          <w:rFonts w:ascii="Times New Roman" w:hAnsi="Times New Roman" w:cs="Times New Roman"/>
          <w:sz w:val="24"/>
          <w:szCs w:val="24"/>
        </w:rPr>
        <w:t xml:space="preserve"> (n=78</w:t>
      </w:r>
      <w:r w:rsidR="005B78AE">
        <w:rPr>
          <w:rFonts w:ascii="Times New Roman" w:hAnsi="Times New Roman" w:cs="Times New Roman"/>
          <w:sz w:val="24"/>
          <w:szCs w:val="24"/>
        </w:rPr>
        <w:t>6</w:t>
      </w:r>
      <w:r w:rsidR="00474675" w:rsidRPr="00A51130">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142"/>
        <w:gridCol w:w="1583"/>
        <w:gridCol w:w="1816"/>
        <w:gridCol w:w="1223"/>
      </w:tblGrid>
      <w:tr w:rsidR="00E255D6" w:rsidRPr="00A51130" w14:paraId="6C96959B" w14:textId="77777777" w:rsidTr="00D05BB8">
        <w:trPr>
          <w:trHeight w:val="227"/>
        </w:trPr>
        <w:tc>
          <w:tcPr>
            <w:tcW w:w="0" w:type="auto"/>
            <w:tcBorders>
              <w:top w:val="single" w:sz="4" w:space="0" w:color="auto"/>
              <w:left w:val="nil"/>
              <w:bottom w:val="nil"/>
              <w:right w:val="nil"/>
            </w:tcBorders>
          </w:tcPr>
          <w:p w14:paraId="269A0E9E" w14:textId="313D19FB" w:rsidR="00E255D6" w:rsidRPr="00A51130" w:rsidRDefault="00DC3636" w:rsidP="00556B1C">
            <w:pPr>
              <w:spacing w:before="40" w:after="40"/>
              <w:rPr>
                <w:rFonts w:ascii="Times New Roman" w:hAnsi="Times New Roman" w:cs="Times New Roman"/>
                <w:b/>
                <w:sz w:val="24"/>
                <w:szCs w:val="24"/>
              </w:rPr>
            </w:pPr>
            <w:r w:rsidRPr="00DC3636">
              <w:rPr>
                <w:rFonts w:ascii="Times New Roman" w:hAnsi="Times New Roman" w:cs="Times New Roman"/>
                <w:sz w:val="24"/>
                <w:szCs w:val="24"/>
                <w:vertAlign w:val="superscript"/>
              </w:rPr>
              <w:t xml:space="preserve"> </w:t>
            </w:r>
          </w:p>
        </w:tc>
        <w:tc>
          <w:tcPr>
            <w:tcW w:w="0" w:type="auto"/>
            <w:tcBorders>
              <w:top w:val="single" w:sz="4" w:space="0" w:color="auto"/>
              <w:left w:val="nil"/>
              <w:bottom w:val="nil"/>
              <w:right w:val="nil"/>
            </w:tcBorders>
          </w:tcPr>
          <w:p w14:paraId="7F2F8B7A" w14:textId="77777777" w:rsidR="00E255D6" w:rsidRPr="00A51130" w:rsidRDefault="00E255D6" w:rsidP="00556B1C">
            <w:pPr>
              <w:spacing w:before="40" w:after="40"/>
              <w:rPr>
                <w:rFonts w:ascii="Times New Roman" w:hAnsi="Times New Roman" w:cs="Times New Roman"/>
                <w:sz w:val="24"/>
                <w:szCs w:val="24"/>
              </w:rPr>
            </w:pPr>
          </w:p>
        </w:tc>
        <w:tc>
          <w:tcPr>
            <w:tcW w:w="0" w:type="auto"/>
            <w:tcBorders>
              <w:top w:val="single" w:sz="4" w:space="0" w:color="auto"/>
              <w:left w:val="nil"/>
              <w:bottom w:val="nil"/>
              <w:right w:val="nil"/>
            </w:tcBorders>
          </w:tcPr>
          <w:p w14:paraId="5E06BD7B" w14:textId="77777777" w:rsidR="00E255D6" w:rsidRPr="00A51130" w:rsidRDefault="00E255D6" w:rsidP="00556B1C">
            <w:pPr>
              <w:spacing w:before="40" w:after="40"/>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43A002C2" w14:textId="77777777" w:rsidR="00E255D6" w:rsidRPr="00A51130" w:rsidRDefault="00E255D6" w:rsidP="00556B1C">
            <w:pPr>
              <w:spacing w:before="40" w:after="40"/>
              <w:jc w:val="right"/>
              <w:rPr>
                <w:rFonts w:ascii="Times New Roman" w:hAnsi="Times New Roman" w:cs="Times New Roman"/>
                <w:sz w:val="24"/>
                <w:szCs w:val="24"/>
              </w:rPr>
            </w:pPr>
            <w:r w:rsidRPr="00A51130">
              <w:rPr>
                <w:rFonts w:ascii="Times New Roman" w:hAnsi="Times New Roman" w:cs="Times New Roman"/>
                <w:sz w:val="24"/>
                <w:szCs w:val="24"/>
              </w:rPr>
              <w:t>% missing</w:t>
            </w:r>
          </w:p>
        </w:tc>
      </w:tr>
      <w:tr w:rsidR="00E255D6" w:rsidRPr="00A51130" w14:paraId="154331CE" w14:textId="77777777" w:rsidTr="00D05BB8">
        <w:trPr>
          <w:trHeight w:val="227"/>
        </w:trPr>
        <w:tc>
          <w:tcPr>
            <w:tcW w:w="0" w:type="auto"/>
            <w:tcBorders>
              <w:top w:val="single" w:sz="4" w:space="0" w:color="auto"/>
              <w:left w:val="nil"/>
              <w:bottom w:val="nil"/>
              <w:right w:val="nil"/>
            </w:tcBorders>
          </w:tcPr>
          <w:p w14:paraId="67F63FEF" w14:textId="77777777" w:rsidR="00E255D6" w:rsidRPr="00A51130" w:rsidRDefault="00E255D6" w:rsidP="00556B1C">
            <w:pPr>
              <w:spacing w:before="40" w:after="40"/>
              <w:rPr>
                <w:rFonts w:ascii="Times New Roman" w:hAnsi="Times New Roman" w:cs="Times New Roman"/>
                <w:b/>
                <w:sz w:val="24"/>
                <w:szCs w:val="24"/>
              </w:rPr>
            </w:pPr>
            <w:r w:rsidRPr="00A51130">
              <w:rPr>
                <w:rFonts w:ascii="Times New Roman" w:hAnsi="Times New Roman" w:cs="Times New Roman"/>
                <w:b/>
                <w:sz w:val="24"/>
                <w:szCs w:val="24"/>
              </w:rPr>
              <w:t xml:space="preserve">Fetal characteristics </w:t>
            </w:r>
          </w:p>
        </w:tc>
        <w:tc>
          <w:tcPr>
            <w:tcW w:w="0" w:type="auto"/>
            <w:tcBorders>
              <w:top w:val="single" w:sz="4" w:space="0" w:color="auto"/>
              <w:left w:val="nil"/>
              <w:bottom w:val="nil"/>
              <w:right w:val="nil"/>
            </w:tcBorders>
          </w:tcPr>
          <w:p w14:paraId="6CFFB1ED" w14:textId="77777777" w:rsidR="00E255D6" w:rsidRPr="00A51130" w:rsidRDefault="00E255D6" w:rsidP="00556B1C">
            <w:pPr>
              <w:spacing w:before="40" w:after="40"/>
              <w:rPr>
                <w:rFonts w:ascii="Times New Roman" w:hAnsi="Times New Roman" w:cs="Times New Roman"/>
                <w:sz w:val="24"/>
                <w:szCs w:val="24"/>
              </w:rPr>
            </w:pPr>
          </w:p>
        </w:tc>
        <w:tc>
          <w:tcPr>
            <w:tcW w:w="0" w:type="auto"/>
            <w:tcBorders>
              <w:top w:val="single" w:sz="4" w:space="0" w:color="auto"/>
              <w:left w:val="nil"/>
              <w:bottom w:val="nil"/>
              <w:right w:val="nil"/>
            </w:tcBorders>
          </w:tcPr>
          <w:p w14:paraId="2859C5D6" w14:textId="77777777" w:rsidR="00E255D6" w:rsidRPr="00A51130" w:rsidRDefault="00E255D6" w:rsidP="00556B1C">
            <w:pPr>
              <w:spacing w:before="40" w:after="40"/>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17077C96" w14:textId="77777777" w:rsidR="00E255D6" w:rsidRPr="00A51130" w:rsidRDefault="00E255D6" w:rsidP="00556B1C">
            <w:pPr>
              <w:spacing w:before="40" w:after="40"/>
              <w:jc w:val="right"/>
              <w:rPr>
                <w:rFonts w:ascii="Times New Roman" w:hAnsi="Times New Roman" w:cs="Times New Roman"/>
                <w:sz w:val="24"/>
                <w:szCs w:val="24"/>
              </w:rPr>
            </w:pPr>
          </w:p>
        </w:tc>
      </w:tr>
      <w:tr w:rsidR="00E255D6" w:rsidRPr="00A51130" w14:paraId="763042CB" w14:textId="77777777" w:rsidTr="00D05BB8">
        <w:trPr>
          <w:trHeight w:val="227"/>
        </w:trPr>
        <w:tc>
          <w:tcPr>
            <w:tcW w:w="0" w:type="auto"/>
            <w:tcBorders>
              <w:top w:val="nil"/>
              <w:left w:val="nil"/>
              <w:bottom w:val="nil"/>
              <w:right w:val="nil"/>
            </w:tcBorders>
          </w:tcPr>
          <w:p w14:paraId="4DDA5EDD" w14:textId="77777777" w:rsidR="00E255D6" w:rsidRPr="00A51130" w:rsidRDefault="00E255D6"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 xml:space="preserve">Sex </w:t>
            </w:r>
          </w:p>
        </w:tc>
        <w:tc>
          <w:tcPr>
            <w:tcW w:w="0" w:type="auto"/>
            <w:tcBorders>
              <w:top w:val="nil"/>
              <w:left w:val="nil"/>
              <w:bottom w:val="nil"/>
              <w:right w:val="nil"/>
            </w:tcBorders>
          </w:tcPr>
          <w:p w14:paraId="4D761283" w14:textId="77777777" w:rsidR="00E255D6" w:rsidRPr="00A51130" w:rsidRDefault="00E255D6" w:rsidP="00556B1C">
            <w:pPr>
              <w:spacing w:before="40" w:after="40"/>
              <w:rPr>
                <w:rFonts w:ascii="Times New Roman" w:hAnsi="Times New Roman" w:cs="Times New Roman"/>
                <w:sz w:val="24"/>
                <w:szCs w:val="24"/>
              </w:rPr>
            </w:pPr>
          </w:p>
        </w:tc>
        <w:tc>
          <w:tcPr>
            <w:tcW w:w="0" w:type="auto"/>
            <w:tcBorders>
              <w:top w:val="nil"/>
              <w:left w:val="nil"/>
              <w:bottom w:val="nil"/>
              <w:right w:val="nil"/>
            </w:tcBorders>
          </w:tcPr>
          <w:p w14:paraId="45B0F758" w14:textId="77777777" w:rsidR="00E255D6" w:rsidRPr="00A51130" w:rsidRDefault="00E255D6" w:rsidP="00556B1C">
            <w:pPr>
              <w:spacing w:before="40" w:after="40"/>
              <w:jc w:val="center"/>
              <w:rPr>
                <w:rFonts w:ascii="Times New Roman" w:hAnsi="Times New Roman" w:cs="Times New Roman"/>
                <w:sz w:val="24"/>
                <w:szCs w:val="24"/>
              </w:rPr>
            </w:pPr>
          </w:p>
        </w:tc>
        <w:tc>
          <w:tcPr>
            <w:tcW w:w="0" w:type="auto"/>
            <w:tcBorders>
              <w:top w:val="nil"/>
              <w:left w:val="nil"/>
              <w:bottom w:val="nil"/>
              <w:right w:val="nil"/>
            </w:tcBorders>
          </w:tcPr>
          <w:p w14:paraId="310DB6F3" w14:textId="77777777" w:rsidR="00E255D6" w:rsidRPr="00A51130" w:rsidRDefault="00E255D6" w:rsidP="00556B1C">
            <w:pPr>
              <w:spacing w:before="40" w:after="40"/>
              <w:jc w:val="right"/>
              <w:rPr>
                <w:rFonts w:ascii="Times New Roman" w:hAnsi="Times New Roman" w:cs="Times New Roman"/>
                <w:sz w:val="24"/>
                <w:szCs w:val="24"/>
              </w:rPr>
            </w:pPr>
          </w:p>
        </w:tc>
      </w:tr>
      <w:tr w:rsidR="00E255D6" w:rsidRPr="00A51130" w14:paraId="679F93E2" w14:textId="77777777" w:rsidTr="00D05BB8">
        <w:trPr>
          <w:trHeight w:val="227"/>
        </w:trPr>
        <w:tc>
          <w:tcPr>
            <w:tcW w:w="0" w:type="auto"/>
            <w:tcBorders>
              <w:top w:val="nil"/>
              <w:left w:val="nil"/>
              <w:bottom w:val="nil"/>
              <w:right w:val="nil"/>
            </w:tcBorders>
          </w:tcPr>
          <w:p w14:paraId="347F60A1" w14:textId="77777777" w:rsidR="00E255D6" w:rsidRPr="00A51130" w:rsidRDefault="00E255D6"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 xml:space="preserve">   Males</w:t>
            </w:r>
          </w:p>
        </w:tc>
        <w:tc>
          <w:tcPr>
            <w:tcW w:w="0" w:type="auto"/>
            <w:tcBorders>
              <w:top w:val="nil"/>
              <w:left w:val="nil"/>
              <w:bottom w:val="nil"/>
              <w:right w:val="nil"/>
            </w:tcBorders>
          </w:tcPr>
          <w:p w14:paraId="15AAD622" w14:textId="4833E34D" w:rsidR="00E255D6" w:rsidRPr="00A51130" w:rsidRDefault="00E255D6"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n (%)</w:t>
            </w:r>
          </w:p>
        </w:tc>
        <w:tc>
          <w:tcPr>
            <w:tcW w:w="0" w:type="auto"/>
            <w:tcBorders>
              <w:top w:val="nil"/>
              <w:left w:val="nil"/>
              <w:bottom w:val="nil"/>
              <w:right w:val="nil"/>
            </w:tcBorders>
          </w:tcPr>
          <w:p w14:paraId="55E5A16E" w14:textId="1C01CE75" w:rsidR="00E255D6" w:rsidRPr="00A51130" w:rsidRDefault="00E255D6" w:rsidP="00556B1C">
            <w:pPr>
              <w:spacing w:before="40" w:after="40"/>
              <w:jc w:val="center"/>
              <w:rPr>
                <w:rFonts w:ascii="Times New Roman" w:hAnsi="Times New Roman" w:cs="Times New Roman"/>
                <w:sz w:val="24"/>
                <w:szCs w:val="24"/>
              </w:rPr>
            </w:pPr>
            <w:r>
              <w:rPr>
                <w:rFonts w:ascii="Times New Roman" w:hAnsi="Times New Roman" w:cs="Times New Roman"/>
                <w:sz w:val="24"/>
                <w:szCs w:val="24"/>
              </w:rPr>
              <w:t>395 (50.3)</w:t>
            </w:r>
          </w:p>
        </w:tc>
        <w:tc>
          <w:tcPr>
            <w:tcW w:w="0" w:type="auto"/>
            <w:tcBorders>
              <w:top w:val="nil"/>
              <w:left w:val="nil"/>
              <w:bottom w:val="nil"/>
              <w:right w:val="nil"/>
            </w:tcBorders>
          </w:tcPr>
          <w:p w14:paraId="656ED2F3" w14:textId="77777777" w:rsidR="00E255D6" w:rsidRPr="00A51130" w:rsidRDefault="00E255D6" w:rsidP="00556B1C">
            <w:pPr>
              <w:spacing w:before="40" w:after="40"/>
              <w:jc w:val="right"/>
              <w:rPr>
                <w:rFonts w:ascii="Times New Roman" w:hAnsi="Times New Roman" w:cs="Times New Roman"/>
                <w:sz w:val="24"/>
                <w:szCs w:val="24"/>
              </w:rPr>
            </w:pPr>
          </w:p>
        </w:tc>
      </w:tr>
      <w:tr w:rsidR="00E255D6" w:rsidRPr="00A51130" w14:paraId="5223825B" w14:textId="77777777" w:rsidTr="00D05BB8">
        <w:trPr>
          <w:trHeight w:val="227"/>
        </w:trPr>
        <w:tc>
          <w:tcPr>
            <w:tcW w:w="0" w:type="auto"/>
            <w:tcBorders>
              <w:top w:val="nil"/>
              <w:left w:val="nil"/>
              <w:bottom w:val="nil"/>
              <w:right w:val="nil"/>
            </w:tcBorders>
          </w:tcPr>
          <w:p w14:paraId="6FF93C9C" w14:textId="77777777" w:rsidR="00E255D6" w:rsidRPr="00A51130" w:rsidRDefault="00E255D6"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 xml:space="preserve">   Females </w:t>
            </w:r>
          </w:p>
        </w:tc>
        <w:tc>
          <w:tcPr>
            <w:tcW w:w="0" w:type="auto"/>
            <w:tcBorders>
              <w:top w:val="nil"/>
              <w:left w:val="nil"/>
              <w:bottom w:val="nil"/>
              <w:right w:val="nil"/>
            </w:tcBorders>
          </w:tcPr>
          <w:p w14:paraId="47972202" w14:textId="09A3E980" w:rsidR="00E255D6" w:rsidRPr="00A51130" w:rsidRDefault="00E255D6"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n (%)</w:t>
            </w:r>
          </w:p>
        </w:tc>
        <w:tc>
          <w:tcPr>
            <w:tcW w:w="0" w:type="auto"/>
            <w:tcBorders>
              <w:top w:val="nil"/>
              <w:left w:val="nil"/>
              <w:bottom w:val="nil"/>
              <w:right w:val="nil"/>
            </w:tcBorders>
          </w:tcPr>
          <w:p w14:paraId="0C0091F4" w14:textId="7A599AAA" w:rsidR="00E255D6" w:rsidRPr="00A51130" w:rsidRDefault="00E255D6" w:rsidP="00556B1C">
            <w:pPr>
              <w:spacing w:before="40" w:after="40"/>
              <w:jc w:val="center"/>
              <w:rPr>
                <w:rFonts w:ascii="Times New Roman" w:hAnsi="Times New Roman" w:cs="Times New Roman"/>
                <w:sz w:val="24"/>
                <w:szCs w:val="24"/>
              </w:rPr>
            </w:pPr>
            <w:r>
              <w:rPr>
                <w:rFonts w:ascii="Times New Roman" w:hAnsi="Times New Roman" w:cs="Times New Roman"/>
                <w:sz w:val="24"/>
                <w:szCs w:val="24"/>
              </w:rPr>
              <w:t>391 (49.7)</w:t>
            </w:r>
          </w:p>
        </w:tc>
        <w:tc>
          <w:tcPr>
            <w:tcW w:w="0" w:type="auto"/>
            <w:tcBorders>
              <w:top w:val="nil"/>
              <w:left w:val="nil"/>
              <w:bottom w:val="nil"/>
              <w:right w:val="nil"/>
            </w:tcBorders>
          </w:tcPr>
          <w:p w14:paraId="0CEBEE59" w14:textId="77777777" w:rsidR="00E255D6" w:rsidRPr="00A51130" w:rsidRDefault="00E255D6" w:rsidP="00556B1C">
            <w:pPr>
              <w:spacing w:before="40" w:after="40"/>
              <w:jc w:val="center"/>
              <w:rPr>
                <w:rFonts w:ascii="Times New Roman" w:hAnsi="Times New Roman" w:cs="Times New Roman"/>
                <w:sz w:val="24"/>
                <w:szCs w:val="24"/>
              </w:rPr>
            </w:pPr>
          </w:p>
        </w:tc>
      </w:tr>
      <w:tr w:rsidR="00E255D6" w:rsidRPr="00A51130" w14:paraId="055C2E77" w14:textId="77777777" w:rsidTr="00D05BB8">
        <w:trPr>
          <w:trHeight w:val="227"/>
        </w:trPr>
        <w:tc>
          <w:tcPr>
            <w:tcW w:w="0" w:type="auto"/>
            <w:tcBorders>
              <w:top w:val="nil"/>
              <w:left w:val="nil"/>
              <w:bottom w:val="nil"/>
              <w:right w:val="nil"/>
            </w:tcBorders>
          </w:tcPr>
          <w:p w14:paraId="374CB57A" w14:textId="77777777" w:rsidR="00E255D6" w:rsidRPr="00A51130" w:rsidRDefault="00E255D6"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EFW at 19-week scan (g)</w:t>
            </w:r>
          </w:p>
        </w:tc>
        <w:tc>
          <w:tcPr>
            <w:tcW w:w="0" w:type="auto"/>
            <w:tcBorders>
              <w:top w:val="nil"/>
              <w:left w:val="nil"/>
              <w:bottom w:val="nil"/>
              <w:right w:val="nil"/>
            </w:tcBorders>
          </w:tcPr>
          <w:p w14:paraId="14DAC9B0" w14:textId="704195E2" w:rsidR="00E255D6" w:rsidRPr="00A51130" w:rsidRDefault="00E255D6"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Mean (SD)</w:t>
            </w:r>
          </w:p>
        </w:tc>
        <w:tc>
          <w:tcPr>
            <w:tcW w:w="0" w:type="auto"/>
            <w:tcBorders>
              <w:top w:val="nil"/>
              <w:left w:val="nil"/>
              <w:bottom w:val="nil"/>
              <w:right w:val="nil"/>
            </w:tcBorders>
          </w:tcPr>
          <w:p w14:paraId="2878198A" w14:textId="38CB1B0B" w:rsidR="00E255D6" w:rsidRPr="00A51130" w:rsidRDefault="00E255D6" w:rsidP="00556B1C">
            <w:pPr>
              <w:spacing w:before="40" w:after="40"/>
              <w:jc w:val="center"/>
              <w:rPr>
                <w:rFonts w:ascii="Times New Roman" w:hAnsi="Times New Roman" w:cs="Times New Roman"/>
                <w:sz w:val="24"/>
                <w:szCs w:val="24"/>
              </w:rPr>
            </w:pPr>
            <w:r>
              <w:rPr>
                <w:rFonts w:ascii="Times New Roman" w:hAnsi="Times New Roman" w:cs="Times New Roman"/>
                <w:sz w:val="24"/>
                <w:szCs w:val="24"/>
              </w:rPr>
              <w:t>310.3 (39.2)</w:t>
            </w:r>
          </w:p>
        </w:tc>
        <w:tc>
          <w:tcPr>
            <w:tcW w:w="0" w:type="auto"/>
            <w:tcBorders>
              <w:top w:val="nil"/>
              <w:left w:val="nil"/>
              <w:bottom w:val="nil"/>
              <w:right w:val="nil"/>
            </w:tcBorders>
          </w:tcPr>
          <w:p w14:paraId="22788A3E" w14:textId="2A5B6E24" w:rsidR="00E255D6" w:rsidRPr="00A51130" w:rsidRDefault="00E255D6" w:rsidP="00556B1C">
            <w:pPr>
              <w:spacing w:before="40" w:after="40"/>
              <w:jc w:val="center"/>
              <w:rPr>
                <w:rFonts w:ascii="Times New Roman" w:hAnsi="Times New Roman" w:cs="Times New Roman"/>
                <w:sz w:val="24"/>
                <w:szCs w:val="24"/>
              </w:rPr>
            </w:pPr>
          </w:p>
        </w:tc>
      </w:tr>
      <w:tr w:rsidR="00E255D6" w:rsidRPr="00A51130" w14:paraId="503E05F2" w14:textId="77777777" w:rsidTr="00D05BB8">
        <w:trPr>
          <w:trHeight w:val="227"/>
        </w:trPr>
        <w:tc>
          <w:tcPr>
            <w:tcW w:w="0" w:type="auto"/>
            <w:tcBorders>
              <w:top w:val="nil"/>
              <w:left w:val="nil"/>
              <w:bottom w:val="nil"/>
              <w:right w:val="nil"/>
            </w:tcBorders>
          </w:tcPr>
          <w:p w14:paraId="3C6F38B6" w14:textId="77777777" w:rsidR="00E255D6" w:rsidRPr="00A51130" w:rsidRDefault="00E255D6"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Gestational age at 19-week scan (weeks)</w:t>
            </w:r>
          </w:p>
        </w:tc>
        <w:tc>
          <w:tcPr>
            <w:tcW w:w="0" w:type="auto"/>
            <w:tcBorders>
              <w:top w:val="nil"/>
              <w:left w:val="nil"/>
              <w:bottom w:val="nil"/>
              <w:right w:val="nil"/>
            </w:tcBorders>
          </w:tcPr>
          <w:p w14:paraId="11DF81C6" w14:textId="1F1FFCC2" w:rsidR="00E255D6" w:rsidRPr="00A51130" w:rsidRDefault="00E255D6"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Mean (SD)</w:t>
            </w:r>
          </w:p>
        </w:tc>
        <w:tc>
          <w:tcPr>
            <w:tcW w:w="0" w:type="auto"/>
            <w:tcBorders>
              <w:top w:val="nil"/>
              <w:left w:val="nil"/>
              <w:bottom w:val="nil"/>
              <w:right w:val="nil"/>
            </w:tcBorders>
          </w:tcPr>
          <w:p w14:paraId="468252BC" w14:textId="4160DD96" w:rsidR="00E255D6" w:rsidRPr="00A51130" w:rsidRDefault="009D5391" w:rsidP="00556B1C">
            <w:pPr>
              <w:spacing w:before="40" w:after="40"/>
              <w:jc w:val="center"/>
              <w:rPr>
                <w:rFonts w:ascii="Times New Roman" w:hAnsi="Times New Roman" w:cs="Times New Roman"/>
                <w:sz w:val="24"/>
                <w:szCs w:val="24"/>
              </w:rPr>
            </w:pPr>
            <w:r>
              <w:rPr>
                <w:rFonts w:ascii="Times New Roman" w:hAnsi="Times New Roman" w:cs="Times New Roman"/>
                <w:sz w:val="24"/>
                <w:szCs w:val="24"/>
              </w:rPr>
              <w:t>19.5 (0.5)</w:t>
            </w:r>
          </w:p>
        </w:tc>
        <w:tc>
          <w:tcPr>
            <w:tcW w:w="0" w:type="auto"/>
            <w:tcBorders>
              <w:top w:val="nil"/>
              <w:left w:val="nil"/>
              <w:bottom w:val="nil"/>
              <w:right w:val="nil"/>
            </w:tcBorders>
          </w:tcPr>
          <w:p w14:paraId="10ACCCEB" w14:textId="15C085D2" w:rsidR="00E255D6" w:rsidRPr="00A51130" w:rsidRDefault="00E255D6" w:rsidP="00556B1C">
            <w:pPr>
              <w:spacing w:before="40" w:after="40"/>
              <w:jc w:val="center"/>
              <w:rPr>
                <w:rFonts w:ascii="Times New Roman" w:hAnsi="Times New Roman" w:cs="Times New Roman"/>
                <w:sz w:val="24"/>
                <w:szCs w:val="24"/>
              </w:rPr>
            </w:pPr>
          </w:p>
        </w:tc>
      </w:tr>
      <w:tr w:rsidR="00E255D6" w:rsidRPr="00A51130" w14:paraId="7DC8EEE9" w14:textId="77777777" w:rsidTr="00D05BB8">
        <w:trPr>
          <w:trHeight w:val="227"/>
        </w:trPr>
        <w:tc>
          <w:tcPr>
            <w:tcW w:w="0" w:type="auto"/>
            <w:tcBorders>
              <w:top w:val="nil"/>
              <w:left w:val="nil"/>
              <w:bottom w:val="nil"/>
              <w:right w:val="nil"/>
            </w:tcBorders>
          </w:tcPr>
          <w:p w14:paraId="7677060E" w14:textId="77777777" w:rsidR="00E255D6" w:rsidRPr="00A51130" w:rsidRDefault="00E255D6"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EFW at 34-week scan (g)</w:t>
            </w:r>
          </w:p>
        </w:tc>
        <w:tc>
          <w:tcPr>
            <w:tcW w:w="0" w:type="auto"/>
            <w:tcBorders>
              <w:top w:val="nil"/>
              <w:left w:val="nil"/>
              <w:bottom w:val="nil"/>
              <w:right w:val="nil"/>
            </w:tcBorders>
          </w:tcPr>
          <w:p w14:paraId="4F302B90" w14:textId="2930697B" w:rsidR="00E255D6" w:rsidRPr="00A51130" w:rsidRDefault="00E255D6"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Mean (SD)</w:t>
            </w:r>
          </w:p>
        </w:tc>
        <w:tc>
          <w:tcPr>
            <w:tcW w:w="0" w:type="auto"/>
            <w:tcBorders>
              <w:top w:val="nil"/>
              <w:left w:val="nil"/>
              <w:bottom w:val="nil"/>
              <w:right w:val="nil"/>
            </w:tcBorders>
          </w:tcPr>
          <w:p w14:paraId="0604237C" w14:textId="5784E2BA" w:rsidR="00E255D6" w:rsidRPr="00A51130" w:rsidRDefault="00E255D6" w:rsidP="00556B1C">
            <w:pPr>
              <w:spacing w:before="40" w:after="40"/>
              <w:jc w:val="center"/>
              <w:rPr>
                <w:rFonts w:ascii="Times New Roman" w:hAnsi="Times New Roman" w:cs="Times New Roman"/>
                <w:sz w:val="24"/>
                <w:szCs w:val="24"/>
              </w:rPr>
            </w:pPr>
            <w:r>
              <w:rPr>
                <w:rFonts w:ascii="Times New Roman" w:hAnsi="Times New Roman" w:cs="Times New Roman"/>
                <w:sz w:val="24"/>
                <w:szCs w:val="24"/>
              </w:rPr>
              <w:t>2483</w:t>
            </w:r>
            <w:r w:rsidR="009D5391">
              <w:rPr>
                <w:rFonts w:ascii="Times New Roman" w:hAnsi="Times New Roman" w:cs="Times New Roman"/>
                <w:sz w:val="24"/>
                <w:szCs w:val="24"/>
              </w:rPr>
              <w:t>.1 (291.3)</w:t>
            </w:r>
          </w:p>
        </w:tc>
        <w:tc>
          <w:tcPr>
            <w:tcW w:w="0" w:type="auto"/>
            <w:tcBorders>
              <w:top w:val="nil"/>
              <w:left w:val="nil"/>
              <w:bottom w:val="nil"/>
              <w:right w:val="nil"/>
            </w:tcBorders>
          </w:tcPr>
          <w:p w14:paraId="67D1FC4C" w14:textId="5477B6CA" w:rsidR="00E255D6" w:rsidRPr="00A51130" w:rsidRDefault="00E255D6" w:rsidP="00556B1C">
            <w:pPr>
              <w:spacing w:before="40" w:after="40"/>
              <w:jc w:val="center"/>
              <w:rPr>
                <w:rFonts w:ascii="Times New Roman" w:hAnsi="Times New Roman" w:cs="Times New Roman"/>
                <w:sz w:val="24"/>
                <w:szCs w:val="24"/>
              </w:rPr>
            </w:pPr>
          </w:p>
        </w:tc>
      </w:tr>
      <w:tr w:rsidR="00E255D6" w:rsidRPr="00A51130" w14:paraId="51AC3618" w14:textId="77777777" w:rsidTr="00D05BB8">
        <w:trPr>
          <w:trHeight w:val="227"/>
        </w:trPr>
        <w:tc>
          <w:tcPr>
            <w:tcW w:w="0" w:type="auto"/>
            <w:tcBorders>
              <w:top w:val="nil"/>
              <w:left w:val="nil"/>
              <w:bottom w:val="single" w:sz="4" w:space="0" w:color="auto"/>
              <w:right w:val="nil"/>
            </w:tcBorders>
          </w:tcPr>
          <w:p w14:paraId="208251CA" w14:textId="77777777" w:rsidR="00E255D6" w:rsidRPr="00A51130" w:rsidRDefault="00E255D6"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Gestational age at 34-week scan (weeks)</w:t>
            </w:r>
          </w:p>
        </w:tc>
        <w:tc>
          <w:tcPr>
            <w:tcW w:w="0" w:type="auto"/>
            <w:tcBorders>
              <w:top w:val="nil"/>
              <w:left w:val="nil"/>
              <w:bottom w:val="single" w:sz="4" w:space="0" w:color="auto"/>
              <w:right w:val="nil"/>
            </w:tcBorders>
          </w:tcPr>
          <w:p w14:paraId="428870A6" w14:textId="414B66B4" w:rsidR="00E255D6" w:rsidRPr="00A51130" w:rsidRDefault="00E255D6"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Mean (SD)</w:t>
            </w:r>
          </w:p>
        </w:tc>
        <w:tc>
          <w:tcPr>
            <w:tcW w:w="0" w:type="auto"/>
            <w:tcBorders>
              <w:top w:val="nil"/>
              <w:left w:val="nil"/>
              <w:bottom w:val="single" w:sz="4" w:space="0" w:color="auto"/>
              <w:right w:val="nil"/>
            </w:tcBorders>
          </w:tcPr>
          <w:p w14:paraId="075667F9" w14:textId="43D79B4D" w:rsidR="00E255D6" w:rsidRPr="00A51130" w:rsidRDefault="009D5391" w:rsidP="00556B1C">
            <w:pPr>
              <w:spacing w:before="40" w:after="40"/>
              <w:jc w:val="center"/>
              <w:rPr>
                <w:rFonts w:ascii="Times New Roman" w:hAnsi="Times New Roman" w:cs="Times New Roman"/>
                <w:sz w:val="24"/>
                <w:szCs w:val="24"/>
              </w:rPr>
            </w:pPr>
            <w:r>
              <w:rPr>
                <w:rFonts w:ascii="Times New Roman" w:hAnsi="Times New Roman" w:cs="Times New Roman"/>
                <w:sz w:val="24"/>
                <w:szCs w:val="24"/>
              </w:rPr>
              <w:t>34.4 (0.5)</w:t>
            </w:r>
          </w:p>
        </w:tc>
        <w:tc>
          <w:tcPr>
            <w:tcW w:w="0" w:type="auto"/>
            <w:tcBorders>
              <w:top w:val="nil"/>
              <w:left w:val="nil"/>
              <w:bottom w:val="single" w:sz="4" w:space="0" w:color="auto"/>
              <w:right w:val="nil"/>
            </w:tcBorders>
          </w:tcPr>
          <w:p w14:paraId="18DF82DE" w14:textId="77777777" w:rsidR="00E255D6" w:rsidRPr="00A51130" w:rsidRDefault="00E255D6" w:rsidP="00556B1C">
            <w:pPr>
              <w:spacing w:before="40" w:after="40"/>
              <w:jc w:val="center"/>
              <w:rPr>
                <w:rFonts w:ascii="Times New Roman" w:hAnsi="Times New Roman" w:cs="Times New Roman"/>
                <w:sz w:val="24"/>
                <w:szCs w:val="24"/>
              </w:rPr>
            </w:pPr>
          </w:p>
        </w:tc>
      </w:tr>
      <w:tr w:rsidR="00E255D6" w:rsidRPr="00A51130" w14:paraId="1D84969E" w14:textId="77777777" w:rsidTr="00D05BB8">
        <w:trPr>
          <w:trHeight w:val="227"/>
        </w:trPr>
        <w:tc>
          <w:tcPr>
            <w:tcW w:w="0" w:type="auto"/>
            <w:tcBorders>
              <w:top w:val="single" w:sz="4" w:space="0" w:color="auto"/>
              <w:left w:val="nil"/>
              <w:bottom w:val="nil"/>
              <w:right w:val="nil"/>
            </w:tcBorders>
          </w:tcPr>
          <w:p w14:paraId="56A42071" w14:textId="77777777" w:rsidR="00E255D6" w:rsidRPr="00A51130" w:rsidRDefault="00E255D6" w:rsidP="00556B1C">
            <w:pPr>
              <w:spacing w:before="40" w:after="40"/>
              <w:rPr>
                <w:rFonts w:ascii="Times New Roman" w:hAnsi="Times New Roman" w:cs="Times New Roman"/>
                <w:b/>
                <w:sz w:val="24"/>
                <w:szCs w:val="24"/>
              </w:rPr>
            </w:pPr>
            <w:r w:rsidRPr="00A51130">
              <w:rPr>
                <w:rFonts w:ascii="Times New Roman" w:hAnsi="Times New Roman" w:cs="Times New Roman"/>
                <w:b/>
                <w:sz w:val="24"/>
                <w:szCs w:val="24"/>
              </w:rPr>
              <w:t>Infant characteristics</w:t>
            </w:r>
          </w:p>
        </w:tc>
        <w:tc>
          <w:tcPr>
            <w:tcW w:w="0" w:type="auto"/>
            <w:tcBorders>
              <w:top w:val="single" w:sz="4" w:space="0" w:color="auto"/>
              <w:left w:val="nil"/>
              <w:bottom w:val="nil"/>
              <w:right w:val="nil"/>
            </w:tcBorders>
          </w:tcPr>
          <w:p w14:paraId="717D7434" w14:textId="77777777" w:rsidR="00E255D6" w:rsidRPr="00A51130" w:rsidRDefault="00E255D6" w:rsidP="00556B1C">
            <w:pPr>
              <w:spacing w:before="40" w:after="40"/>
              <w:rPr>
                <w:rFonts w:ascii="Times New Roman" w:hAnsi="Times New Roman" w:cs="Times New Roman"/>
                <w:sz w:val="24"/>
                <w:szCs w:val="24"/>
              </w:rPr>
            </w:pPr>
          </w:p>
        </w:tc>
        <w:tc>
          <w:tcPr>
            <w:tcW w:w="0" w:type="auto"/>
            <w:tcBorders>
              <w:top w:val="single" w:sz="4" w:space="0" w:color="auto"/>
              <w:left w:val="nil"/>
              <w:bottom w:val="nil"/>
              <w:right w:val="nil"/>
            </w:tcBorders>
          </w:tcPr>
          <w:p w14:paraId="74DFD0F8" w14:textId="77777777" w:rsidR="00E255D6" w:rsidRPr="00A51130" w:rsidRDefault="00E255D6" w:rsidP="00556B1C">
            <w:pPr>
              <w:spacing w:before="40" w:after="40"/>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4960B174" w14:textId="77777777" w:rsidR="00E255D6" w:rsidRPr="00A51130" w:rsidRDefault="00E255D6" w:rsidP="00556B1C">
            <w:pPr>
              <w:spacing w:before="40" w:after="40"/>
              <w:jc w:val="center"/>
              <w:rPr>
                <w:rFonts w:ascii="Times New Roman" w:hAnsi="Times New Roman" w:cs="Times New Roman"/>
                <w:sz w:val="24"/>
                <w:szCs w:val="24"/>
              </w:rPr>
            </w:pPr>
          </w:p>
        </w:tc>
      </w:tr>
      <w:tr w:rsidR="00E255D6" w:rsidRPr="00A51130" w14:paraId="576722A5" w14:textId="77777777" w:rsidTr="00D05BB8">
        <w:trPr>
          <w:trHeight w:val="227"/>
        </w:trPr>
        <w:tc>
          <w:tcPr>
            <w:tcW w:w="0" w:type="auto"/>
            <w:tcBorders>
              <w:top w:val="nil"/>
              <w:left w:val="nil"/>
              <w:bottom w:val="nil"/>
              <w:right w:val="nil"/>
            </w:tcBorders>
          </w:tcPr>
          <w:p w14:paraId="0292FF52" w14:textId="4D4B90FF" w:rsidR="00E255D6" w:rsidRPr="00A51130" w:rsidRDefault="00E255D6"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Birthweight</w:t>
            </w:r>
            <w:r w:rsidR="00353B81">
              <w:rPr>
                <w:rFonts w:ascii="Times New Roman" w:hAnsi="Times New Roman" w:cs="Times New Roman"/>
                <w:sz w:val="24"/>
                <w:szCs w:val="24"/>
              </w:rPr>
              <w:t xml:space="preserve"> (g): males</w:t>
            </w:r>
            <w:r w:rsidRPr="00A51130">
              <w:rPr>
                <w:rFonts w:ascii="Times New Roman" w:hAnsi="Times New Roman" w:cs="Times New Roman"/>
                <w:sz w:val="24"/>
                <w:szCs w:val="24"/>
              </w:rPr>
              <w:t xml:space="preserve"> </w:t>
            </w:r>
          </w:p>
        </w:tc>
        <w:tc>
          <w:tcPr>
            <w:tcW w:w="0" w:type="auto"/>
            <w:tcBorders>
              <w:top w:val="nil"/>
              <w:left w:val="nil"/>
              <w:bottom w:val="nil"/>
              <w:right w:val="nil"/>
            </w:tcBorders>
          </w:tcPr>
          <w:p w14:paraId="5C59B10C" w14:textId="04AFEB20" w:rsidR="00E255D6" w:rsidRPr="00A51130" w:rsidRDefault="00E255D6"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Mean (SD)</w:t>
            </w:r>
          </w:p>
        </w:tc>
        <w:tc>
          <w:tcPr>
            <w:tcW w:w="0" w:type="auto"/>
            <w:tcBorders>
              <w:top w:val="nil"/>
              <w:left w:val="nil"/>
              <w:bottom w:val="nil"/>
              <w:right w:val="nil"/>
            </w:tcBorders>
          </w:tcPr>
          <w:p w14:paraId="77EA0568" w14:textId="4415F7BB" w:rsidR="00E255D6" w:rsidRPr="00A51130" w:rsidRDefault="00DA279D" w:rsidP="00556B1C">
            <w:pPr>
              <w:spacing w:before="40" w:after="40"/>
              <w:jc w:val="center"/>
              <w:rPr>
                <w:rFonts w:ascii="Times New Roman" w:hAnsi="Times New Roman" w:cs="Times New Roman"/>
                <w:sz w:val="24"/>
                <w:szCs w:val="24"/>
              </w:rPr>
            </w:pPr>
            <w:r>
              <w:rPr>
                <w:rFonts w:ascii="Times New Roman" w:hAnsi="Times New Roman" w:cs="Times New Roman"/>
                <w:sz w:val="24"/>
                <w:szCs w:val="24"/>
              </w:rPr>
              <w:t>3</w:t>
            </w:r>
            <w:r w:rsidR="00E45DF7">
              <w:rPr>
                <w:rFonts w:ascii="Times New Roman" w:hAnsi="Times New Roman" w:cs="Times New Roman"/>
                <w:sz w:val="24"/>
                <w:szCs w:val="24"/>
              </w:rPr>
              <w:t>531</w:t>
            </w:r>
            <w:r>
              <w:rPr>
                <w:rFonts w:ascii="Times New Roman" w:hAnsi="Times New Roman" w:cs="Times New Roman"/>
                <w:sz w:val="24"/>
                <w:szCs w:val="24"/>
              </w:rPr>
              <w:t xml:space="preserve"> (5</w:t>
            </w:r>
            <w:r w:rsidR="00E45DF7">
              <w:rPr>
                <w:rFonts w:ascii="Times New Roman" w:hAnsi="Times New Roman" w:cs="Times New Roman"/>
                <w:sz w:val="24"/>
                <w:szCs w:val="24"/>
              </w:rPr>
              <w:t>38</w:t>
            </w:r>
            <w:r>
              <w:rPr>
                <w:rFonts w:ascii="Times New Roman" w:hAnsi="Times New Roman" w:cs="Times New Roman"/>
                <w:sz w:val="24"/>
                <w:szCs w:val="24"/>
              </w:rPr>
              <w:t>)</w:t>
            </w:r>
          </w:p>
        </w:tc>
        <w:tc>
          <w:tcPr>
            <w:tcW w:w="0" w:type="auto"/>
            <w:tcBorders>
              <w:top w:val="nil"/>
              <w:left w:val="nil"/>
              <w:bottom w:val="nil"/>
              <w:right w:val="nil"/>
            </w:tcBorders>
          </w:tcPr>
          <w:p w14:paraId="67DE54C6" w14:textId="77777777" w:rsidR="00E255D6" w:rsidRPr="00A51130" w:rsidRDefault="00E255D6" w:rsidP="00556B1C">
            <w:pPr>
              <w:spacing w:before="40" w:after="40"/>
              <w:jc w:val="center"/>
              <w:rPr>
                <w:rFonts w:ascii="Times New Roman" w:hAnsi="Times New Roman" w:cs="Times New Roman"/>
                <w:sz w:val="24"/>
                <w:szCs w:val="24"/>
              </w:rPr>
            </w:pPr>
          </w:p>
        </w:tc>
      </w:tr>
      <w:tr w:rsidR="00353B81" w:rsidRPr="00A51130" w14:paraId="5F75BA82" w14:textId="77777777" w:rsidTr="00D05BB8">
        <w:trPr>
          <w:trHeight w:val="227"/>
        </w:trPr>
        <w:tc>
          <w:tcPr>
            <w:tcW w:w="0" w:type="auto"/>
            <w:tcBorders>
              <w:top w:val="nil"/>
              <w:left w:val="nil"/>
              <w:bottom w:val="nil"/>
              <w:right w:val="nil"/>
            </w:tcBorders>
          </w:tcPr>
          <w:p w14:paraId="4E643669" w14:textId="70F76E7B" w:rsidR="00353B81" w:rsidRPr="00A51130" w:rsidRDefault="00353B81" w:rsidP="00556B1C">
            <w:pPr>
              <w:spacing w:before="40" w:after="40"/>
              <w:rPr>
                <w:rFonts w:ascii="Times New Roman" w:hAnsi="Times New Roman" w:cs="Times New Roman"/>
                <w:sz w:val="24"/>
                <w:szCs w:val="24"/>
              </w:rPr>
            </w:pPr>
            <w:r>
              <w:rPr>
                <w:rFonts w:ascii="Times New Roman" w:hAnsi="Times New Roman" w:cs="Times New Roman"/>
                <w:sz w:val="24"/>
                <w:szCs w:val="24"/>
              </w:rPr>
              <w:t>Birthweight (g): females</w:t>
            </w:r>
          </w:p>
        </w:tc>
        <w:tc>
          <w:tcPr>
            <w:tcW w:w="0" w:type="auto"/>
            <w:tcBorders>
              <w:top w:val="nil"/>
              <w:left w:val="nil"/>
              <w:bottom w:val="nil"/>
              <w:right w:val="nil"/>
            </w:tcBorders>
          </w:tcPr>
          <w:p w14:paraId="75882C43" w14:textId="7EFCFDD4" w:rsidR="00353B81" w:rsidRPr="00A51130" w:rsidRDefault="00353B81"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Mean (SD)</w:t>
            </w:r>
          </w:p>
        </w:tc>
        <w:tc>
          <w:tcPr>
            <w:tcW w:w="0" w:type="auto"/>
            <w:tcBorders>
              <w:top w:val="nil"/>
              <w:left w:val="nil"/>
              <w:bottom w:val="nil"/>
              <w:right w:val="nil"/>
            </w:tcBorders>
          </w:tcPr>
          <w:p w14:paraId="0417098B" w14:textId="3EC6EA25" w:rsidR="00353B81" w:rsidRDefault="00E45DF7" w:rsidP="00556B1C">
            <w:pPr>
              <w:spacing w:before="40" w:after="40"/>
              <w:jc w:val="center"/>
              <w:rPr>
                <w:rFonts w:ascii="Times New Roman" w:hAnsi="Times New Roman" w:cs="Times New Roman"/>
                <w:sz w:val="24"/>
                <w:szCs w:val="24"/>
              </w:rPr>
            </w:pPr>
            <w:r>
              <w:rPr>
                <w:rFonts w:ascii="Times New Roman" w:hAnsi="Times New Roman" w:cs="Times New Roman"/>
                <w:sz w:val="24"/>
                <w:szCs w:val="24"/>
              </w:rPr>
              <w:t>3408 (558)</w:t>
            </w:r>
          </w:p>
        </w:tc>
        <w:tc>
          <w:tcPr>
            <w:tcW w:w="0" w:type="auto"/>
            <w:tcBorders>
              <w:top w:val="nil"/>
              <w:left w:val="nil"/>
              <w:bottom w:val="nil"/>
              <w:right w:val="nil"/>
            </w:tcBorders>
          </w:tcPr>
          <w:p w14:paraId="02D5CF13" w14:textId="77777777" w:rsidR="00353B81" w:rsidRPr="00A51130" w:rsidRDefault="00353B81" w:rsidP="00556B1C">
            <w:pPr>
              <w:spacing w:before="40" w:after="40"/>
              <w:jc w:val="center"/>
              <w:rPr>
                <w:rFonts w:ascii="Times New Roman" w:hAnsi="Times New Roman" w:cs="Times New Roman"/>
                <w:sz w:val="24"/>
                <w:szCs w:val="24"/>
              </w:rPr>
            </w:pPr>
          </w:p>
        </w:tc>
      </w:tr>
      <w:tr w:rsidR="00D54082" w:rsidRPr="00A51130" w14:paraId="00717153" w14:textId="77777777" w:rsidTr="00D05BB8">
        <w:trPr>
          <w:trHeight w:val="227"/>
        </w:trPr>
        <w:tc>
          <w:tcPr>
            <w:tcW w:w="0" w:type="auto"/>
            <w:tcBorders>
              <w:top w:val="nil"/>
              <w:left w:val="nil"/>
              <w:bottom w:val="nil"/>
              <w:right w:val="nil"/>
            </w:tcBorders>
          </w:tcPr>
          <w:p w14:paraId="2AA8F14E" w14:textId="79FC9457"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Gestational age at birth (weeks)</w:t>
            </w:r>
            <w:r>
              <w:rPr>
                <w:rFonts w:ascii="Times New Roman" w:hAnsi="Times New Roman" w:cs="Times New Roman"/>
                <w:sz w:val="24"/>
                <w:szCs w:val="24"/>
              </w:rPr>
              <w:t>: males</w:t>
            </w:r>
          </w:p>
        </w:tc>
        <w:tc>
          <w:tcPr>
            <w:tcW w:w="0" w:type="auto"/>
            <w:tcBorders>
              <w:top w:val="nil"/>
              <w:left w:val="nil"/>
              <w:bottom w:val="nil"/>
              <w:right w:val="nil"/>
            </w:tcBorders>
          </w:tcPr>
          <w:p w14:paraId="2E3DFD40" w14:textId="2758B0BA"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Median (IQR)</w:t>
            </w:r>
          </w:p>
        </w:tc>
        <w:tc>
          <w:tcPr>
            <w:tcW w:w="0" w:type="auto"/>
            <w:tcBorders>
              <w:top w:val="nil"/>
              <w:left w:val="nil"/>
              <w:bottom w:val="nil"/>
              <w:right w:val="nil"/>
            </w:tcBorders>
          </w:tcPr>
          <w:p w14:paraId="1B2957C5" w14:textId="67B59DD9" w:rsidR="00D54082" w:rsidRPr="00A51130" w:rsidRDefault="00D54082" w:rsidP="00556B1C">
            <w:pPr>
              <w:spacing w:before="40" w:after="40"/>
              <w:jc w:val="center"/>
              <w:rPr>
                <w:rFonts w:ascii="Times New Roman" w:hAnsi="Times New Roman" w:cs="Times New Roman"/>
                <w:sz w:val="24"/>
                <w:szCs w:val="24"/>
              </w:rPr>
            </w:pPr>
            <w:r>
              <w:rPr>
                <w:rFonts w:ascii="Times New Roman" w:hAnsi="Times New Roman" w:cs="Times New Roman"/>
                <w:sz w:val="24"/>
                <w:szCs w:val="24"/>
              </w:rPr>
              <w:t>40 (38.9,41.0)</w:t>
            </w:r>
          </w:p>
        </w:tc>
        <w:tc>
          <w:tcPr>
            <w:tcW w:w="0" w:type="auto"/>
            <w:tcBorders>
              <w:top w:val="nil"/>
              <w:left w:val="nil"/>
              <w:bottom w:val="nil"/>
              <w:right w:val="nil"/>
            </w:tcBorders>
          </w:tcPr>
          <w:p w14:paraId="1C18DA0A" w14:textId="77777777" w:rsidR="00D54082" w:rsidRPr="00A51130" w:rsidRDefault="00D54082" w:rsidP="00556B1C">
            <w:pPr>
              <w:spacing w:before="40" w:after="40"/>
              <w:jc w:val="center"/>
              <w:rPr>
                <w:rFonts w:ascii="Times New Roman" w:hAnsi="Times New Roman" w:cs="Times New Roman"/>
                <w:sz w:val="24"/>
                <w:szCs w:val="24"/>
              </w:rPr>
            </w:pPr>
          </w:p>
        </w:tc>
      </w:tr>
      <w:tr w:rsidR="00D54082" w:rsidRPr="00A51130" w14:paraId="7C396A6E" w14:textId="77777777" w:rsidTr="00D05BB8">
        <w:trPr>
          <w:trHeight w:val="227"/>
        </w:trPr>
        <w:tc>
          <w:tcPr>
            <w:tcW w:w="0" w:type="auto"/>
            <w:tcBorders>
              <w:top w:val="nil"/>
              <w:left w:val="nil"/>
              <w:bottom w:val="nil"/>
              <w:right w:val="nil"/>
            </w:tcBorders>
          </w:tcPr>
          <w:p w14:paraId="7D5776E5" w14:textId="64D41C33"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Gestational age at birth (weeks)</w:t>
            </w:r>
            <w:r>
              <w:rPr>
                <w:rFonts w:ascii="Times New Roman" w:hAnsi="Times New Roman" w:cs="Times New Roman"/>
                <w:sz w:val="24"/>
                <w:szCs w:val="24"/>
              </w:rPr>
              <w:t>: females</w:t>
            </w:r>
          </w:p>
        </w:tc>
        <w:tc>
          <w:tcPr>
            <w:tcW w:w="0" w:type="auto"/>
            <w:tcBorders>
              <w:top w:val="nil"/>
              <w:left w:val="nil"/>
              <w:bottom w:val="nil"/>
              <w:right w:val="nil"/>
            </w:tcBorders>
          </w:tcPr>
          <w:p w14:paraId="1F791B64" w14:textId="76A6BBD0"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Median (IQR)</w:t>
            </w:r>
          </w:p>
        </w:tc>
        <w:tc>
          <w:tcPr>
            <w:tcW w:w="0" w:type="auto"/>
            <w:tcBorders>
              <w:top w:val="nil"/>
              <w:left w:val="nil"/>
              <w:bottom w:val="nil"/>
              <w:right w:val="nil"/>
            </w:tcBorders>
          </w:tcPr>
          <w:p w14:paraId="041C89E6" w14:textId="3D8D593D" w:rsidR="00D54082" w:rsidRDefault="00D54082" w:rsidP="00556B1C">
            <w:pPr>
              <w:spacing w:before="40" w:after="40"/>
              <w:jc w:val="center"/>
              <w:rPr>
                <w:rFonts w:ascii="Times New Roman" w:hAnsi="Times New Roman" w:cs="Times New Roman"/>
                <w:sz w:val="24"/>
                <w:szCs w:val="24"/>
              </w:rPr>
            </w:pPr>
            <w:r>
              <w:rPr>
                <w:rFonts w:ascii="Times New Roman" w:hAnsi="Times New Roman" w:cs="Times New Roman"/>
                <w:sz w:val="24"/>
                <w:szCs w:val="24"/>
              </w:rPr>
              <w:t>40 (39.2, 41.0)</w:t>
            </w:r>
          </w:p>
        </w:tc>
        <w:tc>
          <w:tcPr>
            <w:tcW w:w="0" w:type="auto"/>
            <w:tcBorders>
              <w:top w:val="nil"/>
              <w:left w:val="nil"/>
              <w:bottom w:val="nil"/>
              <w:right w:val="nil"/>
            </w:tcBorders>
          </w:tcPr>
          <w:p w14:paraId="55E2E35E" w14:textId="77777777" w:rsidR="00D54082" w:rsidRPr="00A51130" w:rsidRDefault="00D54082" w:rsidP="00556B1C">
            <w:pPr>
              <w:spacing w:before="40" w:after="40"/>
              <w:jc w:val="center"/>
              <w:rPr>
                <w:rFonts w:ascii="Times New Roman" w:hAnsi="Times New Roman" w:cs="Times New Roman"/>
                <w:sz w:val="24"/>
                <w:szCs w:val="24"/>
              </w:rPr>
            </w:pPr>
          </w:p>
        </w:tc>
      </w:tr>
      <w:tr w:rsidR="00D54082" w:rsidRPr="00A51130" w14:paraId="19F437E5" w14:textId="77777777" w:rsidTr="00D05BB8">
        <w:trPr>
          <w:trHeight w:val="227"/>
        </w:trPr>
        <w:tc>
          <w:tcPr>
            <w:tcW w:w="0" w:type="auto"/>
            <w:tcBorders>
              <w:top w:val="nil"/>
              <w:left w:val="nil"/>
              <w:bottom w:val="nil"/>
              <w:right w:val="nil"/>
            </w:tcBorders>
          </w:tcPr>
          <w:p w14:paraId="1B153FC4" w14:textId="243F58D8"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Weight at 2-year visit (kg)</w:t>
            </w:r>
            <w:r>
              <w:rPr>
                <w:rFonts w:ascii="Times New Roman" w:hAnsi="Times New Roman" w:cs="Times New Roman"/>
                <w:sz w:val="24"/>
                <w:szCs w:val="24"/>
              </w:rPr>
              <w:t>: males</w:t>
            </w:r>
          </w:p>
        </w:tc>
        <w:tc>
          <w:tcPr>
            <w:tcW w:w="0" w:type="auto"/>
            <w:tcBorders>
              <w:top w:val="nil"/>
              <w:left w:val="nil"/>
              <w:bottom w:val="nil"/>
              <w:right w:val="nil"/>
            </w:tcBorders>
          </w:tcPr>
          <w:p w14:paraId="193C080A" w14:textId="6B888CC3"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Mean (SD)</w:t>
            </w:r>
          </w:p>
        </w:tc>
        <w:tc>
          <w:tcPr>
            <w:tcW w:w="0" w:type="auto"/>
            <w:tcBorders>
              <w:top w:val="nil"/>
              <w:left w:val="nil"/>
              <w:bottom w:val="nil"/>
              <w:right w:val="nil"/>
            </w:tcBorders>
          </w:tcPr>
          <w:p w14:paraId="2F0D31B3" w14:textId="53420BD7" w:rsidR="00D54082" w:rsidRPr="00A51130" w:rsidRDefault="00D54082" w:rsidP="00556B1C">
            <w:pPr>
              <w:spacing w:before="40" w:after="40"/>
              <w:jc w:val="center"/>
              <w:rPr>
                <w:rFonts w:ascii="Times New Roman" w:hAnsi="Times New Roman" w:cs="Times New Roman"/>
                <w:sz w:val="24"/>
                <w:szCs w:val="24"/>
              </w:rPr>
            </w:pPr>
            <w:r w:rsidRPr="00A51130">
              <w:rPr>
                <w:rFonts w:ascii="Times New Roman" w:hAnsi="Times New Roman" w:cs="Times New Roman"/>
                <w:sz w:val="24"/>
                <w:szCs w:val="24"/>
              </w:rPr>
              <w:t>12.</w:t>
            </w:r>
            <w:r>
              <w:rPr>
                <w:rFonts w:ascii="Times New Roman" w:hAnsi="Times New Roman" w:cs="Times New Roman"/>
                <w:sz w:val="24"/>
                <w:szCs w:val="24"/>
              </w:rPr>
              <w:t>9</w:t>
            </w:r>
            <w:r w:rsidRPr="00A51130">
              <w:rPr>
                <w:rFonts w:ascii="Times New Roman" w:hAnsi="Times New Roman" w:cs="Times New Roman"/>
                <w:sz w:val="24"/>
                <w:szCs w:val="24"/>
              </w:rPr>
              <w:t xml:space="preserve"> (1.</w:t>
            </w:r>
            <w:r>
              <w:rPr>
                <w:rFonts w:ascii="Times New Roman" w:hAnsi="Times New Roman" w:cs="Times New Roman"/>
                <w:sz w:val="24"/>
                <w:szCs w:val="24"/>
              </w:rPr>
              <w:t>3</w:t>
            </w:r>
            <w:r w:rsidRPr="00A51130">
              <w:rPr>
                <w:rFonts w:ascii="Times New Roman" w:hAnsi="Times New Roman" w:cs="Times New Roman"/>
                <w:sz w:val="24"/>
                <w:szCs w:val="24"/>
              </w:rPr>
              <w:t>)</w:t>
            </w:r>
          </w:p>
        </w:tc>
        <w:tc>
          <w:tcPr>
            <w:tcW w:w="0" w:type="auto"/>
            <w:tcBorders>
              <w:top w:val="nil"/>
              <w:left w:val="nil"/>
              <w:bottom w:val="nil"/>
              <w:right w:val="nil"/>
            </w:tcBorders>
          </w:tcPr>
          <w:p w14:paraId="28387BDB" w14:textId="77777777" w:rsidR="00D54082" w:rsidRPr="00A51130" w:rsidRDefault="00D54082" w:rsidP="00556B1C">
            <w:pPr>
              <w:spacing w:before="40" w:after="40"/>
              <w:jc w:val="center"/>
              <w:rPr>
                <w:rFonts w:ascii="Times New Roman" w:hAnsi="Times New Roman" w:cs="Times New Roman"/>
                <w:sz w:val="24"/>
                <w:szCs w:val="24"/>
              </w:rPr>
            </w:pPr>
          </w:p>
        </w:tc>
      </w:tr>
      <w:tr w:rsidR="00D54082" w:rsidRPr="00A51130" w14:paraId="7C54C9E0" w14:textId="77777777" w:rsidTr="00D05BB8">
        <w:trPr>
          <w:trHeight w:val="227"/>
        </w:trPr>
        <w:tc>
          <w:tcPr>
            <w:tcW w:w="0" w:type="auto"/>
            <w:tcBorders>
              <w:top w:val="nil"/>
              <w:left w:val="nil"/>
              <w:bottom w:val="nil"/>
              <w:right w:val="nil"/>
            </w:tcBorders>
          </w:tcPr>
          <w:p w14:paraId="7989E969" w14:textId="227B6546"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Weight at 2-year visit (kg)</w:t>
            </w:r>
            <w:r>
              <w:rPr>
                <w:rFonts w:ascii="Times New Roman" w:hAnsi="Times New Roman" w:cs="Times New Roman"/>
                <w:sz w:val="24"/>
                <w:szCs w:val="24"/>
              </w:rPr>
              <w:t>: females</w:t>
            </w:r>
          </w:p>
        </w:tc>
        <w:tc>
          <w:tcPr>
            <w:tcW w:w="0" w:type="auto"/>
            <w:tcBorders>
              <w:top w:val="nil"/>
              <w:left w:val="nil"/>
              <w:bottom w:val="nil"/>
              <w:right w:val="nil"/>
            </w:tcBorders>
          </w:tcPr>
          <w:p w14:paraId="3ACC4F71" w14:textId="5EF31BD2"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Mean (SD)</w:t>
            </w:r>
          </w:p>
        </w:tc>
        <w:tc>
          <w:tcPr>
            <w:tcW w:w="0" w:type="auto"/>
            <w:tcBorders>
              <w:top w:val="nil"/>
              <w:left w:val="nil"/>
              <w:bottom w:val="nil"/>
              <w:right w:val="nil"/>
            </w:tcBorders>
          </w:tcPr>
          <w:p w14:paraId="4B1063EA" w14:textId="1443BB90" w:rsidR="00D54082" w:rsidRPr="00A51130" w:rsidRDefault="00D54082" w:rsidP="00556B1C">
            <w:pPr>
              <w:spacing w:before="40" w:after="40"/>
              <w:jc w:val="center"/>
              <w:rPr>
                <w:rFonts w:ascii="Times New Roman" w:hAnsi="Times New Roman" w:cs="Times New Roman"/>
                <w:sz w:val="24"/>
                <w:szCs w:val="24"/>
              </w:rPr>
            </w:pPr>
            <w:r>
              <w:rPr>
                <w:rFonts w:ascii="Times New Roman" w:hAnsi="Times New Roman" w:cs="Times New Roman"/>
                <w:sz w:val="24"/>
                <w:szCs w:val="24"/>
              </w:rPr>
              <w:t>12.3 (1.5)</w:t>
            </w:r>
          </w:p>
        </w:tc>
        <w:tc>
          <w:tcPr>
            <w:tcW w:w="0" w:type="auto"/>
            <w:tcBorders>
              <w:top w:val="nil"/>
              <w:left w:val="nil"/>
              <w:bottom w:val="nil"/>
              <w:right w:val="nil"/>
            </w:tcBorders>
          </w:tcPr>
          <w:p w14:paraId="4ED5D4E2" w14:textId="77777777" w:rsidR="00D54082" w:rsidRPr="00A51130" w:rsidRDefault="00D54082" w:rsidP="00556B1C">
            <w:pPr>
              <w:spacing w:before="40" w:after="40"/>
              <w:jc w:val="center"/>
              <w:rPr>
                <w:rFonts w:ascii="Times New Roman" w:hAnsi="Times New Roman" w:cs="Times New Roman"/>
                <w:sz w:val="24"/>
                <w:szCs w:val="24"/>
              </w:rPr>
            </w:pPr>
          </w:p>
        </w:tc>
      </w:tr>
      <w:tr w:rsidR="00D54082" w:rsidRPr="00A51130" w14:paraId="297A67F7" w14:textId="77777777" w:rsidTr="00D05BB8">
        <w:trPr>
          <w:trHeight w:val="227"/>
        </w:trPr>
        <w:tc>
          <w:tcPr>
            <w:tcW w:w="0" w:type="auto"/>
            <w:tcBorders>
              <w:top w:val="nil"/>
              <w:left w:val="nil"/>
              <w:bottom w:val="nil"/>
              <w:right w:val="nil"/>
            </w:tcBorders>
          </w:tcPr>
          <w:p w14:paraId="49111848" w14:textId="0AB25D31"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Age at 2-year visit (years)</w:t>
            </w:r>
            <w:r>
              <w:rPr>
                <w:rFonts w:ascii="Times New Roman" w:hAnsi="Times New Roman" w:cs="Times New Roman"/>
                <w:sz w:val="24"/>
                <w:szCs w:val="24"/>
              </w:rPr>
              <w:t>: males</w:t>
            </w:r>
          </w:p>
        </w:tc>
        <w:tc>
          <w:tcPr>
            <w:tcW w:w="0" w:type="auto"/>
            <w:tcBorders>
              <w:top w:val="nil"/>
              <w:left w:val="nil"/>
              <w:bottom w:val="nil"/>
              <w:right w:val="nil"/>
            </w:tcBorders>
          </w:tcPr>
          <w:p w14:paraId="2FDD5A50" w14:textId="708D1497"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Median (IQR)</w:t>
            </w:r>
          </w:p>
        </w:tc>
        <w:tc>
          <w:tcPr>
            <w:tcW w:w="0" w:type="auto"/>
            <w:tcBorders>
              <w:top w:val="nil"/>
              <w:left w:val="nil"/>
              <w:bottom w:val="nil"/>
              <w:right w:val="nil"/>
            </w:tcBorders>
          </w:tcPr>
          <w:p w14:paraId="59DE6A41" w14:textId="644F3882" w:rsidR="00D54082" w:rsidRPr="00A51130" w:rsidRDefault="00D54082" w:rsidP="00556B1C">
            <w:pPr>
              <w:spacing w:before="40" w:after="40"/>
              <w:jc w:val="center"/>
              <w:rPr>
                <w:rFonts w:ascii="Times New Roman" w:hAnsi="Times New Roman" w:cs="Times New Roman"/>
                <w:sz w:val="24"/>
                <w:szCs w:val="24"/>
              </w:rPr>
            </w:pPr>
            <w:r w:rsidRPr="00A51130">
              <w:rPr>
                <w:rFonts w:ascii="Times New Roman" w:hAnsi="Times New Roman" w:cs="Times New Roman"/>
                <w:sz w:val="24"/>
                <w:szCs w:val="24"/>
              </w:rPr>
              <w:t>2.0 (2.0, 2.1)</w:t>
            </w:r>
          </w:p>
        </w:tc>
        <w:tc>
          <w:tcPr>
            <w:tcW w:w="0" w:type="auto"/>
            <w:tcBorders>
              <w:top w:val="nil"/>
              <w:left w:val="nil"/>
              <w:bottom w:val="nil"/>
              <w:right w:val="nil"/>
            </w:tcBorders>
          </w:tcPr>
          <w:p w14:paraId="449F2C7C" w14:textId="77777777" w:rsidR="00D54082" w:rsidRPr="00A51130" w:rsidRDefault="00D54082" w:rsidP="00556B1C">
            <w:pPr>
              <w:spacing w:before="40" w:after="40"/>
              <w:jc w:val="center"/>
              <w:rPr>
                <w:rFonts w:ascii="Times New Roman" w:hAnsi="Times New Roman" w:cs="Times New Roman"/>
                <w:sz w:val="24"/>
                <w:szCs w:val="24"/>
              </w:rPr>
            </w:pPr>
          </w:p>
        </w:tc>
      </w:tr>
      <w:tr w:rsidR="00D54082" w:rsidRPr="00A51130" w14:paraId="07D8752C" w14:textId="77777777" w:rsidTr="00D05BB8">
        <w:trPr>
          <w:trHeight w:val="227"/>
        </w:trPr>
        <w:tc>
          <w:tcPr>
            <w:tcW w:w="0" w:type="auto"/>
            <w:tcBorders>
              <w:top w:val="nil"/>
              <w:left w:val="nil"/>
              <w:bottom w:val="nil"/>
              <w:right w:val="nil"/>
            </w:tcBorders>
          </w:tcPr>
          <w:p w14:paraId="7FB5A833" w14:textId="1D0498D2"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Age at 2-year visit (years)</w:t>
            </w:r>
            <w:r>
              <w:rPr>
                <w:rFonts w:ascii="Times New Roman" w:hAnsi="Times New Roman" w:cs="Times New Roman"/>
                <w:sz w:val="24"/>
                <w:szCs w:val="24"/>
              </w:rPr>
              <w:t>: females</w:t>
            </w:r>
          </w:p>
        </w:tc>
        <w:tc>
          <w:tcPr>
            <w:tcW w:w="0" w:type="auto"/>
            <w:tcBorders>
              <w:top w:val="nil"/>
              <w:left w:val="nil"/>
              <w:bottom w:val="nil"/>
              <w:right w:val="nil"/>
            </w:tcBorders>
          </w:tcPr>
          <w:p w14:paraId="7702B365" w14:textId="6F604E71"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Median (IQR)</w:t>
            </w:r>
          </w:p>
        </w:tc>
        <w:tc>
          <w:tcPr>
            <w:tcW w:w="0" w:type="auto"/>
            <w:tcBorders>
              <w:top w:val="nil"/>
              <w:left w:val="nil"/>
              <w:bottom w:val="nil"/>
              <w:right w:val="nil"/>
            </w:tcBorders>
          </w:tcPr>
          <w:p w14:paraId="3DA92819" w14:textId="1E4752F1" w:rsidR="00D54082" w:rsidRPr="00A51130" w:rsidRDefault="00D54082" w:rsidP="00556B1C">
            <w:pPr>
              <w:spacing w:before="40" w:after="40"/>
              <w:jc w:val="center"/>
              <w:rPr>
                <w:rFonts w:ascii="Times New Roman" w:hAnsi="Times New Roman" w:cs="Times New Roman"/>
                <w:sz w:val="24"/>
                <w:szCs w:val="24"/>
              </w:rPr>
            </w:pPr>
            <w:r w:rsidRPr="00A51130">
              <w:rPr>
                <w:rFonts w:ascii="Times New Roman" w:hAnsi="Times New Roman" w:cs="Times New Roman"/>
                <w:sz w:val="24"/>
                <w:szCs w:val="24"/>
              </w:rPr>
              <w:t>2.0 (2.0, 2.1)</w:t>
            </w:r>
          </w:p>
        </w:tc>
        <w:tc>
          <w:tcPr>
            <w:tcW w:w="0" w:type="auto"/>
            <w:tcBorders>
              <w:top w:val="nil"/>
              <w:left w:val="nil"/>
              <w:bottom w:val="nil"/>
              <w:right w:val="nil"/>
            </w:tcBorders>
          </w:tcPr>
          <w:p w14:paraId="1D740B0B" w14:textId="77777777" w:rsidR="00D54082" w:rsidRPr="00A51130" w:rsidRDefault="00D54082" w:rsidP="00556B1C">
            <w:pPr>
              <w:spacing w:before="40" w:after="40"/>
              <w:jc w:val="center"/>
              <w:rPr>
                <w:rFonts w:ascii="Times New Roman" w:hAnsi="Times New Roman" w:cs="Times New Roman"/>
                <w:sz w:val="24"/>
                <w:szCs w:val="24"/>
              </w:rPr>
            </w:pPr>
          </w:p>
        </w:tc>
      </w:tr>
      <w:tr w:rsidR="00D54082" w:rsidRPr="00A51130" w14:paraId="6BE56BCE" w14:textId="77777777" w:rsidTr="00D05BB8">
        <w:trPr>
          <w:trHeight w:val="227"/>
        </w:trPr>
        <w:tc>
          <w:tcPr>
            <w:tcW w:w="0" w:type="auto"/>
            <w:tcBorders>
              <w:top w:val="nil"/>
              <w:left w:val="nil"/>
              <w:bottom w:val="nil"/>
              <w:right w:val="nil"/>
            </w:tcBorders>
          </w:tcPr>
          <w:p w14:paraId="57F33D2E" w14:textId="5CACECDA"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Weight gain 0-2 years (kg)</w:t>
            </w:r>
            <w:r>
              <w:rPr>
                <w:rFonts w:ascii="Times New Roman" w:hAnsi="Times New Roman" w:cs="Times New Roman"/>
                <w:sz w:val="24"/>
                <w:szCs w:val="24"/>
              </w:rPr>
              <w:t>: males</w:t>
            </w:r>
          </w:p>
        </w:tc>
        <w:tc>
          <w:tcPr>
            <w:tcW w:w="0" w:type="auto"/>
            <w:tcBorders>
              <w:top w:val="nil"/>
              <w:left w:val="nil"/>
              <w:bottom w:val="nil"/>
              <w:right w:val="nil"/>
            </w:tcBorders>
          </w:tcPr>
          <w:p w14:paraId="297EEE5F" w14:textId="6F5BD984"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Median (IQR)</w:t>
            </w:r>
          </w:p>
        </w:tc>
        <w:tc>
          <w:tcPr>
            <w:tcW w:w="0" w:type="auto"/>
            <w:tcBorders>
              <w:top w:val="nil"/>
              <w:left w:val="nil"/>
              <w:bottom w:val="nil"/>
              <w:right w:val="nil"/>
            </w:tcBorders>
          </w:tcPr>
          <w:p w14:paraId="058B7221" w14:textId="2F24B769" w:rsidR="00D54082" w:rsidRPr="00A51130" w:rsidRDefault="00D54082" w:rsidP="00556B1C">
            <w:pPr>
              <w:spacing w:before="40" w:after="40"/>
              <w:jc w:val="center"/>
              <w:rPr>
                <w:rFonts w:ascii="Times New Roman" w:hAnsi="Times New Roman" w:cs="Times New Roman"/>
                <w:sz w:val="24"/>
                <w:szCs w:val="24"/>
              </w:rPr>
            </w:pPr>
            <w:r w:rsidRPr="00A51130">
              <w:rPr>
                <w:rFonts w:ascii="Times New Roman" w:hAnsi="Times New Roman" w:cs="Times New Roman"/>
                <w:sz w:val="24"/>
                <w:szCs w:val="24"/>
              </w:rPr>
              <w:t>9.</w:t>
            </w:r>
            <w:r>
              <w:rPr>
                <w:rFonts w:ascii="Times New Roman" w:hAnsi="Times New Roman" w:cs="Times New Roman"/>
                <w:sz w:val="24"/>
                <w:szCs w:val="24"/>
              </w:rPr>
              <w:t>3</w:t>
            </w:r>
            <w:r w:rsidRPr="00A51130">
              <w:rPr>
                <w:rFonts w:ascii="Times New Roman" w:hAnsi="Times New Roman" w:cs="Times New Roman"/>
                <w:sz w:val="24"/>
                <w:szCs w:val="24"/>
              </w:rPr>
              <w:t xml:space="preserve"> (8.</w:t>
            </w:r>
            <w:r>
              <w:rPr>
                <w:rFonts w:ascii="Times New Roman" w:hAnsi="Times New Roman" w:cs="Times New Roman"/>
                <w:sz w:val="24"/>
                <w:szCs w:val="24"/>
              </w:rPr>
              <w:t>6</w:t>
            </w:r>
            <w:r w:rsidRPr="00A51130">
              <w:rPr>
                <w:rFonts w:ascii="Times New Roman" w:hAnsi="Times New Roman" w:cs="Times New Roman"/>
                <w:sz w:val="24"/>
                <w:szCs w:val="24"/>
              </w:rPr>
              <w:t>, 10.</w:t>
            </w:r>
            <w:r>
              <w:rPr>
                <w:rFonts w:ascii="Times New Roman" w:hAnsi="Times New Roman" w:cs="Times New Roman"/>
                <w:sz w:val="24"/>
                <w:szCs w:val="24"/>
              </w:rPr>
              <w:t>2</w:t>
            </w:r>
            <w:r w:rsidRPr="00A51130">
              <w:rPr>
                <w:rFonts w:ascii="Times New Roman" w:hAnsi="Times New Roman" w:cs="Times New Roman"/>
                <w:sz w:val="24"/>
                <w:szCs w:val="24"/>
              </w:rPr>
              <w:t>)</w:t>
            </w:r>
          </w:p>
        </w:tc>
        <w:tc>
          <w:tcPr>
            <w:tcW w:w="0" w:type="auto"/>
            <w:tcBorders>
              <w:top w:val="nil"/>
              <w:left w:val="nil"/>
              <w:bottom w:val="nil"/>
              <w:right w:val="nil"/>
            </w:tcBorders>
          </w:tcPr>
          <w:p w14:paraId="51A617A1" w14:textId="77777777" w:rsidR="00D54082" w:rsidRPr="00A51130" w:rsidRDefault="00D54082" w:rsidP="00556B1C">
            <w:pPr>
              <w:spacing w:before="40" w:after="40"/>
              <w:jc w:val="center"/>
              <w:rPr>
                <w:rFonts w:ascii="Times New Roman" w:hAnsi="Times New Roman" w:cs="Times New Roman"/>
                <w:sz w:val="24"/>
                <w:szCs w:val="24"/>
              </w:rPr>
            </w:pPr>
          </w:p>
        </w:tc>
      </w:tr>
      <w:tr w:rsidR="00D54082" w:rsidRPr="00A51130" w14:paraId="1D97C121" w14:textId="77777777" w:rsidTr="00D05BB8">
        <w:trPr>
          <w:trHeight w:val="227"/>
        </w:trPr>
        <w:tc>
          <w:tcPr>
            <w:tcW w:w="0" w:type="auto"/>
            <w:tcBorders>
              <w:top w:val="nil"/>
              <w:left w:val="nil"/>
              <w:bottom w:val="nil"/>
              <w:right w:val="nil"/>
            </w:tcBorders>
          </w:tcPr>
          <w:p w14:paraId="60F66527" w14:textId="7683D01F" w:rsidR="00D54082" w:rsidRPr="00A51130" w:rsidRDefault="00D54082" w:rsidP="00556B1C">
            <w:pPr>
              <w:spacing w:before="40" w:after="40"/>
              <w:rPr>
                <w:rFonts w:ascii="Times New Roman" w:hAnsi="Times New Roman" w:cs="Times New Roman"/>
                <w:sz w:val="24"/>
                <w:szCs w:val="24"/>
              </w:rPr>
            </w:pPr>
            <w:r>
              <w:rPr>
                <w:rFonts w:ascii="Times New Roman" w:hAnsi="Times New Roman" w:cs="Times New Roman"/>
                <w:sz w:val="24"/>
                <w:szCs w:val="24"/>
              </w:rPr>
              <w:t>Weight gain 0-2 years (kg): females</w:t>
            </w:r>
          </w:p>
        </w:tc>
        <w:tc>
          <w:tcPr>
            <w:tcW w:w="0" w:type="auto"/>
            <w:tcBorders>
              <w:top w:val="nil"/>
              <w:left w:val="nil"/>
              <w:bottom w:val="nil"/>
              <w:right w:val="nil"/>
            </w:tcBorders>
          </w:tcPr>
          <w:p w14:paraId="67936567" w14:textId="17AF32C8"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Median (IQR)</w:t>
            </w:r>
          </w:p>
        </w:tc>
        <w:tc>
          <w:tcPr>
            <w:tcW w:w="0" w:type="auto"/>
            <w:tcBorders>
              <w:top w:val="nil"/>
              <w:left w:val="nil"/>
              <w:bottom w:val="nil"/>
              <w:right w:val="nil"/>
            </w:tcBorders>
          </w:tcPr>
          <w:p w14:paraId="1CA61143" w14:textId="470619B6" w:rsidR="00D54082" w:rsidRPr="00A51130" w:rsidRDefault="00D54082" w:rsidP="00556B1C">
            <w:pPr>
              <w:spacing w:before="40" w:after="40"/>
              <w:jc w:val="center"/>
              <w:rPr>
                <w:rFonts w:ascii="Times New Roman" w:hAnsi="Times New Roman" w:cs="Times New Roman"/>
                <w:sz w:val="24"/>
                <w:szCs w:val="24"/>
              </w:rPr>
            </w:pPr>
            <w:r>
              <w:rPr>
                <w:rFonts w:ascii="Times New Roman" w:hAnsi="Times New Roman" w:cs="Times New Roman"/>
                <w:sz w:val="24"/>
                <w:szCs w:val="24"/>
              </w:rPr>
              <w:t>8.8 (8.0, 9.6)</w:t>
            </w:r>
          </w:p>
        </w:tc>
        <w:tc>
          <w:tcPr>
            <w:tcW w:w="0" w:type="auto"/>
            <w:tcBorders>
              <w:top w:val="nil"/>
              <w:left w:val="nil"/>
              <w:bottom w:val="nil"/>
              <w:right w:val="nil"/>
            </w:tcBorders>
          </w:tcPr>
          <w:p w14:paraId="29F0FFF2" w14:textId="77777777" w:rsidR="00D54082" w:rsidRPr="00A51130" w:rsidRDefault="00D54082" w:rsidP="00556B1C">
            <w:pPr>
              <w:spacing w:before="40" w:after="40"/>
              <w:jc w:val="center"/>
              <w:rPr>
                <w:rFonts w:ascii="Times New Roman" w:hAnsi="Times New Roman" w:cs="Times New Roman"/>
                <w:sz w:val="24"/>
                <w:szCs w:val="24"/>
              </w:rPr>
            </w:pPr>
          </w:p>
        </w:tc>
      </w:tr>
      <w:tr w:rsidR="00D54082" w:rsidRPr="00A51130" w14:paraId="24781FBB" w14:textId="77777777" w:rsidTr="00D05BB8">
        <w:trPr>
          <w:trHeight w:val="227"/>
        </w:trPr>
        <w:tc>
          <w:tcPr>
            <w:tcW w:w="0" w:type="auto"/>
            <w:tcBorders>
              <w:top w:val="single" w:sz="4" w:space="0" w:color="auto"/>
              <w:left w:val="nil"/>
              <w:bottom w:val="nil"/>
              <w:right w:val="nil"/>
            </w:tcBorders>
          </w:tcPr>
          <w:p w14:paraId="18C37A87" w14:textId="77777777" w:rsidR="00D54082" w:rsidRPr="00A51130" w:rsidRDefault="00D54082" w:rsidP="00556B1C">
            <w:pPr>
              <w:spacing w:before="40" w:after="40"/>
              <w:rPr>
                <w:rFonts w:ascii="Times New Roman" w:hAnsi="Times New Roman" w:cs="Times New Roman"/>
                <w:b/>
                <w:sz w:val="24"/>
                <w:szCs w:val="24"/>
              </w:rPr>
            </w:pPr>
            <w:r w:rsidRPr="00A51130">
              <w:rPr>
                <w:rFonts w:ascii="Times New Roman" w:hAnsi="Times New Roman" w:cs="Times New Roman"/>
                <w:b/>
                <w:sz w:val="24"/>
                <w:szCs w:val="24"/>
              </w:rPr>
              <w:t>Maternal characteristics</w:t>
            </w:r>
          </w:p>
        </w:tc>
        <w:tc>
          <w:tcPr>
            <w:tcW w:w="0" w:type="auto"/>
            <w:tcBorders>
              <w:top w:val="single" w:sz="4" w:space="0" w:color="auto"/>
              <w:left w:val="nil"/>
              <w:bottom w:val="nil"/>
              <w:right w:val="nil"/>
            </w:tcBorders>
          </w:tcPr>
          <w:p w14:paraId="1E40440B" w14:textId="77777777" w:rsidR="00D54082" w:rsidRPr="00A51130" w:rsidRDefault="00D54082" w:rsidP="00556B1C">
            <w:pPr>
              <w:spacing w:before="40" w:after="40"/>
              <w:rPr>
                <w:rFonts w:ascii="Times New Roman" w:hAnsi="Times New Roman" w:cs="Times New Roman"/>
                <w:sz w:val="24"/>
                <w:szCs w:val="24"/>
              </w:rPr>
            </w:pPr>
          </w:p>
        </w:tc>
        <w:tc>
          <w:tcPr>
            <w:tcW w:w="0" w:type="auto"/>
            <w:tcBorders>
              <w:top w:val="single" w:sz="4" w:space="0" w:color="auto"/>
              <w:left w:val="nil"/>
              <w:bottom w:val="nil"/>
              <w:right w:val="nil"/>
            </w:tcBorders>
          </w:tcPr>
          <w:p w14:paraId="227F19E9" w14:textId="77777777" w:rsidR="00D54082" w:rsidRPr="00A51130" w:rsidRDefault="00D54082" w:rsidP="00556B1C">
            <w:pPr>
              <w:spacing w:before="40" w:after="40"/>
              <w:jc w:val="center"/>
              <w:rPr>
                <w:rFonts w:ascii="Times New Roman" w:hAnsi="Times New Roman" w:cs="Times New Roman"/>
                <w:sz w:val="24"/>
                <w:szCs w:val="24"/>
              </w:rPr>
            </w:pPr>
          </w:p>
        </w:tc>
        <w:tc>
          <w:tcPr>
            <w:tcW w:w="0" w:type="auto"/>
            <w:tcBorders>
              <w:top w:val="single" w:sz="4" w:space="0" w:color="auto"/>
              <w:left w:val="nil"/>
              <w:bottom w:val="nil"/>
              <w:right w:val="nil"/>
            </w:tcBorders>
          </w:tcPr>
          <w:p w14:paraId="0111D72A" w14:textId="77777777" w:rsidR="00D54082" w:rsidRPr="00A51130" w:rsidRDefault="00D54082" w:rsidP="00556B1C">
            <w:pPr>
              <w:spacing w:before="40" w:after="40"/>
              <w:jc w:val="center"/>
              <w:rPr>
                <w:rFonts w:ascii="Times New Roman" w:hAnsi="Times New Roman" w:cs="Times New Roman"/>
                <w:sz w:val="24"/>
                <w:szCs w:val="24"/>
              </w:rPr>
            </w:pPr>
          </w:p>
        </w:tc>
      </w:tr>
      <w:tr w:rsidR="00D54082" w:rsidRPr="00A51130" w14:paraId="677247B3" w14:textId="77777777" w:rsidTr="00D05BB8">
        <w:trPr>
          <w:trHeight w:val="227"/>
        </w:trPr>
        <w:tc>
          <w:tcPr>
            <w:tcW w:w="0" w:type="auto"/>
            <w:tcBorders>
              <w:top w:val="nil"/>
              <w:left w:val="nil"/>
              <w:bottom w:val="nil"/>
              <w:right w:val="nil"/>
            </w:tcBorders>
          </w:tcPr>
          <w:p w14:paraId="2F6608A0" w14:textId="77777777"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Age at recruitment (years)</w:t>
            </w:r>
          </w:p>
        </w:tc>
        <w:tc>
          <w:tcPr>
            <w:tcW w:w="0" w:type="auto"/>
            <w:tcBorders>
              <w:top w:val="nil"/>
              <w:left w:val="nil"/>
              <w:bottom w:val="nil"/>
              <w:right w:val="nil"/>
            </w:tcBorders>
          </w:tcPr>
          <w:p w14:paraId="7865B03C" w14:textId="77EFA56E"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Mean (SD)</w:t>
            </w:r>
          </w:p>
        </w:tc>
        <w:tc>
          <w:tcPr>
            <w:tcW w:w="0" w:type="auto"/>
            <w:tcBorders>
              <w:top w:val="nil"/>
              <w:left w:val="nil"/>
              <w:bottom w:val="nil"/>
              <w:right w:val="nil"/>
            </w:tcBorders>
          </w:tcPr>
          <w:p w14:paraId="7026E8A4" w14:textId="3734629A" w:rsidR="00D54082" w:rsidRPr="00A51130" w:rsidRDefault="00D54082" w:rsidP="00556B1C">
            <w:pPr>
              <w:spacing w:before="40" w:after="40"/>
              <w:jc w:val="center"/>
              <w:rPr>
                <w:rFonts w:ascii="Times New Roman" w:hAnsi="Times New Roman" w:cs="Times New Roman"/>
                <w:sz w:val="24"/>
                <w:szCs w:val="24"/>
              </w:rPr>
            </w:pPr>
            <w:r w:rsidRPr="00A51130">
              <w:rPr>
                <w:rFonts w:ascii="Times New Roman" w:hAnsi="Times New Roman" w:cs="Times New Roman"/>
                <w:sz w:val="24"/>
                <w:szCs w:val="24"/>
              </w:rPr>
              <w:t>28.4 (3.8)</w:t>
            </w:r>
          </w:p>
        </w:tc>
        <w:tc>
          <w:tcPr>
            <w:tcW w:w="0" w:type="auto"/>
            <w:tcBorders>
              <w:top w:val="nil"/>
              <w:left w:val="nil"/>
              <w:bottom w:val="nil"/>
              <w:right w:val="nil"/>
            </w:tcBorders>
          </w:tcPr>
          <w:p w14:paraId="1FB7C0F5" w14:textId="77777777" w:rsidR="00D54082" w:rsidRPr="00A51130" w:rsidRDefault="00D54082" w:rsidP="00556B1C">
            <w:pPr>
              <w:spacing w:before="40" w:after="40"/>
              <w:jc w:val="center"/>
              <w:rPr>
                <w:rFonts w:ascii="Times New Roman" w:hAnsi="Times New Roman" w:cs="Times New Roman"/>
                <w:sz w:val="24"/>
                <w:szCs w:val="24"/>
              </w:rPr>
            </w:pPr>
          </w:p>
        </w:tc>
      </w:tr>
      <w:tr w:rsidR="00D54082" w:rsidRPr="00A51130" w14:paraId="5FA94A21" w14:textId="77777777" w:rsidTr="00D05BB8">
        <w:trPr>
          <w:trHeight w:val="227"/>
        </w:trPr>
        <w:tc>
          <w:tcPr>
            <w:tcW w:w="0" w:type="auto"/>
            <w:tcBorders>
              <w:top w:val="nil"/>
              <w:left w:val="nil"/>
              <w:bottom w:val="nil"/>
              <w:right w:val="nil"/>
            </w:tcBorders>
          </w:tcPr>
          <w:p w14:paraId="26358FEC" w14:textId="2FDAF7B7"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Ethnicity (White)</w:t>
            </w:r>
            <w:r w:rsidR="00DC3636" w:rsidRPr="00556B1C">
              <w:rPr>
                <w:rFonts w:ascii="Times New Roman" w:hAnsi="Times New Roman" w:cs="Times New Roman"/>
                <w:sz w:val="24"/>
                <w:szCs w:val="24"/>
                <w:vertAlign w:val="superscript"/>
              </w:rPr>
              <w:t>a</w:t>
            </w:r>
          </w:p>
        </w:tc>
        <w:tc>
          <w:tcPr>
            <w:tcW w:w="0" w:type="auto"/>
            <w:tcBorders>
              <w:top w:val="nil"/>
              <w:left w:val="nil"/>
              <w:bottom w:val="nil"/>
              <w:right w:val="nil"/>
            </w:tcBorders>
          </w:tcPr>
          <w:p w14:paraId="6FDF07CE" w14:textId="3FAA776E"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n (%)</w:t>
            </w:r>
          </w:p>
        </w:tc>
        <w:tc>
          <w:tcPr>
            <w:tcW w:w="0" w:type="auto"/>
            <w:tcBorders>
              <w:top w:val="nil"/>
              <w:left w:val="nil"/>
              <w:bottom w:val="nil"/>
              <w:right w:val="nil"/>
            </w:tcBorders>
          </w:tcPr>
          <w:p w14:paraId="5A3B5715" w14:textId="72171F83" w:rsidR="00D54082" w:rsidRPr="00A51130" w:rsidRDefault="00D54082" w:rsidP="00556B1C">
            <w:pPr>
              <w:spacing w:before="40" w:after="40"/>
              <w:jc w:val="center"/>
              <w:rPr>
                <w:rFonts w:ascii="Times New Roman" w:hAnsi="Times New Roman" w:cs="Times New Roman"/>
                <w:sz w:val="24"/>
                <w:szCs w:val="24"/>
              </w:rPr>
            </w:pPr>
            <w:r w:rsidRPr="00A51130">
              <w:rPr>
                <w:rFonts w:ascii="Times New Roman" w:hAnsi="Times New Roman" w:cs="Times New Roman"/>
                <w:sz w:val="24"/>
                <w:szCs w:val="24"/>
              </w:rPr>
              <w:t>76</w:t>
            </w:r>
            <w:r>
              <w:rPr>
                <w:rFonts w:ascii="Times New Roman" w:hAnsi="Times New Roman" w:cs="Times New Roman"/>
                <w:sz w:val="24"/>
                <w:szCs w:val="24"/>
              </w:rPr>
              <w:t>1</w:t>
            </w:r>
            <w:r w:rsidRPr="00A51130">
              <w:rPr>
                <w:rFonts w:ascii="Times New Roman" w:hAnsi="Times New Roman" w:cs="Times New Roman"/>
                <w:sz w:val="24"/>
                <w:szCs w:val="24"/>
              </w:rPr>
              <w:t xml:space="preserve"> (96.</w:t>
            </w:r>
            <w:r>
              <w:rPr>
                <w:rFonts w:ascii="Times New Roman" w:hAnsi="Times New Roman" w:cs="Times New Roman"/>
                <w:sz w:val="24"/>
                <w:szCs w:val="24"/>
              </w:rPr>
              <w:t>8</w:t>
            </w:r>
            <w:r w:rsidRPr="00A51130">
              <w:rPr>
                <w:rFonts w:ascii="Times New Roman" w:hAnsi="Times New Roman" w:cs="Times New Roman"/>
                <w:sz w:val="24"/>
                <w:szCs w:val="24"/>
              </w:rPr>
              <w:t>)</w:t>
            </w:r>
          </w:p>
        </w:tc>
        <w:tc>
          <w:tcPr>
            <w:tcW w:w="0" w:type="auto"/>
            <w:tcBorders>
              <w:top w:val="nil"/>
              <w:left w:val="nil"/>
              <w:bottom w:val="nil"/>
              <w:right w:val="nil"/>
            </w:tcBorders>
          </w:tcPr>
          <w:p w14:paraId="3188942D" w14:textId="77777777" w:rsidR="00D54082" w:rsidRPr="00A51130" w:rsidRDefault="00D54082" w:rsidP="00556B1C">
            <w:pPr>
              <w:spacing w:before="40" w:after="40"/>
              <w:jc w:val="center"/>
              <w:rPr>
                <w:rFonts w:ascii="Times New Roman" w:hAnsi="Times New Roman" w:cs="Times New Roman"/>
                <w:sz w:val="24"/>
                <w:szCs w:val="24"/>
              </w:rPr>
            </w:pPr>
          </w:p>
        </w:tc>
      </w:tr>
      <w:tr w:rsidR="00D54082" w:rsidRPr="00A51130" w14:paraId="7D3490FD" w14:textId="77777777" w:rsidTr="00D05BB8">
        <w:trPr>
          <w:trHeight w:val="227"/>
        </w:trPr>
        <w:tc>
          <w:tcPr>
            <w:tcW w:w="0" w:type="auto"/>
            <w:tcBorders>
              <w:top w:val="nil"/>
              <w:left w:val="nil"/>
              <w:bottom w:val="nil"/>
              <w:right w:val="nil"/>
            </w:tcBorders>
          </w:tcPr>
          <w:p w14:paraId="7C8DAE46" w14:textId="185C2AC2"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First trimester BMI (kg/m</w:t>
            </w:r>
            <w:r w:rsidRPr="00A51130">
              <w:rPr>
                <w:rFonts w:ascii="Times New Roman" w:hAnsi="Times New Roman" w:cs="Times New Roman"/>
                <w:sz w:val="24"/>
                <w:szCs w:val="24"/>
                <w:vertAlign w:val="superscript"/>
              </w:rPr>
              <w:t>2</w:t>
            </w:r>
            <w:r w:rsidRPr="00A51130">
              <w:rPr>
                <w:rFonts w:ascii="Times New Roman" w:hAnsi="Times New Roman" w:cs="Times New Roman"/>
                <w:sz w:val="24"/>
                <w:szCs w:val="24"/>
              </w:rPr>
              <w:t>)</w:t>
            </w:r>
          </w:p>
        </w:tc>
        <w:tc>
          <w:tcPr>
            <w:tcW w:w="0" w:type="auto"/>
            <w:tcBorders>
              <w:top w:val="nil"/>
              <w:left w:val="nil"/>
              <w:bottom w:val="nil"/>
              <w:right w:val="nil"/>
            </w:tcBorders>
          </w:tcPr>
          <w:p w14:paraId="6263AEE9" w14:textId="09B48437"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Median (IQR)</w:t>
            </w:r>
          </w:p>
        </w:tc>
        <w:tc>
          <w:tcPr>
            <w:tcW w:w="0" w:type="auto"/>
            <w:tcBorders>
              <w:top w:val="nil"/>
              <w:left w:val="nil"/>
              <w:bottom w:val="nil"/>
              <w:right w:val="nil"/>
            </w:tcBorders>
          </w:tcPr>
          <w:p w14:paraId="253A07AC" w14:textId="6C54790C" w:rsidR="00D54082" w:rsidRPr="00A51130" w:rsidRDefault="00D54082" w:rsidP="00556B1C">
            <w:pPr>
              <w:spacing w:before="40" w:after="40"/>
              <w:jc w:val="center"/>
              <w:rPr>
                <w:rFonts w:ascii="Times New Roman" w:hAnsi="Times New Roman" w:cs="Times New Roman"/>
                <w:sz w:val="24"/>
                <w:szCs w:val="24"/>
              </w:rPr>
            </w:pPr>
            <w:r w:rsidRPr="00A51130">
              <w:rPr>
                <w:rFonts w:ascii="Times New Roman" w:hAnsi="Times New Roman" w:cs="Times New Roman"/>
                <w:sz w:val="24"/>
                <w:szCs w:val="24"/>
              </w:rPr>
              <w:t>24.9 (22.7, 28.4)</w:t>
            </w:r>
          </w:p>
        </w:tc>
        <w:tc>
          <w:tcPr>
            <w:tcW w:w="0" w:type="auto"/>
            <w:tcBorders>
              <w:top w:val="nil"/>
              <w:left w:val="nil"/>
              <w:bottom w:val="nil"/>
              <w:right w:val="nil"/>
            </w:tcBorders>
          </w:tcPr>
          <w:p w14:paraId="3E4521F5" w14:textId="095A234C" w:rsidR="00D54082" w:rsidRPr="00A51130" w:rsidRDefault="00D54082" w:rsidP="00556B1C">
            <w:pPr>
              <w:spacing w:before="40" w:after="40"/>
              <w:jc w:val="center"/>
              <w:rPr>
                <w:rFonts w:ascii="Times New Roman" w:hAnsi="Times New Roman" w:cs="Times New Roman"/>
                <w:sz w:val="24"/>
                <w:szCs w:val="24"/>
              </w:rPr>
            </w:pPr>
            <w:r>
              <w:rPr>
                <w:rFonts w:ascii="Times New Roman" w:hAnsi="Times New Roman" w:cs="Times New Roman"/>
                <w:sz w:val="24"/>
                <w:szCs w:val="24"/>
              </w:rPr>
              <w:t>22.4</w:t>
            </w:r>
          </w:p>
        </w:tc>
      </w:tr>
      <w:tr w:rsidR="00D54082" w:rsidRPr="00A51130" w14:paraId="00C4E00C" w14:textId="77777777" w:rsidTr="00D05BB8">
        <w:trPr>
          <w:trHeight w:val="227"/>
        </w:trPr>
        <w:tc>
          <w:tcPr>
            <w:tcW w:w="0" w:type="auto"/>
            <w:tcBorders>
              <w:top w:val="nil"/>
              <w:left w:val="nil"/>
              <w:bottom w:val="nil"/>
              <w:right w:val="nil"/>
            </w:tcBorders>
          </w:tcPr>
          <w:p w14:paraId="64AB23B5" w14:textId="77777777"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Gestational diabetes (yes)</w:t>
            </w:r>
          </w:p>
        </w:tc>
        <w:tc>
          <w:tcPr>
            <w:tcW w:w="0" w:type="auto"/>
            <w:tcBorders>
              <w:top w:val="nil"/>
              <w:left w:val="nil"/>
              <w:bottom w:val="nil"/>
              <w:right w:val="nil"/>
            </w:tcBorders>
          </w:tcPr>
          <w:p w14:paraId="1485C2E1" w14:textId="6D40EFDE"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n (%)</w:t>
            </w:r>
          </w:p>
        </w:tc>
        <w:tc>
          <w:tcPr>
            <w:tcW w:w="0" w:type="auto"/>
            <w:tcBorders>
              <w:top w:val="nil"/>
              <w:left w:val="nil"/>
              <w:bottom w:val="nil"/>
              <w:right w:val="nil"/>
            </w:tcBorders>
          </w:tcPr>
          <w:p w14:paraId="6A91E955" w14:textId="7FB4A995" w:rsidR="00D54082" w:rsidRPr="00A51130" w:rsidRDefault="00D54082" w:rsidP="00556B1C">
            <w:pPr>
              <w:spacing w:before="40" w:after="40"/>
              <w:jc w:val="center"/>
              <w:rPr>
                <w:rFonts w:ascii="Times New Roman" w:hAnsi="Times New Roman" w:cs="Times New Roman"/>
                <w:sz w:val="24"/>
                <w:szCs w:val="24"/>
              </w:rPr>
            </w:pPr>
            <w:r w:rsidRPr="00A51130">
              <w:rPr>
                <w:rFonts w:ascii="Times New Roman" w:hAnsi="Times New Roman" w:cs="Times New Roman"/>
                <w:sz w:val="24"/>
                <w:szCs w:val="24"/>
              </w:rPr>
              <w:t>8 (1.0)</w:t>
            </w:r>
          </w:p>
        </w:tc>
        <w:tc>
          <w:tcPr>
            <w:tcW w:w="0" w:type="auto"/>
            <w:tcBorders>
              <w:top w:val="nil"/>
              <w:left w:val="nil"/>
              <w:bottom w:val="nil"/>
              <w:right w:val="nil"/>
            </w:tcBorders>
          </w:tcPr>
          <w:p w14:paraId="7AB15989" w14:textId="77777777" w:rsidR="00D54082" w:rsidRPr="00A51130" w:rsidRDefault="00D54082" w:rsidP="00556B1C">
            <w:pPr>
              <w:spacing w:before="40" w:after="40"/>
              <w:jc w:val="center"/>
              <w:rPr>
                <w:rFonts w:ascii="Times New Roman" w:hAnsi="Times New Roman" w:cs="Times New Roman"/>
                <w:sz w:val="24"/>
                <w:szCs w:val="24"/>
              </w:rPr>
            </w:pPr>
          </w:p>
        </w:tc>
      </w:tr>
      <w:tr w:rsidR="00D54082" w:rsidRPr="00A51130" w14:paraId="47BA98F1" w14:textId="77777777" w:rsidTr="00D05BB8">
        <w:trPr>
          <w:trHeight w:val="227"/>
        </w:trPr>
        <w:tc>
          <w:tcPr>
            <w:tcW w:w="0" w:type="auto"/>
            <w:tcBorders>
              <w:top w:val="nil"/>
              <w:left w:val="nil"/>
              <w:bottom w:val="nil"/>
              <w:right w:val="nil"/>
            </w:tcBorders>
          </w:tcPr>
          <w:p w14:paraId="1BD3E8D4" w14:textId="77777777"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Preeclampsia (yes)</w:t>
            </w:r>
          </w:p>
        </w:tc>
        <w:tc>
          <w:tcPr>
            <w:tcW w:w="0" w:type="auto"/>
            <w:tcBorders>
              <w:top w:val="nil"/>
              <w:left w:val="nil"/>
              <w:bottom w:val="nil"/>
              <w:right w:val="nil"/>
            </w:tcBorders>
          </w:tcPr>
          <w:p w14:paraId="2B97D6E6" w14:textId="6F3F1932"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n (%)</w:t>
            </w:r>
          </w:p>
        </w:tc>
        <w:tc>
          <w:tcPr>
            <w:tcW w:w="0" w:type="auto"/>
            <w:tcBorders>
              <w:top w:val="nil"/>
              <w:left w:val="nil"/>
              <w:bottom w:val="nil"/>
              <w:right w:val="nil"/>
            </w:tcBorders>
          </w:tcPr>
          <w:p w14:paraId="7B1BF846" w14:textId="50DAAC71" w:rsidR="00D54082" w:rsidRPr="00A51130" w:rsidRDefault="00D54082" w:rsidP="00556B1C">
            <w:pPr>
              <w:spacing w:before="40" w:after="40"/>
              <w:jc w:val="center"/>
              <w:rPr>
                <w:rFonts w:ascii="Times New Roman" w:hAnsi="Times New Roman" w:cs="Times New Roman"/>
                <w:sz w:val="24"/>
                <w:szCs w:val="24"/>
              </w:rPr>
            </w:pPr>
            <w:r w:rsidRPr="00A51130">
              <w:rPr>
                <w:rFonts w:ascii="Times New Roman" w:hAnsi="Times New Roman" w:cs="Times New Roman"/>
                <w:sz w:val="24"/>
                <w:szCs w:val="24"/>
              </w:rPr>
              <w:t>19 (2.4)</w:t>
            </w:r>
          </w:p>
        </w:tc>
        <w:tc>
          <w:tcPr>
            <w:tcW w:w="0" w:type="auto"/>
            <w:tcBorders>
              <w:top w:val="nil"/>
              <w:left w:val="nil"/>
              <w:bottom w:val="nil"/>
              <w:right w:val="nil"/>
            </w:tcBorders>
          </w:tcPr>
          <w:p w14:paraId="7B109F42" w14:textId="77777777" w:rsidR="00D54082" w:rsidRPr="00A51130" w:rsidRDefault="00D54082" w:rsidP="00556B1C">
            <w:pPr>
              <w:spacing w:before="40" w:after="40"/>
              <w:jc w:val="center"/>
              <w:rPr>
                <w:rFonts w:ascii="Times New Roman" w:hAnsi="Times New Roman" w:cs="Times New Roman"/>
                <w:sz w:val="24"/>
                <w:szCs w:val="24"/>
              </w:rPr>
            </w:pPr>
          </w:p>
        </w:tc>
      </w:tr>
      <w:tr w:rsidR="00D54082" w:rsidRPr="00A51130" w14:paraId="71EDB1E2" w14:textId="77777777" w:rsidTr="00D05BB8">
        <w:trPr>
          <w:trHeight w:val="227"/>
        </w:trPr>
        <w:tc>
          <w:tcPr>
            <w:tcW w:w="0" w:type="auto"/>
            <w:tcBorders>
              <w:top w:val="nil"/>
              <w:left w:val="nil"/>
              <w:bottom w:val="nil"/>
              <w:right w:val="nil"/>
            </w:tcBorders>
          </w:tcPr>
          <w:p w14:paraId="5C8A3A07" w14:textId="77777777"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Multiparity (yes)</w:t>
            </w:r>
          </w:p>
        </w:tc>
        <w:tc>
          <w:tcPr>
            <w:tcW w:w="0" w:type="auto"/>
            <w:tcBorders>
              <w:top w:val="nil"/>
              <w:left w:val="nil"/>
              <w:bottom w:val="nil"/>
              <w:right w:val="nil"/>
            </w:tcBorders>
          </w:tcPr>
          <w:p w14:paraId="3DE10EA3" w14:textId="62B6959D"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n (%)</w:t>
            </w:r>
          </w:p>
        </w:tc>
        <w:tc>
          <w:tcPr>
            <w:tcW w:w="0" w:type="auto"/>
            <w:tcBorders>
              <w:top w:val="nil"/>
              <w:left w:val="nil"/>
              <w:bottom w:val="nil"/>
              <w:right w:val="nil"/>
            </w:tcBorders>
          </w:tcPr>
          <w:p w14:paraId="7DFB52DC" w14:textId="42749F40" w:rsidR="00D54082" w:rsidRPr="00A51130" w:rsidRDefault="00D54082" w:rsidP="00556B1C">
            <w:pPr>
              <w:spacing w:before="40" w:after="40"/>
              <w:jc w:val="center"/>
              <w:rPr>
                <w:rFonts w:ascii="Times New Roman" w:hAnsi="Times New Roman" w:cs="Times New Roman"/>
                <w:sz w:val="24"/>
                <w:szCs w:val="24"/>
              </w:rPr>
            </w:pPr>
            <w:r w:rsidRPr="00A51130">
              <w:rPr>
                <w:rFonts w:ascii="Times New Roman" w:hAnsi="Times New Roman" w:cs="Times New Roman"/>
                <w:sz w:val="24"/>
                <w:szCs w:val="24"/>
              </w:rPr>
              <w:t>36</w:t>
            </w:r>
            <w:r>
              <w:rPr>
                <w:rFonts w:ascii="Times New Roman" w:hAnsi="Times New Roman" w:cs="Times New Roman"/>
                <w:sz w:val="24"/>
                <w:szCs w:val="24"/>
              </w:rPr>
              <w:t>7</w:t>
            </w:r>
            <w:r w:rsidRPr="00A51130">
              <w:rPr>
                <w:rFonts w:ascii="Times New Roman" w:hAnsi="Times New Roman" w:cs="Times New Roman"/>
                <w:sz w:val="24"/>
                <w:szCs w:val="24"/>
              </w:rPr>
              <w:t xml:space="preserve"> (46.</w:t>
            </w:r>
            <w:r>
              <w:rPr>
                <w:rFonts w:ascii="Times New Roman" w:hAnsi="Times New Roman" w:cs="Times New Roman"/>
                <w:sz w:val="24"/>
                <w:szCs w:val="24"/>
              </w:rPr>
              <w:t>7</w:t>
            </w:r>
            <w:r w:rsidRPr="00A51130">
              <w:rPr>
                <w:rFonts w:ascii="Times New Roman" w:hAnsi="Times New Roman" w:cs="Times New Roman"/>
                <w:sz w:val="24"/>
                <w:szCs w:val="24"/>
              </w:rPr>
              <w:t>)</w:t>
            </w:r>
          </w:p>
        </w:tc>
        <w:tc>
          <w:tcPr>
            <w:tcW w:w="0" w:type="auto"/>
            <w:tcBorders>
              <w:top w:val="nil"/>
              <w:left w:val="nil"/>
              <w:bottom w:val="nil"/>
              <w:right w:val="nil"/>
            </w:tcBorders>
          </w:tcPr>
          <w:p w14:paraId="2DA6C559" w14:textId="77777777" w:rsidR="00D54082" w:rsidRPr="00A51130" w:rsidRDefault="00D54082" w:rsidP="00556B1C">
            <w:pPr>
              <w:spacing w:before="40" w:after="40"/>
              <w:jc w:val="center"/>
              <w:rPr>
                <w:rFonts w:ascii="Times New Roman" w:hAnsi="Times New Roman" w:cs="Times New Roman"/>
                <w:sz w:val="24"/>
                <w:szCs w:val="24"/>
              </w:rPr>
            </w:pPr>
          </w:p>
        </w:tc>
      </w:tr>
      <w:tr w:rsidR="00D54082" w:rsidRPr="00A51130" w14:paraId="3D5D2A0C" w14:textId="77777777" w:rsidTr="00D05BB8">
        <w:trPr>
          <w:trHeight w:val="227"/>
        </w:trPr>
        <w:tc>
          <w:tcPr>
            <w:tcW w:w="0" w:type="auto"/>
            <w:tcBorders>
              <w:top w:val="nil"/>
              <w:left w:val="nil"/>
              <w:bottom w:val="nil"/>
              <w:right w:val="nil"/>
            </w:tcBorders>
          </w:tcPr>
          <w:p w14:paraId="46CE210A" w14:textId="77AD553A"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Smoking in pregnancy (yes)</w:t>
            </w:r>
            <w:r w:rsidR="00DC3636" w:rsidRPr="00556B1C">
              <w:rPr>
                <w:rFonts w:ascii="Times New Roman" w:hAnsi="Times New Roman" w:cs="Times New Roman"/>
                <w:sz w:val="24"/>
                <w:szCs w:val="24"/>
                <w:vertAlign w:val="superscript"/>
              </w:rPr>
              <w:t>a</w:t>
            </w:r>
          </w:p>
        </w:tc>
        <w:tc>
          <w:tcPr>
            <w:tcW w:w="0" w:type="auto"/>
            <w:tcBorders>
              <w:top w:val="nil"/>
              <w:left w:val="nil"/>
              <w:bottom w:val="nil"/>
              <w:right w:val="nil"/>
            </w:tcBorders>
          </w:tcPr>
          <w:p w14:paraId="6CD652DF" w14:textId="11968B05"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n (%)</w:t>
            </w:r>
          </w:p>
        </w:tc>
        <w:tc>
          <w:tcPr>
            <w:tcW w:w="0" w:type="auto"/>
            <w:tcBorders>
              <w:top w:val="nil"/>
              <w:left w:val="nil"/>
              <w:bottom w:val="nil"/>
              <w:right w:val="nil"/>
            </w:tcBorders>
          </w:tcPr>
          <w:p w14:paraId="753637D5" w14:textId="58C1D1F8" w:rsidR="00D54082" w:rsidRPr="00A51130" w:rsidRDefault="00D54082" w:rsidP="00556B1C">
            <w:pPr>
              <w:spacing w:before="40" w:after="40"/>
              <w:jc w:val="center"/>
              <w:rPr>
                <w:rFonts w:ascii="Times New Roman" w:hAnsi="Times New Roman" w:cs="Times New Roman"/>
                <w:sz w:val="24"/>
                <w:szCs w:val="24"/>
              </w:rPr>
            </w:pPr>
            <w:r w:rsidRPr="00A51130">
              <w:rPr>
                <w:rFonts w:ascii="Times New Roman" w:hAnsi="Times New Roman" w:cs="Times New Roman"/>
                <w:sz w:val="24"/>
                <w:szCs w:val="24"/>
              </w:rPr>
              <w:t>70 (9.</w:t>
            </w:r>
            <w:r>
              <w:rPr>
                <w:rFonts w:ascii="Times New Roman" w:hAnsi="Times New Roman" w:cs="Times New Roman"/>
                <w:sz w:val="24"/>
                <w:szCs w:val="24"/>
              </w:rPr>
              <w:t>1</w:t>
            </w:r>
            <w:r w:rsidRPr="00A51130">
              <w:rPr>
                <w:rFonts w:ascii="Times New Roman" w:hAnsi="Times New Roman" w:cs="Times New Roman"/>
                <w:sz w:val="24"/>
                <w:szCs w:val="24"/>
              </w:rPr>
              <w:t>)</w:t>
            </w:r>
          </w:p>
        </w:tc>
        <w:tc>
          <w:tcPr>
            <w:tcW w:w="0" w:type="auto"/>
            <w:tcBorders>
              <w:top w:val="nil"/>
              <w:left w:val="nil"/>
              <w:bottom w:val="nil"/>
              <w:right w:val="nil"/>
            </w:tcBorders>
          </w:tcPr>
          <w:p w14:paraId="3C08EC47" w14:textId="6579CCCB" w:rsidR="00D54082" w:rsidRPr="00A51130" w:rsidRDefault="00D54082" w:rsidP="00556B1C">
            <w:pPr>
              <w:spacing w:before="40" w:after="40"/>
              <w:jc w:val="center"/>
              <w:rPr>
                <w:rFonts w:ascii="Times New Roman" w:hAnsi="Times New Roman" w:cs="Times New Roman"/>
                <w:sz w:val="24"/>
                <w:szCs w:val="24"/>
              </w:rPr>
            </w:pPr>
            <w:r>
              <w:rPr>
                <w:rFonts w:ascii="Times New Roman" w:hAnsi="Times New Roman" w:cs="Times New Roman"/>
                <w:sz w:val="24"/>
                <w:szCs w:val="24"/>
              </w:rPr>
              <w:t>1.7</w:t>
            </w:r>
          </w:p>
        </w:tc>
      </w:tr>
      <w:tr w:rsidR="00D54082" w:rsidRPr="00A51130" w14:paraId="1E02EB72" w14:textId="77777777" w:rsidTr="00D05BB8">
        <w:trPr>
          <w:trHeight w:val="227"/>
        </w:trPr>
        <w:tc>
          <w:tcPr>
            <w:tcW w:w="0" w:type="auto"/>
            <w:tcBorders>
              <w:top w:val="nil"/>
              <w:left w:val="nil"/>
              <w:bottom w:val="nil"/>
              <w:right w:val="nil"/>
            </w:tcBorders>
          </w:tcPr>
          <w:p w14:paraId="3A22E86D" w14:textId="00180738"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Alcohol in 1</w:t>
            </w:r>
            <w:r w:rsidRPr="00A51130">
              <w:rPr>
                <w:rFonts w:ascii="Times New Roman" w:hAnsi="Times New Roman" w:cs="Times New Roman"/>
                <w:sz w:val="24"/>
                <w:szCs w:val="24"/>
                <w:vertAlign w:val="superscript"/>
              </w:rPr>
              <w:t>st</w:t>
            </w:r>
            <w:r w:rsidRPr="00A51130">
              <w:rPr>
                <w:rFonts w:ascii="Times New Roman" w:hAnsi="Times New Roman" w:cs="Times New Roman"/>
                <w:sz w:val="24"/>
                <w:szCs w:val="24"/>
              </w:rPr>
              <w:t xml:space="preserve"> trimester (units per week)</w:t>
            </w:r>
            <w:r w:rsidR="00DC3636">
              <w:rPr>
                <w:rFonts w:ascii="Times New Roman" w:hAnsi="Times New Roman" w:cs="Times New Roman"/>
                <w:sz w:val="24"/>
                <w:szCs w:val="24"/>
                <w:vertAlign w:val="superscript"/>
              </w:rPr>
              <w:t>a</w:t>
            </w:r>
          </w:p>
        </w:tc>
        <w:tc>
          <w:tcPr>
            <w:tcW w:w="0" w:type="auto"/>
            <w:tcBorders>
              <w:top w:val="nil"/>
              <w:left w:val="nil"/>
              <w:bottom w:val="nil"/>
              <w:right w:val="nil"/>
            </w:tcBorders>
          </w:tcPr>
          <w:p w14:paraId="683B5DCF" w14:textId="575FF045"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Median (IQR)</w:t>
            </w:r>
          </w:p>
        </w:tc>
        <w:tc>
          <w:tcPr>
            <w:tcW w:w="0" w:type="auto"/>
            <w:tcBorders>
              <w:top w:val="nil"/>
              <w:left w:val="nil"/>
              <w:bottom w:val="nil"/>
              <w:right w:val="nil"/>
            </w:tcBorders>
          </w:tcPr>
          <w:p w14:paraId="488AC197" w14:textId="3F4CC96D" w:rsidR="00D54082" w:rsidRPr="00A51130" w:rsidRDefault="00D54082" w:rsidP="00556B1C">
            <w:pPr>
              <w:spacing w:before="40" w:after="40"/>
              <w:jc w:val="center"/>
              <w:rPr>
                <w:rFonts w:ascii="Times New Roman" w:hAnsi="Times New Roman" w:cs="Times New Roman"/>
                <w:sz w:val="24"/>
                <w:szCs w:val="24"/>
              </w:rPr>
            </w:pPr>
            <w:r w:rsidRPr="00A51130">
              <w:rPr>
                <w:rFonts w:ascii="Times New Roman" w:hAnsi="Times New Roman" w:cs="Times New Roman"/>
                <w:sz w:val="24"/>
                <w:szCs w:val="24"/>
              </w:rPr>
              <w:t>0.3 (0, 1.5)</w:t>
            </w:r>
          </w:p>
        </w:tc>
        <w:tc>
          <w:tcPr>
            <w:tcW w:w="0" w:type="auto"/>
            <w:tcBorders>
              <w:top w:val="nil"/>
              <w:left w:val="nil"/>
              <w:bottom w:val="nil"/>
              <w:right w:val="nil"/>
            </w:tcBorders>
          </w:tcPr>
          <w:p w14:paraId="0E318D35" w14:textId="7A46545B" w:rsidR="00D54082" w:rsidRPr="00A51130" w:rsidRDefault="00D54082" w:rsidP="00556B1C">
            <w:pPr>
              <w:spacing w:before="40" w:after="40"/>
              <w:jc w:val="center"/>
              <w:rPr>
                <w:rFonts w:ascii="Times New Roman" w:hAnsi="Times New Roman" w:cs="Times New Roman"/>
                <w:sz w:val="24"/>
                <w:szCs w:val="24"/>
              </w:rPr>
            </w:pPr>
            <w:r>
              <w:rPr>
                <w:rFonts w:ascii="Times New Roman" w:hAnsi="Times New Roman" w:cs="Times New Roman"/>
                <w:sz w:val="24"/>
                <w:szCs w:val="24"/>
              </w:rPr>
              <w:t>21.5</w:t>
            </w:r>
          </w:p>
        </w:tc>
      </w:tr>
      <w:tr w:rsidR="00D54082" w:rsidRPr="00A51130" w14:paraId="320F42E0" w14:textId="77777777" w:rsidTr="00D05BB8">
        <w:trPr>
          <w:trHeight w:val="227"/>
        </w:trPr>
        <w:tc>
          <w:tcPr>
            <w:tcW w:w="0" w:type="auto"/>
            <w:tcBorders>
              <w:top w:val="nil"/>
              <w:left w:val="nil"/>
              <w:bottom w:val="nil"/>
              <w:right w:val="nil"/>
            </w:tcBorders>
          </w:tcPr>
          <w:p w14:paraId="710F28F0" w14:textId="5E47F779" w:rsidR="00D54082" w:rsidRPr="00A51130" w:rsidRDefault="00D54082" w:rsidP="00556B1C">
            <w:pPr>
              <w:spacing w:before="40" w:after="40"/>
              <w:rPr>
                <w:rFonts w:ascii="Times New Roman" w:hAnsi="Times New Roman" w:cs="Times New Roman"/>
                <w:sz w:val="24"/>
                <w:szCs w:val="24"/>
              </w:rPr>
            </w:pPr>
            <w:bookmarkStart w:id="3" w:name="_Hlk26522581"/>
            <w:r w:rsidRPr="00A51130">
              <w:rPr>
                <w:rFonts w:ascii="Times New Roman" w:hAnsi="Times New Roman" w:cs="Times New Roman"/>
                <w:sz w:val="24"/>
                <w:szCs w:val="24"/>
              </w:rPr>
              <w:t>Education</w:t>
            </w:r>
            <w:r w:rsidR="00DC3636">
              <w:rPr>
                <w:rFonts w:ascii="Times New Roman" w:hAnsi="Times New Roman" w:cs="Times New Roman"/>
                <w:sz w:val="24"/>
                <w:szCs w:val="24"/>
              </w:rPr>
              <w:t>al level</w:t>
            </w:r>
            <w:r w:rsidRPr="00A51130">
              <w:rPr>
                <w:rFonts w:ascii="Times New Roman" w:hAnsi="Times New Roman" w:cs="Times New Roman"/>
                <w:sz w:val="24"/>
                <w:szCs w:val="24"/>
              </w:rPr>
              <w:t xml:space="preserve"> (</w:t>
            </w:r>
            <w:r>
              <w:rPr>
                <w:rFonts w:ascii="Times New Roman" w:hAnsi="Times New Roman" w:cs="Times New Roman"/>
                <w:sz w:val="24"/>
                <w:szCs w:val="24"/>
              </w:rPr>
              <w:t>≥</w:t>
            </w:r>
            <w:r w:rsidR="00DC3636">
              <w:rPr>
                <w:rFonts w:ascii="Times New Roman" w:hAnsi="Times New Roman" w:cs="Times New Roman"/>
                <w:sz w:val="24"/>
                <w:szCs w:val="24"/>
              </w:rPr>
              <w:t>u</w:t>
            </w:r>
            <w:r>
              <w:rPr>
                <w:rFonts w:ascii="Times New Roman" w:hAnsi="Times New Roman" w:cs="Times New Roman"/>
                <w:sz w:val="24"/>
                <w:szCs w:val="24"/>
              </w:rPr>
              <w:t>niversity d</w:t>
            </w:r>
            <w:r w:rsidRPr="00A51130">
              <w:rPr>
                <w:rFonts w:ascii="Times New Roman" w:hAnsi="Times New Roman" w:cs="Times New Roman"/>
                <w:sz w:val="24"/>
                <w:szCs w:val="24"/>
              </w:rPr>
              <w:t>egree)</w:t>
            </w:r>
            <w:bookmarkEnd w:id="3"/>
            <w:r w:rsidR="00DC3636">
              <w:rPr>
                <w:rFonts w:ascii="Times New Roman" w:hAnsi="Times New Roman" w:cs="Times New Roman"/>
                <w:sz w:val="24"/>
                <w:szCs w:val="24"/>
                <w:vertAlign w:val="superscript"/>
              </w:rPr>
              <w:t>a</w:t>
            </w:r>
          </w:p>
        </w:tc>
        <w:tc>
          <w:tcPr>
            <w:tcW w:w="0" w:type="auto"/>
            <w:tcBorders>
              <w:top w:val="nil"/>
              <w:left w:val="nil"/>
              <w:bottom w:val="nil"/>
              <w:right w:val="nil"/>
            </w:tcBorders>
          </w:tcPr>
          <w:p w14:paraId="6DA265B0" w14:textId="16915C6A"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n (%)</w:t>
            </w:r>
          </w:p>
        </w:tc>
        <w:tc>
          <w:tcPr>
            <w:tcW w:w="0" w:type="auto"/>
            <w:tcBorders>
              <w:top w:val="nil"/>
              <w:left w:val="nil"/>
              <w:bottom w:val="nil"/>
              <w:right w:val="nil"/>
            </w:tcBorders>
          </w:tcPr>
          <w:p w14:paraId="0A23FD5D" w14:textId="614D4F47" w:rsidR="00D54082" w:rsidRPr="00A51130" w:rsidRDefault="00D54082" w:rsidP="00556B1C">
            <w:pPr>
              <w:spacing w:before="40" w:after="40"/>
              <w:jc w:val="center"/>
              <w:rPr>
                <w:rFonts w:ascii="Times New Roman" w:hAnsi="Times New Roman" w:cs="Times New Roman"/>
                <w:sz w:val="24"/>
                <w:szCs w:val="24"/>
              </w:rPr>
            </w:pPr>
            <w:r w:rsidRPr="00A51130">
              <w:rPr>
                <w:rFonts w:ascii="Times New Roman" w:hAnsi="Times New Roman" w:cs="Times New Roman"/>
                <w:sz w:val="24"/>
                <w:szCs w:val="24"/>
              </w:rPr>
              <w:t>21</w:t>
            </w:r>
            <w:r>
              <w:rPr>
                <w:rFonts w:ascii="Times New Roman" w:hAnsi="Times New Roman" w:cs="Times New Roman"/>
                <w:sz w:val="24"/>
                <w:szCs w:val="24"/>
              </w:rPr>
              <w:t>0</w:t>
            </w:r>
            <w:r w:rsidRPr="00A51130">
              <w:rPr>
                <w:rFonts w:ascii="Times New Roman" w:hAnsi="Times New Roman" w:cs="Times New Roman"/>
                <w:sz w:val="24"/>
                <w:szCs w:val="24"/>
              </w:rPr>
              <w:t xml:space="preserve"> (26.8)</w:t>
            </w:r>
          </w:p>
        </w:tc>
        <w:tc>
          <w:tcPr>
            <w:tcW w:w="0" w:type="auto"/>
            <w:tcBorders>
              <w:top w:val="nil"/>
              <w:left w:val="nil"/>
              <w:bottom w:val="nil"/>
              <w:right w:val="nil"/>
            </w:tcBorders>
          </w:tcPr>
          <w:p w14:paraId="21BB85F8" w14:textId="27FF97E8" w:rsidR="00D54082" w:rsidRPr="00A51130" w:rsidRDefault="00D54082" w:rsidP="00556B1C">
            <w:pPr>
              <w:spacing w:before="40" w:after="40"/>
              <w:jc w:val="center"/>
              <w:rPr>
                <w:rFonts w:ascii="Times New Roman" w:hAnsi="Times New Roman" w:cs="Times New Roman"/>
                <w:sz w:val="24"/>
                <w:szCs w:val="24"/>
              </w:rPr>
            </w:pPr>
            <w:r>
              <w:rPr>
                <w:rFonts w:ascii="Times New Roman" w:hAnsi="Times New Roman" w:cs="Times New Roman"/>
                <w:sz w:val="24"/>
                <w:szCs w:val="24"/>
              </w:rPr>
              <w:t>0.3</w:t>
            </w:r>
          </w:p>
        </w:tc>
      </w:tr>
      <w:tr w:rsidR="00D54082" w:rsidRPr="00A51130" w14:paraId="08A236CE" w14:textId="77777777" w:rsidTr="00D05BB8">
        <w:trPr>
          <w:trHeight w:val="227"/>
        </w:trPr>
        <w:tc>
          <w:tcPr>
            <w:tcW w:w="0" w:type="auto"/>
            <w:tcBorders>
              <w:top w:val="nil"/>
              <w:left w:val="nil"/>
              <w:bottom w:val="single" w:sz="4" w:space="0" w:color="auto"/>
              <w:right w:val="nil"/>
            </w:tcBorders>
          </w:tcPr>
          <w:p w14:paraId="0E8565AB" w14:textId="2AA8BCF3"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Household Social class</w:t>
            </w:r>
            <w:r w:rsidRPr="00A51130">
              <w:rPr>
                <w:rFonts w:ascii="Times New Roman" w:hAnsi="Times New Roman" w:cs="Times New Roman"/>
                <w:sz w:val="24"/>
                <w:szCs w:val="24"/>
                <w:vertAlign w:val="superscript"/>
              </w:rPr>
              <w:t>a</w:t>
            </w:r>
            <w:r w:rsidR="00DC3636">
              <w:rPr>
                <w:rFonts w:ascii="Times New Roman" w:hAnsi="Times New Roman" w:cs="Times New Roman"/>
                <w:sz w:val="24"/>
                <w:szCs w:val="24"/>
                <w:vertAlign w:val="superscript"/>
              </w:rPr>
              <w:t>b</w:t>
            </w:r>
          </w:p>
          <w:p w14:paraId="2E99FFE1" w14:textId="77777777"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 xml:space="preserve">(Professional or Management)  </w:t>
            </w:r>
          </w:p>
        </w:tc>
        <w:tc>
          <w:tcPr>
            <w:tcW w:w="0" w:type="auto"/>
            <w:tcBorders>
              <w:top w:val="nil"/>
              <w:left w:val="nil"/>
              <w:bottom w:val="single" w:sz="4" w:space="0" w:color="auto"/>
              <w:right w:val="nil"/>
            </w:tcBorders>
          </w:tcPr>
          <w:p w14:paraId="6192FDB6" w14:textId="77777777" w:rsidR="00D54082" w:rsidRPr="00A51130" w:rsidRDefault="00D54082" w:rsidP="00556B1C">
            <w:pPr>
              <w:spacing w:before="40" w:after="40"/>
              <w:rPr>
                <w:rFonts w:ascii="Times New Roman" w:hAnsi="Times New Roman" w:cs="Times New Roman"/>
                <w:sz w:val="24"/>
                <w:szCs w:val="24"/>
              </w:rPr>
            </w:pPr>
          </w:p>
          <w:p w14:paraId="69FA0EE4" w14:textId="5F1C1997" w:rsidR="00D54082" w:rsidRPr="00A51130" w:rsidRDefault="00D54082" w:rsidP="00556B1C">
            <w:pPr>
              <w:spacing w:before="40" w:after="40"/>
              <w:rPr>
                <w:rFonts w:ascii="Times New Roman" w:hAnsi="Times New Roman" w:cs="Times New Roman"/>
                <w:sz w:val="24"/>
                <w:szCs w:val="24"/>
              </w:rPr>
            </w:pPr>
            <w:r w:rsidRPr="00A51130">
              <w:rPr>
                <w:rFonts w:ascii="Times New Roman" w:hAnsi="Times New Roman" w:cs="Times New Roman"/>
                <w:sz w:val="24"/>
                <w:szCs w:val="24"/>
              </w:rPr>
              <w:t>n (%)</w:t>
            </w:r>
          </w:p>
        </w:tc>
        <w:tc>
          <w:tcPr>
            <w:tcW w:w="0" w:type="auto"/>
            <w:tcBorders>
              <w:top w:val="nil"/>
              <w:left w:val="nil"/>
              <w:bottom w:val="single" w:sz="4" w:space="0" w:color="auto"/>
              <w:right w:val="nil"/>
            </w:tcBorders>
          </w:tcPr>
          <w:p w14:paraId="2332ABF1" w14:textId="77777777" w:rsidR="00D54082" w:rsidRPr="00A51130" w:rsidRDefault="00D54082" w:rsidP="00556B1C">
            <w:pPr>
              <w:spacing w:before="40" w:after="40"/>
              <w:jc w:val="center"/>
              <w:rPr>
                <w:rFonts w:ascii="Times New Roman" w:hAnsi="Times New Roman" w:cs="Times New Roman"/>
                <w:sz w:val="24"/>
                <w:szCs w:val="24"/>
              </w:rPr>
            </w:pPr>
          </w:p>
          <w:p w14:paraId="39F69E5D" w14:textId="422F977C" w:rsidR="00D54082" w:rsidRPr="00A51130" w:rsidRDefault="00D54082" w:rsidP="00556B1C">
            <w:pPr>
              <w:spacing w:before="40" w:after="40"/>
              <w:jc w:val="center"/>
              <w:rPr>
                <w:rFonts w:ascii="Times New Roman" w:hAnsi="Times New Roman" w:cs="Times New Roman"/>
                <w:sz w:val="24"/>
                <w:szCs w:val="24"/>
              </w:rPr>
            </w:pPr>
            <w:r>
              <w:rPr>
                <w:rFonts w:ascii="Times New Roman" w:hAnsi="Times New Roman" w:cs="Times New Roman"/>
                <w:sz w:val="24"/>
                <w:szCs w:val="24"/>
              </w:rPr>
              <w:t>513</w:t>
            </w:r>
            <w:r w:rsidRPr="00A51130">
              <w:rPr>
                <w:rFonts w:ascii="Times New Roman" w:hAnsi="Times New Roman" w:cs="Times New Roman"/>
                <w:sz w:val="24"/>
                <w:szCs w:val="24"/>
              </w:rPr>
              <w:t xml:space="preserve"> (</w:t>
            </w:r>
            <w:r>
              <w:rPr>
                <w:rFonts w:ascii="Times New Roman" w:hAnsi="Times New Roman" w:cs="Times New Roman"/>
                <w:sz w:val="24"/>
                <w:szCs w:val="24"/>
              </w:rPr>
              <w:t>65.3</w:t>
            </w:r>
            <w:r w:rsidRPr="00A51130">
              <w:rPr>
                <w:rFonts w:ascii="Times New Roman" w:hAnsi="Times New Roman" w:cs="Times New Roman"/>
                <w:sz w:val="24"/>
                <w:szCs w:val="24"/>
              </w:rPr>
              <w:t>)</w:t>
            </w:r>
          </w:p>
        </w:tc>
        <w:tc>
          <w:tcPr>
            <w:tcW w:w="0" w:type="auto"/>
            <w:tcBorders>
              <w:top w:val="nil"/>
              <w:left w:val="nil"/>
              <w:bottom w:val="single" w:sz="4" w:space="0" w:color="auto"/>
              <w:right w:val="nil"/>
            </w:tcBorders>
          </w:tcPr>
          <w:p w14:paraId="61FB8174" w14:textId="74134893" w:rsidR="00D54082" w:rsidRPr="00A51130" w:rsidRDefault="00D54082" w:rsidP="00556B1C">
            <w:pPr>
              <w:spacing w:before="40" w:after="40"/>
              <w:jc w:val="center"/>
              <w:rPr>
                <w:rFonts w:ascii="Times New Roman" w:hAnsi="Times New Roman" w:cs="Times New Roman"/>
                <w:sz w:val="24"/>
                <w:szCs w:val="24"/>
              </w:rPr>
            </w:pPr>
            <w:r>
              <w:rPr>
                <w:rFonts w:ascii="Times New Roman" w:hAnsi="Times New Roman" w:cs="Times New Roman"/>
                <w:sz w:val="24"/>
                <w:szCs w:val="24"/>
              </w:rPr>
              <w:t>1.7</w:t>
            </w:r>
          </w:p>
        </w:tc>
      </w:tr>
    </w:tbl>
    <w:p w14:paraId="121D8AF3" w14:textId="77777777" w:rsidR="00556B1C" w:rsidRDefault="00556B1C" w:rsidP="00556B1C">
      <w:pPr>
        <w:spacing w:after="0" w:line="276" w:lineRule="auto"/>
        <w:rPr>
          <w:rFonts w:ascii="Times New Roman" w:hAnsi="Times New Roman" w:cs="Times New Roman"/>
          <w:sz w:val="24"/>
          <w:szCs w:val="24"/>
        </w:rPr>
      </w:pPr>
      <w:r w:rsidRPr="00556B1C">
        <w:rPr>
          <w:rFonts w:ascii="Times New Roman" w:hAnsi="Times New Roman" w:cs="Times New Roman"/>
          <w:sz w:val="24"/>
          <w:szCs w:val="24"/>
          <w:vertAlign w:val="superscript"/>
        </w:rPr>
        <w:t>a</w:t>
      </w:r>
      <w:r>
        <w:rPr>
          <w:rFonts w:ascii="Times New Roman" w:hAnsi="Times New Roman" w:cs="Times New Roman"/>
          <w:sz w:val="24"/>
          <w:szCs w:val="24"/>
        </w:rPr>
        <w:t>Based on self-report</w:t>
      </w:r>
    </w:p>
    <w:p w14:paraId="41F49ABE" w14:textId="5D47448C" w:rsidR="00556B1C" w:rsidRDefault="00556B1C" w:rsidP="00556B1C">
      <w:pPr>
        <w:spacing w:after="0" w:line="276" w:lineRule="auto"/>
        <w:rPr>
          <w:rFonts w:ascii="Times New Roman" w:hAnsi="Times New Roman" w:cs="Times New Roman"/>
          <w:sz w:val="24"/>
          <w:szCs w:val="24"/>
        </w:rPr>
      </w:pPr>
      <w:r>
        <w:rPr>
          <w:rFonts w:ascii="Times New Roman" w:hAnsi="Times New Roman" w:cs="Times New Roman"/>
          <w:sz w:val="24"/>
          <w:szCs w:val="24"/>
          <w:vertAlign w:val="superscript"/>
        </w:rPr>
        <w:t>b</w:t>
      </w:r>
      <w:r w:rsidRPr="00A51130">
        <w:rPr>
          <w:rFonts w:ascii="Times New Roman" w:hAnsi="Times New Roman" w:cs="Times New Roman"/>
          <w:sz w:val="24"/>
          <w:szCs w:val="24"/>
        </w:rPr>
        <w:t>According to Registrar General 1990 classification</w:t>
      </w:r>
    </w:p>
    <w:p w14:paraId="6FBD9C3D" w14:textId="42DBB8F2" w:rsidR="004A1D7D" w:rsidRPr="00A51130" w:rsidRDefault="004A1D7D" w:rsidP="00A51130">
      <w:pPr>
        <w:spacing w:line="480" w:lineRule="auto"/>
        <w:rPr>
          <w:rFonts w:ascii="Times New Roman" w:hAnsi="Times New Roman" w:cs="Times New Roman"/>
          <w:sz w:val="24"/>
          <w:szCs w:val="24"/>
        </w:rPr>
        <w:sectPr w:rsidR="004A1D7D" w:rsidRPr="00A51130">
          <w:pgSz w:w="11906" w:h="16838"/>
          <w:pgMar w:top="1440" w:right="1440" w:bottom="1440" w:left="1440" w:header="708" w:footer="708" w:gutter="0"/>
          <w:cols w:space="708"/>
          <w:docGrid w:linePitch="360"/>
        </w:sectPr>
      </w:pPr>
    </w:p>
    <w:p w14:paraId="5CED2557" w14:textId="05A4BF09" w:rsidR="009D4BA3" w:rsidRPr="00A51130" w:rsidRDefault="009D4BA3" w:rsidP="00A51130">
      <w:pPr>
        <w:spacing w:line="480" w:lineRule="auto"/>
        <w:rPr>
          <w:rFonts w:ascii="Times New Roman" w:hAnsi="Times New Roman" w:cs="Times New Roman"/>
          <w:sz w:val="24"/>
          <w:szCs w:val="24"/>
        </w:rPr>
      </w:pPr>
      <w:r w:rsidRPr="00A51130">
        <w:rPr>
          <w:rFonts w:ascii="Times New Roman" w:hAnsi="Times New Roman" w:cs="Times New Roman"/>
          <w:sz w:val="24"/>
          <w:szCs w:val="24"/>
        </w:rPr>
        <w:t>Table 2. Relationship of infant weight gain between ages 0-2 years with adiposity and blood pressure outcomes at age 6</w:t>
      </w:r>
      <w:r w:rsidR="00C7014D" w:rsidRPr="00A51130">
        <w:rPr>
          <w:rFonts w:ascii="Times New Roman" w:hAnsi="Times New Roman" w:cs="Times New Roman"/>
          <w:sz w:val="24"/>
          <w:szCs w:val="24"/>
        </w:rPr>
        <w:t>-7</w:t>
      </w:r>
      <w:r w:rsidRPr="00A51130">
        <w:rPr>
          <w:rFonts w:ascii="Times New Roman" w:hAnsi="Times New Roman" w:cs="Times New Roman"/>
          <w:sz w:val="24"/>
          <w:szCs w:val="24"/>
        </w:rPr>
        <w:t xml:space="preserve"> years</w:t>
      </w:r>
    </w:p>
    <w:p w14:paraId="14781B72" w14:textId="77777777" w:rsidR="00182041" w:rsidRDefault="00182041" w:rsidP="00304C73">
      <w:pPr>
        <w:spacing w:line="276" w:lineRule="auto"/>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636"/>
        <w:gridCol w:w="1176"/>
        <w:gridCol w:w="636"/>
        <w:gridCol w:w="1176"/>
        <w:gridCol w:w="636"/>
        <w:gridCol w:w="1176"/>
        <w:gridCol w:w="668"/>
        <w:gridCol w:w="1235"/>
        <w:gridCol w:w="660"/>
        <w:gridCol w:w="1303"/>
      </w:tblGrid>
      <w:tr w:rsidR="00182041" w:rsidRPr="00A51130" w14:paraId="7F9F3ED2" w14:textId="77777777" w:rsidTr="0062700C">
        <w:trPr>
          <w:trHeight w:val="57"/>
        </w:trPr>
        <w:tc>
          <w:tcPr>
            <w:tcW w:w="0" w:type="auto"/>
            <w:tcBorders>
              <w:top w:val="single" w:sz="4" w:space="0" w:color="auto"/>
              <w:bottom w:val="single" w:sz="4" w:space="0" w:color="auto"/>
            </w:tcBorders>
          </w:tcPr>
          <w:p w14:paraId="5EC1AEE4" w14:textId="77777777" w:rsidR="00182041" w:rsidRPr="00A51130" w:rsidRDefault="00182041" w:rsidP="0062700C">
            <w:pPr>
              <w:spacing w:before="40" w:after="40" w:line="276" w:lineRule="auto"/>
              <w:rPr>
                <w:rFonts w:ascii="Times New Roman" w:hAnsi="Times New Roman" w:cs="Times New Roman"/>
                <w:sz w:val="24"/>
                <w:szCs w:val="24"/>
              </w:rPr>
            </w:pPr>
          </w:p>
        </w:tc>
        <w:tc>
          <w:tcPr>
            <w:tcW w:w="0" w:type="auto"/>
            <w:gridSpan w:val="2"/>
            <w:tcBorders>
              <w:top w:val="single" w:sz="4" w:space="0" w:color="auto"/>
              <w:bottom w:val="single" w:sz="4" w:space="0" w:color="auto"/>
            </w:tcBorders>
            <w:vAlign w:val="center"/>
          </w:tcPr>
          <w:p w14:paraId="475F4FCC" w14:textId="77777777" w:rsidR="00182041" w:rsidRPr="00A51130" w:rsidRDefault="00182041" w:rsidP="0062700C">
            <w:pPr>
              <w:spacing w:before="40" w:after="40" w:line="276" w:lineRule="auto"/>
              <w:jc w:val="center"/>
              <w:rPr>
                <w:rFonts w:ascii="Times New Roman" w:hAnsi="Times New Roman" w:cs="Times New Roman"/>
                <w:sz w:val="24"/>
                <w:szCs w:val="24"/>
              </w:rPr>
            </w:pPr>
            <w:r w:rsidRPr="00A51130">
              <w:rPr>
                <w:rFonts w:ascii="Times New Roman" w:hAnsi="Times New Roman" w:cs="Times New Roman"/>
                <w:sz w:val="24"/>
                <w:szCs w:val="24"/>
              </w:rPr>
              <w:t>BMI z-score</w:t>
            </w:r>
          </w:p>
        </w:tc>
        <w:tc>
          <w:tcPr>
            <w:tcW w:w="0" w:type="auto"/>
            <w:gridSpan w:val="2"/>
            <w:tcBorders>
              <w:top w:val="single" w:sz="4" w:space="0" w:color="auto"/>
              <w:bottom w:val="single" w:sz="4" w:space="0" w:color="auto"/>
            </w:tcBorders>
            <w:vAlign w:val="center"/>
          </w:tcPr>
          <w:p w14:paraId="2E851F53" w14:textId="77777777" w:rsidR="00182041" w:rsidRPr="00A51130" w:rsidRDefault="00182041" w:rsidP="0062700C">
            <w:pPr>
              <w:spacing w:before="40" w:after="40" w:line="276" w:lineRule="auto"/>
              <w:jc w:val="center"/>
              <w:rPr>
                <w:rFonts w:ascii="Times New Roman" w:hAnsi="Times New Roman" w:cs="Times New Roman"/>
                <w:sz w:val="24"/>
                <w:szCs w:val="24"/>
              </w:rPr>
            </w:pPr>
            <w:r w:rsidRPr="00A51130">
              <w:rPr>
                <w:rFonts w:ascii="Times New Roman" w:hAnsi="Times New Roman" w:cs="Times New Roman"/>
                <w:sz w:val="24"/>
                <w:szCs w:val="24"/>
              </w:rPr>
              <w:t>Percent body fat</w:t>
            </w:r>
          </w:p>
        </w:tc>
        <w:tc>
          <w:tcPr>
            <w:tcW w:w="0" w:type="auto"/>
            <w:gridSpan w:val="2"/>
            <w:tcBorders>
              <w:top w:val="single" w:sz="4" w:space="0" w:color="auto"/>
              <w:bottom w:val="single" w:sz="4" w:space="0" w:color="auto"/>
            </w:tcBorders>
            <w:vAlign w:val="center"/>
          </w:tcPr>
          <w:p w14:paraId="440F814D" w14:textId="77777777" w:rsidR="00182041" w:rsidRPr="00A51130" w:rsidRDefault="00182041" w:rsidP="0062700C">
            <w:pPr>
              <w:spacing w:before="40" w:after="40" w:line="276" w:lineRule="auto"/>
              <w:jc w:val="center"/>
              <w:rPr>
                <w:rFonts w:ascii="Times New Roman" w:hAnsi="Times New Roman" w:cs="Times New Roman"/>
                <w:sz w:val="24"/>
                <w:szCs w:val="24"/>
              </w:rPr>
            </w:pPr>
            <w:r w:rsidRPr="00A51130">
              <w:rPr>
                <w:rFonts w:ascii="Times New Roman" w:hAnsi="Times New Roman" w:cs="Times New Roman"/>
                <w:sz w:val="24"/>
                <w:szCs w:val="24"/>
              </w:rPr>
              <w:t>Trunk fat (kg)</w:t>
            </w:r>
          </w:p>
        </w:tc>
        <w:tc>
          <w:tcPr>
            <w:tcW w:w="0" w:type="auto"/>
            <w:gridSpan w:val="2"/>
            <w:tcBorders>
              <w:top w:val="single" w:sz="4" w:space="0" w:color="auto"/>
              <w:bottom w:val="single" w:sz="4" w:space="0" w:color="auto"/>
            </w:tcBorders>
            <w:vAlign w:val="center"/>
          </w:tcPr>
          <w:p w14:paraId="21E0521F" w14:textId="77777777" w:rsidR="00182041" w:rsidRPr="00A51130" w:rsidRDefault="00182041" w:rsidP="0062700C">
            <w:pPr>
              <w:spacing w:before="40" w:after="40" w:line="276" w:lineRule="auto"/>
              <w:jc w:val="center"/>
              <w:rPr>
                <w:rFonts w:ascii="Times New Roman" w:hAnsi="Times New Roman" w:cs="Times New Roman"/>
                <w:sz w:val="24"/>
                <w:szCs w:val="24"/>
              </w:rPr>
            </w:pPr>
            <w:r w:rsidRPr="00A51130">
              <w:rPr>
                <w:rFonts w:ascii="Times New Roman" w:hAnsi="Times New Roman" w:cs="Times New Roman"/>
                <w:sz w:val="24"/>
                <w:szCs w:val="24"/>
              </w:rPr>
              <w:t xml:space="preserve">Systolic blood </w:t>
            </w:r>
          </w:p>
          <w:p w14:paraId="35BB3F5C" w14:textId="77777777" w:rsidR="00182041" w:rsidRPr="00A51130" w:rsidRDefault="00182041" w:rsidP="0062700C">
            <w:pPr>
              <w:spacing w:before="40" w:after="40" w:line="276" w:lineRule="auto"/>
              <w:jc w:val="center"/>
              <w:rPr>
                <w:rFonts w:ascii="Times New Roman" w:hAnsi="Times New Roman" w:cs="Times New Roman"/>
                <w:sz w:val="24"/>
                <w:szCs w:val="24"/>
              </w:rPr>
            </w:pPr>
            <w:r w:rsidRPr="00A51130">
              <w:rPr>
                <w:rFonts w:ascii="Times New Roman" w:hAnsi="Times New Roman" w:cs="Times New Roman"/>
                <w:sz w:val="24"/>
                <w:szCs w:val="24"/>
              </w:rPr>
              <w:t>pressure (mmHg)</w:t>
            </w:r>
          </w:p>
        </w:tc>
        <w:tc>
          <w:tcPr>
            <w:tcW w:w="0" w:type="auto"/>
            <w:gridSpan w:val="2"/>
            <w:tcBorders>
              <w:top w:val="single" w:sz="4" w:space="0" w:color="auto"/>
              <w:bottom w:val="single" w:sz="4" w:space="0" w:color="auto"/>
            </w:tcBorders>
            <w:vAlign w:val="center"/>
          </w:tcPr>
          <w:p w14:paraId="6B7A8CED" w14:textId="77777777" w:rsidR="00182041" w:rsidRPr="00A51130" w:rsidRDefault="00182041" w:rsidP="0062700C">
            <w:pPr>
              <w:spacing w:before="40" w:after="40" w:line="276" w:lineRule="auto"/>
              <w:jc w:val="center"/>
              <w:rPr>
                <w:rFonts w:ascii="Times New Roman" w:hAnsi="Times New Roman" w:cs="Times New Roman"/>
                <w:sz w:val="24"/>
                <w:szCs w:val="24"/>
              </w:rPr>
            </w:pPr>
            <w:r w:rsidRPr="00A51130">
              <w:rPr>
                <w:rFonts w:ascii="Times New Roman" w:hAnsi="Times New Roman" w:cs="Times New Roman"/>
                <w:sz w:val="24"/>
                <w:szCs w:val="24"/>
              </w:rPr>
              <w:t>Diastolic blood</w:t>
            </w:r>
          </w:p>
          <w:p w14:paraId="577D5E80" w14:textId="77777777" w:rsidR="00182041" w:rsidRPr="00A51130" w:rsidRDefault="00182041" w:rsidP="0062700C">
            <w:pPr>
              <w:spacing w:before="40" w:after="40" w:line="276" w:lineRule="auto"/>
              <w:jc w:val="center"/>
              <w:rPr>
                <w:rFonts w:ascii="Times New Roman" w:hAnsi="Times New Roman" w:cs="Times New Roman"/>
                <w:sz w:val="24"/>
                <w:szCs w:val="24"/>
              </w:rPr>
            </w:pPr>
            <w:r w:rsidRPr="00A51130">
              <w:rPr>
                <w:rFonts w:ascii="Times New Roman" w:hAnsi="Times New Roman" w:cs="Times New Roman"/>
                <w:sz w:val="24"/>
                <w:szCs w:val="24"/>
              </w:rPr>
              <w:t xml:space="preserve"> pressure (mmHg)</w:t>
            </w:r>
          </w:p>
        </w:tc>
      </w:tr>
      <w:tr w:rsidR="00182041" w:rsidRPr="00A51130" w14:paraId="47348DA5" w14:textId="77777777" w:rsidTr="0062700C">
        <w:trPr>
          <w:trHeight w:val="57"/>
        </w:trPr>
        <w:tc>
          <w:tcPr>
            <w:tcW w:w="0" w:type="auto"/>
            <w:tcBorders>
              <w:top w:val="single" w:sz="4" w:space="0" w:color="auto"/>
              <w:bottom w:val="single" w:sz="4" w:space="0" w:color="auto"/>
            </w:tcBorders>
          </w:tcPr>
          <w:p w14:paraId="1B39F4D4" w14:textId="77777777" w:rsidR="00182041" w:rsidRPr="00A51130" w:rsidRDefault="00182041" w:rsidP="0062700C">
            <w:pPr>
              <w:spacing w:before="40" w:after="40" w:line="276" w:lineRule="auto"/>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14:paraId="19722A48" w14:textId="77777777" w:rsidR="00182041" w:rsidRPr="00A51130" w:rsidRDefault="00182041" w:rsidP="0062700C">
            <w:pPr>
              <w:spacing w:before="40" w:after="40" w:line="276" w:lineRule="auto"/>
              <w:jc w:val="center"/>
              <w:rPr>
                <w:rFonts w:ascii="Times New Roman" w:hAnsi="Times New Roman" w:cs="Times New Roman"/>
                <w:sz w:val="24"/>
                <w:szCs w:val="24"/>
              </w:rPr>
            </w:pPr>
            <w:r w:rsidRPr="00A51130">
              <w:rPr>
                <w:rFonts w:ascii="Times New Roman" w:hAnsi="Times New Roman" w:cs="Times New Roman"/>
                <w:sz w:val="24"/>
                <w:szCs w:val="24"/>
              </w:rPr>
              <w:t>β</w:t>
            </w:r>
          </w:p>
        </w:tc>
        <w:tc>
          <w:tcPr>
            <w:tcW w:w="0" w:type="auto"/>
            <w:tcBorders>
              <w:top w:val="single" w:sz="4" w:space="0" w:color="auto"/>
              <w:bottom w:val="single" w:sz="4" w:space="0" w:color="auto"/>
            </w:tcBorders>
            <w:vAlign w:val="center"/>
          </w:tcPr>
          <w:p w14:paraId="4BCCC7A6" w14:textId="77777777" w:rsidR="00182041" w:rsidRPr="00A51130" w:rsidRDefault="00182041" w:rsidP="0062700C">
            <w:pPr>
              <w:spacing w:before="40" w:after="40" w:line="276" w:lineRule="auto"/>
              <w:jc w:val="center"/>
              <w:rPr>
                <w:rFonts w:ascii="Times New Roman" w:hAnsi="Times New Roman" w:cs="Times New Roman"/>
                <w:sz w:val="24"/>
                <w:szCs w:val="24"/>
              </w:rPr>
            </w:pPr>
            <w:r w:rsidRPr="00A51130">
              <w:rPr>
                <w:rFonts w:ascii="Times New Roman" w:hAnsi="Times New Roman" w:cs="Times New Roman"/>
                <w:sz w:val="24"/>
                <w:szCs w:val="24"/>
              </w:rPr>
              <w:t>95% CI</w:t>
            </w:r>
          </w:p>
        </w:tc>
        <w:tc>
          <w:tcPr>
            <w:tcW w:w="0" w:type="auto"/>
            <w:tcBorders>
              <w:top w:val="single" w:sz="4" w:space="0" w:color="auto"/>
              <w:bottom w:val="single" w:sz="4" w:space="0" w:color="auto"/>
            </w:tcBorders>
            <w:vAlign w:val="center"/>
          </w:tcPr>
          <w:p w14:paraId="0A140DB0" w14:textId="77777777" w:rsidR="00182041" w:rsidRPr="00A51130" w:rsidRDefault="00182041" w:rsidP="0062700C">
            <w:pPr>
              <w:spacing w:before="40" w:after="40" w:line="276" w:lineRule="auto"/>
              <w:jc w:val="center"/>
              <w:rPr>
                <w:rFonts w:ascii="Times New Roman" w:hAnsi="Times New Roman" w:cs="Times New Roman"/>
                <w:sz w:val="24"/>
                <w:szCs w:val="24"/>
              </w:rPr>
            </w:pPr>
            <w:r w:rsidRPr="00A51130">
              <w:rPr>
                <w:rFonts w:ascii="Times New Roman" w:hAnsi="Times New Roman" w:cs="Times New Roman"/>
                <w:sz w:val="24"/>
                <w:szCs w:val="24"/>
              </w:rPr>
              <w:t>β</w:t>
            </w:r>
          </w:p>
        </w:tc>
        <w:tc>
          <w:tcPr>
            <w:tcW w:w="0" w:type="auto"/>
            <w:tcBorders>
              <w:top w:val="single" w:sz="4" w:space="0" w:color="auto"/>
              <w:bottom w:val="single" w:sz="4" w:space="0" w:color="auto"/>
            </w:tcBorders>
            <w:vAlign w:val="center"/>
          </w:tcPr>
          <w:p w14:paraId="3E5DDF5F" w14:textId="77777777" w:rsidR="00182041" w:rsidRPr="00A51130" w:rsidRDefault="00182041" w:rsidP="0062700C">
            <w:pPr>
              <w:spacing w:before="40" w:after="40" w:line="276" w:lineRule="auto"/>
              <w:jc w:val="center"/>
              <w:rPr>
                <w:rFonts w:ascii="Times New Roman" w:hAnsi="Times New Roman" w:cs="Times New Roman"/>
                <w:sz w:val="24"/>
                <w:szCs w:val="24"/>
              </w:rPr>
            </w:pPr>
            <w:r w:rsidRPr="00A51130">
              <w:rPr>
                <w:rFonts w:ascii="Times New Roman" w:hAnsi="Times New Roman" w:cs="Times New Roman"/>
                <w:sz w:val="24"/>
                <w:szCs w:val="24"/>
              </w:rPr>
              <w:t>95% CI</w:t>
            </w:r>
          </w:p>
        </w:tc>
        <w:tc>
          <w:tcPr>
            <w:tcW w:w="0" w:type="auto"/>
            <w:tcBorders>
              <w:top w:val="single" w:sz="4" w:space="0" w:color="auto"/>
              <w:bottom w:val="single" w:sz="4" w:space="0" w:color="auto"/>
            </w:tcBorders>
            <w:vAlign w:val="center"/>
          </w:tcPr>
          <w:p w14:paraId="324F0F76" w14:textId="77777777" w:rsidR="00182041" w:rsidRPr="00A51130" w:rsidRDefault="00182041" w:rsidP="0062700C">
            <w:pPr>
              <w:spacing w:before="40" w:after="40" w:line="276" w:lineRule="auto"/>
              <w:jc w:val="center"/>
              <w:rPr>
                <w:rFonts w:ascii="Times New Roman" w:hAnsi="Times New Roman" w:cs="Times New Roman"/>
                <w:sz w:val="24"/>
                <w:szCs w:val="24"/>
              </w:rPr>
            </w:pPr>
            <w:r w:rsidRPr="00A51130">
              <w:rPr>
                <w:rFonts w:ascii="Times New Roman" w:hAnsi="Times New Roman" w:cs="Times New Roman"/>
                <w:sz w:val="24"/>
                <w:szCs w:val="24"/>
              </w:rPr>
              <w:t>β</w:t>
            </w:r>
          </w:p>
        </w:tc>
        <w:tc>
          <w:tcPr>
            <w:tcW w:w="0" w:type="auto"/>
            <w:tcBorders>
              <w:top w:val="single" w:sz="4" w:space="0" w:color="auto"/>
              <w:bottom w:val="single" w:sz="4" w:space="0" w:color="auto"/>
            </w:tcBorders>
            <w:vAlign w:val="center"/>
          </w:tcPr>
          <w:p w14:paraId="1E10F471" w14:textId="77777777" w:rsidR="00182041" w:rsidRPr="00A51130" w:rsidRDefault="00182041" w:rsidP="0062700C">
            <w:pPr>
              <w:spacing w:before="40" w:after="40" w:line="276" w:lineRule="auto"/>
              <w:jc w:val="center"/>
              <w:rPr>
                <w:rFonts w:ascii="Times New Roman" w:hAnsi="Times New Roman" w:cs="Times New Roman"/>
                <w:sz w:val="24"/>
                <w:szCs w:val="24"/>
              </w:rPr>
            </w:pPr>
            <w:r w:rsidRPr="00A51130">
              <w:rPr>
                <w:rFonts w:ascii="Times New Roman" w:hAnsi="Times New Roman" w:cs="Times New Roman"/>
                <w:sz w:val="24"/>
                <w:szCs w:val="24"/>
              </w:rPr>
              <w:t>95% CI</w:t>
            </w:r>
          </w:p>
        </w:tc>
        <w:tc>
          <w:tcPr>
            <w:tcW w:w="0" w:type="auto"/>
            <w:tcBorders>
              <w:top w:val="single" w:sz="4" w:space="0" w:color="auto"/>
              <w:bottom w:val="single" w:sz="4" w:space="0" w:color="auto"/>
            </w:tcBorders>
            <w:vAlign w:val="center"/>
          </w:tcPr>
          <w:p w14:paraId="0B7E4CF9" w14:textId="77777777" w:rsidR="00182041" w:rsidRPr="00A51130" w:rsidRDefault="00182041" w:rsidP="0062700C">
            <w:pPr>
              <w:spacing w:before="40" w:after="40" w:line="276" w:lineRule="auto"/>
              <w:jc w:val="center"/>
              <w:rPr>
                <w:rFonts w:ascii="Times New Roman" w:hAnsi="Times New Roman" w:cs="Times New Roman"/>
                <w:sz w:val="24"/>
                <w:szCs w:val="24"/>
              </w:rPr>
            </w:pPr>
            <w:r w:rsidRPr="00A51130">
              <w:rPr>
                <w:rFonts w:ascii="Times New Roman" w:hAnsi="Times New Roman" w:cs="Times New Roman"/>
                <w:sz w:val="24"/>
                <w:szCs w:val="24"/>
              </w:rPr>
              <w:t>β</w:t>
            </w:r>
          </w:p>
        </w:tc>
        <w:tc>
          <w:tcPr>
            <w:tcW w:w="0" w:type="auto"/>
            <w:tcBorders>
              <w:top w:val="single" w:sz="4" w:space="0" w:color="auto"/>
              <w:bottom w:val="single" w:sz="4" w:space="0" w:color="auto"/>
            </w:tcBorders>
            <w:vAlign w:val="center"/>
          </w:tcPr>
          <w:p w14:paraId="075BAF99" w14:textId="77777777" w:rsidR="00182041" w:rsidRPr="00A51130" w:rsidRDefault="00182041" w:rsidP="0062700C">
            <w:pPr>
              <w:spacing w:before="40" w:after="40" w:line="276" w:lineRule="auto"/>
              <w:jc w:val="center"/>
              <w:rPr>
                <w:rFonts w:ascii="Times New Roman" w:hAnsi="Times New Roman" w:cs="Times New Roman"/>
                <w:sz w:val="24"/>
                <w:szCs w:val="24"/>
              </w:rPr>
            </w:pPr>
            <w:r w:rsidRPr="00A51130">
              <w:rPr>
                <w:rFonts w:ascii="Times New Roman" w:hAnsi="Times New Roman" w:cs="Times New Roman"/>
                <w:sz w:val="24"/>
                <w:szCs w:val="24"/>
              </w:rPr>
              <w:t>95% CI</w:t>
            </w:r>
          </w:p>
        </w:tc>
        <w:tc>
          <w:tcPr>
            <w:tcW w:w="0" w:type="auto"/>
            <w:tcBorders>
              <w:top w:val="single" w:sz="4" w:space="0" w:color="auto"/>
              <w:bottom w:val="single" w:sz="4" w:space="0" w:color="auto"/>
            </w:tcBorders>
            <w:vAlign w:val="center"/>
          </w:tcPr>
          <w:p w14:paraId="636C2A77" w14:textId="77777777" w:rsidR="00182041" w:rsidRPr="00A51130" w:rsidRDefault="00182041" w:rsidP="0062700C">
            <w:pPr>
              <w:spacing w:before="40" w:after="40" w:line="276" w:lineRule="auto"/>
              <w:jc w:val="center"/>
              <w:rPr>
                <w:rFonts w:ascii="Times New Roman" w:hAnsi="Times New Roman" w:cs="Times New Roman"/>
                <w:sz w:val="24"/>
                <w:szCs w:val="24"/>
              </w:rPr>
            </w:pPr>
            <w:r w:rsidRPr="00A51130">
              <w:rPr>
                <w:rFonts w:ascii="Times New Roman" w:hAnsi="Times New Roman" w:cs="Times New Roman"/>
                <w:sz w:val="24"/>
                <w:szCs w:val="24"/>
              </w:rPr>
              <w:t>β</w:t>
            </w:r>
          </w:p>
        </w:tc>
        <w:tc>
          <w:tcPr>
            <w:tcW w:w="0" w:type="auto"/>
            <w:tcBorders>
              <w:top w:val="single" w:sz="4" w:space="0" w:color="auto"/>
              <w:bottom w:val="single" w:sz="4" w:space="0" w:color="auto"/>
            </w:tcBorders>
            <w:vAlign w:val="center"/>
          </w:tcPr>
          <w:p w14:paraId="47A605AD" w14:textId="77777777" w:rsidR="00182041" w:rsidRPr="00A51130" w:rsidRDefault="00182041" w:rsidP="0062700C">
            <w:pPr>
              <w:spacing w:before="40" w:after="40" w:line="276" w:lineRule="auto"/>
              <w:jc w:val="center"/>
              <w:rPr>
                <w:rFonts w:ascii="Times New Roman" w:hAnsi="Times New Roman" w:cs="Times New Roman"/>
                <w:sz w:val="24"/>
                <w:szCs w:val="24"/>
              </w:rPr>
            </w:pPr>
            <w:r w:rsidRPr="00A51130">
              <w:rPr>
                <w:rFonts w:ascii="Times New Roman" w:hAnsi="Times New Roman" w:cs="Times New Roman"/>
                <w:sz w:val="24"/>
                <w:szCs w:val="24"/>
              </w:rPr>
              <w:t>95% CI</w:t>
            </w:r>
          </w:p>
        </w:tc>
      </w:tr>
      <w:tr w:rsidR="00182041" w:rsidRPr="00A51130" w14:paraId="569D4128" w14:textId="77777777" w:rsidTr="0062700C">
        <w:trPr>
          <w:trHeight w:val="57"/>
        </w:trPr>
        <w:tc>
          <w:tcPr>
            <w:tcW w:w="0" w:type="auto"/>
            <w:tcBorders>
              <w:top w:val="single" w:sz="4" w:space="0" w:color="auto"/>
            </w:tcBorders>
          </w:tcPr>
          <w:p w14:paraId="462ADDF0" w14:textId="77777777" w:rsidR="00182041" w:rsidRPr="00A51130" w:rsidRDefault="00182041" w:rsidP="0062700C">
            <w:pPr>
              <w:spacing w:before="40" w:after="40" w:line="276" w:lineRule="auto"/>
              <w:rPr>
                <w:rFonts w:ascii="Times New Roman" w:hAnsi="Times New Roman" w:cs="Times New Roman"/>
                <w:b/>
                <w:sz w:val="24"/>
                <w:szCs w:val="24"/>
              </w:rPr>
            </w:pPr>
            <w:r w:rsidRPr="00A51130">
              <w:rPr>
                <w:rFonts w:ascii="Times New Roman" w:hAnsi="Times New Roman" w:cs="Times New Roman"/>
                <w:b/>
                <w:sz w:val="24"/>
                <w:szCs w:val="24"/>
              </w:rPr>
              <w:t>Unadjusted</w:t>
            </w:r>
          </w:p>
        </w:tc>
        <w:tc>
          <w:tcPr>
            <w:tcW w:w="0" w:type="auto"/>
            <w:tcBorders>
              <w:top w:val="single" w:sz="4" w:space="0" w:color="auto"/>
            </w:tcBorders>
          </w:tcPr>
          <w:p w14:paraId="759128B6" w14:textId="77777777" w:rsidR="00182041" w:rsidRPr="00A51130" w:rsidRDefault="00182041" w:rsidP="0062700C">
            <w:pPr>
              <w:spacing w:before="40" w:after="40" w:line="276" w:lineRule="auto"/>
              <w:rPr>
                <w:rFonts w:ascii="Times New Roman" w:hAnsi="Times New Roman" w:cs="Times New Roman"/>
                <w:sz w:val="24"/>
                <w:szCs w:val="24"/>
              </w:rPr>
            </w:pPr>
          </w:p>
        </w:tc>
        <w:tc>
          <w:tcPr>
            <w:tcW w:w="0" w:type="auto"/>
            <w:tcBorders>
              <w:top w:val="single" w:sz="4" w:space="0" w:color="auto"/>
            </w:tcBorders>
          </w:tcPr>
          <w:p w14:paraId="5CD3B6DE" w14:textId="77777777" w:rsidR="00182041" w:rsidRPr="00A51130" w:rsidRDefault="00182041" w:rsidP="0062700C">
            <w:pPr>
              <w:spacing w:before="40" w:after="40" w:line="276" w:lineRule="auto"/>
              <w:rPr>
                <w:rFonts w:ascii="Times New Roman" w:hAnsi="Times New Roman" w:cs="Times New Roman"/>
                <w:sz w:val="24"/>
                <w:szCs w:val="24"/>
              </w:rPr>
            </w:pPr>
          </w:p>
        </w:tc>
        <w:tc>
          <w:tcPr>
            <w:tcW w:w="0" w:type="auto"/>
            <w:tcBorders>
              <w:top w:val="single" w:sz="4" w:space="0" w:color="auto"/>
            </w:tcBorders>
          </w:tcPr>
          <w:p w14:paraId="411B3A17" w14:textId="77777777" w:rsidR="00182041" w:rsidRPr="00A51130" w:rsidRDefault="00182041" w:rsidP="0062700C">
            <w:pPr>
              <w:spacing w:before="40" w:after="40" w:line="276" w:lineRule="auto"/>
              <w:rPr>
                <w:rFonts w:ascii="Times New Roman" w:hAnsi="Times New Roman" w:cs="Times New Roman"/>
                <w:sz w:val="24"/>
                <w:szCs w:val="24"/>
              </w:rPr>
            </w:pPr>
          </w:p>
        </w:tc>
        <w:tc>
          <w:tcPr>
            <w:tcW w:w="0" w:type="auto"/>
            <w:tcBorders>
              <w:top w:val="single" w:sz="4" w:space="0" w:color="auto"/>
            </w:tcBorders>
          </w:tcPr>
          <w:p w14:paraId="4C905D38" w14:textId="77777777" w:rsidR="00182041" w:rsidRPr="00A51130" w:rsidRDefault="00182041" w:rsidP="0062700C">
            <w:pPr>
              <w:spacing w:before="40" w:after="40" w:line="276" w:lineRule="auto"/>
              <w:rPr>
                <w:rFonts w:ascii="Times New Roman" w:hAnsi="Times New Roman" w:cs="Times New Roman"/>
                <w:sz w:val="24"/>
                <w:szCs w:val="24"/>
              </w:rPr>
            </w:pPr>
          </w:p>
        </w:tc>
        <w:tc>
          <w:tcPr>
            <w:tcW w:w="0" w:type="auto"/>
            <w:tcBorders>
              <w:top w:val="single" w:sz="4" w:space="0" w:color="auto"/>
            </w:tcBorders>
          </w:tcPr>
          <w:p w14:paraId="59551784" w14:textId="77777777" w:rsidR="00182041" w:rsidRPr="00A51130" w:rsidRDefault="00182041" w:rsidP="0062700C">
            <w:pPr>
              <w:spacing w:before="40" w:after="40" w:line="276" w:lineRule="auto"/>
              <w:rPr>
                <w:rFonts w:ascii="Times New Roman" w:hAnsi="Times New Roman" w:cs="Times New Roman"/>
                <w:sz w:val="24"/>
                <w:szCs w:val="24"/>
              </w:rPr>
            </w:pPr>
          </w:p>
        </w:tc>
        <w:tc>
          <w:tcPr>
            <w:tcW w:w="0" w:type="auto"/>
            <w:tcBorders>
              <w:top w:val="single" w:sz="4" w:space="0" w:color="auto"/>
            </w:tcBorders>
          </w:tcPr>
          <w:p w14:paraId="30740B8E" w14:textId="77777777" w:rsidR="00182041" w:rsidRPr="00A51130" w:rsidRDefault="00182041" w:rsidP="0062700C">
            <w:pPr>
              <w:spacing w:before="40" w:after="40" w:line="276" w:lineRule="auto"/>
              <w:rPr>
                <w:rFonts w:ascii="Times New Roman" w:hAnsi="Times New Roman" w:cs="Times New Roman"/>
                <w:sz w:val="24"/>
                <w:szCs w:val="24"/>
              </w:rPr>
            </w:pPr>
          </w:p>
        </w:tc>
        <w:tc>
          <w:tcPr>
            <w:tcW w:w="0" w:type="auto"/>
            <w:tcBorders>
              <w:top w:val="single" w:sz="4" w:space="0" w:color="auto"/>
            </w:tcBorders>
          </w:tcPr>
          <w:p w14:paraId="6EEC0FF0" w14:textId="77777777" w:rsidR="00182041" w:rsidRPr="00A51130" w:rsidRDefault="00182041" w:rsidP="0062700C">
            <w:pPr>
              <w:spacing w:before="40" w:after="40" w:line="276" w:lineRule="auto"/>
              <w:rPr>
                <w:rFonts w:ascii="Times New Roman" w:hAnsi="Times New Roman" w:cs="Times New Roman"/>
                <w:sz w:val="24"/>
                <w:szCs w:val="24"/>
              </w:rPr>
            </w:pPr>
          </w:p>
        </w:tc>
        <w:tc>
          <w:tcPr>
            <w:tcW w:w="0" w:type="auto"/>
            <w:tcBorders>
              <w:top w:val="single" w:sz="4" w:space="0" w:color="auto"/>
            </w:tcBorders>
          </w:tcPr>
          <w:p w14:paraId="712C63B8" w14:textId="77777777" w:rsidR="00182041" w:rsidRPr="00A51130" w:rsidRDefault="00182041" w:rsidP="0062700C">
            <w:pPr>
              <w:spacing w:before="40" w:after="40" w:line="276" w:lineRule="auto"/>
              <w:rPr>
                <w:rFonts w:ascii="Times New Roman" w:hAnsi="Times New Roman" w:cs="Times New Roman"/>
                <w:sz w:val="24"/>
                <w:szCs w:val="24"/>
              </w:rPr>
            </w:pPr>
          </w:p>
        </w:tc>
        <w:tc>
          <w:tcPr>
            <w:tcW w:w="0" w:type="auto"/>
            <w:tcBorders>
              <w:top w:val="single" w:sz="4" w:space="0" w:color="auto"/>
            </w:tcBorders>
          </w:tcPr>
          <w:p w14:paraId="4EFA7BA9" w14:textId="77777777" w:rsidR="00182041" w:rsidRPr="00A51130" w:rsidRDefault="00182041" w:rsidP="0062700C">
            <w:pPr>
              <w:spacing w:before="40" w:after="40" w:line="276" w:lineRule="auto"/>
              <w:rPr>
                <w:rFonts w:ascii="Times New Roman" w:hAnsi="Times New Roman" w:cs="Times New Roman"/>
                <w:sz w:val="24"/>
                <w:szCs w:val="24"/>
              </w:rPr>
            </w:pPr>
          </w:p>
        </w:tc>
        <w:tc>
          <w:tcPr>
            <w:tcW w:w="0" w:type="auto"/>
            <w:tcBorders>
              <w:top w:val="single" w:sz="4" w:space="0" w:color="auto"/>
            </w:tcBorders>
          </w:tcPr>
          <w:p w14:paraId="7A66D8EF" w14:textId="77777777" w:rsidR="00182041" w:rsidRPr="00A51130" w:rsidRDefault="00182041" w:rsidP="0062700C">
            <w:pPr>
              <w:spacing w:before="40" w:after="40" w:line="276" w:lineRule="auto"/>
              <w:rPr>
                <w:rFonts w:ascii="Times New Roman" w:hAnsi="Times New Roman" w:cs="Times New Roman"/>
                <w:sz w:val="24"/>
                <w:szCs w:val="24"/>
              </w:rPr>
            </w:pPr>
          </w:p>
        </w:tc>
      </w:tr>
      <w:tr w:rsidR="00182041" w:rsidRPr="00A51130" w14:paraId="3B1E35BA" w14:textId="77777777" w:rsidTr="0062700C">
        <w:trPr>
          <w:trHeight w:val="57"/>
        </w:trPr>
        <w:tc>
          <w:tcPr>
            <w:tcW w:w="0" w:type="auto"/>
          </w:tcPr>
          <w:p w14:paraId="69D990F1" w14:textId="77777777" w:rsidR="00182041" w:rsidRPr="00A51130" w:rsidRDefault="00182041" w:rsidP="0062700C">
            <w:pPr>
              <w:spacing w:before="40" w:after="40" w:line="276" w:lineRule="auto"/>
              <w:rPr>
                <w:rFonts w:ascii="Times New Roman" w:hAnsi="Times New Roman" w:cs="Times New Roman"/>
                <w:sz w:val="24"/>
                <w:szCs w:val="24"/>
              </w:rPr>
            </w:pPr>
            <w:r w:rsidRPr="00A51130">
              <w:rPr>
                <w:rFonts w:ascii="Times New Roman" w:hAnsi="Times New Roman" w:cs="Times New Roman"/>
                <w:sz w:val="24"/>
                <w:szCs w:val="24"/>
              </w:rPr>
              <w:t>Infant weight gain (0-2 years)</w:t>
            </w:r>
            <w:r w:rsidRPr="00A51130">
              <w:rPr>
                <w:rFonts w:ascii="Times New Roman" w:hAnsi="Times New Roman" w:cs="Times New Roman"/>
                <w:sz w:val="24"/>
                <w:szCs w:val="24"/>
                <w:vertAlign w:val="superscript"/>
              </w:rPr>
              <w:t>a</w:t>
            </w:r>
          </w:p>
        </w:tc>
        <w:tc>
          <w:tcPr>
            <w:tcW w:w="0" w:type="auto"/>
            <w:vAlign w:val="center"/>
          </w:tcPr>
          <w:p w14:paraId="5A9A5F97" w14:textId="673F6785"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0.50</w:t>
            </w:r>
          </w:p>
        </w:tc>
        <w:tc>
          <w:tcPr>
            <w:tcW w:w="0" w:type="auto"/>
            <w:vAlign w:val="center"/>
          </w:tcPr>
          <w:p w14:paraId="6F520F3A" w14:textId="7E91AA45"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0.44, 0.56</w:t>
            </w:r>
          </w:p>
        </w:tc>
        <w:tc>
          <w:tcPr>
            <w:tcW w:w="0" w:type="auto"/>
            <w:vAlign w:val="center"/>
          </w:tcPr>
          <w:p w14:paraId="3A1F0913" w14:textId="6A768D62"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1.49</w:t>
            </w:r>
          </w:p>
        </w:tc>
        <w:tc>
          <w:tcPr>
            <w:tcW w:w="0" w:type="auto"/>
            <w:vAlign w:val="center"/>
          </w:tcPr>
          <w:p w14:paraId="53ABF20C" w14:textId="03F29798"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1.1</w:t>
            </w:r>
            <w:r w:rsidR="00DA2C90">
              <w:rPr>
                <w:rFonts w:ascii="Times New Roman" w:hAnsi="Times New Roman" w:cs="Times New Roman"/>
                <w:sz w:val="24"/>
                <w:szCs w:val="24"/>
              </w:rPr>
              <w:t>3</w:t>
            </w:r>
            <w:r>
              <w:rPr>
                <w:rFonts w:ascii="Times New Roman" w:hAnsi="Times New Roman" w:cs="Times New Roman"/>
                <w:sz w:val="24"/>
                <w:szCs w:val="24"/>
              </w:rPr>
              <w:t>, 1.85</w:t>
            </w:r>
          </w:p>
        </w:tc>
        <w:tc>
          <w:tcPr>
            <w:tcW w:w="0" w:type="auto"/>
            <w:vAlign w:val="center"/>
          </w:tcPr>
          <w:p w14:paraId="06718F87" w14:textId="12668553"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0.41</w:t>
            </w:r>
          </w:p>
        </w:tc>
        <w:tc>
          <w:tcPr>
            <w:tcW w:w="0" w:type="auto"/>
            <w:vAlign w:val="center"/>
          </w:tcPr>
          <w:p w14:paraId="4D9BE75D" w14:textId="2E0931DC"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0.35, 0.48</w:t>
            </w:r>
          </w:p>
        </w:tc>
        <w:tc>
          <w:tcPr>
            <w:tcW w:w="0" w:type="auto"/>
            <w:vAlign w:val="center"/>
          </w:tcPr>
          <w:p w14:paraId="7107B2E6" w14:textId="1756BC9F"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1.5</w:t>
            </w:r>
            <w:r w:rsidR="00DA2C90">
              <w:rPr>
                <w:rFonts w:ascii="Times New Roman" w:hAnsi="Times New Roman" w:cs="Times New Roman"/>
                <w:sz w:val="24"/>
                <w:szCs w:val="24"/>
              </w:rPr>
              <w:t>3</w:t>
            </w:r>
          </w:p>
        </w:tc>
        <w:tc>
          <w:tcPr>
            <w:tcW w:w="0" w:type="auto"/>
            <w:vAlign w:val="center"/>
          </w:tcPr>
          <w:p w14:paraId="4F6712C5" w14:textId="03125FB4"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0.</w:t>
            </w:r>
            <w:r w:rsidR="00AF30D7">
              <w:rPr>
                <w:rFonts w:ascii="Times New Roman" w:hAnsi="Times New Roman" w:cs="Times New Roman"/>
                <w:sz w:val="24"/>
                <w:szCs w:val="24"/>
              </w:rPr>
              <w:t>5</w:t>
            </w:r>
            <w:r w:rsidR="00DA2C90">
              <w:rPr>
                <w:rFonts w:ascii="Times New Roman" w:hAnsi="Times New Roman" w:cs="Times New Roman"/>
                <w:sz w:val="24"/>
                <w:szCs w:val="24"/>
              </w:rPr>
              <w:t>0</w:t>
            </w:r>
            <w:r>
              <w:rPr>
                <w:rFonts w:ascii="Times New Roman" w:hAnsi="Times New Roman" w:cs="Times New Roman"/>
                <w:sz w:val="24"/>
                <w:szCs w:val="24"/>
              </w:rPr>
              <w:t>, 2.5</w:t>
            </w:r>
            <w:r w:rsidR="00DA2C90">
              <w:rPr>
                <w:rFonts w:ascii="Times New Roman" w:hAnsi="Times New Roman" w:cs="Times New Roman"/>
                <w:sz w:val="24"/>
                <w:szCs w:val="24"/>
              </w:rPr>
              <w:t>6</w:t>
            </w:r>
          </w:p>
        </w:tc>
        <w:tc>
          <w:tcPr>
            <w:tcW w:w="0" w:type="auto"/>
            <w:vAlign w:val="center"/>
          </w:tcPr>
          <w:p w14:paraId="4047FB17" w14:textId="3744A299"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0.5</w:t>
            </w:r>
            <w:r w:rsidR="00DA2C90">
              <w:rPr>
                <w:rFonts w:ascii="Times New Roman" w:hAnsi="Times New Roman" w:cs="Times New Roman"/>
                <w:sz w:val="24"/>
                <w:szCs w:val="24"/>
              </w:rPr>
              <w:t>4</w:t>
            </w:r>
          </w:p>
        </w:tc>
        <w:tc>
          <w:tcPr>
            <w:tcW w:w="0" w:type="auto"/>
            <w:vAlign w:val="center"/>
          </w:tcPr>
          <w:p w14:paraId="24786DEF" w14:textId="3363191D"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-0.</w:t>
            </w:r>
            <w:r w:rsidR="00DA2C90">
              <w:rPr>
                <w:rFonts w:ascii="Times New Roman" w:hAnsi="Times New Roman" w:cs="Times New Roman"/>
                <w:sz w:val="24"/>
                <w:szCs w:val="24"/>
              </w:rPr>
              <w:t>22</w:t>
            </w:r>
            <w:r>
              <w:rPr>
                <w:rFonts w:ascii="Times New Roman" w:hAnsi="Times New Roman" w:cs="Times New Roman"/>
                <w:sz w:val="24"/>
                <w:szCs w:val="24"/>
              </w:rPr>
              <w:t>, 1.</w:t>
            </w:r>
            <w:r w:rsidR="00DA2C90">
              <w:rPr>
                <w:rFonts w:ascii="Times New Roman" w:hAnsi="Times New Roman" w:cs="Times New Roman"/>
                <w:sz w:val="24"/>
                <w:szCs w:val="24"/>
              </w:rPr>
              <w:t>31</w:t>
            </w:r>
          </w:p>
        </w:tc>
      </w:tr>
      <w:tr w:rsidR="00182041" w:rsidRPr="00A51130" w14:paraId="7C000F04" w14:textId="77777777" w:rsidTr="0062700C">
        <w:trPr>
          <w:trHeight w:val="57"/>
        </w:trPr>
        <w:tc>
          <w:tcPr>
            <w:tcW w:w="0" w:type="auto"/>
            <w:tcBorders>
              <w:top w:val="single" w:sz="4" w:space="0" w:color="auto"/>
            </w:tcBorders>
          </w:tcPr>
          <w:p w14:paraId="10FFFA7D" w14:textId="77777777" w:rsidR="00182041" w:rsidRPr="00A51130" w:rsidRDefault="00182041" w:rsidP="0062700C">
            <w:pPr>
              <w:spacing w:before="40" w:after="40" w:line="276" w:lineRule="auto"/>
              <w:rPr>
                <w:rFonts w:ascii="Times New Roman" w:hAnsi="Times New Roman" w:cs="Times New Roman"/>
                <w:b/>
                <w:sz w:val="24"/>
                <w:szCs w:val="24"/>
              </w:rPr>
            </w:pPr>
            <w:r w:rsidRPr="00A51130">
              <w:rPr>
                <w:rFonts w:ascii="Times New Roman" w:hAnsi="Times New Roman" w:cs="Times New Roman"/>
                <w:b/>
                <w:sz w:val="24"/>
                <w:szCs w:val="24"/>
              </w:rPr>
              <w:t>Adjusted</w:t>
            </w:r>
            <w:r w:rsidRPr="00A51130">
              <w:rPr>
                <w:rFonts w:ascii="Times New Roman" w:hAnsi="Times New Roman" w:cs="Times New Roman"/>
                <w:b/>
                <w:sz w:val="24"/>
                <w:szCs w:val="24"/>
                <w:vertAlign w:val="superscript"/>
              </w:rPr>
              <w:t>b</w:t>
            </w:r>
          </w:p>
        </w:tc>
        <w:tc>
          <w:tcPr>
            <w:tcW w:w="0" w:type="auto"/>
            <w:tcBorders>
              <w:top w:val="single" w:sz="4" w:space="0" w:color="auto"/>
            </w:tcBorders>
            <w:vAlign w:val="center"/>
          </w:tcPr>
          <w:p w14:paraId="47393FB0" w14:textId="77777777" w:rsidR="00182041" w:rsidRPr="00A51130" w:rsidRDefault="00182041" w:rsidP="0062700C">
            <w:pPr>
              <w:spacing w:before="40" w:after="40" w:line="276" w:lineRule="auto"/>
              <w:jc w:val="center"/>
              <w:rPr>
                <w:rFonts w:ascii="Times New Roman" w:hAnsi="Times New Roman" w:cs="Times New Roman"/>
                <w:sz w:val="24"/>
                <w:szCs w:val="24"/>
              </w:rPr>
            </w:pPr>
          </w:p>
        </w:tc>
        <w:tc>
          <w:tcPr>
            <w:tcW w:w="0" w:type="auto"/>
            <w:tcBorders>
              <w:top w:val="single" w:sz="4" w:space="0" w:color="auto"/>
            </w:tcBorders>
            <w:vAlign w:val="center"/>
          </w:tcPr>
          <w:p w14:paraId="7A4D1834" w14:textId="77777777" w:rsidR="00182041" w:rsidRPr="00A51130" w:rsidRDefault="00182041" w:rsidP="0062700C">
            <w:pPr>
              <w:spacing w:before="40" w:after="40" w:line="276" w:lineRule="auto"/>
              <w:jc w:val="center"/>
              <w:rPr>
                <w:rFonts w:ascii="Times New Roman" w:hAnsi="Times New Roman" w:cs="Times New Roman"/>
                <w:sz w:val="24"/>
                <w:szCs w:val="24"/>
              </w:rPr>
            </w:pPr>
          </w:p>
        </w:tc>
        <w:tc>
          <w:tcPr>
            <w:tcW w:w="0" w:type="auto"/>
            <w:tcBorders>
              <w:top w:val="single" w:sz="4" w:space="0" w:color="auto"/>
            </w:tcBorders>
            <w:vAlign w:val="center"/>
          </w:tcPr>
          <w:p w14:paraId="7AA677DA" w14:textId="77777777" w:rsidR="00182041" w:rsidRPr="00A51130" w:rsidRDefault="00182041" w:rsidP="0062700C">
            <w:pPr>
              <w:spacing w:before="40" w:after="40" w:line="276" w:lineRule="auto"/>
              <w:jc w:val="center"/>
              <w:rPr>
                <w:rFonts w:ascii="Times New Roman" w:hAnsi="Times New Roman" w:cs="Times New Roman"/>
                <w:sz w:val="24"/>
                <w:szCs w:val="24"/>
              </w:rPr>
            </w:pPr>
          </w:p>
        </w:tc>
        <w:tc>
          <w:tcPr>
            <w:tcW w:w="0" w:type="auto"/>
            <w:tcBorders>
              <w:top w:val="single" w:sz="4" w:space="0" w:color="auto"/>
            </w:tcBorders>
            <w:vAlign w:val="center"/>
          </w:tcPr>
          <w:p w14:paraId="5F50D4DD" w14:textId="77777777" w:rsidR="00182041" w:rsidRPr="00A51130" w:rsidRDefault="00182041" w:rsidP="0062700C">
            <w:pPr>
              <w:spacing w:before="40" w:after="40" w:line="276" w:lineRule="auto"/>
              <w:jc w:val="center"/>
              <w:rPr>
                <w:rFonts w:ascii="Times New Roman" w:hAnsi="Times New Roman" w:cs="Times New Roman"/>
                <w:sz w:val="24"/>
                <w:szCs w:val="24"/>
              </w:rPr>
            </w:pPr>
          </w:p>
        </w:tc>
        <w:tc>
          <w:tcPr>
            <w:tcW w:w="0" w:type="auto"/>
            <w:tcBorders>
              <w:top w:val="single" w:sz="4" w:space="0" w:color="auto"/>
            </w:tcBorders>
            <w:vAlign w:val="center"/>
          </w:tcPr>
          <w:p w14:paraId="3B030710" w14:textId="77777777" w:rsidR="00182041" w:rsidRPr="00A51130" w:rsidRDefault="00182041" w:rsidP="0062700C">
            <w:pPr>
              <w:spacing w:before="40" w:after="40" w:line="276" w:lineRule="auto"/>
              <w:jc w:val="center"/>
              <w:rPr>
                <w:rFonts w:ascii="Times New Roman" w:hAnsi="Times New Roman" w:cs="Times New Roman"/>
                <w:sz w:val="24"/>
                <w:szCs w:val="24"/>
              </w:rPr>
            </w:pPr>
          </w:p>
        </w:tc>
        <w:tc>
          <w:tcPr>
            <w:tcW w:w="0" w:type="auto"/>
            <w:tcBorders>
              <w:top w:val="single" w:sz="4" w:space="0" w:color="auto"/>
            </w:tcBorders>
            <w:vAlign w:val="center"/>
          </w:tcPr>
          <w:p w14:paraId="7E32D669" w14:textId="77777777" w:rsidR="00182041" w:rsidRPr="00A51130" w:rsidRDefault="00182041" w:rsidP="0062700C">
            <w:pPr>
              <w:spacing w:before="40" w:after="40" w:line="276" w:lineRule="auto"/>
              <w:jc w:val="center"/>
              <w:rPr>
                <w:rFonts w:ascii="Times New Roman" w:hAnsi="Times New Roman" w:cs="Times New Roman"/>
                <w:sz w:val="24"/>
                <w:szCs w:val="24"/>
              </w:rPr>
            </w:pPr>
          </w:p>
        </w:tc>
        <w:tc>
          <w:tcPr>
            <w:tcW w:w="0" w:type="auto"/>
            <w:tcBorders>
              <w:top w:val="single" w:sz="4" w:space="0" w:color="auto"/>
            </w:tcBorders>
            <w:vAlign w:val="center"/>
          </w:tcPr>
          <w:p w14:paraId="7F588608" w14:textId="77777777" w:rsidR="00182041" w:rsidRPr="00A51130" w:rsidRDefault="00182041" w:rsidP="0062700C">
            <w:pPr>
              <w:spacing w:before="40" w:after="40" w:line="276" w:lineRule="auto"/>
              <w:jc w:val="center"/>
              <w:rPr>
                <w:rFonts w:ascii="Times New Roman" w:hAnsi="Times New Roman" w:cs="Times New Roman"/>
                <w:sz w:val="24"/>
                <w:szCs w:val="24"/>
              </w:rPr>
            </w:pPr>
          </w:p>
        </w:tc>
        <w:tc>
          <w:tcPr>
            <w:tcW w:w="0" w:type="auto"/>
            <w:tcBorders>
              <w:top w:val="single" w:sz="4" w:space="0" w:color="auto"/>
            </w:tcBorders>
            <w:vAlign w:val="center"/>
          </w:tcPr>
          <w:p w14:paraId="021AE5E8" w14:textId="77777777" w:rsidR="00182041" w:rsidRPr="00A51130" w:rsidRDefault="00182041" w:rsidP="0062700C">
            <w:pPr>
              <w:spacing w:before="40" w:after="40" w:line="276" w:lineRule="auto"/>
              <w:jc w:val="center"/>
              <w:rPr>
                <w:rFonts w:ascii="Times New Roman" w:hAnsi="Times New Roman" w:cs="Times New Roman"/>
                <w:sz w:val="24"/>
                <w:szCs w:val="24"/>
              </w:rPr>
            </w:pPr>
          </w:p>
        </w:tc>
        <w:tc>
          <w:tcPr>
            <w:tcW w:w="0" w:type="auto"/>
            <w:tcBorders>
              <w:top w:val="single" w:sz="4" w:space="0" w:color="auto"/>
            </w:tcBorders>
            <w:vAlign w:val="center"/>
          </w:tcPr>
          <w:p w14:paraId="5CF2B8A4" w14:textId="77777777" w:rsidR="00182041" w:rsidRPr="00A51130" w:rsidRDefault="00182041" w:rsidP="0062700C">
            <w:pPr>
              <w:spacing w:before="40" w:after="40" w:line="276" w:lineRule="auto"/>
              <w:jc w:val="center"/>
              <w:rPr>
                <w:rFonts w:ascii="Times New Roman" w:hAnsi="Times New Roman" w:cs="Times New Roman"/>
                <w:sz w:val="24"/>
                <w:szCs w:val="24"/>
              </w:rPr>
            </w:pPr>
          </w:p>
        </w:tc>
        <w:tc>
          <w:tcPr>
            <w:tcW w:w="0" w:type="auto"/>
            <w:tcBorders>
              <w:top w:val="single" w:sz="4" w:space="0" w:color="auto"/>
            </w:tcBorders>
            <w:vAlign w:val="center"/>
          </w:tcPr>
          <w:p w14:paraId="66A250BB" w14:textId="77777777" w:rsidR="00182041" w:rsidRPr="00A51130" w:rsidRDefault="00182041" w:rsidP="0062700C">
            <w:pPr>
              <w:spacing w:before="40" w:after="40" w:line="276" w:lineRule="auto"/>
              <w:jc w:val="center"/>
              <w:rPr>
                <w:rFonts w:ascii="Times New Roman" w:hAnsi="Times New Roman" w:cs="Times New Roman"/>
                <w:sz w:val="24"/>
                <w:szCs w:val="24"/>
              </w:rPr>
            </w:pPr>
          </w:p>
        </w:tc>
      </w:tr>
      <w:tr w:rsidR="00182041" w:rsidRPr="00A51130" w14:paraId="79332991" w14:textId="77777777" w:rsidTr="0062700C">
        <w:trPr>
          <w:trHeight w:val="57"/>
        </w:trPr>
        <w:tc>
          <w:tcPr>
            <w:tcW w:w="0" w:type="auto"/>
          </w:tcPr>
          <w:p w14:paraId="294CFAAD" w14:textId="77777777" w:rsidR="00182041" w:rsidRPr="00A51130" w:rsidRDefault="00182041" w:rsidP="0062700C">
            <w:pPr>
              <w:spacing w:before="40" w:after="40" w:line="276" w:lineRule="auto"/>
              <w:rPr>
                <w:rFonts w:ascii="Times New Roman" w:hAnsi="Times New Roman" w:cs="Times New Roman"/>
                <w:sz w:val="24"/>
                <w:szCs w:val="24"/>
              </w:rPr>
            </w:pPr>
            <w:r w:rsidRPr="00A51130">
              <w:rPr>
                <w:rFonts w:ascii="Times New Roman" w:hAnsi="Times New Roman" w:cs="Times New Roman"/>
                <w:sz w:val="24"/>
                <w:szCs w:val="24"/>
              </w:rPr>
              <w:t>Infant weight gain (0-2 years)</w:t>
            </w:r>
            <w:r w:rsidRPr="00A51130">
              <w:rPr>
                <w:rFonts w:ascii="Times New Roman" w:hAnsi="Times New Roman" w:cs="Times New Roman"/>
                <w:sz w:val="24"/>
                <w:szCs w:val="24"/>
                <w:vertAlign w:val="superscript"/>
              </w:rPr>
              <w:t>a</w:t>
            </w:r>
          </w:p>
        </w:tc>
        <w:tc>
          <w:tcPr>
            <w:tcW w:w="0" w:type="auto"/>
            <w:vAlign w:val="center"/>
          </w:tcPr>
          <w:p w14:paraId="093979D2" w14:textId="0D5FED75"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0.46</w:t>
            </w:r>
          </w:p>
        </w:tc>
        <w:tc>
          <w:tcPr>
            <w:tcW w:w="0" w:type="auto"/>
            <w:vAlign w:val="center"/>
          </w:tcPr>
          <w:p w14:paraId="7D031EE3" w14:textId="74133194"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0.40, 0.52</w:t>
            </w:r>
          </w:p>
        </w:tc>
        <w:tc>
          <w:tcPr>
            <w:tcW w:w="0" w:type="auto"/>
            <w:vAlign w:val="center"/>
          </w:tcPr>
          <w:p w14:paraId="7BC4F41B" w14:textId="74A3F813"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0" w:type="auto"/>
            <w:vAlign w:val="center"/>
          </w:tcPr>
          <w:p w14:paraId="4DD5A393" w14:textId="199F8E99"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0.9</w:t>
            </w:r>
            <w:r w:rsidR="00DA2C90">
              <w:rPr>
                <w:rFonts w:ascii="Times New Roman" w:hAnsi="Times New Roman" w:cs="Times New Roman"/>
                <w:sz w:val="24"/>
                <w:szCs w:val="24"/>
              </w:rPr>
              <w:t>6</w:t>
            </w:r>
            <w:r>
              <w:rPr>
                <w:rFonts w:ascii="Times New Roman" w:hAnsi="Times New Roman" w:cs="Times New Roman"/>
                <w:sz w:val="24"/>
                <w:szCs w:val="24"/>
              </w:rPr>
              <w:t>, 1.6</w:t>
            </w:r>
            <w:r w:rsidR="00DA2C90">
              <w:rPr>
                <w:rFonts w:ascii="Times New Roman" w:hAnsi="Times New Roman" w:cs="Times New Roman"/>
                <w:sz w:val="24"/>
                <w:szCs w:val="24"/>
              </w:rPr>
              <w:t>7</w:t>
            </w:r>
          </w:p>
        </w:tc>
        <w:tc>
          <w:tcPr>
            <w:tcW w:w="0" w:type="auto"/>
            <w:vAlign w:val="center"/>
          </w:tcPr>
          <w:p w14:paraId="17F10A4F" w14:textId="592D105D"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0.38</w:t>
            </w:r>
          </w:p>
        </w:tc>
        <w:tc>
          <w:tcPr>
            <w:tcW w:w="0" w:type="auto"/>
            <w:vAlign w:val="center"/>
          </w:tcPr>
          <w:p w14:paraId="15252C41" w14:textId="0AAC3C67"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0.32, 0.44</w:t>
            </w:r>
          </w:p>
        </w:tc>
        <w:tc>
          <w:tcPr>
            <w:tcW w:w="0" w:type="auto"/>
            <w:vAlign w:val="center"/>
          </w:tcPr>
          <w:p w14:paraId="4E1F6BE4" w14:textId="1E3F3DE6"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1.5</w:t>
            </w:r>
            <w:r w:rsidR="00DA2C90">
              <w:rPr>
                <w:rFonts w:ascii="Times New Roman" w:hAnsi="Times New Roman" w:cs="Times New Roman"/>
                <w:sz w:val="24"/>
                <w:szCs w:val="24"/>
              </w:rPr>
              <w:t>3</w:t>
            </w:r>
          </w:p>
        </w:tc>
        <w:tc>
          <w:tcPr>
            <w:tcW w:w="0" w:type="auto"/>
            <w:vAlign w:val="center"/>
          </w:tcPr>
          <w:p w14:paraId="267ADF19" w14:textId="51D68A6B"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0.</w:t>
            </w:r>
            <w:r w:rsidR="00DA2C90">
              <w:rPr>
                <w:rFonts w:ascii="Times New Roman" w:hAnsi="Times New Roman" w:cs="Times New Roman"/>
                <w:sz w:val="24"/>
                <w:szCs w:val="24"/>
              </w:rPr>
              <w:t>49</w:t>
            </w:r>
            <w:r>
              <w:rPr>
                <w:rFonts w:ascii="Times New Roman" w:hAnsi="Times New Roman" w:cs="Times New Roman"/>
                <w:sz w:val="24"/>
                <w:szCs w:val="24"/>
              </w:rPr>
              <w:t>, 2.5</w:t>
            </w:r>
            <w:r w:rsidR="00DA2C90">
              <w:rPr>
                <w:rFonts w:ascii="Times New Roman" w:hAnsi="Times New Roman" w:cs="Times New Roman"/>
                <w:sz w:val="24"/>
                <w:szCs w:val="24"/>
              </w:rPr>
              <w:t>7</w:t>
            </w:r>
          </w:p>
        </w:tc>
        <w:tc>
          <w:tcPr>
            <w:tcW w:w="0" w:type="auto"/>
            <w:vAlign w:val="center"/>
          </w:tcPr>
          <w:p w14:paraId="52CD90AE" w14:textId="5BB9F271"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0.5</w:t>
            </w:r>
            <w:r w:rsidR="00DA2C90">
              <w:rPr>
                <w:rFonts w:ascii="Times New Roman" w:hAnsi="Times New Roman" w:cs="Times New Roman"/>
                <w:sz w:val="24"/>
                <w:szCs w:val="24"/>
              </w:rPr>
              <w:t>3</w:t>
            </w:r>
          </w:p>
        </w:tc>
        <w:tc>
          <w:tcPr>
            <w:tcW w:w="0" w:type="auto"/>
            <w:vAlign w:val="center"/>
          </w:tcPr>
          <w:p w14:paraId="333451CE" w14:textId="6CA21F43" w:rsidR="00182041" w:rsidRPr="00A51130" w:rsidRDefault="00182041" w:rsidP="0062700C">
            <w:pPr>
              <w:spacing w:before="40" w:after="40" w:line="276" w:lineRule="auto"/>
              <w:jc w:val="center"/>
              <w:rPr>
                <w:rFonts w:ascii="Times New Roman" w:hAnsi="Times New Roman" w:cs="Times New Roman"/>
                <w:sz w:val="24"/>
                <w:szCs w:val="24"/>
              </w:rPr>
            </w:pPr>
            <w:r>
              <w:rPr>
                <w:rFonts w:ascii="Times New Roman" w:hAnsi="Times New Roman" w:cs="Times New Roman"/>
                <w:sz w:val="24"/>
                <w:szCs w:val="24"/>
              </w:rPr>
              <w:t>-0.</w:t>
            </w:r>
            <w:r w:rsidR="00DA2C90">
              <w:rPr>
                <w:rFonts w:ascii="Times New Roman" w:hAnsi="Times New Roman" w:cs="Times New Roman"/>
                <w:sz w:val="24"/>
                <w:szCs w:val="24"/>
              </w:rPr>
              <w:t>23</w:t>
            </w:r>
            <w:r>
              <w:rPr>
                <w:rFonts w:ascii="Times New Roman" w:hAnsi="Times New Roman" w:cs="Times New Roman"/>
                <w:sz w:val="24"/>
                <w:szCs w:val="24"/>
              </w:rPr>
              <w:t>, 1.2</w:t>
            </w:r>
            <w:r w:rsidR="00DA2C90">
              <w:rPr>
                <w:rFonts w:ascii="Times New Roman" w:hAnsi="Times New Roman" w:cs="Times New Roman"/>
                <w:sz w:val="24"/>
                <w:szCs w:val="24"/>
              </w:rPr>
              <w:t>9</w:t>
            </w:r>
          </w:p>
        </w:tc>
      </w:tr>
    </w:tbl>
    <w:p w14:paraId="4ED70CE0" w14:textId="77777777" w:rsidR="00556B1C" w:rsidRPr="00A51130" w:rsidRDefault="00556B1C" w:rsidP="00556B1C">
      <w:pPr>
        <w:spacing w:after="0" w:line="276" w:lineRule="auto"/>
        <w:rPr>
          <w:rFonts w:ascii="Times New Roman" w:hAnsi="Times New Roman" w:cs="Times New Roman"/>
          <w:sz w:val="24"/>
          <w:szCs w:val="24"/>
          <w:vertAlign w:val="superscript"/>
        </w:rPr>
      </w:pPr>
      <w:r w:rsidRPr="00A51130">
        <w:rPr>
          <w:rFonts w:ascii="Times New Roman" w:hAnsi="Times New Roman" w:cs="Times New Roman"/>
          <w:sz w:val="24"/>
          <w:szCs w:val="24"/>
          <w:vertAlign w:val="superscript"/>
        </w:rPr>
        <w:t>a</w:t>
      </w:r>
      <w:r w:rsidRPr="00A51130">
        <w:rPr>
          <w:rFonts w:ascii="Times New Roman" w:hAnsi="Times New Roman" w:cs="Times New Roman"/>
          <w:sz w:val="24"/>
          <w:szCs w:val="24"/>
        </w:rPr>
        <w:t>Estimates are presented per</w:t>
      </w:r>
      <w:r>
        <w:rPr>
          <w:rFonts w:ascii="Times New Roman" w:hAnsi="Times New Roman" w:cs="Times New Roman"/>
          <w:sz w:val="24"/>
          <w:szCs w:val="24"/>
        </w:rPr>
        <w:t xml:space="preserve"> SD change</w:t>
      </w:r>
      <w:r w:rsidRPr="00A51130">
        <w:rPr>
          <w:rFonts w:ascii="Times New Roman" w:hAnsi="Times New Roman" w:cs="Times New Roman"/>
          <w:sz w:val="24"/>
          <w:szCs w:val="24"/>
        </w:rPr>
        <w:t xml:space="preserve">,  </w:t>
      </w:r>
    </w:p>
    <w:p w14:paraId="2B15D72D" w14:textId="77777777" w:rsidR="00556B1C" w:rsidRDefault="00556B1C" w:rsidP="00556B1C">
      <w:pPr>
        <w:spacing w:line="276" w:lineRule="auto"/>
        <w:rPr>
          <w:rFonts w:ascii="Times New Roman" w:hAnsi="Times New Roman" w:cs="Times New Roman"/>
          <w:sz w:val="24"/>
          <w:szCs w:val="24"/>
        </w:rPr>
      </w:pPr>
      <w:r w:rsidRPr="00A51130">
        <w:rPr>
          <w:rFonts w:ascii="Times New Roman" w:hAnsi="Times New Roman" w:cs="Times New Roman"/>
          <w:sz w:val="24"/>
          <w:szCs w:val="24"/>
          <w:vertAlign w:val="superscript"/>
        </w:rPr>
        <w:t>b</w:t>
      </w:r>
      <w:r w:rsidRPr="00A51130">
        <w:rPr>
          <w:rFonts w:ascii="Times New Roman" w:hAnsi="Times New Roman" w:cs="Times New Roman"/>
          <w:sz w:val="24"/>
          <w:szCs w:val="24"/>
        </w:rPr>
        <w:t>Adjusted for maternal first-trimester BMI, smoking in pregnancy, social class, and gestational diabetes.</w:t>
      </w:r>
    </w:p>
    <w:p w14:paraId="78595D04" w14:textId="05C93EBA" w:rsidR="00182041" w:rsidRPr="00A51130" w:rsidRDefault="00182041" w:rsidP="00304C73">
      <w:pPr>
        <w:spacing w:line="276" w:lineRule="auto"/>
        <w:rPr>
          <w:rFonts w:ascii="Times New Roman" w:hAnsi="Times New Roman" w:cs="Times New Roman"/>
          <w:sz w:val="24"/>
          <w:szCs w:val="24"/>
        </w:rPr>
        <w:sectPr w:rsidR="00182041" w:rsidRPr="00A51130" w:rsidSect="00394DD7">
          <w:pgSz w:w="16838" w:h="11906" w:orient="landscape"/>
          <w:pgMar w:top="1440" w:right="1440" w:bottom="1440" w:left="1440" w:header="708" w:footer="708" w:gutter="0"/>
          <w:cols w:space="708"/>
          <w:docGrid w:linePitch="360"/>
        </w:sectPr>
      </w:pPr>
    </w:p>
    <w:p w14:paraId="2376AC3D" w14:textId="52B3C4AC" w:rsidR="00D37CB9" w:rsidRPr="00A51130" w:rsidRDefault="00D37CB9" w:rsidP="00A51130">
      <w:pPr>
        <w:spacing w:after="0" w:line="480" w:lineRule="auto"/>
        <w:rPr>
          <w:rFonts w:ascii="Times New Roman" w:hAnsi="Times New Roman" w:cs="Times New Roman"/>
          <w:sz w:val="24"/>
          <w:szCs w:val="24"/>
        </w:rPr>
      </w:pPr>
      <w:r w:rsidRPr="00A51130">
        <w:rPr>
          <w:rFonts w:ascii="Times New Roman" w:hAnsi="Times New Roman" w:cs="Times New Roman"/>
          <w:sz w:val="24"/>
          <w:szCs w:val="24"/>
        </w:rPr>
        <w:t>Table 3. Co</w:t>
      </w:r>
      <w:r w:rsidR="004268E6" w:rsidRPr="00A51130">
        <w:rPr>
          <w:rFonts w:ascii="Times New Roman" w:hAnsi="Times New Roman" w:cs="Times New Roman"/>
          <w:sz w:val="24"/>
          <w:szCs w:val="24"/>
        </w:rPr>
        <w:t>nfounder</w:t>
      </w:r>
      <w:r w:rsidRPr="00A51130">
        <w:rPr>
          <w:rFonts w:ascii="Times New Roman" w:hAnsi="Times New Roman" w:cs="Times New Roman"/>
          <w:sz w:val="24"/>
          <w:szCs w:val="24"/>
        </w:rPr>
        <w:t>-adjusted relationships of infant weight gain</w:t>
      </w:r>
      <w:r w:rsidRPr="00A51130">
        <w:rPr>
          <w:rFonts w:ascii="Times New Roman" w:hAnsi="Times New Roman" w:cs="Times New Roman"/>
          <w:sz w:val="24"/>
          <w:szCs w:val="24"/>
          <w:vertAlign w:val="superscript"/>
        </w:rPr>
        <w:t xml:space="preserve"> </w:t>
      </w:r>
      <w:r w:rsidRPr="00A51130">
        <w:rPr>
          <w:rFonts w:ascii="Times New Roman" w:hAnsi="Times New Roman" w:cs="Times New Roman"/>
          <w:sz w:val="24"/>
          <w:szCs w:val="24"/>
        </w:rPr>
        <w:t>between ages 0-2 years with adiposity and blood pressure outcomes at age 6</w:t>
      </w:r>
      <w:r w:rsidR="00C7014D" w:rsidRPr="00A51130">
        <w:rPr>
          <w:rFonts w:ascii="Times New Roman" w:hAnsi="Times New Roman" w:cs="Times New Roman"/>
          <w:sz w:val="24"/>
          <w:szCs w:val="24"/>
        </w:rPr>
        <w:t>-7</w:t>
      </w:r>
      <w:r w:rsidRPr="00A51130">
        <w:rPr>
          <w:rFonts w:ascii="Times New Roman" w:hAnsi="Times New Roman" w:cs="Times New Roman"/>
          <w:sz w:val="24"/>
          <w:szCs w:val="24"/>
        </w:rPr>
        <w:t xml:space="preserve"> years, testing for </w:t>
      </w:r>
      <w:r w:rsidR="00CC5609" w:rsidRPr="00A51130">
        <w:rPr>
          <w:rFonts w:ascii="Times New Roman" w:hAnsi="Times New Roman" w:cs="Times New Roman"/>
          <w:sz w:val="24"/>
          <w:szCs w:val="24"/>
        </w:rPr>
        <w:t>interactions with</w:t>
      </w:r>
      <w:r w:rsidRPr="00A51130">
        <w:rPr>
          <w:rFonts w:ascii="Times New Roman" w:hAnsi="Times New Roman" w:cs="Times New Roman"/>
          <w:sz w:val="24"/>
          <w:szCs w:val="24"/>
        </w:rPr>
        <w:t xml:space="preserve"> fetal weight variables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658"/>
        <w:gridCol w:w="902"/>
        <w:gridCol w:w="850"/>
        <w:gridCol w:w="691"/>
        <w:gridCol w:w="868"/>
        <w:gridCol w:w="851"/>
        <w:gridCol w:w="724"/>
        <w:gridCol w:w="835"/>
        <w:gridCol w:w="851"/>
        <w:gridCol w:w="757"/>
        <w:gridCol w:w="944"/>
        <w:gridCol w:w="708"/>
        <w:gridCol w:w="791"/>
        <w:gridCol w:w="910"/>
        <w:gridCol w:w="917"/>
      </w:tblGrid>
      <w:tr w:rsidR="009706C9" w:rsidRPr="00556B1C" w14:paraId="2EB69A94" w14:textId="6D1D496C" w:rsidTr="00556B1C">
        <w:trPr>
          <w:trHeight w:val="57"/>
        </w:trPr>
        <w:tc>
          <w:tcPr>
            <w:tcW w:w="1701" w:type="dxa"/>
            <w:tcBorders>
              <w:top w:val="single" w:sz="4" w:space="0" w:color="auto"/>
              <w:bottom w:val="single" w:sz="4" w:space="0" w:color="auto"/>
            </w:tcBorders>
          </w:tcPr>
          <w:p w14:paraId="14A88E2A" w14:textId="77777777" w:rsidR="009706C9" w:rsidRPr="00556B1C" w:rsidRDefault="009706C9" w:rsidP="0062700C">
            <w:pPr>
              <w:spacing w:before="40" w:after="40" w:line="276" w:lineRule="auto"/>
              <w:rPr>
                <w:rFonts w:ascii="Times New Roman" w:hAnsi="Times New Roman" w:cs="Times New Roman"/>
                <w:sz w:val="20"/>
                <w:szCs w:val="20"/>
              </w:rPr>
            </w:pPr>
          </w:p>
        </w:tc>
        <w:tc>
          <w:tcPr>
            <w:tcW w:w="2410" w:type="dxa"/>
            <w:gridSpan w:val="3"/>
            <w:tcBorders>
              <w:top w:val="single" w:sz="4" w:space="0" w:color="auto"/>
              <w:bottom w:val="single" w:sz="4" w:space="0" w:color="auto"/>
            </w:tcBorders>
            <w:vAlign w:val="center"/>
          </w:tcPr>
          <w:p w14:paraId="28B7BB6F" w14:textId="77777777" w:rsidR="009706C9" w:rsidRPr="00556B1C" w:rsidRDefault="009706C9" w:rsidP="0062700C">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 xml:space="preserve">BMI </w:t>
            </w:r>
          </w:p>
          <w:p w14:paraId="3D103B26" w14:textId="2B9E665F" w:rsidR="009706C9" w:rsidRPr="00556B1C" w:rsidRDefault="009706C9" w:rsidP="0062700C">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z-score</w:t>
            </w:r>
          </w:p>
        </w:tc>
        <w:tc>
          <w:tcPr>
            <w:tcW w:w="2410" w:type="dxa"/>
            <w:gridSpan w:val="3"/>
            <w:tcBorders>
              <w:top w:val="single" w:sz="4" w:space="0" w:color="auto"/>
              <w:bottom w:val="single" w:sz="4" w:space="0" w:color="auto"/>
            </w:tcBorders>
            <w:vAlign w:val="center"/>
          </w:tcPr>
          <w:p w14:paraId="44194E75" w14:textId="6AF9B2C3" w:rsidR="009706C9" w:rsidRPr="00556B1C" w:rsidRDefault="009706C9" w:rsidP="0062700C">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Percent body fat</w:t>
            </w:r>
          </w:p>
        </w:tc>
        <w:tc>
          <w:tcPr>
            <w:tcW w:w="2410" w:type="dxa"/>
            <w:gridSpan w:val="3"/>
            <w:tcBorders>
              <w:top w:val="single" w:sz="4" w:space="0" w:color="auto"/>
              <w:bottom w:val="single" w:sz="4" w:space="0" w:color="auto"/>
            </w:tcBorders>
            <w:vAlign w:val="center"/>
          </w:tcPr>
          <w:p w14:paraId="336CF3BD" w14:textId="4C182A00" w:rsidR="009706C9" w:rsidRPr="00556B1C" w:rsidRDefault="009706C9" w:rsidP="0062700C">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Trunk fat (kg)</w:t>
            </w:r>
          </w:p>
        </w:tc>
        <w:tc>
          <w:tcPr>
            <w:tcW w:w="2409" w:type="dxa"/>
            <w:gridSpan w:val="3"/>
            <w:tcBorders>
              <w:top w:val="single" w:sz="4" w:space="0" w:color="auto"/>
              <w:bottom w:val="single" w:sz="4" w:space="0" w:color="auto"/>
            </w:tcBorders>
            <w:vAlign w:val="center"/>
          </w:tcPr>
          <w:p w14:paraId="5E7A7948" w14:textId="77777777" w:rsidR="009706C9" w:rsidRPr="00556B1C" w:rsidRDefault="009706C9" w:rsidP="0062700C">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 xml:space="preserve">Systolic blood </w:t>
            </w:r>
          </w:p>
          <w:p w14:paraId="1419E195" w14:textId="1B8B9F84" w:rsidR="009706C9" w:rsidRPr="00556B1C" w:rsidRDefault="009706C9" w:rsidP="0062700C">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pressure (mmHg)</w:t>
            </w:r>
          </w:p>
        </w:tc>
        <w:tc>
          <w:tcPr>
            <w:tcW w:w="2618" w:type="dxa"/>
            <w:gridSpan w:val="3"/>
            <w:tcBorders>
              <w:top w:val="single" w:sz="4" w:space="0" w:color="auto"/>
              <w:bottom w:val="single" w:sz="4" w:space="0" w:color="auto"/>
            </w:tcBorders>
            <w:vAlign w:val="center"/>
          </w:tcPr>
          <w:p w14:paraId="390699F1" w14:textId="77777777" w:rsidR="009706C9" w:rsidRPr="00556B1C" w:rsidRDefault="009706C9" w:rsidP="0062700C">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Diastolic blood</w:t>
            </w:r>
          </w:p>
          <w:p w14:paraId="1796B6FD" w14:textId="4D4C7696" w:rsidR="009706C9" w:rsidRPr="00556B1C" w:rsidRDefault="009706C9" w:rsidP="0062700C">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 xml:space="preserve"> pressure (mmHg)</w:t>
            </w:r>
          </w:p>
        </w:tc>
      </w:tr>
      <w:tr w:rsidR="00706C32" w:rsidRPr="00556B1C" w14:paraId="4AD86521" w14:textId="0BF6BA0A" w:rsidTr="00556B1C">
        <w:trPr>
          <w:trHeight w:val="57"/>
        </w:trPr>
        <w:tc>
          <w:tcPr>
            <w:tcW w:w="1701" w:type="dxa"/>
            <w:tcBorders>
              <w:top w:val="single" w:sz="4" w:space="0" w:color="auto"/>
              <w:bottom w:val="single" w:sz="4" w:space="0" w:color="auto"/>
            </w:tcBorders>
          </w:tcPr>
          <w:p w14:paraId="2E54E0E1" w14:textId="77777777" w:rsidR="009706C9" w:rsidRPr="00556B1C" w:rsidRDefault="009706C9" w:rsidP="009706C9">
            <w:pPr>
              <w:spacing w:before="40" w:after="40" w:line="276" w:lineRule="auto"/>
              <w:rPr>
                <w:rFonts w:ascii="Times New Roman" w:hAnsi="Times New Roman" w:cs="Times New Roman"/>
                <w:sz w:val="20"/>
                <w:szCs w:val="20"/>
              </w:rPr>
            </w:pPr>
          </w:p>
        </w:tc>
        <w:tc>
          <w:tcPr>
            <w:tcW w:w="658" w:type="dxa"/>
            <w:tcBorders>
              <w:top w:val="single" w:sz="4" w:space="0" w:color="auto"/>
              <w:bottom w:val="single" w:sz="4" w:space="0" w:color="auto"/>
            </w:tcBorders>
            <w:vAlign w:val="center"/>
          </w:tcPr>
          <w:p w14:paraId="0943EBA9" w14:textId="77777777"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β</w:t>
            </w:r>
          </w:p>
        </w:tc>
        <w:tc>
          <w:tcPr>
            <w:tcW w:w="902" w:type="dxa"/>
            <w:tcBorders>
              <w:top w:val="single" w:sz="4" w:space="0" w:color="auto"/>
              <w:bottom w:val="single" w:sz="4" w:space="0" w:color="auto"/>
            </w:tcBorders>
            <w:vAlign w:val="center"/>
          </w:tcPr>
          <w:p w14:paraId="0DB476A8" w14:textId="77777777"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95% CI</w:t>
            </w:r>
          </w:p>
        </w:tc>
        <w:tc>
          <w:tcPr>
            <w:tcW w:w="850" w:type="dxa"/>
            <w:tcBorders>
              <w:top w:val="single" w:sz="4" w:space="0" w:color="auto"/>
              <w:bottom w:val="single" w:sz="4" w:space="0" w:color="auto"/>
            </w:tcBorders>
          </w:tcPr>
          <w:p w14:paraId="0E8576DC" w14:textId="7B84EB9F" w:rsidR="009706C9" w:rsidRPr="00556B1C" w:rsidRDefault="009706C9" w:rsidP="009706C9">
            <w:pPr>
              <w:spacing w:before="40" w:after="40" w:line="276" w:lineRule="auto"/>
              <w:jc w:val="center"/>
              <w:rPr>
                <w:rFonts w:ascii="Times New Roman" w:hAnsi="Times New Roman" w:cs="Times New Roman"/>
                <w:sz w:val="18"/>
                <w:szCs w:val="18"/>
              </w:rPr>
            </w:pPr>
            <w:r w:rsidRPr="00556B1C">
              <w:rPr>
                <w:rFonts w:ascii="Times New Roman" w:hAnsi="Times New Roman" w:cs="Times New Roman"/>
                <w:sz w:val="18"/>
                <w:szCs w:val="18"/>
              </w:rPr>
              <w:t>p</w:t>
            </w:r>
          </w:p>
          <w:p w14:paraId="2172D8E7" w14:textId="711D5CFE"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18"/>
                <w:szCs w:val="18"/>
                <w:vertAlign w:val="subscript"/>
              </w:rPr>
              <w:t>(interaction)</w:t>
            </w:r>
          </w:p>
        </w:tc>
        <w:tc>
          <w:tcPr>
            <w:tcW w:w="691" w:type="dxa"/>
            <w:tcBorders>
              <w:top w:val="single" w:sz="4" w:space="0" w:color="auto"/>
              <w:bottom w:val="single" w:sz="4" w:space="0" w:color="auto"/>
            </w:tcBorders>
            <w:vAlign w:val="center"/>
          </w:tcPr>
          <w:p w14:paraId="5F38D0B7" w14:textId="32B9EAD6"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β</w:t>
            </w:r>
          </w:p>
        </w:tc>
        <w:tc>
          <w:tcPr>
            <w:tcW w:w="868" w:type="dxa"/>
            <w:tcBorders>
              <w:top w:val="single" w:sz="4" w:space="0" w:color="auto"/>
              <w:bottom w:val="single" w:sz="4" w:space="0" w:color="auto"/>
            </w:tcBorders>
            <w:vAlign w:val="center"/>
          </w:tcPr>
          <w:p w14:paraId="21ABD379" w14:textId="77777777"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95% CI</w:t>
            </w:r>
          </w:p>
        </w:tc>
        <w:tc>
          <w:tcPr>
            <w:tcW w:w="851" w:type="dxa"/>
            <w:tcBorders>
              <w:top w:val="single" w:sz="4" w:space="0" w:color="auto"/>
              <w:bottom w:val="single" w:sz="4" w:space="0" w:color="auto"/>
            </w:tcBorders>
          </w:tcPr>
          <w:p w14:paraId="5821F76A" w14:textId="08C10D06" w:rsidR="009706C9" w:rsidRPr="00556B1C" w:rsidRDefault="009706C9" w:rsidP="009706C9">
            <w:pPr>
              <w:spacing w:before="40" w:after="40" w:line="276" w:lineRule="auto"/>
              <w:jc w:val="center"/>
              <w:rPr>
                <w:rFonts w:ascii="Times New Roman" w:hAnsi="Times New Roman" w:cs="Times New Roman"/>
                <w:sz w:val="18"/>
                <w:szCs w:val="18"/>
              </w:rPr>
            </w:pPr>
            <w:r w:rsidRPr="00556B1C">
              <w:rPr>
                <w:rFonts w:ascii="Times New Roman" w:hAnsi="Times New Roman" w:cs="Times New Roman"/>
                <w:sz w:val="18"/>
                <w:szCs w:val="18"/>
              </w:rPr>
              <w:t>p</w:t>
            </w:r>
          </w:p>
          <w:p w14:paraId="4E88CC22" w14:textId="5281C9A7"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18"/>
                <w:szCs w:val="18"/>
                <w:vertAlign w:val="subscript"/>
              </w:rPr>
              <w:t>(interaction)</w:t>
            </w:r>
          </w:p>
        </w:tc>
        <w:tc>
          <w:tcPr>
            <w:tcW w:w="724" w:type="dxa"/>
            <w:tcBorders>
              <w:top w:val="single" w:sz="4" w:space="0" w:color="auto"/>
              <w:bottom w:val="single" w:sz="4" w:space="0" w:color="auto"/>
            </w:tcBorders>
            <w:vAlign w:val="center"/>
          </w:tcPr>
          <w:p w14:paraId="57DC9E60" w14:textId="19E3ADA1"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β</w:t>
            </w:r>
          </w:p>
        </w:tc>
        <w:tc>
          <w:tcPr>
            <w:tcW w:w="835" w:type="dxa"/>
            <w:tcBorders>
              <w:top w:val="single" w:sz="4" w:space="0" w:color="auto"/>
              <w:bottom w:val="single" w:sz="4" w:space="0" w:color="auto"/>
            </w:tcBorders>
            <w:vAlign w:val="center"/>
          </w:tcPr>
          <w:p w14:paraId="45B4A569" w14:textId="77777777"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95% CI</w:t>
            </w:r>
          </w:p>
        </w:tc>
        <w:tc>
          <w:tcPr>
            <w:tcW w:w="851" w:type="dxa"/>
            <w:tcBorders>
              <w:top w:val="single" w:sz="4" w:space="0" w:color="auto"/>
              <w:bottom w:val="single" w:sz="4" w:space="0" w:color="auto"/>
            </w:tcBorders>
          </w:tcPr>
          <w:p w14:paraId="44374B3F" w14:textId="08C396ED" w:rsidR="009706C9" w:rsidRPr="00556B1C" w:rsidRDefault="009706C9" w:rsidP="009706C9">
            <w:pPr>
              <w:spacing w:before="40" w:after="40" w:line="276" w:lineRule="auto"/>
              <w:jc w:val="center"/>
              <w:rPr>
                <w:rFonts w:ascii="Times New Roman" w:hAnsi="Times New Roman" w:cs="Times New Roman"/>
                <w:sz w:val="18"/>
                <w:szCs w:val="18"/>
              </w:rPr>
            </w:pPr>
            <w:r w:rsidRPr="00556B1C">
              <w:rPr>
                <w:rFonts w:ascii="Times New Roman" w:hAnsi="Times New Roman" w:cs="Times New Roman"/>
                <w:sz w:val="18"/>
                <w:szCs w:val="18"/>
              </w:rPr>
              <w:t>p</w:t>
            </w:r>
          </w:p>
          <w:p w14:paraId="30A8FD07" w14:textId="7D79C995"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18"/>
                <w:szCs w:val="18"/>
                <w:vertAlign w:val="subscript"/>
              </w:rPr>
              <w:t>(interaction)</w:t>
            </w:r>
          </w:p>
        </w:tc>
        <w:tc>
          <w:tcPr>
            <w:tcW w:w="757" w:type="dxa"/>
            <w:tcBorders>
              <w:top w:val="single" w:sz="4" w:space="0" w:color="auto"/>
              <w:bottom w:val="single" w:sz="4" w:space="0" w:color="auto"/>
            </w:tcBorders>
            <w:vAlign w:val="center"/>
          </w:tcPr>
          <w:p w14:paraId="3E3A937F" w14:textId="75CF66D5"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β</w:t>
            </w:r>
          </w:p>
        </w:tc>
        <w:tc>
          <w:tcPr>
            <w:tcW w:w="944" w:type="dxa"/>
            <w:tcBorders>
              <w:top w:val="single" w:sz="4" w:space="0" w:color="auto"/>
              <w:bottom w:val="single" w:sz="4" w:space="0" w:color="auto"/>
            </w:tcBorders>
            <w:vAlign w:val="center"/>
          </w:tcPr>
          <w:p w14:paraId="68394D9F" w14:textId="77777777"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95% CI</w:t>
            </w:r>
          </w:p>
        </w:tc>
        <w:tc>
          <w:tcPr>
            <w:tcW w:w="708" w:type="dxa"/>
            <w:tcBorders>
              <w:top w:val="single" w:sz="4" w:space="0" w:color="auto"/>
              <w:bottom w:val="single" w:sz="4" w:space="0" w:color="auto"/>
            </w:tcBorders>
          </w:tcPr>
          <w:p w14:paraId="604D04A6" w14:textId="2F90EAC9" w:rsidR="009706C9" w:rsidRPr="00556B1C" w:rsidRDefault="009706C9" w:rsidP="009706C9">
            <w:pPr>
              <w:spacing w:before="40" w:after="40" w:line="276" w:lineRule="auto"/>
              <w:jc w:val="center"/>
              <w:rPr>
                <w:rFonts w:ascii="Times New Roman" w:hAnsi="Times New Roman" w:cs="Times New Roman"/>
                <w:sz w:val="18"/>
                <w:szCs w:val="18"/>
              </w:rPr>
            </w:pPr>
            <w:r w:rsidRPr="00556B1C">
              <w:rPr>
                <w:rFonts w:ascii="Times New Roman" w:hAnsi="Times New Roman" w:cs="Times New Roman"/>
                <w:sz w:val="18"/>
                <w:szCs w:val="18"/>
              </w:rPr>
              <w:t>p</w:t>
            </w:r>
          </w:p>
          <w:p w14:paraId="6B9E4841" w14:textId="35502FF8"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18"/>
                <w:szCs w:val="18"/>
                <w:vertAlign w:val="subscript"/>
              </w:rPr>
              <w:t>(interaction)</w:t>
            </w:r>
          </w:p>
        </w:tc>
        <w:tc>
          <w:tcPr>
            <w:tcW w:w="791" w:type="dxa"/>
            <w:tcBorders>
              <w:top w:val="single" w:sz="4" w:space="0" w:color="auto"/>
              <w:bottom w:val="single" w:sz="4" w:space="0" w:color="auto"/>
            </w:tcBorders>
            <w:vAlign w:val="center"/>
          </w:tcPr>
          <w:p w14:paraId="7963A879" w14:textId="3FEFBFCF"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β</w:t>
            </w:r>
          </w:p>
        </w:tc>
        <w:tc>
          <w:tcPr>
            <w:tcW w:w="910" w:type="dxa"/>
            <w:tcBorders>
              <w:top w:val="single" w:sz="4" w:space="0" w:color="auto"/>
              <w:bottom w:val="single" w:sz="4" w:space="0" w:color="auto"/>
            </w:tcBorders>
            <w:vAlign w:val="center"/>
          </w:tcPr>
          <w:p w14:paraId="7F431061" w14:textId="77777777"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95% CI</w:t>
            </w:r>
          </w:p>
        </w:tc>
        <w:tc>
          <w:tcPr>
            <w:tcW w:w="917" w:type="dxa"/>
            <w:tcBorders>
              <w:top w:val="single" w:sz="4" w:space="0" w:color="auto"/>
              <w:bottom w:val="single" w:sz="4" w:space="0" w:color="auto"/>
            </w:tcBorders>
          </w:tcPr>
          <w:p w14:paraId="44604FE6" w14:textId="22FDBA5E"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p</w:t>
            </w:r>
          </w:p>
          <w:p w14:paraId="134BD8F8" w14:textId="658BEF18"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vertAlign w:val="subscript"/>
              </w:rPr>
              <w:t>(interaction)</w:t>
            </w:r>
          </w:p>
        </w:tc>
      </w:tr>
      <w:tr w:rsidR="00706C32" w:rsidRPr="00556B1C" w14:paraId="6CD9F67B" w14:textId="5FCF5292" w:rsidTr="00556B1C">
        <w:trPr>
          <w:trHeight w:val="57"/>
        </w:trPr>
        <w:tc>
          <w:tcPr>
            <w:tcW w:w="1701" w:type="dxa"/>
            <w:tcBorders>
              <w:top w:val="single" w:sz="4" w:space="0" w:color="auto"/>
            </w:tcBorders>
          </w:tcPr>
          <w:p w14:paraId="6AAC819F" w14:textId="77777777" w:rsidR="009706C9" w:rsidRPr="00556B1C" w:rsidRDefault="009706C9" w:rsidP="009706C9">
            <w:pPr>
              <w:spacing w:before="40" w:after="40" w:line="276" w:lineRule="auto"/>
              <w:rPr>
                <w:rFonts w:ascii="Times New Roman" w:hAnsi="Times New Roman" w:cs="Times New Roman"/>
                <w:b/>
                <w:sz w:val="20"/>
                <w:szCs w:val="20"/>
              </w:rPr>
            </w:pPr>
            <w:r w:rsidRPr="00556B1C">
              <w:rPr>
                <w:rFonts w:ascii="Times New Roman" w:hAnsi="Times New Roman" w:cs="Times New Roman"/>
                <w:b/>
                <w:sz w:val="20"/>
                <w:szCs w:val="20"/>
              </w:rPr>
              <w:t>Model 1</w:t>
            </w:r>
            <w:r w:rsidRPr="00556B1C">
              <w:rPr>
                <w:rFonts w:ascii="Times New Roman" w:hAnsi="Times New Roman" w:cs="Times New Roman"/>
                <w:b/>
                <w:sz w:val="20"/>
                <w:szCs w:val="20"/>
                <w:vertAlign w:val="superscript"/>
              </w:rPr>
              <w:t>a</w:t>
            </w:r>
          </w:p>
        </w:tc>
        <w:tc>
          <w:tcPr>
            <w:tcW w:w="658" w:type="dxa"/>
            <w:tcBorders>
              <w:top w:val="single" w:sz="4" w:space="0" w:color="auto"/>
            </w:tcBorders>
          </w:tcPr>
          <w:p w14:paraId="76F59A68" w14:textId="77777777" w:rsidR="009706C9" w:rsidRPr="00556B1C" w:rsidRDefault="009706C9" w:rsidP="009706C9">
            <w:pPr>
              <w:spacing w:before="40" w:after="40" w:line="276" w:lineRule="auto"/>
              <w:rPr>
                <w:rFonts w:ascii="Times New Roman" w:hAnsi="Times New Roman" w:cs="Times New Roman"/>
                <w:sz w:val="20"/>
                <w:szCs w:val="20"/>
              </w:rPr>
            </w:pPr>
          </w:p>
        </w:tc>
        <w:tc>
          <w:tcPr>
            <w:tcW w:w="902" w:type="dxa"/>
            <w:tcBorders>
              <w:top w:val="single" w:sz="4" w:space="0" w:color="auto"/>
            </w:tcBorders>
          </w:tcPr>
          <w:p w14:paraId="47318C54" w14:textId="77777777" w:rsidR="009706C9" w:rsidRPr="00556B1C" w:rsidRDefault="009706C9" w:rsidP="009706C9">
            <w:pPr>
              <w:spacing w:before="40" w:after="40" w:line="276" w:lineRule="auto"/>
              <w:rPr>
                <w:rFonts w:ascii="Times New Roman" w:hAnsi="Times New Roman" w:cs="Times New Roman"/>
                <w:sz w:val="20"/>
                <w:szCs w:val="20"/>
              </w:rPr>
            </w:pPr>
          </w:p>
        </w:tc>
        <w:tc>
          <w:tcPr>
            <w:tcW w:w="850" w:type="dxa"/>
            <w:tcBorders>
              <w:top w:val="single" w:sz="4" w:space="0" w:color="auto"/>
            </w:tcBorders>
          </w:tcPr>
          <w:p w14:paraId="39B8EE0A" w14:textId="77777777" w:rsidR="009706C9" w:rsidRPr="00556B1C" w:rsidRDefault="009706C9" w:rsidP="009706C9">
            <w:pPr>
              <w:spacing w:before="40" w:after="40" w:line="276" w:lineRule="auto"/>
              <w:rPr>
                <w:rFonts w:ascii="Times New Roman" w:hAnsi="Times New Roman" w:cs="Times New Roman"/>
                <w:sz w:val="20"/>
                <w:szCs w:val="20"/>
              </w:rPr>
            </w:pPr>
          </w:p>
        </w:tc>
        <w:tc>
          <w:tcPr>
            <w:tcW w:w="691" w:type="dxa"/>
            <w:tcBorders>
              <w:top w:val="single" w:sz="4" w:space="0" w:color="auto"/>
            </w:tcBorders>
          </w:tcPr>
          <w:p w14:paraId="52E158CB" w14:textId="4DF7E27F" w:rsidR="009706C9" w:rsidRPr="00556B1C" w:rsidRDefault="009706C9" w:rsidP="009706C9">
            <w:pPr>
              <w:spacing w:before="40" w:after="40" w:line="276" w:lineRule="auto"/>
              <w:rPr>
                <w:rFonts w:ascii="Times New Roman" w:hAnsi="Times New Roman" w:cs="Times New Roman"/>
                <w:sz w:val="20"/>
                <w:szCs w:val="20"/>
              </w:rPr>
            </w:pPr>
          </w:p>
        </w:tc>
        <w:tc>
          <w:tcPr>
            <w:tcW w:w="868" w:type="dxa"/>
            <w:tcBorders>
              <w:top w:val="single" w:sz="4" w:space="0" w:color="auto"/>
            </w:tcBorders>
          </w:tcPr>
          <w:p w14:paraId="2A183B44" w14:textId="77777777" w:rsidR="009706C9" w:rsidRPr="00556B1C" w:rsidRDefault="009706C9" w:rsidP="009706C9">
            <w:pPr>
              <w:spacing w:before="40" w:after="40" w:line="276" w:lineRule="auto"/>
              <w:rPr>
                <w:rFonts w:ascii="Times New Roman" w:hAnsi="Times New Roman" w:cs="Times New Roman"/>
                <w:sz w:val="20"/>
                <w:szCs w:val="20"/>
              </w:rPr>
            </w:pPr>
          </w:p>
        </w:tc>
        <w:tc>
          <w:tcPr>
            <w:tcW w:w="851" w:type="dxa"/>
            <w:tcBorders>
              <w:top w:val="single" w:sz="4" w:space="0" w:color="auto"/>
            </w:tcBorders>
          </w:tcPr>
          <w:p w14:paraId="788BC852" w14:textId="77777777" w:rsidR="009706C9" w:rsidRPr="00556B1C" w:rsidRDefault="009706C9" w:rsidP="009706C9">
            <w:pPr>
              <w:spacing w:before="40" w:after="40" w:line="276" w:lineRule="auto"/>
              <w:rPr>
                <w:rFonts w:ascii="Times New Roman" w:hAnsi="Times New Roman" w:cs="Times New Roman"/>
                <w:sz w:val="20"/>
                <w:szCs w:val="20"/>
              </w:rPr>
            </w:pPr>
          </w:p>
        </w:tc>
        <w:tc>
          <w:tcPr>
            <w:tcW w:w="724" w:type="dxa"/>
            <w:tcBorders>
              <w:top w:val="single" w:sz="4" w:space="0" w:color="auto"/>
            </w:tcBorders>
          </w:tcPr>
          <w:p w14:paraId="7EA6592B" w14:textId="710C1B9A" w:rsidR="009706C9" w:rsidRPr="00556B1C" w:rsidRDefault="009706C9" w:rsidP="009706C9">
            <w:pPr>
              <w:spacing w:before="40" w:after="40" w:line="276" w:lineRule="auto"/>
              <w:rPr>
                <w:rFonts w:ascii="Times New Roman" w:hAnsi="Times New Roman" w:cs="Times New Roman"/>
                <w:sz w:val="20"/>
                <w:szCs w:val="20"/>
              </w:rPr>
            </w:pPr>
          </w:p>
        </w:tc>
        <w:tc>
          <w:tcPr>
            <w:tcW w:w="835" w:type="dxa"/>
            <w:tcBorders>
              <w:top w:val="single" w:sz="4" w:space="0" w:color="auto"/>
            </w:tcBorders>
          </w:tcPr>
          <w:p w14:paraId="4EB7D309" w14:textId="77777777" w:rsidR="009706C9" w:rsidRPr="00556B1C" w:rsidRDefault="009706C9" w:rsidP="009706C9">
            <w:pPr>
              <w:spacing w:before="40" w:after="40" w:line="276" w:lineRule="auto"/>
              <w:rPr>
                <w:rFonts w:ascii="Times New Roman" w:hAnsi="Times New Roman" w:cs="Times New Roman"/>
                <w:sz w:val="20"/>
                <w:szCs w:val="20"/>
              </w:rPr>
            </w:pPr>
          </w:p>
        </w:tc>
        <w:tc>
          <w:tcPr>
            <w:tcW w:w="851" w:type="dxa"/>
            <w:tcBorders>
              <w:top w:val="single" w:sz="4" w:space="0" w:color="auto"/>
            </w:tcBorders>
          </w:tcPr>
          <w:p w14:paraId="3A986AB4" w14:textId="77777777" w:rsidR="009706C9" w:rsidRPr="00556B1C" w:rsidRDefault="009706C9" w:rsidP="009706C9">
            <w:pPr>
              <w:spacing w:before="40" w:after="40" w:line="276" w:lineRule="auto"/>
              <w:rPr>
                <w:rFonts w:ascii="Times New Roman" w:hAnsi="Times New Roman" w:cs="Times New Roman"/>
                <w:sz w:val="20"/>
                <w:szCs w:val="20"/>
              </w:rPr>
            </w:pPr>
          </w:p>
        </w:tc>
        <w:tc>
          <w:tcPr>
            <w:tcW w:w="757" w:type="dxa"/>
            <w:tcBorders>
              <w:top w:val="single" w:sz="4" w:space="0" w:color="auto"/>
            </w:tcBorders>
          </w:tcPr>
          <w:p w14:paraId="7D27E964" w14:textId="5DFFD4ED" w:rsidR="009706C9" w:rsidRPr="00556B1C" w:rsidRDefault="009706C9" w:rsidP="009706C9">
            <w:pPr>
              <w:spacing w:before="40" w:after="40" w:line="276" w:lineRule="auto"/>
              <w:rPr>
                <w:rFonts w:ascii="Times New Roman" w:hAnsi="Times New Roman" w:cs="Times New Roman"/>
                <w:sz w:val="20"/>
                <w:szCs w:val="20"/>
              </w:rPr>
            </w:pPr>
          </w:p>
        </w:tc>
        <w:tc>
          <w:tcPr>
            <w:tcW w:w="944" w:type="dxa"/>
            <w:tcBorders>
              <w:top w:val="single" w:sz="4" w:space="0" w:color="auto"/>
            </w:tcBorders>
          </w:tcPr>
          <w:p w14:paraId="7F319B75" w14:textId="77777777" w:rsidR="009706C9" w:rsidRPr="00556B1C" w:rsidRDefault="009706C9" w:rsidP="009706C9">
            <w:pPr>
              <w:spacing w:before="40" w:after="40" w:line="276" w:lineRule="auto"/>
              <w:rPr>
                <w:rFonts w:ascii="Times New Roman" w:hAnsi="Times New Roman" w:cs="Times New Roman"/>
                <w:sz w:val="20"/>
                <w:szCs w:val="20"/>
              </w:rPr>
            </w:pPr>
          </w:p>
        </w:tc>
        <w:tc>
          <w:tcPr>
            <w:tcW w:w="708" w:type="dxa"/>
            <w:tcBorders>
              <w:top w:val="single" w:sz="4" w:space="0" w:color="auto"/>
            </w:tcBorders>
          </w:tcPr>
          <w:p w14:paraId="64221DB9" w14:textId="77777777" w:rsidR="009706C9" w:rsidRPr="00556B1C" w:rsidRDefault="009706C9" w:rsidP="009706C9">
            <w:pPr>
              <w:spacing w:before="40" w:after="40" w:line="276" w:lineRule="auto"/>
              <w:rPr>
                <w:rFonts w:ascii="Times New Roman" w:hAnsi="Times New Roman" w:cs="Times New Roman"/>
                <w:sz w:val="20"/>
                <w:szCs w:val="20"/>
              </w:rPr>
            </w:pPr>
          </w:p>
        </w:tc>
        <w:tc>
          <w:tcPr>
            <w:tcW w:w="791" w:type="dxa"/>
            <w:tcBorders>
              <w:top w:val="single" w:sz="4" w:space="0" w:color="auto"/>
            </w:tcBorders>
          </w:tcPr>
          <w:p w14:paraId="2D25DAB4" w14:textId="3246E092" w:rsidR="009706C9" w:rsidRPr="00556B1C" w:rsidRDefault="009706C9" w:rsidP="009706C9">
            <w:pPr>
              <w:spacing w:before="40" w:after="40" w:line="276" w:lineRule="auto"/>
              <w:rPr>
                <w:rFonts w:ascii="Times New Roman" w:hAnsi="Times New Roman" w:cs="Times New Roman"/>
                <w:sz w:val="20"/>
                <w:szCs w:val="20"/>
              </w:rPr>
            </w:pPr>
          </w:p>
        </w:tc>
        <w:tc>
          <w:tcPr>
            <w:tcW w:w="910" w:type="dxa"/>
            <w:tcBorders>
              <w:top w:val="single" w:sz="4" w:space="0" w:color="auto"/>
            </w:tcBorders>
          </w:tcPr>
          <w:p w14:paraId="20440754" w14:textId="77777777" w:rsidR="009706C9" w:rsidRPr="00556B1C" w:rsidRDefault="009706C9" w:rsidP="009706C9">
            <w:pPr>
              <w:spacing w:before="40" w:after="40" w:line="276" w:lineRule="auto"/>
              <w:rPr>
                <w:rFonts w:ascii="Times New Roman" w:hAnsi="Times New Roman" w:cs="Times New Roman"/>
                <w:sz w:val="20"/>
                <w:szCs w:val="20"/>
              </w:rPr>
            </w:pPr>
          </w:p>
        </w:tc>
        <w:tc>
          <w:tcPr>
            <w:tcW w:w="917" w:type="dxa"/>
            <w:tcBorders>
              <w:top w:val="single" w:sz="4" w:space="0" w:color="auto"/>
            </w:tcBorders>
          </w:tcPr>
          <w:p w14:paraId="2F9F98E3" w14:textId="77777777" w:rsidR="009706C9" w:rsidRPr="00556B1C" w:rsidRDefault="009706C9" w:rsidP="009706C9">
            <w:pPr>
              <w:spacing w:before="40" w:after="40" w:line="276" w:lineRule="auto"/>
              <w:rPr>
                <w:rFonts w:ascii="Times New Roman" w:hAnsi="Times New Roman" w:cs="Times New Roman"/>
                <w:sz w:val="20"/>
                <w:szCs w:val="20"/>
              </w:rPr>
            </w:pPr>
          </w:p>
        </w:tc>
      </w:tr>
      <w:tr w:rsidR="00706C32" w:rsidRPr="00556B1C" w14:paraId="0623755E" w14:textId="18B8FAE2" w:rsidTr="00556B1C">
        <w:trPr>
          <w:trHeight w:val="57"/>
        </w:trPr>
        <w:tc>
          <w:tcPr>
            <w:tcW w:w="1701" w:type="dxa"/>
          </w:tcPr>
          <w:p w14:paraId="30F3C00B" w14:textId="77777777" w:rsidR="009706C9" w:rsidRPr="00556B1C" w:rsidRDefault="009706C9" w:rsidP="009706C9">
            <w:pPr>
              <w:spacing w:before="40" w:after="40" w:line="276" w:lineRule="auto"/>
              <w:rPr>
                <w:rFonts w:ascii="Times New Roman" w:hAnsi="Times New Roman" w:cs="Times New Roman"/>
                <w:sz w:val="20"/>
                <w:szCs w:val="20"/>
              </w:rPr>
            </w:pPr>
            <w:r w:rsidRPr="00556B1C">
              <w:rPr>
                <w:rFonts w:ascii="Times New Roman" w:hAnsi="Times New Roman" w:cs="Times New Roman"/>
                <w:sz w:val="20"/>
                <w:szCs w:val="20"/>
              </w:rPr>
              <w:t xml:space="preserve">Infant weight gain </w:t>
            </w:r>
          </w:p>
          <w:p w14:paraId="00D1CC24" w14:textId="1F057F5C" w:rsidR="009706C9" w:rsidRPr="00556B1C" w:rsidRDefault="009706C9" w:rsidP="009706C9">
            <w:pPr>
              <w:spacing w:before="40" w:after="40" w:line="276" w:lineRule="auto"/>
              <w:rPr>
                <w:rFonts w:ascii="Times New Roman" w:hAnsi="Times New Roman" w:cs="Times New Roman"/>
                <w:sz w:val="20"/>
                <w:szCs w:val="20"/>
              </w:rPr>
            </w:pPr>
            <w:r w:rsidRPr="00556B1C">
              <w:rPr>
                <w:rFonts w:ascii="Times New Roman" w:hAnsi="Times New Roman" w:cs="Times New Roman"/>
                <w:sz w:val="20"/>
                <w:szCs w:val="20"/>
              </w:rPr>
              <w:t>(0-2 years)</w:t>
            </w:r>
            <w:r w:rsidRPr="00556B1C">
              <w:rPr>
                <w:rFonts w:ascii="Times New Roman" w:hAnsi="Times New Roman" w:cs="Times New Roman"/>
                <w:sz w:val="20"/>
                <w:szCs w:val="20"/>
                <w:vertAlign w:val="superscript"/>
              </w:rPr>
              <w:t>b</w:t>
            </w:r>
          </w:p>
        </w:tc>
        <w:tc>
          <w:tcPr>
            <w:tcW w:w="658" w:type="dxa"/>
            <w:vAlign w:val="center"/>
          </w:tcPr>
          <w:p w14:paraId="0B913382" w14:textId="2F923D8C"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0.45</w:t>
            </w:r>
          </w:p>
        </w:tc>
        <w:tc>
          <w:tcPr>
            <w:tcW w:w="902" w:type="dxa"/>
            <w:vAlign w:val="center"/>
          </w:tcPr>
          <w:p w14:paraId="5C71BF11" w14:textId="4B1AF45B"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0.40, 0.51</w:t>
            </w:r>
          </w:p>
        </w:tc>
        <w:tc>
          <w:tcPr>
            <w:tcW w:w="850" w:type="dxa"/>
          </w:tcPr>
          <w:p w14:paraId="7C77067F" w14:textId="167754A5"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91" w:type="dxa"/>
            <w:vAlign w:val="center"/>
          </w:tcPr>
          <w:p w14:paraId="12BBE767" w14:textId="0690CF8D"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1.31</w:t>
            </w:r>
          </w:p>
        </w:tc>
        <w:tc>
          <w:tcPr>
            <w:tcW w:w="868" w:type="dxa"/>
            <w:vAlign w:val="center"/>
          </w:tcPr>
          <w:p w14:paraId="4DA90BB8" w14:textId="25E3832E"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0.96, 1.67</w:t>
            </w:r>
          </w:p>
        </w:tc>
        <w:tc>
          <w:tcPr>
            <w:tcW w:w="851" w:type="dxa"/>
          </w:tcPr>
          <w:p w14:paraId="4341BECC" w14:textId="7C460375"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4" w:type="dxa"/>
            <w:vAlign w:val="center"/>
          </w:tcPr>
          <w:p w14:paraId="69337F9D" w14:textId="2590E8DA"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0.38</w:t>
            </w:r>
          </w:p>
        </w:tc>
        <w:tc>
          <w:tcPr>
            <w:tcW w:w="835" w:type="dxa"/>
            <w:vAlign w:val="center"/>
          </w:tcPr>
          <w:p w14:paraId="77B387D8" w14:textId="016338DF"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0.32, 0.44</w:t>
            </w:r>
          </w:p>
        </w:tc>
        <w:tc>
          <w:tcPr>
            <w:tcW w:w="851" w:type="dxa"/>
          </w:tcPr>
          <w:p w14:paraId="00060786" w14:textId="7BBEAA05"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57" w:type="dxa"/>
            <w:vAlign w:val="center"/>
          </w:tcPr>
          <w:p w14:paraId="3D6F5331" w14:textId="044256BB"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1.50</w:t>
            </w:r>
          </w:p>
        </w:tc>
        <w:tc>
          <w:tcPr>
            <w:tcW w:w="944" w:type="dxa"/>
            <w:vAlign w:val="center"/>
          </w:tcPr>
          <w:p w14:paraId="72D76407" w14:textId="0C9C3AEA"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0.45, 2.54</w:t>
            </w:r>
          </w:p>
        </w:tc>
        <w:tc>
          <w:tcPr>
            <w:tcW w:w="708" w:type="dxa"/>
          </w:tcPr>
          <w:p w14:paraId="73C67C60" w14:textId="7B28E9F9"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91" w:type="dxa"/>
            <w:vAlign w:val="center"/>
          </w:tcPr>
          <w:p w14:paraId="4C254998" w14:textId="0BDB3680"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0.53</w:t>
            </w:r>
          </w:p>
        </w:tc>
        <w:tc>
          <w:tcPr>
            <w:tcW w:w="910" w:type="dxa"/>
            <w:vAlign w:val="center"/>
          </w:tcPr>
          <w:p w14:paraId="4D85192B" w14:textId="7B55613D"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-0.24, 1.29</w:t>
            </w:r>
          </w:p>
        </w:tc>
        <w:tc>
          <w:tcPr>
            <w:tcW w:w="917" w:type="dxa"/>
          </w:tcPr>
          <w:p w14:paraId="0B7D6F58" w14:textId="0913C4D8"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706C32" w:rsidRPr="00556B1C" w14:paraId="6368E2CE" w14:textId="66254222" w:rsidTr="00556B1C">
        <w:trPr>
          <w:trHeight w:val="57"/>
        </w:trPr>
        <w:tc>
          <w:tcPr>
            <w:tcW w:w="1701" w:type="dxa"/>
            <w:tcBorders>
              <w:bottom w:val="nil"/>
            </w:tcBorders>
          </w:tcPr>
          <w:p w14:paraId="38C3598E" w14:textId="77777777" w:rsidR="009706C9" w:rsidRPr="00556B1C" w:rsidRDefault="009706C9" w:rsidP="009706C9">
            <w:pPr>
              <w:spacing w:before="40" w:after="40" w:line="276" w:lineRule="auto"/>
              <w:rPr>
                <w:rFonts w:ascii="Times New Roman" w:hAnsi="Times New Roman" w:cs="Times New Roman"/>
                <w:sz w:val="20"/>
                <w:szCs w:val="20"/>
              </w:rPr>
            </w:pPr>
            <w:r w:rsidRPr="00556B1C">
              <w:rPr>
                <w:rFonts w:ascii="Times New Roman" w:hAnsi="Times New Roman" w:cs="Times New Roman"/>
                <w:sz w:val="20"/>
                <w:szCs w:val="20"/>
              </w:rPr>
              <w:t xml:space="preserve">Mean fetal weight </w:t>
            </w:r>
          </w:p>
          <w:p w14:paraId="195A5C76" w14:textId="121B34C0" w:rsidR="009706C9" w:rsidRPr="00556B1C" w:rsidRDefault="009706C9" w:rsidP="009706C9">
            <w:pPr>
              <w:spacing w:before="40" w:after="40" w:line="276" w:lineRule="auto"/>
              <w:rPr>
                <w:rFonts w:ascii="Times New Roman" w:hAnsi="Times New Roman" w:cs="Times New Roman"/>
                <w:sz w:val="20"/>
                <w:szCs w:val="20"/>
              </w:rPr>
            </w:pPr>
            <w:r w:rsidRPr="00556B1C">
              <w:rPr>
                <w:rFonts w:ascii="Times New Roman" w:hAnsi="Times New Roman" w:cs="Times New Roman"/>
                <w:sz w:val="20"/>
                <w:szCs w:val="20"/>
              </w:rPr>
              <w:t>(19-34 weeks)</w:t>
            </w:r>
            <w:r w:rsidRPr="00556B1C">
              <w:rPr>
                <w:rFonts w:ascii="Times New Roman" w:hAnsi="Times New Roman" w:cs="Times New Roman"/>
                <w:sz w:val="20"/>
                <w:szCs w:val="20"/>
                <w:vertAlign w:val="superscript"/>
              </w:rPr>
              <w:t>b</w:t>
            </w:r>
          </w:p>
        </w:tc>
        <w:tc>
          <w:tcPr>
            <w:tcW w:w="658" w:type="dxa"/>
            <w:tcBorders>
              <w:bottom w:val="nil"/>
            </w:tcBorders>
            <w:vAlign w:val="center"/>
          </w:tcPr>
          <w:p w14:paraId="3A99CF05" w14:textId="2FE31360"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0.12</w:t>
            </w:r>
          </w:p>
        </w:tc>
        <w:tc>
          <w:tcPr>
            <w:tcW w:w="902" w:type="dxa"/>
            <w:tcBorders>
              <w:bottom w:val="nil"/>
            </w:tcBorders>
            <w:vAlign w:val="center"/>
          </w:tcPr>
          <w:p w14:paraId="39A7B67A" w14:textId="5033C2B7"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0.06, 0.18</w:t>
            </w:r>
          </w:p>
        </w:tc>
        <w:tc>
          <w:tcPr>
            <w:tcW w:w="850" w:type="dxa"/>
            <w:tcBorders>
              <w:bottom w:val="nil"/>
            </w:tcBorders>
          </w:tcPr>
          <w:p w14:paraId="491F2151" w14:textId="7AF70C3D"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91" w:type="dxa"/>
            <w:tcBorders>
              <w:bottom w:val="nil"/>
            </w:tcBorders>
            <w:vAlign w:val="center"/>
          </w:tcPr>
          <w:p w14:paraId="721040FB" w14:textId="7D4131C4"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-0.02</w:t>
            </w:r>
          </w:p>
        </w:tc>
        <w:tc>
          <w:tcPr>
            <w:tcW w:w="868" w:type="dxa"/>
            <w:tcBorders>
              <w:bottom w:val="nil"/>
            </w:tcBorders>
            <w:vAlign w:val="center"/>
          </w:tcPr>
          <w:p w14:paraId="7499D524" w14:textId="63D583EE"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-0.39, 0.36</w:t>
            </w:r>
          </w:p>
        </w:tc>
        <w:tc>
          <w:tcPr>
            <w:tcW w:w="851" w:type="dxa"/>
            <w:tcBorders>
              <w:bottom w:val="nil"/>
            </w:tcBorders>
          </w:tcPr>
          <w:p w14:paraId="075296B8" w14:textId="24FF9332"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4" w:type="dxa"/>
            <w:tcBorders>
              <w:bottom w:val="nil"/>
            </w:tcBorders>
            <w:vAlign w:val="center"/>
          </w:tcPr>
          <w:p w14:paraId="4C92BEF0" w14:textId="4C417C83"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0.01</w:t>
            </w:r>
          </w:p>
        </w:tc>
        <w:tc>
          <w:tcPr>
            <w:tcW w:w="835" w:type="dxa"/>
            <w:tcBorders>
              <w:bottom w:val="nil"/>
            </w:tcBorders>
            <w:vAlign w:val="center"/>
          </w:tcPr>
          <w:p w14:paraId="34B3D694" w14:textId="48423636"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-0.05, 0.08</w:t>
            </w:r>
          </w:p>
        </w:tc>
        <w:tc>
          <w:tcPr>
            <w:tcW w:w="851" w:type="dxa"/>
            <w:tcBorders>
              <w:bottom w:val="nil"/>
            </w:tcBorders>
          </w:tcPr>
          <w:p w14:paraId="03A641D0" w14:textId="5C8D7F3F"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57" w:type="dxa"/>
            <w:tcBorders>
              <w:bottom w:val="nil"/>
            </w:tcBorders>
            <w:vAlign w:val="center"/>
          </w:tcPr>
          <w:p w14:paraId="723BB9FD" w14:textId="025B4D04"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-0.03</w:t>
            </w:r>
          </w:p>
        </w:tc>
        <w:tc>
          <w:tcPr>
            <w:tcW w:w="944" w:type="dxa"/>
            <w:tcBorders>
              <w:bottom w:val="nil"/>
            </w:tcBorders>
            <w:vAlign w:val="center"/>
          </w:tcPr>
          <w:p w14:paraId="785B1106" w14:textId="76D2342D"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-1.19, 1.14</w:t>
            </w:r>
          </w:p>
        </w:tc>
        <w:tc>
          <w:tcPr>
            <w:tcW w:w="708" w:type="dxa"/>
            <w:tcBorders>
              <w:bottom w:val="nil"/>
            </w:tcBorders>
          </w:tcPr>
          <w:p w14:paraId="797CBF8F" w14:textId="6BA4F788"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91" w:type="dxa"/>
            <w:tcBorders>
              <w:bottom w:val="nil"/>
            </w:tcBorders>
            <w:vAlign w:val="center"/>
          </w:tcPr>
          <w:p w14:paraId="58A90598" w14:textId="209E71B4"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-0.19</w:t>
            </w:r>
          </w:p>
        </w:tc>
        <w:tc>
          <w:tcPr>
            <w:tcW w:w="910" w:type="dxa"/>
            <w:tcBorders>
              <w:bottom w:val="nil"/>
            </w:tcBorders>
            <w:vAlign w:val="center"/>
          </w:tcPr>
          <w:p w14:paraId="67488024" w14:textId="0D972100"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-0.96, 0.58</w:t>
            </w:r>
          </w:p>
        </w:tc>
        <w:tc>
          <w:tcPr>
            <w:tcW w:w="917" w:type="dxa"/>
            <w:tcBorders>
              <w:bottom w:val="nil"/>
            </w:tcBorders>
          </w:tcPr>
          <w:p w14:paraId="3E66F0E9" w14:textId="56734EEF"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706C32" w:rsidRPr="00556B1C" w14:paraId="51F4C42A" w14:textId="0E34FD54" w:rsidTr="00556B1C">
        <w:trPr>
          <w:trHeight w:val="57"/>
        </w:trPr>
        <w:tc>
          <w:tcPr>
            <w:tcW w:w="1701" w:type="dxa"/>
            <w:tcBorders>
              <w:top w:val="nil"/>
              <w:bottom w:val="single" w:sz="4" w:space="0" w:color="auto"/>
            </w:tcBorders>
          </w:tcPr>
          <w:p w14:paraId="37D84CC5" w14:textId="77777777" w:rsidR="009706C9" w:rsidRPr="00556B1C" w:rsidRDefault="009706C9" w:rsidP="009706C9">
            <w:pPr>
              <w:spacing w:before="40" w:after="40" w:line="276" w:lineRule="auto"/>
              <w:rPr>
                <w:rFonts w:ascii="Times New Roman" w:hAnsi="Times New Roman" w:cs="Times New Roman"/>
                <w:sz w:val="20"/>
                <w:szCs w:val="20"/>
              </w:rPr>
            </w:pPr>
            <w:r w:rsidRPr="00556B1C">
              <w:rPr>
                <w:rFonts w:ascii="Times New Roman" w:hAnsi="Times New Roman" w:cs="Times New Roman"/>
                <w:sz w:val="20"/>
                <w:szCs w:val="20"/>
              </w:rPr>
              <w:t xml:space="preserve">Infant weight gain X </w:t>
            </w:r>
          </w:p>
          <w:p w14:paraId="49D1F118" w14:textId="592D3F64" w:rsidR="009706C9" w:rsidRPr="00556B1C" w:rsidRDefault="00706C32" w:rsidP="009706C9">
            <w:pPr>
              <w:spacing w:before="40" w:after="40" w:line="276" w:lineRule="auto"/>
              <w:rPr>
                <w:rFonts w:ascii="Times New Roman" w:hAnsi="Times New Roman" w:cs="Times New Roman"/>
                <w:sz w:val="20"/>
                <w:szCs w:val="20"/>
              </w:rPr>
            </w:pPr>
            <w:r>
              <w:rPr>
                <w:rFonts w:ascii="Times New Roman" w:hAnsi="Times New Roman" w:cs="Times New Roman"/>
                <w:sz w:val="20"/>
                <w:szCs w:val="20"/>
              </w:rPr>
              <w:t>M</w:t>
            </w:r>
            <w:r w:rsidR="009706C9" w:rsidRPr="00556B1C">
              <w:rPr>
                <w:rFonts w:ascii="Times New Roman" w:hAnsi="Times New Roman" w:cs="Times New Roman"/>
                <w:sz w:val="20"/>
                <w:szCs w:val="20"/>
              </w:rPr>
              <w:t xml:space="preserve">ean fetal weight  </w:t>
            </w:r>
          </w:p>
        </w:tc>
        <w:tc>
          <w:tcPr>
            <w:tcW w:w="658" w:type="dxa"/>
            <w:tcBorders>
              <w:top w:val="nil"/>
              <w:bottom w:val="single" w:sz="4" w:space="0" w:color="auto"/>
            </w:tcBorders>
            <w:vAlign w:val="center"/>
          </w:tcPr>
          <w:p w14:paraId="161B1404" w14:textId="0437CEF7"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-0.03</w:t>
            </w:r>
          </w:p>
        </w:tc>
        <w:tc>
          <w:tcPr>
            <w:tcW w:w="902" w:type="dxa"/>
            <w:tcBorders>
              <w:top w:val="nil"/>
              <w:bottom w:val="single" w:sz="4" w:space="0" w:color="auto"/>
            </w:tcBorders>
            <w:vAlign w:val="center"/>
          </w:tcPr>
          <w:p w14:paraId="27DB9F51" w14:textId="08C5E32C"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-0.09, 0.03</w:t>
            </w:r>
          </w:p>
        </w:tc>
        <w:tc>
          <w:tcPr>
            <w:tcW w:w="850" w:type="dxa"/>
            <w:tcBorders>
              <w:top w:val="nil"/>
              <w:bottom w:val="single" w:sz="4" w:space="0" w:color="auto"/>
            </w:tcBorders>
            <w:vAlign w:val="center"/>
          </w:tcPr>
          <w:p w14:paraId="2BFCDA96" w14:textId="116BFFA7" w:rsidR="009706C9" w:rsidRPr="00556B1C" w:rsidRDefault="009B7BF8" w:rsidP="00556B1C">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0.39</w:t>
            </w:r>
          </w:p>
        </w:tc>
        <w:tc>
          <w:tcPr>
            <w:tcW w:w="691" w:type="dxa"/>
            <w:tcBorders>
              <w:top w:val="nil"/>
              <w:bottom w:val="single" w:sz="4" w:space="0" w:color="auto"/>
            </w:tcBorders>
            <w:vAlign w:val="center"/>
          </w:tcPr>
          <w:p w14:paraId="2F7BB34E" w14:textId="4A4DF6AB"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-0.11</w:t>
            </w:r>
          </w:p>
        </w:tc>
        <w:tc>
          <w:tcPr>
            <w:tcW w:w="868" w:type="dxa"/>
            <w:tcBorders>
              <w:top w:val="nil"/>
              <w:bottom w:val="single" w:sz="4" w:space="0" w:color="auto"/>
            </w:tcBorders>
            <w:vAlign w:val="center"/>
          </w:tcPr>
          <w:p w14:paraId="379A78C0" w14:textId="2403366A"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-0.48, 0.26</w:t>
            </w:r>
          </w:p>
        </w:tc>
        <w:tc>
          <w:tcPr>
            <w:tcW w:w="851" w:type="dxa"/>
            <w:tcBorders>
              <w:top w:val="nil"/>
              <w:bottom w:val="single" w:sz="4" w:space="0" w:color="auto"/>
            </w:tcBorders>
            <w:vAlign w:val="center"/>
          </w:tcPr>
          <w:p w14:paraId="14CB79F0" w14:textId="6864375A" w:rsidR="009706C9" w:rsidRPr="00556B1C" w:rsidRDefault="009B7BF8" w:rsidP="00706C32">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0.56</w:t>
            </w:r>
          </w:p>
        </w:tc>
        <w:tc>
          <w:tcPr>
            <w:tcW w:w="724" w:type="dxa"/>
            <w:tcBorders>
              <w:top w:val="nil"/>
              <w:bottom w:val="single" w:sz="4" w:space="0" w:color="auto"/>
            </w:tcBorders>
            <w:vAlign w:val="center"/>
          </w:tcPr>
          <w:p w14:paraId="3C17272E" w14:textId="066CBE41"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-0.04</w:t>
            </w:r>
          </w:p>
        </w:tc>
        <w:tc>
          <w:tcPr>
            <w:tcW w:w="835" w:type="dxa"/>
            <w:tcBorders>
              <w:top w:val="nil"/>
              <w:bottom w:val="single" w:sz="4" w:space="0" w:color="auto"/>
            </w:tcBorders>
            <w:vAlign w:val="center"/>
          </w:tcPr>
          <w:p w14:paraId="5F46E9D9" w14:textId="19DA0320"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-0.11, 0.03</w:t>
            </w:r>
          </w:p>
        </w:tc>
        <w:tc>
          <w:tcPr>
            <w:tcW w:w="851" w:type="dxa"/>
            <w:tcBorders>
              <w:top w:val="nil"/>
              <w:bottom w:val="single" w:sz="4" w:space="0" w:color="auto"/>
            </w:tcBorders>
            <w:vAlign w:val="center"/>
          </w:tcPr>
          <w:p w14:paraId="187F4B30" w14:textId="71D14E91" w:rsidR="009706C9" w:rsidRPr="00556B1C" w:rsidRDefault="009B7BF8" w:rsidP="00706C32">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0.29</w:t>
            </w:r>
          </w:p>
        </w:tc>
        <w:tc>
          <w:tcPr>
            <w:tcW w:w="757" w:type="dxa"/>
            <w:tcBorders>
              <w:top w:val="nil"/>
              <w:bottom w:val="single" w:sz="4" w:space="0" w:color="auto"/>
            </w:tcBorders>
            <w:vAlign w:val="center"/>
          </w:tcPr>
          <w:p w14:paraId="3E861761" w14:textId="1C3781E7"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-0.83</w:t>
            </w:r>
          </w:p>
        </w:tc>
        <w:tc>
          <w:tcPr>
            <w:tcW w:w="944" w:type="dxa"/>
            <w:tcBorders>
              <w:top w:val="nil"/>
              <w:bottom w:val="single" w:sz="4" w:space="0" w:color="auto"/>
            </w:tcBorders>
            <w:vAlign w:val="center"/>
          </w:tcPr>
          <w:p w14:paraId="393BAD25" w14:textId="6D79086D"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-1.80, 0.14</w:t>
            </w:r>
          </w:p>
        </w:tc>
        <w:tc>
          <w:tcPr>
            <w:tcW w:w="708" w:type="dxa"/>
            <w:tcBorders>
              <w:top w:val="nil"/>
              <w:bottom w:val="single" w:sz="4" w:space="0" w:color="auto"/>
            </w:tcBorders>
            <w:vAlign w:val="center"/>
          </w:tcPr>
          <w:p w14:paraId="0D84D206" w14:textId="073CC466" w:rsidR="009706C9" w:rsidRPr="00556B1C" w:rsidRDefault="009B7BF8" w:rsidP="00706C32">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0.09</w:t>
            </w:r>
          </w:p>
        </w:tc>
        <w:tc>
          <w:tcPr>
            <w:tcW w:w="791" w:type="dxa"/>
            <w:tcBorders>
              <w:top w:val="nil"/>
              <w:bottom w:val="single" w:sz="4" w:space="0" w:color="auto"/>
            </w:tcBorders>
            <w:vAlign w:val="center"/>
          </w:tcPr>
          <w:p w14:paraId="416E342A" w14:textId="41CDC17E"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-0.38</w:t>
            </w:r>
          </w:p>
        </w:tc>
        <w:tc>
          <w:tcPr>
            <w:tcW w:w="910" w:type="dxa"/>
            <w:tcBorders>
              <w:top w:val="nil"/>
              <w:bottom w:val="single" w:sz="4" w:space="0" w:color="auto"/>
            </w:tcBorders>
            <w:vAlign w:val="center"/>
          </w:tcPr>
          <w:p w14:paraId="3BD4134A" w14:textId="482949D4"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-1.10, 0.34</w:t>
            </w:r>
          </w:p>
        </w:tc>
        <w:tc>
          <w:tcPr>
            <w:tcW w:w="917" w:type="dxa"/>
            <w:tcBorders>
              <w:top w:val="nil"/>
              <w:bottom w:val="single" w:sz="4" w:space="0" w:color="auto"/>
            </w:tcBorders>
            <w:vAlign w:val="center"/>
          </w:tcPr>
          <w:p w14:paraId="21E73B76" w14:textId="75FB0918" w:rsidR="009706C9" w:rsidRPr="00556B1C" w:rsidRDefault="009B7BF8" w:rsidP="00706C32">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0.30</w:t>
            </w:r>
          </w:p>
        </w:tc>
      </w:tr>
      <w:tr w:rsidR="00706C32" w:rsidRPr="00556B1C" w14:paraId="581FDEAB" w14:textId="3EE0DD55" w:rsidTr="00556B1C">
        <w:trPr>
          <w:trHeight w:val="57"/>
        </w:trPr>
        <w:tc>
          <w:tcPr>
            <w:tcW w:w="1701" w:type="dxa"/>
            <w:tcBorders>
              <w:top w:val="single" w:sz="4" w:space="0" w:color="auto"/>
            </w:tcBorders>
          </w:tcPr>
          <w:p w14:paraId="361667A2" w14:textId="01E4D8C8" w:rsidR="009706C9" w:rsidRPr="00556B1C" w:rsidRDefault="009706C9" w:rsidP="009706C9">
            <w:pPr>
              <w:spacing w:before="40" w:after="40" w:line="276" w:lineRule="auto"/>
              <w:rPr>
                <w:rFonts w:ascii="Times New Roman" w:hAnsi="Times New Roman" w:cs="Times New Roman"/>
                <w:b/>
                <w:sz w:val="20"/>
                <w:szCs w:val="20"/>
              </w:rPr>
            </w:pPr>
            <w:r w:rsidRPr="00556B1C">
              <w:rPr>
                <w:rFonts w:ascii="Times New Roman" w:hAnsi="Times New Roman" w:cs="Times New Roman"/>
                <w:b/>
                <w:sz w:val="20"/>
                <w:szCs w:val="20"/>
              </w:rPr>
              <w:t>Model 2</w:t>
            </w:r>
            <w:r w:rsidRPr="00556B1C">
              <w:rPr>
                <w:rFonts w:ascii="Times New Roman" w:hAnsi="Times New Roman" w:cs="Times New Roman"/>
                <w:b/>
                <w:sz w:val="20"/>
                <w:szCs w:val="20"/>
                <w:vertAlign w:val="superscript"/>
              </w:rPr>
              <w:t>a</w:t>
            </w:r>
          </w:p>
        </w:tc>
        <w:tc>
          <w:tcPr>
            <w:tcW w:w="658" w:type="dxa"/>
            <w:tcBorders>
              <w:top w:val="single" w:sz="4" w:space="0" w:color="auto"/>
            </w:tcBorders>
            <w:vAlign w:val="center"/>
          </w:tcPr>
          <w:p w14:paraId="14928CAB" w14:textId="77777777" w:rsidR="009706C9" w:rsidRPr="00556B1C" w:rsidRDefault="009706C9" w:rsidP="009706C9">
            <w:pPr>
              <w:spacing w:before="40" w:after="40" w:line="276" w:lineRule="auto"/>
              <w:jc w:val="center"/>
              <w:rPr>
                <w:rFonts w:ascii="Times New Roman" w:hAnsi="Times New Roman" w:cs="Times New Roman"/>
                <w:sz w:val="20"/>
                <w:szCs w:val="20"/>
              </w:rPr>
            </w:pPr>
          </w:p>
        </w:tc>
        <w:tc>
          <w:tcPr>
            <w:tcW w:w="902" w:type="dxa"/>
            <w:tcBorders>
              <w:top w:val="single" w:sz="4" w:space="0" w:color="auto"/>
            </w:tcBorders>
            <w:vAlign w:val="center"/>
          </w:tcPr>
          <w:p w14:paraId="552B354A" w14:textId="77777777" w:rsidR="009706C9" w:rsidRPr="00556B1C" w:rsidRDefault="009706C9" w:rsidP="009706C9">
            <w:pPr>
              <w:spacing w:before="40" w:after="40" w:line="276" w:lineRule="auto"/>
              <w:jc w:val="center"/>
              <w:rPr>
                <w:rFonts w:ascii="Times New Roman" w:hAnsi="Times New Roman" w:cs="Times New Roman"/>
                <w:sz w:val="20"/>
                <w:szCs w:val="20"/>
              </w:rPr>
            </w:pPr>
          </w:p>
        </w:tc>
        <w:tc>
          <w:tcPr>
            <w:tcW w:w="850" w:type="dxa"/>
            <w:tcBorders>
              <w:top w:val="single" w:sz="4" w:space="0" w:color="auto"/>
            </w:tcBorders>
          </w:tcPr>
          <w:p w14:paraId="0CF53533" w14:textId="77777777" w:rsidR="009706C9" w:rsidRPr="00556B1C" w:rsidRDefault="009706C9" w:rsidP="009706C9">
            <w:pPr>
              <w:spacing w:before="40" w:after="40" w:line="276" w:lineRule="auto"/>
              <w:jc w:val="center"/>
              <w:rPr>
                <w:rFonts w:ascii="Times New Roman" w:hAnsi="Times New Roman" w:cs="Times New Roman"/>
                <w:sz w:val="20"/>
                <w:szCs w:val="20"/>
              </w:rPr>
            </w:pPr>
          </w:p>
        </w:tc>
        <w:tc>
          <w:tcPr>
            <w:tcW w:w="691" w:type="dxa"/>
            <w:tcBorders>
              <w:top w:val="single" w:sz="4" w:space="0" w:color="auto"/>
            </w:tcBorders>
            <w:vAlign w:val="center"/>
          </w:tcPr>
          <w:p w14:paraId="75A8486C" w14:textId="1E5A6584" w:rsidR="009706C9" w:rsidRPr="00556B1C" w:rsidRDefault="009706C9" w:rsidP="009706C9">
            <w:pPr>
              <w:spacing w:before="40" w:after="40" w:line="276" w:lineRule="auto"/>
              <w:jc w:val="center"/>
              <w:rPr>
                <w:rFonts w:ascii="Times New Roman" w:hAnsi="Times New Roman" w:cs="Times New Roman"/>
                <w:sz w:val="20"/>
                <w:szCs w:val="20"/>
              </w:rPr>
            </w:pPr>
          </w:p>
        </w:tc>
        <w:tc>
          <w:tcPr>
            <w:tcW w:w="868" w:type="dxa"/>
            <w:tcBorders>
              <w:top w:val="single" w:sz="4" w:space="0" w:color="auto"/>
            </w:tcBorders>
            <w:vAlign w:val="center"/>
          </w:tcPr>
          <w:p w14:paraId="53EF50B1" w14:textId="77777777" w:rsidR="009706C9" w:rsidRPr="00556B1C" w:rsidRDefault="009706C9" w:rsidP="009706C9">
            <w:pPr>
              <w:spacing w:before="40" w:after="40" w:line="276" w:lineRule="auto"/>
              <w:jc w:val="center"/>
              <w:rPr>
                <w:rFonts w:ascii="Times New Roman" w:hAnsi="Times New Roman" w:cs="Times New Roman"/>
                <w:sz w:val="20"/>
                <w:szCs w:val="20"/>
              </w:rPr>
            </w:pPr>
          </w:p>
        </w:tc>
        <w:tc>
          <w:tcPr>
            <w:tcW w:w="851" w:type="dxa"/>
            <w:tcBorders>
              <w:top w:val="single" w:sz="4" w:space="0" w:color="auto"/>
            </w:tcBorders>
          </w:tcPr>
          <w:p w14:paraId="0C1DC0C8" w14:textId="77777777" w:rsidR="009706C9" w:rsidRPr="00556B1C" w:rsidRDefault="009706C9" w:rsidP="009706C9">
            <w:pPr>
              <w:spacing w:before="40" w:after="40" w:line="276" w:lineRule="auto"/>
              <w:jc w:val="center"/>
              <w:rPr>
                <w:rFonts w:ascii="Times New Roman" w:hAnsi="Times New Roman" w:cs="Times New Roman"/>
                <w:sz w:val="20"/>
                <w:szCs w:val="20"/>
              </w:rPr>
            </w:pPr>
          </w:p>
        </w:tc>
        <w:tc>
          <w:tcPr>
            <w:tcW w:w="724" w:type="dxa"/>
            <w:tcBorders>
              <w:top w:val="single" w:sz="4" w:space="0" w:color="auto"/>
            </w:tcBorders>
            <w:vAlign w:val="center"/>
          </w:tcPr>
          <w:p w14:paraId="1EF78113" w14:textId="5D11BA1D" w:rsidR="009706C9" w:rsidRPr="00556B1C" w:rsidRDefault="009706C9" w:rsidP="009706C9">
            <w:pPr>
              <w:spacing w:before="40" w:after="40" w:line="276" w:lineRule="auto"/>
              <w:jc w:val="center"/>
              <w:rPr>
                <w:rFonts w:ascii="Times New Roman" w:hAnsi="Times New Roman" w:cs="Times New Roman"/>
                <w:sz w:val="20"/>
                <w:szCs w:val="20"/>
              </w:rPr>
            </w:pPr>
          </w:p>
        </w:tc>
        <w:tc>
          <w:tcPr>
            <w:tcW w:w="835" w:type="dxa"/>
            <w:tcBorders>
              <w:top w:val="single" w:sz="4" w:space="0" w:color="auto"/>
            </w:tcBorders>
            <w:vAlign w:val="center"/>
          </w:tcPr>
          <w:p w14:paraId="181F8986" w14:textId="77777777" w:rsidR="009706C9" w:rsidRPr="00556B1C" w:rsidRDefault="009706C9" w:rsidP="009706C9">
            <w:pPr>
              <w:spacing w:before="40" w:after="40" w:line="276" w:lineRule="auto"/>
              <w:jc w:val="center"/>
              <w:rPr>
                <w:rFonts w:ascii="Times New Roman" w:hAnsi="Times New Roman" w:cs="Times New Roman"/>
                <w:sz w:val="20"/>
                <w:szCs w:val="20"/>
              </w:rPr>
            </w:pPr>
          </w:p>
        </w:tc>
        <w:tc>
          <w:tcPr>
            <w:tcW w:w="851" w:type="dxa"/>
            <w:tcBorders>
              <w:top w:val="single" w:sz="4" w:space="0" w:color="auto"/>
            </w:tcBorders>
          </w:tcPr>
          <w:p w14:paraId="127B43B3" w14:textId="77777777" w:rsidR="009706C9" w:rsidRPr="00556B1C" w:rsidRDefault="009706C9" w:rsidP="009706C9">
            <w:pPr>
              <w:spacing w:before="40" w:after="40" w:line="276" w:lineRule="auto"/>
              <w:jc w:val="center"/>
              <w:rPr>
                <w:rFonts w:ascii="Times New Roman" w:hAnsi="Times New Roman" w:cs="Times New Roman"/>
                <w:sz w:val="20"/>
                <w:szCs w:val="20"/>
              </w:rPr>
            </w:pPr>
          </w:p>
        </w:tc>
        <w:tc>
          <w:tcPr>
            <w:tcW w:w="757" w:type="dxa"/>
            <w:tcBorders>
              <w:top w:val="single" w:sz="4" w:space="0" w:color="auto"/>
            </w:tcBorders>
            <w:vAlign w:val="center"/>
          </w:tcPr>
          <w:p w14:paraId="0CEBA86F" w14:textId="667430A6" w:rsidR="009706C9" w:rsidRPr="00556B1C" w:rsidRDefault="009706C9" w:rsidP="009706C9">
            <w:pPr>
              <w:spacing w:before="40" w:after="40" w:line="276" w:lineRule="auto"/>
              <w:jc w:val="center"/>
              <w:rPr>
                <w:rFonts w:ascii="Times New Roman" w:hAnsi="Times New Roman" w:cs="Times New Roman"/>
                <w:sz w:val="20"/>
                <w:szCs w:val="20"/>
              </w:rPr>
            </w:pPr>
          </w:p>
        </w:tc>
        <w:tc>
          <w:tcPr>
            <w:tcW w:w="944" w:type="dxa"/>
            <w:tcBorders>
              <w:top w:val="single" w:sz="4" w:space="0" w:color="auto"/>
            </w:tcBorders>
            <w:vAlign w:val="center"/>
          </w:tcPr>
          <w:p w14:paraId="47A95A21" w14:textId="77777777" w:rsidR="009706C9" w:rsidRPr="00556B1C" w:rsidRDefault="009706C9" w:rsidP="009706C9">
            <w:pPr>
              <w:spacing w:before="40" w:after="40" w:line="276" w:lineRule="auto"/>
              <w:jc w:val="center"/>
              <w:rPr>
                <w:rFonts w:ascii="Times New Roman" w:hAnsi="Times New Roman" w:cs="Times New Roman"/>
                <w:sz w:val="20"/>
                <w:szCs w:val="20"/>
              </w:rPr>
            </w:pPr>
          </w:p>
        </w:tc>
        <w:tc>
          <w:tcPr>
            <w:tcW w:w="708" w:type="dxa"/>
            <w:tcBorders>
              <w:top w:val="single" w:sz="4" w:space="0" w:color="auto"/>
            </w:tcBorders>
          </w:tcPr>
          <w:p w14:paraId="4CFD22C4" w14:textId="77777777" w:rsidR="009706C9" w:rsidRPr="00556B1C" w:rsidRDefault="009706C9" w:rsidP="009706C9">
            <w:pPr>
              <w:spacing w:before="40" w:after="40" w:line="276" w:lineRule="auto"/>
              <w:jc w:val="center"/>
              <w:rPr>
                <w:rFonts w:ascii="Times New Roman" w:hAnsi="Times New Roman" w:cs="Times New Roman"/>
                <w:sz w:val="20"/>
                <w:szCs w:val="20"/>
              </w:rPr>
            </w:pPr>
          </w:p>
        </w:tc>
        <w:tc>
          <w:tcPr>
            <w:tcW w:w="791" w:type="dxa"/>
            <w:tcBorders>
              <w:top w:val="single" w:sz="4" w:space="0" w:color="auto"/>
            </w:tcBorders>
            <w:vAlign w:val="center"/>
          </w:tcPr>
          <w:p w14:paraId="46F3797B" w14:textId="3B79DC17" w:rsidR="009706C9" w:rsidRPr="00556B1C" w:rsidRDefault="009706C9" w:rsidP="009706C9">
            <w:pPr>
              <w:spacing w:before="40" w:after="40" w:line="276" w:lineRule="auto"/>
              <w:jc w:val="center"/>
              <w:rPr>
                <w:rFonts w:ascii="Times New Roman" w:hAnsi="Times New Roman" w:cs="Times New Roman"/>
                <w:sz w:val="20"/>
                <w:szCs w:val="20"/>
              </w:rPr>
            </w:pPr>
          </w:p>
        </w:tc>
        <w:tc>
          <w:tcPr>
            <w:tcW w:w="910" w:type="dxa"/>
            <w:tcBorders>
              <w:top w:val="single" w:sz="4" w:space="0" w:color="auto"/>
            </w:tcBorders>
            <w:vAlign w:val="center"/>
          </w:tcPr>
          <w:p w14:paraId="05884731" w14:textId="77777777" w:rsidR="009706C9" w:rsidRPr="00556B1C" w:rsidRDefault="009706C9" w:rsidP="009706C9">
            <w:pPr>
              <w:spacing w:before="40" w:after="40" w:line="276" w:lineRule="auto"/>
              <w:jc w:val="center"/>
              <w:rPr>
                <w:rFonts w:ascii="Times New Roman" w:hAnsi="Times New Roman" w:cs="Times New Roman"/>
                <w:sz w:val="20"/>
                <w:szCs w:val="20"/>
              </w:rPr>
            </w:pPr>
          </w:p>
        </w:tc>
        <w:tc>
          <w:tcPr>
            <w:tcW w:w="917" w:type="dxa"/>
            <w:tcBorders>
              <w:top w:val="single" w:sz="4" w:space="0" w:color="auto"/>
            </w:tcBorders>
          </w:tcPr>
          <w:p w14:paraId="5397D9F3" w14:textId="77777777" w:rsidR="009706C9" w:rsidRPr="00556B1C" w:rsidRDefault="009706C9" w:rsidP="009706C9">
            <w:pPr>
              <w:spacing w:before="40" w:after="40" w:line="276" w:lineRule="auto"/>
              <w:jc w:val="center"/>
              <w:rPr>
                <w:rFonts w:ascii="Times New Roman" w:hAnsi="Times New Roman" w:cs="Times New Roman"/>
                <w:sz w:val="20"/>
                <w:szCs w:val="20"/>
              </w:rPr>
            </w:pPr>
          </w:p>
        </w:tc>
      </w:tr>
      <w:tr w:rsidR="00706C32" w:rsidRPr="00556B1C" w14:paraId="679B2FF1" w14:textId="0391117A" w:rsidTr="00556B1C">
        <w:trPr>
          <w:trHeight w:val="57"/>
        </w:trPr>
        <w:tc>
          <w:tcPr>
            <w:tcW w:w="1701" w:type="dxa"/>
          </w:tcPr>
          <w:p w14:paraId="01CC87F9" w14:textId="77777777" w:rsidR="009706C9" w:rsidRPr="00556B1C" w:rsidRDefault="009706C9" w:rsidP="009706C9">
            <w:pPr>
              <w:spacing w:before="40" w:after="40" w:line="276" w:lineRule="auto"/>
              <w:rPr>
                <w:rFonts w:ascii="Times New Roman" w:hAnsi="Times New Roman" w:cs="Times New Roman"/>
                <w:sz w:val="20"/>
                <w:szCs w:val="20"/>
              </w:rPr>
            </w:pPr>
            <w:r w:rsidRPr="00556B1C">
              <w:rPr>
                <w:rFonts w:ascii="Times New Roman" w:hAnsi="Times New Roman" w:cs="Times New Roman"/>
                <w:sz w:val="20"/>
                <w:szCs w:val="20"/>
              </w:rPr>
              <w:t xml:space="preserve">Infant weight gain </w:t>
            </w:r>
          </w:p>
          <w:p w14:paraId="59AE24FB" w14:textId="000603CD" w:rsidR="009706C9" w:rsidRPr="00556B1C" w:rsidRDefault="009706C9" w:rsidP="009706C9">
            <w:pPr>
              <w:spacing w:before="40" w:after="40" w:line="276" w:lineRule="auto"/>
              <w:rPr>
                <w:rFonts w:ascii="Times New Roman" w:hAnsi="Times New Roman" w:cs="Times New Roman"/>
                <w:sz w:val="20"/>
                <w:szCs w:val="20"/>
              </w:rPr>
            </w:pPr>
            <w:r w:rsidRPr="00556B1C">
              <w:rPr>
                <w:rFonts w:ascii="Times New Roman" w:hAnsi="Times New Roman" w:cs="Times New Roman"/>
                <w:sz w:val="20"/>
                <w:szCs w:val="20"/>
              </w:rPr>
              <w:t>(0-2 years)</w:t>
            </w:r>
            <w:r w:rsidRPr="00556B1C">
              <w:rPr>
                <w:rFonts w:ascii="Times New Roman" w:hAnsi="Times New Roman" w:cs="Times New Roman"/>
                <w:sz w:val="20"/>
                <w:szCs w:val="20"/>
                <w:vertAlign w:val="superscript"/>
              </w:rPr>
              <w:t>b</w:t>
            </w:r>
          </w:p>
        </w:tc>
        <w:tc>
          <w:tcPr>
            <w:tcW w:w="658" w:type="dxa"/>
            <w:vAlign w:val="center"/>
          </w:tcPr>
          <w:p w14:paraId="08CD8961" w14:textId="1A13CC5B"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0.46</w:t>
            </w:r>
          </w:p>
        </w:tc>
        <w:tc>
          <w:tcPr>
            <w:tcW w:w="902" w:type="dxa"/>
            <w:vAlign w:val="center"/>
          </w:tcPr>
          <w:p w14:paraId="501BF9B2" w14:textId="350D41B4"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0.40, 0.51</w:t>
            </w:r>
          </w:p>
        </w:tc>
        <w:tc>
          <w:tcPr>
            <w:tcW w:w="850" w:type="dxa"/>
          </w:tcPr>
          <w:p w14:paraId="36620A73" w14:textId="729D793E"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91" w:type="dxa"/>
            <w:vAlign w:val="center"/>
          </w:tcPr>
          <w:p w14:paraId="5C4708FD" w14:textId="36069A81"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1.31</w:t>
            </w:r>
          </w:p>
        </w:tc>
        <w:tc>
          <w:tcPr>
            <w:tcW w:w="868" w:type="dxa"/>
            <w:vAlign w:val="center"/>
          </w:tcPr>
          <w:p w14:paraId="2C30BE42" w14:textId="1EBB87BB"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0.96, 1.67</w:t>
            </w:r>
          </w:p>
        </w:tc>
        <w:tc>
          <w:tcPr>
            <w:tcW w:w="851" w:type="dxa"/>
          </w:tcPr>
          <w:p w14:paraId="099AC180" w14:textId="0EE18207"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4" w:type="dxa"/>
            <w:vAlign w:val="center"/>
          </w:tcPr>
          <w:p w14:paraId="64FFB67A" w14:textId="6C796EC1"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0.38</w:t>
            </w:r>
          </w:p>
        </w:tc>
        <w:tc>
          <w:tcPr>
            <w:tcW w:w="835" w:type="dxa"/>
            <w:vAlign w:val="center"/>
          </w:tcPr>
          <w:p w14:paraId="4108519E" w14:textId="59CB3467"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0.32, 0.44</w:t>
            </w:r>
          </w:p>
        </w:tc>
        <w:tc>
          <w:tcPr>
            <w:tcW w:w="851" w:type="dxa"/>
          </w:tcPr>
          <w:p w14:paraId="550C01A4" w14:textId="3B57706C"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57" w:type="dxa"/>
            <w:vAlign w:val="center"/>
          </w:tcPr>
          <w:p w14:paraId="772FF86E" w14:textId="1DE0D304"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1.50</w:t>
            </w:r>
          </w:p>
        </w:tc>
        <w:tc>
          <w:tcPr>
            <w:tcW w:w="944" w:type="dxa"/>
            <w:vAlign w:val="center"/>
          </w:tcPr>
          <w:p w14:paraId="065A9298" w14:textId="5E5F6AFE"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0.46, 2,55</w:t>
            </w:r>
          </w:p>
        </w:tc>
        <w:tc>
          <w:tcPr>
            <w:tcW w:w="708" w:type="dxa"/>
          </w:tcPr>
          <w:p w14:paraId="6FC64966" w14:textId="32B902D6"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91" w:type="dxa"/>
            <w:vAlign w:val="center"/>
          </w:tcPr>
          <w:p w14:paraId="5BB683CB" w14:textId="262B8CD3"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0.53</w:t>
            </w:r>
          </w:p>
        </w:tc>
        <w:tc>
          <w:tcPr>
            <w:tcW w:w="910" w:type="dxa"/>
            <w:vAlign w:val="center"/>
          </w:tcPr>
          <w:p w14:paraId="03EAF3E4" w14:textId="0336C5DB"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-0.23, 1.28</w:t>
            </w:r>
          </w:p>
        </w:tc>
        <w:tc>
          <w:tcPr>
            <w:tcW w:w="917" w:type="dxa"/>
          </w:tcPr>
          <w:p w14:paraId="6F5832C2" w14:textId="20A81712"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706C32" w:rsidRPr="00556B1C" w14:paraId="72FF7D5B" w14:textId="25A03A95" w:rsidTr="00556B1C">
        <w:trPr>
          <w:trHeight w:val="57"/>
        </w:trPr>
        <w:tc>
          <w:tcPr>
            <w:tcW w:w="1701" w:type="dxa"/>
          </w:tcPr>
          <w:p w14:paraId="0ACF8900" w14:textId="77777777" w:rsidR="009706C9" w:rsidRPr="00556B1C" w:rsidRDefault="009706C9" w:rsidP="009706C9">
            <w:pPr>
              <w:spacing w:before="40" w:after="40" w:line="276" w:lineRule="auto"/>
              <w:rPr>
                <w:rFonts w:ascii="Times New Roman" w:hAnsi="Times New Roman" w:cs="Times New Roman"/>
                <w:sz w:val="20"/>
                <w:szCs w:val="20"/>
              </w:rPr>
            </w:pPr>
            <w:r w:rsidRPr="00556B1C">
              <w:rPr>
                <w:rFonts w:ascii="Times New Roman" w:hAnsi="Times New Roman" w:cs="Times New Roman"/>
                <w:sz w:val="20"/>
                <w:szCs w:val="20"/>
              </w:rPr>
              <w:t>Change in fetal weight</w:t>
            </w:r>
          </w:p>
          <w:p w14:paraId="478B20A5" w14:textId="56C78058" w:rsidR="009706C9" w:rsidRPr="00556B1C" w:rsidRDefault="009706C9" w:rsidP="009706C9">
            <w:pPr>
              <w:spacing w:before="40" w:after="40" w:line="276" w:lineRule="auto"/>
              <w:rPr>
                <w:rFonts w:ascii="Times New Roman" w:hAnsi="Times New Roman" w:cs="Times New Roman"/>
                <w:sz w:val="20"/>
                <w:szCs w:val="20"/>
              </w:rPr>
            </w:pPr>
            <w:r w:rsidRPr="00556B1C">
              <w:rPr>
                <w:rFonts w:ascii="Times New Roman" w:hAnsi="Times New Roman" w:cs="Times New Roman"/>
                <w:sz w:val="20"/>
                <w:szCs w:val="20"/>
              </w:rPr>
              <w:t>(19-34 weeks)</w:t>
            </w:r>
            <w:r w:rsidRPr="00556B1C">
              <w:rPr>
                <w:rFonts w:ascii="Times New Roman" w:hAnsi="Times New Roman" w:cs="Times New Roman"/>
                <w:sz w:val="20"/>
                <w:szCs w:val="20"/>
                <w:vertAlign w:val="superscript"/>
              </w:rPr>
              <w:t>b</w:t>
            </w:r>
          </w:p>
        </w:tc>
        <w:tc>
          <w:tcPr>
            <w:tcW w:w="658" w:type="dxa"/>
            <w:vAlign w:val="center"/>
          </w:tcPr>
          <w:p w14:paraId="3F702997" w14:textId="01F19352"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0.13</w:t>
            </w:r>
          </w:p>
        </w:tc>
        <w:tc>
          <w:tcPr>
            <w:tcW w:w="902" w:type="dxa"/>
            <w:vAlign w:val="center"/>
          </w:tcPr>
          <w:p w14:paraId="4CF862EA" w14:textId="3941BE39"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0.07, 0.19</w:t>
            </w:r>
          </w:p>
        </w:tc>
        <w:tc>
          <w:tcPr>
            <w:tcW w:w="850" w:type="dxa"/>
          </w:tcPr>
          <w:p w14:paraId="75A044AC" w14:textId="1E412DBF"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91" w:type="dxa"/>
            <w:vAlign w:val="center"/>
          </w:tcPr>
          <w:p w14:paraId="6FF79BC6" w14:textId="6A37B178"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-0.01</w:t>
            </w:r>
          </w:p>
        </w:tc>
        <w:tc>
          <w:tcPr>
            <w:tcW w:w="868" w:type="dxa"/>
            <w:vAlign w:val="center"/>
          </w:tcPr>
          <w:p w14:paraId="091FE2EF" w14:textId="5F3A96B6"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-0.36, 0.38</w:t>
            </w:r>
          </w:p>
        </w:tc>
        <w:tc>
          <w:tcPr>
            <w:tcW w:w="851" w:type="dxa"/>
          </w:tcPr>
          <w:p w14:paraId="7C7EBF3A" w14:textId="4584B35B"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4" w:type="dxa"/>
            <w:vAlign w:val="center"/>
          </w:tcPr>
          <w:p w14:paraId="2751A2CC" w14:textId="10FE07D2"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0.02</w:t>
            </w:r>
          </w:p>
        </w:tc>
        <w:tc>
          <w:tcPr>
            <w:tcW w:w="835" w:type="dxa"/>
            <w:vAlign w:val="center"/>
          </w:tcPr>
          <w:p w14:paraId="01DF39E4" w14:textId="350781F0"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-0.05, 0.09</w:t>
            </w:r>
          </w:p>
        </w:tc>
        <w:tc>
          <w:tcPr>
            <w:tcW w:w="851" w:type="dxa"/>
          </w:tcPr>
          <w:p w14:paraId="68357ABB" w14:textId="2480C597"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57" w:type="dxa"/>
            <w:vAlign w:val="center"/>
          </w:tcPr>
          <w:p w14:paraId="6BBC81C5" w14:textId="48A7CB77"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-0.02</w:t>
            </w:r>
          </w:p>
        </w:tc>
        <w:tc>
          <w:tcPr>
            <w:tcW w:w="944" w:type="dxa"/>
            <w:vAlign w:val="center"/>
          </w:tcPr>
          <w:p w14:paraId="39CB4746" w14:textId="0659A075"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-1.16. 1.12</w:t>
            </w:r>
          </w:p>
        </w:tc>
        <w:tc>
          <w:tcPr>
            <w:tcW w:w="708" w:type="dxa"/>
          </w:tcPr>
          <w:p w14:paraId="443AB223" w14:textId="7EAE8AE7"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91" w:type="dxa"/>
            <w:vAlign w:val="center"/>
          </w:tcPr>
          <w:p w14:paraId="467A17C7" w14:textId="24FACA96"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-0.17</w:t>
            </w:r>
          </w:p>
        </w:tc>
        <w:tc>
          <w:tcPr>
            <w:tcW w:w="910" w:type="dxa"/>
            <w:vAlign w:val="center"/>
          </w:tcPr>
          <w:p w14:paraId="54EF14D8" w14:textId="1BFEAEF1"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-0.95, 0.61</w:t>
            </w:r>
          </w:p>
        </w:tc>
        <w:tc>
          <w:tcPr>
            <w:tcW w:w="917" w:type="dxa"/>
          </w:tcPr>
          <w:p w14:paraId="0EF43495" w14:textId="6B89C4C2" w:rsidR="009706C9" w:rsidRPr="00556B1C" w:rsidRDefault="009706C9" w:rsidP="009706C9">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706C32" w:rsidRPr="00556B1C" w14:paraId="44835B02" w14:textId="4991F26C" w:rsidTr="00556B1C">
        <w:trPr>
          <w:trHeight w:val="57"/>
        </w:trPr>
        <w:tc>
          <w:tcPr>
            <w:tcW w:w="1701" w:type="dxa"/>
          </w:tcPr>
          <w:p w14:paraId="3C4BA52F" w14:textId="77777777" w:rsidR="009706C9" w:rsidRPr="00556B1C" w:rsidRDefault="009706C9" w:rsidP="009706C9">
            <w:pPr>
              <w:spacing w:before="40" w:after="40" w:line="276" w:lineRule="auto"/>
              <w:rPr>
                <w:rFonts w:ascii="Times New Roman" w:hAnsi="Times New Roman" w:cs="Times New Roman"/>
                <w:sz w:val="20"/>
                <w:szCs w:val="20"/>
              </w:rPr>
            </w:pPr>
            <w:r w:rsidRPr="00556B1C">
              <w:rPr>
                <w:rFonts w:ascii="Times New Roman" w:hAnsi="Times New Roman" w:cs="Times New Roman"/>
                <w:sz w:val="20"/>
                <w:szCs w:val="20"/>
              </w:rPr>
              <w:t xml:space="preserve">Infant weight gain X </w:t>
            </w:r>
          </w:p>
          <w:p w14:paraId="4E78F28F" w14:textId="6FD7BDDA" w:rsidR="009706C9" w:rsidRPr="00556B1C" w:rsidRDefault="00706C32" w:rsidP="009706C9">
            <w:pPr>
              <w:spacing w:before="40" w:after="40" w:line="276" w:lineRule="auto"/>
              <w:rPr>
                <w:rFonts w:ascii="Times New Roman" w:hAnsi="Times New Roman" w:cs="Times New Roman"/>
                <w:sz w:val="20"/>
                <w:szCs w:val="20"/>
              </w:rPr>
            </w:pPr>
            <w:r>
              <w:rPr>
                <w:rFonts w:ascii="Times New Roman" w:hAnsi="Times New Roman" w:cs="Times New Roman"/>
                <w:sz w:val="20"/>
                <w:szCs w:val="20"/>
              </w:rPr>
              <w:t>F</w:t>
            </w:r>
            <w:r w:rsidR="009706C9" w:rsidRPr="00556B1C">
              <w:rPr>
                <w:rFonts w:ascii="Times New Roman" w:hAnsi="Times New Roman" w:cs="Times New Roman"/>
                <w:sz w:val="20"/>
                <w:szCs w:val="20"/>
              </w:rPr>
              <w:t>etal weight change</w:t>
            </w:r>
          </w:p>
        </w:tc>
        <w:tc>
          <w:tcPr>
            <w:tcW w:w="658" w:type="dxa"/>
            <w:vAlign w:val="center"/>
          </w:tcPr>
          <w:p w14:paraId="10FE4460" w14:textId="786C3ECC"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-0.02</w:t>
            </w:r>
          </w:p>
        </w:tc>
        <w:tc>
          <w:tcPr>
            <w:tcW w:w="902" w:type="dxa"/>
            <w:vAlign w:val="center"/>
          </w:tcPr>
          <w:p w14:paraId="0591C3FC" w14:textId="26CC4FE2"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-0.08, 0.04</w:t>
            </w:r>
          </w:p>
        </w:tc>
        <w:tc>
          <w:tcPr>
            <w:tcW w:w="850" w:type="dxa"/>
            <w:vAlign w:val="center"/>
          </w:tcPr>
          <w:p w14:paraId="217F9123" w14:textId="0FBDECBC" w:rsidR="009706C9" w:rsidRPr="00556B1C" w:rsidRDefault="009B7BF8" w:rsidP="00556B1C">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0.48</w:t>
            </w:r>
          </w:p>
        </w:tc>
        <w:tc>
          <w:tcPr>
            <w:tcW w:w="691" w:type="dxa"/>
            <w:vAlign w:val="center"/>
          </w:tcPr>
          <w:p w14:paraId="44185B5C" w14:textId="207772E5"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-0.06</w:t>
            </w:r>
          </w:p>
        </w:tc>
        <w:tc>
          <w:tcPr>
            <w:tcW w:w="868" w:type="dxa"/>
            <w:vAlign w:val="center"/>
          </w:tcPr>
          <w:p w14:paraId="7575B6D4" w14:textId="7E4A3412"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-0.43, 0.31</w:t>
            </w:r>
          </w:p>
        </w:tc>
        <w:tc>
          <w:tcPr>
            <w:tcW w:w="851" w:type="dxa"/>
            <w:vAlign w:val="center"/>
          </w:tcPr>
          <w:p w14:paraId="7F917E7B" w14:textId="4F82360A" w:rsidR="009706C9" w:rsidRPr="00556B1C" w:rsidRDefault="009B7BF8" w:rsidP="00706C32">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0.75</w:t>
            </w:r>
          </w:p>
        </w:tc>
        <w:tc>
          <w:tcPr>
            <w:tcW w:w="724" w:type="dxa"/>
            <w:vAlign w:val="center"/>
          </w:tcPr>
          <w:p w14:paraId="3FF3DE20" w14:textId="257B2043"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-0.02</w:t>
            </w:r>
          </w:p>
        </w:tc>
        <w:tc>
          <w:tcPr>
            <w:tcW w:w="835" w:type="dxa"/>
            <w:vAlign w:val="center"/>
          </w:tcPr>
          <w:p w14:paraId="099D35E3" w14:textId="40265A80"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-0.09, 0.05</w:t>
            </w:r>
          </w:p>
        </w:tc>
        <w:tc>
          <w:tcPr>
            <w:tcW w:w="851" w:type="dxa"/>
            <w:vAlign w:val="center"/>
          </w:tcPr>
          <w:p w14:paraId="5FF52A87" w14:textId="3078FC67" w:rsidR="009706C9" w:rsidRPr="00556B1C" w:rsidRDefault="009B7BF8" w:rsidP="00706C32">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0.52</w:t>
            </w:r>
          </w:p>
        </w:tc>
        <w:tc>
          <w:tcPr>
            <w:tcW w:w="757" w:type="dxa"/>
            <w:vAlign w:val="center"/>
          </w:tcPr>
          <w:p w14:paraId="6F290B25" w14:textId="66B2445A"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-0.91</w:t>
            </w:r>
          </w:p>
        </w:tc>
        <w:tc>
          <w:tcPr>
            <w:tcW w:w="944" w:type="dxa"/>
            <w:vAlign w:val="center"/>
          </w:tcPr>
          <w:p w14:paraId="149D87CD" w14:textId="390D5AE5"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-1.89, 0.07</w:t>
            </w:r>
          </w:p>
        </w:tc>
        <w:tc>
          <w:tcPr>
            <w:tcW w:w="708" w:type="dxa"/>
            <w:vAlign w:val="center"/>
          </w:tcPr>
          <w:p w14:paraId="538E4CBC" w14:textId="7C192BDB" w:rsidR="009706C9" w:rsidRPr="00556B1C" w:rsidRDefault="009B7BF8" w:rsidP="00706C32">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0.07</w:t>
            </w:r>
          </w:p>
        </w:tc>
        <w:tc>
          <w:tcPr>
            <w:tcW w:w="791" w:type="dxa"/>
            <w:vAlign w:val="center"/>
          </w:tcPr>
          <w:p w14:paraId="7A6F7299" w14:textId="1AD0B3CC"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-0.38</w:t>
            </w:r>
          </w:p>
        </w:tc>
        <w:tc>
          <w:tcPr>
            <w:tcW w:w="910" w:type="dxa"/>
            <w:vAlign w:val="center"/>
          </w:tcPr>
          <w:p w14:paraId="208C6174" w14:textId="52CF16B9" w:rsidR="009706C9" w:rsidRPr="00556B1C" w:rsidRDefault="009706C9" w:rsidP="009706C9">
            <w:pPr>
              <w:spacing w:before="40" w:after="40" w:line="276" w:lineRule="auto"/>
              <w:jc w:val="center"/>
              <w:rPr>
                <w:rFonts w:ascii="Times New Roman" w:hAnsi="Times New Roman" w:cs="Times New Roman"/>
                <w:sz w:val="20"/>
                <w:szCs w:val="20"/>
              </w:rPr>
            </w:pPr>
            <w:r w:rsidRPr="00556B1C">
              <w:rPr>
                <w:rFonts w:ascii="Times New Roman" w:hAnsi="Times New Roman" w:cs="Times New Roman"/>
                <w:sz w:val="20"/>
                <w:szCs w:val="20"/>
              </w:rPr>
              <w:t>-1.10, 0.33</w:t>
            </w:r>
          </w:p>
        </w:tc>
        <w:tc>
          <w:tcPr>
            <w:tcW w:w="917" w:type="dxa"/>
            <w:vAlign w:val="center"/>
          </w:tcPr>
          <w:p w14:paraId="7F0DFF35" w14:textId="00BC499D" w:rsidR="009706C9" w:rsidRPr="00556B1C" w:rsidRDefault="009B7BF8" w:rsidP="00706C32">
            <w:pPr>
              <w:spacing w:before="40" w:after="40" w:line="276" w:lineRule="auto"/>
              <w:jc w:val="center"/>
              <w:rPr>
                <w:rFonts w:ascii="Times New Roman" w:hAnsi="Times New Roman" w:cs="Times New Roman"/>
                <w:sz w:val="20"/>
                <w:szCs w:val="20"/>
              </w:rPr>
            </w:pPr>
            <w:r>
              <w:rPr>
                <w:rFonts w:ascii="Times New Roman" w:hAnsi="Times New Roman" w:cs="Times New Roman"/>
                <w:sz w:val="20"/>
                <w:szCs w:val="20"/>
              </w:rPr>
              <w:t>0.29</w:t>
            </w:r>
          </w:p>
        </w:tc>
      </w:tr>
    </w:tbl>
    <w:p w14:paraId="2154259C" w14:textId="77777777" w:rsidR="00556B1C" w:rsidRPr="00A51130" w:rsidRDefault="00556B1C" w:rsidP="00556B1C">
      <w:pPr>
        <w:spacing w:after="0" w:line="276" w:lineRule="auto"/>
        <w:rPr>
          <w:rFonts w:ascii="Times New Roman" w:hAnsi="Times New Roman" w:cs="Times New Roman"/>
          <w:sz w:val="24"/>
          <w:szCs w:val="24"/>
        </w:rPr>
      </w:pPr>
      <w:r w:rsidRPr="00A51130">
        <w:rPr>
          <w:rFonts w:ascii="Times New Roman" w:hAnsi="Times New Roman" w:cs="Times New Roman"/>
          <w:sz w:val="24"/>
          <w:szCs w:val="24"/>
          <w:vertAlign w:val="superscript"/>
        </w:rPr>
        <w:t>a</w:t>
      </w:r>
      <w:r w:rsidRPr="00A51130">
        <w:rPr>
          <w:rFonts w:ascii="Times New Roman" w:hAnsi="Times New Roman" w:cs="Times New Roman"/>
          <w:sz w:val="24"/>
          <w:szCs w:val="24"/>
        </w:rPr>
        <w:t xml:space="preserve">Adjusted for maternal first-trimester BMI, smoking in pregnancy, social class, and gestational diabetes. </w:t>
      </w:r>
    </w:p>
    <w:p w14:paraId="3433988E" w14:textId="77777777" w:rsidR="00556B1C" w:rsidRPr="00556B1C" w:rsidRDefault="00556B1C" w:rsidP="00556B1C">
      <w:pPr>
        <w:spacing w:after="0" w:line="276" w:lineRule="auto"/>
        <w:rPr>
          <w:rFonts w:ascii="Times New Roman" w:hAnsi="Times New Roman" w:cs="Times New Roman"/>
          <w:sz w:val="24"/>
          <w:szCs w:val="24"/>
        </w:rPr>
      </w:pPr>
      <w:r w:rsidRPr="00A51130">
        <w:rPr>
          <w:rFonts w:ascii="Times New Roman" w:hAnsi="Times New Roman" w:cs="Times New Roman"/>
          <w:sz w:val="24"/>
          <w:szCs w:val="24"/>
          <w:vertAlign w:val="superscript"/>
        </w:rPr>
        <w:t>b</w:t>
      </w:r>
      <w:r w:rsidRPr="00556B1C">
        <w:rPr>
          <w:rFonts w:ascii="Times New Roman" w:hAnsi="Times New Roman" w:cs="Times New Roman"/>
          <w:sz w:val="24"/>
          <w:szCs w:val="24"/>
        </w:rPr>
        <w:t xml:space="preserve">Estimates are presented per SD change </w:t>
      </w:r>
    </w:p>
    <w:p w14:paraId="2D5727D7" w14:textId="62775BF1" w:rsidR="007A0FEF" w:rsidRPr="00A51130" w:rsidRDefault="007A0FEF" w:rsidP="00A51130">
      <w:pPr>
        <w:spacing w:line="480" w:lineRule="auto"/>
        <w:rPr>
          <w:rFonts w:ascii="Times New Roman" w:hAnsi="Times New Roman" w:cs="Times New Roman"/>
          <w:sz w:val="24"/>
          <w:szCs w:val="24"/>
        </w:rPr>
        <w:sectPr w:rsidR="007A0FEF" w:rsidRPr="00A51130" w:rsidSect="00394DD7">
          <w:pgSz w:w="16838" w:h="11906" w:orient="landscape"/>
          <w:pgMar w:top="1440" w:right="1440" w:bottom="1440" w:left="1440" w:header="708" w:footer="708" w:gutter="0"/>
          <w:cols w:space="708"/>
          <w:docGrid w:linePitch="360"/>
        </w:sectPr>
      </w:pPr>
    </w:p>
    <w:p w14:paraId="43858B4A" w14:textId="77777777" w:rsidR="00996524" w:rsidRPr="00A51130" w:rsidRDefault="00996524" w:rsidP="00A51130">
      <w:pPr>
        <w:spacing w:after="0" w:line="480" w:lineRule="auto"/>
        <w:rPr>
          <w:rFonts w:ascii="Times New Roman" w:hAnsi="Times New Roman" w:cs="Times New Roman"/>
          <w:b/>
          <w:sz w:val="24"/>
          <w:szCs w:val="24"/>
        </w:rPr>
      </w:pPr>
      <w:r w:rsidRPr="00A51130">
        <w:rPr>
          <w:rFonts w:ascii="Times New Roman" w:hAnsi="Times New Roman" w:cs="Times New Roman"/>
          <w:b/>
          <w:sz w:val="24"/>
          <w:szCs w:val="24"/>
        </w:rPr>
        <w:t xml:space="preserve">Figure Legends </w:t>
      </w:r>
    </w:p>
    <w:p w14:paraId="753D7869" w14:textId="77777777" w:rsidR="00996524" w:rsidRPr="00A51130" w:rsidRDefault="00996524" w:rsidP="00A51130">
      <w:pPr>
        <w:spacing w:after="0" w:line="480" w:lineRule="auto"/>
        <w:rPr>
          <w:rFonts w:ascii="Times New Roman" w:hAnsi="Times New Roman" w:cs="Times New Roman"/>
          <w:b/>
          <w:sz w:val="24"/>
          <w:szCs w:val="24"/>
        </w:rPr>
      </w:pPr>
    </w:p>
    <w:p w14:paraId="52414EE0" w14:textId="4DE80AD8" w:rsidR="00996524" w:rsidRPr="00A51130" w:rsidRDefault="00996524" w:rsidP="00A51130">
      <w:pPr>
        <w:spacing w:after="0" w:line="480" w:lineRule="auto"/>
        <w:rPr>
          <w:rFonts w:ascii="Times New Roman" w:hAnsi="Times New Roman" w:cs="Times New Roman"/>
          <w:sz w:val="24"/>
          <w:szCs w:val="24"/>
        </w:rPr>
      </w:pPr>
      <w:r w:rsidRPr="00A51130">
        <w:rPr>
          <w:rFonts w:ascii="Times New Roman" w:hAnsi="Times New Roman" w:cs="Times New Roman"/>
          <w:sz w:val="24"/>
          <w:szCs w:val="24"/>
        </w:rPr>
        <w:t xml:space="preserve">Figure 1. Estimated relationship of infant weight gain (0-2 years) with BMI z-score (6-7 years), across the distribution of </w:t>
      </w:r>
      <w:r w:rsidR="001A2883">
        <w:rPr>
          <w:rFonts w:ascii="Times New Roman" w:hAnsi="Times New Roman" w:cs="Times New Roman"/>
          <w:sz w:val="24"/>
          <w:szCs w:val="24"/>
        </w:rPr>
        <w:t>mean</w:t>
      </w:r>
      <w:r w:rsidR="001A2883" w:rsidRPr="00A51130">
        <w:rPr>
          <w:rFonts w:ascii="Times New Roman" w:hAnsi="Times New Roman" w:cs="Times New Roman"/>
          <w:sz w:val="24"/>
          <w:szCs w:val="24"/>
        </w:rPr>
        <w:t xml:space="preserve"> </w:t>
      </w:r>
      <w:r w:rsidRPr="00A51130">
        <w:rPr>
          <w:rFonts w:ascii="Times New Roman" w:hAnsi="Times New Roman" w:cs="Times New Roman"/>
          <w:sz w:val="24"/>
          <w:szCs w:val="24"/>
        </w:rPr>
        <w:t>fetal weight (19</w:t>
      </w:r>
      <w:r w:rsidR="001A2883">
        <w:rPr>
          <w:rFonts w:ascii="Times New Roman" w:hAnsi="Times New Roman" w:cs="Times New Roman"/>
          <w:sz w:val="24"/>
          <w:szCs w:val="24"/>
        </w:rPr>
        <w:t>-34</w:t>
      </w:r>
      <w:r w:rsidRPr="00A51130">
        <w:rPr>
          <w:rFonts w:ascii="Times New Roman" w:hAnsi="Times New Roman" w:cs="Times New Roman"/>
          <w:sz w:val="24"/>
          <w:szCs w:val="24"/>
        </w:rPr>
        <w:t xml:space="preserve"> weeks) and fetal weight </w:t>
      </w:r>
      <w:r w:rsidR="001A2883">
        <w:rPr>
          <w:rFonts w:ascii="Times New Roman" w:hAnsi="Times New Roman" w:cs="Times New Roman"/>
          <w:sz w:val="24"/>
          <w:szCs w:val="24"/>
        </w:rPr>
        <w:t>change</w:t>
      </w:r>
      <w:r w:rsidR="001A2883" w:rsidRPr="00A51130">
        <w:rPr>
          <w:rFonts w:ascii="Times New Roman" w:hAnsi="Times New Roman" w:cs="Times New Roman"/>
          <w:sz w:val="24"/>
          <w:szCs w:val="24"/>
        </w:rPr>
        <w:t xml:space="preserve"> </w:t>
      </w:r>
      <w:r w:rsidRPr="00A51130">
        <w:rPr>
          <w:rFonts w:ascii="Times New Roman" w:hAnsi="Times New Roman" w:cs="Times New Roman"/>
          <w:sz w:val="24"/>
          <w:szCs w:val="24"/>
        </w:rPr>
        <w:t>(19-</w:t>
      </w:r>
      <w:r w:rsidR="001A2883">
        <w:rPr>
          <w:rFonts w:ascii="Times New Roman" w:hAnsi="Times New Roman" w:cs="Times New Roman"/>
          <w:sz w:val="24"/>
          <w:szCs w:val="24"/>
        </w:rPr>
        <w:t>3</w:t>
      </w:r>
      <w:r w:rsidRPr="00A51130">
        <w:rPr>
          <w:rFonts w:ascii="Times New Roman" w:hAnsi="Times New Roman" w:cs="Times New Roman"/>
          <w:sz w:val="24"/>
          <w:szCs w:val="24"/>
        </w:rPr>
        <w:t>4 weeks)</w:t>
      </w:r>
    </w:p>
    <w:p w14:paraId="2E7BD599" w14:textId="77777777" w:rsidR="00996524" w:rsidRPr="00A51130" w:rsidRDefault="00996524" w:rsidP="00A51130">
      <w:pPr>
        <w:spacing w:after="0" w:line="480" w:lineRule="auto"/>
        <w:rPr>
          <w:rFonts w:ascii="Times New Roman" w:hAnsi="Times New Roman" w:cs="Times New Roman"/>
          <w:sz w:val="24"/>
          <w:szCs w:val="24"/>
        </w:rPr>
      </w:pPr>
    </w:p>
    <w:p w14:paraId="5FBE0979" w14:textId="7ECB3546" w:rsidR="00996524" w:rsidRPr="00A51130" w:rsidRDefault="00996524" w:rsidP="00A51130">
      <w:pPr>
        <w:spacing w:after="0" w:line="480" w:lineRule="auto"/>
        <w:rPr>
          <w:rFonts w:ascii="Times New Roman" w:hAnsi="Times New Roman" w:cs="Times New Roman"/>
          <w:sz w:val="24"/>
          <w:szCs w:val="24"/>
        </w:rPr>
      </w:pPr>
      <w:r w:rsidRPr="00A51130">
        <w:rPr>
          <w:rFonts w:ascii="Times New Roman" w:hAnsi="Times New Roman" w:cs="Times New Roman"/>
          <w:sz w:val="24"/>
          <w:szCs w:val="24"/>
        </w:rPr>
        <w:t xml:space="preserve">Figure 2. Estimated relationship of infant weight gain (0-2 years) with percent body fat (6-7 years), across the distribution of </w:t>
      </w:r>
      <w:r w:rsidR="001A2883">
        <w:rPr>
          <w:rFonts w:ascii="Times New Roman" w:hAnsi="Times New Roman" w:cs="Times New Roman"/>
          <w:sz w:val="24"/>
          <w:szCs w:val="24"/>
        </w:rPr>
        <w:t>mean</w:t>
      </w:r>
      <w:r w:rsidR="001A2883" w:rsidRPr="00A51130">
        <w:rPr>
          <w:rFonts w:ascii="Times New Roman" w:hAnsi="Times New Roman" w:cs="Times New Roman"/>
          <w:sz w:val="24"/>
          <w:szCs w:val="24"/>
        </w:rPr>
        <w:t xml:space="preserve"> </w:t>
      </w:r>
      <w:r w:rsidRPr="00A51130">
        <w:rPr>
          <w:rFonts w:ascii="Times New Roman" w:hAnsi="Times New Roman" w:cs="Times New Roman"/>
          <w:sz w:val="24"/>
          <w:szCs w:val="24"/>
        </w:rPr>
        <w:t>fetal weight (19</w:t>
      </w:r>
      <w:r w:rsidR="001A2883">
        <w:rPr>
          <w:rFonts w:ascii="Times New Roman" w:hAnsi="Times New Roman" w:cs="Times New Roman"/>
          <w:sz w:val="24"/>
          <w:szCs w:val="24"/>
        </w:rPr>
        <w:t>-34</w:t>
      </w:r>
      <w:r w:rsidRPr="00A51130">
        <w:rPr>
          <w:rFonts w:ascii="Times New Roman" w:hAnsi="Times New Roman" w:cs="Times New Roman"/>
          <w:sz w:val="24"/>
          <w:szCs w:val="24"/>
        </w:rPr>
        <w:t xml:space="preserve"> weeks) and fetal weight </w:t>
      </w:r>
      <w:r w:rsidR="001A2883">
        <w:rPr>
          <w:rFonts w:ascii="Times New Roman" w:hAnsi="Times New Roman" w:cs="Times New Roman"/>
          <w:sz w:val="24"/>
          <w:szCs w:val="24"/>
        </w:rPr>
        <w:t>change</w:t>
      </w:r>
      <w:r w:rsidR="001A2883" w:rsidRPr="00A51130">
        <w:rPr>
          <w:rFonts w:ascii="Times New Roman" w:hAnsi="Times New Roman" w:cs="Times New Roman"/>
          <w:sz w:val="24"/>
          <w:szCs w:val="24"/>
        </w:rPr>
        <w:t xml:space="preserve"> </w:t>
      </w:r>
      <w:r w:rsidRPr="00A51130">
        <w:rPr>
          <w:rFonts w:ascii="Times New Roman" w:hAnsi="Times New Roman" w:cs="Times New Roman"/>
          <w:sz w:val="24"/>
          <w:szCs w:val="24"/>
        </w:rPr>
        <w:t>(19-</w:t>
      </w:r>
      <w:r w:rsidR="001A2883">
        <w:rPr>
          <w:rFonts w:ascii="Times New Roman" w:hAnsi="Times New Roman" w:cs="Times New Roman"/>
          <w:sz w:val="24"/>
          <w:szCs w:val="24"/>
        </w:rPr>
        <w:t>3</w:t>
      </w:r>
      <w:r w:rsidRPr="00A51130">
        <w:rPr>
          <w:rFonts w:ascii="Times New Roman" w:hAnsi="Times New Roman" w:cs="Times New Roman"/>
          <w:sz w:val="24"/>
          <w:szCs w:val="24"/>
        </w:rPr>
        <w:t>4 weeks)</w:t>
      </w:r>
    </w:p>
    <w:p w14:paraId="187E5E52" w14:textId="77777777" w:rsidR="00996524" w:rsidRPr="00A51130" w:rsidRDefault="00996524" w:rsidP="00A51130">
      <w:pPr>
        <w:spacing w:after="0" w:line="480" w:lineRule="auto"/>
        <w:rPr>
          <w:rFonts w:ascii="Times New Roman" w:hAnsi="Times New Roman" w:cs="Times New Roman"/>
          <w:sz w:val="24"/>
          <w:szCs w:val="24"/>
        </w:rPr>
      </w:pPr>
    </w:p>
    <w:p w14:paraId="42F530D4" w14:textId="2FA459E6" w:rsidR="00996524" w:rsidRPr="00A51130" w:rsidRDefault="00996524" w:rsidP="00A51130">
      <w:pPr>
        <w:spacing w:after="0" w:line="480" w:lineRule="auto"/>
        <w:rPr>
          <w:rFonts w:ascii="Times New Roman" w:hAnsi="Times New Roman" w:cs="Times New Roman"/>
          <w:sz w:val="24"/>
          <w:szCs w:val="24"/>
        </w:rPr>
      </w:pPr>
      <w:r w:rsidRPr="00A51130">
        <w:rPr>
          <w:rFonts w:ascii="Times New Roman" w:hAnsi="Times New Roman" w:cs="Times New Roman"/>
          <w:sz w:val="24"/>
          <w:szCs w:val="24"/>
        </w:rPr>
        <w:t xml:space="preserve">Figure 3. Estimated relationship of infant weight gain (0-2 years) with trunk fat (kg) (6-7 years), across the distribution of </w:t>
      </w:r>
      <w:r w:rsidR="001A2883">
        <w:rPr>
          <w:rFonts w:ascii="Times New Roman" w:hAnsi="Times New Roman" w:cs="Times New Roman"/>
          <w:sz w:val="24"/>
          <w:szCs w:val="24"/>
        </w:rPr>
        <w:t>mean</w:t>
      </w:r>
      <w:r w:rsidR="001A2883" w:rsidRPr="00A51130">
        <w:rPr>
          <w:rFonts w:ascii="Times New Roman" w:hAnsi="Times New Roman" w:cs="Times New Roman"/>
          <w:sz w:val="24"/>
          <w:szCs w:val="24"/>
        </w:rPr>
        <w:t xml:space="preserve"> </w:t>
      </w:r>
      <w:r w:rsidRPr="00A51130">
        <w:rPr>
          <w:rFonts w:ascii="Times New Roman" w:hAnsi="Times New Roman" w:cs="Times New Roman"/>
          <w:sz w:val="24"/>
          <w:szCs w:val="24"/>
        </w:rPr>
        <w:t>fetal weight (19</w:t>
      </w:r>
      <w:r w:rsidR="001A2883">
        <w:rPr>
          <w:rFonts w:ascii="Times New Roman" w:hAnsi="Times New Roman" w:cs="Times New Roman"/>
          <w:sz w:val="24"/>
          <w:szCs w:val="24"/>
        </w:rPr>
        <w:t>-34</w:t>
      </w:r>
      <w:r w:rsidRPr="00A51130">
        <w:rPr>
          <w:rFonts w:ascii="Times New Roman" w:hAnsi="Times New Roman" w:cs="Times New Roman"/>
          <w:sz w:val="24"/>
          <w:szCs w:val="24"/>
        </w:rPr>
        <w:t xml:space="preserve"> weeks) and fetal weight </w:t>
      </w:r>
      <w:r w:rsidR="001A2883">
        <w:rPr>
          <w:rFonts w:ascii="Times New Roman" w:hAnsi="Times New Roman" w:cs="Times New Roman"/>
          <w:sz w:val="24"/>
          <w:szCs w:val="24"/>
        </w:rPr>
        <w:t>change</w:t>
      </w:r>
      <w:r w:rsidR="001A2883" w:rsidRPr="00A51130">
        <w:rPr>
          <w:rFonts w:ascii="Times New Roman" w:hAnsi="Times New Roman" w:cs="Times New Roman"/>
          <w:sz w:val="24"/>
          <w:szCs w:val="24"/>
        </w:rPr>
        <w:t xml:space="preserve"> </w:t>
      </w:r>
      <w:r w:rsidRPr="00A51130">
        <w:rPr>
          <w:rFonts w:ascii="Times New Roman" w:hAnsi="Times New Roman" w:cs="Times New Roman"/>
          <w:sz w:val="24"/>
          <w:szCs w:val="24"/>
        </w:rPr>
        <w:t>(19-</w:t>
      </w:r>
      <w:r w:rsidR="001A2883">
        <w:rPr>
          <w:rFonts w:ascii="Times New Roman" w:hAnsi="Times New Roman" w:cs="Times New Roman"/>
          <w:sz w:val="24"/>
          <w:szCs w:val="24"/>
        </w:rPr>
        <w:t>3</w:t>
      </w:r>
      <w:r w:rsidRPr="00A51130">
        <w:rPr>
          <w:rFonts w:ascii="Times New Roman" w:hAnsi="Times New Roman" w:cs="Times New Roman"/>
          <w:sz w:val="24"/>
          <w:szCs w:val="24"/>
        </w:rPr>
        <w:t>4 weeks)</w:t>
      </w:r>
    </w:p>
    <w:p w14:paraId="535F01F7" w14:textId="77777777" w:rsidR="00996524" w:rsidRPr="00A51130" w:rsidRDefault="00996524" w:rsidP="00A51130">
      <w:pPr>
        <w:spacing w:after="0" w:line="480" w:lineRule="auto"/>
        <w:rPr>
          <w:rFonts w:ascii="Times New Roman" w:hAnsi="Times New Roman" w:cs="Times New Roman"/>
          <w:sz w:val="24"/>
          <w:szCs w:val="24"/>
        </w:rPr>
      </w:pPr>
    </w:p>
    <w:p w14:paraId="7EDB4F79" w14:textId="58674341" w:rsidR="00996524" w:rsidRPr="00A51130" w:rsidRDefault="00996524" w:rsidP="00A51130">
      <w:pPr>
        <w:spacing w:after="0" w:line="480" w:lineRule="auto"/>
        <w:rPr>
          <w:rFonts w:ascii="Times New Roman" w:hAnsi="Times New Roman" w:cs="Times New Roman"/>
          <w:sz w:val="24"/>
          <w:szCs w:val="24"/>
        </w:rPr>
      </w:pPr>
      <w:r w:rsidRPr="00A51130">
        <w:rPr>
          <w:rFonts w:ascii="Times New Roman" w:hAnsi="Times New Roman" w:cs="Times New Roman"/>
          <w:sz w:val="24"/>
          <w:szCs w:val="24"/>
        </w:rPr>
        <w:t xml:space="preserve">Figure 4. Estimated relationship of infant weight gain (0-2 years) with systolic blood pressure (mmHg) (6-7 years), across the distribution of </w:t>
      </w:r>
      <w:r w:rsidR="001A2883">
        <w:rPr>
          <w:rFonts w:ascii="Times New Roman" w:hAnsi="Times New Roman" w:cs="Times New Roman"/>
          <w:sz w:val="24"/>
          <w:szCs w:val="24"/>
        </w:rPr>
        <w:t>mean</w:t>
      </w:r>
      <w:r w:rsidR="001A2883" w:rsidRPr="00A51130">
        <w:rPr>
          <w:rFonts w:ascii="Times New Roman" w:hAnsi="Times New Roman" w:cs="Times New Roman"/>
          <w:sz w:val="24"/>
          <w:szCs w:val="24"/>
        </w:rPr>
        <w:t xml:space="preserve"> </w:t>
      </w:r>
      <w:r w:rsidRPr="00A51130">
        <w:rPr>
          <w:rFonts w:ascii="Times New Roman" w:hAnsi="Times New Roman" w:cs="Times New Roman"/>
          <w:sz w:val="24"/>
          <w:szCs w:val="24"/>
        </w:rPr>
        <w:t>fetal weight (19</w:t>
      </w:r>
      <w:r w:rsidR="001A2883">
        <w:rPr>
          <w:rFonts w:ascii="Times New Roman" w:hAnsi="Times New Roman" w:cs="Times New Roman"/>
          <w:sz w:val="24"/>
          <w:szCs w:val="24"/>
        </w:rPr>
        <w:t>-34</w:t>
      </w:r>
      <w:r w:rsidRPr="00A51130">
        <w:rPr>
          <w:rFonts w:ascii="Times New Roman" w:hAnsi="Times New Roman" w:cs="Times New Roman"/>
          <w:sz w:val="24"/>
          <w:szCs w:val="24"/>
        </w:rPr>
        <w:t xml:space="preserve"> weeks) and fetal weight </w:t>
      </w:r>
      <w:r w:rsidR="001A2883">
        <w:rPr>
          <w:rFonts w:ascii="Times New Roman" w:hAnsi="Times New Roman" w:cs="Times New Roman"/>
          <w:sz w:val="24"/>
          <w:szCs w:val="24"/>
        </w:rPr>
        <w:t>change</w:t>
      </w:r>
      <w:r w:rsidR="001A2883" w:rsidRPr="00A51130">
        <w:rPr>
          <w:rFonts w:ascii="Times New Roman" w:hAnsi="Times New Roman" w:cs="Times New Roman"/>
          <w:sz w:val="24"/>
          <w:szCs w:val="24"/>
        </w:rPr>
        <w:t xml:space="preserve"> </w:t>
      </w:r>
      <w:r w:rsidRPr="00A51130">
        <w:rPr>
          <w:rFonts w:ascii="Times New Roman" w:hAnsi="Times New Roman" w:cs="Times New Roman"/>
          <w:sz w:val="24"/>
          <w:szCs w:val="24"/>
        </w:rPr>
        <w:t>(19-</w:t>
      </w:r>
      <w:r w:rsidR="001A2883">
        <w:rPr>
          <w:rFonts w:ascii="Times New Roman" w:hAnsi="Times New Roman" w:cs="Times New Roman"/>
          <w:sz w:val="24"/>
          <w:szCs w:val="24"/>
        </w:rPr>
        <w:t>3</w:t>
      </w:r>
      <w:r w:rsidRPr="00A51130">
        <w:rPr>
          <w:rFonts w:ascii="Times New Roman" w:hAnsi="Times New Roman" w:cs="Times New Roman"/>
          <w:sz w:val="24"/>
          <w:szCs w:val="24"/>
        </w:rPr>
        <w:t>4 weeks)</w:t>
      </w:r>
    </w:p>
    <w:p w14:paraId="3E84C0A1" w14:textId="77777777" w:rsidR="00996524" w:rsidRPr="00A51130" w:rsidRDefault="00996524" w:rsidP="00A51130">
      <w:pPr>
        <w:spacing w:after="0" w:line="480" w:lineRule="auto"/>
        <w:rPr>
          <w:rFonts w:ascii="Times New Roman" w:hAnsi="Times New Roman" w:cs="Times New Roman"/>
          <w:sz w:val="24"/>
          <w:szCs w:val="24"/>
        </w:rPr>
      </w:pPr>
    </w:p>
    <w:p w14:paraId="05DEBB15" w14:textId="5820ED62" w:rsidR="00996524" w:rsidRPr="00A51130" w:rsidRDefault="00996524" w:rsidP="00A51130">
      <w:pPr>
        <w:spacing w:after="0" w:line="480" w:lineRule="auto"/>
        <w:rPr>
          <w:rFonts w:ascii="Times New Roman" w:hAnsi="Times New Roman" w:cs="Times New Roman"/>
          <w:sz w:val="24"/>
          <w:szCs w:val="24"/>
        </w:rPr>
      </w:pPr>
      <w:r w:rsidRPr="00A51130">
        <w:rPr>
          <w:rFonts w:ascii="Times New Roman" w:hAnsi="Times New Roman" w:cs="Times New Roman"/>
          <w:sz w:val="24"/>
          <w:szCs w:val="24"/>
        </w:rPr>
        <w:t xml:space="preserve">Figure 5. Estimated relationship of infant weight gain (0-2 years) with diastolic blood pressure (mmHg) (6-7 years), across the distribution of </w:t>
      </w:r>
      <w:r w:rsidR="001A2883">
        <w:rPr>
          <w:rFonts w:ascii="Times New Roman" w:hAnsi="Times New Roman" w:cs="Times New Roman"/>
          <w:sz w:val="24"/>
          <w:szCs w:val="24"/>
        </w:rPr>
        <w:t>mean</w:t>
      </w:r>
      <w:r w:rsidR="001A2883" w:rsidRPr="00A51130">
        <w:rPr>
          <w:rFonts w:ascii="Times New Roman" w:hAnsi="Times New Roman" w:cs="Times New Roman"/>
          <w:sz w:val="24"/>
          <w:szCs w:val="24"/>
        </w:rPr>
        <w:t xml:space="preserve"> </w:t>
      </w:r>
      <w:r w:rsidRPr="00A51130">
        <w:rPr>
          <w:rFonts w:ascii="Times New Roman" w:hAnsi="Times New Roman" w:cs="Times New Roman"/>
          <w:sz w:val="24"/>
          <w:szCs w:val="24"/>
        </w:rPr>
        <w:t>fetal weight (19</w:t>
      </w:r>
      <w:r w:rsidR="001A2883">
        <w:rPr>
          <w:rFonts w:ascii="Times New Roman" w:hAnsi="Times New Roman" w:cs="Times New Roman"/>
          <w:sz w:val="24"/>
          <w:szCs w:val="24"/>
        </w:rPr>
        <w:t>-34</w:t>
      </w:r>
      <w:r w:rsidRPr="00A51130">
        <w:rPr>
          <w:rFonts w:ascii="Times New Roman" w:hAnsi="Times New Roman" w:cs="Times New Roman"/>
          <w:sz w:val="24"/>
          <w:szCs w:val="24"/>
        </w:rPr>
        <w:t xml:space="preserve"> weeks) and fetal weight </w:t>
      </w:r>
      <w:r w:rsidR="001A2883">
        <w:rPr>
          <w:rFonts w:ascii="Times New Roman" w:hAnsi="Times New Roman" w:cs="Times New Roman"/>
          <w:sz w:val="24"/>
          <w:szCs w:val="24"/>
        </w:rPr>
        <w:t>change</w:t>
      </w:r>
      <w:r w:rsidR="001A2883" w:rsidRPr="00A51130">
        <w:rPr>
          <w:rFonts w:ascii="Times New Roman" w:hAnsi="Times New Roman" w:cs="Times New Roman"/>
          <w:sz w:val="24"/>
          <w:szCs w:val="24"/>
        </w:rPr>
        <w:t xml:space="preserve"> </w:t>
      </w:r>
      <w:r w:rsidRPr="00A51130">
        <w:rPr>
          <w:rFonts w:ascii="Times New Roman" w:hAnsi="Times New Roman" w:cs="Times New Roman"/>
          <w:sz w:val="24"/>
          <w:szCs w:val="24"/>
        </w:rPr>
        <w:t>(19-</w:t>
      </w:r>
      <w:r w:rsidR="001A2883">
        <w:rPr>
          <w:rFonts w:ascii="Times New Roman" w:hAnsi="Times New Roman" w:cs="Times New Roman"/>
          <w:sz w:val="24"/>
          <w:szCs w:val="24"/>
        </w:rPr>
        <w:t>3</w:t>
      </w:r>
      <w:r w:rsidRPr="00A51130">
        <w:rPr>
          <w:rFonts w:ascii="Times New Roman" w:hAnsi="Times New Roman" w:cs="Times New Roman"/>
          <w:sz w:val="24"/>
          <w:szCs w:val="24"/>
        </w:rPr>
        <w:t>4 weeks)</w:t>
      </w:r>
    </w:p>
    <w:p w14:paraId="3C6DCEAF" w14:textId="56419753" w:rsidR="00647120" w:rsidRPr="00A51130" w:rsidRDefault="00647120" w:rsidP="00A51130">
      <w:pPr>
        <w:spacing w:line="480" w:lineRule="auto"/>
        <w:rPr>
          <w:rFonts w:ascii="Times New Roman" w:hAnsi="Times New Roman" w:cs="Times New Roman"/>
          <w:sz w:val="24"/>
          <w:szCs w:val="24"/>
        </w:rPr>
      </w:pPr>
    </w:p>
    <w:sectPr w:rsidR="00647120" w:rsidRPr="00A51130" w:rsidSect="00394D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45BDA" w14:textId="77777777" w:rsidR="002E121B" w:rsidRDefault="002E121B" w:rsidP="00600DA0">
      <w:pPr>
        <w:spacing w:after="0" w:line="240" w:lineRule="auto"/>
      </w:pPr>
      <w:r>
        <w:separator/>
      </w:r>
    </w:p>
  </w:endnote>
  <w:endnote w:type="continuationSeparator" w:id="0">
    <w:p w14:paraId="0AF557AB" w14:textId="77777777" w:rsidR="002E121B" w:rsidRDefault="002E121B" w:rsidP="00600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758112"/>
      <w:docPartObj>
        <w:docPartGallery w:val="Page Numbers (Bottom of Page)"/>
        <w:docPartUnique/>
      </w:docPartObj>
    </w:sdtPr>
    <w:sdtEndPr>
      <w:rPr>
        <w:noProof/>
      </w:rPr>
    </w:sdtEndPr>
    <w:sdtContent>
      <w:p w14:paraId="3ECA91A7" w14:textId="503ECC25" w:rsidR="00AA05AD" w:rsidRDefault="00AA05AD">
        <w:pPr>
          <w:pStyle w:val="Footer"/>
          <w:jc w:val="right"/>
        </w:pPr>
        <w:r>
          <w:fldChar w:fldCharType="begin"/>
        </w:r>
        <w:r>
          <w:instrText xml:space="preserve"> PAGE   \* MERGEFORMAT </w:instrText>
        </w:r>
        <w:r>
          <w:fldChar w:fldCharType="separate"/>
        </w:r>
        <w:r w:rsidR="00A11B8B">
          <w:rPr>
            <w:noProof/>
          </w:rPr>
          <w:t>1</w:t>
        </w:r>
        <w:r>
          <w:rPr>
            <w:noProof/>
          </w:rPr>
          <w:fldChar w:fldCharType="end"/>
        </w:r>
      </w:p>
    </w:sdtContent>
  </w:sdt>
  <w:p w14:paraId="220C6818" w14:textId="77777777" w:rsidR="00AA05AD" w:rsidRDefault="00AA05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9B8D8" w14:textId="77777777" w:rsidR="002E121B" w:rsidRDefault="002E121B" w:rsidP="00600DA0">
      <w:pPr>
        <w:spacing w:after="0" w:line="240" w:lineRule="auto"/>
      </w:pPr>
      <w:r>
        <w:separator/>
      </w:r>
    </w:p>
  </w:footnote>
  <w:footnote w:type="continuationSeparator" w:id="0">
    <w:p w14:paraId="661169E2" w14:textId="77777777" w:rsidR="002E121B" w:rsidRDefault="002E121B" w:rsidP="00600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4013"/>
    <w:multiLevelType w:val="hybridMultilevel"/>
    <w:tmpl w:val="21B6B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11272"/>
    <w:multiLevelType w:val="hybridMultilevel"/>
    <w:tmpl w:val="A38EE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C0F8A"/>
    <w:multiLevelType w:val="hybridMultilevel"/>
    <w:tmpl w:val="98E4E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249F7"/>
    <w:multiLevelType w:val="hybridMultilevel"/>
    <w:tmpl w:val="8D7C7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D455B5"/>
    <w:multiLevelType w:val="hybridMultilevel"/>
    <w:tmpl w:val="B296B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B7D12"/>
    <w:multiLevelType w:val="hybridMultilevel"/>
    <w:tmpl w:val="D4B842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8E27CD"/>
    <w:multiLevelType w:val="hybridMultilevel"/>
    <w:tmpl w:val="5D367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2B07D9"/>
    <w:multiLevelType w:val="hybridMultilevel"/>
    <w:tmpl w:val="8C96E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CD5A3E"/>
    <w:multiLevelType w:val="hybridMultilevel"/>
    <w:tmpl w:val="9F167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9502FF"/>
    <w:multiLevelType w:val="hybridMultilevel"/>
    <w:tmpl w:val="6B4A9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0"/>
  </w:num>
  <w:num w:numId="5">
    <w:abstractNumId w:val="4"/>
  </w:num>
  <w:num w:numId="6">
    <w:abstractNumId w:val="3"/>
  </w:num>
  <w:num w:numId="7">
    <w:abstractNumId w:val="9"/>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BFA"/>
    <w:rsid w:val="0000007D"/>
    <w:rsid w:val="0000046D"/>
    <w:rsid w:val="00000B00"/>
    <w:rsid w:val="00002349"/>
    <w:rsid w:val="00003290"/>
    <w:rsid w:val="00003502"/>
    <w:rsid w:val="00003C1C"/>
    <w:rsid w:val="00003D1B"/>
    <w:rsid w:val="00003E31"/>
    <w:rsid w:val="00003E53"/>
    <w:rsid w:val="00004772"/>
    <w:rsid w:val="00005385"/>
    <w:rsid w:val="0000686A"/>
    <w:rsid w:val="00011003"/>
    <w:rsid w:val="000113A6"/>
    <w:rsid w:val="000127C8"/>
    <w:rsid w:val="00013A56"/>
    <w:rsid w:val="000142F3"/>
    <w:rsid w:val="0001435F"/>
    <w:rsid w:val="000146EA"/>
    <w:rsid w:val="00014742"/>
    <w:rsid w:val="000151DD"/>
    <w:rsid w:val="00016699"/>
    <w:rsid w:val="00016D43"/>
    <w:rsid w:val="0001767B"/>
    <w:rsid w:val="0002012F"/>
    <w:rsid w:val="00021578"/>
    <w:rsid w:val="00021FE9"/>
    <w:rsid w:val="00022DB8"/>
    <w:rsid w:val="000242AB"/>
    <w:rsid w:val="00024918"/>
    <w:rsid w:val="00025295"/>
    <w:rsid w:val="0002602F"/>
    <w:rsid w:val="0002607F"/>
    <w:rsid w:val="00026274"/>
    <w:rsid w:val="00026C87"/>
    <w:rsid w:val="0002785C"/>
    <w:rsid w:val="00027C6A"/>
    <w:rsid w:val="00030238"/>
    <w:rsid w:val="0003052B"/>
    <w:rsid w:val="00030D34"/>
    <w:rsid w:val="0003183C"/>
    <w:rsid w:val="000329B6"/>
    <w:rsid w:val="00032D13"/>
    <w:rsid w:val="00033266"/>
    <w:rsid w:val="00035A6D"/>
    <w:rsid w:val="00035A80"/>
    <w:rsid w:val="00035FBF"/>
    <w:rsid w:val="000366EA"/>
    <w:rsid w:val="00036A27"/>
    <w:rsid w:val="00036CB2"/>
    <w:rsid w:val="00036D63"/>
    <w:rsid w:val="000373A3"/>
    <w:rsid w:val="000377BD"/>
    <w:rsid w:val="00037C33"/>
    <w:rsid w:val="00037FA5"/>
    <w:rsid w:val="0004003F"/>
    <w:rsid w:val="00042234"/>
    <w:rsid w:val="000425E0"/>
    <w:rsid w:val="0004544D"/>
    <w:rsid w:val="00046831"/>
    <w:rsid w:val="00046BD0"/>
    <w:rsid w:val="00046F94"/>
    <w:rsid w:val="00051A91"/>
    <w:rsid w:val="00051AB0"/>
    <w:rsid w:val="0005271F"/>
    <w:rsid w:val="0005291D"/>
    <w:rsid w:val="00053CA9"/>
    <w:rsid w:val="00054287"/>
    <w:rsid w:val="00054496"/>
    <w:rsid w:val="0005492D"/>
    <w:rsid w:val="0005534A"/>
    <w:rsid w:val="00055A09"/>
    <w:rsid w:val="00056A6B"/>
    <w:rsid w:val="000576FC"/>
    <w:rsid w:val="000608CA"/>
    <w:rsid w:val="00061081"/>
    <w:rsid w:val="000624D0"/>
    <w:rsid w:val="00062524"/>
    <w:rsid w:val="00062A98"/>
    <w:rsid w:val="00063422"/>
    <w:rsid w:val="00064A0D"/>
    <w:rsid w:val="00064AC6"/>
    <w:rsid w:val="000665D5"/>
    <w:rsid w:val="00066F37"/>
    <w:rsid w:val="00067572"/>
    <w:rsid w:val="000709BF"/>
    <w:rsid w:val="0007125C"/>
    <w:rsid w:val="00071265"/>
    <w:rsid w:val="000717C2"/>
    <w:rsid w:val="000721E4"/>
    <w:rsid w:val="00072D80"/>
    <w:rsid w:val="000733DC"/>
    <w:rsid w:val="0007377E"/>
    <w:rsid w:val="000742D1"/>
    <w:rsid w:val="000749F4"/>
    <w:rsid w:val="0007652B"/>
    <w:rsid w:val="00077960"/>
    <w:rsid w:val="00080ECF"/>
    <w:rsid w:val="000826C0"/>
    <w:rsid w:val="00082985"/>
    <w:rsid w:val="00082993"/>
    <w:rsid w:val="0008307D"/>
    <w:rsid w:val="000833F5"/>
    <w:rsid w:val="000838DA"/>
    <w:rsid w:val="00083F8C"/>
    <w:rsid w:val="00084A25"/>
    <w:rsid w:val="0008597A"/>
    <w:rsid w:val="00086173"/>
    <w:rsid w:val="00087521"/>
    <w:rsid w:val="000900BB"/>
    <w:rsid w:val="00090188"/>
    <w:rsid w:val="00090CA1"/>
    <w:rsid w:val="00091D20"/>
    <w:rsid w:val="00092538"/>
    <w:rsid w:val="00092B36"/>
    <w:rsid w:val="00092C48"/>
    <w:rsid w:val="00092C84"/>
    <w:rsid w:val="00093E36"/>
    <w:rsid w:val="000940FC"/>
    <w:rsid w:val="00094A51"/>
    <w:rsid w:val="000955FD"/>
    <w:rsid w:val="000960B2"/>
    <w:rsid w:val="000962C3"/>
    <w:rsid w:val="00096796"/>
    <w:rsid w:val="00097244"/>
    <w:rsid w:val="00097E50"/>
    <w:rsid w:val="000A055D"/>
    <w:rsid w:val="000A05F9"/>
    <w:rsid w:val="000A07F1"/>
    <w:rsid w:val="000A2B94"/>
    <w:rsid w:val="000A32CF"/>
    <w:rsid w:val="000A34AD"/>
    <w:rsid w:val="000A34CE"/>
    <w:rsid w:val="000A4002"/>
    <w:rsid w:val="000A4184"/>
    <w:rsid w:val="000B0245"/>
    <w:rsid w:val="000B0CF8"/>
    <w:rsid w:val="000B1134"/>
    <w:rsid w:val="000B1BBC"/>
    <w:rsid w:val="000B2E5D"/>
    <w:rsid w:val="000B48A0"/>
    <w:rsid w:val="000B4B67"/>
    <w:rsid w:val="000B4C5D"/>
    <w:rsid w:val="000B5193"/>
    <w:rsid w:val="000B51D3"/>
    <w:rsid w:val="000B6C47"/>
    <w:rsid w:val="000B77D5"/>
    <w:rsid w:val="000B7B48"/>
    <w:rsid w:val="000C0A0D"/>
    <w:rsid w:val="000C1DC0"/>
    <w:rsid w:val="000C2DFE"/>
    <w:rsid w:val="000C300F"/>
    <w:rsid w:val="000C4892"/>
    <w:rsid w:val="000C4F85"/>
    <w:rsid w:val="000C5B2C"/>
    <w:rsid w:val="000C6D15"/>
    <w:rsid w:val="000C7FFB"/>
    <w:rsid w:val="000D04AC"/>
    <w:rsid w:val="000D0986"/>
    <w:rsid w:val="000D09E9"/>
    <w:rsid w:val="000D0AFF"/>
    <w:rsid w:val="000D1223"/>
    <w:rsid w:val="000D154A"/>
    <w:rsid w:val="000D1CFE"/>
    <w:rsid w:val="000D2011"/>
    <w:rsid w:val="000D26FD"/>
    <w:rsid w:val="000D31B5"/>
    <w:rsid w:val="000D3E44"/>
    <w:rsid w:val="000D4055"/>
    <w:rsid w:val="000D64CF"/>
    <w:rsid w:val="000E023C"/>
    <w:rsid w:val="000E0F97"/>
    <w:rsid w:val="000E1713"/>
    <w:rsid w:val="000E1824"/>
    <w:rsid w:val="000E1F97"/>
    <w:rsid w:val="000E290A"/>
    <w:rsid w:val="000E37BE"/>
    <w:rsid w:val="000E37C6"/>
    <w:rsid w:val="000E44DC"/>
    <w:rsid w:val="000E4BCB"/>
    <w:rsid w:val="000E5ADA"/>
    <w:rsid w:val="000E6281"/>
    <w:rsid w:val="000E687D"/>
    <w:rsid w:val="000E744D"/>
    <w:rsid w:val="000F0EF6"/>
    <w:rsid w:val="000F0F8E"/>
    <w:rsid w:val="000F200D"/>
    <w:rsid w:val="000F3001"/>
    <w:rsid w:val="000F3785"/>
    <w:rsid w:val="000F394A"/>
    <w:rsid w:val="000F3E75"/>
    <w:rsid w:val="000F420B"/>
    <w:rsid w:val="000F43FA"/>
    <w:rsid w:val="000F57F3"/>
    <w:rsid w:val="000F637F"/>
    <w:rsid w:val="000F6C1D"/>
    <w:rsid w:val="000F6D63"/>
    <w:rsid w:val="00101068"/>
    <w:rsid w:val="00101186"/>
    <w:rsid w:val="0010166D"/>
    <w:rsid w:val="001016E7"/>
    <w:rsid w:val="00101786"/>
    <w:rsid w:val="0010271A"/>
    <w:rsid w:val="0010331D"/>
    <w:rsid w:val="00103C40"/>
    <w:rsid w:val="001045C1"/>
    <w:rsid w:val="00105202"/>
    <w:rsid w:val="0010581A"/>
    <w:rsid w:val="00110330"/>
    <w:rsid w:val="00110AC6"/>
    <w:rsid w:val="0011117E"/>
    <w:rsid w:val="00112E8F"/>
    <w:rsid w:val="00113851"/>
    <w:rsid w:val="0011396D"/>
    <w:rsid w:val="0011470B"/>
    <w:rsid w:val="00114729"/>
    <w:rsid w:val="00114C1B"/>
    <w:rsid w:val="00114D41"/>
    <w:rsid w:val="00114D89"/>
    <w:rsid w:val="00121564"/>
    <w:rsid w:val="00121AB9"/>
    <w:rsid w:val="00121EF8"/>
    <w:rsid w:val="00124655"/>
    <w:rsid w:val="00124E1F"/>
    <w:rsid w:val="0012508F"/>
    <w:rsid w:val="00125B97"/>
    <w:rsid w:val="00125D5B"/>
    <w:rsid w:val="00126288"/>
    <w:rsid w:val="00126585"/>
    <w:rsid w:val="00127648"/>
    <w:rsid w:val="001276E2"/>
    <w:rsid w:val="001278B8"/>
    <w:rsid w:val="0012790E"/>
    <w:rsid w:val="001305EE"/>
    <w:rsid w:val="00130951"/>
    <w:rsid w:val="00130A90"/>
    <w:rsid w:val="00130B4B"/>
    <w:rsid w:val="00131812"/>
    <w:rsid w:val="001325C1"/>
    <w:rsid w:val="001329E6"/>
    <w:rsid w:val="00132BB8"/>
    <w:rsid w:val="00132F20"/>
    <w:rsid w:val="0013315E"/>
    <w:rsid w:val="001355FB"/>
    <w:rsid w:val="00135894"/>
    <w:rsid w:val="00140C29"/>
    <w:rsid w:val="00140D45"/>
    <w:rsid w:val="00140E35"/>
    <w:rsid w:val="001418C9"/>
    <w:rsid w:val="0014288E"/>
    <w:rsid w:val="0014302F"/>
    <w:rsid w:val="00143096"/>
    <w:rsid w:val="00145277"/>
    <w:rsid w:val="0014642D"/>
    <w:rsid w:val="00147089"/>
    <w:rsid w:val="00150335"/>
    <w:rsid w:val="00150BE9"/>
    <w:rsid w:val="00151297"/>
    <w:rsid w:val="001532FC"/>
    <w:rsid w:val="00153BEF"/>
    <w:rsid w:val="00153E0F"/>
    <w:rsid w:val="00155146"/>
    <w:rsid w:val="001552CE"/>
    <w:rsid w:val="00155870"/>
    <w:rsid w:val="00156CA9"/>
    <w:rsid w:val="00157023"/>
    <w:rsid w:val="00157765"/>
    <w:rsid w:val="00157AAA"/>
    <w:rsid w:val="00157D4E"/>
    <w:rsid w:val="00160A64"/>
    <w:rsid w:val="00160E27"/>
    <w:rsid w:val="001612B8"/>
    <w:rsid w:val="001616BA"/>
    <w:rsid w:val="00161DEE"/>
    <w:rsid w:val="001620AC"/>
    <w:rsid w:val="00162555"/>
    <w:rsid w:val="00162FA9"/>
    <w:rsid w:val="001632F0"/>
    <w:rsid w:val="00163423"/>
    <w:rsid w:val="0016438F"/>
    <w:rsid w:val="00164BEA"/>
    <w:rsid w:val="00164C0B"/>
    <w:rsid w:val="0016534E"/>
    <w:rsid w:val="00165EC0"/>
    <w:rsid w:val="00166664"/>
    <w:rsid w:val="00167050"/>
    <w:rsid w:val="00167092"/>
    <w:rsid w:val="00167209"/>
    <w:rsid w:val="001675A0"/>
    <w:rsid w:val="00170093"/>
    <w:rsid w:val="00170541"/>
    <w:rsid w:val="001713F8"/>
    <w:rsid w:val="001719FB"/>
    <w:rsid w:val="0017252D"/>
    <w:rsid w:val="001727AC"/>
    <w:rsid w:val="001728DD"/>
    <w:rsid w:val="00172F17"/>
    <w:rsid w:val="0017301A"/>
    <w:rsid w:val="00173DC0"/>
    <w:rsid w:val="0017576A"/>
    <w:rsid w:val="00176EBB"/>
    <w:rsid w:val="00176EF1"/>
    <w:rsid w:val="0017740D"/>
    <w:rsid w:val="001804FA"/>
    <w:rsid w:val="001817DE"/>
    <w:rsid w:val="00182041"/>
    <w:rsid w:val="001824B2"/>
    <w:rsid w:val="00182549"/>
    <w:rsid w:val="00182DE9"/>
    <w:rsid w:val="001830CF"/>
    <w:rsid w:val="00183A04"/>
    <w:rsid w:val="00183D02"/>
    <w:rsid w:val="00183D8C"/>
    <w:rsid w:val="00183F47"/>
    <w:rsid w:val="001843A7"/>
    <w:rsid w:val="00184428"/>
    <w:rsid w:val="00185D16"/>
    <w:rsid w:val="00185EDF"/>
    <w:rsid w:val="00186A28"/>
    <w:rsid w:val="00187045"/>
    <w:rsid w:val="00190033"/>
    <w:rsid w:val="0019027B"/>
    <w:rsid w:val="001919D6"/>
    <w:rsid w:val="001922DA"/>
    <w:rsid w:val="001928AF"/>
    <w:rsid w:val="00192E47"/>
    <w:rsid w:val="0019362D"/>
    <w:rsid w:val="001944B6"/>
    <w:rsid w:val="00194CA6"/>
    <w:rsid w:val="00194CBE"/>
    <w:rsid w:val="00194F83"/>
    <w:rsid w:val="00195038"/>
    <w:rsid w:val="0019575B"/>
    <w:rsid w:val="00196487"/>
    <w:rsid w:val="00197813"/>
    <w:rsid w:val="00197BDC"/>
    <w:rsid w:val="001A028A"/>
    <w:rsid w:val="001A1379"/>
    <w:rsid w:val="001A25A5"/>
    <w:rsid w:val="001A2883"/>
    <w:rsid w:val="001A37B7"/>
    <w:rsid w:val="001A402C"/>
    <w:rsid w:val="001A4635"/>
    <w:rsid w:val="001A4663"/>
    <w:rsid w:val="001A477C"/>
    <w:rsid w:val="001A4F64"/>
    <w:rsid w:val="001A5282"/>
    <w:rsid w:val="001A72BF"/>
    <w:rsid w:val="001A7CAC"/>
    <w:rsid w:val="001A7FAB"/>
    <w:rsid w:val="001B0570"/>
    <w:rsid w:val="001B07D6"/>
    <w:rsid w:val="001B1C44"/>
    <w:rsid w:val="001B2160"/>
    <w:rsid w:val="001B272F"/>
    <w:rsid w:val="001B2C47"/>
    <w:rsid w:val="001B3913"/>
    <w:rsid w:val="001B3927"/>
    <w:rsid w:val="001B395E"/>
    <w:rsid w:val="001B3BD1"/>
    <w:rsid w:val="001B513E"/>
    <w:rsid w:val="001B58E7"/>
    <w:rsid w:val="001B6D53"/>
    <w:rsid w:val="001B758D"/>
    <w:rsid w:val="001B78A0"/>
    <w:rsid w:val="001B7B0A"/>
    <w:rsid w:val="001C1B24"/>
    <w:rsid w:val="001C2155"/>
    <w:rsid w:val="001C2F48"/>
    <w:rsid w:val="001C32BD"/>
    <w:rsid w:val="001C33F7"/>
    <w:rsid w:val="001C3E99"/>
    <w:rsid w:val="001C45D4"/>
    <w:rsid w:val="001C4A49"/>
    <w:rsid w:val="001C4BEE"/>
    <w:rsid w:val="001C5B98"/>
    <w:rsid w:val="001C5D52"/>
    <w:rsid w:val="001C6136"/>
    <w:rsid w:val="001D141F"/>
    <w:rsid w:val="001D1721"/>
    <w:rsid w:val="001D24B5"/>
    <w:rsid w:val="001D2C22"/>
    <w:rsid w:val="001D30D7"/>
    <w:rsid w:val="001D3319"/>
    <w:rsid w:val="001D50A5"/>
    <w:rsid w:val="001D5DE6"/>
    <w:rsid w:val="001D5F3E"/>
    <w:rsid w:val="001D6CD0"/>
    <w:rsid w:val="001D7820"/>
    <w:rsid w:val="001E0168"/>
    <w:rsid w:val="001E04E0"/>
    <w:rsid w:val="001E1A80"/>
    <w:rsid w:val="001E25AD"/>
    <w:rsid w:val="001E2DAC"/>
    <w:rsid w:val="001E380E"/>
    <w:rsid w:val="001E5BE3"/>
    <w:rsid w:val="001E5CB7"/>
    <w:rsid w:val="001E73AD"/>
    <w:rsid w:val="001E7457"/>
    <w:rsid w:val="001E768B"/>
    <w:rsid w:val="001F01C3"/>
    <w:rsid w:val="001F08CB"/>
    <w:rsid w:val="001F38F6"/>
    <w:rsid w:val="001F486F"/>
    <w:rsid w:val="001F4BF7"/>
    <w:rsid w:val="001F4D42"/>
    <w:rsid w:val="001F690C"/>
    <w:rsid w:val="001F6B56"/>
    <w:rsid w:val="0020018E"/>
    <w:rsid w:val="00200DD7"/>
    <w:rsid w:val="00201198"/>
    <w:rsid w:val="0020209B"/>
    <w:rsid w:val="00202C3A"/>
    <w:rsid w:val="00203397"/>
    <w:rsid w:val="00203771"/>
    <w:rsid w:val="0020381F"/>
    <w:rsid w:val="00203DC7"/>
    <w:rsid w:val="00203EC6"/>
    <w:rsid w:val="00204BC4"/>
    <w:rsid w:val="00205317"/>
    <w:rsid w:val="00205337"/>
    <w:rsid w:val="002060E7"/>
    <w:rsid w:val="00206ABE"/>
    <w:rsid w:val="00206D6E"/>
    <w:rsid w:val="0021045C"/>
    <w:rsid w:val="0021098A"/>
    <w:rsid w:val="00212CAE"/>
    <w:rsid w:val="002135E3"/>
    <w:rsid w:val="002139C9"/>
    <w:rsid w:val="002139FF"/>
    <w:rsid w:val="00217DF1"/>
    <w:rsid w:val="00217E4E"/>
    <w:rsid w:val="00220BB6"/>
    <w:rsid w:val="00220DED"/>
    <w:rsid w:val="0022187E"/>
    <w:rsid w:val="002225C1"/>
    <w:rsid w:val="00222702"/>
    <w:rsid w:val="00222743"/>
    <w:rsid w:val="00223768"/>
    <w:rsid w:val="002247DC"/>
    <w:rsid w:val="00225478"/>
    <w:rsid w:val="00225663"/>
    <w:rsid w:val="00225F97"/>
    <w:rsid w:val="00226206"/>
    <w:rsid w:val="00226C24"/>
    <w:rsid w:val="00227186"/>
    <w:rsid w:val="00230C04"/>
    <w:rsid w:val="0023283D"/>
    <w:rsid w:val="00232AE5"/>
    <w:rsid w:val="00232B39"/>
    <w:rsid w:val="00232BA4"/>
    <w:rsid w:val="00233DB0"/>
    <w:rsid w:val="002346AD"/>
    <w:rsid w:val="002347B8"/>
    <w:rsid w:val="0023532C"/>
    <w:rsid w:val="00235686"/>
    <w:rsid w:val="00235E28"/>
    <w:rsid w:val="00236DF8"/>
    <w:rsid w:val="00237432"/>
    <w:rsid w:val="00237C27"/>
    <w:rsid w:val="00237FF5"/>
    <w:rsid w:val="00240499"/>
    <w:rsid w:val="00241341"/>
    <w:rsid w:val="00241620"/>
    <w:rsid w:val="002417FA"/>
    <w:rsid w:val="00243941"/>
    <w:rsid w:val="00243D3D"/>
    <w:rsid w:val="00243DC4"/>
    <w:rsid w:val="00244915"/>
    <w:rsid w:val="00245FB2"/>
    <w:rsid w:val="00246454"/>
    <w:rsid w:val="0024676A"/>
    <w:rsid w:val="00246996"/>
    <w:rsid w:val="00246AB3"/>
    <w:rsid w:val="00250ED9"/>
    <w:rsid w:val="00251B93"/>
    <w:rsid w:val="00253EC9"/>
    <w:rsid w:val="0025433E"/>
    <w:rsid w:val="002550F6"/>
    <w:rsid w:val="00255AC0"/>
    <w:rsid w:val="00255BF4"/>
    <w:rsid w:val="00260604"/>
    <w:rsid w:val="002609A1"/>
    <w:rsid w:val="002619B4"/>
    <w:rsid w:val="002619DB"/>
    <w:rsid w:val="002628E5"/>
    <w:rsid w:val="002633C3"/>
    <w:rsid w:val="00264699"/>
    <w:rsid w:val="00264DD0"/>
    <w:rsid w:val="00265210"/>
    <w:rsid w:val="002655CC"/>
    <w:rsid w:val="00265FCE"/>
    <w:rsid w:val="002666CF"/>
    <w:rsid w:val="00266F73"/>
    <w:rsid w:val="002700B5"/>
    <w:rsid w:val="002704B5"/>
    <w:rsid w:val="0027369E"/>
    <w:rsid w:val="00273925"/>
    <w:rsid w:val="002751B1"/>
    <w:rsid w:val="00275F30"/>
    <w:rsid w:val="0027693B"/>
    <w:rsid w:val="00276C3A"/>
    <w:rsid w:val="00277960"/>
    <w:rsid w:val="00277DF2"/>
    <w:rsid w:val="002803E4"/>
    <w:rsid w:val="00280C8D"/>
    <w:rsid w:val="002814F0"/>
    <w:rsid w:val="00281546"/>
    <w:rsid w:val="00281980"/>
    <w:rsid w:val="002827E4"/>
    <w:rsid w:val="00284E61"/>
    <w:rsid w:val="00285B41"/>
    <w:rsid w:val="00285DBF"/>
    <w:rsid w:val="00285E87"/>
    <w:rsid w:val="0028640B"/>
    <w:rsid w:val="00287C3A"/>
    <w:rsid w:val="00290E89"/>
    <w:rsid w:val="00291BF6"/>
    <w:rsid w:val="00293769"/>
    <w:rsid w:val="002944F8"/>
    <w:rsid w:val="00294754"/>
    <w:rsid w:val="00294EE4"/>
    <w:rsid w:val="0029545C"/>
    <w:rsid w:val="00295C9B"/>
    <w:rsid w:val="00296203"/>
    <w:rsid w:val="00296AC5"/>
    <w:rsid w:val="00296EB8"/>
    <w:rsid w:val="00297C15"/>
    <w:rsid w:val="00297E50"/>
    <w:rsid w:val="00297FF0"/>
    <w:rsid w:val="002A07EC"/>
    <w:rsid w:val="002A21A8"/>
    <w:rsid w:val="002A32AC"/>
    <w:rsid w:val="002A32CF"/>
    <w:rsid w:val="002A34E4"/>
    <w:rsid w:val="002A37C5"/>
    <w:rsid w:val="002A3890"/>
    <w:rsid w:val="002A3F28"/>
    <w:rsid w:val="002A40BE"/>
    <w:rsid w:val="002A4DCB"/>
    <w:rsid w:val="002A6290"/>
    <w:rsid w:val="002A73C4"/>
    <w:rsid w:val="002A78B7"/>
    <w:rsid w:val="002A7FE2"/>
    <w:rsid w:val="002B007E"/>
    <w:rsid w:val="002B1706"/>
    <w:rsid w:val="002B1AEC"/>
    <w:rsid w:val="002B1EAD"/>
    <w:rsid w:val="002B3042"/>
    <w:rsid w:val="002B3669"/>
    <w:rsid w:val="002B3809"/>
    <w:rsid w:val="002B5399"/>
    <w:rsid w:val="002B6022"/>
    <w:rsid w:val="002B6801"/>
    <w:rsid w:val="002B77AC"/>
    <w:rsid w:val="002B7888"/>
    <w:rsid w:val="002B7E65"/>
    <w:rsid w:val="002C1199"/>
    <w:rsid w:val="002C17A5"/>
    <w:rsid w:val="002C1DB9"/>
    <w:rsid w:val="002C1FCA"/>
    <w:rsid w:val="002C44ED"/>
    <w:rsid w:val="002C466F"/>
    <w:rsid w:val="002C4DEA"/>
    <w:rsid w:val="002C56C7"/>
    <w:rsid w:val="002C6760"/>
    <w:rsid w:val="002C6761"/>
    <w:rsid w:val="002C76CA"/>
    <w:rsid w:val="002C7FF3"/>
    <w:rsid w:val="002D04AD"/>
    <w:rsid w:val="002D0837"/>
    <w:rsid w:val="002D1A9F"/>
    <w:rsid w:val="002D1D4D"/>
    <w:rsid w:val="002D1EEA"/>
    <w:rsid w:val="002D1FF0"/>
    <w:rsid w:val="002D22D7"/>
    <w:rsid w:val="002D231F"/>
    <w:rsid w:val="002D2735"/>
    <w:rsid w:val="002D302E"/>
    <w:rsid w:val="002D39BC"/>
    <w:rsid w:val="002D41C3"/>
    <w:rsid w:val="002D4277"/>
    <w:rsid w:val="002D44AA"/>
    <w:rsid w:val="002D4875"/>
    <w:rsid w:val="002D54E0"/>
    <w:rsid w:val="002D567F"/>
    <w:rsid w:val="002D59CB"/>
    <w:rsid w:val="002D5F6D"/>
    <w:rsid w:val="002D7EB8"/>
    <w:rsid w:val="002E0440"/>
    <w:rsid w:val="002E121B"/>
    <w:rsid w:val="002E18F5"/>
    <w:rsid w:val="002E353B"/>
    <w:rsid w:val="002E355B"/>
    <w:rsid w:val="002E3A5F"/>
    <w:rsid w:val="002E424A"/>
    <w:rsid w:val="002E4804"/>
    <w:rsid w:val="002E509D"/>
    <w:rsid w:val="002E570C"/>
    <w:rsid w:val="002E6113"/>
    <w:rsid w:val="002E63CB"/>
    <w:rsid w:val="002E78A9"/>
    <w:rsid w:val="002E7E75"/>
    <w:rsid w:val="002F0481"/>
    <w:rsid w:val="002F074F"/>
    <w:rsid w:val="002F25C2"/>
    <w:rsid w:val="002F26F3"/>
    <w:rsid w:val="002F27D9"/>
    <w:rsid w:val="002F3D47"/>
    <w:rsid w:val="002F4577"/>
    <w:rsid w:val="002F5610"/>
    <w:rsid w:val="002F5B5E"/>
    <w:rsid w:val="002F5B97"/>
    <w:rsid w:val="00300AAC"/>
    <w:rsid w:val="00300DEC"/>
    <w:rsid w:val="00302153"/>
    <w:rsid w:val="003023B8"/>
    <w:rsid w:val="00302946"/>
    <w:rsid w:val="00302DDF"/>
    <w:rsid w:val="00303892"/>
    <w:rsid w:val="00304C73"/>
    <w:rsid w:val="0030677A"/>
    <w:rsid w:val="0030769F"/>
    <w:rsid w:val="003079D1"/>
    <w:rsid w:val="0031003A"/>
    <w:rsid w:val="0031010A"/>
    <w:rsid w:val="00310A69"/>
    <w:rsid w:val="00310B4D"/>
    <w:rsid w:val="003121B0"/>
    <w:rsid w:val="00312232"/>
    <w:rsid w:val="003135CD"/>
    <w:rsid w:val="00314B26"/>
    <w:rsid w:val="003153F8"/>
    <w:rsid w:val="00315BDA"/>
    <w:rsid w:val="00320FAC"/>
    <w:rsid w:val="003210CB"/>
    <w:rsid w:val="00321367"/>
    <w:rsid w:val="00322595"/>
    <w:rsid w:val="003244B1"/>
    <w:rsid w:val="003248F3"/>
    <w:rsid w:val="00325191"/>
    <w:rsid w:val="00325553"/>
    <w:rsid w:val="00325DF5"/>
    <w:rsid w:val="00325F9D"/>
    <w:rsid w:val="0032623A"/>
    <w:rsid w:val="00327946"/>
    <w:rsid w:val="00327E5A"/>
    <w:rsid w:val="00330BA5"/>
    <w:rsid w:val="00330DC5"/>
    <w:rsid w:val="00333A20"/>
    <w:rsid w:val="00333D3B"/>
    <w:rsid w:val="0033485B"/>
    <w:rsid w:val="003348AE"/>
    <w:rsid w:val="00334A79"/>
    <w:rsid w:val="003353EC"/>
    <w:rsid w:val="00335935"/>
    <w:rsid w:val="0033612A"/>
    <w:rsid w:val="00336740"/>
    <w:rsid w:val="00340C59"/>
    <w:rsid w:val="00342283"/>
    <w:rsid w:val="003438E6"/>
    <w:rsid w:val="00343AC5"/>
    <w:rsid w:val="00344ECE"/>
    <w:rsid w:val="0034577E"/>
    <w:rsid w:val="003459FF"/>
    <w:rsid w:val="003463CE"/>
    <w:rsid w:val="00346AA7"/>
    <w:rsid w:val="0035028B"/>
    <w:rsid w:val="0035061B"/>
    <w:rsid w:val="00350716"/>
    <w:rsid w:val="00350D28"/>
    <w:rsid w:val="00351259"/>
    <w:rsid w:val="00351D8D"/>
    <w:rsid w:val="00351E91"/>
    <w:rsid w:val="00352076"/>
    <w:rsid w:val="0035257A"/>
    <w:rsid w:val="00353B81"/>
    <w:rsid w:val="00356688"/>
    <w:rsid w:val="00356992"/>
    <w:rsid w:val="003573DC"/>
    <w:rsid w:val="003576E1"/>
    <w:rsid w:val="00357724"/>
    <w:rsid w:val="003579E1"/>
    <w:rsid w:val="00360781"/>
    <w:rsid w:val="00361934"/>
    <w:rsid w:val="0036299E"/>
    <w:rsid w:val="00363124"/>
    <w:rsid w:val="00363CE7"/>
    <w:rsid w:val="00363F19"/>
    <w:rsid w:val="00364432"/>
    <w:rsid w:val="00364569"/>
    <w:rsid w:val="003657BC"/>
    <w:rsid w:val="00366F11"/>
    <w:rsid w:val="00367197"/>
    <w:rsid w:val="00370A8D"/>
    <w:rsid w:val="00370ACE"/>
    <w:rsid w:val="00370C90"/>
    <w:rsid w:val="00372593"/>
    <w:rsid w:val="00373293"/>
    <w:rsid w:val="003738E0"/>
    <w:rsid w:val="00373EB9"/>
    <w:rsid w:val="003744F7"/>
    <w:rsid w:val="0037528B"/>
    <w:rsid w:val="00376558"/>
    <w:rsid w:val="0037663F"/>
    <w:rsid w:val="00376A98"/>
    <w:rsid w:val="0037702A"/>
    <w:rsid w:val="00377811"/>
    <w:rsid w:val="00377B21"/>
    <w:rsid w:val="0038050D"/>
    <w:rsid w:val="00381390"/>
    <w:rsid w:val="00381A16"/>
    <w:rsid w:val="00382402"/>
    <w:rsid w:val="00382413"/>
    <w:rsid w:val="00382A92"/>
    <w:rsid w:val="00382E01"/>
    <w:rsid w:val="00382E39"/>
    <w:rsid w:val="0038307D"/>
    <w:rsid w:val="003836F4"/>
    <w:rsid w:val="00383CA2"/>
    <w:rsid w:val="00384943"/>
    <w:rsid w:val="003849C3"/>
    <w:rsid w:val="00384CC2"/>
    <w:rsid w:val="00385F69"/>
    <w:rsid w:val="00387C5B"/>
    <w:rsid w:val="00390960"/>
    <w:rsid w:val="00390D4F"/>
    <w:rsid w:val="00390F25"/>
    <w:rsid w:val="003910DC"/>
    <w:rsid w:val="00392C15"/>
    <w:rsid w:val="003934D0"/>
    <w:rsid w:val="00394D78"/>
    <w:rsid w:val="00394DD7"/>
    <w:rsid w:val="003955E4"/>
    <w:rsid w:val="00395C77"/>
    <w:rsid w:val="003964D4"/>
    <w:rsid w:val="00396955"/>
    <w:rsid w:val="003969CE"/>
    <w:rsid w:val="00396A61"/>
    <w:rsid w:val="003A09A5"/>
    <w:rsid w:val="003A22DF"/>
    <w:rsid w:val="003A270C"/>
    <w:rsid w:val="003A2E6F"/>
    <w:rsid w:val="003A449D"/>
    <w:rsid w:val="003A4563"/>
    <w:rsid w:val="003A54AE"/>
    <w:rsid w:val="003A5DB6"/>
    <w:rsid w:val="003A62E2"/>
    <w:rsid w:val="003A6EEE"/>
    <w:rsid w:val="003A6F55"/>
    <w:rsid w:val="003B00D6"/>
    <w:rsid w:val="003B1171"/>
    <w:rsid w:val="003B20C4"/>
    <w:rsid w:val="003B2408"/>
    <w:rsid w:val="003B3521"/>
    <w:rsid w:val="003B3787"/>
    <w:rsid w:val="003B573A"/>
    <w:rsid w:val="003B5D75"/>
    <w:rsid w:val="003B5EA7"/>
    <w:rsid w:val="003B66F0"/>
    <w:rsid w:val="003B6864"/>
    <w:rsid w:val="003B6DE6"/>
    <w:rsid w:val="003B7AC2"/>
    <w:rsid w:val="003C0570"/>
    <w:rsid w:val="003C05F2"/>
    <w:rsid w:val="003C0C8D"/>
    <w:rsid w:val="003C21C8"/>
    <w:rsid w:val="003C31FD"/>
    <w:rsid w:val="003C35CC"/>
    <w:rsid w:val="003C3D3B"/>
    <w:rsid w:val="003C4032"/>
    <w:rsid w:val="003C4A6E"/>
    <w:rsid w:val="003C4ACF"/>
    <w:rsid w:val="003C6F7A"/>
    <w:rsid w:val="003C7E52"/>
    <w:rsid w:val="003D02C5"/>
    <w:rsid w:val="003D0FCC"/>
    <w:rsid w:val="003D1AB7"/>
    <w:rsid w:val="003D1DF5"/>
    <w:rsid w:val="003D1E43"/>
    <w:rsid w:val="003D2361"/>
    <w:rsid w:val="003D2374"/>
    <w:rsid w:val="003D418E"/>
    <w:rsid w:val="003D44F0"/>
    <w:rsid w:val="003D5C29"/>
    <w:rsid w:val="003D6765"/>
    <w:rsid w:val="003D691E"/>
    <w:rsid w:val="003E0329"/>
    <w:rsid w:val="003E06F0"/>
    <w:rsid w:val="003E159F"/>
    <w:rsid w:val="003E2B8E"/>
    <w:rsid w:val="003E2C8C"/>
    <w:rsid w:val="003E4718"/>
    <w:rsid w:val="003E528C"/>
    <w:rsid w:val="003E632E"/>
    <w:rsid w:val="003E6AD1"/>
    <w:rsid w:val="003E7A1A"/>
    <w:rsid w:val="003E7E15"/>
    <w:rsid w:val="003F0170"/>
    <w:rsid w:val="003F0224"/>
    <w:rsid w:val="003F05AF"/>
    <w:rsid w:val="003F0F4A"/>
    <w:rsid w:val="003F1BD3"/>
    <w:rsid w:val="003F29A3"/>
    <w:rsid w:val="003F30A5"/>
    <w:rsid w:val="003F3BE2"/>
    <w:rsid w:val="003F4DD7"/>
    <w:rsid w:val="003F502A"/>
    <w:rsid w:val="003F5A15"/>
    <w:rsid w:val="00400EC7"/>
    <w:rsid w:val="004017A4"/>
    <w:rsid w:val="0040182E"/>
    <w:rsid w:val="00402F59"/>
    <w:rsid w:val="00403078"/>
    <w:rsid w:val="004039A2"/>
    <w:rsid w:val="00404542"/>
    <w:rsid w:val="004052AD"/>
    <w:rsid w:val="00405DBE"/>
    <w:rsid w:val="004069B6"/>
    <w:rsid w:val="004100BD"/>
    <w:rsid w:val="00410643"/>
    <w:rsid w:val="00410664"/>
    <w:rsid w:val="0041148C"/>
    <w:rsid w:val="00411ED1"/>
    <w:rsid w:val="004121BB"/>
    <w:rsid w:val="0041339E"/>
    <w:rsid w:val="00413C45"/>
    <w:rsid w:val="00413D31"/>
    <w:rsid w:val="004140FD"/>
    <w:rsid w:val="00415565"/>
    <w:rsid w:val="00417FA0"/>
    <w:rsid w:val="00420C8E"/>
    <w:rsid w:val="00420F5F"/>
    <w:rsid w:val="00421A1E"/>
    <w:rsid w:val="00422381"/>
    <w:rsid w:val="00422402"/>
    <w:rsid w:val="0042249D"/>
    <w:rsid w:val="00422700"/>
    <w:rsid w:val="00422858"/>
    <w:rsid w:val="00422BF2"/>
    <w:rsid w:val="00422C90"/>
    <w:rsid w:val="004233AF"/>
    <w:rsid w:val="004233EE"/>
    <w:rsid w:val="004249B3"/>
    <w:rsid w:val="00424ADD"/>
    <w:rsid w:val="004259BF"/>
    <w:rsid w:val="0042616F"/>
    <w:rsid w:val="004262F4"/>
    <w:rsid w:val="004268E6"/>
    <w:rsid w:val="0042719A"/>
    <w:rsid w:val="00430208"/>
    <w:rsid w:val="00431455"/>
    <w:rsid w:val="00431B33"/>
    <w:rsid w:val="00431CA7"/>
    <w:rsid w:val="00432253"/>
    <w:rsid w:val="0043235B"/>
    <w:rsid w:val="004328F4"/>
    <w:rsid w:val="00432AA9"/>
    <w:rsid w:val="00432BCA"/>
    <w:rsid w:val="00434CAD"/>
    <w:rsid w:val="00434E85"/>
    <w:rsid w:val="00437C99"/>
    <w:rsid w:val="00440029"/>
    <w:rsid w:val="00440760"/>
    <w:rsid w:val="00440FB6"/>
    <w:rsid w:val="004437FC"/>
    <w:rsid w:val="00445E55"/>
    <w:rsid w:val="00446009"/>
    <w:rsid w:val="004461D2"/>
    <w:rsid w:val="00446398"/>
    <w:rsid w:val="00446A74"/>
    <w:rsid w:val="0044757F"/>
    <w:rsid w:val="004479E4"/>
    <w:rsid w:val="00451134"/>
    <w:rsid w:val="0045116B"/>
    <w:rsid w:val="00451262"/>
    <w:rsid w:val="00451574"/>
    <w:rsid w:val="00454B63"/>
    <w:rsid w:val="00455464"/>
    <w:rsid w:val="004562B9"/>
    <w:rsid w:val="004567D7"/>
    <w:rsid w:val="00456E4C"/>
    <w:rsid w:val="00457114"/>
    <w:rsid w:val="00457B56"/>
    <w:rsid w:val="00457DAD"/>
    <w:rsid w:val="004615DD"/>
    <w:rsid w:val="00461F19"/>
    <w:rsid w:val="004627FE"/>
    <w:rsid w:val="004628D4"/>
    <w:rsid w:val="00462D84"/>
    <w:rsid w:val="00463000"/>
    <w:rsid w:val="00463134"/>
    <w:rsid w:val="00463210"/>
    <w:rsid w:val="00463D1C"/>
    <w:rsid w:val="0046477D"/>
    <w:rsid w:val="0046597C"/>
    <w:rsid w:val="00465CC0"/>
    <w:rsid w:val="0046647B"/>
    <w:rsid w:val="004665C7"/>
    <w:rsid w:val="00466F4A"/>
    <w:rsid w:val="00470F05"/>
    <w:rsid w:val="00471574"/>
    <w:rsid w:val="004716C7"/>
    <w:rsid w:val="00472AD3"/>
    <w:rsid w:val="0047358D"/>
    <w:rsid w:val="00473ABA"/>
    <w:rsid w:val="004740CC"/>
    <w:rsid w:val="00474675"/>
    <w:rsid w:val="00475860"/>
    <w:rsid w:val="0047602B"/>
    <w:rsid w:val="00476150"/>
    <w:rsid w:val="0047687B"/>
    <w:rsid w:val="004768C9"/>
    <w:rsid w:val="004776E6"/>
    <w:rsid w:val="00477EE0"/>
    <w:rsid w:val="00480071"/>
    <w:rsid w:val="0048040C"/>
    <w:rsid w:val="00480E48"/>
    <w:rsid w:val="004828CA"/>
    <w:rsid w:val="00482A2A"/>
    <w:rsid w:val="00483514"/>
    <w:rsid w:val="00483C60"/>
    <w:rsid w:val="0048414B"/>
    <w:rsid w:val="00484485"/>
    <w:rsid w:val="00484DC0"/>
    <w:rsid w:val="00485229"/>
    <w:rsid w:val="00490908"/>
    <w:rsid w:val="0049127D"/>
    <w:rsid w:val="00491ADF"/>
    <w:rsid w:val="004929C3"/>
    <w:rsid w:val="0049362B"/>
    <w:rsid w:val="00494408"/>
    <w:rsid w:val="00495519"/>
    <w:rsid w:val="00495ABD"/>
    <w:rsid w:val="00496351"/>
    <w:rsid w:val="004A0803"/>
    <w:rsid w:val="004A0B30"/>
    <w:rsid w:val="004A12A7"/>
    <w:rsid w:val="004A176D"/>
    <w:rsid w:val="004A1D7D"/>
    <w:rsid w:val="004A27B9"/>
    <w:rsid w:val="004A373E"/>
    <w:rsid w:val="004A422B"/>
    <w:rsid w:val="004A5221"/>
    <w:rsid w:val="004A5571"/>
    <w:rsid w:val="004A55C4"/>
    <w:rsid w:val="004A5A48"/>
    <w:rsid w:val="004A5BA5"/>
    <w:rsid w:val="004A5D73"/>
    <w:rsid w:val="004A5F7D"/>
    <w:rsid w:val="004A6DC8"/>
    <w:rsid w:val="004B055B"/>
    <w:rsid w:val="004B0AD5"/>
    <w:rsid w:val="004B156F"/>
    <w:rsid w:val="004B1EBE"/>
    <w:rsid w:val="004B2569"/>
    <w:rsid w:val="004B3D0C"/>
    <w:rsid w:val="004B3E1B"/>
    <w:rsid w:val="004B44F1"/>
    <w:rsid w:val="004B4CE1"/>
    <w:rsid w:val="004B4E1E"/>
    <w:rsid w:val="004B548D"/>
    <w:rsid w:val="004B5895"/>
    <w:rsid w:val="004B60AE"/>
    <w:rsid w:val="004B6ACE"/>
    <w:rsid w:val="004B71A6"/>
    <w:rsid w:val="004B778A"/>
    <w:rsid w:val="004B78B3"/>
    <w:rsid w:val="004B7987"/>
    <w:rsid w:val="004C06E2"/>
    <w:rsid w:val="004C18A3"/>
    <w:rsid w:val="004C21C2"/>
    <w:rsid w:val="004C2B04"/>
    <w:rsid w:val="004C380B"/>
    <w:rsid w:val="004C3D31"/>
    <w:rsid w:val="004C3F37"/>
    <w:rsid w:val="004C49A6"/>
    <w:rsid w:val="004C54BF"/>
    <w:rsid w:val="004C5890"/>
    <w:rsid w:val="004C5DD1"/>
    <w:rsid w:val="004C5E94"/>
    <w:rsid w:val="004C6576"/>
    <w:rsid w:val="004C6C24"/>
    <w:rsid w:val="004C74D9"/>
    <w:rsid w:val="004D02A9"/>
    <w:rsid w:val="004D1312"/>
    <w:rsid w:val="004D191C"/>
    <w:rsid w:val="004D224C"/>
    <w:rsid w:val="004D2856"/>
    <w:rsid w:val="004D2D0F"/>
    <w:rsid w:val="004D384F"/>
    <w:rsid w:val="004D39B9"/>
    <w:rsid w:val="004D4383"/>
    <w:rsid w:val="004D4519"/>
    <w:rsid w:val="004D4695"/>
    <w:rsid w:val="004D4AEF"/>
    <w:rsid w:val="004D4D3B"/>
    <w:rsid w:val="004D607A"/>
    <w:rsid w:val="004D72E4"/>
    <w:rsid w:val="004D7701"/>
    <w:rsid w:val="004D79AB"/>
    <w:rsid w:val="004E097E"/>
    <w:rsid w:val="004E0A00"/>
    <w:rsid w:val="004E0B40"/>
    <w:rsid w:val="004E17F6"/>
    <w:rsid w:val="004E1AF7"/>
    <w:rsid w:val="004E1E3C"/>
    <w:rsid w:val="004E20A8"/>
    <w:rsid w:val="004E2118"/>
    <w:rsid w:val="004E3541"/>
    <w:rsid w:val="004E36A9"/>
    <w:rsid w:val="004E3BD3"/>
    <w:rsid w:val="004E450C"/>
    <w:rsid w:val="004E539A"/>
    <w:rsid w:val="004E5EBB"/>
    <w:rsid w:val="004E67D4"/>
    <w:rsid w:val="004F030B"/>
    <w:rsid w:val="004F03CF"/>
    <w:rsid w:val="004F0E2F"/>
    <w:rsid w:val="004F1EEA"/>
    <w:rsid w:val="004F2D5F"/>
    <w:rsid w:val="004F4F13"/>
    <w:rsid w:val="004F52D6"/>
    <w:rsid w:val="004F588C"/>
    <w:rsid w:val="004F5CB9"/>
    <w:rsid w:val="004F7493"/>
    <w:rsid w:val="004F7585"/>
    <w:rsid w:val="005002B9"/>
    <w:rsid w:val="005014E9"/>
    <w:rsid w:val="005015BF"/>
    <w:rsid w:val="005016FE"/>
    <w:rsid w:val="005020F1"/>
    <w:rsid w:val="0050212D"/>
    <w:rsid w:val="005023DB"/>
    <w:rsid w:val="005031B6"/>
    <w:rsid w:val="00504848"/>
    <w:rsid w:val="00505009"/>
    <w:rsid w:val="00505F2A"/>
    <w:rsid w:val="00506C1B"/>
    <w:rsid w:val="005107EC"/>
    <w:rsid w:val="0051126F"/>
    <w:rsid w:val="00511291"/>
    <w:rsid w:val="00511AA1"/>
    <w:rsid w:val="00511DA0"/>
    <w:rsid w:val="00512B3E"/>
    <w:rsid w:val="00512CCC"/>
    <w:rsid w:val="005138C0"/>
    <w:rsid w:val="00515F0E"/>
    <w:rsid w:val="005167B8"/>
    <w:rsid w:val="0051739B"/>
    <w:rsid w:val="00517BD3"/>
    <w:rsid w:val="00517C99"/>
    <w:rsid w:val="00520685"/>
    <w:rsid w:val="00522ABB"/>
    <w:rsid w:val="00523ABA"/>
    <w:rsid w:val="00523F89"/>
    <w:rsid w:val="005255C9"/>
    <w:rsid w:val="0052715E"/>
    <w:rsid w:val="00527199"/>
    <w:rsid w:val="00527E8D"/>
    <w:rsid w:val="00530055"/>
    <w:rsid w:val="0053076A"/>
    <w:rsid w:val="005308D9"/>
    <w:rsid w:val="00530AC9"/>
    <w:rsid w:val="00530F58"/>
    <w:rsid w:val="0053192E"/>
    <w:rsid w:val="00532329"/>
    <w:rsid w:val="00532D02"/>
    <w:rsid w:val="0053421E"/>
    <w:rsid w:val="00535C63"/>
    <w:rsid w:val="0053670C"/>
    <w:rsid w:val="005371C7"/>
    <w:rsid w:val="00537F6A"/>
    <w:rsid w:val="005400E0"/>
    <w:rsid w:val="00540B22"/>
    <w:rsid w:val="00541451"/>
    <w:rsid w:val="0054170F"/>
    <w:rsid w:val="005425EF"/>
    <w:rsid w:val="00542981"/>
    <w:rsid w:val="0054298F"/>
    <w:rsid w:val="005433DE"/>
    <w:rsid w:val="00544048"/>
    <w:rsid w:val="00544579"/>
    <w:rsid w:val="005450A6"/>
    <w:rsid w:val="005454B2"/>
    <w:rsid w:val="005457F9"/>
    <w:rsid w:val="00547982"/>
    <w:rsid w:val="005509C4"/>
    <w:rsid w:val="00550CA0"/>
    <w:rsid w:val="00551229"/>
    <w:rsid w:val="005514C7"/>
    <w:rsid w:val="00551986"/>
    <w:rsid w:val="00551EC0"/>
    <w:rsid w:val="00554CD4"/>
    <w:rsid w:val="00555309"/>
    <w:rsid w:val="00555C8D"/>
    <w:rsid w:val="0055619D"/>
    <w:rsid w:val="00556830"/>
    <w:rsid w:val="00556B1C"/>
    <w:rsid w:val="005606EB"/>
    <w:rsid w:val="00560E08"/>
    <w:rsid w:val="005613FA"/>
    <w:rsid w:val="00561684"/>
    <w:rsid w:val="00563114"/>
    <w:rsid w:val="00563915"/>
    <w:rsid w:val="005653A1"/>
    <w:rsid w:val="00565AA0"/>
    <w:rsid w:val="005668DD"/>
    <w:rsid w:val="00566ED6"/>
    <w:rsid w:val="005676E5"/>
    <w:rsid w:val="00567CCF"/>
    <w:rsid w:val="00570394"/>
    <w:rsid w:val="00570CC5"/>
    <w:rsid w:val="00571672"/>
    <w:rsid w:val="005716CF"/>
    <w:rsid w:val="00571B2D"/>
    <w:rsid w:val="0057245A"/>
    <w:rsid w:val="00573256"/>
    <w:rsid w:val="00574204"/>
    <w:rsid w:val="005743BD"/>
    <w:rsid w:val="00574702"/>
    <w:rsid w:val="005747F4"/>
    <w:rsid w:val="00574B72"/>
    <w:rsid w:val="00575D6F"/>
    <w:rsid w:val="00576043"/>
    <w:rsid w:val="00576D27"/>
    <w:rsid w:val="00577261"/>
    <w:rsid w:val="00577B66"/>
    <w:rsid w:val="00577C8C"/>
    <w:rsid w:val="00580106"/>
    <w:rsid w:val="0058081E"/>
    <w:rsid w:val="005819D4"/>
    <w:rsid w:val="00581DE0"/>
    <w:rsid w:val="00581E29"/>
    <w:rsid w:val="00581FFE"/>
    <w:rsid w:val="00582C66"/>
    <w:rsid w:val="00582D07"/>
    <w:rsid w:val="005831BF"/>
    <w:rsid w:val="00583C23"/>
    <w:rsid w:val="00583F7D"/>
    <w:rsid w:val="00584642"/>
    <w:rsid w:val="00585349"/>
    <w:rsid w:val="0058581E"/>
    <w:rsid w:val="00585EF4"/>
    <w:rsid w:val="00586100"/>
    <w:rsid w:val="00586181"/>
    <w:rsid w:val="00587263"/>
    <w:rsid w:val="0058745A"/>
    <w:rsid w:val="005900CB"/>
    <w:rsid w:val="0059107D"/>
    <w:rsid w:val="00593279"/>
    <w:rsid w:val="00593376"/>
    <w:rsid w:val="00594549"/>
    <w:rsid w:val="005956A0"/>
    <w:rsid w:val="005958A8"/>
    <w:rsid w:val="00595AFF"/>
    <w:rsid w:val="00597063"/>
    <w:rsid w:val="00597A2E"/>
    <w:rsid w:val="00597E50"/>
    <w:rsid w:val="005A1533"/>
    <w:rsid w:val="005A1BFF"/>
    <w:rsid w:val="005A2436"/>
    <w:rsid w:val="005A2758"/>
    <w:rsid w:val="005A31E7"/>
    <w:rsid w:val="005A3805"/>
    <w:rsid w:val="005A38F4"/>
    <w:rsid w:val="005A40D1"/>
    <w:rsid w:val="005A4967"/>
    <w:rsid w:val="005A5BC3"/>
    <w:rsid w:val="005A5E1D"/>
    <w:rsid w:val="005A632D"/>
    <w:rsid w:val="005A68AE"/>
    <w:rsid w:val="005A7DFF"/>
    <w:rsid w:val="005B1131"/>
    <w:rsid w:val="005B1D5B"/>
    <w:rsid w:val="005B2310"/>
    <w:rsid w:val="005B2B55"/>
    <w:rsid w:val="005B2C20"/>
    <w:rsid w:val="005B3796"/>
    <w:rsid w:val="005B3CD5"/>
    <w:rsid w:val="005B3FDE"/>
    <w:rsid w:val="005B4298"/>
    <w:rsid w:val="005B4E34"/>
    <w:rsid w:val="005B6EEB"/>
    <w:rsid w:val="005B6FAC"/>
    <w:rsid w:val="005B733C"/>
    <w:rsid w:val="005B78AE"/>
    <w:rsid w:val="005B7972"/>
    <w:rsid w:val="005C0F0B"/>
    <w:rsid w:val="005C27FA"/>
    <w:rsid w:val="005C389F"/>
    <w:rsid w:val="005C3BEE"/>
    <w:rsid w:val="005C5818"/>
    <w:rsid w:val="005C5E4E"/>
    <w:rsid w:val="005C68A9"/>
    <w:rsid w:val="005C6E0C"/>
    <w:rsid w:val="005C7297"/>
    <w:rsid w:val="005D0CB3"/>
    <w:rsid w:val="005D0E71"/>
    <w:rsid w:val="005D1771"/>
    <w:rsid w:val="005D17A6"/>
    <w:rsid w:val="005D2C18"/>
    <w:rsid w:val="005D3071"/>
    <w:rsid w:val="005D35B1"/>
    <w:rsid w:val="005D596F"/>
    <w:rsid w:val="005D5FEE"/>
    <w:rsid w:val="005D6FD5"/>
    <w:rsid w:val="005E049A"/>
    <w:rsid w:val="005E0954"/>
    <w:rsid w:val="005E1528"/>
    <w:rsid w:val="005E21C8"/>
    <w:rsid w:val="005E4AF4"/>
    <w:rsid w:val="005E5B40"/>
    <w:rsid w:val="005E5EE9"/>
    <w:rsid w:val="005F0880"/>
    <w:rsid w:val="005F0D98"/>
    <w:rsid w:val="005F10B8"/>
    <w:rsid w:val="005F343D"/>
    <w:rsid w:val="005F36C8"/>
    <w:rsid w:val="005F474B"/>
    <w:rsid w:val="005F4B7D"/>
    <w:rsid w:val="005F6BC8"/>
    <w:rsid w:val="005F785B"/>
    <w:rsid w:val="005F7D08"/>
    <w:rsid w:val="006002B9"/>
    <w:rsid w:val="0060035E"/>
    <w:rsid w:val="0060071D"/>
    <w:rsid w:val="00600A0A"/>
    <w:rsid w:val="00600DA0"/>
    <w:rsid w:val="006020BF"/>
    <w:rsid w:val="00602152"/>
    <w:rsid w:val="0060297A"/>
    <w:rsid w:val="006035F0"/>
    <w:rsid w:val="00603D27"/>
    <w:rsid w:val="00604DD7"/>
    <w:rsid w:val="00605AC2"/>
    <w:rsid w:val="00605C4F"/>
    <w:rsid w:val="00605C63"/>
    <w:rsid w:val="0060709E"/>
    <w:rsid w:val="00607B0C"/>
    <w:rsid w:val="0061069F"/>
    <w:rsid w:val="00610A30"/>
    <w:rsid w:val="00610C08"/>
    <w:rsid w:val="0061134D"/>
    <w:rsid w:val="0061163F"/>
    <w:rsid w:val="0061209A"/>
    <w:rsid w:val="00614878"/>
    <w:rsid w:val="00614B6B"/>
    <w:rsid w:val="00614C6B"/>
    <w:rsid w:val="00614E36"/>
    <w:rsid w:val="006159C1"/>
    <w:rsid w:val="00616EAF"/>
    <w:rsid w:val="00617C33"/>
    <w:rsid w:val="006200C3"/>
    <w:rsid w:val="00620549"/>
    <w:rsid w:val="00621249"/>
    <w:rsid w:val="00621FB5"/>
    <w:rsid w:val="0062271E"/>
    <w:rsid w:val="006228E7"/>
    <w:rsid w:val="006233DD"/>
    <w:rsid w:val="0062349A"/>
    <w:rsid w:val="0062493A"/>
    <w:rsid w:val="00624DF7"/>
    <w:rsid w:val="006258BE"/>
    <w:rsid w:val="006259FD"/>
    <w:rsid w:val="00626204"/>
    <w:rsid w:val="00626B12"/>
    <w:rsid w:val="00626B88"/>
    <w:rsid w:val="0062700C"/>
    <w:rsid w:val="00627063"/>
    <w:rsid w:val="00627790"/>
    <w:rsid w:val="00631550"/>
    <w:rsid w:val="00631873"/>
    <w:rsid w:val="00631877"/>
    <w:rsid w:val="00631B86"/>
    <w:rsid w:val="00631BC3"/>
    <w:rsid w:val="006329B9"/>
    <w:rsid w:val="0063383E"/>
    <w:rsid w:val="00633E1C"/>
    <w:rsid w:val="0063401F"/>
    <w:rsid w:val="0063419C"/>
    <w:rsid w:val="006353D8"/>
    <w:rsid w:val="0063543F"/>
    <w:rsid w:val="00635DBA"/>
    <w:rsid w:val="00636F48"/>
    <w:rsid w:val="00637276"/>
    <w:rsid w:val="006377F5"/>
    <w:rsid w:val="00637FBB"/>
    <w:rsid w:val="006419C8"/>
    <w:rsid w:val="00641C2A"/>
    <w:rsid w:val="00641E15"/>
    <w:rsid w:val="00642272"/>
    <w:rsid w:val="00642F69"/>
    <w:rsid w:val="006433F1"/>
    <w:rsid w:val="006438F2"/>
    <w:rsid w:val="00644AFA"/>
    <w:rsid w:val="0064518E"/>
    <w:rsid w:val="006456D4"/>
    <w:rsid w:val="00646229"/>
    <w:rsid w:val="00646518"/>
    <w:rsid w:val="00647120"/>
    <w:rsid w:val="006475BB"/>
    <w:rsid w:val="00647A82"/>
    <w:rsid w:val="00650EF8"/>
    <w:rsid w:val="00652266"/>
    <w:rsid w:val="00652687"/>
    <w:rsid w:val="00653E1B"/>
    <w:rsid w:val="00655047"/>
    <w:rsid w:val="00655198"/>
    <w:rsid w:val="00656496"/>
    <w:rsid w:val="00656A0F"/>
    <w:rsid w:val="0065724B"/>
    <w:rsid w:val="00657258"/>
    <w:rsid w:val="00657399"/>
    <w:rsid w:val="00660CE3"/>
    <w:rsid w:val="00661492"/>
    <w:rsid w:val="006616BB"/>
    <w:rsid w:val="00661B62"/>
    <w:rsid w:val="00661D2C"/>
    <w:rsid w:val="00662B7F"/>
    <w:rsid w:val="00662E0A"/>
    <w:rsid w:val="00662FB0"/>
    <w:rsid w:val="00664AE0"/>
    <w:rsid w:val="00664DFF"/>
    <w:rsid w:val="00665E7D"/>
    <w:rsid w:val="00667465"/>
    <w:rsid w:val="00667562"/>
    <w:rsid w:val="006707F9"/>
    <w:rsid w:val="00670E02"/>
    <w:rsid w:val="00671A60"/>
    <w:rsid w:val="00672640"/>
    <w:rsid w:val="00672FF5"/>
    <w:rsid w:val="006736D7"/>
    <w:rsid w:val="00673ADD"/>
    <w:rsid w:val="00676099"/>
    <w:rsid w:val="00676A11"/>
    <w:rsid w:val="00677CC5"/>
    <w:rsid w:val="00680B44"/>
    <w:rsid w:val="006835C9"/>
    <w:rsid w:val="006839F9"/>
    <w:rsid w:val="00683E0B"/>
    <w:rsid w:val="00684564"/>
    <w:rsid w:val="00684AE7"/>
    <w:rsid w:val="006869ED"/>
    <w:rsid w:val="00686DAD"/>
    <w:rsid w:val="00690297"/>
    <w:rsid w:val="00690662"/>
    <w:rsid w:val="006907FF"/>
    <w:rsid w:val="00691708"/>
    <w:rsid w:val="00691DC9"/>
    <w:rsid w:val="006938A7"/>
    <w:rsid w:val="006939D3"/>
    <w:rsid w:val="0069487E"/>
    <w:rsid w:val="00695DFF"/>
    <w:rsid w:val="006962C7"/>
    <w:rsid w:val="006974D3"/>
    <w:rsid w:val="00697646"/>
    <w:rsid w:val="006A0D54"/>
    <w:rsid w:val="006A0E61"/>
    <w:rsid w:val="006A231A"/>
    <w:rsid w:val="006A39E4"/>
    <w:rsid w:val="006A4E5A"/>
    <w:rsid w:val="006A5392"/>
    <w:rsid w:val="006A573F"/>
    <w:rsid w:val="006A5A68"/>
    <w:rsid w:val="006A5DDF"/>
    <w:rsid w:val="006A5DEF"/>
    <w:rsid w:val="006A76B8"/>
    <w:rsid w:val="006B0ABF"/>
    <w:rsid w:val="006B0B7F"/>
    <w:rsid w:val="006B1A24"/>
    <w:rsid w:val="006B2571"/>
    <w:rsid w:val="006B2811"/>
    <w:rsid w:val="006B29DD"/>
    <w:rsid w:val="006B2FDE"/>
    <w:rsid w:val="006B34E2"/>
    <w:rsid w:val="006B378D"/>
    <w:rsid w:val="006B42BE"/>
    <w:rsid w:val="006B702C"/>
    <w:rsid w:val="006C14E1"/>
    <w:rsid w:val="006C253E"/>
    <w:rsid w:val="006C2816"/>
    <w:rsid w:val="006C2940"/>
    <w:rsid w:val="006C294B"/>
    <w:rsid w:val="006C2DF4"/>
    <w:rsid w:val="006C346C"/>
    <w:rsid w:val="006C4E55"/>
    <w:rsid w:val="006C5529"/>
    <w:rsid w:val="006C59EC"/>
    <w:rsid w:val="006C5BD7"/>
    <w:rsid w:val="006C5C91"/>
    <w:rsid w:val="006C5FD2"/>
    <w:rsid w:val="006C685C"/>
    <w:rsid w:val="006C6E4C"/>
    <w:rsid w:val="006C7B12"/>
    <w:rsid w:val="006C7D78"/>
    <w:rsid w:val="006D0477"/>
    <w:rsid w:val="006D10B0"/>
    <w:rsid w:val="006D11FB"/>
    <w:rsid w:val="006D1B64"/>
    <w:rsid w:val="006D260A"/>
    <w:rsid w:val="006D354F"/>
    <w:rsid w:val="006D3672"/>
    <w:rsid w:val="006D3BEF"/>
    <w:rsid w:val="006D3F3F"/>
    <w:rsid w:val="006D3FBA"/>
    <w:rsid w:val="006D5522"/>
    <w:rsid w:val="006D561A"/>
    <w:rsid w:val="006D5AB1"/>
    <w:rsid w:val="006D5B54"/>
    <w:rsid w:val="006D62A4"/>
    <w:rsid w:val="006D62D4"/>
    <w:rsid w:val="006D661C"/>
    <w:rsid w:val="006E0126"/>
    <w:rsid w:val="006E18D6"/>
    <w:rsid w:val="006E2D1A"/>
    <w:rsid w:val="006E309A"/>
    <w:rsid w:val="006E33A1"/>
    <w:rsid w:val="006E4296"/>
    <w:rsid w:val="006E516B"/>
    <w:rsid w:val="006E5876"/>
    <w:rsid w:val="006E61A8"/>
    <w:rsid w:val="006E6880"/>
    <w:rsid w:val="006E6899"/>
    <w:rsid w:val="006E6DD0"/>
    <w:rsid w:val="006E701B"/>
    <w:rsid w:val="006E70D1"/>
    <w:rsid w:val="006E7570"/>
    <w:rsid w:val="006F0914"/>
    <w:rsid w:val="006F13AD"/>
    <w:rsid w:val="006F3D8F"/>
    <w:rsid w:val="006F3EF1"/>
    <w:rsid w:val="006F4214"/>
    <w:rsid w:val="006F4514"/>
    <w:rsid w:val="006F5EB4"/>
    <w:rsid w:val="006F61CB"/>
    <w:rsid w:val="006F6567"/>
    <w:rsid w:val="007015B7"/>
    <w:rsid w:val="007021F8"/>
    <w:rsid w:val="00702B95"/>
    <w:rsid w:val="0070343F"/>
    <w:rsid w:val="007035CB"/>
    <w:rsid w:val="007049B1"/>
    <w:rsid w:val="00704CE7"/>
    <w:rsid w:val="00705FA2"/>
    <w:rsid w:val="007067AD"/>
    <w:rsid w:val="00706C32"/>
    <w:rsid w:val="0071179D"/>
    <w:rsid w:val="00711C3E"/>
    <w:rsid w:val="0071232A"/>
    <w:rsid w:val="007123ED"/>
    <w:rsid w:val="007129AF"/>
    <w:rsid w:val="00714206"/>
    <w:rsid w:val="0071424E"/>
    <w:rsid w:val="00714877"/>
    <w:rsid w:val="00715B69"/>
    <w:rsid w:val="00715FF6"/>
    <w:rsid w:val="00716487"/>
    <w:rsid w:val="00716890"/>
    <w:rsid w:val="00716BDB"/>
    <w:rsid w:val="00716D2B"/>
    <w:rsid w:val="007178EE"/>
    <w:rsid w:val="00717DA8"/>
    <w:rsid w:val="0072063E"/>
    <w:rsid w:val="007218DB"/>
    <w:rsid w:val="00722782"/>
    <w:rsid w:val="00722855"/>
    <w:rsid w:val="00724191"/>
    <w:rsid w:val="00725835"/>
    <w:rsid w:val="007304D3"/>
    <w:rsid w:val="00731FE6"/>
    <w:rsid w:val="00733579"/>
    <w:rsid w:val="00733616"/>
    <w:rsid w:val="007344C9"/>
    <w:rsid w:val="007347EE"/>
    <w:rsid w:val="00734810"/>
    <w:rsid w:val="00734835"/>
    <w:rsid w:val="00734E35"/>
    <w:rsid w:val="00734E90"/>
    <w:rsid w:val="007354C3"/>
    <w:rsid w:val="00735E54"/>
    <w:rsid w:val="0073615D"/>
    <w:rsid w:val="0073732B"/>
    <w:rsid w:val="0073758F"/>
    <w:rsid w:val="00737652"/>
    <w:rsid w:val="00737C4B"/>
    <w:rsid w:val="007404F1"/>
    <w:rsid w:val="00741678"/>
    <w:rsid w:val="007439D0"/>
    <w:rsid w:val="00743EEB"/>
    <w:rsid w:val="00744D8F"/>
    <w:rsid w:val="0074560E"/>
    <w:rsid w:val="007477BC"/>
    <w:rsid w:val="00750047"/>
    <w:rsid w:val="00750425"/>
    <w:rsid w:val="00751A1E"/>
    <w:rsid w:val="00751EB4"/>
    <w:rsid w:val="00752FD5"/>
    <w:rsid w:val="007530D0"/>
    <w:rsid w:val="0075403C"/>
    <w:rsid w:val="007548A8"/>
    <w:rsid w:val="00755059"/>
    <w:rsid w:val="00755D2A"/>
    <w:rsid w:val="00756053"/>
    <w:rsid w:val="0075780E"/>
    <w:rsid w:val="00761AC2"/>
    <w:rsid w:val="00761B8A"/>
    <w:rsid w:val="0076214D"/>
    <w:rsid w:val="007622BA"/>
    <w:rsid w:val="0076337C"/>
    <w:rsid w:val="00763680"/>
    <w:rsid w:val="00766338"/>
    <w:rsid w:val="00766D9B"/>
    <w:rsid w:val="007672E4"/>
    <w:rsid w:val="007705F9"/>
    <w:rsid w:val="007708D1"/>
    <w:rsid w:val="00770C84"/>
    <w:rsid w:val="007711BA"/>
    <w:rsid w:val="007716A8"/>
    <w:rsid w:val="0077206B"/>
    <w:rsid w:val="007725FF"/>
    <w:rsid w:val="00772879"/>
    <w:rsid w:val="00773139"/>
    <w:rsid w:val="00774DBB"/>
    <w:rsid w:val="00775AFF"/>
    <w:rsid w:val="00775D59"/>
    <w:rsid w:val="00776E70"/>
    <w:rsid w:val="00781E5B"/>
    <w:rsid w:val="007832C1"/>
    <w:rsid w:val="007840E8"/>
    <w:rsid w:val="00784E70"/>
    <w:rsid w:val="007852F6"/>
    <w:rsid w:val="00785E8E"/>
    <w:rsid w:val="00786790"/>
    <w:rsid w:val="007931F7"/>
    <w:rsid w:val="007936D6"/>
    <w:rsid w:val="007947FC"/>
    <w:rsid w:val="00794952"/>
    <w:rsid w:val="0079497E"/>
    <w:rsid w:val="00794BEA"/>
    <w:rsid w:val="00794DC8"/>
    <w:rsid w:val="007951AB"/>
    <w:rsid w:val="00795417"/>
    <w:rsid w:val="00795AD3"/>
    <w:rsid w:val="00795FB2"/>
    <w:rsid w:val="00796754"/>
    <w:rsid w:val="0079728D"/>
    <w:rsid w:val="007972A5"/>
    <w:rsid w:val="0079794A"/>
    <w:rsid w:val="007A0FEF"/>
    <w:rsid w:val="007A2475"/>
    <w:rsid w:val="007A4D8C"/>
    <w:rsid w:val="007A5508"/>
    <w:rsid w:val="007A65A6"/>
    <w:rsid w:val="007A748D"/>
    <w:rsid w:val="007A7557"/>
    <w:rsid w:val="007A75A6"/>
    <w:rsid w:val="007B17D2"/>
    <w:rsid w:val="007B1FEC"/>
    <w:rsid w:val="007B352C"/>
    <w:rsid w:val="007B3F1D"/>
    <w:rsid w:val="007B51F5"/>
    <w:rsid w:val="007B599B"/>
    <w:rsid w:val="007B6446"/>
    <w:rsid w:val="007B65DD"/>
    <w:rsid w:val="007B74A7"/>
    <w:rsid w:val="007B7D97"/>
    <w:rsid w:val="007C0B3E"/>
    <w:rsid w:val="007C116D"/>
    <w:rsid w:val="007C1DD6"/>
    <w:rsid w:val="007C202E"/>
    <w:rsid w:val="007C236F"/>
    <w:rsid w:val="007C24BB"/>
    <w:rsid w:val="007C2CB7"/>
    <w:rsid w:val="007C3272"/>
    <w:rsid w:val="007C4DC7"/>
    <w:rsid w:val="007C4E83"/>
    <w:rsid w:val="007C51A0"/>
    <w:rsid w:val="007C55DE"/>
    <w:rsid w:val="007C57F1"/>
    <w:rsid w:val="007C5F4D"/>
    <w:rsid w:val="007C672D"/>
    <w:rsid w:val="007C7212"/>
    <w:rsid w:val="007C75C7"/>
    <w:rsid w:val="007D10C4"/>
    <w:rsid w:val="007D11F7"/>
    <w:rsid w:val="007D123E"/>
    <w:rsid w:val="007D1CC9"/>
    <w:rsid w:val="007D1F30"/>
    <w:rsid w:val="007D22DC"/>
    <w:rsid w:val="007D26F5"/>
    <w:rsid w:val="007D2DB7"/>
    <w:rsid w:val="007D3AC8"/>
    <w:rsid w:val="007D4A4F"/>
    <w:rsid w:val="007D4CC1"/>
    <w:rsid w:val="007D5E5F"/>
    <w:rsid w:val="007D668E"/>
    <w:rsid w:val="007E0948"/>
    <w:rsid w:val="007E0BFE"/>
    <w:rsid w:val="007E13FC"/>
    <w:rsid w:val="007E1773"/>
    <w:rsid w:val="007E1C67"/>
    <w:rsid w:val="007E2DEF"/>
    <w:rsid w:val="007E38F4"/>
    <w:rsid w:val="007E3A5D"/>
    <w:rsid w:val="007E3EF8"/>
    <w:rsid w:val="007E4999"/>
    <w:rsid w:val="007E54C9"/>
    <w:rsid w:val="007E5B70"/>
    <w:rsid w:val="007E5C03"/>
    <w:rsid w:val="007E5D7D"/>
    <w:rsid w:val="007E5D99"/>
    <w:rsid w:val="007E62ED"/>
    <w:rsid w:val="007E6749"/>
    <w:rsid w:val="007E68FD"/>
    <w:rsid w:val="007E6BE2"/>
    <w:rsid w:val="007E6F65"/>
    <w:rsid w:val="007E7B6F"/>
    <w:rsid w:val="007F1E7A"/>
    <w:rsid w:val="007F1FF2"/>
    <w:rsid w:val="007F3EA0"/>
    <w:rsid w:val="007F464A"/>
    <w:rsid w:val="007F4F47"/>
    <w:rsid w:val="007F5114"/>
    <w:rsid w:val="007F656F"/>
    <w:rsid w:val="007F7301"/>
    <w:rsid w:val="008004D0"/>
    <w:rsid w:val="00801BA4"/>
    <w:rsid w:val="00802AAC"/>
    <w:rsid w:val="00802BA4"/>
    <w:rsid w:val="0080340A"/>
    <w:rsid w:val="00803B46"/>
    <w:rsid w:val="008048EF"/>
    <w:rsid w:val="00804C0D"/>
    <w:rsid w:val="008053AD"/>
    <w:rsid w:val="008059DD"/>
    <w:rsid w:val="00805D1D"/>
    <w:rsid w:val="00805E8B"/>
    <w:rsid w:val="00806B18"/>
    <w:rsid w:val="00807429"/>
    <w:rsid w:val="00807CA0"/>
    <w:rsid w:val="00810524"/>
    <w:rsid w:val="00810690"/>
    <w:rsid w:val="008109E0"/>
    <w:rsid w:val="00810D93"/>
    <w:rsid w:val="00811DC2"/>
    <w:rsid w:val="008125AC"/>
    <w:rsid w:val="008129A8"/>
    <w:rsid w:val="008139EF"/>
    <w:rsid w:val="00813B06"/>
    <w:rsid w:val="008153E0"/>
    <w:rsid w:val="0081672C"/>
    <w:rsid w:val="00816C3A"/>
    <w:rsid w:val="00816DB5"/>
    <w:rsid w:val="008177C8"/>
    <w:rsid w:val="00817A6C"/>
    <w:rsid w:val="00817E91"/>
    <w:rsid w:val="008205B9"/>
    <w:rsid w:val="00822C5B"/>
    <w:rsid w:val="00823EFF"/>
    <w:rsid w:val="008251DD"/>
    <w:rsid w:val="008257E1"/>
    <w:rsid w:val="00825C43"/>
    <w:rsid w:val="00831B53"/>
    <w:rsid w:val="00831BCD"/>
    <w:rsid w:val="00831F70"/>
    <w:rsid w:val="008325B9"/>
    <w:rsid w:val="00832605"/>
    <w:rsid w:val="00832EA0"/>
    <w:rsid w:val="0083444B"/>
    <w:rsid w:val="00834487"/>
    <w:rsid w:val="00834A6B"/>
    <w:rsid w:val="00834D8D"/>
    <w:rsid w:val="008355DF"/>
    <w:rsid w:val="00835F10"/>
    <w:rsid w:val="0083611E"/>
    <w:rsid w:val="00836740"/>
    <w:rsid w:val="00840935"/>
    <w:rsid w:val="00841D48"/>
    <w:rsid w:val="008423BA"/>
    <w:rsid w:val="00842A4B"/>
    <w:rsid w:val="0084430E"/>
    <w:rsid w:val="008445CA"/>
    <w:rsid w:val="00844A4E"/>
    <w:rsid w:val="00844C70"/>
    <w:rsid w:val="00845128"/>
    <w:rsid w:val="00845A75"/>
    <w:rsid w:val="008464D0"/>
    <w:rsid w:val="00846637"/>
    <w:rsid w:val="008470A7"/>
    <w:rsid w:val="0084762B"/>
    <w:rsid w:val="00847C3F"/>
    <w:rsid w:val="008501D6"/>
    <w:rsid w:val="008503FA"/>
    <w:rsid w:val="00851193"/>
    <w:rsid w:val="0085182B"/>
    <w:rsid w:val="00851C85"/>
    <w:rsid w:val="00852358"/>
    <w:rsid w:val="00854266"/>
    <w:rsid w:val="00854814"/>
    <w:rsid w:val="008551C0"/>
    <w:rsid w:val="008554CB"/>
    <w:rsid w:val="0085560B"/>
    <w:rsid w:val="00855C0A"/>
    <w:rsid w:val="008562DE"/>
    <w:rsid w:val="008572C5"/>
    <w:rsid w:val="0086019B"/>
    <w:rsid w:val="00860285"/>
    <w:rsid w:val="008602FC"/>
    <w:rsid w:val="008613D3"/>
    <w:rsid w:val="00861CC7"/>
    <w:rsid w:val="00863CFC"/>
    <w:rsid w:val="00866021"/>
    <w:rsid w:val="0086723D"/>
    <w:rsid w:val="00870184"/>
    <w:rsid w:val="0087050C"/>
    <w:rsid w:val="00871672"/>
    <w:rsid w:val="0087169B"/>
    <w:rsid w:val="00871F40"/>
    <w:rsid w:val="00872368"/>
    <w:rsid w:val="0087348C"/>
    <w:rsid w:val="00873880"/>
    <w:rsid w:val="00874537"/>
    <w:rsid w:val="00874E3B"/>
    <w:rsid w:val="00875166"/>
    <w:rsid w:val="00875330"/>
    <w:rsid w:val="00875AC3"/>
    <w:rsid w:val="008764C7"/>
    <w:rsid w:val="00876673"/>
    <w:rsid w:val="00876788"/>
    <w:rsid w:val="0087716B"/>
    <w:rsid w:val="00880DBA"/>
    <w:rsid w:val="00880F27"/>
    <w:rsid w:val="008812AD"/>
    <w:rsid w:val="0088246F"/>
    <w:rsid w:val="008830F1"/>
    <w:rsid w:val="008838CA"/>
    <w:rsid w:val="0088421C"/>
    <w:rsid w:val="00884BD0"/>
    <w:rsid w:val="008854BA"/>
    <w:rsid w:val="00885C78"/>
    <w:rsid w:val="00885ED3"/>
    <w:rsid w:val="008868E7"/>
    <w:rsid w:val="00886BC6"/>
    <w:rsid w:val="008873DE"/>
    <w:rsid w:val="008878D4"/>
    <w:rsid w:val="00887C93"/>
    <w:rsid w:val="00890143"/>
    <w:rsid w:val="00890AA0"/>
    <w:rsid w:val="00891161"/>
    <w:rsid w:val="008914B7"/>
    <w:rsid w:val="00893307"/>
    <w:rsid w:val="008935F5"/>
    <w:rsid w:val="008946C7"/>
    <w:rsid w:val="00894869"/>
    <w:rsid w:val="00894FB4"/>
    <w:rsid w:val="00895AA6"/>
    <w:rsid w:val="00895DEA"/>
    <w:rsid w:val="008A0049"/>
    <w:rsid w:val="008A010E"/>
    <w:rsid w:val="008A0459"/>
    <w:rsid w:val="008A0667"/>
    <w:rsid w:val="008A092D"/>
    <w:rsid w:val="008A0DA5"/>
    <w:rsid w:val="008A2011"/>
    <w:rsid w:val="008A4BCE"/>
    <w:rsid w:val="008A4C46"/>
    <w:rsid w:val="008A588B"/>
    <w:rsid w:val="008A5B79"/>
    <w:rsid w:val="008A615B"/>
    <w:rsid w:val="008A6168"/>
    <w:rsid w:val="008A6849"/>
    <w:rsid w:val="008A71CD"/>
    <w:rsid w:val="008B15CD"/>
    <w:rsid w:val="008B2FDF"/>
    <w:rsid w:val="008B3679"/>
    <w:rsid w:val="008B380B"/>
    <w:rsid w:val="008B3B1C"/>
    <w:rsid w:val="008B4DE7"/>
    <w:rsid w:val="008B4E65"/>
    <w:rsid w:val="008B4F57"/>
    <w:rsid w:val="008B59ED"/>
    <w:rsid w:val="008B6826"/>
    <w:rsid w:val="008B713C"/>
    <w:rsid w:val="008B71F2"/>
    <w:rsid w:val="008B741B"/>
    <w:rsid w:val="008C042D"/>
    <w:rsid w:val="008C0572"/>
    <w:rsid w:val="008C0850"/>
    <w:rsid w:val="008C08FF"/>
    <w:rsid w:val="008C09EE"/>
    <w:rsid w:val="008C1C8F"/>
    <w:rsid w:val="008C495D"/>
    <w:rsid w:val="008C4C82"/>
    <w:rsid w:val="008C4E47"/>
    <w:rsid w:val="008C52EA"/>
    <w:rsid w:val="008C5F02"/>
    <w:rsid w:val="008C67FC"/>
    <w:rsid w:val="008C71B1"/>
    <w:rsid w:val="008C77DF"/>
    <w:rsid w:val="008D1CC7"/>
    <w:rsid w:val="008D1E20"/>
    <w:rsid w:val="008D209B"/>
    <w:rsid w:val="008D2729"/>
    <w:rsid w:val="008D2954"/>
    <w:rsid w:val="008D6056"/>
    <w:rsid w:val="008D616D"/>
    <w:rsid w:val="008D701A"/>
    <w:rsid w:val="008E00A5"/>
    <w:rsid w:val="008E09BD"/>
    <w:rsid w:val="008E1724"/>
    <w:rsid w:val="008E1C96"/>
    <w:rsid w:val="008E1D3F"/>
    <w:rsid w:val="008E1F27"/>
    <w:rsid w:val="008E2392"/>
    <w:rsid w:val="008E27B8"/>
    <w:rsid w:val="008E2E07"/>
    <w:rsid w:val="008E3441"/>
    <w:rsid w:val="008E4A61"/>
    <w:rsid w:val="008E4B77"/>
    <w:rsid w:val="008E6A20"/>
    <w:rsid w:val="008E6B47"/>
    <w:rsid w:val="008E6ECD"/>
    <w:rsid w:val="008E6F85"/>
    <w:rsid w:val="008E7812"/>
    <w:rsid w:val="008E7A8F"/>
    <w:rsid w:val="008F1BC0"/>
    <w:rsid w:val="008F367C"/>
    <w:rsid w:val="008F370B"/>
    <w:rsid w:val="008F3DB4"/>
    <w:rsid w:val="008F4717"/>
    <w:rsid w:val="008F4911"/>
    <w:rsid w:val="008F55D2"/>
    <w:rsid w:val="008F5BBB"/>
    <w:rsid w:val="008F7C74"/>
    <w:rsid w:val="0090022D"/>
    <w:rsid w:val="00901C83"/>
    <w:rsid w:val="00902AE9"/>
    <w:rsid w:val="00903839"/>
    <w:rsid w:val="0090392A"/>
    <w:rsid w:val="009042DF"/>
    <w:rsid w:val="009047A7"/>
    <w:rsid w:val="00904BA1"/>
    <w:rsid w:val="009061B8"/>
    <w:rsid w:val="00907046"/>
    <w:rsid w:val="00910388"/>
    <w:rsid w:val="00910646"/>
    <w:rsid w:val="00911404"/>
    <w:rsid w:val="009115D5"/>
    <w:rsid w:val="00911602"/>
    <w:rsid w:val="00912C7E"/>
    <w:rsid w:val="0091404A"/>
    <w:rsid w:val="0091485B"/>
    <w:rsid w:val="00915510"/>
    <w:rsid w:val="00915F56"/>
    <w:rsid w:val="009168ED"/>
    <w:rsid w:val="00917318"/>
    <w:rsid w:val="009176EB"/>
    <w:rsid w:val="00917E9F"/>
    <w:rsid w:val="00920208"/>
    <w:rsid w:val="00920927"/>
    <w:rsid w:val="00920E23"/>
    <w:rsid w:val="00921994"/>
    <w:rsid w:val="009228FD"/>
    <w:rsid w:val="00922927"/>
    <w:rsid w:val="009236CF"/>
    <w:rsid w:val="0092461F"/>
    <w:rsid w:val="0092548B"/>
    <w:rsid w:val="0092614D"/>
    <w:rsid w:val="009262C4"/>
    <w:rsid w:val="00926328"/>
    <w:rsid w:val="00926A68"/>
    <w:rsid w:val="00927603"/>
    <w:rsid w:val="009306E6"/>
    <w:rsid w:val="00931A91"/>
    <w:rsid w:val="00932210"/>
    <w:rsid w:val="009338D9"/>
    <w:rsid w:val="0093415D"/>
    <w:rsid w:val="0093415E"/>
    <w:rsid w:val="00934D9C"/>
    <w:rsid w:val="0093502F"/>
    <w:rsid w:val="009368E8"/>
    <w:rsid w:val="00936DE6"/>
    <w:rsid w:val="009371F7"/>
    <w:rsid w:val="00937BFF"/>
    <w:rsid w:val="00937C25"/>
    <w:rsid w:val="009409FA"/>
    <w:rsid w:val="00941B10"/>
    <w:rsid w:val="009420BB"/>
    <w:rsid w:val="009433E2"/>
    <w:rsid w:val="00943A14"/>
    <w:rsid w:val="009447A6"/>
    <w:rsid w:val="00944B79"/>
    <w:rsid w:val="009466B6"/>
    <w:rsid w:val="00950AD6"/>
    <w:rsid w:val="0095193B"/>
    <w:rsid w:val="00952857"/>
    <w:rsid w:val="00952E71"/>
    <w:rsid w:val="0095333E"/>
    <w:rsid w:val="0095406E"/>
    <w:rsid w:val="00954393"/>
    <w:rsid w:val="00954470"/>
    <w:rsid w:val="00954E32"/>
    <w:rsid w:val="009557C0"/>
    <w:rsid w:val="00956B19"/>
    <w:rsid w:val="00960C5B"/>
    <w:rsid w:val="00960D05"/>
    <w:rsid w:val="00960ED6"/>
    <w:rsid w:val="009611E1"/>
    <w:rsid w:val="0096158A"/>
    <w:rsid w:val="00961B00"/>
    <w:rsid w:val="0096336B"/>
    <w:rsid w:val="00963FA9"/>
    <w:rsid w:val="009644CB"/>
    <w:rsid w:val="00964C9D"/>
    <w:rsid w:val="0096659E"/>
    <w:rsid w:val="009666EF"/>
    <w:rsid w:val="00966869"/>
    <w:rsid w:val="00966C36"/>
    <w:rsid w:val="00966D14"/>
    <w:rsid w:val="009701A0"/>
    <w:rsid w:val="009706C9"/>
    <w:rsid w:val="0097101A"/>
    <w:rsid w:val="009713E1"/>
    <w:rsid w:val="00972354"/>
    <w:rsid w:val="009724C7"/>
    <w:rsid w:val="00972CD8"/>
    <w:rsid w:val="00972D2C"/>
    <w:rsid w:val="00973081"/>
    <w:rsid w:val="00973E72"/>
    <w:rsid w:val="00974C71"/>
    <w:rsid w:val="009757BF"/>
    <w:rsid w:val="00975D56"/>
    <w:rsid w:val="00977051"/>
    <w:rsid w:val="009776D4"/>
    <w:rsid w:val="009777B8"/>
    <w:rsid w:val="00977C9E"/>
    <w:rsid w:val="00982649"/>
    <w:rsid w:val="00982AAA"/>
    <w:rsid w:val="00983499"/>
    <w:rsid w:val="00983E77"/>
    <w:rsid w:val="009851DD"/>
    <w:rsid w:val="0098534D"/>
    <w:rsid w:val="009879DE"/>
    <w:rsid w:val="00991321"/>
    <w:rsid w:val="009916D0"/>
    <w:rsid w:val="009919EA"/>
    <w:rsid w:val="00991EFA"/>
    <w:rsid w:val="00992882"/>
    <w:rsid w:val="00993980"/>
    <w:rsid w:val="00993BB3"/>
    <w:rsid w:val="00994277"/>
    <w:rsid w:val="0099499E"/>
    <w:rsid w:val="0099522A"/>
    <w:rsid w:val="009959EA"/>
    <w:rsid w:val="009960A6"/>
    <w:rsid w:val="00996524"/>
    <w:rsid w:val="00996F79"/>
    <w:rsid w:val="0099707D"/>
    <w:rsid w:val="009A0423"/>
    <w:rsid w:val="009A089B"/>
    <w:rsid w:val="009A0917"/>
    <w:rsid w:val="009A0D08"/>
    <w:rsid w:val="009A1576"/>
    <w:rsid w:val="009A1CBE"/>
    <w:rsid w:val="009A2DEB"/>
    <w:rsid w:val="009A399F"/>
    <w:rsid w:val="009A4365"/>
    <w:rsid w:val="009A45BA"/>
    <w:rsid w:val="009A479B"/>
    <w:rsid w:val="009A4B84"/>
    <w:rsid w:val="009A4D30"/>
    <w:rsid w:val="009A4E72"/>
    <w:rsid w:val="009A597B"/>
    <w:rsid w:val="009A6083"/>
    <w:rsid w:val="009A7902"/>
    <w:rsid w:val="009A7AF2"/>
    <w:rsid w:val="009B15A3"/>
    <w:rsid w:val="009B1AB2"/>
    <w:rsid w:val="009B2097"/>
    <w:rsid w:val="009B366A"/>
    <w:rsid w:val="009B3BFA"/>
    <w:rsid w:val="009B5CCC"/>
    <w:rsid w:val="009B60E5"/>
    <w:rsid w:val="009B7BF8"/>
    <w:rsid w:val="009C019E"/>
    <w:rsid w:val="009C0B94"/>
    <w:rsid w:val="009C0C6F"/>
    <w:rsid w:val="009C19EC"/>
    <w:rsid w:val="009C1AAB"/>
    <w:rsid w:val="009C212A"/>
    <w:rsid w:val="009C3234"/>
    <w:rsid w:val="009C4D56"/>
    <w:rsid w:val="009C52B7"/>
    <w:rsid w:val="009C52D7"/>
    <w:rsid w:val="009C563F"/>
    <w:rsid w:val="009C6BF1"/>
    <w:rsid w:val="009C6F74"/>
    <w:rsid w:val="009C7A13"/>
    <w:rsid w:val="009D0A1E"/>
    <w:rsid w:val="009D0A70"/>
    <w:rsid w:val="009D0BCF"/>
    <w:rsid w:val="009D291D"/>
    <w:rsid w:val="009D3F1C"/>
    <w:rsid w:val="009D4AB6"/>
    <w:rsid w:val="009D4BA3"/>
    <w:rsid w:val="009D4D35"/>
    <w:rsid w:val="009D5391"/>
    <w:rsid w:val="009D544A"/>
    <w:rsid w:val="009D59E8"/>
    <w:rsid w:val="009E041F"/>
    <w:rsid w:val="009E09B6"/>
    <w:rsid w:val="009E0B3C"/>
    <w:rsid w:val="009E14AC"/>
    <w:rsid w:val="009E1CDB"/>
    <w:rsid w:val="009E1E46"/>
    <w:rsid w:val="009E2D91"/>
    <w:rsid w:val="009E4F4D"/>
    <w:rsid w:val="009E56AE"/>
    <w:rsid w:val="009E6205"/>
    <w:rsid w:val="009E64BA"/>
    <w:rsid w:val="009E691A"/>
    <w:rsid w:val="009E798A"/>
    <w:rsid w:val="009F04F3"/>
    <w:rsid w:val="009F212D"/>
    <w:rsid w:val="009F2190"/>
    <w:rsid w:val="009F2C98"/>
    <w:rsid w:val="009F3D1A"/>
    <w:rsid w:val="009F4ADA"/>
    <w:rsid w:val="009F6343"/>
    <w:rsid w:val="009F65EB"/>
    <w:rsid w:val="009F7B67"/>
    <w:rsid w:val="00A00135"/>
    <w:rsid w:val="00A00552"/>
    <w:rsid w:val="00A01607"/>
    <w:rsid w:val="00A01B9E"/>
    <w:rsid w:val="00A01D51"/>
    <w:rsid w:val="00A02F25"/>
    <w:rsid w:val="00A04BFD"/>
    <w:rsid w:val="00A04CFF"/>
    <w:rsid w:val="00A05673"/>
    <w:rsid w:val="00A05B47"/>
    <w:rsid w:val="00A06A42"/>
    <w:rsid w:val="00A06E46"/>
    <w:rsid w:val="00A10074"/>
    <w:rsid w:val="00A10D2F"/>
    <w:rsid w:val="00A111A6"/>
    <w:rsid w:val="00A11A26"/>
    <w:rsid w:val="00A11B8B"/>
    <w:rsid w:val="00A11C89"/>
    <w:rsid w:val="00A11D7A"/>
    <w:rsid w:val="00A121F0"/>
    <w:rsid w:val="00A12B9D"/>
    <w:rsid w:val="00A1315C"/>
    <w:rsid w:val="00A135D1"/>
    <w:rsid w:val="00A13897"/>
    <w:rsid w:val="00A13C64"/>
    <w:rsid w:val="00A13CB0"/>
    <w:rsid w:val="00A14EE0"/>
    <w:rsid w:val="00A16744"/>
    <w:rsid w:val="00A16860"/>
    <w:rsid w:val="00A16BDE"/>
    <w:rsid w:val="00A16C64"/>
    <w:rsid w:val="00A2251C"/>
    <w:rsid w:val="00A22E81"/>
    <w:rsid w:val="00A24494"/>
    <w:rsid w:val="00A24E2E"/>
    <w:rsid w:val="00A25266"/>
    <w:rsid w:val="00A25410"/>
    <w:rsid w:val="00A26027"/>
    <w:rsid w:val="00A263D1"/>
    <w:rsid w:val="00A26CE0"/>
    <w:rsid w:val="00A271F1"/>
    <w:rsid w:val="00A27900"/>
    <w:rsid w:val="00A27C29"/>
    <w:rsid w:val="00A30275"/>
    <w:rsid w:val="00A30439"/>
    <w:rsid w:val="00A30CCF"/>
    <w:rsid w:val="00A31CBE"/>
    <w:rsid w:val="00A32ADC"/>
    <w:rsid w:val="00A34C34"/>
    <w:rsid w:val="00A34F3A"/>
    <w:rsid w:val="00A3605B"/>
    <w:rsid w:val="00A368EF"/>
    <w:rsid w:val="00A37589"/>
    <w:rsid w:val="00A403C0"/>
    <w:rsid w:val="00A428CC"/>
    <w:rsid w:val="00A42A96"/>
    <w:rsid w:val="00A42B45"/>
    <w:rsid w:val="00A42F0D"/>
    <w:rsid w:val="00A43EAD"/>
    <w:rsid w:val="00A44454"/>
    <w:rsid w:val="00A44563"/>
    <w:rsid w:val="00A4535C"/>
    <w:rsid w:val="00A45761"/>
    <w:rsid w:val="00A50FB2"/>
    <w:rsid w:val="00A51130"/>
    <w:rsid w:val="00A523D0"/>
    <w:rsid w:val="00A52D93"/>
    <w:rsid w:val="00A5305D"/>
    <w:rsid w:val="00A53348"/>
    <w:rsid w:val="00A54D51"/>
    <w:rsid w:val="00A550DF"/>
    <w:rsid w:val="00A559E8"/>
    <w:rsid w:val="00A55B6F"/>
    <w:rsid w:val="00A56A69"/>
    <w:rsid w:val="00A5726D"/>
    <w:rsid w:val="00A57AB8"/>
    <w:rsid w:val="00A57B46"/>
    <w:rsid w:val="00A57D9C"/>
    <w:rsid w:val="00A61F10"/>
    <w:rsid w:val="00A62197"/>
    <w:rsid w:val="00A62B09"/>
    <w:rsid w:val="00A62C4E"/>
    <w:rsid w:val="00A62F4F"/>
    <w:rsid w:val="00A63799"/>
    <w:rsid w:val="00A63C60"/>
    <w:rsid w:val="00A64304"/>
    <w:rsid w:val="00A64AB5"/>
    <w:rsid w:val="00A6605B"/>
    <w:rsid w:val="00A66559"/>
    <w:rsid w:val="00A66B19"/>
    <w:rsid w:val="00A66C8D"/>
    <w:rsid w:val="00A6743C"/>
    <w:rsid w:val="00A675E5"/>
    <w:rsid w:val="00A67C69"/>
    <w:rsid w:val="00A701F1"/>
    <w:rsid w:val="00A70259"/>
    <w:rsid w:val="00A718BA"/>
    <w:rsid w:val="00A72D92"/>
    <w:rsid w:val="00A7370F"/>
    <w:rsid w:val="00A74039"/>
    <w:rsid w:val="00A75030"/>
    <w:rsid w:val="00A760FB"/>
    <w:rsid w:val="00A76529"/>
    <w:rsid w:val="00A774E5"/>
    <w:rsid w:val="00A77A85"/>
    <w:rsid w:val="00A77ECA"/>
    <w:rsid w:val="00A81937"/>
    <w:rsid w:val="00A81F27"/>
    <w:rsid w:val="00A826B1"/>
    <w:rsid w:val="00A83A40"/>
    <w:rsid w:val="00A840A3"/>
    <w:rsid w:val="00A84611"/>
    <w:rsid w:val="00A853CD"/>
    <w:rsid w:val="00A85756"/>
    <w:rsid w:val="00A8735E"/>
    <w:rsid w:val="00A87C91"/>
    <w:rsid w:val="00A87EA4"/>
    <w:rsid w:val="00A9007B"/>
    <w:rsid w:val="00A90DAB"/>
    <w:rsid w:val="00A912EA"/>
    <w:rsid w:val="00A9131E"/>
    <w:rsid w:val="00A9237E"/>
    <w:rsid w:val="00A9304A"/>
    <w:rsid w:val="00A93C02"/>
    <w:rsid w:val="00A949D3"/>
    <w:rsid w:val="00A94B24"/>
    <w:rsid w:val="00A94D01"/>
    <w:rsid w:val="00A94E04"/>
    <w:rsid w:val="00A94ECD"/>
    <w:rsid w:val="00A95F55"/>
    <w:rsid w:val="00AA05AD"/>
    <w:rsid w:val="00AA0E42"/>
    <w:rsid w:val="00AA12AD"/>
    <w:rsid w:val="00AA17CC"/>
    <w:rsid w:val="00AA182C"/>
    <w:rsid w:val="00AA1AD6"/>
    <w:rsid w:val="00AA5F2B"/>
    <w:rsid w:val="00AA6291"/>
    <w:rsid w:val="00AA706E"/>
    <w:rsid w:val="00AA7618"/>
    <w:rsid w:val="00AA7B44"/>
    <w:rsid w:val="00AA7CF3"/>
    <w:rsid w:val="00AB05BE"/>
    <w:rsid w:val="00AB1015"/>
    <w:rsid w:val="00AB1FCC"/>
    <w:rsid w:val="00AB2636"/>
    <w:rsid w:val="00AB2FF0"/>
    <w:rsid w:val="00AB319C"/>
    <w:rsid w:val="00AB323B"/>
    <w:rsid w:val="00AB33EE"/>
    <w:rsid w:val="00AB34DE"/>
    <w:rsid w:val="00AB5701"/>
    <w:rsid w:val="00AB583E"/>
    <w:rsid w:val="00AB6AFD"/>
    <w:rsid w:val="00AB6E52"/>
    <w:rsid w:val="00AB7BE0"/>
    <w:rsid w:val="00AC0600"/>
    <w:rsid w:val="00AC10A8"/>
    <w:rsid w:val="00AC25EB"/>
    <w:rsid w:val="00AC2DED"/>
    <w:rsid w:val="00AC46C9"/>
    <w:rsid w:val="00AC5281"/>
    <w:rsid w:val="00AC560C"/>
    <w:rsid w:val="00AC5AF5"/>
    <w:rsid w:val="00AC70F8"/>
    <w:rsid w:val="00AC71DF"/>
    <w:rsid w:val="00AC7C66"/>
    <w:rsid w:val="00AD00D9"/>
    <w:rsid w:val="00AD040F"/>
    <w:rsid w:val="00AD0AB5"/>
    <w:rsid w:val="00AD150D"/>
    <w:rsid w:val="00AD155D"/>
    <w:rsid w:val="00AD202B"/>
    <w:rsid w:val="00AD2044"/>
    <w:rsid w:val="00AD2195"/>
    <w:rsid w:val="00AD21B9"/>
    <w:rsid w:val="00AD21F6"/>
    <w:rsid w:val="00AD2C7E"/>
    <w:rsid w:val="00AD2F89"/>
    <w:rsid w:val="00AD3E09"/>
    <w:rsid w:val="00AD4C23"/>
    <w:rsid w:val="00AD5352"/>
    <w:rsid w:val="00AD665B"/>
    <w:rsid w:val="00AD6DB4"/>
    <w:rsid w:val="00AE015B"/>
    <w:rsid w:val="00AE0C3B"/>
    <w:rsid w:val="00AE12D7"/>
    <w:rsid w:val="00AE17CC"/>
    <w:rsid w:val="00AE1D47"/>
    <w:rsid w:val="00AE30CA"/>
    <w:rsid w:val="00AE332E"/>
    <w:rsid w:val="00AE3429"/>
    <w:rsid w:val="00AE377C"/>
    <w:rsid w:val="00AE4FFA"/>
    <w:rsid w:val="00AE5094"/>
    <w:rsid w:val="00AE5402"/>
    <w:rsid w:val="00AE5BBB"/>
    <w:rsid w:val="00AE5ED7"/>
    <w:rsid w:val="00AE66CD"/>
    <w:rsid w:val="00AE7918"/>
    <w:rsid w:val="00AF01FD"/>
    <w:rsid w:val="00AF0303"/>
    <w:rsid w:val="00AF0681"/>
    <w:rsid w:val="00AF0A7D"/>
    <w:rsid w:val="00AF1210"/>
    <w:rsid w:val="00AF21A3"/>
    <w:rsid w:val="00AF25EC"/>
    <w:rsid w:val="00AF2F42"/>
    <w:rsid w:val="00AF30D7"/>
    <w:rsid w:val="00AF3178"/>
    <w:rsid w:val="00AF42A3"/>
    <w:rsid w:val="00AF4F63"/>
    <w:rsid w:val="00AF5E06"/>
    <w:rsid w:val="00AF5E98"/>
    <w:rsid w:val="00AF60A0"/>
    <w:rsid w:val="00AF66BF"/>
    <w:rsid w:val="00AF6913"/>
    <w:rsid w:val="00AF7356"/>
    <w:rsid w:val="00AF7CD0"/>
    <w:rsid w:val="00B00161"/>
    <w:rsid w:val="00B00A70"/>
    <w:rsid w:val="00B00B6C"/>
    <w:rsid w:val="00B00DD9"/>
    <w:rsid w:val="00B016D9"/>
    <w:rsid w:val="00B01CF7"/>
    <w:rsid w:val="00B023BD"/>
    <w:rsid w:val="00B02905"/>
    <w:rsid w:val="00B037BE"/>
    <w:rsid w:val="00B04B7F"/>
    <w:rsid w:val="00B10D2E"/>
    <w:rsid w:val="00B1125A"/>
    <w:rsid w:val="00B11468"/>
    <w:rsid w:val="00B1186F"/>
    <w:rsid w:val="00B11C44"/>
    <w:rsid w:val="00B12AF7"/>
    <w:rsid w:val="00B135E2"/>
    <w:rsid w:val="00B14C57"/>
    <w:rsid w:val="00B166FD"/>
    <w:rsid w:val="00B21203"/>
    <w:rsid w:val="00B22B4D"/>
    <w:rsid w:val="00B23A6E"/>
    <w:rsid w:val="00B24E3D"/>
    <w:rsid w:val="00B2632D"/>
    <w:rsid w:val="00B277C7"/>
    <w:rsid w:val="00B30C1B"/>
    <w:rsid w:val="00B3165A"/>
    <w:rsid w:val="00B31888"/>
    <w:rsid w:val="00B3239D"/>
    <w:rsid w:val="00B34713"/>
    <w:rsid w:val="00B35327"/>
    <w:rsid w:val="00B3598D"/>
    <w:rsid w:val="00B36622"/>
    <w:rsid w:val="00B37068"/>
    <w:rsid w:val="00B373AD"/>
    <w:rsid w:val="00B37440"/>
    <w:rsid w:val="00B37568"/>
    <w:rsid w:val="00B37822"/>
    <w:rsid w:val="00B37DF2"/>
    <w:rsid w:val="00B400E6"/>
    <w:rsid w:val="00B40139"/>
    <w:rsid w:val="00B40EFC"/>
    <w:rsid w:val="00B421D8"/>
    <w:rsid w:val="00B423D3"/>
    <w:rsid w:val="00B43F13"/>
    <w:rsid w:val="00B4405F"/>
    <w:rsid w:val="00B440A1"/>
    <w:rsid w:val="00B4515B"/>
    <w:rsid w:val="00B45209"/>
    <w:rsid w:val="00B459C6"/>
    <w:rsid w:val="00B46112"/>
    <w:rsid w:val="00B46795"/>
    <w:rsid w:val="00B50221"/>
    <w:rsid w:val="00B50638"/>
    <w:rsid w:val="00B507AB"/>
    <w:rsid w:val="00B50A99"/>
    <w:rsid w:val="00B51852"/>
    <w:rsid w:val="00B5251E"/>
    <w:rsid w:val="00B53177"/>
    <w:rsid w:val="00B53DA4"/>
    <w:rsid w:val="00B5447F"/>
    <w:rsid w:val="00B545C2"/>
    <w:rsid w:val="00B54E25"/>
    <w:rsid w:val="00B55007"/>
    <w:rsid w:val="00B5566E"/>
    <w:rsid w:val="00B568DE"/>
    <w:rsid w:val="00B56F5D"/>
    <w:rsid w:val="00B57313"/>
    <w:rsid w:val="00B57C2F"/>
    <w:rsid w:val="00B608C3"/>
    <w:rsid w:val="00B616F8"/>
    <w:rsid w:val="00B62D75"/>
    <w:rsid w:val="00B64B94"/>
    <w:rsid w:val="00B657ED"/>
    <w:rsid w:val="00B65961"/>
    <w:rsid w:val="00B6614D"/>
    <w:rsid w:val="00B66AF6"/>
    <w:rsid w:val="00B673DB"/>
    <w:rsid w:val="00B67B7F"/>
    <w:rsid w:val="00B67C6C"/>
    <w:rsid w:val="00B7077F"/>
    <w:rsid w:val="00B724F6"/>
    <w:rsid w:val="00B72A9B"/>
    <w:rsid w:val="00B73269"/>
    <w:rsid w:val="00B7398C"/>
    <w:rsid w:val="00B74132"/>
    <w:rsid w:val="00B74B5E"/>
    <w:rsid w:val="00B74D5B"/>
    <w:rsid w:val="00B75904"/>
    <w:rsid w:val="00B760F6"/>
    <w:rsid w:val="00B761AB"/>
    <w:rsid w:val="00B76EEA"/>
    <w:rsid w:val="00B80C94"/>
    <w:rsid w:val="00B811B3"/>
    <w:rsid w:val="00B8187B"/>
    <w:rsid w:val="00B818CC"/>
    <w:rsid w:val="00B81B62"/>
    <w:rsid w:val="00B82156"/>
    <w:rsid w:val="00B82173"/>
    <w:rsid w:val="00B828A1"/>
    <w:rsid w:val="00B836B8"/>
    <w:rsid w:val="00B83DCB"/>
    <w:rsid w:val="00B84542"/>
    <w:rsid w:val="00B878ED"/>
    <w:rsid w:val="00B901BD"/>
    <w:rsid w:val="00B90CF2"/>
    <w:rsid w:val="00B90D9E"/>
    <w:rsid w:val="00B9137B"/>
    <w:rsid w:val="00B9206D"/>
    <w:rsid w:val="00B92143"/>
    <w:rsid w:val="00B92385"/>
    <w:rsid w:val="00B92888"/>
    <w:rsid w:val="00B93022"/>
    <w:rsid w:val="00B93361"/>
    <w:rsid w:val="00B934D8"/>
    <w:rsid w:val="00B946F7"/>
    <w:rsid w:val="00B94BA0"/>
    <w:rsid w:val="00B9585B"/>
    <w:rsid w:val="00B96C10"/>
    <w:rsid w:val="00B97AEC"/>
    <w:rsid w:val="00B97F4A"/>
    <w:rsid w:val="00B97F95"/>
    <w:rsid w:val="00BA0067"/>
    <w:rsid w:val="00BA05B8"/>
    <w:rsid w:val="00BA0E08"/>
    <w:rsid w:val="00BA1174"/>
    <w:rsid w:val="00BA252A"/>
    <w:rsid w:val="00BA6594"/>
    <w:rsid w:val="00BA6811"/>
    <w:rsid w:val="00BA7306"/>
    <w:rsid w:val="00BB2689"/>
    <w:rsid w:val="00BB29C1"/>
    <w:rsid w:val="00BB488C"/>
    <w:rsid w:val="00BB4AC8"/>
    <w:rsid w:val="00BB53B9"/>
    <w:rsid w:val="00BB5433"/>
    <w:rsid w:val="00BB5830"/>
    <w:rsid w:val="00BB69C8"/>
    <w:rsid w:val="00BB6E41"/>
    <w:rsid w:val="00BC0670"/>
    <w:rsid w:val="00BC0713"/>
    <w:rsid w:val="00BC0726"/>
    <w:rsid w:val="00BC1A54"/>
    <w:rsid w:val="00BC3449"/>
    <w:rsid w:val="00BC3617"/>
    <w:rsid w:val="00BC3BF6"/>
    <w:rsid w:val="00BC4CE8"/>
    <w:rsid w:val="00BC4E68"/>
    <w:rsid w:val="00BC51B3"/>
    <w:rsid w:val="00BC608D"/>
    <w:rsid w:val="00BC61F0"/>
    <w:rsid w:val="00BC7BF5"/>
    <w:rsid w:val="00BD0A72"/>
    <w:rsid w:val="00BD0BBB"/>
    <w:rsid w:val="00BD0E1E"/>
    <w:rsid w:val="00BD14FE"/>
    <w:rsid w:val="00BD1DC0"/>
    <w:rsid w:val="00BD333F"/>
    <w:rsid w:val="00BD3D0B"/>
    <w:rsid w:val="00BD429A"/>
    <w:rsid w:val="00BD4655"/>
    <w:rsid w:val="00BD5192"/>
    <w:rsid w:val="00BD5603"/>
    <w:rsid w:val="00BD560B"/>
    <w:rsid w:val="00BD62B0"/>
    <w:rsid w:val="00BE1AAF"/>
    <w:rsid w:val="00BE1C44"/>
    <w:rsid w:val="00BE1C53"/>
    <w:rsid w:val="00BE2EE3"/>
    <w:rsid w:val="00BE2F1C"/>
    <w:rsid w:val="00BE3804"/>
    <w:rsid w:val="00BE3BD8"/>
    <w:rsid w:val="00BE3CBB"/>
    <w:rsid w:val="00BE46EE"/>
    <w:rsid w:val="00BE52D7"/>
    <w:rsid w:val="00BE54C6"/>
    <w:rsid w:val="00BE6D06"/>
    <w:rsid w:val="00BE7263"/>
    <w:rsid w:val="00BE742F"/>
    <w:rsid w:val="00BE7F01"/>
    <w:rsid w:val="00BF0D3D"/>
    <w:rsid w:val="00BF11D4"/>
    <w:rsid w:val="00BF199C"/>
    <w:rsid w:val="00BF1C89"/>
    <w:rsid w:val="00BF1E9E"/>
    <w:rsid w:val="00BF1FA9"/>
    <w:rsid w:val="00BF2F3A"/>
    <w:rsid w:val="00BF37F2"/>
    <w:rsid w:val="00BF3989"/>
    <w:rsid w:val="00BF4829"/>
    <w:rsid w:val="00BF4995"/>
    <w:rsid w:val="00BF4A9D"/>
    <w:rsid w:val="00BF56CA"/>
    <w:rsid w:val="00BF7392"/>
    <w:rsid w:val="00BF7656"/>
    <w:rsid w:val="00BF7B27"/>
    <w:rsid w:val="00C0060A"/>
    <w:rsid w:val="00C019AE"/>
    <w:rsid w:val="00C01E7B"/>
    <w:rsid w:val="00C0231F"/>
    <w:rsid w:val="00C036F3"/>
    <w:rsid w:val="00C03DF7"/>
    <w:rsid w:val="00C04EC1"/>
    <w:rsid w:val="00C05012"/>
    <w:rsid w:val="00C065E3"/>
    <w:rsid w:val="00C06985"/>
    <w:rsid w:val="00C06D6F"/>
    <w:rsid w:val="00C10D90"/>
    <w:rsid w:val="00C110B1"/>
    <w:rsid w:val="00C119E1"/>
    <w:rsid w:val="00C11BD5"/>
    <w:rsid w:val="00C121D3"/>
    <w:rsid w:val="00C122FD"/>
    <w:rsid w:val="00C12AD9"/>
    <w:rsid w:val="00C13D43"/>
    <w:rsid w:val="00C13F28"/>
    <w:rsid w:val="00C1485D"/>
    <w:rsid w:val="00C14B33"/>
    <w:rsid w:val="00C1559E"/>
    <w:rsid w:val="00C163B0"/>
    <w:rsid w:val="00C16F8D"/>
    <w:rsid w:val="00C1768A"/>
    <w:rsid w:val="00C17D38"/>
    <w:rsid w:val="00C20D4D"/>
    <w:rsid w:val="00C212B5"/>
    <w:rsid w:val="00C219C1"/>
    <w:rsid w:val="00C21F38"/>
    <w:rsid w:val="00C2248D"/>
    <w:rsid w:val="00C23827"/>
    <w:rsid w:val="00C2424A"/>
    <w:rsid w:val="00C24266"/>
    <w:rsid w:val="00C25C67"/>
    <w:rsid w:val="00C26A64"/>
    <w:rsid w:val="00C278A7"/>
    <w:rsid w:val="00C30710"/>
    <w:rsid w:val="00C3219D"/>
    <w:rsid w:val="00C355F5"/>
    <w:rsid w:val="00C36001"/>
    <w:rsid w:val="00C3626F"/>
    <w:rsid w:val="00C36B12"/>
    <w:rsid w:val="00C36B5D"/>
    <w:rsid w:val="00C401DF"/>
    <w:rsid w:val="00C40528"/>
    <w:rsid w:val="00C43198"/>
    <w:rsid w:val="00C447E8"/>
    <w:rsid w:val="00C44924"/>
    <w:rsid w:val="00C4568E"/>
    <w:rsid w:val="00C476C1"/>
    <w:rsid w:val="00C476D5"/>
    <w:rsid w:val="00C5061C"/>
    <w:rsid w:val="00C5137D"/>
    <w:rsid w:val="00C51F90"/>
    <w:rsid w:val="00C522A8"/>
    <w:rsid w:val="00C5333F"/>
    <w:rsid w:val="00C534A9"/>
    <w:rsid w:val="00C53501"/>
    <w:rsid w:val="00C537E9"/>
    <w:rsid w:val="00C54164"/>
    <w:rsid w:val="00C5446A"/>
    <w:rsid w:val="00C54953"/>
    <w:rsid w:val="00C54A2D"/>
    <w:rsid w:val="00C55F7C"/>
    <w:rsid w:val="00C572A0"/>
    <w:rsid w:val="00C576A9"/>
    <w:rsid w:val="00C57DF3"/>
    <w:rsid w:val="00C61F0A"/>
    <w:rsid w:val="00C621AC"/>
    <w:rsid w:val="00C62625"/>
    <w:rsid w:val="00C63E02"/>
    <w:rsid w:val="00C6593D"/>
    <w:rsid w:val="00C6751F"/>
    <w:rsid w:val="00C679AA"/>
    <w:rsid w:val="00C67B42"/>
    <w:rsid w:val="00C7014D"/>
    <w:rsid w:val="00C71F01"/>
    <w:rsid w:val="00C71FED"/>
    <w:rsid w:val="00C723A7"/>
    <w:rsid w:val="00C72547"/>
    <w:rsid w:val="00C729CB"/>
    <w:rsid w:val="00C74317"/>
    <w:rsid w:val="00C74D96"/>
    <w:rsid w:val="00C751DC"/>
    <w:rsid w:val="00C75499"/>
    <w:rsid w:val="00C76666"/>
    <w:rsid w:val="00C77EAF"/>
    <w:rsid w:val="00C81716"/>
    <w:rsid w:val="00C8276E"/>
    <w:rsid w:val="00C82BBE"/>
    <w:rsid w:val="00C830D7"/>
    <w:rsid w:val="00C835CC"/>
    <w:rsid w:val="00C848BF"/>
    <w:rsid w:val="00C84EE9"/>
    <w:rsid w:val="00C84F2D"/>
    <w:rsid w:val="00C859F0"/>
    <w:rsid w:val="00C85D40"/>
    <w:rsid w:val="00C868E0"/>
    <w:rsid w:val="00C86DF8"/>
    <w:rsid w:val="00C9112E"/>
    <w:rsid w:val="00C94354"/>
    <w:rsid w:val="00C9522D"/>
    <w:rsid w:val="00C952B6"/>
    <w:rsid w:val="00C968B9"/>
    <w:rsid w:val="00C97A19"/>
    <w:rsid w:val="00C97B1D"/>
    <w:rsid w:val="00C97F2F"/>
    <w:rsid w:val="00CA09D1"/>
    <w:rsid w:val="00CA0D4C"/>
    <w:rsid w:val="00CA1024"/>
    <w:rsid w:val="00CA242D"/>
    <w:rsid w:val="00CA31AE"/>
    <w:rsid w:val="00CA4276"/>
    <w:rsid w:val="00CA477F"/>
    <w:rsid w:val="00CA7067"/>
    <w:rsid w:val="00CB0586"/>
    <w:rsid w:val="00CB06CC"/>
    <w:rsid w:val="00CB12CC"/>
    <w:rsid w:val="00CB14DF"/>
    <w:rsid w:val="00CB1B3C"/>
    <w:rsid w:val="00CB1B47"/>
    <w:rsid w:val="00CB1E7E"/>
    <w:rsid w:val="00CB389A"/>
    <w:rsid w:val="00CB4D48"/>
    <w:rsid w:val="00CB501B"/>
    <w:rsid w:val="00CB616D"/>
    <w:rsid w:val="00CB6286"/>
    <w:rsid w:val="00CB69D1"/>
    <w:rsid w:val="00CB6B04"/>
    <w:rsid w:val="00CC1279"/>
    <w:rsid w:val="00CC14F6"/>
    <w:rsid w:val="00CC19A3"/>
    <w:rsid w:val="00CC221A"/>
    <w:rsid w:val="00CC223E"/>
    <w:rsid w:val="00CC225E"/>
    <w:rsid w:val="00CC296D"/>
    <w:rsid w:val="00CC367A"/>
    <w:rsid w:val="00CC51C2"/>
    <w:rsid w:val="00CC5609"/>
    <w:rsid w:val="00CC6104"/>
    <w:rsid w:val="00CC63EB"/>
    <w:rsid w:val="00CC6E78"/>
    <w:rsid w:val="00CC6F18"/>
    <w:rsid w:val="00CC77D2"/>
    <w:rsid w:val="00CC7AC6"/>
    <w:rsid w:val="00CD053A"/>
    <w:rsid w:val="00CD1178"/>
    <w:rsid w:val="00CD19FE"/>
    <w:rsid w:val="00CD2B37"/>
    <w:rsid w:val="00CD330C"/>
    <w:rsid w:val="00CD4529"/>
    <w:rsid w:val="00CD505A"/>
    <w:rsid w:val="00CD525D"/>
    <w:rsid w:val="00CD5947"/>
    <w:rsid w:val="00CD6BA3"/>
    <w:rsid w:val="00CD705A"/>
    <w:rsid w:val="00CD7C06"/>
    <w:rsid w:val="00CD7F7A"/>
    <w:rsid w:val="00CE09AC"/>
    <w:rsid w:val="00CE133E"/>
    <w:rsid w:val="00CE1A4D"/>
    <w:rsid w:val="00CE1FE3"/>
    <w:rsid w:val="00CE3BD5"/>
    <w:rsid w:val="00CE3DF1"/>
    <w:rsid w:val="00CE4004"/>
    <w:rsid w:val="00CE403E"/>
    <w:rsid w:val="00CE4622"/>
    <w:rsid w:val="00CE53C6"/>
    <w:rsid w:val="00CE58DA"/>
    <w:rsid w:val="00CE6025"/>
    <w:rsid w:val="00CE6234"/>
    <w:rsid w:val="00CE65FE"/>
    <w:rsid w:val="00CE6A58"/>
    <w:rsid w:val="00CE6AA0"/>
    <w:rsid w:val="00CE7014"/>
    <w:rsid w:val="00CE74B8"/>
    <w:rsid w:val="00CE74BD"/>
    <w:rsid w:val="00CE7645"/>
    <w:rsid w:val="00CE78FF"/>
    <w:rsid w:val="00CE7D88"/>
    <w:rsid w:val="00CE7EE7"/>
    <w:rsid w:val="00CF0315"/>
    <w:rsid w:val="00CF06C7"/>
    <w:rsid w:val="00CF097E"/>
    <w:rsid w:val="00CF0A2E"/>
    <w:rsid w:val="00CF12C3"/>
    <w:rsid w:val="00CF1FE7"/>
    <w:rsid w:val="00CF27E8"/>
    <w:rsid w:val="00CF2FD1"/>
    <w:rsid w:val="00CF378B"/>
    <w:rsid w:val="00CF4014"/>
    <w:rsid w:val="00CF528A"/>
    <w:rsid w:val="00CF5402"/>
    <w:rsid w:val="00CF5CB7"/>
    <w:rsid w:val="00CF654B"/>
    <w:rsid w:val="00CF6DE5"/>
    <w:rsid w:val="00CF771F"/>
    <w:rsid w:val="00D0008F"/>
    <w:rsid w:val="00D003A7"/>
    <w:rsid w:val="00D00919"/>
    <w:rsid w:val="00D00F9D"/>
    <w:rsid w:val="00D02CB7"/>
    <w:rsid w:val="00D0314E"/>
    <w:rsid w:val="00D034A7"/>
    <w:rsid w:val="00D03987"/>
    <w:rsid w:val="00D03DE1"/>
    <w:rsid w:val="00D03FF3"/>
    <w:rsid w:val="00D042C7"/>
    <w:rsid w:val="00D04FDD"/>
    <w:rsid w:val="00D050B4"/>
    <w:rsid w:val="00D05BB8"/>
    <w:rsid w:val="00D07A04"/>
    <w:rsid w:val="00D1034C"/>
    <w:rsid w:val="00D103BA"/>
    <w:rsid w:val="00D10870"/>
    <w:rsid w:val="00D11675"/>
    <w:rsid w:val="00D11FF9"/>
    <w:rsid w:val="00D13863"/>
    <w:rsid w:val="00D1391E"/>
    <w:rsid w:val="00D13F51"/>
    <w:rsid w:val="00D14348"/>
    <w:rsid w:val="00D14407"/>
    <w:rsid w:val="00D15938"/>
    <w:rsid w:val="00D16260"/>
    <w:rsid w:val="00D1701C"/>
    <w:rsid w:val="00D17C32"/>
    <w:rsid w:val="00D17D24"/>
    <w:rsid w:val="00D21251"/>
    <w:rsid w:val="00D21C6B"/>
    <w:rsid w:val="00D23B4A"/>
    <w:rsid w:val="00D240A8"/>
    <w:rsid w:val="00D2425E"/>
    <w:rsid w:val="00D249B9"/>
    <w:rsid w:val="00D24C1A"/>
    <w:rsid w:val="00D2501C"/>
    <w:rsid w:val="00D26AD2"/>
    <w:rsid w:val="00D2727A"/>
    <w:rsid w:val="00D273C4"/>
    <w:rsid w:val="00D27764"/>
    <w:rsid w:val="00D307AA"/>
    <w:rsid w:val="00D30C6F"/>
    <w:rsid w:val="00D31029"/>
    <w:rsid w:val="00D31BD0"/>
    <w:rsid w:val="00D32CD1"/>
    <w:rsid w:val="00D339C6"/>
    <w:rsid w:val="00D34AFF"/>
    <w:rsid w:val="00D358F4"/>
    <w:rsid w:val="00D3667B"/>
    <w:rsid w:val="00D36DDC"/>
    <w:rsid w:val="00D37CB9"/>
    <w:rsid w:val="00D37F9C"/>
    <w:rsid w:val="00D40001"/>
    <w:rsid w:val="00D41C4C"/>
    <w:rsid w:val="00D43362"/>
    <w:rsid w:val="00D438A0"/>
    <w:rsid w:val="00D44177"/>
    <w:rsid w:val="00D44BB2"/>
    <w:rsid w:val="00D455A1"/>
    <w:rsid w:val="00D45EEA"/>
    <w:rsid w:val="00D461AF"/>
    <w:rsid w:val="00D4622D"/>
    <w:rsid w:val="00D466D3"/>
    <w:rsid w:val="00D47335"/>
    <w:rsid w:val="00D47775"/>
    <w:rsid w:val="00D478A7"/>
    <w:rsid w:val="00D50627"/>
    <w:rsid w:val="00D50B43"/>
    <w:rsid w:val="00D5126A"/>
    <w:rsid w:val="00D5126D"/>
    <w:rsid w:val="00D51EBD"/>
    <w:rsid w:val="00D53449"/>
    <w:rsid w:val="00D54082"/>
    <w:rsid w:val="00D54347"/>
    <w:rsid w:val="00D54792"/>
    <w:rsid w:val="00D54AAE"/>
    <w:rsid w:val="00D54FBA"/>
    <w:rsid w:val="00D5575B"/>
    <w:rsid w:val="00D55B2B"/>
    <w:rsid w:val="00D5651C"/>
    <w:rsid w:val="00D56BA6"/>
    <w:rsid w:val="00D5705F"/>
    <w:rsid w:val="00D57422"/>
    <w:rsid w:val="00D610F5"/>
    <w:rsid w:val="00D613FA"/>
    <w:rsid w:val="00D61501"/>
    <w:rsid w:val="00D62008"/>
    <w:rsid w:val="00D62ACA"/>
    <w:rsid w:val="00D637FC"/>
    <w:rsid w:val="00D653DA"/>
    <w:rsid w:val="00D664A2"/>
    <w:rsid w:val="00D6653E"/>
    <w:rsid w:val="00D668F8"/>
    <w:rsid w:val="00D66A96"/>
    <w:rsid w:val="00D6723D"/>
    <w:rsid w:val="00D67E6A"/>
    <w:rsid w:val="00D67E9E"/>
    <w:rsid w:val="00D71281"/>
    <w:rsid w:val="00D714E8"/>
    <w:rsid w:val="00D71AF4"/>
    <w:rsid w:val="00D722EA"/>
    <w:rsid w:val="00D72DE3"/>
    <w:rsid w:val="00D73807"/>
    <w:rsid w:val="00D73BAA"/>
    <w:rsid w:val="00D73D90"/>
    <w:rsid w:val="00D7440E"/>
    <w:rsid w:val="00D75CD7"/>
    <w:rsid w:val="00D7697A"/>
    <w:rsid w:val="00D77770"/>
    <w:rsid w:val="00D804A0"/>
    <w:rsid w:val="00D80621"/>
    <w:rsid w:val="00D82CA9"/>
    <w:rsid w:val="00D847EE"/>
    <w:rsid w:val="00D8482A"/>
    <w:rsid w:val="00D848E3"/>
    <w:rsid w:val="00D8572A"/>
    <w:rsid w:val="00D86595"/>
    <w:rsid w:val="00D86E90"/>
    <w:rsid w:val="00D872F5"/>
    <w:rsid w:val="00D87A1A"/>
    <w:rsid w:val="00D92DBD"/>
    <w:rsid w:val="00D9315D"/>
    <w:rsid w:val="00D93B00"/>
    <w:rsid w:val="00D9565A"/>
    <w:rsid w:val="00D956F9"/>
    <w:rsid w:val="00D95C18"/>
    <w:rsid w:val="00D962D8"/>
    <w:rsid w:val="00D96431"/>
    <w:rsid w:val="00D966FB"/>
    <w:rsid w:val="00DA13FA"/>
    <w:rsid w:val="00DA16FC"/>
    <w:rsid w:val="00DA1777"/>
    <w:rsid w:val="00DA1DC6"/>
    <w:rsid w:val="00DA279D"/>
    <w:rsid w:val="00DA2C90"/>
    <w:rsid w:val="00DA2CA2"/>
    <w:rsid w:val="00DA2F7A"/>
    <w:rsid w:val="00DA3EBB"/>
    <w:rsid w:val="00DA41F4"/>
    <w:rsid w:val="00DA4839"/>
    <w:rsid w:val="00DA58A2"/>
    <w:rsid w:val="00DA5E7B"/>
    <w:rsid w:val="00DA5F5F"/>
    <w:rsid w:val="00DA631B"/>
    <w:rsid w:val="00DA6DA9"/>
    <w:rsid w:val="00DA72AB"/>
    <w:rsid w:val="00DB0C21"/>
    <w:rsid w:val="00DB1264"/>
    <w:rsid w:val="00DB45C4"/>
    <w:rsid w:val="00DB4611"/>
    <w:rsid w:val="00DB4D28"/>
    <w:rsid w:val="00DB4EB7"/>
    <w:rsid w:val="00DB59F0"/>
    <w:rsid w:val="00DB5DB2"/>
    <w:rsid w:val="00DB6442"/>
    <w:rsid w:val="00DB6F0E"/>
    <w:rsid w:val="00DB6FD8"/>
    <w:rsid w:val="00DB796A"/>
    <w:rsid w:val="00DC02C8"/>
    <w:rsid w:val="00DC0877"/>
    <w:rsid w:val="00DC19E5"/>
    <w:rsid w:val="00DC2682"/>
    <w:rsid w:val="00DC3636"/>
    <w:rsid w:val="00DC40CA"/>
    <w:rsid w:val="00DC451A"/>
    <w:rsid w:val="00DC4F71"/>
    <w:rsid w:val="00DC58BA"/>
    <w:rsid w:val="00DC68A5"/>
    <w:rsid w:val="00DC7BA2"/>
    <w:rsid w:val="00DC7E68"/>
    <w:rsid w:val="00DD0335"/>
    <w:rsid w:val="00DD13E5"/>
    <w:rsid w:val="00DD154E"/>
    <w:rsid w:val="00DD211C"/>
    <w:rsid w:val="00DD30D5"/>
    <w:rsid w:val="00DD3168"/>
    <w:rsid w:val="00DD4246"/>
    <w:rsid w:val="00DD6593"/>
    <w:rsid w:val="00DD697B"/>
    <w:rsid w:val="00DD7BCD"/>
    <w:rsid w:val="00DD7C7B"/>
    <w:rsid w:val="00DE0E2B"/>
    <w:rsid w:val="00DE2602"/>
    <w:rsid w:val="00DE31F2"/>
    <w:rsid w:val="00DE3C51"/>
    <w:rsid w:val="00DE5CB4"/>
    <w:rsid w:val="00DE634E"/>
    <w:rsid w:val="00DE6A68"/>
    <w:rsid w:val="00DE755E"/>
    <w:rsid w:val="00DF02F8"/>
    <w:rsid w:val="00DF08EA"/>
    <w:rsid w:val="00DF0FFB"/>
    <w:rsid w:val="00DF17D5"/>
    <w:rsid w:val="00DF1EFE"/>
    <w:rsid w:val="00DF2FA3"/>
    <w:rsid w:val="00DF325A"/>
    <w:rsid w:val="00DF3324"/>
    <w:rsid w:val="00DF3678"/>
    <w:rsid w:val="00DF3BA8"/>
    <w:rsid w:val="00DF5A04"/>
    <w:rsid w:val="00DF6F44"/>
    <w:rsid w:val="00DF75B5"/>
    <w:rsid w:val="00DF7B3B"/>
    <w:rsid w:val="00DF7DC5"/>
    <w:rsid w:val="00E009C3"/>
    <w:rsid w:val="00E00DCD"/>
    <w:rsid w:val="00E022F7"/>
    <w:rsid w:val="00E0299D"/>
    <w:rsid w:val="00E03702"/>
    <w:rsid w:val="00E048BE"/>
    <w:rsid w:val="00E04D8C"/>
    <w:rsid w:val="00E04E5E"/>
    <w:rsid w:val="00E05A09"/>
    <w:rsid w:val="00E0666C"/>
    <w:rsid w:val="00E078CB"/>
    <w:rsid w:val="00E07F3B"/>
    <w:rsid w:val="00E105D9"/>
    <w:rsid w:val="00E10B7D"/>
    <w:rsid w:val="00E114DD"/>
    <w:rsid w:val="00E1224B"/>
    <w:rsid w:val="00E1370A"/>
    <w:rsid w:val="00E138ED"/>
    <w:rsid w:val="00E152D0"/>
    <w:rsid w:val="00E159AC"/>
    <w:rsid w:val="00E15FC8"/>
    <w:rsid w:val="00E17300"/>
    <w:rsid w:val="00E17413"/>
    <w:rsid w:val="00E17EAF"/>
    <w:rsid w:val="00E215AF"/>
    <w:rsid w:val="00E21716"/>
    <w:rsid w:val="00E2213E"/>
    <w:rsid w:val="00E22625"/>
    <w:rsid w:val="00E22BCE"/>
    <w:rsid w:val="00E23982"/>
    <w:rsid w:val="00E24501"/>
    <w:rsid w:val="00E24D76"/>
    <w:rsid w:val="00E255D6"/>
    <w:rsid w:val="00E26CD1"/>
    <w:rsid w:val="00E26F71"/>
    <w:rsid w:val="00E27715"/>
    <w:rsid w:val="00E313D1"/>
    <w:rsid w:val="00E31454"/>
    <w:rsid w:val="00E314EF"/>
    <w:rsid w:val="00E317A8"/>
    <w:rsid w:val="00E31AE2"/>
    <w:rsid w:val="00E3289D"/>
    <w:rsid w:val="00E33833"/>
    <w:rsid w:val="00E34627"/>
    <w:rsid w:val="00E3499E"/>
    <w:rsid w:val="00E36047"/>
    <w:rsid w:val="00E36D2F"/>
    <w:rsid w:val="00E409F3"/>
    <w:rsid w:val="00E4288C"/>
    <w:rsid w:val="00E436B2"/>
    <w:rsid w:val="00E44925"/>
    <w:rsid w:val="00E44AC7"/>
    <w:rsid w:val="00E455F9"/>
    <w:rsid w:val="00E45DF7"/>
    <w:rsid w:val="00E472E3"/>
    <w:rsid w:val="00E47369"/>
    <w:rsid w:val="00E50E0F"/>
    <w:rsid w:val="00E5333B"/>
    <w:rsid w:val="00E536D6"/>
    <w:rsid w:val="00E53D26"/>
    <w:rsid w:val="00E53F83"/>
    <w:rsid w:val="00E540BC"/>
    <w:rsid w:val="00E541B0"/>
    <w:rsid w:val="00E54250"/>
    <w:rsid w:val="00E54E94"/>
    <w:rsid w:val="00E55509"/>
    <w:rsid w:val="00E5577B"/>
    <w:rsid w:val="00E56B43"/>
    <w:rsid w:val="00E574C5"/>
    <w:rsid w:val="00E6023B"/>
    <w:rsid w:val="00E603B7"/>
    <w:rsid w:val="00E60D39"/>
    <w:rsid w:val="00E60D8A"/>
    <w:rsid w:val="00E61A7A"/>
    <w:rsid w:val="00E62BE3"/>
    <w:rsid w:val="00E63D77"/>
    <w:rsid w:val="00E648EA"/>
    <w:rsid w:val="00E64E1C"/>
    <w:rsid w:val="00E65187"/>
    <w:rsid w:val="00E664E3"/>
    <w:rsid w:val="00E665F7"/>
    <w:rsid w:val="00E66DBC"/>
    <w:rsid w:val="00E670CD"/>
    <w:rsid w:val="00E67B5C"/>
    <w:rsid w:val="00E70278"/>
    <w:rsid w:val="00E7037C"/>
    <w:rsid w:val="00E713EE"/>
    <w:rsid w:val="00E717D2"/>
    <w:rsid w:val="00E71E16"/>
    <w:rsid w:val="00E71E68"/>
    <w:rsid w:val="00E722FD"/>
    <w:rsid w:val="00E7257D"/>
    <w:rsid w:val="00E734AC"/>
    <w:rsid w:val="00E736E0"/>
    <w:rsid w:val="00E73A2B"/>
    <w:rsid w:val="00E73C7C"/>
    <w:rsid w:val="00E73D40"/>
    <w:rsid w:val="00E754CA"/>
    <w:rsid w:val="00E75668"/>
    <w:rsid w:val="00E75CD2"/>
    <w:rsid w:val="00E766C5"/>
    <w:rsid w:val="00E76710"/>
    <w:rsid w:val="00E77A74"/>
    <w:rsid w:val="00E80E0D"/>
    <w:rsid w:val="00E81508"/>
    <w:rsid w:val="00E81A63"/>
    <w:rsid w:val="00E81C56"/>
    <w:rsid w:val="00E82299"/>
    <w:rsid w:val="00E82F5D"/>
    <w:rsid w:val="00E830B0"/>
    <w:rsid w:val="00E837D8"/>
    <w:rsid w:val="00E840CB"/>
    <w:rsid w:val="00E84F8A"/>
    <w:rsid w:val="00E850C7"/>
    <w:rsid w:val="00E85DF9"/>
    <w:rsid w:val="00E86FCE"/>
    <w:rsid w:val="00E876AF"/>
    <w:rsid w:val="00E87B76"/>
    <w:rsid w:val="00E919EB"/>
    <w:rsid w:val="00E924AD"/>
    <w:rsid w:val="00E92F11"/>
    <w:rsid w:val="00E93423"/>
    <w:rsid w:val="00E94047"/>
    <w:rsid w:val="00E94056"/>
    <w:rsid w:val="00E9442C"/>
    <w:rsid w:val="00E952A2"/>
    <w:rsid w:val="00E95308"/>
    <w:rsid w:val="00E958EE"/>
    <w:rsid w:val="00E97802"/>
    <w:rsid w:val="00EA11D0"/>
    <w:rsid w:val="00EA1698"/>
    <w:rsid w:val="00EA1727"/>
    <w:rsid w:val="00EA1916"/>
    <w:rsid w:val="00EA417C"/>
    <w:rsid w:val="00EA476C"/>
    <w:rsid w:val="00EA4A40"/>
    <w:rsid w:val="00EA5435"/>
    <w:rsid w:val="00EA721B"/>
    <w:rsid w:val="00EA7241"/>
    <w:rsid w:val="00EA7F83"/>
    <w:rsid w:val="00EB03EA"/>
    <w:rsid w:val="00EB0839"/>
    <w:rsid w:val="00EB15E6"/>
    <w:rsid w:val="00EB1873"/>
    <w:rsid w:val="00EB18B3"/>
    <w:rsid w:val="00EB28D1"/>
    <w:rsid w:val="00EB2E3E"/>
    <w:rsid w:val="00EB38BF"/>
    <w:rsid w:val="00EB3AF7"/>
    <w:rsid w:val="00EB3E35"/>
    <w:rsid w:val="00EB4FE0"/>
    <w:rsid w:val="00EB5D93"/>
    <w:rsid w:val="00EB7A85"/>
    <w:rsid w:val="00EC0B47"/>
    <w:rsid w:val="00EC1795"/>
    <w:rsid w:val="00EC1DDB"/>
    <w:rsid w:val="00EC49CB"/>
    <w:rsid w:val="00EC4BB3"/>
    <w:rsid w:val="00EC536F"/>
    <w:rsid w:val="00EC5739"/>
    <w:rsid w:val="00EC65E6"/>
    <w:rsid w:val="00EC6D98"/>
    <w:rsid w:val="00EC76BB"/>
    <w:rsid w:val="00EC7776"/>
    <w:rsid w:val="00ED020F"/>
    <w:rsid w:val="00ED0881"/>
    <w:rsid w:val="00ED0DE0"/>
    <w:rsid w:val="00ED1451"/>
    <w:rsid w:val="00ED1599"/>
    <w:rsid w:val="00ED343B"/>
    <w:rsid w:val="00ED6C95"/>
    <w:rsid w:val="00ED72DA"/>
    <w:rsid w:val="00EE0448"/>
    <w:rsid w:val="00EE1F99"/>
    <w:rsid w:val="00EE20DA"/>
    <w:rsid w:val="00EE2A7B"/>
    <w:rsid w:val="00EE30FF"/>
    <w:rsid w:val="00EE3305"/>
    <w:rsid w:val="00EE4724"/>
    <w:rsid w:val="00EE4BCA"/>
    <w:rsid w:val="00EE56C6"/>
    <w:rsid w:val="00EE581F"/>
    <w:rsid w:val="00EE60A9"/>
    <w:rsid w:val="00EE681B"/>
    <w:rsid w:val="00EE717E"/>
    <w:rsid w:val="00EE75F5"/>
    <w:rsid w:val="00EE7DEB"/>
    <w:rsid w:val="00EF0380"/>
    <w:rsid w:val="00EF1B7E"/>
    <w:rsid w:val="00EF376B"/>
    <w:rsid w:val="00EF40E9"/>
    <w:rsid w:val="00EF4503"/>
    <w:rsid w:val="00EF4B4A"/>
    <w:rsid w:val="00EF5B24"/>
    <w:rsid w:val="00EF6410"/>
    <w:rsid w:val="00EF7518"/>
    <w:rsid w:val="00F00807"/>
    <w:rsid w:val="00F00DA9"/>
    <w:rsid w:val="00F00FD8"/>
    <w:rsid w:val="00F017A3"/>
    <w:rsid w:val="00F01B9C"/>
    <w:rsid w:val="00F01BB7"/>
    <w:rsid w:val="00F01FE7"/>
    <w:rsid w:val="00F029DA"/>
    <w:rsid w:val="00F02F43"/>
    <w:rsid w:val="00F035FB"/>
    <w:rsid w:val="00F03A4C"/>
    <w:rsid w:val="00F04F2F"/>
    <w:rsid w:val="00F055F8"/>
    <w:rsid w:val="00F059AC"/>
    <w:rsid w:val="00F05C5D"/>
    <w:rsid w:val="00F05D86"/>
    <w:rsid w:val="00F06DAC"/>
    <w:rsid w:val="00F072E0"/>
    <w:rsid w:val="00F07557"/>
    <w:rsid w:val="00F104F1"/>
    <w:rsid w:val="00F113ED"/>
    <w:rsid w:val="00F123B2"/>
    <w:rsid w:val="00F14040"/>
    <w:rsid w:val="00F148A1"/>
    <w:rsid w:val="00F152B2"/>
    <w:rsid w:val="00F15631"/>
    <w:rsid w:val="00F16066"/>
    <w:rsid w:val="00F16358"/>
    <w:rsid w:val="00F16A3C"/>
    <w:rsid w:val="00F16BBE"/>
    <w:rsid w:val="00F16F5C"/>
    <w:rsid w:val="00F1702A"/>
    <w:rsid w:val="00F1759F"/>
    <w:rsid w:val="00F17D3F"/>
    <w:rsid w:val="00F17EAA"/>
    <w:rsid w:val="00F20403"/>
    <w:rsid w:val="00F20A9C"/>
    <w:rsid w:val="00F20DBC"/>
    <w:rsid w:val="00F20DC8"/>
    <w:rsid w:val="00F229F5"/>
    <w:rsid w:val="00F23679"/>
    <w:rsid w:val="00F2384E"/>
    <w:rsid w:val="00F23D7C"/>
    <w:rsid w:val="00F23DD1"/>
    <w:rsid w:val="00F24617"/>
    <w:rsid w:val="00F24B2A"/>
    <w:rsid w:val="00F24C1B"/>
    <w:rsid w:val="00F24CF3"/>
    <w:rsid w:val="00F259D7"/>
    <w:rsid w:val="00F25A94"/>
    <w:rsid w:val="00F26F75"/>
    <w:rsid w:val="00F31551"/>
    <w:rsid w:val="00F31CF0"/>
    <w:rsid w:val="00F339A4"/>
    <w:rsid w:val="00F34D69"/>
    <w:rsid w:val="00F34DDF"/>
    <w:rsid w:val="00F357BF"/>
    <w:rsid w:val="00F35B35"/>
    <w:rsid w:val="00F35C3B"/>
    <w:rsid w:val="00F362DB"/>
    <w:rsid w:val="00F36AD2"/>
    <w:rsid w:val="00F37869"/>
    <w:rsid w:val="00F40B10"/>
    <w:rsid w:val="00F43044"/>
    <w:rsid w:val="00F43F2C"/>
    <w:rsid w:val="00F44579"/>
    <w:rsid w:val="00F459BC"/>
    <w:rsid w:val="00F45B96"/>
    <w:rsid w:val="00F45D22"/>
    <w:rsid w:val="00F46368"/>
    <w:rsid w:val="00F46AFF"/>
    <w:rsid w:val="00F46D15"/>
    <w:rsid w:val="00F47339"/>
    <w:rsid w:val="00F47549"/>
    <w:rsid w:val="00F51E49"/>
    <w:rsid w:val="00F51EFB"/>
    <w:rsid w:val="00F52078"/>
    <w:rsid w:val="00F5319C"/>
    <w:rsid w:val="00F538E3"/>
    <w:rsid w:val="00F551F5"/>
    <w:rsid w:val="00F55AA8"/>
    <w:rsid w:val="00F60497"/>
    <w:rsid w:val="00F6058B"/>
    <w:rsid w:val="00F60B8C"/>
    <w:rsid w:val="00F619E9"/>
    <w:rsid w:val="00F6230A"/>
    <w:rsid w:val="00F62623"/>
    <w:rsid w:val="00F627B4"/>
    <w:rsid w:val="00F62EC9"/>
    <w:rsid w:val="00F635C9"/>
    <w:rsid w:val="00F647D8"/>
    <w:rsid w:val="00F64E8F"/>
    <w:rsid w:val="00F65ABF"/>
    <w:rsid w:val="00F65E57"/>
    <w:rsid w:val="00F66CF0"/>
    <w:rsid w:val="00F700D4"/>
    <w:rsid w:val="00F7080E"/>
    <w:rsid w:val="00F70A46"/>
    <w:rsid w:val="00F70F65"/>
    <w:rsid w:val="00F71A36"/>
    <w:rsid w:val="00F720C3"/>
    <w:rsid w:val="00F72550"/>
    <w:rsid w:val="00F728B9"/>
    <w:rsid w:val="00F72B12"/>
    <w:rsid w:val="00F750A2"/>
    <w:rsid w:val="00F75D70"/>
    <w:rsid w:val="00F75EEE"/>
    <w:rsid w:val="00F76688"/>
    <w:rsid w:val="00F77492"/>
    <w:rsid w:val="00F775A9"/>
    <w:rsid w:val="00F7764F"/>
    <w:rsid w:val="00F818D8"/>
    <w:rsid w:val="00F81B8D"/>
    <w:rsid w:val="00F825FC"/>
    <w:rsid w:val="00F8278D"/>
    <w:rsid w:val="00F84025"/>
    <w:rsid w:val="00F848A8"/>
    <w:rsid w:val="00F86229"/>
    <w:rsid w:val="00F87EDF"/>
    <w:rsid w:val="00F9007A"/>
    <w:rsid w:val="00F90972"/>
    <w:rsid w:val="00F90EF7"/>
    <w:rsid w:val="00F9144D"/>
    <w:rsid w:val="00F91743"/>
    <w:rsid w:val="00F92DE9"/>
    <w:rsid w:val="00F93B4C"/>
    <w:rsid w:val="00F9687E"/>
    <w:rsid w:val="00F97197"/>
    <w:rsid w:val="00F97373"/>
    <w:rsid w:val="00FA0DF7"/>
    <w:rsid w:val="00FA176D"/>
    <w:rsid w:val="00FA1ADB"/>
    <w:rsid w:val="00FA2537"/>
    <w:rsid w:val="00FA2C5D"/>
    <w:rsid w:val="00FA31E8"/>
    <w:rsid w:val="00FA35FE"/>
    <w:rsid w:val="00FA3879"/>
    <w:rsid w:val="00FA38F3"/>
    <w:rsid w:val="00FA39C5"/>
    <w:rsid w:val="00FA4AE9"/>
    <w:rsid w:val="00FA5404"/>
    <w:rsid w:val="00FA5693"/>
    <w:rsid w:val="00FA6178"/>
    <w:rsid w:val="00FA62A9"/>
    <w:rsid w:val="00FA6C31"/>
    <w:rsid w:val="00FA7053"/>
    <w:rsid w:val="00FA7EC5"/>
    <w:rsid w:val="00FB1565"/>
    <w:rsid w:val="00FB3338"/>
    <w:rsid w:val="00FB37D7"/>
    <w:rsid w:val="00FB39B0"/>
    <w:rsid w:val="00FB3AC2"/>
    <w:rsid w:val="00FB48ED"/>
    <w:rsid w:val="00FB490F"/>
    <w:rsid w:val="00FB4CFA"/>
    <w:rsid w:val="00FB5AD1"/>
    <w:rsid w:val="00FB6195"/>
    <w:rsid w:val="00FB6A4A"/>
    <w:rsid w:val="00FB6DF0"/>
    <w:rsid w:val="00FB71FC"/>
    <w:rsid w:val="00FB7895"/>
    <w:rsid w:val="00FB789C"/>
    <w:rsid w:val="00FC0229"/>
    <w:rsid w:val="00FC139A"/>
    <w:rsid w:val="00FC2720"/>
    <w:rsid w:val="00FC2E2E"/>
    <w:rsid w:val="00FC2FD9"/>
    <w:rsid w:val="00FC4A16"/>
    <w:rsid w:val="00FC4C29"/>
    <w:rsid w:val="00FC4E95"/>
    <w:rsid w:val="00FC4F69"/>
    <w:rsid w:val="00FC51FE"/>
    <w:rsid w:val="00FC6A95"/>
    <w:rsid w:val="00FD062D"/>
    <w:rsid w:val="00FD0A8D"/>
    <w:rsid w:val="00FD0CF0"/>
    <w:rsid w:val="00FD23B6"/>
    <w:rsid w:val="00FD37B2"/>
    <w:rsid w:val="00FD398B"/>
    <w:rsid w:val="00FD3EE4"/>
    <w:rsid w:val="00FD4158"/>
    <w:rsid w:val="00FD492C"/>
    <w:rsid w:val="00FD5808"/>
    <w:rsid w:val="00FD584F"/>
    <w:rsid w:val="00FD5A1A"/>
    <w:rsid w:val="00FD5ACD"/>
    <w:rsid w:val="00FD6483"/>
    <w:rsid w:val="00FD71A2"/>
    <w:rsid w:val="00FD7E59"/>
    <w:rsid w:val="00FE09E5"/>
    <w:rsid w:val="00FE0C58"/>
    <w:rsid w:val="00FE0CBE"/>
    <w:rsid w:val="00FE1348"/>
    <w:rsid w:val="00FE1AF1"/>
    <w:rsid w:val="00FE1CA9"/>
    <w:rsid w:val="00FE2480"/>
    <w:rsid w:val="00FE2976"/>
    <w:rsid w:val="00FE5F34"/>
    <w:rsid w:val="00FE5FFD"/>
    <w:rsid w:val="00FE6F64"/>
    <w:rsid w:val="00FE7027"/>
    <w:rsid w:val="00FE7453"/>
    <w:rsid w:val="00FE7DDD"/>
    <w:rsid w:val="00FF0919"/>
    <w:rsid w:val="00FF1108"/>
    <w:rsid w:val="00FF121E"/>
    <w:rsid w:val="00FF15F2"/>
    <w:rsid w:val="00FF1EBA"/>
    <w:rsid w:val="00FF1F89"/>
    <w:rsid w:val="00FF437F"/>
    <w:rsid w:val="00FF43DC"/>
    <w:rsid w:val="00FF50BF"/>
    <w:rsid w:val="00FF5C93"/>
    <w:rsid w:val="00FF601F"/>
    <w:rsid w:val="00FF6321"/>
    <w:rsid w:val="00FF66E5"/>
    <w:rsid w:val="00FF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33814"/>
  <w15:chartTrackingRefBased/>
  <w15:docId w15:val="{53FF1070-DE73-4543-9DCE-AEB056A5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DA0"/>
  </w:style>
  <w:style w:type="paragraph" w:styleId="Footer">
    <w:name w:val="footer"/>
    <w:basedOn w:val="Normal"/>
    <w:link w:val="FooterChar"/>
    <w:uiPriority w:val="99"/>
    <w:unhideWhenUsed/>
    <w:rsid w:val="00600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DA0"/>
  </w:style>
  <w:style w:type="character" w:styleId="CommentReference">
    <w:name w:val="annotation reference"/>
    <w:basedOn w:val="DefaultParagraphFont"/>
    <w:uiPriority w:val="99"/>
    <w:semiHidden/>
    <w:unhideWhenUsed/>
    <w:rsid w:val="00E71E68"/>
    <w:rPr>
      <w:sz w:val="16"/>
      <w:szCs w:val="16"/>
    </w:rPr>
  </w:style>
  <w:style w:type="paragraph" w:styleId="CommentText">
    <w:name w:val="annotation text"/>
    <w:basedOn w:val="Normal"/>
    <w:link w:val="CommentTextChar"/>
    <w:uiPriority w:val="99"/>
    <w:unhideWhenUsed/>
    <w:rsid w:val="00E71E68"/>
    <w:pPr>
      <w:spacing w:line="240" w:lineRule="auto"/>
    </w:pPr>
    <w:rPr>
      <w:sz w:val="20"/>
      <w:szCs w:val="20"/>
    </w:rPr>
  </w:style>
  <w:style w:type="character" w:customStyle="1" w:styleId="CommentTextChar">
    <w:name w:val="Comment Text Char"/>
    <w:basedOn w:val="DefaultParagraphFont"/>
    <w:link w:val="CommentText"/>
    <w:uiPriority w:val="99"/>
    <w:rsid w:val="00E71E68"/>
    <w:rPr>
      <w:sz w:val="20"/>
      <w:szCs w:val="20"/>
    </w:rPr>
  </w:style>
  <w:style w:type="paragraph" w:styleId="CommentSubject">
    <w:name w:val="annotation subject"/>
    <w:basedOn w:val="CommentText"/>
    <w:next w:val="CommentText"/>
    <w:link w:val="CommentSubjectChar"/>
    <w:uiPriority w:val="99"/>
    <w:unhideWhenUsed/>
    <w:rsid w:val="00E71E68"/>
    <w:rPr>
      <w:b/>
      <w:bCs/>
    </w:rPr>
  </w:style>
  <w:style w:type="character" w:customStyle="1" w:styleId="CommentSubjectChar">
    <w:name w:val="Comment Subject Char"/>
    <w:basedOn w:val="CommentTextChar"/>
    <w:link w:val="CommentSubject"/>
    <w:uiPriority w:val="99"/>
    <w:rsid w:val="00E71E68"/>
    <w:rPr>
      <w:b/>
      <w:bCs/>
      <w:sz w:val="20"/>
      <w:szCs w:val="20"/>
    </w:rPr>
  </w:style>
  <w:style w:type="paragraph" w:styleId="BalloonText">
    <w:name w:val="Balloon Text"/>
    <w:basedOn w:val="Normal"/>
    <w:link w:val="BalloonTextChar"/>
    <w:uiPriority w:val="99"/>
    <w:semiHidden/>
    <w:unhideWhenUsed/>
    <w:rsid w:val="00E71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E68"/>
    <w:rPr>
      <w:rFonts w:ascii="Segoe UI" w:hAnsi="Segoe UI" w:cs="Segoe UI"/>
      <w:sz w:val="18"/>
      <w:szCs w:val="18"/>
    </w:rPr>
  </w:style>
  <w:style w:type="character" w:styleId="Hyperlink">
    <w:name w:val="Hyperlink"/>
    <w:basedOn w:val="DefaultParagraphFont"/>
    <w:uiPriority w:val="99"/>
    <w:unhideWhenUsed/>
    <w:rsid w:val="001B0570"/>
    <w:rPr>
      <w:color w:val="0563C1" w:themeColor="hyperlink"/>
      <w:u w:val="single"/>
    </w:rPr>
  </w:style>
  <w:style w:type="character" w:customStyle="1" w:styleId="UnresolvedMention1">
    <w:name w:val="Unresolved Mention1"/>
    <w:basedOn w:val="DefaultParagraphFont"/>
    <w:uiPriority w:val="99"/>
    <w:semiHidden/>
    <w:unhideWhenUsed/>
    <w:rsid w:val="001B0570"/>
    <w:rPr>
      <w:color w:val="605E5C"/>
      <w:shd w:val="clear" w:color="auto" w:fill="E1DFDD"/>
    </w:rPr>
  </w:style>
  <w:style w:type="table" w:styleId="TableGrid">
    <w:name w:val="Table Grid"/>
    <w:basedOn w:val="TableNormal"/>
    <w:uiPriority w:val="39"/>
    <w:rsid w:val="009A4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840A3"/>
    <w:rPr>
      <w:color w:val="605E5C"/>
      <w:shd w:val="clear" w:color="auto" w:fill="E1DFDD"/>
    </w:rPr>
  </w:style>
  <w:style w:type="character" w:customStyle="1" w:styleId="contrib-degrees">
    <w:name w:val="contrib-degrees"/>
    <w:basedOn w:val="DefaultParagraphFont"/>
    <w:rsid w:val="004D384F"/>
  </w:style>
  <w:style w:type="paragraph" w:styleId="ListParagraph">
    <w:name w:val="List Paragraph"/>
    <w:basedOn w:val="Normal"/>
    <w:uiPriority w:val="34"/>
    <w:qFormat/>
    <w:rsid w:val="00D86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johnson@lboro.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E35DD0E2A1AA46B0A1FB89A21D677F" ma:contentTypeVersion="8" ma:contentTypeDescription="Create a new document." ma:contentTypeScope="" ma:versionID="d41c5ae2d1fdf794f6fb515a442649c2">
  <xsd:schema xmlns:xsd="http://www.w3.org/2001/XMLSchema" xmlns:xs="http://www.w3.org/2001/XMLSchema" xmlns:p="http://schemas.microsoft.com/office/2006/metadata/properties" xmlns:ns3="ed66628f-7779-4727-b74d-0445ccf8dfdc" targetNamespace="http://schemas.microsoft.com/office/2006/metadata/properties" ma:root="true" ma:fieldsID="e91f3df751ef14362ba0c6b497544486" ns3:_="">
    <xsd:import namespace="ed66628f-7779-4727-b74d-0445ccf8df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6628f-7779-4727-b74d-0445ccf8d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0D38E-DF0E-48F1-A057-ABCCDA946193}">
  <ds:schemaRefs>
    <ds:schemaRef ds:uri="http://schemas.microsoft.com/sharepoint/v3/contenttype/forms"/>
  </ds:schemaRefs>
</ds:datastoreItem>
</file>

<file path=customXml/itemProps2.xml><?xml version="1.0" encoding="utf-8"?>
<ds:datastoreItem xmlns:ds="http://schemas.openxmlformats.org/officeDocument/2006/customXml" ds:itemID="{ECDCC336-4883-4C09-A053-2C23FEBB8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6628f-7779-4727-b74d-0445ccf8d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263CD-96E8-4260-91F5-05704E9706E3}">
  <ds:schemaRefs>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ed66628f-7779-4727-b74d-0445ccf8dfd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B2BB1D9-EE8A-4B99-8E31-49D5176E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21788</Words>
  <Characters>124194</Characters>
  <Application>Microsoft Office Word</Application>
  <DocSecurity>4</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Norris</dc:creator>
  <cp:keywords/>
  <dc:description/>
  <cp:lastModifiedBy>Karen Drake</cp:lastModifiedBy>
  <cp:revision>2</cp:revision>
  <dcterms:created xsi:type="dcterms:W3CDTF">2019-12-19T10:09:00Z</dcterms:created>
  <dcterms:modified xsi:type="dcterms:W3CDTF">2019-12-19T10:09:00Z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031f1aac-4b68-360a-aa3f-a54b776191f7</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http://www.zotero.org/styles/paediatric-and-perinatal-epidemiology</vt:lpwstr>
  </property>
  <property fmtid="{D5CDD505-2E9C-101B-9397-08002B2CF9AE}" pid="15" name="Mendeley Recent Style Name 5_1">
    <vt:lpwstr>Paediatric and Perinatal Epidemiology</vt:lpwstr>
  </property>
  <property fmtid="{D5CDD505-2E9C-101B-9397-08002B2CF9AE}" pid="16" name="Mendeley Recent Style Id 6_1">
    <vt:lpwstr>http://www.zotero.org/styles/pediatrics</vt:lpwstr>
  </property>
  <property fmtid="{D5CDD505-2E9C-101B-9397-08002B2CF9AE}" pid="17" name="Mendeley Recent Style Name 6_1">
    <vt:lpwstr>Pediatrics</vt:lpwstr>
  </property>
  <property fmtid="{D5CDD505-2E9C-101B-9397-08002B2CF9AE}" pid="18" name="Mendeley Recent Style Id 7_1">
    <vt:lpwstr>http://www.zotero.org/styles/taylor-and-francis-council-of-science-editors-author-date</vt:lpwstr>
  </property>
  <property fmtid="{D5CDD505-2E9C-101B-9397-08002B2CF9AE}" pid="19" name="Mendeley Recent Style Name 7_1">
    <vt:lpwstr>Taylor &amp; Francis - Council of Science Editors (author-date)</vt:lpwstr>
  </property>
  <property fmtid="{D5CDD505-2E9C-101B-9397-08002B2CF9AE}" pid="20" name="Mendeley Recent Style Id 8_1">
    <vt:lpwstr>http://www.zotero.org/styles/taylor-and-francis-national-library-of-medicine</vt:lpwstr>
  </property>
  <property fmtid="{D5CDD505-2E9C-101B-9397-08002B2CF9AE}" pid="21" name="Mendeley Recent Style Name 8_1">
    <vt:lpwstr>Taylor &amp; Francis - National Library of Medicine</vt:lpwstr>
  </property>
  <property fmtid="{D5CDD505-2E9C-101B-9397-08002B2CF9AE}" pid="22" name="Mendeley Recent Style Id 9_1">
    <vt:lpwstr>http://www.zotero.org/styles/the-american-journal-of-clinical-nutrition</vt:lpwstr>
  </property>
  <property fmtid="{D5CDD505-2E9C-101B-9397-08002B2CF9AE}" pid="23" name="Mendeley Recent Style Name 9_1">
    <vt:lpwstr>The American Journal of Clinical Nutrition</vt:lpwstr>
  </property>
  <property fmtid="{D5CDD505-2E9C-101B-9397-08002B2CF9AE}" pid="24" name="ContentTypeId">
    <vt:lpwstr>0x010100E9E35DD0E2A1AA46B0A1FB89A21D677F</vt:lpwstr>
  </property>
  <property fmtid="{D5CDD505-2E9C-101B-9397-08002B2CF9AE}" pid="25" name="Mendeley Citation Style_1">
    <vt:lpwstr>http://www.zotero.org/styles/taylor-and-francis-council-of-science-editors-author-date</vt:lpwstr>
  </property>
</Properties>
</file>