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E7479" w14:textId="77777777" w:rsidR="003F2472" w:rsidRDefault="003F2472" w:rsidP="003F2472">
      <w:pPr>
        <w:snapToGrid w:val="0"/>
        <w:spacing w:line="480" w:lineRule="auto"/>
        <w:rPr>
          <w:rFonts w:ascii="Garamond" w:hAnsi="Garamond"/>
        </w:rPr>
      </w:pPr>
    </w:p>
    <w:p w14:paraId="7917312D" w14:textId="77777777" w:rsidR="003F2472" w:rsidRDefault="003F2472" w:rsidP="003F2472">
      <w:pPr>
        <w:snapToGrid w:val="0"/>
        <w:spacing w:line="480" w:lineRule="auto"/>
        <w:rPr>
          <w:rFonts w:ascii="Garamond" w:hAnsi="Garamond"/>
        </w:rPr>
      </w:pPr>
    </w:p>
    <w:p w14:paraId="09C688C8" w14:textId="77777777" w:rsidR="003F2472" w:rsidRPr="0041284B" w:rsidRDefault="003F2472" w:rsidP="003F2472">
      <w:pPr>
        <w:snapToGrid w:val="0"/>
        <w:spacing w:line="480" w:lineRule="auto"/>
        <w:rPr>
          <w:rFonts w:ascii="Garamond" w:hAnsi="Garamond"/>
        </w:rPr>
      </w:pPr>
    </w:p>
    <w:p w14:paraId="207A16D5" w14:textId="77777777" w:rsidR="003F2472" w:rsidRPr="00990D09" w:rsidRDefault="003F2472" w:rsidP="003F2472">
      <w:pPr>
        <w:snapToGrid w:val="0"/>
        <w:spacing w:line="480" w:lineRule="auto"/>
        <w:jc w:val="center"/>
        <w:rPr>
          <w:rFonts w:ascii="Garamond" w:hAnsi="Garamond"/>
        </w:rPr>
      </w:pPr>
      <w:r w:rsidRPr="000249DB">
        <w:rPr>
          <w:rFonts w:ascii="Garamond" w:hAnsi="Garamond"/>
          <w:b/>
        </w:rPr>
        <w:t>Efficacy, Explore, and Exchange: Studies on Social Side of Teacher Education from England, Spain, and US</w:t>
      </w:r>
    </w:p>
    <w:p w14:paraId="06CAA95F" w14:textId="77777777" w:rsidR="003F2472" w:rsidRPr="008D731E" w:rsidRDefault="003F2472" w:rsidP="003F2472">
      <w:pPr>
        <w:snapToGrid w:val="0"/>
        <w:spacing w:line="480" w:lineRule="auto"/>
        <w:rPr>
          <w:rFonts w:ascii="Garamond" w:hAnsi="Garamond"/>
          <w:bCs/>
        </w:rPr>
      </w:pPr>
    </w:p>
    <w:p w14:paraId="27D059A3" w14:textId="77777777" w:rsidR="003F2472" w:rsidRPr="0041284B" w:rsidRDefault="003F2472" w:rsidP="003F2472">
      <w:pPr>
        <w:snapToGrid w:val="0"/>
        <w:spacing w:line="480" w:lineRule="auto"/>
        <w:jc w:val="center"/>
        <w:rPr>
          <w:rFonts w:ascii="Garamond" w:hAnsi="Garamond"/>
          <w:bCs/>
        </w:rPr>
      </w:pPr>
      <w:r w:rsidRPr="0041284B">
        <w:rPr>
          <w:rFonts w:ascii="Garamond" w:hAnsi="Garamond"/>
          <w:bCs/>
          <w:iCs/>
        </w:rPr>
        <w:t>Yi-Hwa Liou</w:t>
      </w:r>
      <w:r>
        <w:rPr>
          <w:rFonts w:ascii="Garamond" w:hAnsi="Garamond"/>
          <w:bCs/>
          <w:iCs/>
        </w:rPr>
        <w:t>*</w:t>
      </w:r>
    </w:p>
    <w:p w14:paraId="7F0B778F" w14:textId="77777777" w:rsidR="003F2472" w:rsidRPr="0041284B" w:rsidRDefault="003F2472" w:rsidP="003F2472">
      <w:pPr>
        <w:snapToGrid w:val="0"/>
        <w:spacing w:line="480" w:lineRule="auto"/>
        <w:jc w:val="center"/>
        <w:rPr>
          <w:rFonts w:ascii="Garamond" w:hAnsi="Garamond"/>
          <w:bCs/>
          <w:i/>
        </w:rPr>
      </w:pPr>
      <w:r w:rsidRPr="0041284B">
        <w:rPr>
          <w:rFonts w:ascii="Garamond" w:hAnsi="Garamond"/>
          <w:bCs/>
          <w:i/>
        </w:rPr>
        <w:t>National Taipei University of Education</w:t>
      </w:r>
    </w:p>
    <w:p w14:paraId="75F6B5BD" w14:textId="77777777" w:rsidR="003F2472" w:rsidRPr="0041284B" w:rsidRDefault="003F2472" w:rsidP="003F2472">
      <w:pPr>
        <w:snapToGrid w:val="0"/>
        <w:spacing w:line="480" w:lineRule="auto"/>
        <w:jc w:val="center"/>
        <w:rPr>
          <w:rFonts w:ascii="Garamond" w:hAnsi="Garamond"/>
          <w:bCs/>
          <w:vertAlign w:val="superscript"/>
        </w:rPr>
      </w:pPr>
      <w:r w:rsidRPr="0041284B">
        <w:rPr>
          <w:rFonts w:ascii="Garamond" w:hAnsi="Garamond"/>
          <w:bCs/>
          <w:iCs/>
        </w:rPr>
        <w:t>Alan J. Daly</w:t>
      </w:r>
    </w:p>
    <w:p w14:paraId="14A6F931" w14:textId="77777777" w:rsidR="003F2472" w:rsidRPr="0041284B" w:rsidRDefault="003F2472" w:rsidP="003F2472">
      <w:pPr>
        <w:snapToGrid w:val="0"/>
        <w:spacing w:line="480" w:lineRule="auto"/>
        <w:jc w:val="center"/>
        <w:rPr>
          <w:rFonts w:ascii="Garamond" w:hAnsi="Garamond"/>
          <w:bCs/>
          <w:i/>
        </w:rPr>
      </w:pPr>
      <w:r w:rsidRPr="0041284B">
        <w:rPr>
          <w:rFonts w:ascii="Garamond" w:hAnsi="Garamond"/>
          <w:bCs/>
          <w:i/>
        </w:rPr>
        <w:t>University of California, San Diego</w:t>
      </w:r>
    </w:p>
    <w:p w14:paraId="64B28512" w14:textId="77777777" w:rsidR="003F2472" w:rsidRPr="0041284B" w:rsidRDefault="003F2472" w:rsidP="003F2472">
      <w:pPr>
        <w:snapToGrid w:val="0"/>
        <w:spacing w:line="480" w:lineRule="auto"/>
        <w:jc w:val="center"/>
        <w:rPr>
          <w:rFonts w:ascii="Garamond" w:hAnsi="Garamond"/>
          <w:bCs/>
          <w:iCs/>
          <w:vertAlign w:val="superscript"/>
        </w:rPr>
      </w:pPr>
      <w:r w:rsidRPr="0041284B">
        <w:rPr>
          <w:rFonts w:ascii="Garamond" w:hAnsi="Garamond"/>
          <w:bCs/>
          <w:iCs/>
        </w:rPr>
        <w:t>Christopher Downey</w:t>
      </w:r>
      <w:r>
        <w:rPr>
          <w:rFonts w:ascii="Garamond" w:hAnsi="Garamond"/>
          <w:bCs/>
          <w:iCs/>
        </w:rPr>
        <w:t xml:space="preserve">, </w:t>
      </w:r>
      <w:r w:rsidRPr="0041284B">
        <w:rPr>
          <w:rFonts w:ascii="Garamond" w:hAnsi="Garamond"/>
          <w:bCs/>
          <w:iCs/>
        </w:rPr>
        <w:t xml:space="preserve">Christian </w:t>
      </w:r>
      <w:proofErr w:type="spellStart"/>
      <w:r w:rsidRPr="0041284B">
        <w:rPr>
          <w:rFonts w:ascii="Garamond" w:hAnsi="Garamond"/>
          <w:bCs/>
          <w:iCs/>
        </w:rPr>
        <w:t>Bokhove</w:t>
      </w:r>
      <w:proofErr w:type="spellEnd"/>
    </w:p>
    <w:p w14:paraId="2FA7ED30" w14:textId="77777777" w:rsidR="003F2472" w:rsidRPr="0041284B" w:rsidRDefault="003F2472" w:rsidP="003F2472">
      <w:pPr>
        <w:snapToGrid w:val="0"/>
        <w:spacing w:line="480" w:lineRule="auto"/>
        <w:jc w:val="center"/>
        <w:rPr>
          <w:rFonts w:ascii="Garamond" w:hAnsi="Garamond"/>
          <w:bCs/>
          <w:i/>
        </w:rPr>
      </w:pPr>
      <w:r w:rsidRPr="0041284B">
        <w:rPr>
          <w:rFonts w:ascii="Garamond" w:hAnsi="Garamond"/>
          <w:bCs/>
          <w:i/>
        </w:rPr>
        <w:t>University of Southampton</w:t>
      </w:r>
    </w:p>
    <w:p w14:paraId="5843289F" w14:textId="77777777" w:rsidR="003F2472" w:rsidRPr="0041284B" w:rsidRDefault="003F2472" w:rsidP="003F2472">
      <w:pPr>
        <w:snapToGrid w:val="0"/>
        <w:spacing w:line="480" w:lineRule="auto"/>
        <w:jc w:val="center"/>
        <w:rPr>
          <w:rFonts w:ascii="Garamond" w:hAnsi="Garamond"/>
          <w:bCs/>
          <w:vertAlign w:val="superscript"/>
        </w:rPr>
      </w:pPr>
      <w:r w:rsidRPr="0041284B">
        <w:rPr>
          <w:rFonts w:ascii="Garamond" w:hAnsi="Garamond"/>
          <w:bCs/>
          <w:iCs/>
        </w:rPr>
        <w:t xml:space="preserve">Mireia </w:t>
      </w:r>
      <w:proofErr w:type="spellStart"/>
      <w:r w:rsidRPr="0041284B">
        <w:rPr>
          <w:rFonts w:ascii="Garamond" w:hAnsi="Garamond"/>
          <w:bCs/>
          <w:iCs/>
        </w:rPr>
        <w:t>Civís</w:t>
      </w:r>
      <w:proofErr w:type="spellEnd"/>
      <w:r>
        <w:rPr>
          <w:rFonts w:ascii="Garamond" w:hAnsi="Garamond"/>
          <w:bCs/>
          <w:iCs/>
        </w:rPr>
        <w:t xml:space="preserve">, </w:t>
      </w:r>
      <w:r w:rsidRPr="00793261">
        <w:rPr>
          <w:rFonts w:ascii="Garamond" w:hAnsi="Garamond"/>
          <w:bCs/>
          <w:iCs/>
        </w:rPr>
        <w:t xml:space="preserve">Jordi </w:t>
      </w:r>
      <w:proofErr w:type="spellStart"/>
      <w:r w:rsidRPr="00793261">
        <w:rPr>
          <w:rFonts w:ascii="Garamond" w:hAnsi="Garamond"/>
          <w:bCs/>
          <w:iCs/>
        </w:rPr>
        <w:t>Díaz</w:t>
      </w:r>
      <w:proofErr w:type="spellEnd"/>
      <w:r w:rsidRPr="00793261">
        <w:rPr>
          <w:rFonts w:ascii="Garamond" w:hAnsi="Garamond"/>
          <w:bCs/>
          <w:iCs/>
        </w:rPr>
        <w:t xml:space="preserve">-Gibson, and Susana </w:t>
      </w:r>
      <w:proofErr w:type="spellStart"/>
      <w:r w:rsidRPr="00793261">
        <w:rPr>
          <w:rFonts w:ascii="Garamond" w:hAnsi="Garamond"/>
          <w:bCs/>
          <w:iCs/>
        </w:rPr>
        <w:t>López</w:t>
      </w:r>
      <w:proofErr w:type="spellEnd"/>
    </w:p>
    <w:p w14:paraId="237A41F7" w14:textId="77777777" w:rsidR="003F2472" w:rsidRPr="0041284B" w:rsidRDefault="003F2472" w:rsidP="003F2472">
      <w:pPr>
        <w:snapToGrid w:val="0"/>
        <w:spacing w:line="480" w:lineRule="auto"/>
        <w:jc w:val="center"/>
        <w:rPr>
          <w:rFonts w:ascii="Garamond" w:hAnsi="Garamond"/>
          <w:bCs/>
          <w:i/>
        </w:rPr>
      </w:pPr>
      <w:proofErr w:type="spellStart"/>
      <w:r w:rsidRPr="0041284B">
        <w:rPr>
          <w:rFonts w:ascii="Garamond" w:hAnsi="Garamond"/>
          <w:bCs/>
          <w:i/>
        </w:rPr>
        <w:t>Universitat</w:t>
      </w:r>
      <w:proofErr w:type="spellEnd"/>
      <w:r w:rsidRPr="0041284B">
        <w:rPr>
          <w:rFonts w:ascii="Garamond" w:hAnsi="Garamond"/>
          <w:bCs/>
          <w:i/>
        </w:rPr>
        <w:t xml:space="preserve"> Ramon </w:t>
      </w:r>
      <w:proofErr w:type="spellStart"/>
      <w:r w:rsidRPr="0041284B">
        <w:rPr>
          <w:rFonts w:ascii="Garamond" w:hAnsi="Garamond"/>
          <w:bCs/>
          <w:i/>
        </w:rPr>
        <w:t>Llull</w:t>
      </w:r>
      <w:proofErr w:type="spellEnd"/>
    </w:p>
    <w:p w14:paraId="24417148" w14:textId="77777777" w:rsidR="003F2472" w:rsidRDefault="003F2472" w:rsidP="003F2472">
      <w:pPr>
        <w:snapToGrid w:val="0"/>
        <w:spacing w:line="480" w:lineRule="auto"/>
        <w:rPr>
          <w:rFonts w:ascii="Garamond" w:hAnsi="Garamond"/>
        </w:rPr>
      </w:pPr>
    </w:p>
    <w:p w14:paraId="7DA394BE" w14:textId="77777777" w:rsidR="003F2472" w:rsidRDefault="003F2472" w:rsidP="003F2472">
      <w:pPr>
        <w:snapToGrid w:val="0"/>
        <w:spacing w:line="480" w:lineRule="auto"/>
        <w:rPr>
          <w:rFonts w:ascii="Garamond" w:hAnsi="Garamond"/>
        </w:rPr>
      </w:pPr>
    </w:p>
    <w:p w14:paraId="078E4911" w14:textId="77777777" w:rsidR="003F2472" w:rsidRDefault="003F2472" w:rsidP="003F2472">
      <w:pPr>
        <w:snapToGrid w:val="0"/>
        <w:spacing w:line="480" w:lineRule="auto"/>
        <w:rPr>
          <w:rFonts w:ascii="Garamond" w:hAnsi="Garamond"/>
        </w:rPr>
      </w:pPr>
    </w:p>
    <w:p w14:paraId="7895D761" w14:textId="77777777" w:rsidR="003F2472" w:rsidRDefault="003F2472" w:rsidP="003F2472">
      <w:pPr>
        <w:snapToGrid w:val="0"/>
        <w:spacing w:line="480" w:lineRule="auto"/>
        <w:rPr>
          <w:rFonts w:ascii="Garamond" w:hAnsi="Garamond"/>
        </w:rPr>
      </w:pPr>
    </w:p>
    <w:p w14:paraId="2774AC03" w14:textId="77777777" w:rsidR="003F2472" w:rsidRDefault="003F2472" w:rsidP="003F2472">
      <w:pPr>
        <w:snapToGrid w:val="0"/>
        <w:rPr>
          <w:rFonts w:ascii="Garamond" w:hAnsi="Garamond"/>
          <w:szCs w:val="24"/>
        </w:rPr>
      </w:pPr>
      <w:r>
        <w:rPr>
          <w:rFonts w:ascii="Garamond" w:hAnsi="Garamond"/>
          <w:szCs w:val="24"/>
        </w:rPr>
        <w:t>*</w:t>
      </w:r>
      <w:r w:rsidRPr="00AB2E39">
        <w:rPr>
          <w:rFonts w:ascii="Garamond" w:hAnsi="Garamond"/>
          <w:szCs w:val="24"/>
        </w:rPr>
        <w:t>Corresponding author</w:t>
      </w:r>
    </w:p>
    <w:p w14:paraId="41F7A7A9" w14:textId="77777777" w:rsidR="003F2472" w:rsidRDefault="003F2472" w:rsidP="003F2472">
      <w:pPr>
        <w:snapToGrid w:val="0"/>
        <w:rPr>
          <w:rFonts w:ascii="Garamond" w:hAnsi="Garamond"/>
          <w:szCs w:val="24"/>
        </w:rPr>
      </w:pPr>
      <w:r w:rsidRPr="005A3C44">
        <w:rPr>
          <w:rFonts w:ascii="Garamond" w:hAnsi="Garamond"/>
          <w:szCs w:val="24"/>
        </w:rPr>
        <w:t>yhliou@tea.ntue.edu.tw</w:t>
      </w:r>
      <w:r>
        <w:rPr>
          <w:rFonts w:ascii="Garamond" w:hAnsi="Garamond"/>
          <w:szCs w:val="24"/>
        </w:rPr>
        <w:t xml:space="preserve">; </w:t>
      </w:r>
      <w:r w:rsidRPr="00454551">
        <w:rPr>
          <w:rFonts w:ascii="Garamond" w:hAnsi="Garamond"/>
          <w:szCs w:val="24"/>
        </w:rPr>
        <w:t>yihwa.liou@gmail.com</w:t>
      </w:r>
      <w:r>
        <w:rPr>
          <w:rFonts w:ascii="Garamond" w:hAnsi="Garamond"/>
          <w:szCs w:val="24"/>
        </w:rPr>
        <w:t xml:space="preserve"> </w:t>
      </w:r>
    </w:p>
    <w:p w14:paraId="54E7DD8D" w14:textId="77777777" w:rsidR="003F2472" w:rsidRDefault="003F2472" w:rsidP="003F2472">
      <w:pPr>
        <w:snapToGrid w:val="0"/>
        <w:rPr>
          <w:rFonts w:ascii="Garamond" w:hAnsi="Garamond"/>
          <w:szCs w:val="24"/>
        </w:rPr>
      </w:pPr>
      <w:r w:rsidRPr="00454551">
        <w:rPr>
          <w:rFonts w:ascii="Garamond" w:hAnsi="Garamond"/>
          <w:szCs w:val="24"/>
        </w:rPr>
        <w:t>+886-935-485-805</w:t>
      </w:r>
    </w:p>
    <w:p w14:paraId="5E2B5E49" w14:textId="77777777" w:rsidR="003F2472" w:rsidRDefault="003F2472" w:rsidP="003F2472">
      <w:pPr>
        <w:snapToGrid w:val="0"/>
        <w:rPr>
          <w:rFonts w:ascii="Garamond" w:hAnsi="Garamond"/>
          <w:szCs w:val="24"/>
        </w:rPr>
      </w:pPr>
      <w:r w:rsidRPr="00454551">
        <w:rPr>
          <w:rFonts w:ascii="Garamond" w:hAnsi="Garamond"/>
          <w:szCs w:val="24"/>
        </w:rPr>
        <w:t xml:space="preserve">No.134, Sec. 2, </w:t>
      </w:r>
      <w:proofErr w:type="spellStart"/>
      <w:r w:rsidRPr="00454551">
        <w:rPr>
          <w:rFonts w:ascii="Garamond" w:hAnsi="Garamond"/>
          <w:szCs w:val="24"/>
        </w:rPr>
        <w:t>Heping</w:t>
      </w:r>
      <w:proofErr w:type="spellEnd"/>
      <w:r w:rsidRPr="00454551">
        <w:rPr>
          <w:rFonts w:ascii="Garamond" w:hAnsi="Garamond"/>
          <w:szCs w:val="24"/>
        </w:rPr>
        <w:t xml:space="preserve"> E. Rd., Da-</w:t>
      </w:r>
      <w:proofErr w:type="gramStart"/>
      <w:r w:rsidRPr="00454551">
        <w:rPr>
          <w:rFonts w:ascii="Garamond" w:hAnsi="Garamond"/>
          <w:szCs w:val="24"/>
        </w:rPr>
        <w:t>an</w:t>
      </w:r>
      <w:proofErr w:type="gramEnd"/>
      <w:r w:rsidRPr="00454551">
        <w:rPr>
          <w:rFonts w:ascii="Garamond" w:hAnsi="Garamond"/>
          <w:szCs w:val="24"/>
        </w:rPr>
        <w:t xml:space="preserve"> District, Taipei City 10671, Taiwan</w:t>
      </w:r>
    </w:p>
    <w:p w14:paraId="40CCFE38" w14:textId="77777777" w:rsidR="003F2472" w:rsidRDefault="003F2472" w:rsidP="003F2472">
      <w:pPr>
        <w:snapToGrid w:val="0"/>
      </w:pPr>
    </w:p>
    <w:p w14:paraId="702F85F0" w14:textId="77777777" w:rsidR="003F2472" w:rsidRDefault="003F2472">
      <w:pPr>
        <w:widowControl/>
        <w:spacing w:after="160" w:line="259" w:lineRule="auto"/>
        <w:rPr>
          <w:rFonts w:ascii="Garamond" w:hAnsi="Garamond"/>
          <w:b/>
        </w:rPr>
      </w:pPr>
      <w:r>
        <w:rPr>
          <w:rFonts w:ascii="Garamond" w:hAnsi="Garamond"/>
          <w:b/>
        </w:rPr>
        <w:br w:type="page"/>
      </w:r>
    </w:p>
    <w:p w14:paraId="7F7E7B9C" w14:textId="5A545436" w:rsidR="00BB2A9E" w:rsidRPr="00990D09" w:rsidRDefault="00BB2A9E" w:rsidP="00BB2A9E">
      <w:pPr>
        <w:snapToGrid w:val="0"/>
        <w:spacing w:line="480" w:lineRule="auto"/>
        <w:jc w:val="center"/>
        <w:rPr>
          <w:rFonts w:ascii="Garamond" w:hAnsi="Garamond"/>
        </w:rPr>
      </w:pPr>
      <w:r w:rsidRPr="000249DB">
        <w:rPr>
          <w:rFonts w:ascii="Garamond" w:hAnsi="Garamond"/>
          <w:b/>
        </w:rPr>
        <w:lastRenderedPageBreak/>
        <w:t>Efficacy, Explore, and Exchange: Studies on Social Side of Teacher Education from England, Spain, and US</w:t>
      </w:r>
    </w:p>
    <w:p w14:paraId="325904C9" w14:textId="77777777" w:rsidR="00BB2A9E" w:rsidRDefault="00BB2A9E" w:rsidP="00BB2A9E">
      <w:pPr>
        <w:snapToGrid w:val="0"/>
        <w:spacing w:line="480" w:lineRule="auto"/>
        <w:rPr>
          <w:rFonts w:ascii="Garamond" w:hAnsi="Garamond"/>
          <w:bCs/>
        </w:rPr>
      </w:pPr>
    </w:p>
    <w:p w14:paraId="1C196944" w14:textId="77777777" w:rsidR="00BB2A9E" w:rsidRPr="00EC7A70" w:rsidRDefault="00BB2A9E" w:rsidP="00BB2A9E">
      <w:pPr>
        <w:snapToGrid w:val="0"/>
        <w:spacing w:line="480" w:lineRule="auto"/>
        <w:jc w:val="center"/>
        <w:rPr>
          <w:rFonts w:ascii="Garamond" w:hAnsi="Garamond"/>
          <w:i/>
        </w:rPr>
      </w:pPr>
      <w:r w:rsidRPr="00EC7A70">
        <w:rPr>
          <w:rFonts w:ascii="Garamond" w:hAnsi="Garamond"/>
          <w:i/>
        </w:rPr>
        <w:t>Abstract</w:t>
      </w:r>
    </w:p>
    <w:p w14:paraId="15E80BCE" w14:textId="77777777" w:rsidR="00BB2A9E" w:rsidRDefault="00BB2A9E" w:rsidP="00BB2A9E">
      <w:pPr>
        <w:kinsoku w:val="0"/>
        <w:snapToGrid w:val="0"/>
        <w:spacing w:line="480" w:lineRule="auto"/>
        <w:rPr>
          <w:rFonts w:ascii="Garamond" w:hAnsi="Garamond"/>
        </w:rPr>
      </w:pPr>
      <w:r>
        <w:rPr>
          <w:rFonts w:ascii="Garamond" w:hAnsi="Garamond"/>
        </w:rPr>
        <w:t>This study attempts to respond to a recent call for a more social and collaborative approach to teacher education and professional development by examining the social side of pre-service teachers during preparations from England, Spain and US.  We explore core</w:t>
      </w:r>
      <w:r w:rsidRPr="00EC7A70">
        <w:rPr>
          <w:rFonts w:ascii="Garamond" w:hAnsi="Garamond"/>
        </w:rPr>
        <w:t xml:space="preserve"> factors </w:t>
      </w:r>
      <w:r>
        <w:rPr>
          <w:rFonts w:ascii="Garamond" w:hAnsi="Garamond"/>
        </w:rPr>
        <w:t xml:space="preserve">that </w:t>
      </w:r>
      <w:r w:rsidRPr="00EC7A70">
        <w:rPr>
          <w:rFonts w:ascii="Garamond" w:hAnsi="Garamond"/>
        </w:rPr>
        <w:t>are associated with dyads of pre-service teachers in exchanging instructional materials at the end of a teacher education program</w:t>
      </w:r>
      <w:r>
        <w:rPr>
          <w:rFonts w:ascii="Garamond" w:hAnsi="Garamond"/>
        </w:rPr>
        <w:t xml:space="preserve"> from each setting</w:t>
      </w:r>
      <w:r w:rsidRPr="00EC7A70">
        <w:rPr>
          <w:rFonts w:ascii="Garamond" w:hAnsi="Garamond"/>
        </w:rPr>
        <w:t xml:space="preserve">.  </w:t>
      </w:r>
      <w:r>
        <w:rPr>
          <w:rFonts w:ascii="Garamond" w:hAnsi="Garamond"/>
        </w:rPr>
        <w:t>Using social network selection models, t</w:t>
      </w:r>
      <w:r w:rsidRPr="00EC7A70">
        <w:rPr>
          <w:rFonts w:ascii="Garamond" w:hAnsi="Garamond"/>
        </w:rPr>
        <w:t xml:space="preserve">his study </w:t>
      </w:r>
      <w:r>
        <w:rPr>
          <w:rFonts w:ascii="Garamond" w:hAnsi="Garamond"/>
        </w:rPr>
        <w:t>investigates</w:t>
      </w:r>
      <w:r w:rsidRPr="00EC7A70">
        <w:rPr>
          <w:rFonts w:ascii="Garamond" w:hAnsi="Garamond"/>
        </w:rPr>
        <w:t xml:space="preserve"> </w:t>
      </w:r>
      <w:r>
        <w:rPr>
          <w:rFonts w:ascii="Garamond" w:hAnsi="Garamond"/>
        </w:rPr>
        <w:t>the extent to which</w:t>
      </w:r>
      <w:r w:rsidRPr="00EC7A70">
        <w:rPr>
          <w:rFonts w:ascii="Garamond" w:hAnsi="Garamond"/>
        </w:rPr>
        <w:t xml:space="preserve"> pre-service teachers’ </w:t>
      </w:r>
      <w:r>
        <w:rPr>
          <w:rFonts w:ascii="Garamond" w:hAnsi="Garamond"/>
        </w:rPr>
        <w:t>reported</w:t>
      </w:r>
      <w:r w:rsidRPr="00EC7A70">
        <w:rPr>
          <w:rFonts w:ascii="Garamond" w:hAnsi="Garamond"/>
        </w:rPr>
        <w:t xml:space="preserve"> self-efficacy, peer trust</w:t>
      </w:r>
      <w:r>
        <w:rPr>
          <w:rFonts w:ascii="Garamond" w:hAnsi="Garamond"/>
        </w:rPr>
        <w:t>, innovativeness</w:t>
      </w:r>
      <w:r w:rsidRPr="00EC7A70">
        <w:rPr>
          <w:rFonts w:ascii="Garamond" w:hAnsi="Garamond"/>
        </w:rPr>
        <w:t xml:space="preserve">, and demographic characteristics </w:t>
      </w:r>
      <w:r>
        <w:rPr>
          <w:rFonts w:ascii="Garamond" w:hAnsi="Garamond"/>
        </w:rPr>
        <w:t xml:space="preserve">is associated with the sending, receiving, and reciprocating instructional materials. </w:t>
      </w:r>
      <w:r w:rsidRPr="00EC7A70">
        <w:rPr>
          <w:rFonts w:ascii="Garamond" w:hAnsi="Garamond"/>
        </w:rPr>
        <w:t xml:space="preserve"> </w:t>
      </w:r>
      <w:r>
        <w:rPr>
          <w:rFonts w:ascii="Garamond" w:hAnsi="Garamond"/>
        </w:rPr>
        <w:t>F</w:t>
      </w:r>
      <w:r w:rsidRPr="00EC7A70">
        <w:rPr>
          <w:rFonts w:ascii="Garamond" w:hAnsi="Garamond"/>
        </w:rPr>
        <w:t xml:space="preserve">indings suggest </w:t>
      </w:r>
      <w:r>
        <w:rPr>
          <w:rFonts w:ascii="Garamond" w:hAnsi="Garamond"/>
        </w:rPr>
        <w:t xml:space="preserve">the important role of self-efficacy and innovativeness in explaining pre-service teachers’ seeking behaviors across the study contexts.  </w:t>
      </w:r>
    </w:p>
    <w:p w14:paraId="021996DC" w14:textId="77777777" w:rsidR="00BB2A9E" w:rsidRDefault="00BB2A9E" w:rsidP="00BB2A9E">
      <w:pPr>
        <w:kinsoku w:val="0"/>
        <w:snapToGrid w:val="0"/>
        <w:spacing w:line="480" w:lineRule="auto"/>
        <w:rPr>
          <w:rFonts w:ascii="Garamond" w:hAnsi="Garamond"/>
        </w:rPr>
      </w:pPr>
    </w:p>
    <w:p w14:paraId="2ABD322A" w14:textId="4AE8203E" w:rsidR="00BB2A9E" w:rsidRPr="00EC7A70" w:rsidRDefault="00BB2A9E" w:rsidP="00BB2A9E">
      <w:pPr>
        <w:widowControl/>
        <w:snapToGrid w:val="0"/>
        <w:spacing w:line="480" w:lineRule="auto"/>
        <w:rPr>
          <w:rFonts w:ascii="Garamond" w:hAnsi="Garamond"/>
        </w:rPr>
      </w:pPr>
      <w:r w:rsidRPr="00EC7A70">
        <w:rPr>
          <w:rFonts w:ascii="Garamond" w:hAnsi="Garamond"/>
          <w:b/>
        </w:rPr>
        <w:t>Key Words</w:t>
      </w:r>
      <w:r w:rsidRPr="00EC7A70">
        <w:rPr>
          <w:rFonts w:ascii="Garamond" w:hAnsi="Garamond"/>
        </w:rPr>
        <w:t xml:space="preserve">: Pre-service teacher education, social network, peer trust, efficacy, </w:t>
      </w:r>
      <w:r w:rsidR="00D426FE">
        <w:rPr>
          <w:rFonts w:ascii="Garamond" w:hAnsi="Garamond"/>
        </w:rPr>
        <w:t>cross-country</w:t>
      </w:r>
    </w:p>
    <w:p w14:paraId="373A5099" w14:textId="77777777" w:rsidR="00BB2A9E" w:rsidRDefault="00BB2A9E" w:rsidP="00BB2A9E">
      <w:pPr>
        <w:snapToGrid w:val="0"/>
        <w:spacing w:line="480" w:lineRule="auto"/>
        <w:rPr>
          <w:rFonts w:ascii="Garamond" w:hAnsi="Garamond"/>
          <w:bCs/>
        </w:rPr>
      </w:pPr>
    </w:p>
    <w:p w14:paraId="5C3A20DF" w14:textId="77777777" w:rsidR="00BB2A9E" w:rsidRDefault="00BB2A9E">
      <w:pPr>
        <w:widowControl/>
        <w:spacing w:after="160" w:line="259" w:lineRule="auto"/>
        <w:rPr>
          <w:rFonts w:ascii="Garamond" w:hAnsi="Garamond"/>
          <w:b/>
          <w:bCs/>
        </w:rPr>
      </w:pPr>
      <w:r>
        <w:rPr>
          <w:rFonts w:ascii="Garamond" w:hAnsi="Garamond"/>
          <w:b/>
          <w:bCs/>
        </w:rPr>
        <w:br w:type="page"/>
      </w:r>
    </w:p>
    <w:p w14:paraId="5ADD8730" w14:textId="2B0E3CAA" w:rsidR="003A0AAD" w:rsidRPr="00EC7A70" w:rsidRDefault="003A0AAD" w:rsidP="003A0AAD">
      <w:pPr>
        <w:widowControl/>
        <w:snapToGrid w:val="0"/>
        <w:spacing w:line="480" w:lineRule="auto"/>
        <w:jc w:val="center"/>
        <w:rPr>
          <w:rFonts w:ascii="Garamond" w:hAnsi="Garamond"/>
          <w:b/>
          <w:bCs/>
        </w:rPr>
      </w:pPr>
      <w:r w:rsidRPr="00EC7A70">
        <w:rPr>
          <w:rFonts w:ascii="Garamond" w:hAnsi="Garamond"/>
          <w:b/>
          <w:bCs/>
        </w:rPr>
        <w:lastRenderedPageBreak/>
        <w:t>Introduction</w:t>
      </w:r>
    </w:p>
    <w:p w14:paraId="38366AEB" w14:textId="141B5865" w:rsidR="007D4806" w:rsidRDefault="00BD0663" w:rsidP="0081187B">
      <w:pPr>
        <w:widowControl/>
        <w:snapToGrid w:val="0"/>
        <w:spacing w:line="480" w:lineRule="auto"/>
        <w:ind w:firstLine="720"/>
        <w:rPr>
          <w:rFonts w:ascii="Garamond" w:hAnsi="Garamond"/>
        </w:rPr>
      </w:pPr>
      <w:r>
        <w:rPr>
          <w:rFonts w:ascii="Garamond" w:hAnsi="Garamond"/>
        </w:rPr>
        <w:t>Teacher preparation</w:t>
      </w:r>
      <w:r w:rsidR="00791145" w:rsidRPr="00EC7A70">
        <w:rPr>
          <w:rFonts w:ascii="Garamond" w:hAnsi="Garamond"/>
        </w:rPr>
        <w:t xml:space="preserve"> is critical work that has the potential to significantly </w:t>
      </w:r>
      <w:r>
        <w:rPr>
          <w:rFonts w:ascii="Garamond" w:hAnsi="Garamond"/>
        </w:rPr>
        <w:t>impact</w:t>
      </w:r>
      <w:r w:rsidR="00791145" w:rsidRPr="00EC7A70">
        <w:rPr>
          <w:rFonts w:ascii="Garamond" w:hAnsi="Garamond"/>
        </w:rPr>
        <w:t xml:space="preserve"> </w:t>
      </w:r>
      <w:r w:rsidR="008B4EEA" w:rsidRPr="00EC7A70">
        <w:rPr>
          <w:rFonts w:ascii="Garamond" w:hAnsi="Garamond"/>
        </w:rPr>
        <w:t>the quality of</w:t>
      </w:r>
      <w:r w:rsidR="00306A21" w:rsidRPr="00EC7A70">
        <w:rPr>
          <w:rFonts w:ascii="Garamond" w:hAnsi="Garamond"/>
        </w:rPr>
        <w:t xml:space="preserve"> education</w:t>
      </w:r>
      <w:r w:rsidR="00791145" w:rsidRPr="00EC7A70">
        <w:rPr>
          <w:rFonts w:ascii="Garamond" w:hAnsi="Garamond"/>
        </w:rPr>
        <w:t xml:space="preserve">.  </w:t>
      </w:r>
      <w:r w:rsidR="00EF3AC6" w:rsidRPr="00EC7A70">
        <w:rPr>
          <w:rFonts w:ascii="Garamond" w:hAnsi="Garamond"/>
        </w:rPr>
        <w:t>This important undertaking ha</w:t>
      </w:r>
      <w:r w:rsidR="003E538C" w:rsidRPr="00EC7A70">
        <w:rPr>
          <w:rFonts w:ascii="Garamond" w:hAnsi="Garamond"/>
        </w:rPr>
        <w:t xml:space="preserve">s become a central conversation both locally and globally. </w:t>
      </w:r>
      <w:r w:rsidR="00EF3AC6" w:rsidRPr="00EC7A70">
        <w:rPr>
          <w:rFonts w:ascii="Garamond" w:hAnsi="Garamond"/>
        </w:rPr>
        <w:t xml:space="preserve"> </w:t>
      </w:r>
      <w:r w:rsidR="003E538C" w:rsidRPr="00EC7A70">
        <w:rPr>
          <w:rFonts w:ascii="Garamond" w:hAnsi="Garamond"/>
        </w:rPr>
        <w:t xml:space="preserve">While </w:t>
      </w:r>
      <w:r w:rsidR="00C04D66" w:rsidRPr="00EC7A70">
        <w:rPr>
          <w:rFonts w:ascii="Garamond" w:hAnsi="Garamond"/>
        </w:rPr>
        <w:t>research</w:t>
      </w:r>
      <w:r w:rsidR="00306A21" w:rsidRPr="00EC7A70">
        <w:rPr>
          <w:rFonts w:ascii="Garamond" w:hAnsi="Garamond"/>
        </w:rPr>
        <w:t xml:space="preserve"> scholars commonly</w:t>
      </w:r>
      <w:r w:rsidR="003E538C" w:rsidRPr="00EC7A70">
        <w:rPr>
          <w:rFonts w:ascii="Garamond" w:hAnsi="Garamond"/>
        </w:rPr>
        <w:t xml:space="preserve"> believe that teaching </w:t>
      </w:r>
      <w:r w:rsidR="00306A21" w:rsidRPr="00EC7A70">
        <w:rPr>
          <w:rFonts w:ascii="Garamond" w:hAnsi="Garamond"/>
        </w:rPr>
        <w:t>is</w:t>
      </w:r>
      <w:r w:rsidR="003E538C" w:rsidRPr="00EC7A70">
        <w:rPr>
          <w:rFonts w:ascii="Garamond" w:hAnsi="Garamond"/>
        </w:rPr>
        <w:t xml:space="preserve"> </w:t>
      </w:r>
      <w:r w:rsidR="00306A21" w:rsidRPr="00EC7A70">
        <w:rPr>
          <w:rFonts w:ascii="Garamond" w:hAnsi="Garamond"/>
        </w:rPr>
        <w:t xml:space="preserve">a </w:t>
      </w:r>
      <w:r w:rsidR="003E538C" w:rsidRPr="00EC7A70">
        <w:rPr>
          <w:rFonts w:ascii="Garamond" w:hAnsi="Garamond"/>
        </w:rPr>
        <w:t>result of</w:t>
      </w:r>
      <w:r w:rsidR="00306A21" w:rsidRPr="00EC7A70">
        <w:rPr>
          <w:rFonts w:ascii="Garamond" w:hAnsi="Garamond"/>
        </w:rPr>
        <w:t xml:space="preserve"> locally </w:t>
      </w:r>
      <w:r w:rsidR="003E538C" w:rsidRPr="00EC7A70">
        <w:rPr>
          <w:rFonts w:ascii="Garamond" w:hAnsi="Garamond"/>
        </w:rPr>
        <w:t xml:space="preserve">situated practice, however, teaching today is inevitably </w:t>
      </w:r>
      <w:r w:rsidR="00876321">
        <w:rPr>
          <w:rFonts w:ascii="Garamond" w:hAnsi="Garamond"/>
        </w:rPr>
        <w:t>embedded</w:t>
      </w:r>
      <w:r w:rsidR="00876321" w:rsidRPr="00EC7A70">
        <w:rPr>
          <w:rFonts w:ascii="Garamond" w:hAnsi="Garamond"/>
        </w:rPr>
        <w:t xml:space="preserve"> </w:t>
      </w:r>
      <w:r w:rsidR="003E538C" w:rsidRPr="00EC7A70">
        <w:rPr>
          <w:rFonts w:ascii="Garamond" w:hAnsi="Garamond"/>
        </w:rPr>
        <w:t xml:space="preserve">within a larger global context of shared </w:t>
      </w:r>
      <w:r w:rsidR="00306A21" w:rsidRPr="00EC7A70">
        <w:rPr>
          <w:rFonts w:ascii="Garamond" w:hAnsi="Garamond"/>
        </w:rPr>
        <w:t>conversation</w:t>
      </w:r>
      <w:r w:rsidR="003E538C" w:rsidRPr="00EC7A70">
        <w:rPr>
          <w:rFonts w:ascii="Garamond" w:hAnsi="Garamond"/>
        </w:rPr>
        <w:t>, practice, and even metrics (</w:t>
      </w:r>
      <w:r w:rsidR="003D7AA1" w:rsidRPr="003D7AA1">
        <w:rPr>
          <w:rFonts w:ascii="Garamond" w:hAnsi="Garamond"/>
        </w:rPr>
        <w:t>Paine</w:t>
      </w:r>
      <w:r w:rsidR="003D7AA1">
        <w:rPr>
          <w:rFonts w:ascii="Garamond" w:hAnsi="Garamond"/>
        </w:rPr>
        <w:t xml:space="preserve"> </w:t>
      </w:r>
      <w:r w:rsidR="003D7AA1" w:rsidRPr="003D7AA1">
        <w:rPr>
          <w:rFonts w:ascii="Garamond" w:hAnsi="Garamond"/>
        </w:rPr>
        <w:t xml:space="preserve">&amp; </w:t>
      </w:r>
      <w:proofErr w:type="spellStart"/>
      <w:r w:rsidR="003D7AA1" w:rsidRPr="003D7AA1">
        <w:rPr>
          <w:rFonts w:ascii="Garamond" w:hAnsi="Garamond"/>
        </w:rPr>
        <w:t>Zeichner</w:t>
      </w:r>
      <w:proofErr w:type="spellEnd"/>
      <w:r w:rsidR="003D7AA1" w:rsidRPr="003D7AA1">
        <w:rPr>
          <w:rFonts w:ascii="Garamond" w:hAnsi="Garamond"/>
        </w:rPr>
        <w:t>,</w:t>
      </w:r>
      <w:r w:rsidR="003D7AA1">
        <w:rPr>
          <w:rFonts w:ascii="Garamond" w:hAnsi="Garamond"/>
        </w:rPr>
        <w:t xml:space="preserve"> </w:t>
      </w:r>
      <w:r w:rsidR="003D7AA1" w:rsidRPr="003D7AA1">
        <w:rPr>
          <w:rFonts w:ascii="Garamond" w:hAnsi="Garamond"/>
        </w:rPr>
        <w:t>2012</w:t>
      </w:r>
      <w:r w:rsidR="003E538C" w:rsidRPr="00EC7A70">
        <w:rPr>
          <w:rFonts w:ascii="Garamond" w:hAnsi="Garamond"/>
        </w:rPr>
        <w:t xml:space="preserve">).  </w:t>
      </w:r>
      <w:r w:rsidR="00EF3AC6" w:rsidRPr="00EC7A70">
        <w:rPr>
          <w:rFonts w:ascii="Garamond" w:hAnsi="Garamond"/>
        </w:rPr>
        <w:t>In the face of globalization</w:t>
      </w:r>
      <w:r w:rsidR="00C04D66" w:rsidRPr="00EC7A70">
        <w:rPr>
          <w:rFonts w:ascii="Garamond" w:hAnsi="Garamond"/>
        </w:rPr>
        <w:t xml:space="preserve"> with rapidly shifts in </w:t>
      </w:r>
      <w:r w:rsidR="00804F14" w:rsidRPr="00EC7A70">
        <w:rPr>
          <w:rFonts w:ascii="Garamond" w:hAnsi="Garamond"/>
        </w:rPr>
        <w:t xml:space="preserve">demography, </w:t>
      </w:r>
      <w:r w:rsidR="00C04D66" w:rsidRPr="00EC7A70">
        <w:rPr>
          <w:rFonts w:ascii="Garamond" w:hAnsi="Garamond"/>
        </w:rPr>
        <w:t xml:space="preserve">politics, economy, </w:t>
      </w:r>
      <w:r w:rsidR="00804F14" w:rsidRPr="00EC7A70">
        <w:rPr>
          <w:rFonts w:ascii="Garamond" w:hAnsi="Garamond"/>
        </w:rPr>
        <w:t xml:space="preserve">and </w:t>
      </w:r>
      <w:r w:rsidR="00C04D66" w:rsidRPr="00EC7A70">
        <w:rPr>
          <w:rFonts w:ascii="Garamond" w:hAnsi="Garamond"/>
        </w:rPr>
        <w:t>technolog</w:t>
      </w:r>
      <w:r w:rsidR="00804F14" w:rsidRPr="00EC7A70">
        <w:rPr>
          <w:rFonts w:ascii="Garamond" w:hAnsi="Garamond"/>
        </w:rPr>
        <w:t>y</w:t>
      </w:r>
      <w:r w:rsidR="00EF3AC6" w:rsidRPr="00EC7A70">
        <w:rPr>
          <w:rFonts w:ascii="Garamond" w:hAnsi="Garamond"/>
        </w:rPr>
        <w:t xml:space="preserve">, </w:t>
      </w:r>
      <w:r w:rsidR="00C04D66" w:rsidRPr="00EC7A70">
        <w:rPr>
          <w:rFonts w:ascii="Garamond" w:hAnsi="Garamond"/>
        </w:rPr>
        <w:t>international agencies (</w:t>
      </w:r>
      <w:r w:rsidR="00BF27D6" w:rsidRPr="00EC7A70">
        <w:rPr>
          <w:rFonts w:ascii="Garamond" w:hAnsi="Garamond"/>
        </w:rPr>
        <w:t xml:space="preserve">e.g., </w:t>
      </w:r>
      <w:r w:rsidR="00C04D66" w:rsidRPr="00EC7A70">
        <w:rPr>
          <w:rFonts w:ascii="Garamond" w:hAnsi="Garamond"/>
        </w:rPr>
        <w:t>World Bank, OECD) play a significant role in framing the work of teachers and teaching and conveying messages about the nature and knowledge of teaching, as well as the preparation and recruitment of teachers (</w:t>
      </w:r>
      <w:r w:rsidR="003D7AA1" w:rsidRPr="003D7AA1">
        <w:rPr>
          <w:rFonts w:ascii="Garamond" w:hAnsi="Garamond"/>
        </w:rPr>
        <w:t>Robertson</w:t>
      </w:r>
      <w:r w:rsidR="003D7AA1">
        <w:rPr>
          <w:rFonts w:ascii="Garamond" w:hAnsi="Garamond"/>
        </w:rPr>
        <w:t xml:space="preserve">, </w:t>
      </w:r>
      <w:r w:rsidR="003D7AA1" w:rsidRPr="003D7AA1">
        <w:rPr>
          <w:rFonts w:ascii="Garamond" w:hAnsi="Garamond"/>
        </w:rPr>
        <w:t>2012</w:t>
      </w:r>
      <w:r w:rsidR="00C04D66" w:rsidRPr="00EC7A70">
        <w:rPr>
          <w:rFonts w:ascii="Garamond" w:hAnsi="Garamond"/>
        </w:rPr>
        <w:t xml:space="preserve">).  </w:t>
      </w:r>
      <w:r w:rsidR="00791145" w:rsidRPr="00EC7A70">
        <w:rPr>
          <w:rFonts w:ascii="Garamond" w:hAnsi="Garamond"/>
        </w:rPr>
        <w:t xml:space="preserve">While much of the efforts invested in teacher preparation programs focuses on the </w:t>
      </w:r>
      <w:r w:rsidR="002137D4">
        <w:rPr>
          <w:rFonts w:ascii="Garamond" w:hAnsi="Garamond"/>
        </w:rPr>
        <w:t xml:space="preserve">human capital </w:t>
      </w:r>
      <w:r w:rsidR="00791145" w:rsidRPr="00EC7A70">
        <w:rPr>
          <w:rFonts w:ascii="Garamond" w:hAnsi="Garamond"/>
        </w:rPr>
        <w:t xml:space="preserve">development of teachers such as </w:t>
      </w:r>
      <w:r w:rsidR="002137D4">
        <w:rPr>
          <w:rFonts w:ascii="Garamond" w:hAnsi="Garamond"/>
        </w:rPr>
        <w:t xml:space="preserve">instrumental </w:t>
      </w:r>
      <w:r w:rsidR="00BF27D6" w:rsidRPr="00EC7A70">
        <w:rPr>
          <w:rFonts w:ascii="Garamond" w:hAnsi="Garamond"/>
        </w:rPr>
        <w:t xml:space="preserve">pedagogical (content) </w:t>
      </w:r>
      <w:r w:rsidR="00791145" w:rsidRPr="00EC7A70">
        <w:rPr>
          <w:rFonts w:ascii="Garamond" w:hAnsi="Garamond"/>
        </w:rPr>
        <w:t>knowledge and skills</w:t>
      </w:r>
      <w:r w:rsidR="00DE2B04" w:rsidRPr="00EC7A70">
        <w:rPr>
          <w:rFonts w:ascii="Garamond" w:hAnsi="Garamond"/>
        </w:rPr>
        <w:t xml:space="preserve"> (</w:t>
      </w:r>
      <w:proofErr w:type="spellStart"/>
      <w:r w:rsidR="00DE2B04" w:rsidRPr="00EC7A70">
        <w:rPr>
          <w:rFonts w:ascii="Garamond" w:hAnsi="Garamond"/>
        </w:rPr>
        <w:t>Koirala</w:t>
      </w:r>
      <w:proofErr w:type="spellEnd"/>
      <w:r w:rsidR="00DE2B04" w:rsidRPr="00EC7A70">
        <w:rPr>
          <w:rFonts w:ascii="Garamond" w:hAnsi="Garamond"/>
        </w:rPr>
        <w:t>, Davis, &amp; Johnson, 2008; Shulman, 1986)</w:t>
      </w:r>
      <w:r w:rsidR="00791145" w:rsidRPr="00EC7A70">
        <w:rPr>
          <w:rFonts w:ascii="Garamond" w:hAnsi="Garamond"/>
        </w:rPr>
        <w:t>,</w:t>
      </w:r>
      <w:r w:rsidR="007173B2" w:rsidRPr="00EC7A70">
        <w:rPr>
          <w:rFonts w:ascii="Garamond" w:hAnsi="Garamond"/>
        </w:rPr>
        <w:t xml:space="preserve"> </w:t>
      </w:r>
      <w:r w:rsidR="00B77C57" w:rsidRPr="00EC7A70">
        <w:rPr>
          <w:rFonts w:ascii="Garamond" w:hAnsi="Garamond"/>
        </w:rPr>
        <w:t>not much</w:t>
      </w:r>
      <w:r w:rsidR="00DE2B04" w:rsidRPr="00EC7A70">
        <w:rPr>
          <w:rFonts w:ascii="Garamond" w:hAnsi="Garamond"/>
        </w:rPr>
        <w:t xml:space="preserve"> </w:t>
      </w:r>
      <w:r w:rsidR="00BF27D6" w:rsidRPr="00EC7A70">
        <w:rPr>
          <w:rFonts w:ascii="Garamond" w:hAnsi="Garamond"/>
        </w:rPr>
        <w:t xml:space="preserve">efforts in </w:t>
      </w:r>
      <w:r w:rsidR="00DE2B04" w:rsidRPr="00EC7A70">
        <w:rPr>
          <w:rFonts w:ascii="Garamond" w:hAnsi="Garamond"/>
        </w:rPr>
        <w:t xml:space="preserve">research </w:t>
      </w:r>
      <w:r w:rsidR="00BF27D6" w:rsidRPr="00EC7A70">
        <w:rPr>
          <w:rFonts w:ascii="Garamond" w:hAnsi="Garamond"/>
        </w:rPr>
        <w:t>and preparation programs address</w:t>
      </w:r>
      <w:r w:rsidR="00DE2B04" w:rsidRPr="00EC7A70">
        <w:rPr>
          <w:rFonts w:ascii="Garamond" w:hAnsi="Garamond"/>
        </w:rPr>
        <w:t xml:space="preserve"> the social aspect of teacher development</w:t>
      </w:r>
      <w:r w:rsidR="000F0464" w:rsidRPr="00EC7A70">
        <w:rPr>
          <w:rFonts w:ascii="Garamond" w:hAnsi="Garamond"/>
        </w:rPr>
        <w:t xml:space="preserve"> with only a few recent studies underlining its importance (</w:t>
      </w:r>
      <w:r w:rsidR="00B70C52">
        <w:rPr>
          <w:rFonts w:ascii="Garamond" w:hAnsi="Garamond"/>
        </w:rPr>
        <w:t xml:space="preserve">e.g., </w:t>
      </w:r>
      <w:proofErr w:type="spellStart"/>
      <w:r w:rsidR="00466F3A" w:rsidRPr="00EC7A70">
        <w:rPr>
          <w:rFonts w:ascii="Garamond" w:hAnsi="Garamond"/>
        </w:rPr>
        <w:t>Oberle</w:t>
      </w:r>
      <w:proofErr w:type="spellEnd"/>
      <w:r w:rsidR="00466F3A" w:rsidRPr="00EC7A70">
        <w:rPr>
          <w:rFonts w:ascii="Garamond" w:hAnsi="Garamond"/>
        </w:rPr>
        <w:t xml:space="preserve"> &amp; </w:t>
      </w:r>
      <w:proofErr w:type="spellStart"/>
      <w:r w:rsidR="00466F3A" w:rsidRPr="00EC7A70">
        <w:rPr>
          <w:rFonts w:ascii="Garamond" w:hAnsi="Garamond"/>
        </w:rPr>
        <w:t>Schonert-Reichl</w:t>
      </w:r>
      <w:proofErr w:type="spellEnd"/>
      <w:r w:rsidR="00466F3A" w:rsidRPr="00EC7A70">
        <w:rPr>
          <w:rFonts w:ascii="Garamond" w:hAnsi="Garamond"/>
        </w:rPr>
        <w:t xml:space="preserve">, 2017; </w:t>
      </w:r>
      <w:proofErr w:type="spellStart"/>
      <w:r w:rsidR="00466F3A" w:rsidRPr="00EC7A70">
        <w:rPr>
          <w:rFonts w:ascii="Garamond" w:hAnsi="Garamond"/>
        </w:rPr>
        <w:t>Schonert-Reichl</w:t>
      </w:r>
      <w:proofErr w:type="spellEnd"/>
      <w:r w:rsidR="00466F3A" w:rsidRPr="00EC7A70">
        <w:rPr>
          <w:rFonts w:ascii="Garamond" w:hAnsi="Garamond"/>
        </w:rPr>
        <w:t xml:space="preserve">, </w:t>
      </w:r>
      <w:proofErr w:type="spellStart"/>
      <w:r w:rsidR="00466F3A" w:rsidRPr="00EC7A70">
        <w:rPr>
          <w:rFonts w:ascii="Garamond" w:hAnsi="Garamond"/>
        </w:rPr>
        <w:t>Kitil</w:t>
      </w:r>
      <w:proofErr w:type="spellEnd"/>
      <w:r w:rsidR="00466F3A" w:rsidRPr="00EC7A70">
        <w:rPr>
          <w:rFonts w:ascii="Garamond" w:hAnsi="Garamond"/>
        </w:rPr>
        <w:t>, &amp; Hanson-Peterson, 2016</w:t>
      </w:r>
      <w:r w:rsidR="000F0464" w:rsidRPr="00EC7A70">
        <w:rPr>
          <w:rFonts w:ascii="Garamond" w:hAnsi="Garamond"/>
        </w:rPr>
        <w:t>)</w:t>
      </w:r>
      <w:r w:rsidR="00DE2B04" w:rsidRPr="00EC7A70">
        <w:rPr>
          <w:rFonts w:ascii="Garamond" w:hAnsi="Garamond"/>
        </w:rPr>
        <w:t xml:space="preserve">.  </w:t>
      </w:r>
    </w:p>
    <w:p w14:paraId="5BF02C94" w14:textId="547C480B" w:rsidR="00FC3B6B" w:rsidRPr="00EC7A70" w:rsidRDefault="00DE2B04" w:rsidP="0081187B">
      <w:pPr>
        <w:widowControl/>
        <w:snapToGrid w:val="0"/>
        <w:spacing w:line="480" w:lineRule="auto"/>
        <w:ind w:firstLine="720"/>
        <w:rPr>
          <w:rFonts w:ascii="Garamond" w:hAnsi="Garamond"/>
        </w:rPr>
      </w:pPr>
      <w:r w:rsidRPr="00EC7A70">
        <w:rPr>
          <w:rFonts w:ascii="Garamond" w:hAnsi="Garamond"/>
        </w:rPr>
        <w:t xml:space="preserve">Over the last decade, </w:t>
      </w:r>
      <w:r w:rsidR="00724EF1" w:rsidRPr="00EC7A70">
        <w:rPr>
          <w:rFonts w:ascii="Garamond" w:hAnsi="Garamond"/>
        </w:rPr>
        <w:t>international report</w:t>
      </w:r>
      <w:r w:rsidR="008B4EEA" w:rsidRPr="00EC7A70">
        <w:rPr>
          <w:rFonts w:ascii="Garamond" w:hAnsi="Garamond"/>
        </w:rPr>
        <w:t>s</w:t>
      </w:r>
      <w:r w:rsidR="007D4806">
        <w:rPr>
          <w:rFonts w:ascii="Garamond" w:hAnsi="Garamond"/>
        </w:rPr>
        <w:t xml:space="preserve"> and </w:t>
      </w:r>
      <w:r w:rsidR="00EF3AC6" w:rsidRPr="00EC7A70">
        <w:rPr>
          <w:rFonts w:ascii="Garamond" w:hAnsi="Garamond"/>
        </w:rPr>
        <w:t xml:space="preserve">cross-national </w:t>
      </w:r>
      <w:r w:rsidR="008B4EEA" w:rsidRPr="00EC7A70">
        <w:rPr>
          <w:rFonts w:ascii="Garamond" w:hAnsi="Garamond"/>
        </w:rPr>
        <w:t xml:space="preserve">research </w:t>
      </w:r>
      <w:r w:rsidRPr="00EC7A70">
        <w:rPr>
          <w:rFonts w:ascii="Garamond" w:hAnsi="Garamond"/>
        </w:rPr>
        <w:t xml:space="preserve">in </w:t>
      </w:r>
      <w:r w:rsidR="00EF3AC6" w:rsidRPr="00EC7A70">
        <w:rPr>
          <w:rFonts w:ascii="Garamond" w:hAnsi="Garamond"/>
        </w:rPr>
        <w:t xml:space="preserve">teaching and </w:t>
      </w:r>
      <w:r w:rsidR="007D4806">
        <w:rPr>
          <w:rFonts w:ascii="Garamond" w:hAnsi="Garamond"/>
        </w:rPr>
        <w:t>professional</w:t>
      </w:r>
      <w:r w:rsidR="00EF3AC6" w:rsidRPr="00EC7A70">
        <w:rPr>
          <w:rFonts w:ascii="Garamond" w:hAnsi="Garamond"/>
        </w:rPr>
        <w:t xml:space="preserve"> learning</w:t>
      </w:r>
      <w:r w:rsidRPr="00EC7A70">
        <w:rPr>
          <w:rFonts w:ascii="Garamond" w:hAnsi="Garamond"/>
        </w:rPr>
        <w:t xml:space="preserve"> </w:t>
      </w:r>
      <w:r w:rsidR="00791145" w:rsidRPr="00EC7A70">
        <w:rPr>
          <w:rFonts w:ascii="Garamond" w:hAnsi="Garamond"/>
        </w:rPr>
        <w:t>has call</w:t>
      </w:r>
      <w:r w:rsidR="00804F14" w:rsidRPr="00EC7A70">
        <w:rPr>
          <w:rFonts w:ascii="Garamond" w:hAnsi="Garamond"/>
        </w:rPr>
        <w:t>ed</w:t>
      </w:r>
      <w:r w:rsidR="00791145" w:rsidRPr="00EC7A70">
        <w:rPr>
          <w:rFonts w:ascii="Garamond" w:hAnsi="Garamond"/>
        </w:rPr>
        <w:t xml:space="preserve"> for a more social</w:t>
      </w:r>
      <w:r w:rsidR="007173B2" w:rsidRPr="00EC7A70">
        <w:rPr>
          <w:rFonts w:ascii="Garamond" w:hAnsi="Garamond"/>
        </w:rPr>
        <w:t xml:space="preserve"> and collaborative</w:t>
      </w:r>
      <w:r w:rsidR="00791145" w:rsidRPr="00EC7A70">
        <w:rPr>
          <w:rFonts w:ascii="Garamond" w:hAnsi="Garamond"/>
        </w:rPr>
        <w:t xml:space="preserve"> approach to </w:t>
      </w:r>
      <w:r w:rsidR="007D4806" w:rsidRPr="00EC7A70">
        <w:rPr>
          <w:rFonts w:ascii="Garamond" w:hAnsi="Garamond"/>
        </w:rPr>
        <w:t xml:space="preserve">quality teaching (Schleicher, 2016) </w:t>
      </w:r>
      <w:r w:rsidR="007D4806">
        <w:rPr>
          <w:rFonts w:ascii="Garamond" w:hAnsi="Garamond"/>
        </w:rPr>
        <w:t>and improving</w:t>
      </w:r>
      <w:r w:rsidR="00EF3AC6" w:rsidRPr="00EC7A70">
        <w:rPr>
          <w:rFonts w:ascii="Garamond" w:hAnsi="Garamond"/>
        </w:rPr>
        <w:t xml:space="preserve"> educational </w:t>
      </w:r>
      <w:r w:rsidR="007D4806">
        <w:rPr>
          <w:rFonts w:ascii="Garamond" w:hAnsi="Garamond"/>
        </w:rPr>
        <w:t>outcomes</w:t>
      </w:r>
      <w:r w:rsidR="00791145" w:rsidRPr="00EC7A70">
        <w:rPr>
          <w:rFonts w:ascii="Garamond" w:hAnsi="Garamond"/>
        </w:rPr>
        <w:t xml:space="preserve"> </w:t>
      </w:r>
      <w:r w:rsidRPr="00EC7A70">
        <w:rPr>
          <w:rFonts w:ascii="Garamond" w:hAnsi="Garamond"/>
        </w:rPr>
        <w:t xml:space="preserve">across </w:t>
      </w:r>
      <w:r w:rsidR="00724EF1" w:rsidRPr="00EC7A70">
        <w:rPr>
          <w:rFonts w:ascii="Garamond" w:hAnsi="Garamond"/>
        </w:rPr>
        <w:t>different</w:t>
      </w:r>
      <w:r w:rsidRPr="00EC7A70">
        <w:rPr>
          <w:rFonts w:ascii="Garamond" w:hAnsi="Garamond"/>
        </w:rPr>
        <w:t xml:space="preserve"> levels of education</w:t>
      </w:r>
      <w:r w:rsidR="00724EF1" w:rsidRPr="00EC7A70">
        <w:rPr>
          <w:rFonts w:ascii="Garamond" w:hAnsi="Garamond"/>
        </w:rPr>
        <w:t xml:space="preserve"> in various settings (Darling-Hammond, 201</w:t>
      </w:r>
      <w:r w:rsidR="00876321">
        <w:rPr>
          <w:rFonts w:ascii="Garamond" w:hAnsi="Garamond"/>
        </w:rPr>
        <w:t>7</w:t>
      </w:r>
      <w:r w:rsidR="00724EF1" w:rsidRPr="00EC7A70">
        <w:rPr>
          <w:rFonts w:ascii="Garamond" w:hAnsi="Garamond"/>
        </w:rPr>
        <w:t>;</w:t>
      </w:r>
      <w:r w:rsidR="007173B2" w:rsidRPr="00EC7A70">
        <w:rPr>
          <w:rFonts w:ascii="Garamond" w:hAnsi="Garamond"/>
        </w:rPr>
        <w:t xml:space="preserve"> </w:t>
      </w:r>
      <w:proofErr w:type="spellStart"/>
      <w:r w:rsidR="00724EF1" w:rsidRPr="00EC7A70">
        <w:rPr>
          <w:rFonts w:ascii="Garamond" w:hAnsi="Garamond"/>
        </w:rPr>
        <w:t>Organisation</w:t>
      </w:r>
      <w:proofErr w:type="spellEnd"/>
      <w:r w:rsidR="00724EF1" w:rsidRPr="00EC7A70">
        <w:rPr>
          <w:rFonts w:ascii="Garamond" w:hAnsi="Garamond"/>
        </w:rPr>
        <w:t xml:space="preserve"> for Economic Co-operation and Development [OECD], 2013</w:t>
      </w:r>
      <w:r w:rsidR="007173B2" w:rsidRPr="00EC7A70">
        <w:rPr>
          <w:rFonts w:ascii="Garamond" w:hAnsi="Garamond"/>
        </w:rPr>
        <w:t xml:space="preserve">; </w:t>
      </w:r>
      <w:r w:rsidR="00231F6B" w:rsidRPr="00EC7A70">
        <w:rPr>
          <w:rFonts w:ascii="Garamond" w:hAnsi="Garamond"/>
        </w:rPr>
        <w:t>The United Nations Educational, Scientific and Cultural Organization [UNESCO], 2016</w:t>
      </w:r>
      <w:r w:rsidR="00231F6B">
        <w:rPr>
          <w:rFonts w:ascii="Garamond" w:hAnsi="Garamond"/>
        </w:rPr>
        <w:t xml:space="preserve">; </w:t>
      </w:r>
      <w:r w:rsidR="006B41ED">
        <w:rPr>
          <w:rFonts w:ascii="Garamond" w:hAnsi="Garamond"/>
        </w:rPr>
        <w:t xml:space="preserve">Yoon, Yom, </w:t>
      </w:r>
      <w:r w:rsidR="006B41ED" w:rsidRPr="006B41ED">
        <w:rPr>
          <w:rFonts w:ascii="Garamond" w:hAnsi="Garamond"/>
        </w:rPr>
        <w:t>Yang, &amp; Liu, 2017</w:t>
      </w:r>
      <w:r w:rsidR="00724EF1" w:rsidRPr="00EC7A70">
        <w:rPr>
          <w:rFonts w:ascii="Garamond" w:hAnsi="Garamond"/>
        </w:rPr>
        <w:t>)</w:t>
      </w:r>
      <w:r w:rsidR="007173B2" w:rsidRPr="00EC7A70">
        <w:rPr>
          <w:rFonts w:ascii="Garamond" w:hAnsi="Garamond"/>
        </w:rPr>
        <w:t xml:space="preserve">.  </w:t>
      </w:r>
      <w:r w:rsidR="006654EB">
        <w:rPr>
          <w:rFonts w:ascii="Garamond" w:hAnsi="Garamond"/>
        </w:rPr>
        <w:t>T</w:t>
      </w:r>
      <w:r w:rsidR="006654EB" w:rsidRPr="00EC7A70">
        <w:rPr>
          <w:rFonts w:ascii="Garamond" w:hAnsi="Garamond"/>
        </w:rPr>
        <w:t xml:space="preserve">hese national and international trends suggest a shift of the </w:t>
      </w:r>
      <w:r w:rsidR="00876321">
        <w:rPr>
          <w:rFonts w:ascii="Garamond" w:hAnsi="Garamond"/>
        </w:rPr>
        <w:t xml:space="preserve">educators’ </w:t>
      </w:r>
      <w:r w:rsidR="006654EB" w:rsidRPr="00EC7A70">
        <w:rPr>
          <w:rFonts w:ascii="Garamond" w:hAnsi="Garamond"/>
        </w:rPr>
        <w:t xml:space="preserve">work from technical to more social and networked in support of individual and organizational improvement.  </w:t>
      </w:r>
      <w:r w:rsidR="007D4806" w:rsidRPr="00EC7A70">
        <w:rPr>
          <w:rFonts w:ascii="Garamond" w:hAnsi="Garamond"/>
        </w:rPr>
        <w:t xml:space="preserve">For instance, classroom teachers with more collaborative ties with their faculty colleagues whose student academic performance tends to be higher than the teachers </w:t>
      </w:r>
      <w:r w:rsidR="007D4806" w:rsidRPr="00EC7A70">
        <w:rPr>
          <w:rFonts w:ascii="Garamond" w:hAnsi="Garamond"/>
        </w:rPr>
        <w:lastRenderedPageBreak/>
        <w:t>with fewer ties (Authors et al., 201</w:t>
      </w:r>
      <w:r w:rsidR="00876321">
        <w:rPr>
          <w:rFonts w:ascii="Garamond" w:hAnsi="Garamond"/>
        </w:rPr>
        <w:t>4;</w:t>
      </w:r>
      <w:r w:rsidR="00876321" w:rsidRPr="00876321">
        <w:t xml:space="preserve"> </w:t>
      </w:r>
      <w:proofErr w:type="spellStart"/>
      <w:r w:rsidR="00876321" w:rsidRPr="00876321">
        <w:rPr>
          <w:rFonts w:ascii="Garamond" w:hAnsi="Garamond"/>
        </w:rPr>
        <w:t>Pil</w:t>
      </w:r>
      <w:proofErr w:type="spellEnd"/>
      <w:r w:rsidR="00876321" w:rsidRPr="00876321">
        <w:rPr>
          <w:rFonts w:ascii="Garamond" w:hAnsi="Garamond"/>
        </w:rPr>
        <w:t xml:space="preserve"> &amp; </w:t>
      </w:r>
      <w:proofErr w:type="spellStart"/>
      <w:r w:rsidR="00876321" w:rsidRPr="00876321">
        <w:rPr>
          <w:rFonts w:ascii="Garamond" w:hAnsi="Garamond"/>
        </w:rPr>
        <w:t>Leana</w:t>
      </w:r>
      <w:proofErr w:type="spellEnd"/>
      <w:r w:rsidR="00876321" w:rsidRPr="00876321">
        <w:rPr>
          <w:rFonts w:ascii="Garamond" w:hAnsi="Garamond"/>
        </w:rPr>
        <w:t>, 2009</w:t>
      </w:r>
      <w:r w:rsidR="007D4806" w:rsidRPr="00EC7A70">
        <w:rPr>
          <w:rFonts w:ascii="Garamond" w:hAnsi="Garamond"/>
        </w:rPr>
        <w:t xml:space="preserve">).  In </w:t>
      </w:r>
      <w:r w:rsidR="007D4806">
        <w:rPr>
          <w:rFonts w:ascii="Garamond" w:hAnsi="Garamond"/>
        </w:rPr>
        <w:t xml:space="preserve">business </w:t>
      </w:r>
      <w:r w:rsidR="007D4806" w:rsidRPr="00EC7A70">
        <w:rPr>
          <w:rFonts w:ascii="Garamond" w:hAnsi="Garamond"/>
        </w:rPr>
        <w:t>organization</w:t>
      </w:r>
      <w:r w:rsidR="007D4806">
        <w:rPr>
          <w:rFonts w:ascii="Garamond" w:hAnsi="Garamond"/>
        </w:rPr>
        <w:t>s</w:t>
      </w:r>
      <w:r w:rsidR="007D4806" w:rsidRPr="00EC7A70">
        <w:rPr>
          <w:rFonts w:ascii="Garamond" w:hAnsi="Garamond"/>
        </w:rPr>
        <w:t xml:space="preserve">, companies that are of greater access to inter-firm connections for exchange of innovative ideas tend to outperform those with limited capital resources (Huggins &amp; Johnston, 2010).  </w:t>
      </w:r>
      <w:r w:rsidR="00B77C57" w:rsidRPr="00EC7A70">
        <w:rPr>
          <w:rFonts w:ascii="Garamond" w:hAnsi="Garamond"/>
        </w:rPr>
        <w:t>This</w:t>
      </w:r>
      <w:r w:rsidR="007173B2" w:rsidRPr="00EC7A70">
        <w:rPr>
          <w:rFonts w:ascii="Garamond" w:hAnsi="Garamond"/>
        </w:rPr>
        <w:t xml:space="preserve"> </w:t>
      </w:r>
      <w:r w:rsidR="007D4806">
        <w:rPr>
          <w:rFonts w:ascii="Garamond" w:hAnsi="Garamond"/>
        </w:rPr>
        <w:t xml:space="preserve">social </w:t>
      </w:r>
      <w:r w:rsidR="007173B2" w:rsidRPr="00EC7A70">
        <w:rPr>
          <w:rFonts w:ascii="Garamond" w:hAnsi="Garamond"/>
        </w:rPr>
        <w:t>approach</w:t>
      </w:r>
      <w:r w:rsidR="00724EF1" w:rsidRPr="00EC7A70">
        <w:rPr>
          <w:rFonts w:ascii="Garamond" w:hAnsi="Garamond"/>
        </w:rPr>
        <w:t xml:space="preserve"> includ</w:t>
      </w:r>
      <w:r w:rsidR="007173B2" w:rsidRPr="00EC7A70">
        <w:rPr>
          <w:rFonts w:ascii="Garamond" w:hAnsi="Garamond"/>
        </w:rPr>
        <w:t>es</w:t>
      </w:r>
      <w:r w:rsidR="00724EF1" w:rsidRPr="00EC7A70">
        <w:rPr>
          <w:rFonts w:ascii="Garamond" w:hAnsi="Garamond"/>
        </w:rPr>
        <w:t xml:space="preserve"> the examination of work-related collegial collaboration (</w:t>
      </w:r>
      <w:r w:rsidR="00B70C52">
        <w:rPr>
          <w:rFonts w:ascii="Garamond" w:hAnsi="Garamond"/>
        </w:rPr>
        <w:t>Authors et al., 2018</w:t>
      </w:r>
      <w:r w:rsidR="00724EF1" w:rsidRPr="00EC7A70">
        <w:rPr>
          <w:rFonts w:ascii="Garamond" w:hAnsi="Garamond"/>
        </w:rPr>
        <w:t>), professional relationshi</w:t>
      </w:r>
      <w:r w:rsidR="007173B2" w:rsidRPr="00EC7A70">
        <w:rPr>
          <w:rFonts w:ascii="Garamond" w:hAnsi="Garamond"/>
        </w:rPr>
        <w:t xml:space="preserve">ps </w:t>
      </w:r>
      <w:r w:rsidR="00724EF1" w:rsidRPr="00EC7A70">
        <w:rPr>
          <w:rFonts w:ascii="Garamond" w:hAnsi="Garamond"/>
        </w:rPr>
        <w:t>that facilitate reform efforts</w:t>
      </w:r>
      <w:r w:rsidR="00791145" w:rsidRPr="00EC7A70">
        <w:rPr>
          <w:rFonts w:ascii="Garamond" w:hAnsi="Garamond"/>
        </w:rPr>
        <w:t xml:space="preserve"> </w:t>
      </w:r>
      <w:r w:rsidR="00724EF1" w:rsidRPr="00EC7A70">
        <w:rPr>
          <w:rFonts w:ascii="Garamond" w:hAnsi="Garamond"/>
        </w:rPr>
        <w:t>(</w:t>
      </w:r>
      <w:r w:rsidR="004A0CBD" w:rsidRPr="00EC7A70">
        <w:rPr>
          <w:rFonts w:ascii="Garamond" w:hAnsi="Garamond"/>
        </w:rPr>
        <w:t>Coburn, Mata, &amp; Choi, 2013</w:t>
      </w:r>
      <w:r w:rsidR="00724EF1" w:rsidRPr="00EC7A70">
        <w:rPr>
          <w:rFonts w:ascii="Garamond" w:hAnsi="Garamond"/>
        </w:rPr>
        <w:t>)</w:t>
      </w:r>
      <w:r w:rsidR="004A0CBD" w:rsidRPr="00EC7A70">
        <w:rPr>
          <w:rFonts w:ascii="Garamond" w:hAnsi="Garamond"/>
        </w:rPr>
        <w:t xml:space="preserve">, </w:t>
      </w:r>
      <w:r w:rsidR="006654EB">
        <w:rPr>
          <w:rFonts w:ascii="Garamond" w:hAnsi="Garamond"/>
        </w:rPr>
        <w:t>organizational innovation (</w:t>
      </w:r>
      <w:r w:rsidR="00B70C52">
        <w:rPr>
          <w:rFonts w:ascii="Garamond" w:hAnsi="Garamond"/>
        </w:rPr>
        <w:t xml:space="preserve">Perry-Smith </w:t>
      </w:r>
      <w:r w:rsidR="00B70C52" w:rsidRPr="00B70C52">
        <w:rPr>
          <w:rFonts w:ascii="Garamond" w:hAnsi="Garamond"/>
        </w:rPr>
        <w:t xml:space="preserve">&amp; </w:t>
      </w:r>
      <w:proofErr w:type="spellStart"/>
      <w:r w:rsidR="00B70C52" w:rsidRPr="00B70C52">
        <w:rPr>
          <w:rFonts w:ascii="Garamond" w:hAnsi="Garamond"/>
        </w:rPr>
        <w:t>Mannucci</w:t>
      </w:r>
      <w:proofErr w:type="spellEnd"/>
      <w:r w:rsidR="00B70C52" w:rsidRPr="00B70C52">
        <w:rPr>
          <w:rFonts w:ascii="Garamond" w:hAnsi="Garamond"/>
        </w:rPr>
        <w:t>, 2017</w:t>
      </w:r>
      <w:r w:rsidR="006654EB">
        <w:rPr>
          <w:rFonts w:ascii="Garamond" w:hAnsi="Garamond"/>
        </w:rPr>
        <w:t xml:space="preserve">), and </w:t>
      </w:r>
      <w:r w:rsidR="004A0CBD" w:rsidRPr="00EC7A70">
        <w:rPr>
          <w:rFonts w:ascii="Garamond" w:hAnsi="Garamond"/>
        </w:rPr>
        <w:t>socio-emotional</w:t>
      </w:r>
      <w:r w:rsidR="00724EF1" w:rsidRPr="00EC7A70">
        <w:rPr>
          <w:rFonts w:ascii="Garamond" w:hAnsi="Garamond"/>
        </w:rPr>
        <w:t xml:space="preserve"> </w:t>
      </w:r>
      <w:r w:rsidR="007173B2" w:rsidRPr="00EC7A70">
        <w:rPr>
          <w:rFonts w:ascii="Garamond" w:hAnsi="Garamond"/>
        </w:rPr>
        <w:t xml:space="preserve">interpersonal </w:t>
      </w:r>
      <w:r w:rsidR="00724EF1" w:rsidRPr="00EC7A70">
        <w:rPr>
          <w:rFonts w:ascii="Garamond" w:hAnsi="Garamond"/>
        </w:rPr>
        <w:t xml:space="preserve">relations </w:t>
      </w:r>
      <w:r w:rsidR="007173B2" w:rsidRPr="00EC7A70">
        <w:rPr>
          <w:rFonts w:ascii="Garamond" w:hAnsi="Garamond"/>
        </w:rPr>
        <w:t xml:space="preserve">among </w:t>
      </w:r>
      <w:r w:rsidR="007D4806">
        <w:rPr>
          <w:rFonts w:ascii="Garamond" w:hAnsi="Garamond"/>
        </w:rPr>
        <w:t>educators</w:t>
      </w:r>
      <w:r w:rsidR="007173B2" w:rsidRPr="00EC7A70">
        <w:rPr>
          <w:rFonts w:ascii="Garamond" w:hAnsi="Garamond"/>
        </w:rPr>
        <w:t xml:space="preserve"> </w:t>
      </w:r>
      <w:r w:rsidR="00724EF1" w:rsidRPr="00EC7A70">
        <w:rPr>
          <w:rFonts w:ascii="Garamond" w:hAnsi="Garamond"/>
        </w:rPr>
        <w:t>that support positive work energy</w:t>
      </w:r>
      <w:r w:rsidR="004A0CBD" w:rsidRPr="00EC7A70">
        <w:rPr>
          <w:rFonts w:ascii="Garamond" w:hAnsi="Garamond"/>
        </w:rPr>
        <w:t xml:space="preserve"> (</w:t>
      </w:r>
      <w:r w:rsidR="001A7C27" w:rsidRPr="00EC7A70">
        <w:rPr>
          <w:rFonts w:ascii="Garamond" w:hAnsi="Garamond"/>
        </w:rPr>
        <w:t>Authors</w:t>
      </w:r>
      <w:r w:rsidR="004A0CBD" w:rsidRPr="00EC7A70">
        <w:rPr>
          <w:rFonts w:ascii="Garamond" w:hAnsi="Garamond"/>
        </w:rPr>
        <w:t xml:space="preserve"> et al., 2016)</w:t>
      </w:r>
      <w:r w:rsidR="00791145" w:rsidRPr="00EC7A70">
        <w:rPr>
          <w:rFonts w:ascii="Garamond" w:hAnsi="Garamond"/>
        </w:rPr>
        <w:t xml:space="preserve">.  </w:t>
      </w:r>
      <w:r w:rsidR="00A32C26" w:rsidRPr="00EC7A70">
        <w:rPr>
          <w:rFonts w:ascii="Garamond" w:hAnsi="Garamond"/>
        </w:rPr>
        <w:t xml:space="preserve">However, to </w:t>
      </w:r>
      <w:r w:rsidR="008F7D95" w:rsidRPr="00EC7A70">
        <w:rPr>
          <w:rFonts w:ascii="Garamond" w:hAnsi="Garamond"/>
        </w:rPr>
        <w:t>our search of literature</w:t>
      </w:r>
      <w:r w:rsidR="00B77C57" w:rsidRPr="00EC7A70">
        <w:rPr>
          <w:rFonts w:ascii="Garamond" w:hAnsi="Garamond"/>
        </w:rPr>
        <w:t xml:space="preserve"> in major educational and social sciences database (e.g., ERIC, Education Index, Education Source, Social Sciences Full Text etc.)</w:t>
      </w:r>
      <w:r w:rsidR="008F7D95" w:rsidRPr="00EC7A70">
        <w:rPr>
          <w:rFonts w:ascii="Garamond" w:hAnsi="Garamond"/>
        </w:rPr>
        <w:t xml:space="preserve">, </w:t>
      </w:r>
      <w:r w:rsidR="00B77C57" w:rsidRPr="00EC7A70">
        <w:rPr>
          <w:rFonts w:ascii="Garamond" w:hAnsi="Garamond"/>
        </w:rPr>
        <w:t xml:space="preserve">there are only </w:t>
      </w:r>
      <w:r w:rsidR="007D4806">
        <w:rPr>
          <w:rFonts w:ascii="Garamond" w:hAnsi="Garamond"/>
        </w:rPr>
        <w:t>a handful of</w:t>
      </w:r>
      <w:r w:rsidR="00B77C57" w:rsidRPr="00EC7A70">
        <w:rPr>
          <w:rFonts w:ascii="Garamond" w:hAnsi="Garamond"/>
        </w:rPr>
        <w:t xml:space="preserve"> peer-reviewed research articles and one magazine article </w:t>
      </w:r>
      <w:r w:rsidR="0081187B" w:rsidRPr="00EC7A70">
        <w:rPr>
          <w:rFonts w:ascii="Garamond" w:hAnsi="Garamond"/>
        </w:rPr>
        <w:t xml:space="preserve">dated back to the 90s </w:t>
      </w:r>
      <w:r w:rsidR="00B77C57" w:rsidRPr="00EC7A70">
        <w:rPr>
          <w:rFonts w:ascii="Garamond" w:hAnsi="Garamond"/>
        </w:rPr>
        <w:t>that focus on the social and emotional preparation of pre-service teachers</w:t>
      </w:r>
      <w:r w:rsidR="0081187B" w:rsidRPr="00EC7A70">
        <w:rPr>
          <w:rFonts w:ascii="Garamond" w:hAnsi="Garamond"/>
        </w:rPr>
        <w:t xml:space="preserve">.  More so, in practice, a recent national report indicates that only 13% of preparation programs from 304 colleagues of education across the US had one course that offers training </w:t>
      </w:r>
      <w:r w:rsidR="00AD692F" w:rsidRPr="00EC7A70">
        <w:rPr>
          <w:rFonts w:ascii="Garamond" w:hAnsi="Garamond"/>
        </w:rPr>
        <w:t>around</w:t>
      </w:r>
      <w:r w:rsidR="0081187B" w:rsidRPr="00EC7A70">
        <w:rPr>
          <w:rFonts w:ascii="Garamond" w:hAnsi="Garamond"/>
        </w:rPr>
        <w:t xml:space="preserve"> relationship skills and only 2% of the programs offer courses related to social awareness (</w:t>
      </w:r>
      <w:proofErr w:type="spellStart"/>
      <w:r w:rsidR="0081187B" w:rsidRPr="00EC7A70">
        <w:rPr>
          <w:rFonts w:ascii="Garamond" w:hAnsi="Garamond"/>
        </w:rPr>
        <w:t>Schonert-Reichl</w:t>
      </w:r>
      <w:proofErr w:type="spellEnd"/>
      <w:r w:rsidR="0081187B" w:rsidRPr="00EC7A70">
        <w:rPr>
          <w:rFonts w:ascii="Garamond" w:hAnsi="Garamond"/>
        </w:rPr>
        <w:t xml:space="preserve"> et al., 2016).  Th</w:t>
      </w:r>
      <w:r w:rsidR="0081187B" w:rsidRPr="00EC7A70">
        <w:rPr>
          <w:rFonts w:ascii="Garamond" w:hAnsi="Garamond" w:hint="eastAsia"/>
        </w:rPr>
        <w:t xml:space="preserve">e </w:t>
      </w:r>
      <w:r w:rsidR="0081187B" w:rsidRPr="00EC7A70">
        <w:rPr>
          <w:rFonts w:ascii="Garamond" w:hAnsi="Garamond"/>
        </w:rPr>
        <w:t xml:space="preserve">empirical and practical evidence suggests a lack of </w:t>
      </w:r>
      <w:r w:rsidR="00247F4A" w:rsidRPr="00EC7A70">
        <w:rPr>
          <w:rFonts w:ascii="Garamond" w:hAnsi="Garamond"/>
        </w:rPr>
        <w:t xml:space="preserve">attention to </w:t>
      </w:r>
      <w:r w:rsidR="0081187B" w:rsidRPr="00EC7A70">
        <w:rPr>
          <w:rFonts w:ascii="Garamond" w:hAnsi="Garamond"/>
        </w:rPr>
        <w:t xml:space="preserve">this social component in teacher education and preparation (Authors et al., 2016).  </w:t>
      </w:r>
    </w:p>
    <w:p w14:paraId="489F05CD" w14:textId="04CFB8EE" w:rsidR="00301F58" w:rsidRDefault="00D974A5" w:rsidP="00791145">
      <w:pPr>
        <w:widowControl/>
        <w:snapToGrid w:val="0"/>
        <w:spacing w:line="480" w:lineRule="auto"/>
        <w:ind w:firstLine="720"/>
        <w:rPr>
          <w:rFonts w:ascii="Garamond" w:hAnsi="Garamond"/>
        </w:rPr>
      </w:pPr>
      <w:r>
        <w:rPr>
          <w:rFonts w:ascii="Garamond" w:hAnsi="Garamond"/>
        </w:rPr>
        <w:t>In terms of policy push</w:t>
      </w:r>
      <w:r w:rsidR="00791145" w:rsidRPr="00EC7A70">
        <w:rPr>
          <w:rFonts w:ascii="Garamond" w:hAnsi="Garamond"/>
        </w:rPr>
        <w:t xml:space="preserve">, a number of national education policies such as the Common Core </w:t>
      </w:r>
      <w:r w:rsidR="00AC6A97" w:rsidRPr="00EC7A70">
        <w:rPr>
          <w:rFonts w:ascii="Garamond" w:hAnsi="Garamond"/>
        </w:rPr>
        <w:t xml:space="preserve">State </w:t>
      </w:r>
      <w:r w:rsidR="00791145" w:rsidRPr="00EC7A70">
        <w:rPr>
          <w:rFonts w:ascii="Garamond" w:hAnsi="Garamond"/>
        </w:rPr>
        <w:t>Standards of the United States</w:t>
      </w:r>
      <w:r w:rsidR="0046450D" w:rsidRPr="00EC7A70">
        <w:rPr>
          <w:rFonts w:ascii="Garamond" w:hAnsi="Garamond"/>
        </w:rPr>
        <w:t xml:space="preserve"> (US)</w:t>
      </w:r>
      <w:r w:rsidR="00791145" w:rsidRPr="00EC7A70">
        <w:rPr>
          <w:rFonts w:ascii="Garamond" w:hAnsi="Garamond"/>
        </w:rPr>
        <w:t xml:space="preserve"> (Council of Chief State School Officers [CCSSO], 2010) encourage educators to </w:t>
      </w:r>
      <w:r>
        <w:rPr>
          <w:rFonts w:ascii="Garamond" w:hAnsi="Garamond"/>
        </w:rPr>
        <w:t xml:space="preserve">work </w:t>
      </w:r>
      <w:r w:rsidR="00791145" w:rsidRPr="00EC7A70">
        <w:rPr>
          <w:rFonts w:ascii="Garamond" w:hAnsi="Garamond"/>
        </w:rPr>
        <w:t>collaborative</w:t>
      </w:r>
      <w:r>
        <w:rPr>
          <w:rFonts w:ascii="Garamond" w:hAnsi="Garamond"/>
        </w:rPr>
        <w:t>ly around</w:t>
      </w:r>
      <w:r w:rsidR="00791145" w:rsidRPr="00EC7A70">
        <w:rPr>
          <w:rFonts w:ascii="Garamond" w:hAnsi="Garamond"/>
        </w:rPr>
        <w:t xml:space="preserve"> interdisciplinary teaching.  More recently, the England’s Blueprint for Self-Improving System (Cruddas, 2015) requires educators to take on a leadership role in collectively developing </w:t>
      </w:r>
      <w:r>
        <w:rPr>
          <w:rFonts w:ascii="Garamond" w:hAnsi="Garamond"/>
        </w:rPr>
        <w:t xml:space="preserve">schools’ </w:t>
      </w:r>
      <w:r w:rsidR="00791145" w:rsidRPr="00EC7A70">
        <w:rPr>
          <w:rFonts w:ascii="Garamond" w:hAnsi="Garamond"/>
        </w:rPr>
        <w:t xml:space="preserve">internal capacity for improvement.  Despite the policy demands </w:t>
      </w:r>
      <w:r w:rsidR="00F0636B" w:rsidRPr="00EC7A70">
        <w:rPr>
          <w:rFonts w:ascii="Garamond" w:hAnsi="Garamond"/>
        </w:rPr>
        <w:t xml:space="preserve">in </w:t>
      </w:r>
      <w:r w:rsidR="00DA777D" w:rsidRPr="00EC7A70">
        <w:rPr>
          <w:rFonts w:ascii="Garamond" w:hAnsi="Garamond"/>
        </w:rPr>
        <w:t>these</w:t>
      </w:r>
      <w:r w:rsidR="00F0636B" w:rsidRPr="00EC7A70">
        <w:rPr>
          <w:rFonts w:ascii="Garamond" w:hAnsi="Garamond"/>
        </w:rPr>
        <w:t xml:space="preserve"> countries</w:t>
      </w:r>
      <w:r w:rsidR="00791145" w:rsidRPr="00EC7A70">
        <w:rPr>
          <w:rFonts w:ascii="Garamond" w:hAnsi="Garamond"/>
        </w:rPr>
        <w:t xml:space="preserve">, the </w:t>
      </w:r>
      <w:r>
        <w:rPr>
          <w:rFonts w:ascii="Garamond" w:hAnsi="Garamond"/>
        </w:rPr>
        <w:t>curriculum and instructional design</w:t>
      </w:r>
      <w:r w:rsidR="00791145" w:rsidRPr="00EC7A70">
        <w:rPr>
          <w:rFonts w:ascii="Garamond" w:hAnsi="Garamond"/>
        </w:rPr>
        <w:t xml:space="preserve"> in teacher preparation programs has not </w:t>
      </w:r>
      <w:r w:rsidR="004664A4">
        <w:rPr>
          <w:rFonts w:ascii="Garamond" w:hAnsi="Garamond"/>
        </w:rPr>
        <w:t xml:space="preserve">been </w:t>
      </w:r>
      <w:r>
        <w:rPr>
          <w:rFonts w:ascii="Garamond" w:hAnsi="Garamond"/>
        </w:rPr>
        <w:t>fully aligned</w:t>
      </w:r>
      <w:r w:rsidR="00791145" w:rsidRPr="00EC7A70">
        <w:rPr>
          <w:rFonts w:ascii="Garamond" w:hAnsi="Garamond"/>
        </w:rPr>
        <w:t xml:space="preserve"> with the policy </w:t>
      </w:r>
      <w:r w:rsidR="0047760A">
        <w:rPr>
          <w:rFonts w:ascii="Garamond" w:hAnsi="Garamond"/>
        </w:rPr>
        <w:t>directions</w:t>
      </w:r>
      <w:r w:rsidR="00C0489E" w:rsidRPr="00EC7A70">
        <w:rPr>
          <w:rFonts w:ascii="Garamond" w:hAnsi="Garamond"/>
        </w:rPr>
        <w:t xml:space="preserve">, as indicated for example by </w:t>
      </w:r>
      <w:r w:rsidR="0047760A">
        <w:rPr>
          <w:rFonts w:ascii="Garamond" w:hAnsi="Garamond"/>
        </w:rPr>
        <w:t>a</w:t>
      </w:r>
      <w:r w:rsidR="0047760A" w:rsidRPr="00EC7A70">
        <w:rPr>
          <w:rFonts w:ascii="Garamond" w:hAnsi="Garamond"/>
        </w:rPr>
        <w:t xml:space="preserve"> </w:t>
      </w:r>
      <w:r w:rsidR="00C0489E" w:rsidRPr="00EC7A70">
        <w:rPr>
          <w:rFonts w:ascii="Garamond" w:hAnsi="Garamond"/>
        </w:rPr>
        <w:t>recent US report (</w:t>
      </w:r>
      <w:proofErr w:type="spellStart"/>
      <w:r w:rsidR="00C0489E" w:rsidRPr="00EC7A70">
        <w:rPr>
          <w:rFonts w:ascii="Garamond" w:hAnsi="Garamond"/>
        </w:rPr>
        <w:t>Schonert-Reichl</w:t>
      </w:r>
      <w:proofErr w:type="spellEnd"/>
      <w:r w:rsidR="00C0489E" w:rsidRPr="00EC7A70">
        <w:rPr>
          <w:rFonts w:ascii="Garamond" w:hAnsi="Garamond"/>
        </w:rPr>
        <w:t xml:space="preserve"> et al., 2016)</w:t>
      </w:r>
      <w:r w:rsidR="00791145" w:rsidRPr="00EC7A70">
        <w:rPr>
          <w:rFonts w:ascii="Garamond" w:hAnsi="Garamond"/>
        </w:rPr>
        <w:t xml:space="preserve">.  </w:t>
      </w:r>
      <w:r w:rsidR="00EA0A75" w:rsidRPr="00EC7A70">
        <w:rPr>
          <w:rFonts w:ascii="Garamond" w:hAnsi="Garamond"/>
        </w:rPr>
        <w:t xml:space="preserve">In moving towards a collaborative model of preparation, more efforts </w:t>
      </w:r>
      <w:r w:rsidR="0047760A">
        <w:rPr>
          <w:rFonts w:ascii="Garamond" w:hAnsi="Garamond"/>
        </w:rPr>
        <w:t xml:space="preserve">are needed to shed light on </w:t>
      </w:r>
      <w:r w:rsidR="00EA0A75" w:rsidRPr="00EC7A70">
        <w:rPr>
          <w:rFonts w:ascii="Garamond" w:hAnsi="Garamond"/>
        </w:rPr>
        <w:t xml:space="preserve">the </w:t>
      </w:r>
      <w:r w:rsidR="00791145" w:rsidRPr="00EC7A70">
        <w:rPr>
          <w:rFonts w:ascii="Garamond" w:hAnsi="Garamond"/>
        </w:rPr>
        <w:t xml:space="preserve">social side of teacher development across the globe.  </w:t>
      </w:r>
    </w:p>
    <w:p w14:paraId="3AFE0566" w14:textId="329BFECA" w:rsidR="00533196" w:rsidRPr="00D974A5" w:rsidRDefault="00A10449" w:rsidP="00400E78">
      <w:pPr>
        <w:widowControl/>
        <w:snapToGrid w:val="0"/>
        <w:spacing w:line="480" w:lineRule="auto"/>
        <w:jc w:val="center"/>
        <w:rPr>
          <w:rFonts w:ascii="Garamond" w:hAnsi="Garamond"/>
          <w:b/>
          <w:bCs/>
          <w:color w:val="000000" w:themeColor="text1"/>
        </w:rPr>
      </w:pPr>
      <w:r w:rsidRPr="00A10449">
        <w:rPr>
          <w:noProof/>
        </w:rPr>
        <w:lastRenderedPageBreak/>
        <w:drawing>
          <wp:inline distT="0" distB="0" distL="0" distR="0" wp14:anchorId="29AFECBC" wp14:editId="55D3C205">
            <wp:extent cx="5943600" cy="411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4114800"/>
                    </a:xfrm>
                    <a:prstGeom prst="rect">
                      <a:avLst/>
                    </a:prstGeom>
                    <a:noFill/>
                    <a:ln>
                      <a:noFill/>
                    </a:ln>
                  </pic:spPr>
                </pic:pic>
              </a:graphicData>
            </a:graphic>
          </wp:inline>
        </w:drawing>
      </w:r>
      <w:r w:rsidR="00533196" w:rsidRPr="00EC7A70">
        <w:rPr>
          <w:rFonts w:ascii="Garamond" w:hAnsi="Garamond"/>
          <w:b/>
          <w:bCs/>
        </w:rPr>
        <w:t>Co</w:t>
      </w:r>
      <w:r w:rsidR="00533196" w:rsidRPr="00D974A5">
        <w:rPr>
          <w:rFonts w:ascii="Garamond" w:hAnsi="Garamond"/>
          <w:b/>
          <w:bCs/>
          <w:color w:val="000000" w:themeColor="text1"/>
        </w:rPr>
        <w:t>ntext</w:t>
      </w:r>
    </w:p>
    <w:p w14:paraId="26C50A1C" w14:textId="0898C6C4" w:rsidR="0047760A" w:rsidRPr="00181877" w:rsidRDefault="0047760A" w:rsidP="00181877">
      <w:pPr>
        <w:widowControl/>
        <w:snapToGrid w:val="0"/>
        <w:spacing w:line="480" w:lineRule="auto"/>
        <w:ind w:firstLine="720"/>
        <w:rPr>
          <w:rFonts w:ascii="Garamond" w:hAnsi="Garamond"/>
          <w:color w:val="000000" w:themeColor="text1"/>
        </w:rPr>
      </w:pPr>
      <w:r w:rsidRPr="00181877">
        <w:rPr>
          <w:rFonts w:ascii="Garamond" w:hAnsi="Garamond"/>
          <w:color w:val="000000" w:themeColor="text1"/>
        </w:rPr>
        <w:t xml:space="preserve">The </w:t>
      </w:r>
      <w:r>
        <w:rPr>
          <w:rFonts w:ascii="Garamond" w:hAnsi="Garamond"/>
          <w:color w:val="000000" w:themeColor="text1"/>
        </w:rPr>
        <w:t xml:space="preserve">study </w:t>
      </w:r>
      <w:r w:rsidR="00611C4F">
        <w:rPr>
          <w:rFonts w:ascii="Garamond" w:hAnsi="Garamond"/>
          <w:color w:val="000000" w:themeColor="text1"/>
        </w:rPr>
        <w:t>contexts</w:t>
      </w:r>
      <w:r>
        <w:rPr>
          <w:rFonts w:ascii="Garamond" w:hAnsi="Garamond"/>
          <w:color w:val="000000" w:themeColor="text1"/>
        </w:rPr>
        <w:t xml:space="preserve"> </w:t>
      </w:r>
      <w:r w:rsidR="00611C4F">
        <w:rPr>
          <w:rFonts w:ascii="Garamond" w:hAnsi="Garamond"/>
          <w:color w:val="000000" w:themeColor="text1"/>
        </w:rPr>
        <w:t xml:space="preserve">are selected largely because they are under similar policy demands that focus on collaborative work of educators and school systems.  As pre-service teachers will become in-service teachers to face these challenges, it is imperative to examine the social side of their preparations as a way to provide insight into the design and delivery of training to meet the policy demands. </w:t>
      </w:r>
    </w:p>
    <w:p w14:paraId="693FD3D4" w14:textId="1707F169" w:rsidR="00AA2144" w:rsidRDefault="00724821" w:rsidP="00AA2144">
      <w:pPr>
        <w:widowControl/>
        <w:snapToGrid w:val="0"/>
        <w:spacing w:line="480" w:lineRule="auto"/>
        <w:rPr>
          <w:rFonts w:ascii="Garamond" w:hAnsi="Garamond"/>
          <w:color w:val="000000" w:themeColor="text1"/>
        </w:rPr>
      </w:pPr>
      <w:r w:rsidRPr="00D974A5">
        <w:rPr>
          <w:rFonts w:ascii="Garamond" w:hAnsi="Garamond"/>
          <w:b/>
          <w:color w:val="000000" w:themeColor="text1"/>
        </w:rPr>
        <w:t>Teacher Preparation in England</w:t>
      </w:r>
    </w:p>
    <w:p w14:paraId="1175D961" w14:textId="44C7F79C" w:rsidR="00724821" w:rsidRPr="00EC7A70" w:rsidRDefault="00724821" w:rsidP="00AA2144">
      <w:pPr>
        <w:widowControl/>
        <w:snapToGrid w:val="0"/>
        <w:spacing w:line="480" w:lineRule="auto"/>
        <w:ind w:firstLine="720"/>
        <w:rPr>
          <w:rFonts w:ascii="Garamond" w:hAnsi="Garamond"/>
        </w:rPr>
      </w:pPr>
      <w:r w:rsidRPr="00D974A5">
        <w:rPr>
          <w:rFonts w:ascii="Garamond" w:hAnsi="Garamond"/>
          <w:color w:val="000000" w:themeColor="text1"/>
        </w:rPr>
        <w:t xml:space="preserve">There are a wide range of routes into initial teacher education in England. </w:t>
      </w:r>
      <w:r w:rsidR="006B41ED">
        <w:rPr>
          <w:rFonts w:ascii="Garamond" w:hAnsi="Garamond"/>
          <w:color w:val="000000" w:themeColor="text1"/>
        </w:rPr>
        <w:t xml:space="preserve"> </w:t>
      </w:r>
      <w:r w:rsidRPr="00D974A5">
        <w:rPr>
          <w:rFonts w:ascii="Garamond" w:hAnsi="Garamond"/>
          <w:color w:val="000000" w:themeColor="text1"/>
        </w:rPr>
        <w:t xml:space="preserve">Each is designed to prepare pre-service teachers to train to teach in primary schools (children aged 4-11 years) and secondary schools (children aged 11-18/19 years). </w:t>
      </w:r>
      <w:r w:rsidR="006B41ED">
        <w:rPr>
          <w:rFonts w:ascii="Garamond" w:hAnsi="Garamond"/>
          <w:color w:val="000000" w:themeColor="text1"/>
        </w:rPr>
        <w:t xml:space="preserve"> </w:t>
      </w:r>
      <w:r w:rsidRPr="00D974A5">
        <w:rPr>
          <w:rFonts w:ascii="Garamond" w:hAnsi="Garamond"/>
          <w:color w:val="000000" w:themeColor="text1"/>
        </w:rPr>
        <w:t xml:space="preserve">All teachers wanting to teach in schools maintained by the state need to acquire qualified teacher status (QTS) by demonstrating a range of </w:t>
      </w:r>
      <w:r w:rsidRPr="00D974A5">
        <w:rPr>
          <w:rFonts w:ascii="Garamond" w:hAnsi="Garamond"/>
          <w:color w:val="000000" w:themeColor="text1"/>
        </w:rPr>
        <w:lastRenderedPageBreak/>
        <w:t>professional com</w:t>
      </w:r>
      <w:r>
        <w:rPr>
          <w:rFonts w:ascii="Garamond" w:hAnsi="Garamond"/>
        </w:rPr>
        <w:t>petences associated with the core aspects of teaching and with appropriate personal and professional conduct (</w:t>
      </w:r>
      <w:proofErr w:type="spellStart"/>
      <w:r>
        <w:rPr>
          <w:rFonts w:ascii="Garamond" w:hAnsi="Garamond"/>
        </w:rPr>
        <w:t>DfE</w:t>
      </w:r>
      <w:proofErr w:type="spellEnd"/>
      <w:r>
        <w:rPr>
          <w:rFonts w:ascii="Garamond" w:hAnsi="Garamond"/>
        </w:rPr>
        <w:t xml:space="preserve">. 2011). </w:t>
      </w:r>
      <w:r w:rsidR="006B41ED">
        <w:rPr>
          <w:rFonts w:ascii="Garamond" w:hAnsi="Garamond"/>
        </w:rPr>
        <w:t xml:space="preserve"> </w:t>
      </w:r>
      <w:r>
        <w:rPr>
          <w:rFonts w:ascii="Garamond" w:hAnsi="Garamond"/>
        </w:rPr>
        <w:t xml:space="preserve">This can be done by following </w:t>
      </w:r>
      <w:r w:rsidR="00A251F5">
        <w:rPr>
          <w:rFonts w:ascii="Garamond" w:hAnsi="Garamond"/>
        </w:rPr>
        <w:t>one of the two major routes to gaining QTS</w:t>
      </w:r>
      <w:r>
        <w:rPr>
          <w:rFonts w:ascii="Garamond" w:hAnsi="Garamond"/>
        </w:rPr>
        <w:t>: school-</w:t>
      </w:r>
      <w:proofErr w:type="spellStart"/>
      <w:r>
        <w:rPr>
          <w:rFonts w:ascii="Garamond" w:hAnsi="Garamond"/>
        </w:rPr>
        <w:t>centred</w:t>
      </w:r>
      <w:proofErr w:type="spellEnd"/>
      <w:r>
        <w:rPr>
          <w:rFonts w:ascii="Garamond" w:hAnsi="Garamond"/>
        </w:rPr>
        <w:t xml:space="preserve"> </w:t>
      </w:r>
      <w:r w:rsidR="00181877" w:rsidRPr="00181877">
        <w:rPr>
          <w:rFonts w:ascii="Garamond" w:hAnsi="Garamond"/>
        </w:rPr>
        <w:t xml:space="preserve">programs </w:t>
      </w:r>
      <w:r>
        <w:rPr>
          <w:rFonts w:ascii="Garamond" w:hAnsi="Garamond"/>
        </w:rPr>
        <w:t xml:space="preserve">or higher education led </w:t>
      </w:r>
      <w:r w:rsidR="00181877" w:rsidRPr="00181877">
        <w:rPr>
          <w:rFonts w:ascii="Garamond" w:hAnsi="Garamond"/>
        </w:rPr>
        <w:t>programs</w:t>
      </w:r>
      <w:r w:rsidR="00A251F5">
        <w:rPr>
          <w:rStyle w:val="EndnoteReference"/>
          <w:rFonts w:ascii="Garamond" w:hAnsi="Garamond"/>
        </w:rPr>
        <w:endnoteReference w:id="1"/>
      </w:r>
      <w:r>
        <w:rPr>
          <w:rFonts w:ascii="Garamond" w:hAnsi="Garamond"/>
        </w:rPr>
        <w:t xml:space="preserve">. </w:t>
      </w:r>
      <w:r w:rsidR="006B41ED">
        <w:rPr>
          <w:rFonts w:ascii="Garamond" w:hAnsi="Garamond"/>
        </w:rPr>
        <w:t xml:space="preserve"> </w:t>
      </w:r>
      <w:r>
        <w:rPr>
          <w:rFonts w:ascii="Garamond" w:hAnsi="Garamond"/>
        </w:rPr>
        <w:t xml:space="preserve">Higher education led </w:t>
      </w:r>
      <w:r w:rsidR="00181877">
        <w:rPr>
          <w:rFonts w:ascii="Garamond" w:hAnsi="Garamond"/>
        </w:rPr>
        <w:t xml:space="preserve">programs </w:t>
      </w:r>
      <w:r>
        <w:rPr>
          <w:rFonts w:ascii="Garamond" w:hAnsi="Garamond"/>
        </w:rPr>
        <w:t>can be part of study for an undergraduate bachelor</w:t>
      </w:r>
      <w:r w:rsidR="00D36022">
        <w:rPr>
          <w:rFonts w:ascii="Garamond" w:hAnsi="Garamond"/>
        </w:rPr>
        <w:t>’</w:t>
      </w:r>
      <w:r>
        <w:rPr>
          <w:rFonts w:ascii="Garamond" w:hAnsi="Garamond"/>
        </w:rPr>
        <w:t xml:space="preserve">s degree (normally four years) or a postgraduate </w:t>
      </w:r>
      <w:r w:rsidR="00181877">
        <w:rPr>
          <w:rFonts w:ascii="Garamond" w:hAnsi="Garamond"/>
        </w:rPr>
        <w:t xml:space="preserve">program </w:t>
      </w:r>
      <w:r>
        <w:rPr>
          <w:rFonts w:ascii="Garamond" w:hAnsi="Garamond"/>
        </w:rPr>
        <w:t xml:space="preserve">(normally one year) for pre-service teachers who already hold an undergraduate degree. </w:t>
      </w:r>
      <w:r w:rsidR="006B41ED">
        <w:rPr>
          <w:rFonts w:ascii="Garamond" w:hAnsi="Garamond"/>
        </w:rPr>
        <w:t xml:space="preserve"> </w:t>
      </w:r>
      <w:r>
        <w:rPr>
          <w:rFonts w:ascii="Garamond" w:hAnsi="Garamond"/>
        </w:rPr>
        <w:t xml:space="preserve">As well as achieving QTS, the one-year, graduate higher education led </w:t>
      </w:r>
      <w:r w:rsidR="00181877">
        <w:rPr>
          <w:rFonts w:ascii="Garamond" w:hAnsi="Garamond"/>
        </w:rPr>
        <w:t xml:space="preserve">programs </w:t>
      </w:r>
      <w:r>
        <w:rPr>
          <w:rFonts w:ascii="Garamond" w:hAnsi="Garamond"/>
        </w:rPr>
        <w:t>usually result in the award of a Postgraduate Certificate of Education (PGCE) equivalent to one third of the study credit required for a master</w:t>
      </w:r>
      <w:r w:rsidR="00D36022">
        <w:rPr>
          <w:rFonts w:ascii="Garamond" w:hAnsi="Garamond"/>
        </w:rPr>
        <w:t>’</w:t>
      </w:r>
      <w:r>
        <w:rPr>
          <w:rFonts w:ascii="Garamond" w:hAnsi="Garamond"/>
        </w:rPr>
        <w:t xml:space="preserve">s degree. </w:t>
      </w:r>
      <w:r w:rsidR="006B41ED">
        <w:rPr>
          <w:rFonts w:ascii="Garamond" w:hAnsi="Garamond"/>
        </w:rPr>
        <w:t xml:space="preserve"> </w:t>
      </w:r>
      <w:r>
        <w:rPr>
          <w:rFonts w:ascii="Garamond" w:hAnsi="Garamond"/>
        </w:rPr>
        <w:t>School-</w:t>
      </w:r>
      <w:proofErr w:type="spellStart"/>
      <w:r>
        <w:rPr>
          <w:rFonts w:ascii="Garamond" w:hAnsi="Garamond"/>
        </w:rPr>
        <w:t>centred</w:t>
      </w:r>
      <w:proofErr w:type="spellEnd"/>
      <w:r>
        <w:rPr>
          <w:rFonts w:ascii="Garamond" w:hAnsi="Garamond"/>
        </w:rPr>
        <w:t xml:space="preserve"> </w:t>
      </w:r>
      <w:r w:rsidR="00181877">
        <w:rPr>
          <w:rFonts w:ascii="Garamond" w:hAnsi="Garamond"/>
        </w:rPr>
        <w:t xml:space="preserve">programs </w:t>
      </w:r>
      <w:r>
        <w:rPr>
          <w:rFonts w:ascii="Garamond" w:hAnsi="Garamond"/>
        </w:rPr>
        <w:t xml:space="preserve">tend to only offer one-year, graduate routes to initial teacher education in order to achieve QTS. </w:t>
      </w:r>
      <w:r w:rsidR="006B41ED">
        <w:rPr>
          <w:rFonts w:ascii="Garamond" w:hAnsi="Garamond"/>
        </w:rPr>
        <w:t xml:space="preserve"> </w:t>
      </w:r>
      <w:r>
        <w:rPr>
          <w:rFonts w:ascii="Garamond" w:hAnsi="Garamond"/>
        </w:rPr>
        <w:t>Some consider the development and growth of school-</w:t>
      </w:r>
      <w:proofErr w:type="spellStart"/>
      <w:r>
        <w:rPr>
          <w:rFonts w:ascii="Garamond" w:hAnsi="Garamond"/>
        </w:rPr>
        <w:t>centred</w:t>
      </w:r>
      <w:proofErr w:type="spellEnd"/>
      <w:r>
        <w:rPr>
          <w:rFonts w:ascii="Garamond" w:hAnsi="Garamond"/>
        </w:rPr>
        <w:t xml:space="preserve"> </w:t>
      </w:r>
      <w:r w:rsidR="00181877">
        <w:rPr>
          <w:rFonts w:ascii="Garamond" w:hAnsi="Garamond"/>
        </w:rPr>
        <w:t xml:space="preserve">programs </w:t>
      </w:r>
      <w:r>
        <w:rPr>
          <w:rFonts w:ascii="Garamond" w:hAnsi="Garamond"/>
        </w:rPr>
        <w:t>in recent years as a neo-liberal move toward a more market driven approach to training teachers, and possibly a step to diminish the influence of universities in initial teacher education (for a summary see A</w:t>
      </w:r>
      <w:r w:rsidR="004664A4">
        <w:rPr>
          <w:rFonts w:ascii="Garamond" w:hAnsi="Garamond"/>
        </w:rPr>
        <w:t xml:space="preserve">llen et al., 2016; Mutton, Burn, &amp; </w:t>
      </w:r>
      <w:proofErr w:type="spellStart"/>
      <w:r>
        <w:rPr>
          <w:rFonts w:ascii="Garamond" w:hAnsi="Garamond"/>
        </w:rPr>
        <w:t>Menter</w:t>
      </w:r>
      <w:proofErr w:type="spellEnd"/>
      <w:r>
        <w:rPr>
          <w:rFonts w:ascii="Garamond" w:hAnsi="Garamond"/>
        </w:rPr>
        <w:t xml:space="preserve">, 2017). </w:t>
      </w:r>
      <w:r w:rsidR="00301F58">
        <w:rPr>
          <w:rFonts w:ascii="Garamond" w:hAnsi="Garamond"/>
        </w:rPr>
        <w:t xml:space="preserve"> </w:t>
      </w:r>
      <w:r>
        <w:rPr>
          <w:rFonts w:ascii="Garamond" w:hAnsi="Garamond"/>
        </w:rPr>
        <w:t>A number of the schools managing school-</w:t>
      </w:r>
      <w:proofErr w:type="spellStart"/>
      <w:r>
        <w:rPr>
          <w:rFonts w:ascii="Garamond" w:hAnsi="Garamond"/>
        </w:rPr>
        <w:t>centred</w:t>
      </w:r>
      <w:proofErr w:type="spellEnd"/>
      <w:r>
        <w:rPr>
          <w:rFonts w:ascii="Garamond" w:hAnsi="Garamond"/>
        </w:rPr>
        <w:t xml:space="preserve"> </w:t>
      </w:r>
      <w:r w:rsidR="00181877">
        <w:rPr>
          <w:rFonts w:ascii="Garamond" w:hAnsi="Garamond"/>
        </w:rPr>
        <w:t xml:space="preserve">programs </w:t>
      </w:r>
      <w:r>
        <w:rPr>
          <w:rFonts w:ascii="Garamond" w:hAnsi="Garamond"/>
        </w:rPr>
        <w:t>have continued to partner with universities</w:t>
      </w:r>
      <w:r w:rsidR="001326B9">
        <w:rPr>
          <w:rFonts w:ascii="Garamond" w:hAnsi="Garamond"/>
        </w:rPr>
        <w:t xml:space="preserve"> through a collaborative </w:t>
      </w:r>
      <w:r w:rsidR="00181877" w:rsidRPr="00181877">
        <w:rPr>
          <w:rFonts w:ascii="Garamond" w:hAnsi="Garamond"/>
        </w:rPr>
        <w:t xml:space="preserve">program </w:t>
      </w:r>
      <w:r w:rsidR="001326B9">
        <w:rPr>
          <w:rFonts w:ascii="Garamond" w:hAnsi="Garamond"/>
        </w:rPr>
        <w:t>of training</w:t>
      </w:r>
      <w:r>
        <w:rPr>
          <w:rFonts w:ascii="Garamond" w:hAnsi="Garamond"/>
        </w:rPr>
        <w:t xml:space="preserve"> in order to offer the PGCE qualification in addition to QTS, and that is the case with the pre-service teachers from England in this study.</w:t>
      </w:r>
      <w:r w:rsidRPr="00EC7A70">
        <w:rPr>
          <w:rFonts w:ascii="Garamond" w:hAnsi="Garamond"/>
        </w:rPr>
        <w:t xml:space="preserve"> </w:t>
      </w:r>
    </w:p>
    <w:p w14:paraId="21CDF4EB" w14:textId="6284A36E" w:rsidR="00AA2144" w:rsidRDefault="00791145" w:rsidP="00AA2144">
      <w:pPr>
        <w:widowControl/>
        <w:snapToGrid w:val="0"/>
        <w:spacing w:line="480" w:lineRule="auto"/>
        <w:rPr>
          <w:rFonts w:ascii="Garamond" w:hAnsi="Garamond"/>
        </w:rPr>
      </w:pPr>
      <w:r w:rsidRPr="004518B2">
        <w:rPr>
          <w:rFonts w:ascii="Garamond" w:hAnsi="Garamond"/>
          <w:b/>
        </w:rPr>
        <w:t>Teacher Preparation in Spain</w:t>
      </w:r>
    </w:p>
    <w:p w14:paraId="4C8A42E7" w14:textId="26881077" w:rsidR="00791145" w:rsidRPr="00213F68" w:rsidRDefault="00213F68" w:rsidP="00E36648">
      <w:pPr>
        <w:widowControl/>
        <w:snapToGrid w:val="0"/>
        <w:spacing w:line="480" w:lineRule="auto"/>
        <w:ind w:firstLine="720"/>
        <w:rPr>
          <w:rFonts w:ascii="Garamond" w:hAnsi="Garamond"/>
        </w:rPr>
      </w:pPr>
      <w:r w:rsidRPr="00213F68">
        <w:rPr>
          <w:rFonts w:ascii="Garamond" w:hAnsi="Garamond"/>
        </w:rPr>
        <w:t>The university system in Spain presents</w:t>
      </w:r>
      <w:r w:rsidR="004518B2">
        <w:rPr>
          <w:rFonts w:ascii="Garamond" w:hAnsi="Garamond"/>
        </w:rPr>
        <w:t xml:space="preserve"> two teacher training degrees: T</w:t>
      </w:r>
      <w:r w:rsidRPr="00213F68">
        <w:rPr>
          <w:rFonts w:ascii="Garamond" w:hAnsi="Garamond"/>
        </w:rPr>
        <w:t xml:space="preserve">he </w:t>
      </w:r>
      <w:r w:rsidR="00181877" w:rsidRPr="00213F68">
        <w:rPr>
          <w:rFonts w:ascii="Garamond" w:hAnsi="Garamond"/>
        </w:rPr>
        <w:t xml:space="preserve">preschool </w:t>
      </w:r>
      <w:r w:rsidRPr="00213F68">
        <w:rPr>
          <w:rFonts w:ascii="Garamond" w:hAnsi="Garamond"/>
        </w:rPr>
        <w:t xml:space="preserve">(teachers of 0- to 6-year-old children) and the </w:t>
      </w:r>
      <w:r w:rsidR="00181877" w:rsidRPr="00213F68">
        <w:rPr>
          <w:rFonts w:ascii="Garamond" w:hAnsi="Garamond"/>
        </w:rPr>
        <w:t>primary education teacher (teachers of 6- to 12-year-old children)</w:t>
      </w:r>
      <w:r w:rsidR="00181877">
        <w:rPr>
          <w:rFonts w:ascii="Garamond" w:hAnsi="Garamond"/>
        </w:rPr>
        <w:t xml:space="preserve"> </w:t>
      </w:r>
      <w:r w:rsidR="00181877" w:rsidRPr="00213F68">
        <w:rPr>
          <w:rFonts w:ascii="Garamond" w:hAnsi="Garamond"/>
        </w:rPr>
        <w:t xml:space="preserve">training </w:t>
      </w:r>
      <w:r w:rsidR="00181877">
        <w:rPr>
          <w:rFonts w:ascii="Garamond" w:hAnsi="Garamond"/>
        </w:rPr>
        <w:t>program</w:t>
      </w:r>
      <w:r w:rsidRPr="00213F68">
        <w:rPr>
          <w:rFonts w:ascii="Garamond" w:hAnsi="Garamond"/>
        </w:rPr>
        <w:t xml:space="preserve">. </w:t>
      </w:r>
      <w:r w:rsidR="004518B2">
        <w:rPr>
          <w:rFonts w:ascii="Garamond" w:hAnsi="Garamond"/>
        </w:rPr>
        <w:t xml:space="preserve"> </w:t>
      </w:r>
      <w:r w:rsidRPr="00213F68">
        <w:rPr>
          <w:rFonts w:ascii="Garamond" w:hAnsi="Garamond"/>
        </w:rPr>
        <w:t xml:space="preserve">The two </w:t>
      </w:r>
      <w:r w:rsidR="00181877">
        <w:rPr>
          <w:rFonts w:ascii="Garamond" w:hAnsi="Garamond"/>
        </w:rPr>
        <w:t>programs</w:t>
      </w:r>
      <w:r w:rsidR="00181877" w:rsidRPr="00213F68">
        <w:rPr>
          <w:rFonts w:ascii="Garamond" w:hAnsi="Garamond"/>
        </w:rPr>
        <w:t xml:space="preserve"> </w:t>
      </w:r>
      <w:r w:rsidR="00A251F5">
        <w:rPr>
          <w:rFonts w:ascii="Garamond" w:hAnsi="Garamond"/>
        </w:rPr>
        <w:t>offer</w:t>
      </w:r>
      <w:r w:rsidRPr="00213F68">
        <w:rPr>
          <w:rFonts w:ascii="Garamond" w:hAnsi="Garamond"/>
        </w:rPr>
        <w:t xml:space="preserve"> a four</w:t>
      </w:r>
      <w:r>
        <w:rPr>
          <w:rFonts w:ascii="Garamond" w:hAnsi="Garamond"/>
        </w:rPr>
        <w:t>-</w:t>
      </w:r>
      <w:r w:rsidRPr="00213F68">
        <w:rPr>
          <w:rFonts w:ascii="Garamond" w:hAnsi="Garamond"/>
        </w:rPr>
        <w:t>year degree and</w:t>
      </w:r>
      <w:r w:rsidR="00A251F5">
        <w:rPr>
          <w:rFonts w:ascii="Garamond" w:hAnsi="Garamond"/>
        </w:rPr>
        <w:t xml:space="preserve"> require</w:t>
      </w:r>
      <w:r w:rsidRPr="00213F68">
        <w:rPr>
          <w:rFonts w:ascii="Garamond" w:hAnsi="Garamond"/>
        </w:rPr>
        <w:t xml:space="preserve"> </w:t>
      </w:r>
      <w:r w:rsidR="00A251F5">
        <w:rPr>
          <w:rFonts w:ascii="Garamond" w:hAnsi="Garamond"/>
        </w:rPr>
        <w:t>t</w:t>
      </w:r>
      <w:r w:rsidRPr="00213F68">
        <w:rPr>
          <w:rFonts w:ascii="Garamond" w:hAnsi="Garamond"/>
        </w:rPr>
        <w:t>raining at the university and in-school placement at a local preschool or primary school (on average, 24 weeks).</w:t>
      </w:r>
      <w:r w:rsidR="004518B2">
        <w:rPr>
          <w:rFonts w:ascii="Garamond" w:hAnsi="Garamond"/>
        </w:rPr>
        <w:t xml:space="preserve"> </w:t>
      </w:r>
      <w:r w:rsidRPr="00213F68">
        <w:rPr>
          <w:rFonts w:ascii="Garamond" w:hAnsi="Garamond"/>
        </w:rPr>
        <w:t xml:space="preserve"> </w:t>
      </w:r>
      <w:r w:rsidR="00381F63">
        <w:rPr>
          <w:rFonts w:ascii="Garamond" w:hAnsi="Garamond"/>
        </w:rPr>
        <w:t>T</w:t>
      </w:r>
      <w:r w:rsidRPr="00213F68">
        <w:rPr>
          <w:rFonts w:ascii="Garamond" w:hAnsi="Garamond"/>
        </w:rPr>
        <w:t xml:space="preserve">hose who want to teach at a secondary school (12- to - 18-year-old youngsters) must follow a </w:t>
      </w:r>
      <w:r w:rsidR="00A251F5">
        <w:rPr>
          <w:rFonts w:ascii="Garamond" w:hAnsi="Garamond"/>
        </w:rPr>
        <w:t xml:space="preserve">one-year </w:t>
      </w:r>
      <w:r w:rsidRPr="00213F68">
        <w:rPr>
          <w:rFonts w:ascii="Garamond" w:hAnsi="Garamond"/>
        </w:rPr>
        <w:t>master</w:t>
      </w:r>
      <w:r w:rsidR="00181877">
        <w:rPr>
          <w:rFonts w:ascii="Garamond" w:hAnsi="Garamond"/>
        </w:rPr>
        <w:t>’</w:t>
      </w:r>
      <w:r w:rsidRPr="00213F68">
        <w:rPr>
          <w:rFonts w:ascii="Garamond" w:hAnsi="Garamond"/>
        </w:rPr>
        <w:t xml:space="preserve">s course after obtaining their bachelor’s degree. </w:t>
      </w:r>
      <w:r w:rsidR="00381F63">
        <w:rPr>
          <w:rFonts w:ascii="Garamond" w:hAnsi="Garamond"/>
        </w:rPr>
        <w:t xml:space="preserve"> </w:t>
      </w:r>
      <w:r w:rsidRPr="00213F68">
        <w:rPr>
          <w:rFonts w:ascii="Garamond" w:hAnsi="Garamond"/>
        </w:rPr>
        <w:t>Th</w:t>
      </w:r>
      <w:r w:rsidR="00D46D95">
        <w:rPr>
          <w:rFonts w:ascii="Garamond" w:hAnsi="Garamond"/>
        </w:rPr>
        <w:t>e</w:t>
      </w:r>
      <w:r w:rsidRPr="00213F68">
        <w:rPr>
          <w:rFonts w:ascii="Garamond" w:hAnsi="Garamond"/>
        </w:rPr>
        <w:t xml:space="preserve"> master</w:t>
      </w:r>
      <w:r w:rsidR="00181877">
        <w:rPr>
          <w:rFonts w:ascii="Garamond" w:hAnsi="Garamond"/>
        </w:rPr>
        <w:t>’</w:t>
      </w:r>
      <w:r w:rsidR="004664A4">
        <w:rPr>
          <w:rFonts w:ascii="Garamond" w:hAnsi="Garamond"/>
        </w:rPr>
        <w:t>s</w:t>
      </w:r>
      <w:r w:rsidRPr="00213F68">
        <w:rPr>
          <w:rFonts w:ascii="Garamond" w:hAnsi="Garamond"/>
        </w:rPr>
        <w:t xml:space="preserve"> course </w:t>
      </w:r>
      <w:r w:rsidR="00A251F5">
        <w:rPr>
          <w:rFonts w:ascii="Garamond" w:hAnsi="Garamond"/>
        </w:rPr>
        <w:t>also requires a six-week</w:t>
      </w:r>
      <w:r w:rsidRPr="00213F68">
        <w:rPr>
          <w:rFonts w:ascii="Garamond" w:hAnsi="Garamond"/>
        </w:rPr>
        <w:t xml:space="preserve"> in-school placement</w:t>
      </w:r>
      <w:r w:rsidR="00A251F5">
        <w:rPr>
          <w:rFonts w:ascii="Garamond" w:hAnsi="Garamond"/>
        </w:rPr>
        <w:t xml:space="preserve"> during which </w:t>
      </w:r>
      <w:r w:rsidRPr="00213F68">
        <w:rPr>
          <w:rFonts w:ascii="Garamond" w:hAnsi="Garamond"/>
        </w:rPr>
        <w:t xml:space="preserve">all pre-service teachers participate in the school activity </w:t>
      </w:r>
      <w:r w:rsidRPr="00213F68">
        <w:rPr>
          <w:rFonts w:ascii="Garamond" w:hAnsi="Garamond"/>
        </w:rPr>
        <w:lastRenderedPageBreak/>
        <w:t xml:space="preserve">under the supervision of a schoolteacher who has contact with the professor at the university in charge of the student. </w:t>
      </w:r>
      <w:r w:rsidR="004518B2">
        <w:rPr>
          <w:rFonts w:ascii="Garamond" w:hAnsi="Garamond"/>
        </w:rPr>
        <w:t xml:space="preserve"> </w:t>
      </w:r>
      <w:r w:rsidR="00A251F5">
        <w:rPr>
          <w:rFonts w:ascii="Garamond" w:hAnsi="Garamond"/>
        </w:rPr>
        <w:t xml:space="preserve">The current study context, </w:t>
      </w:r>
      <w:r w:rsidRPr="00213F68">
        <w:rPr>
          <w:rFonts w:ascii="Garamond" w:hAnsi="Garamond"/>
        </w:rPr>
        <w:t>region of Catalonia</w:t>
      </w:r>
      <w:r w:rsidR="00A251F5">
        <w:rPr>
          <w:rFonts w:ascii="Garamond" w:hAnsi="Garamond"/>
        </w:rPr>
        <w:t xml:space="preserve">, </w:t>
      </w:r>
      <w:r w:rsidRPr="00213F68">
        <w:rPr>
          <w:rFonts w:ascii="Garamond" w:hAnsi="Garamond"/>
        </w:rPr>
        <w:t xml:space="preserve">is undergoing </w:t>
      </w:r>
      <w:r w:rsidR="00396CB9">
        <w:rPr>
          <w:rFonts w:ascii="Garamond" w:hAnsi="Garamond"/>
        </w:rPr>
        <w:t>a comprehensive school reform</w:t>
      </w:r>
      <w:r w:rsidRPr="00213F68">
        <w:rPr>
          <w:rFonts w:ascii="Garamond" w:hAnsi="Garamond"/>
        </w:rPr>
        <w:t xml:space="preserve"> driven by social organizations and the Education Administration</w:t>
      </w:r>
      <w:r w:rsidR="00396CB9">
        <w:rPr>
          <w:rFonts w:ascii="Garamond" w:hAnsi="Garamond"/>
        </w:rPr>
        <w:t>, which has led to two major initiatives in teacher preparation.  The f</w:t>
      </w:r>
      <w:r w:rsidR="004518B2">
        <w:rPr>
          <w:rFonts w:ascii="Garamond" w:hAnsi="Garamond"/>
        </w:rPr>
        <w:t>irst</w:t>
      </w:r>
      <w:r w:rsidR="00396CB9">
        <w:rPr>
          <w:rFonts w:ascii="Garamond" w:hAnsi="Garamond"/>
        </w:rPr>
        <w:t xml:space="preserve"> initiative—</w:t>
      </w:r>
      <w:r w:rsidRPr="00213F68">
        <w:rPr>
          <w:rFonts w:ascii="Garamond" w:hAnsi="Garamond"/>
        </w:rPr>
        <w:t>Public Agency for the Quality of the University System of Catalonia</w:t>
      </w:r>
      <w:r w:rsidR="00396CB9">
        <w:rPr>
          <w:rFonts w:ascii="Garamond" w:hAnsi="Garamond"/>
        </w:rPr>
        <w:t xml:space="preserve"> of 2013—</w:t>
      </w:r>
      <w:r w:rsidR="00396CB9" w:rsidRPr="00396CB9">
        <w:rPr>
          <w:rFonts w:ascii="Garamond" w:hAnsi="Garamond"/>
        </w:rPr>
        <w:t xml:space="preserve"> </w:t>
      </w:r>
      <w:r w:rsidR="00396CB9" w:rsidRPr="00213F68">
        <w:rPr>
          <w:rFonts w:ascii="Garamond" w:hAnsi="Garamond"/>
        </w:rPr>
        <w:t>aims to improve teacher training education (MIF Program)</w:t>
      </w:r>
      <w:r w:rsidR="00396CB9">
        <w:rPr>
          <w:rFonts w:ascii="Garamond" w:hAnsi="Garamond"/>
        </w:rPr>
        <w:t xml:space="preserve"> by the development of </w:t>
      </w:r>
      <w:r w:rsidRPr="00213F68">
        <w:rPr>
          <w:rFonts w:ascii="Garamond" w:hAnsi="Garamond"/>
        </w:rPr>
        <w:t xml:space="preserve">an action-research program involving 10 Universities. </w:t>
      </w:r>
      <w:r w:rsidR="00381F63">
        <w:rPr>
          <w:rFonts w:ascii="Garamond" w:hAnsi="Garamond"/>
        </w:rPr>
        <w:t xml:space="preserve"> </w:t>
      </w:r>
      <w:r w:rsidR="00396CB9">
        <w:rPr>
          <w:rFonts w:ascii="Garamond" w:hAnsi="Garamond"/>
        </w:rPr>
        <w:t>The se</w:t>
      </w:r>
      <w:r w:rsidR="004518B2">
        <w:rPr>
          <w:rFonts w:ascii="Garamond" w:hAnsi="Garamond"/>
        </w:rPr>
        <w:t>cond</w:t>
      </w:r>
      <w:r w:rsidR="00396CB9">
        <w:rPr>
          <w:rFonts w:ascii="Garamond" w:hAnsi="Garamond"/>
        </w:rPr>
        <w:t xml:space="preserve"> initiative—the “</w:t>
      </w:r>
      <w:r w:rsidRPr="00213F68">
        <w:rPr>
          <w:rFonts w:ascii="Garamond" w:hAnsi="Garamond"/>
        </w:rPr>
        <w:t>Escola nova 21</w:t>
      </w:r>
      <w:r w:rsidR="00396CB9">
        <w:rPr>
          <w:rFonts w:ascii="Garamond" w:hAnsi="Garamond"/>
        </w:rPr>
        <w:t xml:space="preserve">” </w:t>
      </w:r>
      <w:r w:rsidRPr="00213F68">
        <w:rPr>
          <w:rFonts w:ascii="Garamond" w:hAnsi="Garamond"/>
        </w:rPr>
        <w:t xml:space="preserve">project, led by </w:t>
      </w:r>
      <w:proofErr w:type="spellStart"/>
      <w:r w:rsidRPr="00213F68">
        <w:rPr>
          <w:rFonts w:ascii="Garamond" w:hAnsi="Garamond"/>
        </w:rPr>
        <w:t>Jaume</w:t>
      </w:r>
      <w:proofErr w:type="spellEnd"/>
      <w:r w:rsidRPr="00213F68">
        <w:rPr>
          <w:rFonts w:ascii="Garamond" w:hAnsi="Garamond"/>
        </w:rPr>
        <w:t xml:space="preserve"> </w:t>
      </w:r>
      <w:proofErr w:type="spellStart"/>
      <w:r w:rsidRPr="00213F68">
        <w:rPr>
          <w:rFonts w:ascii="Garamond" w:hAnsi="Garamond"/>
        </w:rPr>
        <w:t>Bofill</w:t>
      </w:r>
      <w:proofErr w:type="spellEnd"/>
      <w:r w:rsidRPr="00213F68">
        <w:rPr>
          <w:rFonts w:ascii="Garamond" w:hAnsi="Garamond"/>
        </w:rPr>
        <w:t xml:space="preserve"> Foundation, </w:t>
      </w:r>
      <w:r w:rsidR="00396CB9">
        <w:rPr>
          <w:rFonts w:ascii="Garamond" w:hAnsi="Garamond"/>
        </w:rPr>
        <w:t>UNESCO</w:t>
      </w:r>
      <w:r w:rsidRPr="00213F68">
        <w:rPr>
          <w:rFonts w:ascii="Garamond" w:hAnsi="Garamond"/>
        </w:rPr>
        <w:t xml:space="preserve"> and Open University of Catalonia, </w:t>
      </w:r>
      <w:r w:rsidR="00396CB9">
        <w:rPr>
          <w:rFonts w:ascii="Garamond" w:hAnsi="Garamond"/>
        </w:rPr>
        <w:t>involves</w:t>
      </w:r>
      <w:r w:rsidRPr="00213F68">
        <w:rPr>
          <w:rFonts w:ascii="Garamond" w:hAnsi="Garamond"/>
        </w:rPr>
        <w:t xml:space="preserve"> 480 schools working together for educational change. </w:t>
      </w:r>
      <w:r w:rsidR="00381F63">
        <w:rPr>
          <w:rFonts w:ascii="Garamond" w:hAnsi="Garamond"/>
        </w:rPr>
        <w:t xml:space="preserve"> </w:t>
      </w:r>
      <w:r w:rsidRPr="00213F68">
        <w:rPr>
          <w:rFonts w:ascii="Garamond" w:hAnsi="Garamond"/>
        </w:rPr>
        <w:t>Both initiatives</w:t>
      </w:r>
      <w:r w:rsidR="00A251F5">
        <w:rPr>
          <w:rFonts w:ascii="Garamond" w:hAnsi="Garamond"/>
        </w:rPr>
        <w:t xml:space="preserve"> </w:t>
      </w:r>
      <w:r w:rsidR="000C5335">
        <w:rPr>
          <w:rFonts w:ascii="Garamond" w:hAnsi="Garamond"/>
        </w:rPr>
        <w:t xml:space="preserve">have </w:t>
      </w:r>
      <w:r w:rsidR="00396CB9">
        <w:rPr>
          <w:rFonts w:ascii="Garamond" w:hAnsi="Garamond"/>
        </w:rPr>
        <w:t>challenge</w:t>
      </w:r>
      <w:r w:rsidR="000C5335">
        <w:rPr>
          <w:rFonts w:ascii="Garamond" w:hAnsi="Garamond"/>
        </w:rPr>
        <w:t>d</w:t>
      </w:r>
      <w:r w:rsidR="00396CB9">
        <w:rPr>
          <w:rFonts w:ascii="Garamond" w:hAnsi="Garamond"/>
        </w:rPr>
        <w:t xml:space="preserve"> the way in which teacher competencies are </w:t>
      </w:r>
      <w:r w:rsidR="000C5335">
        <w:rPr>
          <w:rFonts w:ascii="Garamond" w:hAnsi="Garamond"/>
        </w:rPr>
        <w:t xml:space="preserve">defined and </w:t>
      </w:r>
      <w:r w:rsidR="00396CB9">
        <w:rPr>
          <w:rFonts w:ascii="Garamond" w:hAnsi="Garamond"/>
        </w:rPr>
        <w:t>developed during preparation programs and call</w:t>
      </w:r>
      <w:r w:rsidR="000C5335">
        <w:rPr>
          <w:rFonts w:ascii="Garamond" w:hAnsi="Garamond"/>
        </w:rPr>
        <w:t>ed</w:t>
      </w:r>
      <w:r w:rsidR="00396CB9">
        <w:rPr>
          <w:rFonts w:ascii="Garamond" w:hAnsi="Garamond"/>
        </w:rPr>
        <w:t xml:space="preserve"> for a shift of </w:t>
      </w:r>
      <w:r w:rsidRPr="00213F68">
        <w:rPr>
          <w:rFonts w:ascii="Garamond" w:hAnsi="Garamond"/>
        </w:rPr>
        <w:t xml:space="preserve">teacher </w:t>
      </w:r>
      <w:r w:rsidR="00396CB9">
        <w:rPr>
          <w:rFonts w:ascii="Garamond" w:hAnsi="Garamond"/>
        </w:rPr>
        <w:t>role</w:t>
      </w:r>
      <w:r w:rsidR="000C5335">
        <w:rPr>
          <w:rFonts w:ascii="Garamond" w:hAnsi="Garamond"/>
        </w:rPr>
        <w:t xml:space="preserve"> to a more collaborative, </w:t>
      </w:r>
      <w:r w:rsidR="000C5335" w:rsidRPr="00213F68">
        <w:rPr>
          <w:rFonts w:ascii="Garamond" w:hAnsi="Garamond"/>
        </w:rPr>
        <w:t xml:space="preserve">interdisciplinary </w:t>
      </w:r>
      <w:r w:rsidR="000C5335">
        <w:rPr>
          <w:rFonts w:ascii="Garamond" w:hAnsi="Garamond"/>
        </w:rPr>
        <w:t xml:space="preserve">one </w:t>
      </w:r>
      <w:r w:rsidRPr="00213F68">
        <w:rPr>
          <w:rFonts w:ascii="Garamond" w:hAnsi="Garamond"/>
        </w:rPr>
        <w:t>(</w:t>
      </w:r>
      <w:proofErr w:type="spellStart"/>
      <w:r w:rsidRPr="00213F68">
        <w:rPr>
          <w:rFonts w:ascii="Garamond" w:hAnsi="Garamond"/>
        </w:rPr>
        <w:t>Civís</w:t>
      </w:r>
      <w:proofErr w:type="spellEnd"/>
      <w:r w:rsidRPr="00213F68">
        <w:rPr>
          <w:rFonts w:ascii="Garamond" w:hAnsi="Garamond"/>
        </w:rPr>
        <w:t xml:space="preserve">, </w:t>
      </w:r>
      <w:proofErr w:type="spellStart"/>
      <w:r w:rsidRPr="00213F68">
        <w:rPr>
          <w:rFonts w:ascii="Garamond" w:hAnsi="Garamond"/>
        </w:rPr>
        <w:t>Díaz</w:t>
      </w:r>
      <w:proofErr w:type="spellEnd"/>
      <w:r w:rsidRPr="00213F68">
        <w:rPr>
          <w:rFonts w:ascii="Garamond" w:hAnsi="Garamond"/>
        </w:rPr>
        <w:t xml:space="preserve">-Gibson, </w:t>
      </w:r>
      <w:proofErr w:type="spellStart"/>
      <w:r w:rsidRPr="00213F68">
        <w:rPr>
          <w:rFonts w:ascii="Garamond" w:hAnsi="Garamond"/>
        </w:rPr>
        <w:t>Fontanet</w:t>
      </w:r>
      <w:proofErr w:type="spellEnd"/>
      <w:r w:rsidR="00381F63">
        <w:rPr>
          <w:rFonts w:ascii="Garamond" w:hAnsi="Garamond"/>
        </w:rPr>
        <w:t>,</w:t>
      </w:r>
      <w:r w:rsidRPr="00213F68">
        <w:rPr>
          <w:rFonts w:ascii="Garamond" w:hAnsi="Garamond"/>
        </w:rPr>
        <w:t xml:space="preserve"> &amp; </w:t>
      </w:r>
      <w:proofErr w:type="spellStart"/>
      <w:r w:rsidRPr="00213F68">
        <w:rPr>
          <w:rFonts w:ascii="Garamond" w:hAnsi="Garamond"/>
        </w:rPr>
        <w:t>López</w:t>
      </w:r>
      <w:proofErr w:type="spellEnd"/>
      <w:r w:rsidRPr="00213F68">
        <w:rPr>
          <w:rFonts w:ascii="Garamond" w:hAnsi="Garamond"/>
        </w:rPr>
        <w:t>, 2018).</w:t>
      </w:r>
      <w:r w:rsidR="000C5335">
        <w:rPr>
          <w:rFonts w:ascii="Garamond" w:hAnsi="Garamond"/>
        </w:rPr>
        <w:t xml:space="preserve">  </w:t>
      </w:r>
    </w:p>
    <w:p w14:paraId="6730522E" w14:textId="77777777" w:rsidR="00AA2144" w:rsidRDefault="00791145" w:rsidP="00AA2144">
      <w:pPr>
        <w:widowControl/>
        <w:snapToGrid w:val="0"/>
        <w:spacing w:line="480" w:lineRule="auto"/>
        <w:rPr>
          <w:rFonts w:ascii="Garamond" w:hAnsi="Garamond"/>
        </w:rPr>
      </w:pPr>
      <w:r w:rsidRPr="00EC7A70">
        <w:rPr>
          <w:rFonts w:ascii="Garamond" w:hAnsi="Garamond"/>
          <w:b/>
        </w:rPr>
        <w:t>Teacher Preparation in US</w:t>
      </w:r>
    </w:p>
    <w:p w14:paraId="2F841F30" w14:textId="1255304C" w:rsidR="006D3025" w:rsidRDefault="00C0489E" w:rsidP="00AA2144">
      <w:pPr>
        <w:widowControl/>
        <w:snapToGrid w:val="0"/>
        <w:spacing w:line="480" w:lineRule="auto"/>
        <w:ind w:firstLine="720"/>
        <w:rPr>
          <w:rFonts w:ascii="Garamond" w:hAnsi="Garamond"/>
        </w:rPr>
      </w:pPr>
      <w:r w:rsidRPr="00EC7A70">
        <w:rPr>
          <w:rFonts w:ascii="Garamond" w:hAnsi="Garamond"/>
        </w:rPr>
        <w:t xml:space="preserve">Education policy </w:t>
      </w:r>
      <w:r w:rsidR="00044B4F" w:rsidRPr="00EC7A70">
        <w:rPr>
          <w:rFonts w:ascii="Garamond" w:hAnsi="Garamond"/>
        </w:rPr>
        <w:t xml:space="preserve">in the </w:t>
      </w:r>
      <w:r w:rsidR="0046450D" w:rsidRPr="00EC7A70">
        <w:rPr>
          <w:rFonts w:ascii="Garamond" w:hAnsi="Garamond"/>
        </w:rPr>
        <w:t>US</w:t>
      </w:r>
      <w:r w:rsidR="00044B4F" w:rsidRPr="00EC7A70">
        <w:rPr>
          <w:rFonts w:ascii="Garamond" w:hAnsi="Garamond"/>
        </w:rPr>
        <w:t xml:space="preserve"> places a great</w:t>
      </w:r>
      <w:r w:rsidR="005C0092" w:rsidRPr="00EC7A70">
        <w:rPr>
          <w:rFonts w:ascii="Garamond" w:hAnsi="Garamond"/>
        </w:rPr>
        <w:t xml:space="preserve"> deal of </w:t>
      </w:r>
      <w:r w:rsidR="00044B4F" w:rsidRPr="00EC7A70">
        <w:rPr>
          <w:rFonts w:ascii="Garamond" w:hAnsi="Garamond"/>
        </w:rPr>
        <w:t>emphasis on the issue of teacher training</w:t>
      </w:r>
      <w:r w:rsidR="005C0092" w:rsidRPr="00EC7A70">
        <w:rPr>
          <w:rFonts w:ascii="Garamond" w:hAnsi="Garamond"/>
        </w:rPr>
        <w:t>.  This has resulted in</w:t>
      </w:r>
      <w:r w:rsidR="00044B4F" w:rsidRPr="00EC7A70">
        <w:rPr>
          <w:rFonts w:ascii="Garamond" w:hAnsi="Garamond"/>
        </w:rPr>
        <w:t xml:space="preserve"> the fact that the No Child Left Behind </w:t>
      </w:r>
      <w:r w:rsidR="0029496C" w:rsidRPr="00EC7A70">
        <w:rPr>
          <w:rFonts w:ascii="Garamond" w:hAnsi="Garamond"/>
        </w:rPr>
        <w:t xml:space="preserve">(NCLB) </w:t>
      </w:r>
      <w:r w:rsidR="00044B4F" w:rsidRPr="00EC7A70">
        <w:rPr>
          <w:rFonts w:ascii="Garamond" w:hAnsi="Garamond"/>
        </w:rPr>
        <w:t>Act of 2001 delineated teacher competences by assessing</w:t>
      </w:r>
      <w:r w:rsidR="0029496C" w:rsidRPr="00EC7A70">
        <w:rPr>
          <w:rFonts w:ascii="Garamond" w:hAnsi="Garamond"/>
        </w:rPr>
        <w:t xml:space="preserve"> teachers’ pedagogical content knowledge and </w:t>
      </w:r>
      <w:r w:rsidR="00044B4F" w:rsidRPr="00EC7A70">
        <w:rPr>
          <w:rFonts w:ascii="Garamond" w:hAnsi="Garamond"/>
        </w:rPr>
        <w:t>skills and student performance (Hill &amp; Barth, 2004)</w:t>
      </w:r>
      <w:r w:rsidR="005C0092" w:rsidRPr="00EC7A70">
        <w:rPr>
          <w:rFonts w:ascii="Garamond" w:hAnsi="Garamond"/>
        </w:rPr>
        <w:t xml:space="preserve">, and of these competences, </w:t>
      </w:r>
      <w:r w:rsidR="00044B4F" w:rsidRPr="00EC7A70">
        <w:rPr>
          <w:rFonts w:ascii="Garamond" w:hAnsi="Garamond"/>
        </w:rPr>
        <w:t xml:space="preserve">knowledge and skills are directly linked to </w:t>
      </w:r>
      <w:r w:rsidR="0029496C" w:rsidRPr="00EC7A70">
        <w:rPr>
          <w:rFonts w:ascii="Garamond" w:hAnsi="Garamond"/>
        </w:rPr>
        <w:t xml:space="preserve">initial </w:t>
      </w:r>
      <w:r w:rsidR="00044B4F" w:rsidRPr="00EC7A70">
        <w:rPr>
          <w:rFonts w:ascii="Garamond" w:hAnsi="Garamond"/>
        </w:rPr>
        <w:t xml:space="preserve">teacher preparation.  </w:t>
      </w:r>
      <w:r w:rsidR="00413615" w:rsidRPr="00EC7A70">
        <w:rPr>
          <w:rFonts w:ascii="Garamond" w:hAnsi="Garamond"/>
        </w:rPr>
        <w:t xml:space="preserve">Since then many states offer </w:t>
      </w:r>
      <w:r w:rsidR="00DD4A65" w:rsidRPr="00EC7A70">
        <w:rPr>
          <w:rFonts w:ascii="Garamond" w:hAnsi="Garamond"/>
        </w:rPr>
        <w:t xml:space="preserve">similar or alternative </w:t>
      </w:r>
      <w:r w:rsidR="006D3025" w:rsidRPr="00EC7A70">
        <w:rPr>
          <w:rFonts w:ascii="Garamond" w:hAnsi="Garamond"/>
        </w:rPr>
        <w:t>pathways</w:t>
      </w:r>
      <w:r w:rsidR="00413615" w:rsidRPr="00EC7A70">
        <w:rPr>
          <w:rFonts w:ascii="Garamond" w:hAnsi="Garamond"/>
        </w:rPr>
        <w:t xml:space="preserve"> to certification for prospective teachers.  </w:t>
      </w:r>
      <w:r w:rsidR="006D3025" w:rsidRPr="00EC7A70">
        <w:rPr>
          <w:rFonts w:ascii="Garamond" w:hAnsi="Garamond"/>
        </w:rPr>
        <w:t>In general</w:t>
      </w:r>
      <w:r w:rsidR="00413615" w:rsidRPr="00EC7A70">
        <w:rPr>
          <w:rFonts w:ascii="Garamond" w:hAnsi="Garamond"/>
        </w:rPr>
        <w:t xml:space="preserve">, teaching </w:t>
      </w:r>
      <w:r w:rsidR="00F066B6" w:rsidRPr="00EC7A70">
        <w:rPr>
          <w:rFonts w:ascii="Garamond" w:hAnsi="Garamond"/>
        </w:rPr>
        <w:t xml:space="preserve">certificates are issued by the states’ accredited education agencies (mostly through university-based undergraduate teacher preparation programs with some through teacher pipeline programs of community colleges) for specific or general subject areas and grade levels.  Prior to obtaining a teaching certificate, teacher candidates are required to complete a bachelor’s degree with coursework tailoring to </w:t>
      </w:r>
      <w:r w:rsidR="00CB1AEF" w:rsidRPr="00EC7A70">
        <w:rPr>
          <w:rFonts w:ascii="Garamond" w:hAnsi="Garamond"/>
        </w:rPr>
        <w:t xml:space="preserve">the subject areas they will be teaching together with pedagogical knowledge and skills.  In addition, these candidates must also complete required practicum or student teaching and pass a series of state level examinations in </w:t>
      </w:r>
      <w:r w:rsidR="00CB1AEF" w:rsidRPr="00EC7A70">
        <w:rPr>
          <w:rFonts w:ascii="Garamond" w:hAnsi="Garamond"/>
        </w:rPr>
        <w:lastRenderedPageBreak/>
        <w:t>pedagogy, content knowledge and skills</w:t>
      </w:r>
      <w:r w:rsidR="00047444" w:rsidRPr="00EC7A70">
        <w:rPr>
          <w:rFonts w:ascii="Garamond" w:hAnsi="Garamond"/>
        </w:rPr>
        <w:t xml:space="preserve">.  </w:t>
      </w:r>
      <w:r w:rsidR="00181877" w:rsidRPr="00181877">
        <w:rPr>
          <w:rFonts w:ascii="Garamond" w:hAnsi="Garamond"/>
        </w:rPr>
        <w:t>Despite the pathways to teacher certification, there remains a lack of clarity on how best to meet nationwide expectations for quality teachers in terms of the emphasis on the social component in teacher education and preparation (</w:t>
      </w:r>
      <w:proofErr w:type="spellStart"/>
      <w:r w:rsidR="00181877" w:rsidRPr="00181877">
        <w:rPr>
          <w:rFonts w:ascii="Garamond" w:hAnsi="Garamond"/>
        </w:rPr>
        <w:t>Oberle</w:t>
      </w:r>
      <w:proofErr w:type="spellEnd"/>
      <w:r w:rsidR="00181877" w:rsidRPr="00181877">
        <w:rPr>
          <w:rFonts w:ascii="Garamond" w:hAnsi="Garamond"/>
        </w:rPr>
        <w:t xml:space="preserve"> &amp; </w:t>
      </w:r>
      <w:proofErr w:type="spellStart"/>
      <w:r w:rsidR="00181877" w:rsidRPr="00181877">
        <w:rPr>
          <w:rFonts w:ascii="Garamond" w:hAnsi="Garamond"/>
        </w:rPr>
        <w:t>Schonert-Reichl</w:t>
      </w:r>
      <w:proofErr w:type="spellEnd"/>
      <w:r w:rsidR="00181877" w:rsidRPr="00181877">
        <w:rPr>
          <w:rFonts w:ascii="Garamond" w:hAnsi="Garamond"/>
        </w:rPr>
        <w:t>, 2017), especially given international emphasis on a social approach to learning and improvement (OECD, 2013).</w:t>
      </w:r>
      <w:r w:rsidR="000D7832">
        <w:rPr>
          <w:rFonts w:ascii="Garamond" w:hAnsi="Garamond"/>
        </w:rPr>
        <w:t xml:space="preserve"> </w:t>
      </w:r>
    </w:p>
    <w:p w14:paraId="747DD31A" w14:textId="77777777" w:rsidR="00400E78" w:rsidRPr="00EC7A70" w:rsidRDefault="00400E78" w:rsidP="00400E78">
      <w:pPr>
        <w:widowControl/>
        <w:snapToGrid w:val="0"/>
        <w:spacing w:line="480" w:lineRule="auto"/>
        <w:jc w:val="center"/>
        <w:rPr>
          <w:rFonts w:ascii="Garamond" w:hAnsi="Garamond"/>
          <w:b/>
          <w:bCs/>
        </w:rPr>
      </w:pPr>
      <w:r w:rsidRPr="00EC7A70">
        <w:rPr>
          <w:rFonts w:ascii="Garamond" w:hAnsi="Garamond"/>
          <w:b/>
          <w:bCs/>
        </w:rPr>
        <w:t>Framework</w:t>
      </w:r>
    </w:p>
    <w:p w14:paraId="6254E393" w14:textId="40AC017E" w:rsidR="00AA2144" w:rsidRPr="00EC7A70" w:rsidRDefault="00AA2144" w:rsidP="00BA3BF3">
      <w:pPr>
        <w:widowControl/>
        <w:snapToGrid w:val="0"/>
        <w:spacing w:line="480" w:lineRule="auto"/>
        <w:ind w:firstLine="720"/>
        <w:rPr>
          <w:rFonts w:ascii="Garamond" w:hAnsi="Garamond"/>
        </w:rPr>
      </w:pPr>
      <w:r>
        <w:rPr>
          <w:rFonts w:ascii="Garamond" w:hAnsi="Garamond"/>
        </w:rPr>
        <w:t>We draw on social network theory to discuss the role of relational ties in individual capital development</w:t>
      </w:r>
      <w:r w:rsidR="00BA3BF3">
        <w:rPr>
          <w:rFonts w:ascii="Garamond" w:hAnsi="Garamond"/>
        </w:rPr>
        <w:t xml:space="preserve">.  We </w:t>
      </w:r>
      <w:r w:rsidR="00BA3BF3" w:rsidRPr="00EC7A70">
        <w:rPr>
          <w:rFonts w:ascii="Garamond" w:hAnsi="Garamond"/>
        </w:rPr>
        <w:t xml:space="preserve">review </w:t>
      </w:r>
      <w:r w:rsidR="00BA3BF3">
        <w:rPr>
          <w:rFonts w:ascii="Garamond" w:hAnsi="Garamond"/>
        </w:rPr>
        <w:t xml:space="preserve">research </w:t>
      </w:r>
      <w:r w:rsidR="00BA3BF3" w:rsidRPr="00EC7A70">
        <w:rPr>
          <w:rFonts w:ascii="Garamond" w:hAnsi="Garamond"/>
        </w:rPr>
        <w:t xml:space="preserve">literature around core factors that have a hypothesized relationship with the existence of a </w:t>
      </w:r>
      <w:r w:rsidR="00BA3BF3">
        <w:rPr>
          <w:rFonts w:ascii="Garamond" w:hAnsi="Garamond"/>
        </w:rPr>
        <w:t>relational</w:t>
      </w:r>
      <w:r w:rsidR="00BA3BF3" w:rsidRPr="00EC7A70">
        <w:rPr>
          <w:rFonts w:ascii="Garamond" w:hAnsi="Garamond"/>
        </w:rPr>
        <w:t xml:space="preserve"> tie including: self-efficacy, peer trust, innovative climate, and gender</w:t>
      </w:r>
      <w:r>
        <w:rPr>
          <w:rFonts w:ascii="Garamond" w:hAnsi="Garamond"/>
        </w:rPr>
        <w:t xml:space="preserve">.  </w:t>
      </w:r>
    </w:p>
    <w:p w14:paraId="57FCE340" w14:textId="67F1DFE8" w:rsidR="003A0AAD" w:rsidRPr="00EC7A70" w:rsidRDefault="00533196" w:rsidP="006B77C1">
      <w:pPr>
        <w:widowControl/>
        <w:snapToGrid w:val="0"/>
        <w:spacing w:line="480" w:lineRule="auto"/>
        <w:rPr>
          <w:rFonts w:ascii="Garamond" w:hAnsi="Garamond"/>
          <w:b/>
          <w:bCs/>
        </w:rPr>
      </w:pPr>
      <w:r w:rsidRPr="00EC7A70">
        <w:rPr>
          <w:rFonts w:ascii="Garamond" w:hAnsi="Garamond"/>
          <w:b/>
          <w:bCs/>
        </w:rPr>
        <w:t xml:space="preserve">Social Network Theory and </w:t>
      </w:r>
      <w:r w:rsidR="006B77C1" w:rsidRPr="00EC7A70">
        <w:rPr>
          <w:rFonts w:ascii="Garamond" w:hAnsi="Garamond"/>
          <w:b/>
          <w:bCs/>
        </w:rPr>
        <w:t>Relational</w:t>
      </w:r>
      <w:r w:rsidRPr="00EC7A70">
        <w:rPr>
          <w:rFonts w:ascii="Garamond" w:hAnsi="Garamond"/>
          <w:b/>
          <w:bCs/>
        </w:rPr>
        <w:t xml:space="preserve"> Ties</w:t>
      </w:r>
    </w:p>
    <w:p w14:paraId="518A327B" w14:textId="458EFBF4" w:rsidR="006B77C1" w:rsidRPr="00EC7A70" w:rsidRDefault="009647D8" w:rsidP="009647D8">
      <w:pPr>
        <w:widowControl/>
        <w:snapToGrid w:val="0"/>
        <w:spacing w:line="480" w:lineRule="auto"/>
        <w:ind w:firstLine="720"/>
        <w:rPr>
          <w:rFonts w:ascii="Garamond" w:hAnsi="Garamond"/>
        </w:rPr>
      </w:pPr>
      <w:r w:rsidRPr="00EC7A70">
        <w:rPr>
          <w:rFonts w:ascii="Garamond" w:hAnsi="Garamond"/>
        </w:rPr>
        <w:t>S</w:t>
      </w:r>
      <w:r w:rsidR="006B77C1" w:rsidRPr="00EC7A70">
        <w:rPr>
          <w:rFonts w:ascii="Garamond" w:hAnsi="Garamond"/>
        </w:rPr>
        <w:t>ocial network theory is</w:t>
      </w:r>
      <w:r w:rsidRPr="00EC7A70">
        <w:rPr>
          <w:rFonts w:ascii="Garamond" w:hAnsi="Garamond"/>
        </w:rPr>
        <w:t xml:space="preserve"> generally</w:t>
      </w:r>
      <w:r w:rsidR="006B77C1" w:rsidRPr="00EC7A70">
        <w:rPr>
          <w:rFonts w:ascii="Garamond" w:hAnsi="Garamond"/>
        </w:rPr>
        <w:t xml:space="preserve"> concerned with the pattern of relational ties between </w:t>
      </w:r>
      <w:r w:rsidR="004664A4">
        <w:rPr>
          <w:rFonts w:ascii="Garamond" w:hAnsi="Garamond"/>
        </w:rPr>
        <w:t>actors</w:t>
      </w:r>
      <w:r w:rsidR="006B77C1" w:rsidRPr="00EC7A70">
        <w:rPr>
          <w:rFonts w:ascii="Garamond" w:hAnsi="Garamond"/>
        </w:rPr>
        <w:t xml:space="preserve"> </w:t>
      </w:r>
      <w:r w:rsidR="004664A4">
        <w:rPr>
          <w:rFonts w:ascii="Garamond" w:hAnsi="Garamond"/>
        </w:rPr>
        <w:t>within a</w:t>
      </w:r>
      <w:r w:rsidR="001E74CB" w:rsidRPr="00EC7A70">
        <w:rPr>
          <w:rFonts w:ascii="Garamond" w:hAnsi="Garamond"/>
        </w:rPr>
        <w:t xml:space="preserve"> </w:t>
      </w:r>
      <w:r w:rsidR="006B77C1" w:rsidRPr="00EC7A70">
        <w:rPr>
          <w:rFonts w:ascii="Garamond" w:hAnsi="Garamond"/>
        </w:rPr>
        <w:t>network</w:t>
      </w:r>
      <w:r w:rsidRPr="00EC7A70">
        <w:rPr>
          <w:rFonts w:ascii="Garamond" w:hAnsi="Garamond"/>
        </w:rPr>
        <w:t xml:space="preserve"> </w:t>
      </w:r>
      <w:r w:rsidR="001E74CB" w:rsidRPr="00EC7A70">
        <w:rPr>
          <w:rFonts w:ascii="Garamond" w:hAnsi="Garamond"/>
        </w:rPr>
        <w:t xml:space="preserve">that may support or constrain </w:t>
      </w:r>
      <w:r w:rsidRPr="00EC7A70">
        <w:rPr>
          <w:rFonts w:ascii="Garamond" w:hAnsi="Garamond"/>
        </w:rPr>
        <w:t xml:space="preserve">the </w:t>
      </w:r>
      <w:r w:rsidR="001E74CB" w:rsidRPr="00EC7A70">
        <w:rPr>
          <w:rFonts w:ascii="Garamond" w:hAnsi="Garamond"/>
        </w:rPr>
        <w:t xml:space="preserve">accessibility and mobilization </w:t>
      </w:r>
      <w:r w:rsidRPr="00EC7A70">
        <w:rPr>
          <w:rFonts w:ascii="Garamond" w:hAnsi="Garamond"/>
        </w:rPr>
        <w:t>of</w:t>
      </w:r>
      <w:r w:rsidR="001E74CB" w:rsidRPr="00EC7A70">
        <w:rPr>
          <w:rFonts w:ascii="Garamond" w:hAnsi="Garamond"/>
        </w:rPr>
        <w:t xml:space="preserve"> relational</w:t>
      </w:r>
      <w:r w:rsidRPr="00EC7A70">
        <w:rPr>
          <w:rFonts w:ascii="Garamond" w:hAnsi="Garamond"/>
        </w:rPr>
        <w:t xml:space="preserve"> resources </w:t>
      </w:r>
      <w:r w:rsidR="001E74CB" w:rsidRPr="00EC7A70">
        <w:rPr>
          <w:rFonts w:ascii="Garamond" w:hAnsi="Garamond"/>
        </w:rPr>
        <w:t xml:space="preserve">embedded within sets of actors </w:t>
      </w:r>
      <w:r w:rsidR="006B77C1" w:rsidRPr="00EC7A70">
        <w:rPr>
          <w:rFonts w:ascii="Garamond" w:hAnsi="Garamond"/>
        </w:rPr>
        <w:t xml:space="preserve">(Scott, 2000).  </w:t>
      </w:r>
      <w:r w:rsidR="00F03FF9" w:rsidRPr="00EC7A70">
        <w:rPr>
          <w:rFonts w:ascii="Garamond" w:hAnsi="Garamond"/>
        </w:rPr>
        <w:t>Central to this notion is the important role of relational ties</w:t>
      </w:r>
      <w:r w:rsidR="006F37B3" w:rsidRPr="00EC7A70">
        <w:rPr>
          <w:rFonts w:ascii="Garamond" w:hAnsi="Garamond"/>
        </w:rPr>
        <w:t xml:space="preserve"> </w:t>
      </w:r>
      <w:r w:rsidR="00F03FF9" w:rsidRPr="00EC7A70">
        <w:rPr>
          <w:rFonts w:ascii="Garamond" w:hAnsi="Garamond"/>
        </w:rPr>
        <w:t xml:space="preserve">through which </w:t>
      </w:r>
      <w:r w:rsidR="006B77C1" w:rsidRPr="00EC7A70">
        <w:rPr>
          <w:rFonts w:ascii="Garamond" w:hAnsi="Garamond"/>
        </w:rPr>
        <w:t xml:space="preserve">social capital can be </w:t>
      </w:r>
      <w:r w:rsidR="00F03FF9" w:rsidRPr="00EC7A70">
        <w:rPr>
          <w:rFonts w:ascii="Garamond" w:hAnsi="Garamond"/>
        </w:rPr>
        <w:t>developed</w:t>
      </w:r>
      <w:r w:rsidR="006B77C1" w:rsidRPr="00EC7A70">
        <w:rPr>
          <w:rFonts w:ascii="Garamond" w:hAnsi="Garamond"/>
        </w:rPr>
        <w:t xml:space="preserve"> </w:t>
      </w:r>
      <w:r w:rsidR="00F03FF9" w:rsidRPr="00EC7A70">
        <w:rPr>
          <w:rFonts w:ascii="Garamond" w:hAnsi="Garamond"/>
        </w:rPr>
        <w:t xml:space="preserve">and accumulated </w:t>
      </w:r>
      <w:r w:rsidR="006B77C1" w:rsidRPr="00EC7A70">
        <w:rPr>
          <w:rFonts w:ascii="Garamond" w:hAnsi="Garamond"/>
        </w:rPr>
        <w:t>(</w:t>
      </w:r>
      <w:proofErr w:type="spellStart"/>
      <w:r w:rsidR="006B77C1" w:rsidRPr="00EC7A70">
        <w:rPr>
          <w:rFonts w:ascii="Garamond" w:hAnsi="Garamond"/>
        </w:rPr>
        <w:t>Kilduff</w:t>
      </w:r>
      <w:proofErr w:type="spellEnd"/>
      <w:r w:rsidR="006B77C1" w:rsidRPr="00EC7A70">
        <w:rPr>
          <w:rFonts w:ascii="Garamond" w:hAnsi="Garamond"/>
        </w:rPr>
        <w:t xml:space="preserve"> &amp; Tsai, 2003; Lin, 2009).  Relational ties between and among actors can be regarded as multiple channels and opportunities in which resources travel across the network </w:t>
      </w:r>
      <w:r w:rsidR="006A745D" w:rsidRPr="00EC7A70">
        <w:rPr>
          <w:rFonts w:ascii="Garamond" w:hAnsi="Garamond"/>
        </w:rPr>
        <w:t xml:space="preserve">from actor to actor </w:t>
      </w:r>
      <w:r w:rsidR="006F37B3" w:rsidRPr="00EC7A70">
        <w:rPr>
          <w:rFonts w:ascii="Garamond" w:hAnsi="Garamond"/>
        </w:rPr>
        <w:t xml:space="preserve">for purposive action such as exchange social contacts and useful information for job search </w:t>
      </w:r>
      <w:r w:rsidR="006B77C1" w:rsidRPr="00EC7A70">
        <w:rPr>
          <w:rFonts w:ascii="Garamond" w:hAnsi="Garamond"/>
        </w:rPr>
        <w:t>(</w:t>
      </w:r>
      <w:r w:rsidR="00400E78">
        <w:rPr>
          <w:rFonts w:ascii="Garamond" w:hAnsi="Garamond"/>
        </w:rPr>
        <w:t xml:space="preserve">Cross &amp; Borgatti, 2004; </w:t>
      </w:r>
      <w:r w:rsidR="006B77C1" w:rsidRPr="00EC7A70">
        <w:rPr>
          <w:rFonts w:ascii="Garamond" w:hAnsi="Garamond"/>
        </w:rPr>
        <w:t xml:space="preserve">Lin, 2009).  </w:t>
      </w:r>
      <w:r w:rsidR="006A745D" w:rsidRPr="00EC7A70">
        <w:rPr>
          <w:rFonts w:ascii="Garamond" w:hAnsi="Garamond"/>
        </w:rPr>
        <w:t xml:space="preserve">In turn, </w:t>
      </w:r>
      <w:r w:rsidR="006B77C1" w:rsidRPr="00EC7A70">
        <w:rPr>
          <w:rFonts w:ascii="Garamond" w:hAnsi="Garamond"/>
        </w:rPr>
        <w:t xml:space="preserve">actors may benefit from the exchange of resources and as a result develop and/or accumulate </w:t>
      </w:r>
      <w:r w:rsidR="006F37B3" w:rsidRPr="00EC7A70">
        <w:rPr>
          <w:rFonts w:ascii="Garamond" w:hAnsi="Garamond"/>
        </w:rPr>
        <w:t xml:space="preserve">their </w:t>
      </w:r>
      <w:r w:rsidR="006B77C1" w:rsidRPr="00EC7A70">
        <w:rPr>
          <w:rFonts w:ascii="Garamond" w:hAnsi="Garamond"/>
        </w:rPr>
        <w:t>capital</w:t>
      </w:r>
      <w:r w:rsidR="006F37B3" w:rsidRPr="00EC7A70">
        <w:rPr>
          <w:rFonts w:ascii="Garamond" w:hAnsi="Garamond"/>
        </w:rPr>
        <w:t xml:space="preserve"> asset</w:t>
      </w:r>
      <w:r w:rsidR="006B77C1" w:rsidRPr="00EC7A70">
        <w:rPr>
          <w:rFonts w:ascii="Garamond" w:hAnsi="Garamond"/>
        </w:rPr>
        <w:t xml:space="preserve">.  This view of social networks and </w:t>
      </w:r>
      <w:r w:rsidR="006F37B3" w:rsidRPr="00EC7A70">
        <w:rPr>
          <w:rFonts w:ascii="Garamond" w:hAnsi="Garamond"/>
        </w:rPr>
        <w:t>its</w:t>
      </w:r>
      <w:r w:rsidR="006B77C1" w:rsidRPr="00EC7A70">
        <w:rPr>
          <w:rFonts w:ascii="Garamond" w:hAnsi="Garamond"/>
        </w:rPr>
        <w:t xml:space="preserve"> relation</w:t>
      </w:r>
      <w:r w:rsidR="006F37B3" w:rsidRPr="00EC7A70">
        <w:rPr>
          <w:rFonts w:ascii="Garamond" w:hAnsi="Garamond"/>
        </w:rPr>
        <w:t>ship</w:t>
      </w:r>
      <w:r w:rsidR="006B77C1" w:rsidRPr="00EC7A70">
        <w:rPr>
          <w:rFonts w:ascii="Garamond" w:hAnsi="Garamond"/>
        </w:rPr>
        <w:t xml:space="preserve"> to social capital is based on the assumption that resources are </w:t>
      </w:r>
      <w:r w:rsidR="006F37B3" w:rsidRPr="00EC7A70">
        <w:rPr>
          <w:rFonts w:ascii="Garamond" w:hAnsi="Garamond"/>
        </w:rPr>
        <w:t xml:space="preserve">embedded within relational </w:t>
      </w:r>
      <w:r w:rsidR="006B77C1" w:rsidRPr="00EC7A70">
        <w:rPr>
          <w:rFonts w:ascii="Garamond" w:hAnsi="Garamond"/>
        </w:rPr>
        <w:t xml:space="preserve">ties that can be accessed and </w:t>
      </w:r>
      <w:r w:rsidR="006F37B3" w:rsidRPr="00EC7A70">
        <w:rPr>
          <w:rFonts w:ascii="Garamond" w:hAnsi="Garamond"/>
        </w:rPr>
        <w:t>mobilized</w:t>
      </w:r>
      <w:r w:rsidR="006B77C1" w:rsidRPr="00EC7A70">
        <w:rPr>
          <w:rFonts w:ascii="Garamond" w:hAnsi="Garamond"/>
        </w:rPr>
        <w:t xml:space="preserve"> to </w:t>
      </w:r>
      <w:r w:rsidR="006F37B3" w:rsidRPr="00EC7A70">
        <w:rPr>
          <w:rFonts w:ascii="Garamond" w:hAnsi="Garamond"/>
        </w:rPr>
        <w:t>shape</w:t>
      </w:r>
      <w:r w:rsidR="006B77C1" w:rsidRPr="00EC7A70">
        <w:rPr>
          <w:rFonts w:ascii="Garamond" w:hAnsi="Garamond"/>
        </w:rPr>
        <w:t xml:space="preserve"> social capital (</w:t>
      </w:r>
      <w:r w:rsidR="006E71AF" w:rsidRPr="00EC7A70">
        <w:rPr>
          <w:rFonts w:ascii="Garamond" w:hAnsi="Garamond"/>
        </w:rPr>
        <w:t>Lin, 2009</w:t>
      </w:r>
      <w:r w:rsidR="006B77C1" w:rsidRPr="00EC7A70">
        <w:rPr>
          <w:rFonts w:ascii="Garamond" w:hAnsi="Garamond"/>
        </w:rPr>
        <w:t xml:space="preserve">).  </w:t>
      </w:r>
      <w:r w:rsidR="004664A4">
        <w:rPr>
          <w:rFonts w:ascii="Garamond" w:hAnsi="Garamond"/>
        </w:rPr>
        <w:t>Actors</w:t>
      </w:r>
      <w:r w:rsidR="000179CF" w:rsidRPr="00EC7A70">
        <w:rPr>
          <w:rFonts w:ascii="Garamond" w:hAnsi="Garamond"/>
        </w:rPr>
        <w:t xml:space="preserve"> with more ties are more likely</w:t>
      </w:r>
      <w:r w:rsidR="006B77C1" w:rsidRPr="00EC7A70">
        <w:rPr>
          <w:rFonts w:ascii="Garamond" w:hAnsi="Garamond"/>
        </w:rPr>
        <w:t xml:space="preserve"> to </w:t>
      </w:r>
      <w:r w:rsidR="000179CF" w:rsidRPr="00EC7A70">
        <w:rPr>
          <w:rFonts w:ascii="Garamond" w:hAnsi="Garamond"/>
        </w:rPr>
        <w:t>quickly</w:t>
      </w:r>
      <w:r w:rsidR="006B77C1" w:rsidRPr="00EC7A70">
        <w:rPr>
          <w:rFonts w:ascii="Garamond" w:hAnsi="Garamond"/>
        </w:rPr>
        <w:t xml:space="preserve"> move resources </w:t>
      </w:r>
      <w:r w:rsidR="000179CF" w:rsidRPr="00EC7A70">
        <w:rPr>
          <w:rFonts w:ascii="Garamond" w:hAnsi="Garamond"/>
        </w:rPr>
        <w:t>across</w:t>
      </w:r>
      <w:r w:rsidR="006B77C1" w:rsidRPr="00EC7A70">
        <w:rPr>
          <w:rFonts w:ascii="Garamond" w:hAnsi="Garamond"/>
        </w:rPr>
        <w:t xml:space="preserve"> the network </w:t>
      </w:r>
      <w:r w:rsidR="006A745D" w:rsidRPr="00EC7A70">
        <w:rPr>
          <w:rFonts w:ascii="Garamond" w:hAnsi="Garamond"/>
        </w:rPr>
        <w:t xml:space="preserve">as they are well-connected to a large number of actors </w:t>
      </w:r>
      <w:r w:rsidR="006B77C1" w:rsidRPr="00EC7A70">
        <w:rPr>
          <w:rFonts w:ascii="Garamond" w:hAnsi="Garamond"/>
        </w:rPr>
        <w:t xml:space="preserve">(Lin, 2009).  In contrast, actors with fewer </w:t>
      </w:r>
      <w:r w:rsidR="006A745D" w:rsidRPr="00EC7A70">
        <w:rPr>
          <w:rFonts w:ascii="Garamond" w:hAnsi="Garamond"/>
        </w:rPr>
        <w:t xml:space="preserve">or no </w:t>
      </w:r>
      <w:r w:rsidR="006B77C1" w:rsidRPr="00EC7A70">
        <w:rPr>
          <w:rFonts w:ascii="Garamond" w:hAnsi="Garamond"/>
        </w:rPr>
        <w:t xml:space="preserve">relational ties may have limited access to the </w:t>
      </w:r>
      <w:r w:rsidR="006B77C1" w:rsidRPr="00EC7A70">
        <w:rPr>
          <w:rFonts w:ascii="Garamond" w:hAnsi="Garamond"/>
        </w:rPr>
        <w:lastRenderedPageBreak/>
        <w:t xml:space="preserve">mainstream information and </w:t>
      </w:r>
      <w:r w:rsidR="006A745D" w:rsidRPr="00EC7A70">
        <w:rPr>
          <w:rFonts w:ascii="Garamond" w:hAnsi="Garamond"/>
        </w:rPr>
        <w:t xml:space="preserve">may </w:t>
      </w:r>
      <w:r w:rsidR="006B77C1" w:rsidRPr="00EC7A70">
        <w:rPr>
          <w:rFonts w:ascii="Garamond" w:hAnsi="Garamond"/>
        </w:rPr>
        <w:t xml:space="preserve">not be able to </w:t>
      </w:r>
      <w:r w:rsidR="00400E78">
        <w:rPr>
          <w:rFonts w:ascii="Garamond" w:hAnsi="Garamond"/>
        </w:rPr>
        <w:t xml:space="preserve">efficiently </w:t>
      </w:r>
      <w:r w:rsidR="006B77C1" w:rsidRPr="00EC7A70">
        <w:rPr>
          <w:rFonts w:ascii="Garamond" w:hAnsi="Garamond"/>
        </w:rPr>
        <w:t>move information</w:t>
      </w:r>
      <w:r w:rsidR="006A745D" w:rsidRPr="00EC7A70">
        <w:rPr>
          <w:rFonts w:ascii="Garamond" w:hAnsi="Garamond"/>
        </w:rPr>
        <w:t xml:space="preserve"> because </w:t>
      </w:r>
      <w:r w:rsidR="00417ECD">
        <w:rPr>
          <w:rFonts w:ascii="Garamond" w:hAnsi="Garamond"/>
        </w:rPr>
        <w:t>the</w:t>
      </w:r>
      <w:r w:rsidR="000D7832">
        <w:rPr>
          <w:rFonts w:ascii="Garamond" w:hAnsi="Garamond"/>
        </w:rPr>
        <w:t>ir</w:t>
      </w:r>
      <w:r w:rsidR="00417ECD">
        <w:rPr>
          <w:rFonts w:ascii="Garamond" w:hAnsi="Garamond"/>
        </w:rPr>
        <w:t xml:space="preserve"> communication channels are less </w:t>
      </w:r>
      <w:r w:rsidR="006A745D" w:rsidRPr="00EC7A70">
        <w:rPr>
          <w:rFonts w:ascii="Garamond" w:hAnsi="Garamond"/>
        </w:rPr>
        <w:t xml:space="preserve">well-connected.  However, these peripheral actors </w:t>
      </w:r>
      <w:r w:rsidR="006B77C1" w:rsidRPr="00EC7A70">
        <w:rPr>
          <w:rFonts w:ascii="Garamond" w:hAnsi="Garamond"/>
        </w:rPr>
        <w:t xml:space="preserve">may possess greater freedom to access information that is not </w:t>
      </w:r>
      <w:r w:rsidR="006A745D" w:rsidRPr="00EC7A70">
        <w:rPr>
          <w:rFonts w:ascii="Garamond" w:hAnsi="Garamond"/>
        </w:rPr>
        <w:t>dominated</w:t>
      </w:r>
      <w:r w:rsidR="006B77C1" w:rsidRPr="00EC7A70">
        <w:rPr>
          <w:rFonts w:ascii="Garamond" w:hAnsi="Garamond"/>
        </w:rPr>
        <w:t xml:space="preserve"> by more “mainstream” centrally located actors (</w:t>
      </w:r>
      <w:proofErr w:type="spellStart"/>
      <w:r w:rsidR="006B77C1" w:rsidRPr="00EC7A70">
        <w:rPr>
          <w:rFonts w:ascii="Garamond" w:hAnsi="Garamond"/>
        </w:rPr>
        <w:t>Granovetter</w:t>
      </w:r>
      <w:proofErr w:type="spellEnd"/>
      <w:r w:rsidR="006B77C1" w:rsidRPr="00EC7A70">
        <w:rPr>
          <w:rFonts w:ascii="Garamond" w:hAnsi="Garamond"/>
        </w:rPr>
        <w:t xml:space="preserve">, 1973).    </w:t>
      </w:r>
    </w:p>
    <w:p w14:paraId="00EDCB48" w14:textId="6CC5AF42" w:rsidR="00EB4B6E" w:rsidRPr="00EC7A70" w:rsidRDefault="0096505E" w:rsidP="00EB4B6E">
      <w:pPr>
        <w:widowControl/>
        <w:snapToGrid w:val="0"/>
        <w:spacing w:line="480" w:lineRule="auto"/>
        <w:ind w:firstLine="720"/>
        <w:rPr>
          <w:rFonts w:ascii="Garamond" w:hAnsi="Garamond"/>
        </w:rPr>
      </w:pPr>
      <w:r>
        <w:rPr>
          <w:rFonts w:ascii="Garamond" w:hAnsi="Garamond"/>
        </w:rPr>
        <w:t xml:space="preserve">A </w:t>
      </w:r>
      <w:r w:rsidR="006B77C1" w:rsidRPr="00EC7A70">
        <w:rPr>
          <w:rFonts w:ascii="Garamond" w:hAnsi="Garamond"/>
        </w:rPr>
        <w:t xml:space="preserve">growing number of researchers in education have </w:t>
      </w:r>
      <w:r w:rsidR="000179CF" w:rsidRPr="00EC7A70">
        <w:rPr>
          <w:rFonts w:ascii="Garamond" w:hAnsi="Garamond"/>
        </w:rPr>
        <w:t>applied social network method</w:t>
      </w:r>
      <w:r w:rsidR="009A4C98">
        <w:rPr>
          <w:rFonts w:ascii="Garamond" w:hAnsi="Garamond"/>
        </w:rPr>
        <w:t>s</w:t>
      </w:r>
      <w:r w:rsidR="006B77C1" w:rsidRPr="00EC7A70">
        <w:rPr>
          <w:rFonts w:ascii="Garamond" w:hAnsi="Garamond"/>
        </w:rPr>
        <w:t xml:space="preserve"> </w:t>
      </w:r>
      <w:r w:rsidR="000179CF" w:rsidRPr="00EC7A70">
        <w:rPr>
          <w:rFonts w:ascii="Garamond" w:hAnsi="Garamond"/>
        </w:rPr>
        <w:t xml:space="preserve">to study different social phenomena </w:t>
      </w:r>
      <w:r w:rsidR="006B77C1" w:rsidRPr="00EC7A70">
        <w:rPr>
          <w:rFonts w:ascii="Garamond" w:hAnsi="Garamond"/>
        </w:rPr>
        <w:t>in a variety of educational settings (</w:t>
      </w:r>
      <w:r w:rsidR="00400E78">
        <w:rPr>
          <w:rFonts w:ascii="Garamond" w:hAnsi="Garamond"/>
        </w:rPr>
        <w:t xml:space="preserve">e.g., </w:t>
      </w:r>
      <w:proofErr w:type="spellStart"/>
      <w:r w:rsidR="00912077">
        <w:rPr>
          <w:rFonts w:ascii="Garamond" w:hAnsi="Garamond"/>
        </w:rPr>
        <w:t>P</w:t>
      </w:r>
      <w:r w:rsidR="00400E78" w:rsidRPr="00EC7A70">
        <w:rPr>
          <w:rFonts w:ascii="Garamond" w:hAnsi="Garamond"/>
        </w:rPr>
        <w:t>enuel</w:t>
      </w:r>
      <w:proofErr w:type="spellEnd"/>
      <w:r w:rsidR="00400E78" w:rsidRPr="00EC7A70">
        <w:rPr>
          <w:rFonts w:ascii="Garamond" w:hAnsi="Garamond"/>
        </w:rPr>
        <w:t>, Sun, Frank, &amp; Gallagher, 2012</w:t>
      </w:r>
      <w:r w:rsidR="00057F78">
        <w:rPr>
          <w:rFonts w:ascii="Garamond" w:hAnsi="Garamond"/>
        </w:rPr>
        <w:t>; Yoon et al., 2017</w:t>
      </w:r>
      <w:r w:rsidR="006B77C1" w:rsidRPr="00EC7A70">
        <w:rPr>
          <w:rFonts w:ascii="Garamond" w:hAnsi="Garamond"/>
        </w:rPr>
        <w:t xml:space="preserve">).  This line of </w:t>
      </w:r>
      <w:r w:rsidR="000179CF" w:rsidRPr="00EC7A70">
        <w:rPr>
          <w:rFonts w:ascii="Garamond" w:hAnsi="Garamond"/>
        </w:rPr>
        <w:t>research</w:t>
      </w:r>
      <w:r w:rsidR="006B77C1" w:rsidRPr="00EC7A70">
        <w:rPr>
          <w:rFonts w:ascii="Garamond" w:hAnsi="Garamond"/>
        </w:rPr>
        <w:t xml:space="preserve"> suggests that relational ties and resulting networks are consequential in supporting and constraining the exchange of </w:t>
      </w:r>
      <w:r w:rsidR="006A745D" w:rsidRPr="00EC7A70">
        <w:rPr>
          <w:rFonts w:ascii="Garamond" w:hAnsi="Garamond"/>
        </w:rPr>
        <w:t xml:space="preserve">instructional </w:t>
      </w:r>
      <w:r w:rsidR="006B77C1" w:rsidRPr="00EC7A70">
        <w:rPr>
          <w:rFonts w:ascii="Garamond" w:hAnsi="Garamond"/>
        </w:rPr>
        <w:t>p</w:t>
      </w:r>
      <w:r w:rsidR="000179CF" w:rsidRPr="00EC7A70">
        <w:rPr>
          <w:rFonts w:ascii="Garamond" w:hAnsi="Garamond"/>
        </w:rPr>
        <w:t>ractice (Spillane</w:t>
      </w:r>
      <w:r w:rsidR="0072300B">
        <w:rPr>
          <w:rFonts w:ascii="Garamond" w:hAnsi="Garamond"/>
        </w:rPr>
        <w:t xml:space="preserve">, </w:t>
      </w:r>
      <w:r w:rsidR="0072300B" w:rsidRPr="00A85154">
        <w:rPr>
          <w:rFonts w:ascii="Garamond" w:hAnsi="Garamond"/>
        </w:rPr>
        <w:t xml:space="preserve">Kim, </w:t>
      </w:r>
      <w:r w:rsidR="0072300B">
        <w:rPr>
          <w:rFonts w:ascii="Garamond" w:hAnsi="Garamond"/>
        </w:rPr>
        <w:t>&amp;</w:t>
      </w:r>
      <w:r w:rsidR="0072300B" w:rsidRPr="00A85154">
        <w:rPr>
          <w:rFonts w:ascii="Garamond" w:hAnsi="Garamond"/>
        </w:rPr>
        <w:t xml:space="preserve"> Frank</w:t>
      </w:r>
      <w:r w:rsidR="000179CF" w:rsidRPr="00EC7A70">
        <w:rPr>
          <w:rFonts w:ascii="Garamond" w:hAnsi="Garamond"/>
        </w:rPr>
        <w:t>, 2012), student learning</w:t>
      </w:r>
      <w:r w:rsidR="006B77C1" w:rsidRPr="00EC7A70">
        <w:rPr>
          <w:rFonts w:ascii="Garamond" w:hAnsi="Garamond"/>
        </w:rPr>
        <w:t xml:space="preserve"> </w:t>
      </w:r>
      <w:r w:rsidR="000179CF" w:rsidRPr="00EC7A70">
        <w:rPr>
          <w:rFonts w:ascii="Garamond" w:hAnsi="Garamond"/>
        </w:rPr>
        <w:t>outcomes</w:t>
      </w:r>
      <w:r w:rsidR="006B77C1" w:rsidRPr="00EC7A70">
        <w:rPr>
          <w:rFonts w:ascii="Garamond" w:hAnsi="Garamond"/>
        </w:rPr>
        <w:t xml:space="preserve"> (</w:t>
      </w:r>
      <w:proofErr w:type="spellStart"/>
      <w:r w:rsidR="00400E78" w:rsidRPr="00EC7A70">
        <w:rPr>
          <w:rFonts w:ascii="Garamond" w:hAnsi="Garamond"/>
        </w:rPr>
        <w:t>Pil</w:t>
      </w:r>
      <w:proofErr w:type="spellEnd"/>
      <w:r w:rsidR="00400E78" w:rsidRPr="00EC7A70">
        <w:rPr>
          <w:rFonts w:ascii="Garamond" w:hAnsi="Garamond"/>
        </w:rPr>
        <w:t xml:space="preserve"> &amp; </w:t>
      </w:r>
      <w:proofErr w:type="spellStart"/>
      <w:r w:rsidR="00400E78" w:rsidRPr="00EC7A70">
        <w:rPr>
          <w:rFonts w:ascii="Garamond" w:hAnsi="Garamond"/>
        </w:rPr>
        <w:t>Leana</w:t>
      </w:r>
      <w:proofErr w:type="spellEnd"/>
      <w:r w:rsidR="00400E78" w:rsidRPr="00EC7A70">
        <w:rPr>
          <w:rFonts w:ascii="Garamond" w:hAnsi="Garamond"/>
        </w:rPr>
        <w:t>, 2009</w:t>
      </w:r>
      <w:r w:rsidR="006B77C1" w:rsidRPr="00EC7A70">
        <w:rPr>
          <w:rFonts w:ascii="Garamond" w:hAnsi="Garamond"/>
        </w:rPr>
        <w:t>)</w:t>
      </w:r>
      <w:r w:rsidR="000179CF" w:rsidRPr="00EC7A70">
        <w:rPr>
          <w:rFonts w:ascii="Garamond" w:hAnsi="Garamond"/>
        </w:rPr>
        <w:t xml:space="preserve">, teacher beliefs (Spillane, Hopkins, &amp; Sweet, 2018), </w:t>
      </w:r>
      <w:r w:rsidR="00521296">
        <w:rPr>
          <w:rFonts w:ascii="Garamond" w:hAnsi="Garamond"/>
        </w:rPr>
        <w:t>and te</w:t>
      </w:r>
      <w:r w:rsidR="000179CF" w:rsidRPr="00EC7A70">
        <w:rPr>
          <w:rFonts w:ascii="Garamond" w:hAnsi="Garamond"/>
        </w:rPr>
        <w:t>aching performance (Authors et al., 2014)</w:t>
      </w:r>
      <w:r w:rsidR="006B77C1" w:rsidRPr="00EC7A70">
        <w:rPr>
          <w:rFonts w:ascii="Garamond" w:hAnsi="Garamond"/>
        </w:rPr>
        <w:t xml:space="preserve">.  </w:t>
      </w:r>
      <w:r w:rsidR="00417ECD">
        <w:rPr>
          <w:rFonts w:ascii="Garamond" w:hAnsi="Garamond"/>
        </w:rPr>
        <w:t>Applying this relational approach to teacher education, r</w:t>
      </w:r>
      <w:r w:rsidR="00EB4B6E" w:rsidRPr="00EC7A70">
        <w:rPr>
          <w:rFonts w:ascii="Garamond" w:hAnsi="Garamond"/>
        </w:rPr>
        <w:t xml:space="preserve">esearch suggests that a community-based model that fosters a collaborative learning environment from which </w:t>
      </w:r>
      <w:r w:rsidR="00400E78">
        <w:rPr>
          <w:rFonts w:ascii="Garamond" w:hAnsi="Garamond"/>
        </w:rPr>
        <w:t>pro-</w:t>
      </w:r>
      <w:r w:rsidR="00521296">
        <w:rPr>
          <w:rFonts w:ascii="Garamond" w:hAnsi="Garamond"/>
        </w:rPr>
        <w:t>social ties between/</w:t>
      </w:r>
      <w:r w:rsidR="00EB4B6E" w:rsidRPr="00EC7A70">
        <w:rPr>
          <w:rFonts w:ascii="Garamond" w:hAnsi="Garamond"/>
        </w:rPr>
        <w:t xml:space="preserve">among pre-service teachers are formed may be valuable (Nobles, Dredger, &amp; </w:t>
      </w:r>
      <w:proofErr w:type="spellStart"/>
      <w:r w:rsidR="00EB4B6E" w:rsidRPr="00EC7A70">
        <w:rPr>
          <w:rFonts w:ascii="Garamond" w:hAnsi="Garamond"/>
        </w:rPr>
        <w:t>Gerheart</w:t>
      </w:r>
      <w:proofErr w:type="spellEnd"/>
      <w:r w:rsidR="00EB4B6E" w:rsidRPr="00EC7A70">
        <w:rPr>
          <w:rFonts w:ascii="Garamond" w:hAnsi="Garamond"/>
        </w:rPr>
        <w:t xml:space="preserve">, 2012).  </w:t>
      </w:r>
      <w:r w:rsidR="00D64394">
        <w:rPr>
          <w:rFonts w:ascii="Garamond" w:hAnsi="Garamond"/>
        </w:rPr>
        <w:t>For instance, p</w:t>
      </w:r>
      <w:r w:rsidR="00EB4B6E" w:rsidRPr="00EC7A70">
        <w:rPr>
          <w:rFonts w:ascii="Garamond" w:hAnsi="Garamond"/>
        </w:rPr>
        <w:t>re-service teachers who are socially connected to their peers, through collaborating on course projects and/or engaging in interpersonal communication with peers (e.g., social networking sites), have more opportunities to exchange and hone their instructional ideas and receive ongoing social support (</w:t>
      </w:r>
      <w:proofErr w:type="spellStart"/>
      <w:r w:rsidR="00EB4B6E" w:rsidRPr="00EC7A70">
        <w:rPr>
          <w:rFonts w:ascii="Garamond" w:hAnsi="Garamond"/>
        </w:rPr>
        <w:t>Steinbrecher</w:t>
      </w:r>
      <w:proofErr w:type="spellEnd"/>
      <w:r w:rsidR="00EB4B6E" w:rsidRPr="00EC7A70">
        <w:rPr>
          <w:rFonts w:ascii="Garamond" w:hAnsi="Garamond"/>
        </w:rPr>
        <w:t xml:space="preserve"> &amp; Hart, 2012).  Another line of research </w:t>
      </w:r>
      <w:r w:rsidR="000010CC" w:rsidRPr="00EC7A70">
        <w:rPr>
          <w:rFonts w:ascii="Garamond" w:hAnsi="Garamond"/>
        </w:rPr>
        <w:t xml:space="preserve">in this space </w:t>
      </w:r>
      <w:r w:rsidR="00EB4B6E" w:rsidRPr="00EC7A70">
        <w:rPr>
          <w:rFonts w:ascii="Garamond" w:hAnsi="Garamond"/>
        </w:rPr>
        <w:t xml:space="preserve">underlines the importance of face-to-face interactions that allow </w:t>
      </w:r>
      <w:r w:rsidR="000010CC" w:rsidRPr="00EC7A70">
        <w:rPr>
          <w:rFonts w:ascii="Garamond" w:hAnsi="Garamond"/>
        </w:rPr>
        <w:t xml:space="preserve">student teachers </w:t>
      </w:r>
      <w:r w:rsidR="00EB4B6E" w:rsidRPr="00EC7A70">
        <w:rPr>
          <w:rFonts w:ascii="Garamond" w:hAnsi="Garamond"/>
        </w:rPr>
        <w:t>to engage in developing and exchanging tacit and complex knowledge (</w:t>
      </w:r>
      <w:proofErr w:type="spellStart"/>
      <w:r w:rsidR="00EB4B6E" w:rsidRPr="00EC7A70">
        <w:rPr>
          <w:rFonts w:ascii="Garamond" w:hAnsi="Garamond"/>
        </w:rPr>
        <w:t>Pearcy</w:t>
      </w:r>
      <w:proofErr w:type="spellEnd"/>
      <w:r w:rsidR="00EB4B6E" w:rsidRPr="00EC7A70">
        <w:rPr>
          <w:rFonts w:ascii="Garamond" w:hAnsi="Garamond"/>
        </w:rPr>
        <w:t>, 2009), provide emotional support (Richards, Levin, &amp; Hammer, 2011), and may lead to better individual performance (</w:t>
      </w:r>
      <w:proofErr w:type="spellStart"/>
      <w:r w:rsidR="00EB4B6E" w:rsidRPr="00EC7A70">
        <w:rPr>
          <w:rFonts w:ascii="Garamond" w:hAnsi="Garamond"/>
        </w:rPr>
        <w:t>Cakiroglu</w:t>
      </w:r>
      <w:proofErr w:type="spellEnd"/>
      <w:r w:rsidR="00EB4B6E" w:rsidRPr="00EC7A70">
        <w:rPr>
          <w:rFonts w:ascii="Garamond" w:hAnsi="Garamond"/>
        </w:rPr>
        <w:t xml:space="preserve">, 2012).  </w:t>
      </w:r>
    </w:p>
    <w:p w14:paraId="3D124B0B" w14:textId="07385C11" w:rsidR="002F524F" w:rsidRPr="00EC7A70" w:rsidRDefault="00EB4B6E" w:rsidP="006B77C1">
      <w:pPr>
        <w:widowControl/>
        <w:snapToGrid w:val="0"/>
        <w:spacing w:line="480" w:lineRule="auto"/>
        <w:ind w:firstLine="720"/>
        <w:rPr>
          <w:rFonts w:ascii="Garamond" w:hAnsi="Garamond"/>
        </w:rPr>
      </w:pPr>
      <w:r w:rsidRPr="00EC7A70">
        <w:rPr>
          <w:rFonts w:ascii="Garamond" w:hAnsi="Garamond"/>
        </w:rPr>
        <w:t xml:space="preserve">It is within this line of reasoning that we examine the social ties of pre-service teacher cohorts across different settings in response to the international call for a social, networked approach to improvement.  Specifically, we intentionally focus on dyadic of pre-service teachers, namely seeking, receiving, or reciprocating behavioral patterns as they engage in instructional </w:t>
      </w:r>
      <w:r w:rsidRPr="00EC7A70">
        <w:rPr>
          <w:rFonts w:ascii="Garamond" w:hAnsi="Garamond"/>
        </w:rPr>
        <w:lastRenderedPageBreak/>
        <w:t xml:space="preserve">practice.  </w:t>
      </w:r>
      <w:r w:rsidR="006B77C1" w:rsidRPr="00EC7A70">
        <w:rPr>
          <w:rFonts w:ascii="Garamond" w:hAnsi="Garamond"/>
        </w:rPr>
        <w:t xml:space="preserve">The dyadic view </w:t>
      </w:r>
      <w:r w:rsidR="00D64394">
        <w:rPr>
          <w:rFonts w:ascii="Garamond" w:hAnsi="Garamond"/>
        </w:rPr>
        <w:t>enables the study to understand the formation of a relational tie</w:t>
      </w:r>
      <w:r w:rsidR="006B77C1" w:rsidRPr="00EC7A70">
        <w:rPr>
          <w:rFonts w:ascii="Garamond" w:hAnsi="Garamond"/>
        </w:rPr>
        <w:t xml:space="preserve">.  </w:t>
      </w:r>
      <w:r w:rsidR="00D64394">
        <w:rPr>
          <w:rFonts w:ascii="Garamond" w:hAnsi="Garamond"/>
        </w:rPr>
        <w:t>A</w:t>
      </w:r>
      <w:r w:rsidR="006B77C1" w:rsidRPr="00EC7A70">
        <w:rPr>
          <w:rFonts w:ascii="Garamond" w:hAnsi="Garamond"/>
        </w:rPr>
        <w:t xml:space="preserve"> tie between two actors (</w:t>
      </w:r>
      <w:r w:rsidR="00D64394">
        <w:rPr>
          <w:rFonts w:ascii="Garamond" w:hAnsi="Garamond"/>
        </w:rPr>
        <w:t xml:space="preserve">a </w:t>
      </w:r>
      <w:r w:rsidR="006B77C1" w:rsidRPr="00EC7A70">
        <w:rPr>
          <w:rFonts w:ascii="Garamond" w:hAnsi="Garamond"/>
        </w:rPr>
        <w:t xml:space="preserve">dyadic pair) </w:t>
      </w:r>
      <w:r w:rsidR="008909D9" w:rsidRPr="00EC7A70">
        <w:rPr>
          <w:rFonts w:ascii="Garamond" w:hAnsi="Garamond"/>
        </w:rPr>
        <w:t xml:space="preserve">involves how people select other actors from which they shape </w:t>
      </w:r>
      <w:r w:rsidR="008909D9">
        <w:rPr>
          <w:rFonts w:ascii="Garamond" w:hAnsi="Garamond"/>
        </w:rPr>
        <w:t>personal network</w:t>
      </w:r>
      <w:r w:rsidR="008909D9" w:rsidRPr="00EC7A70">
        <w:rPr>
          <w:rFonts w:ascii="Garamond" w:hAnsi="Garamond"/>
        </w:rPr>
        <w:t xml:space="preserve"> (</w:t>
      </w:r>
      <w:proofErr w:type="spellStart"/>
      <w:r w:rsidR="008909D9" w:rsidRPr="00EC7A70">
        <w:rPr>
          <w:rFonts w:ascii="Garamond" w:hAnsi="Garamond"/>
        </w:rPr>
        <w:t>Centola</w:t>
      </w:r>
      <w:proofErr w:type="spellEnd"/>
      <w:r w:rsidR="008909D9" w:rsidRPr="00EC7A70">
        <w:rPr>
          <w:rFonts w:ascii="Garamond" w:hAnsi="Garamond"/>
        </w:rPr>
        <w:t xml:space="preserve"> &amp; van de </w:t>
      </w:r>
      <w:proofErr w:type="spellStart"/>
      <w:r w:rsidR="008909D9" w:rsidRPr="00EC7A70">
        <w:rPr>
          <w:rFonts w:ascii="Garamond" w:hAnsi="Garamond"/>
        </w:rPr>
        <w:t>Rijt</w:t>
      </w:r>
      <w:proofErr w:type="spellEnd"/>
      <w:r w:rsidR="008909D9" w:rsidRPr="00EC7A70">
        <w:rPr>
          <w:rFonts w:ascii="Garamond" w:hAnsi="Garamond"/>
        </w:rPr>
        <w:t>, 2015)</w:t>
      </w:r>
      <w:r w:rsidR="008909D9">
        <w:rPr>
          <w:rFonts w:ascii="Garamond" w:hAnsi="Garamond"/>
        </w:rPr>
        <w:t xml:space="preserve"> and </w:t>
      </w:r>
      <w:r w:rsidR="006B77C1" w:rsidRPr="00EC7A70">
        <w:rPr>
          <w:rFonts w:ascii="Garamond" w:hAnsi="Garamond"/>
        </w:rPr>
        <w:t xml:space="preserve">is critical to knowledge transfer because </w:t>
      </w:r>
      <w:r w:rsidR="000010CC" w:rsidRPr="00EC7A70">
        <w:rPr>
          <w:rFonts w:ascii="Garamond" w:hAnsi="Garamond"/>
        </w:rPr>
        <w:t>i</w:t>
      </w:r>
      <w:r w:rsidR="006B77C1" w:rsidRPr="00EC7A70">
        <w:rPr>
          <w:rFonts w:ascii="Garamond" w:hAnsi="Garamond"/>
        </w:rPr>
        <w:t xml:space="preserve">ndividuals tend to form (bridge or establish) relational ties based on various social, cognitive, and demographical factors </w:t>
      </w:r>
      <w:r w:rsidR="000010CC" w:rsidRPr="00EC7A70">
        <w:rPr>
          <w:rFonts w:ascii="Garamond" w:hAnsi="Garamond"/>
        </w:rPr>
        <w:t xml:space="preserve">and purposes </w:t>
      </w:r>
      <w:r w:rsidR="006B77C1" w:rsidRPr="00EC7A70">
        <w:rPr>
          <w:rFonts w:ascii="Garamond" w:hAnsi="Garamond"/>
        </w:rPr>
        <w:t>(McPherson, Smith-</w:t>
      </w:r>
      <w:proofErr w:type="spellStart"/>
      <w:r w:rsidR="006B77C1" w:rsidRPr="00EC7A70">
        <w:rPr>
          <w:rFonts w:ascii="Garamond" w:hAnsi="Garamond"/>
        </w:rPr>
        <w:t>Lovin</w:t>
      </w:r>
      <w:proofErr w:type="spellEnd"/>
      <w:r w:rsidR="006B77C1" w:rsidRPr="00EC7A70">
        <w:rPr>
          <w:rFonts w:ascii="Garamond" w:hAnsi="Garamond"/>
        </w:rPr>
        <w:t xml:space="preserve">, &amp; Cook, 2001).  This </w:t>
      </w:r>
      <w:r w:rsidR="008909D9">
        <w:rPr>
          <w:rFonts w:ascii="Garamond" w:hAnsi="Garamond"/>
        </w:rPr>
        <w:t xml:space="preserve">tie </w:t>
      </w:r>
      <w:r w:rsidR="006B77C1" w:rsidRPr="00EC7A70">
        <w:rPr>
          <w:rFonts w:ascii="Garamond" w:hAnsi="Garamond"/>
        </w:rPr>
        <w:t xml:space="preserve">selection </w:t>
      </w:r>
      <w:r w:rsidR="008909D9">
        <w:rPr>
          <w:rFonts w:ascii="Garamond" w:hAnsi="Garamond"/>
        </w:rPr>
        <w:t>method</w:t>
      </w:r>
      <w:r w:rsidR="002F7756" w:rsidRPr="002F7756">
        <w:rPr>
          <w:rFonts w:ascii="Garamond" w:hAnsi="Garamond"/>
        </w:rPr>
        <w:t xml:space="preserve"> </w:t>
      </w:r>
      <w:r w:rsidR="002F7756">
        <w:rPr>
          <w:rFonts w:ascii="Garamond" w:hAnsi="Garamond"/>
        </w:rPr>
        <w:t>to understand interpersonal relationships</w:t>
      </w:r>
      <w:r w:rsidR="008909D9">
        <w:rPr>
          <w:rFonts w:ascii="Garamond" w:hAnsi="Garamond"/>
        </w:rPr>
        <w:t xml:space="preserve">, as opposed to degree centrality that focuses on the amount of ties one has, </w:t>
      </w:r>
      <w:r w:rsidR="00D64394">
        <w:rPr>
          <w:rFonts w:ascii="Garamond" w:hAnsi="Garamond"/>
        </w:rPr>
        <w:t xml:space="preserve">provides a different but </w:t>
      </w:r>
      <w:r w:rsidR="001133A5">
        <w:rPr>
          <w:rFonts w:ascii="Garamond" w:hAnsi="Garamond"/>
        </w:rPr>
        <w:t>critical</w:t>
      </w:r>
      <w:r w:rsidR="00D64394">
        <w:rPr>
          <w:rFonts w:ascii="Garamond" w:hAnsi="Garamond"/>
        </w:rPr>
        <w:t xml:space="preserve"> perspective on peer</w:t>
      </w:r>
      <w:r w:rsidR="006B77C1" w:rsidRPr="00EC7A70">
        <w:rPr>
          <w:rFonts w:ascii="Garamond" w:hAnsi="Garamond"/>
        </w:rPr>
        <w:t xml:space="preserve"> collaboration (Powell, Whit</w:t>
      </w:r>
      <w:r w:rsidR="004E70C1">
        <w:rPr>
          <w:rFonts w:ascii="Garamond" w:hAnsi="Garamond"/>
        </w:rPr>
        <w:t xml:space="preserve">e, </w:t>
      </w:r>
      <w:proofErr w:type="spellStart"/>
      <w:r w:rsidR="004E70C1">
        <w:rPr>
          <w:rFonts w:ascii="Garamond" w:hAnsi="Garamond"/>
        </w:rPr>
        <w:t>Koput</w:t>
      </w:r>
      <w:proofErr w:type="spellEnd"/>
      <w:r w:rsidR="004E70C1">
        <w:rPr>
          <w:rFonts w:ascii="Garamond" w:hAnsi="Garamond"/>
        </w:rPr>
        <w:t xml:space="preserve">, &amp; Owen-Smith, 2005) and </w:t>
      </w:r>
      <w:r w:rsidR="006B77C1" w:rsidRPr="00EC7A70">
        <w:rPr>
          <w:rFonts w:ascii="Garamond" w:hAnsi="Garamond"/>
        </w:rPr>
        <w:t>yield</w:t>
      </w:r>
      <w:r w:rsidR="00D64394">
        <w:rPr>
          <w:rFonts w:ascii="Garamond" w:hAnsi="Garamond"/>
        </w:rPr>
        <w:t>s</w:t>
      </w:r>
      <w:r w:rsidR="006B77C1" w:rsidRPr="00EC7A70">
        <w:rPr>
          <w:rFonts w:ascii="Garamond" w:hAnsi="Garamond"/>
        </w:rPr>
        <w:t xml:space="preserve"> more nuanced and applicable results in both research and practice (</w:t>
      </w:r>
      <w:r w:rsidR="00AB7BF3" w:rsidRPr="00AB7BF3">
        <w:rPr>
          <w:rFonts w:ascii="Garamond" w:hAnsi="Garamond"/>
        </w:rPr>
        <w:t xml:space="preserve">Van </w:t>
      </w:r>
      <w:proofErr w:type="spellStart"/>
      <w:r w:rsidR="00AB7BF3" w:rsidRPr="00AB7BF3">
        <w:rPr>
          <w:rFonts w:ascii="Garamond" w:hAnsi="Garamond"/>
        </w:rPr>
        <w:t>Duijn</w:t>
      </w:r>
      <w:proofErr w:type="spellEnd"/>
      <w:r w:rsidR="00AB7BF3">
        <w:rPr>
          <w:rFonts w:ascii="Garamond" w:hAnsi="Garamond"/>
        </w:rPr>
        <w:t xml:space="preserve"> et al.</w:t>
      </w:r>
      <w:r w:rsidR="002F524F" w:rsidRPr="00EC7A70">
        <w:rPr>
          <w:rFonts w:ascii="Garamond" w:hAnsi="Garamond"/>
        </w:rPr>
        <w:t>, 200</w:t>
      </w:r>
      <w:r w:rsidR="00AB7BF3">
        <w:rPr>
          <w:rFonts w:ascii="Garamond" w:hAnsi="Garamond"/>
        </w:rPr>
        <w:t>4</w:t>
      </w:r>
      <w:r w:rsidR="002F524F" w:rsidRPr="00EC7A70">
        <w:rPr>
          <w:rFonts w:ascii="Garamond" w:hAnsi="Garamond"/>
        </w:rPr>
        <w:t xml:space="preserve">).  </w:t>
      </w:r>
    </w:p>
    <w:p w14:paraId="5973B945" w14:textId="77777777" w:rsidR="002F524F" w:rsidRPr="00EC7A70" w:rsidRDefault="002F524F" w:rsidP="002F524F">
      <w:pPr>
        <w:widowControl/>
        <w:snapToGrid w:val="0"/>
        <w:spacing w:line="480" w:lineRule="auto"/>
        <w:rPr>
          <w:rFonts w:ascii="Garamond" w:hAnsi="Garamond"/>
          <w:b/>
        </w:rPr>
      </w:pPr>
      <w:r w:rsidRPr="00EC7A70">
        <w:rPr>
          <w:rFonts w:ascii="Garamond" w:hAnsi="Garamond"/>
          <w:b/>
        </w:rPr>
        <w:t>The Density and Reciprocity of Relational Ties</w:t>
      </w:r>
    </w:p>
    <w:p w14:paraId="6397D69A" w14:textId="3CB935ED" w:rsidR="007602D5" w:rsidRPr="00EC7A70" w:rsidRDefault="002C25F4" w:rsidP="00872877">
      <w:pPr>
        <w:widowControl/>
        <w:snapToGrid w:val="0"/>
        <w:spacing w:line="480" w:lineRule="auto"/>
        <w:ind w:firstLine="720"/>
        <w:rPr>
          <w:rFonts w:ascii="Garamond" w:hAnsi="Garamond"/>
        </w:rPr>
      </w:pPr>
      <w:r w:rsidRPr="00EC7A70">
        <w:rPr>
          <w:rFonts w:ascii="Garamond" w:hAnsi="Garamond"/>
        </w:rPr>
        <w:t>Network density</w:t>
      </w:r>
      <w:r w:rsidR="007602D5" w:rsidRPr="00EC7A70">
        <w:rPr>
          <w:rFonts w:ascii="Garamond" w:hAnsi="Garamond"/>
        </w:rPr>
        <w:t xml:space="preserve"> and reciprocity are</w:t>
      </w:r>
      <w:r w:rsidRPr="00EC7A70">
        <w:rPr>
          <w:rFonts w:ascii="Garamond" w:hAnsi="Garamond"/>
        </w:rPr>
        <w:t xml:space="preserve"> </w:t>
      </w:r>
      <w:r w:rsidR="002F524F" w:rsidRPr="00EC7A70">
        <w:rPr>
          <w:rFonts w:ascii="Garamond" w:hAnsi="Garamond"/>
        </w:rPr>
        <w:t>commonly used in most network studies</w:t>
      </w:r>
      <w:r w:rsidR="007602D5" w:rsidRPr="00EC7A70">
        <w:rPr>
          <w:rFonts w:ascii="Garamond" w:hAnsi="Garamond"/>
        </w:rPr>
        <w:t xml:space="preserve"> in exploring the overall network structure.  Network density</w:t>
      </w:r>
      <w:r w:rsidRPr="00EC7A70">
        <w:rPr>
          <w:rFonts w:ascii="Garamond" w:hAnsi="Garamond"/>
        </w:rPr>
        <w:t xml:space="preserve"> </w:t>
      </w:r>
      <w:r w:rsidR="002F524F" w:rsidRPr="00EC7A70">
        <w:rPr>
          <w:rFonts w:ascii="Garamond" w:hAnsi="Garamond"/>
        </w:rPr>
        <w:t xml:space="preserve">refers to the proportion of existing to potential ties in a network. </w:t>
      </w:r>
      <w:r w:rsidRPr="00EC7A70">
        <w:rPr>
          <w:rFonts w:ascii="Garamond" w:hAnsi="Garamond"/>
        </w:rPr>
        <w:t xml:space="preserve"> </w:t>
      </w:r>
      <w:r w:rsidR="007602D5" w:rsidRPr="00EC7A70">
        <w:rPr>
          <w:rFonts w:ascii="Garamond" w:hAnsi="Garamond"/>
        </w:rPr>
        <w:t xml:space="preserve">Network reciprocity refers to the proportion of reciprocal ties against all possible ties in a network.  </w:t>
      </w:r>
      <w:r w:rsidR="00B75507">
        <w:rPr>
          <w:rFonts w:ascii="Garamond" w:hAnsi="Garamond"/>
        </w:rPr>
        <w:t>Dense</w:t>
      </w:r>
      <w:r w:rsidR="00B75507" w:rsidRPr="00EC7A70">
        <w:rPr>
          <w:rFonts w:ascii="Garamond" w:hAnsi="Garamond"/>
        </w:rPr>
        <w:t xml:space="preserve"> </w:t>
      </w:r>
      <w:r w:rsidR="007602D5" w:rsidRPr="00EC7A70">
        <w:rPr>
          <w:rFonts w:ascii="Garamond" w:hAnsi="Garamond"/>
        </w:rPr>
        <w:t>network</w:t>
      </w:r>
      <w:r w:rsidR="00B75507">
        <w:rPr>
          <w:rFonts w:ascii="Garamond" w:hAnsi="Garamond"/>
        </w:rPr>
        <w:t>s</w:t>
      </w:r>
      <w:r w:rsidR="007602D5" w:rsidRPr="00EC7A70">
        <w:rPr>
          <w:rFonts w:ascii="Garamond" w:hAnsi="Garamond"/>
        </w:rPr>
        <w:t xml:space="preserve"> </w:t>
      </w:r>
      <w:r w:rsidR="00086F27" w:rsidRPr="00EC7A70">
        <w:rPr>
          <w:rFonts w:ascii="Garamond" w:hAnsi="Garamond"/>
        </w:rPr>
        <w:t xml:space="preserve">may provide </w:t>
      </w:r>
      <w:r w:rsidR="00493A0E" w:rsidRPr="00EC7A70">
        <w:rPr>
          <w:rFonts w:ascii="Garamond" w:hAnsi="Garamond"/>
        </w:rPr>
        <w:t>greater degree</w:t>
      </w:r>
      <w:r w:rsidR="00086F27" w:rsidRPr="00EC7A70">
        <w:rPr>
          <w:rFonts w:ascii="Garamond" w:hAnsi="Garamond"/>
        </w:rPr>
        <w:t>s</w:t>
      </w:r>
      <w:r w:rsidR="00493A0E" w:rsidRPr="00EC7A70">
        <w:rPr>
          <w:rFonts w:ascii="Garamond" w:hAnsi="Garamond"/>
        </w:rPr>
        <w:t xml:space="preserve"> of resource flow.  </w:t>
      </w:r>
      <w:r w:rsidR="007602D5" w:rsidRPr="00EC7A70">
        <w:rPr>
          <w:rFonts w:ascii="Garamond" w:hAnsi="Garamond"/>
        </w:rPr>
        <w:t xml:space="preserve">Reciprocity </w:t>
      </w:r>
      <w:r w:rsidR="00086F27" w:rsidRPr="00EC7A70">
        <w:rPr>
          <w:rFonts w:ascii="Garamond" w:hAnsi="Garamond"/>
        </w:rPr>
        <w:t xml:space="preserve">is believed to </w:t>
      </w:r>
      <w:r w:rsidR="007602D5" w:rsidRPr="00EC7A70">
        <w:rPr>
          <w:rFonts w:ascii="Garamond" w:hAnsi="Garamond"/>
        </w:rPr>
        <w:t xml:space="preserve">provide better opportunities for exchanges of tacit knowledge, because these mutual ties oftentimes involve certain levels of trust and support in the transmission of complex knowledge (Honig </w:t>
      </w:r>
      <w:r w:rsidR="007505BC" w:rsidRPr="00EC7A70">
        <w:rPr>
          <w:rFonts w:ascii="Garamond" w:hAnsi="Garamond"/>
        </w:rPr>
        <w:t>&amp;</w:t>
      </w:r>
      <w:r w:rsidR="007602D5" w:rsidRPr="00EC7A70">
        <w:rPr>
          <w:rFonts w:ascii="Garamond" w:hAnsi="Garamond"/>
        </w:rPr>
        <w:t xml:space="preserve"> </w:t>
      </w:r>
      <w:proofErr w:type="spellStart"/>
      <w:r w:rsidR="007602D5" w:rsidRPr="00EC7A70">
        <w:rPr>
          <w:rFonts w:ascii="Garamond" w:hAnsi="Garamond"/>
        </w:rPr>
        <w:t>Ikemoto</w:t>
      </w:r>
      <w:proofErr w:type="spellEnd"/>
      <w:r w:rsidR="007505BC" w:rsidRPr="00EC7A70">
        <w:rPr>
          <w:rFonts w:ascii="Garamond" w:hAnsi="Garamond"/>
        </w:rPr>
        <w:t xml:space="preserve">, </w:t>
      </w:r>
      <w:r w:rsidR="007602D5" w:rsidRPr="00EC7A70">
        <w:rPr>
          <w:rFonts w:ascii="Garamond" w:hAnsi="Garamond"/>
        </w:rPr>
        <w:t xml:space="preserve">2008).  </w:t>
      </w:r>
      <w:r w:rsidR="00493A0E" w:rsidRPr="00EC7A70">
        <w:rPr>
          <w:rFonts w:ascii="Garamond" w:hAnsi="Garamond"/>
        </w:rPr>
        <w:t xml:space="preserve">Network </w:t>
      </w:r>
      <w:r w:rsidR="001A3841" w:rsidRPr="00EC7A70">
        <w:rPr>
          <w:rFonts w:ascii="Garamond" w:hAnsi="Garamond"/>
        </w:rPr>
        <w:t>researchers</w:t>
      </w:r>
      <w:r w:rsidR="00493A0E" w:rsidRPr="00EC7A70">
        <w:rPr>
          <w:rFonts w:ascii="Garamond" w:hAnsi="Garamond"/>
        </w:rPr>
        <w:t xml:space="preserve"> in education </w:t>
      </w:r>
      <w:r w:rsidR="001A3841" w:rsidRPr="00EC7A70">
        <w:rPr>
          <w:rFonts w:ascii="Garamond" w:hAnsi="Garamond"/>
        </w:rPr>
        <w:t>report</w:t>
      </w:r>
      <w:r w:rsidR="00493A0E" w:rsidRPr="00EC7A70">
        <w:rPr>
          <w:rFonts w:ascii="Garamond" w:hAnsi="Garamond"/>
        </w:rPr>
        <w:t xml:space="preserve"> that the proportion of ties among school teachers for the discussion of education-related issues makes up about 23% to 50% of the total number of ties in a school network (Hubers</w:t>
      </w:r>
      <w:r w:rsidR="00400E78">
        <w:rPr>
          <w:rFonts w:ascii="Garamond" w:hAnsi="Garamond"/>
        </w:rPr>
        <w:t xml:space="preserve"> et al.</w:t>
      </w:r>
      <w:r w:rsidR="00493A0E" w:rsidRPr="00EC7A70">
        <w:rPr>
          <w:rFonts w:ascii="Garamond" w:hAnsi="Garamond"/>
        </w:rPr>
        <w:t>, 2018)</w:t>
      </w:r>
      <w:r w:rsidR="009655C9" w:rsidRPr="00EC7A70">
        <w:rPr>
          <w:rFonts w:ascii="Garamond" w:hAnsi="Garamond"/>
        </w:rPr>
        <w:t xml:space="preserve">.  </w:t>
      </w:r>
      <w:r w:rsidR="00057F78">
        <w:rPr>
          <w:rFonts w:ascii="Garamond" w:hAnsi="Garamond"/>
        </w:rPr>
        <w:t>Research</w:t>
      </w:r>
      <w:r w:rsidR="00872877" w:rsidRPr="00EC7A70">
        <w:rPr>
          <w:rFonts w:ascii="Garamond" w:hAnsi="Garamond"/>
        </w:rPr>
        <w:t xml:space="preserve"> on pre-service teachers’ </w:t>
      </w:r>
      <w:r w:rsidR="00057F78">
        <w:rPr>
          <w:rFonts w:ascii="Garamond" w:hAnsi="Garamond"/>
        </w:rPr>
        <w:t>communication pattern</w:t>
      </w:r>
      <w:r w:rsidR="009D3649">
        <w:rPr>
          <w:rFonts w:ascii="Garamond" w:hAnsi="Garamond"/>
        </w:rPr>
        <w:t>s</w:t>
      </w:r>
      <w:r w:rsidR="00057F78">
        <w:rPr>
          <w:rFonts w:ascii="Garamond" w:hAnsi="Garamond"/>
        </w:rPr>
        <w:t xml:space="preserve"> using</w:t>
      </w:r>
      <w:r w:rsidR="00872877" w:rsidRPr="00EC7A70">
        <w:rPr>
          <w:rFonts w:ascii="Garamond" w:hAnsi="Garamond"/>
        </w:rPr>
        <w:t xml:space="preserve"> social networking site</w:t>
      </w:r>
      <w:r w:rsidR="000D7832">
        <w:rPr>
          <w:rFonts w:ascii="Garamond" w:hAnsi="Garamond"/>
        </w:rPr>
        <w:t>s</w:t>
      </w:r>
      <w:r w:rsidR="00872877" w:rsidRPr="00EC7A70">
        <w:rPr>
          <w:rFonts w:ascii="Garamond" w:hAnsi="Garamond"/>
        </w:rPr>
        <w:t xml:space="preserve"> indicates that pre-service teachers </w:t>
      </w:r>
      <w:r w:rsidR="00057F78">
        <w:rPr>
          <w:rFonts w:ascii="Garamond" w:hAnsi="Garamond"/>
        </w:rPr>
        <w:t xml:space="preserve">tend to </w:t>
      </w:r>
      <w:r w:rsidR="00872877" w:rsidRPr="00EC7A70">
        <w:rPr>
          <w:rFonts w:ascii="Garamond" w:hAnsi="Garamond"/>
        </w:rPr>
        <w:t xml:space="preserve">use Facebook </w:t>
      </w:r>
      <w:r w:rsidR="00057F78">
        <w:rPr>
          <w:rFonts w:ascii="Garamond" w:hAnsi="Garamond"/>
        </w:rPr>
        <w:t xml:space="preserve">to collaborate with their peers and such collaboration tend to be </w:t>
      </w:r>
      <w:r w:rsidR="00057F78" w:rsidRPr="00EC7A70">
        <w:rPr>
          <w:rFonts w:ascii="Garamond" w:hAnsi="Garamond"/>
        </w:rPr>
        <w:t xml:space="preserve">reciprocal </w:t>
      </w:r>
      <w:r w:rsidR="00872877" w:rsidRPr="00EC7A70">
        <w:rPr>
          <w:rFonts w:ascii="Garamond" w:hAnsi="Garamond"/>
        </w:rPr>
        <w:t>(</w:t>
      </w:r>
      <w:proofErr w:type="spellStart"/>
      <w:r w:rsidR="00872877" w:rsidRPr="00EC7A70">
        <w:rPr>
          <w:rFonts w:ascii="Garamond" w:hAnsi="Garamond"/>
        </w:rPr>
        <w:t>Soomro</w:t>
      </w:r>
      <w:proofErr w:type="spellEnd"/>
      <w:r w:rsidR="00872877" w:rsidRPr="00EC7A70">
        <w:rPr>
          <w:rFonts w:ascii="Garamond" w:hAnsi="Garamond"/>
        </w:rPr>
        <w:t xml:space="preserve">, Kale, &amp; </w:t>
      </w:r>
      <w:proofErr w:type="spellStart"/>
      <w:r w:rsidR="00872877" w:rsidRPr="00EC7A70">
        <w:rPr>
          <w:rFonts w:ascii="Garamond" w:hAnsi="Garamond"/>
        </w:rPr>
        <w:t>Yousuf</w:t>
      </w:r>
      <w:proofErr w:type="spellEnd"/>
      <w:r w:rsidR="00872877" w:rsidRPr="00EC7A70">
        <w:rPr>
          <w:rFonts w:ascii="Garamond" w:hAnsi="Garamond"/>
        </w:rPr>
        <w:t xml:space="preserve"> </w:t>
      </w:r>
      <w:proofErr w:type="spellStart"/>
      <w:r w:rsidR="00872877" w:rsidRPr="00EC7A70">
        <w:rPr>
          <w:rFonts w:ascii="Garamond" w:hAnsi="Garamond"/>
        </w:rPr>
        <w:t>Zai</w:t>
      </w:r>
      <w:proofErr w:type="spellEnd"/>
      <w:r w:rsidR="00872877" w:rsidRPr="00EC7A70">
        <w:rPr>
          <w:rFonts w:ascii="Garamond" w:hAnsi="Garamond"/>
        </w:rPr>
        <w:t xml:space="preserve">, 2014).  </w:t>
      </w:r>
      <w:r w:rsidR="002C6FB7" w:rsidRPr="00EC7A70">
        <w:rPr>
          <w:rFonts w:ascii="Garamond" w:hAnsi="Garamond"/>
        </w:rPr>
        <w:t xml:space="preserve">A </w:t>
      </w:r>
      <w:r w:rsidR="00953832" w:rsidRPr="00EC7A70">
        <w:rPr>
          <w:rFonts w:ascii="Garamond" w:hAnsi="Garamond"/>
        </w:rPr>
        <w:t xml:space="preserve">recent network </w:t>
      </w:r>
      <w:r w:rsidR="002C6FB7" w:rsidRPr="00EC7A70">
        <w:rPr>
          <w:rFonts w:ascii="Garamond" w:hAnsi="Garamond"/>
        </w:rPr>
        <w:t xml:space="preserve">study </w:t>
      </w:r>
      <w:r w:rsidR="00953832" w:rsidRPr="00EC7A70">
        <w:rPr>
          <w:rFonts w:ascii="Garamond" w:hAnsi="Garamond"/>
        </w:rPr>
        <w:t xml:space="preserve">on a cohort of pre-service teachers </w:t>
      </w:r>
      <w:r w:rsidR="002C6FB7" w:rsidRPr="00EC7A70">
        <w:rPr>
          <w:rFonts w:ascii="Garamond" w:hAnsi="Garamond"/>
        </w:rPr>
        <w:t>indicates</w:t>
      </w:r>
      <w:r w:rsidR="00953832" w:rsidRPr="00EC7A70">
        <w:rPr>
          <w:rFonts w:ascii="Garamond" w:hAnsi="Garamond"/>
        </w:rPr>
        <w:t xml:space="preserve"> a relatively less dense network structure (density of 6%) but more reciprocated tendency (24% reciprocal ties) for social support (Authors et al., 2017). </w:t>
      </w:r>
      <w:r w:rsidR="002C6FB7" w:rsidRPr="00EC7A70">
        <w:rPr>
          <w:rFonts w:ascii="Garamond" w:hAnsi="Garamond"/>
        </w:rPr>
        <w:t xml:space="preserve"> </w:t>
      </w:r>
      <w:r w:rsidR="004E4884" w:rsidRPr="00EC7A70">
        <w:rPr>
          <w:rFonts w:ascii="Garamond" w:hAnsi="Garamond"/>
        </w:rPr>
        <w:t xml:space="preserve">Given that studies on social ties of </w:t>
      </w:r>
      <w:r w:rsidR="004E4884" w:rsidRPr="00EC7A70">
        <w:rPr>
          <w:rFonts w:ascii="Garamond" w:hAnsi="Garamond"/>
        </w:rPr>
        <w:lastRenderedPageBreak/>
        <w:t>pre-service teachers suggest a less dense network structure</w:t>
      </w:r>
      <w:r w:rsidR="00086F27" w:rsidRPr="00EC7A70">
        <w:rPr>
          <w:rFonts w:ascii="Garamond" w:hAnsi="Garamond"/>
        </w:rPr>
        <w:t xml:space="preserve">, we therefore hypothesize that </w:t>
      </w:r>
      <w:r w:rsidR="00086F27" w:rsidRPr="00A67BE8">
        <w:rPr>
          <w:rFonts w:ascii="Garamond" w:hAnsi="Garamond"/>
          <w:i/>
        </w:rPr>
        <w:t xml:space="preserve">the </w:t>
      </w:r>
      <w:r w:rsidR="00872877" w:rsidRPr="00A67BE8">
        <w:rPr>
          <w:rFonts w:ascii="Garamond" w:hAnsi="Garamond"/>
          <w:i/>
        </w:rPr>
        <w:t>network of pre-service teachers for sharing instructional materials will be made up of few ties, as such represent a sparse network</w:t>
      </w:r>
      <w:r w:rsidR="00872877" w:rsidRPr="00EC7A70">
        <w:rPr>
          <w:rFonts w:ascii="Garamond" w:hAnsi="Garamond"/>
        </w:rPr>
        <w:t xml:space="preserve"> (Hypothesis 1).  In addition, </w:t>
      </w:r>
      <w:r w:rsidR="005001BA">
        <w:rPr>
          <w:rFonts w:ascii="Garamond" w:hAnsi="Garamond"/>
        </w:rPr>
        <w:t>as</w:t>
      </w:r>
      <w:r w:rsidR="00872877" w:rsidRPr="00EC7A70">
        <w:rPr>
          <w:rFonts w:ascii="Garamond" w:hAnsi="Garamond"/>
        </w:rPr>
        <w:t xml:space="preserve"> the studies suggest a reciprocal and collaborative nature of </w:t>
      </w:r>
      <w:r w:rsidR="005001BA">
        <w:rPr>
          <w:rFonts w:ascii="Garamond" w:hAnsi="Garamond"/>
        </w:rPr>
        <w:t>interpersonal</w:t>
      </w:r>
      <w:r w:rsidR="00872877" w:rsidRPr="00EC7A70">
        <w:rPr>
          <w:rFonts w:ascii="Garamond" w:hAnsi="Garamond"/>
        </w:rPr>
        <w:t xml:space="preserve"> interaction, we hypothesize that </w:t>
      </w:r>
      <w:r w:rsidR="00872877" w:rsidRPr="00A67BE8">
        <w:rPr>
          <w:rFonts w:ascii="Garamond" w:hAnsi="Garamond"/>
          <w:i/>
        </w:rPr>
        <w:t xml:space="preserve">relationships of exchanging instructional materials among pre-service teachers are likely to be reciprocated </w:t>
      </w:r>
      <w:r w:rsidR="00872877" w:rsidRPr="00EC7A70">
        <w:rPr>
          <w:rFonts w:ascii="Garamond" w:hAnsi="Garamond"/>
        </w:rPr>
        <w:t xml:space="preserve">(Hypothesis 2).  </w:t>
      </w:r>
    </w:p>
    <w:p w14:paraId="7671372C" w14:textId="7D343C5F" w:rsidR="00533196" w:rsidRPr="00EC7A70" w:rsidRDefault="00B12833" w:rsidP="00B12833">
      <w:pPr>
        <w:widowControl/>
        <w:snapToGrid w:val="0"/>
        <w:spacing w:line="480" w:lineRule="auto"/>
        <w:rPr>
          <w:rFonts w:ascii="Garamond" w:hAnsi="Garamond"/>
          <w:b/>
          <w:bCs/>
        </w:rPr>
      </w:pPr>
      <w:r w:rsidRPr="00EC7A70">
        <w:rPr>
          <w:rFonts w:ascii="Garamond" w:hAnsi="Garamond"/>
          <w:b/>
          <w:bCs/>
        </w:rPr>
        <w:t>Self-Efficacy</w:t>
      </w:r>
    </w:p>
    <w:p w14:paraId="6882F2B8" w14:textId="2377A509" w:rsidR="00533196" w:rsidRPr="00EC7A70" w:rsidRDefault="009176B3" w:rsidP="008F0804">
      <w:pPr>
        <w:widowControl/>
        <w:snapToGrid w:val="0"/>
        <w:spacing w:line="480" w:lineRule="auto"/>
        <w:ind w:firstLine="720"/>
        <w:rPr>
          <w:rFonts w:ascii="Garamond" w:hAnsi="Garamond"/>
        </w:rPr>
      </w:pPr>
      <w:r w:rsidRPr="00EC7A70">
        <w:rPr>
          <w:rFonts w:ascii="Garamond" w:hAnsi="Garamond"/>
        </w:rPr>
        <w:t>We take social learning theory perspective (Bandura, 1977) to conceptualize self-efficacy</w:t>
      </w:r>
      <w:r w:rsidR="00BD5A0C">
        <w:rPr>
          <w:rFonts w:ascii="Garamond" w:hAnsi="Garamond"/>
        </w:rPr>
        <w:t>.  First,</w:t>
      </w:r>
      <w:r w:rsidRPr="00EC7A70">
        <w:rPr>
          <w:rFonts w:ascii="Garamond" w:hAnsi="Garamond"/>
        </w:rPr>
        <w:t xml:space="preserve"> self-efficacy is associated with individuals’ </w:t>
      </w:r>
      <w:r w:rsidR="00BD5A0C">
        <w:rPr>
          <w:rFonts w:ascii="Garamond" w:hAnsi="Garamond"/>
        </w:rPr>
        <w:t xml:space="preserve">cognitive </w:t>
      </w:r>
      <w:r w:rsidRPr="00EC7A70">
        <w:rPr>
          <w:rFonts w:ascii="Garamond" w:hAnsi="Garamond"/>
        </w:rPr>
        <w:t>judgment of whether they are capable of making an effort to accomplish specific tasks within a certain period of time (Bandura, 1995); and</w:t>
      </w:r>
      <w:r w:rsidR="00BD5A0C">
        <w:rPr>
          <w:rFonts w:ascii="Garamond" w:hAnsi="Garamond"/>
        </w:rPr>
        <w:t xml:space="preserve"> second, </w:t>
      </w:r>
      <w:r w:rsidRPr="00EC7A70">
        <w:rPr>
          <w:rFonts w:ascii="Garamond" w:hAnsi="Garamond"/>
        </w:rPr>
        <w:t>self-efficacy is developed and shaped through individuals experiencing interactions with others based on their choosing (</w:t>
      </w:r>
      <w:proofErr w:type="spellStart"/>
      <w:r w:rsidRPr="00EC7A70">
        <w:rPr>
          <w:rFonts w:ascii="Garamond" w:hAnsi="Garamond"/>
        </w:rPr>
        <w:t>Pajares</w:t>
      </w:r>
      <w:proofErr w:type="spellEnd"/>
      <w:r w:rsidRPr="00EC7A70">
        <w:rPr>
          <w:rFonts w:ascii="Garamond" w:hAnsi="Garamond"/>
        </w:rPr>
        <w:t xml:space="preserve">, 1996).  </w:t>
      </w:r>
      <w:r w:rsidR="00BD5A0C">
        <w:rPr>
          <w:rFonts w:ascii="Garamond" w:hAnsi="Garamond"/>
        </w:rPr>
        <w:t>In this view</w:t>
      </w:r>
      <w:r w:rsidR="00533196" w:rsidRPr="00EC7A70">
        <w:rPr>
          <w:rFonts w:ascii="Garamond" w:hAnsi="Garamond"/>
        </w:rPr>
        <w:t xml:space="preserve">, there is </w:t>
      </w:r>
      <w:r w:rsidR="00BD5A0C">
        <w:rPr>
          <w:rFonts w:ascii="Garamond" w:hAnsi="Garamond"/>
        </w:rPr>
        <w:t xml:space="preserve">a </w:t>
      </w:r>
      <w:r w:rsidR="00533196" w:rsidRPr="00EC7A70">
        <w:rPr>
          <w:rFonts w:ascii="Garamond" w:hAnsi="Garamond"/>
        </w:rPr>
        <w:t xml:space="preserve">direct </w:t>
      </w:r>
      <w:r w:rsidRPr="00EC7A70">
        <w:rPr>
          <w:rFonts w:ascii="Garamond" w:hAnsi="Garamond"/>
        </w:rPr>
        <w:t>relationship</w:t>
      </w:r>
      <w:r w:rsidR="00533196" w:rsidRPr="00EC7A70">
        <w:rPr>
          <w:rFonts w:ascii="Garamond" w:hAnsi="Garamond"/>
        </w:rPr>
        <w:t xml:space="preserve"> </w:t>
      </w:r>
      <w:r w:rsidRPr="00EC7A70">
        <w:rPr>
          <w:rFonts w:ascii="Garamond" w:hAnsi="Garamond"/>
        </w:rPr>
        <w:t>between</w:t>
      </w:r>
      <w:r w:rsidR="000D7832">
        <w:rPr>
          <w:rFonts w:ascii="Garamond" w:hAnsi="Garamond"/>
        </w:rPr>
        <w:t xml:space="preserve"> </w:t>
      </w:r>
      <w:r w:rsidR="00533196" w:rsidRPr="00EC7A70">
        <w:rPr>
          <w:rFonts w:ascii="Garamond" w:hAnsi="Garamond"/>
        </w:rPr>
        <w:t xml:space="preserve">cognitive beliefs </w:t>
      </w:r>
      <w:r w:rsidRPr="00EC7A70">
        <w:rPr>
          <w:rFonts w:ascii="Garamond" w:hAnsi="Garamond"/>
        </w:rPr>
        <w:t>and</w:t>
      </w:r>
      <w:r w:rsidR="00533196" w:rsidRPr="00EC7A70">
        <w:rPr>
          <w:rFonts w:ascii="Garamond" w:hAnsi="Garamond"/>
        </w:rPr>
        <w:t xml:space="preserve"> </w:t>
      </w:r>
      <w:r w:rsidR="00BD5A0C">
        <w:rPr>
          <w:rFonts w:ascii="Garamond" w:hAnsi="Garamond"/>
        </w:rPr>
        <w:t xml:space="preserve">reasoned </w:t>
      </w:r>
      <w:r w:rsidR="00533196" w:rsidRPr="00EC7A70">
        <w:rPr>
          <w:rFonts w:ascii="Garamond" w:hAnsi="Garamond"/>
        </w:rPr>
        <w:t>behavior (Bandura, 1995), meaning that individual</w:t>
      </w:r>
      <w:r w:rsidRPr="00EC7A70">
        <w:rPr>
          <w:rFonts w:ascii="Garamond" w:hAnsi="Garamond"/>
        </w:rPr>
        <w:t>s’</w:t>
      </w:r>
      <w:r w:rsidR="00533196" w:rsidRPr="00EC7A70">
        <w:rPr>
          <w:rFonts w:ascii="Garamond" w:hAnsi="Garamond"/>
        </w:rPr>
        <w:t xml:space="preserve"> </w:t>
      </w:r>
      <w:r w:rsidRPr="00EC7A70">
        <w:rPr>
          <w:rFonts w:ascii="Garamond" w:hAnsi="Garamond"/>
        </w:rPr>
        <w:t>action</w:t>
      </w:r>
      <w:r w:rsidR="00533196" w:rsidRPr="00EC7A70">
        <w:rPr>
          <w:rFonts w:ascii="Garamond" w:hAnsi="Garamond"/>
        </w:rPr>
        <w:t xml:space="preserve"> may be dependent upon </w:t>
      </w:r>
      <w:r w:rsidRPr="00EC7A70">
        <w:rPr>
          <w:rFonts w:ascii="Garamond" w:hAnsi="Garamond"/>
        </w:rPr>
        <w:t>their</w:t>
      </w:r>
      <w:r w:rsidR="00533196" w:rsidRPr="00EC7A70">
        <w:rPr>
          <w:rFonts w:ascii="Garamond" w:hAnsi="Garamond"/>
        </w:rPr>
        <w:t xml:space="preserve"> efficacy beliefs.  In addition, individuals</w:t>
      </w:r>
      <w:r w:rsidRPr="00EC7A70">
        <w:rPr>
          <w:rFonts w:ascii="Garamond" w:hAnsi="Garamond"/>
        </w:rPr>
        <w:t>’</w:t>
      </w:r>
      <w:r w:rsidR="00533196" w:rsidRPr="00EC7A70">
        <w:rPr>
          <w:rFonts w:ascii="Garamond" w:hAnsi="Garamond"/>
        </w:rPr>
        <w:t xml:space="preserve"> efficacy is shaped through the interactions </w:t>
      </w:r>
      <w:r w:rsidR="00BD5A0C">
        <w:rPr>
          <w:rFonts w:ascii="Garamond" w:hAnsi="Garamond"/>
        </w:rPr>
        <w:t xml:space="preserve">with </w:t>
      </w:r>
      <w:r w:rsidR="00533196" w:rsidRPr="00EC7A70">
        <w:rPr>
          <w:rFonts w:ascii="Garamond" w:hAnsi="Garamond"/>
        </w:rPr>
        <w:t xml:space="preserve">and reactions of others to </w:t>
      </w:r>
      <w:r w:rsidRPr="00EC7A70">
        <w:rPr>
          <w:rFonts w:ascii="Garamond" w:hAnsi="Garamond"/>
        </w:rPr>
        <w:t xml:space="preserve">the </w:t>
      </w:r>
      <w:r w:rsidR="00533196" w:rsidRPr="00EC7A70">
        <w:rPr>
          <w:rFonts w:ascii="Garamond" w:hAnsi="Garamond"/>
        </w:rPr>
        <w:t xml:space="preserve">observed experience and as such, social behaviors and cognitive processes are influenced by the </w:t>
      </w:r>
      <w:r w:rsidR="008362ED">
        <w:rPr>
          <w:rFonts w:ascii="Garamond" w:hAnsi="Garamond"/>
        </w:rPr>
        <w:t>interplay</w:t>
      </w:r>
      <w:r w:rsidR="008362ED" w:rsidRPr="00EC7A70">
        <w:rPr>
          <w:rFonts w:ascii="Garamond" w:hAnsi="Garamond"/>
        </w:rPr>
        <w:t xml:space="preserve"> </w:t>
      </w:r>
      <w:r w:rsidR="00533196" w:rsidRPr="00EC7A70">
        <w:rPr>
          <w:rFonts w:ascii="Garamond" w:hAnsi="Garamond"/>
        </w:rPr>
        <w:t xml:space="preserve">between situated experiences and self-perception.  </w:t>
      </w:r>
    </w:p>
    <w:p w14:paraId="705E9715" w14:textId="3F5040CB" w:rsidR="00533196" w:rsidRDefault="00435E4F" w:rsidP="00B12833">
      <w:pPr>
        <w:widowControl/>
        <w:snapToGrid w:val="0"/>
        <w:spacing w:line="480" w:lineRule="auto"/>
        <w:ind w:firstLine="720"/>
        <w:rPr>
          <w:rFonts w:ascii="Garamond" w:hAnsi="Garamond"/>
        </w:rPr>
      </w:pPr>
      <w:r>
        <w:rPr>
          <w:rFonts w:ascii="Garamond" w:hAnsi="Garamond"/>
        </w:rPr>
        <w:t>A number of s</w:t>
      </w:r>
      <w:r w:rsidR="00533196" w:rsidRPr="00EC7A70">
        <w:rPr>
          <w:rFonts w:ascii="Garamond" w:hAnsi="Garamond"/>
        </w:rPr>
        <w:t xml:space="preserve">tudies </w:t>
      </w:r>
      <w:r>
        <w:rPr>
          <w:rFonts w:ascii="Garamond" w:hAnsi="Garamond"/>
        </w:rPr>
        <w:t>in</w:t>
      </w:r>
      <w:r w:rsidR="00533196" w:rsidRPr="00EC7A70">
        <w:rPr>
          <w:rFonts w:ascii="Garamond" w:hAnsi="Garamond"/>
        </w:rPr>
        <w:t xml:space="preserve"> teacher education suggest that pre-service teachers with higher self-efficacy beliefs tend to be more effective teachers (Bates</w:t>
      </w:r>
      <w:r w:rsidR="006E71AF">
        <w:rPr>
          <w:rFonts w:ascii="Garamond" w:hAnsi="Garamond"/>
        </w:rPr>
        <w:t xml:space="preserve">, </w:t>
      </w:r>
      <w:r w:rsidR="006E71AF" w:rsidRPr="00990D09">
        <w:rPr>
          <w:rFonts w:ascii="Garamond" w:hAnsi="Garamond"/>
        </w:rPr>
        <w:t>Latham, &amp; Kim</w:t>
      </w:r>
      <w:r w:rsidR="00533196" w:rsidRPr="00EC7A70">
        <w:rPr>
          <w:rFonts w:ascii="Garamond" w:hAnsi="Garamond"/>
        </w:rPr>
        <w:t xml:space="preserve">, 2011; Leader-Janssen &amp; Rankin-Erickson, 2013).  For instance, research on pre-service teachers in mathematics indicates a significant and positive relationship between </w:t>
      </w:r>
      <w:r w:rsidR="0087141A" w:rsidRPr="00EC7A70">
        <w:rPr>
          <w:rFonts w:ascii="Garamond" w:hAnsi="Garamond"/>
        </w:rPr>
        <w:t>their</w:t>
      </w:r>
      <w:r w:rsidR="00533196" w:rsidRPr="00EC7A70">
        <w:rPr>
          <w:rFonts w:ascii="Garamond" w:hAnsi="Garamond"/>
        </w:rPr>
        <w:t xml:space="preserve"> self-efficacy in </w:t>
      </w:r>
      <w:r w:rsidR="0087141A" w:rsidRPr="00EC7A70">
        <w:rPr>
          <w:rFonts w:ascii="Garamond" w:hAnsi="Garamond"/>
        </w:rPr>
        <w:t xml:space="preserve">teaching </w:t>
      </w:r>
      <w:r w:rsidR="00533196" w:rsidRPr="00EC7A70">
        <w:rPr>
          <w:rFonts w:ascii="Garamond" w:hAnsi="Garamond"/>
        </w:rPr>
        <w:t xml:space="preserve">mathematics and their </w:t>
      </w:r>
      <w:r w:rsidR="0087141A" w:rsidRPr="00EC7A70">
        <w:rPr>
          <w:rFonts w:ascii="Garamond" w:hAnsi="Garamond"/>
        </w:rPr>
        <w:t xml:space="preserve">mathematics </w:t>
      </w:r>
      <w:r w:rsidR="00533196" w:rsidRPr="00EC7A70">
        <w:rPr>
          <w:rFonts w:ascii="Garamond" w:hAnsi="Garamond"/>
        </w:rPr>
        <w:t>teaching</w:t>
      </w:r>
      <w:r w:rsidR="0087141A" w:rsidRPr="00EC7A70">
        <w:rPr>
          <w:rFonts w:ascii="Garamond" w:hAnsi="Garamond"/>
        </w:rPr>
        <w:t xml:space="preserve"> performance</w:t>
      </w:r>
      <w:r w:rsidR="00533196" w:rsidRPr="00EC7A70">
        <w:rPr>
          <w:rFonts w:ascii="Garamond" w:hAnsi="Garamond"/>
        </w:rPr>
        <w:t xml:space="preserve"> (Bates et al., 2011).  In addition, pre-service teacher</w:t>
      </w:r>
      <w:r w:rsidR="0087141A" w:rsidRPr="00EC7A70">
        <w:rPr>
          <w:rFonts w:ascii="Garamond" w:hAnsi="Garamond"/>
        </w:rPr>
        <w:t>s</w:t>
      </w:r>
      <w:r w:rsidR="00533196" w:rsidRPr="00EC7A70">
        <w:rPr>
          <w:rFonts w:ascii="Garamond" w:hAnsi="Garamond"/>
        </w:rPr>
        <w:t xml:space="preserve"> </w:t>
      </w:r>
      <w:r w:rsidR="0087141A" w:rsidRPr="00EC7A70">
        <w:rPr>
          <w:rFonts w:ascii="Garamond" w:hAnsi="Garamond"/>
        </w:rPr>
        <w:t xml:space="preserve">who report being more efficacious </w:t>
      </w:r>
      <w:r w:rsidR="00533196" w:rsidRPr="00EC7A70">
        <w:rPr>
          <w:rFonts w:ascii="Garamond" w:hAnsi="Garamond"/>
        </w:rPr>
        <w:t>in terms of teaching and managing a classroom</w:t>
      </w:r>
      <w:r w:rsidR="0087141A" w:rsidRPr="00EC7A70">
        <w:rPr>
          <w:rFonts w:ascii="Garamond" w:hAnsi="Garamond"/>
        </w:rPr>
        <w:t xml:space="preserve"> </w:t>
      </w:r>
      <w:r w:rsidR="00BC6216">
        <w:rPr>
          <w:rFonts w:ascii="Garamond" w:hAnsi="Garamond"/>
        </w:rPr>
        <w:t xml:space="preserve">tend </w:t>
      </w:r>
      <w:r w:rsidR="0087141A" w:rsidRPr="00EC7A70">
        <w:rPr>
          <w:rFonts w:ascii="Garamond" w:hAnsi="Garamond"/>
        </w:rPr>
        <w:t>to feel better</w:t>
      </w:r>
      <w:r w:rsidR="00533196" w:rsidRPr="00EC7A70">
        <w:rPr>
          <w:rFonts w:ascii="Garamond" w:hAnsi="Garamond"/>
        </w:rPr>
        <w:t xml:space="preserve"> prepared and able to integrate new learning </w:t>
      </w:r>
      <w:r w:rsidR="00565EEA" w:rsidRPr="00EC7A70">
        <w:rPr>
          <w:rFonts w:ascii="Garamond" w:hAnsi="Garamond"/>
        </w:rPr>
        <w:t>strategies</w:t>
      </w:r>
      <w:r w:rsidR="00533196" w:rsidRPr="00EC7A70">
        <w:rPr>
          <w:rFonts w:ascii="Garamond" w:hAnsi="Garamond"/>
        </w:rPr>
        <w:t xml:space="preserve"> (Anderson &amp; </w:t>
      </w:r>
      <w:proofErr w:type="spellStart"/>
      <w:r w:rsidR="00533196" w:rsidRPr="00EC7A70">
        <w:rPr>
          <w:rFonts w:ascii="Garamond" w:hAnsi="Garamond"/>
        </w:rPr>
        <w:t>Maninger</w:t>
      </w:r>
      <w:proofErr w:type="spellEnd"/>
      <w:r w:rsidR="00533196" w:rsidRPr="00EC7A70">
        <w:rPr>
          <w:rFonts w:ascii="Garamond" w:hAnsi="Garamond"/>
        </w:rPr>
        <w:t>, 2007), which</w:t>
      </w:r>
      <w:r w:rsidR="0087141A" w:rsidRPr="00EC7A70">
        <w:rPr>
          <w:rFonts w:ascii="Garamond" w:hAnsi="Garamond"/>
        </w:rPr>
        <w:t xml:space="preserve"> may</w:t>
      </w:r>
      <w:r w:rsidR="00533196" w:rsidRPr="00EC7A70">
        <w:rPr>
          <w:rFonts w:ascii="Garamond" w:hAnsi="Garamond"/>
        </w:rPr>
        <w:t xml:space="preserve"> result in effective teaching behaviors (Putman, 2012).</w:t>
      </w:r>
      <w:r w:rsidR="0087141A" w:rsidRPr="00EC7A70">
        <w:rPr>
          <w:rFonts w:ascii="Garamond" w:hAnsi="Garamond"/>
        </w:rPr>
        <w:t xml:space="preserve"> </w:t>
      </w:r>
      <w:r w:rsidR="00533196" w:rsidRPr="00EC7A70">
        <w:rPr>
          <w:rFonts w:ascii="Garamond" w:hAnsi="Garamond"/>
        </w:rPr>
        <w:t xml:space="preserve"> </w:t>
      </w:r>
      <w:r w:rsidR="0087141A" w:rsidRPr="00EC7A70">
        <w:rPr>
          <w:rFonts w:ascii="Garamond" w:hAnsi="Garamond"/>
        </w:rPr>
        <w:t xml:space="preserve">Furthermore, </w:t>
      </w:r>
      <w:r w:rsidR="005D157C" w:rsidRPr="00EC7A70">
        <w:rPr>
          <w:rFonts w:ascii="Garamond" w:hAnsi="Garamond"/>
        </w:rPr>
        <w:t xml:space="preserve">efficacious </w:t>
      </w:r>
      <w:r w:rsidRPr="00EC7A70">
        <w:rPr>
          <w:rFonts w:ascii="Garamond" w:hAnsi="Garamond"/>
        </w:rPr>
        <w:t xml:space="preserve">pre-service teachers </w:t>
      </w:r>
      <w:r w:rsidR="0087141A" w:rsidRPr="00EC7A70">
        <w:rPr>
          <w:rFonts w:ascii="Garamond" w:hAnsi="Garamond"/>
        </w:rPr>
        <w:t xml:space="preserve">are more </w:t>
      </w:r>
      <w:r w:rsidR="00565EEA" w:rsidRPr="00EC7A70">
        <w:rPr>
          <w:rFonts w:ascii="Garamond" w:hAnsi="Garamond"/>
        </w:rPr>
        <w:lastRenderedPageBreak/>
        <w:t>likely</w:t>
      </w:r>
      <w:r w:rsidR="0087141A" w:rsidRPr="00EC7A70">
        <w:rPr>
          <w:rFonts w:ascii="Garamond" w:hAnsi="Garamond"/>
        </w:rPr>
        <w:t xml:space="preserve"> to provid</w:t>
      </w:r>
      <w:r w:rsidR="00565EEA" w:rsidRPr="00EC7A70">
        <w:rPr>
          <w:rFonts w:ascii="Garamond" w:hAnsi="Garamond"/>
        </w:rPr>
        <w:t>e</w:t>
      </w:r>
      <w:r w:rsidR="0087141A" w:rsidRPr="00EC7A70">
        <w:rPr>
          <w:rFonts w:ascii="Garamond" w:hAnsi="Garamond"/>
        </w:rPr>
        <w:t xml:space="preserve"> </w:t>
      </w:r>
      <w:r w:rsidR="00565EEA" w:rsidRPr="00EC7A70">
        <w:rPr>
          <w:rFonts w:ascii="Garamond" w:hAnsi="Garamond"/>
        </w:rPr>
        <w:t>social support</w:t>
      </w:r>
      <w:r w:rsidR="0087141A" w:rsidRPr="00EC7A70">
        <w:rPr>
          <w:rFonts w:ascii="Garamond" w:hAnsi="Garamond"/>
        </w:rPr>
        <w:t xml:space="preserve"> and motivate others to engage in tasks </w:t>
      </w:r>
      <w:r w:rsidR="00565EEA" w:rsidRPr="00EC7A70">
        <w:rPr>
          <w:rFonts w:ascii="Garamond" w:hAnsi="Garamond"/>
        </w:rPr>
        <w:t xml:space="preserve">(Authors et al., 2016), suggesting the relationship between self-efficacy and the social effect </w:t>
      </w:r>
      <w:r w:rsidR="0087141A" w:rsidRPr="00EC7A70">
        <w:rPr>
          <w:rFonts w:ascii="Garamond" w:hAnsi="Garamond"/>
        </w:rPr>
        <w:t>(Bandura, 19</w:t>
      </w:r>
      <w:r w:rsidR="006E71AF">
        <w:rPr>
          <w:rFonts w:ascii="Garamond" w:hAnsi="Garamond"/>
        </w:rPr>
        <w:t>77</w:t>
      </w:r>
      <w:r w:rsidR="0087141A" w:rsidRPr="00EC7A70">
        <w:rPr>
          <w:rFonts w:ascii="Garamond" w:hAnsi="Garamond"/>
        </w:rPr>
        <w:t xml:space="preserve">; </w:t>
      </w:r>
      <w:proofErr w:type="spellStart"/>
      <w:r w:rsidR="0087141A" w:rsidRPr="00EC7A70">
        <w:rPr>
          <w:rFonts w:ascii="Garamond" w:hAnsi="Garamond"/>
        </w:rPr>
        <w:t>Schunk</w:t>
      </w:r>
      <w:proofErr w:type="spellEnd"/>
      <w:r w:rsidR="0087141A" w:rsidRPr="00EC7A70">
        <w:rPr>
          <w:rFonts w:ascii="Garamond" w:hAnsi="Garamond"/>
        </w:rPr>
        <w:t xml:space="preserve">, 1995). </w:t>
      </w:r>
      <w:r w:rsidR="00533196" w:rsidRPr="00EC7A70">
        <w:rPr>
          <w:rFonts w:ascii="Garamond" w:hAnsi="Garamond"/>
        </w:rPr>
        <w:t xml:space="preserve"> </w:t>
      </w:r>
      <w:r w:rsidR="001A146B" w:rsidRPr="00EC7A70">
        <w:rPr>
          <w:rFonts w:ascii="Garamond" w:hAnsi="Garamond"/>
        </w:rPr>
        <w:t>A more recent longitudinal study indicates a</w:t>
      </w:r>
      <w:r w:rsidR="00F53AD8" w:rsidRPr="00EC7A70">
        <w:rPr>
          <w:rFonts w:ascii="Garamond" w:hAnsi="Garamond"/>
        </w:rPr>
        <w:t>n</w:t>
      </w:r>
      <w:r w:rsidR="001A146B" w:rsidRPr="00EC7A70">
        <w:rPr>
          <w:rFonts w:ascii="Garamond" w:hAnsi="Garamond"/>
        </w:rPr>
        <w:t xml:space="preserve"> association between </w:t>
      </w:r>
      <w:r w:rsidR="00F53AD8" w:rsidRPr="00EC7A70">
        <w:rPr>
          <w:rFonts w:ascii="Garamond" w:hAnsi="Garamond"/>
        </w:rPr>
        <w:t xml:space="preserve">pre-service teachers’ self-efficacy and </w:t>
      </w:r>
      <w:r w:rsidR="001A146B" w:rsidRPr="00EC7A70">
        <w:rPr>
          <w:rFonts w:ascii="Garamond" w:hAnsi="Garamond"/>
        </w:rPr>
        <w:t xml:space="preserve">the </w:t>
      </w:r>
      <w:r w:rsidR="00F53AD8" w:rsidRPr="00EC7A70">
        <w:rPr>
          <w:rFonts w:ascii="Garamond" w:hAnsi="Garamond"/>
        </w:rPr>
        <w:t xml:space="preserve">size of </w:t>
      </w:r>
      <w:r w:rsidR="001A146B" w:rsidRPr="00EC7A70">
        <w:rPr>
          <w:rFonts w:ascii="Garamond" w:hAnsi="Garamond"/>
        </w:rPr>
        <w:t xml:space="preserve">personal support network </w:t>
      </w:r>
      <w:r w:rsidR="00F53AD8" w:rsidRPr="00EC7A70">
        <w:rPr>
          <w:rFonts w:ascii="Garamond" w:hAnsi="Garamond"/>
        </w:rPr>
        <w:t>they</w:t>
      </w:r>
      <w:r w:rsidR="001A146B" w:rsidRPr="00EC7A70">
        <w:rPr>
          <w:rFonts w:ascii="Garamond" w:hAnsi="Garamond"/>
        </w:rPr>
        <w:t xml:space="preserve"> develop and maintain </w:t>
      </w:r>
      <w:r w:rsidR="00F53AD8" w:rsidRPr="00EC7A70">
        <w:rPr>
          <w:rFonts w:ascii="Garamond" w:hAnsi="Garamond"/>
        </w:rPr>
        <w:t>during preparations (Authors et al., 2018).</w:t>
      </w:r>
      <w:r w:rsidR="001A146B" w:rsidRPr="00EC7A70">
        <w:rPr>
          <w:rFonts w:ascii="Garamond" w:hAnsi="Garamond"/>
        </w:rPr>
        <w:t xml:space="preserve">  </w:t>
      </w:r>
      <w:r w:rsidR="00565EEA" w:rsidRPr="00EC7A70">
        <w:rPr>
          <w:rFonts w:ascii="Garamond" w:hAnsi="Garamond"/>
        </w:rPr>
        <w:t xml:space="preserve">Given that pre-service teachers’ self-efficacy </w:t>
      </w:r>
      <w:r w:rsidR="000D7832">
        <w:rPr>
          <w:rFonts w:ascii="Garamond" w:hAnsi="Garamond"/>
        </w:rPr>
        <w:t xml:space="preserve">is </w:t>
      </w:r>
      <w:r w:rsidR="00565EEA" w:rsidRPr="00EC7A70">
        <w:rPr>
          <w:rFonts w:ascii="Garamond" w:hAnsi="Garamond"/>
        </w:rPr>
        <w:t xml:space="preserve">associated with positive teaching behaviors such as </w:t>
      </w:r>
      <w:r w:rsidR="00F53AD8" w:rsidRPr="00EC7A70">
        <w:rPr>
          <w:rFonts w:ascii="Garamond" w:hAnsi="Garamond"/>
        </w:rPr>
        <w:t xml:space="preserve">engaging others, </w:t>
      </w:r>
      <w:r w:rsidR="00565EEA" w:rsidRPr="00EC7A70">
        <w:rPr>
          <w:rFonts w:ascii="Garamond" w:hAnsi="Garamond"/>
        </w:rPr>
        <w:t>taking new approaches to teaching</w:t>
      </w:r>
      <w:r w:rsidR="00533196" w:rsidRPr="00EC7A70">
        <w:rPr>
          <w:rFonts w:ascii="Garamond" w:hAnsi="Garamond"/>
        </w:rPr>
        <w:t xml:space="preserve">, we hypothesize that </w:t>
      </w:r>
      <w:r w:rsidR="00533196" w:rsidRPr="00EC7A70">
        <w:rPr>
          <w:rFonts w:ascii="Garamond" w:hAnsi="Garamond"/>
          <w:i/>
        </w:rPr>
        <w:t xml:space="preserve">pre-service teachers who report being more efficacious in their ability to teach </w:t>
      </w:r>
      <w:r w:rsidR="00A34C00" w:rsidRPr="00EC7A70">
        <w:rPr>
          <w:rFonts w:ascii="Garamond" w:hAnsi="Garamond"/>
          <w:i/>
        </w:rPr>
        <w:t>will be more likely to</w:t>
      </w:r>
      <w:r w:rsidR="002C25F4" w:rsidRPr="00EC7A70">
        <w:rPr>
          <w:rFonts w:ascii="Garamond" w:hAnsi="Garamond"/>
          <w:i/>
        </w:rPr>
        <w:t xml:space="preserve"> be involved in (seek/be sought for) the exchange of </w:t>
      </w:r>
      <w:r w:rsidR="002F524F" w:rsidRPr="00EC7A70">
        <w:rPr>
          <w:rFonts w:ascii="Garamond" w:hAnsi="Garamond"/>
          <w:i/>
        </w:rPr>
        <w:t>instructional materials</w:t>
      </w:r>
      <w:r w:rsidR="00A34C00" w:rsidRPr="00EC7A70">
        <w:rPr>
          <w:rFonts w:ascii="Garamond" w:hAnsi="Garamond"/>
        </w:rPr>
        <w:t xml:space="preserve"> </w:t>
      </w:r>
      <w:r w:rsidR="004604D3" w:rsidRPr="00EC7A70">
        <w:rPr>
          <w:rFonts w:ascii="Garamond" w:hAnsi="Garamond"/>
        </w:rPr>
        <w:t xml:space="preserve">(Hypothesis </w:t>
      </w:r>
      <w:r w:rsidR="004D015C" w:rsidRPr="00EC7A70">
        <w:rPr>
          <w:rFonts w:ascii="Garamond" w:hAnsi="Garamond"/>
        </w:rPr>
        <w:t>3</w:t>
      </w:r>
      <w:r w:rsidR="00533196" w:rsidRPr="00EC7A70">
        <w:rPr>
          <w:rFonts w:ascii="Garamond" w:hAnsi="Garamond"/>
        </w:rPr>
        <w:t>).</w:t>
      </w:r>
      <w:r w:rsidR="009D5D33" w:rsidRPr="00EC7A70">
        <w:rPr>
          <w:rFonts w:ascii="Garamond" w:hAnsi="Garamond" w:hint="eastAsia"/>
        </w:rPr>
        <w:t xml:space="preserve"> </w:t>
      </w:r>
    </w:p>
    <w:p w14:paraId="4E682ABD" w14:textId="2F3C211C" w:rsidR="00A85671" w:rsidRPr="009A1D56" w:rsidRDefault="009A1D56" w:rsidP="009A1D56">
      <w:pPr>
        <w:widowControl/>
        <w:snapToGrid w:val="0"/>
        <w:spacing w:line="480" w:lineRule="auto"/>
        <w:ind w:firstLine="720"/>
        <w:rPr>
          <w:rFonts w:ascii="Garamond" w:hAnsi="Garamond"/>
        </w:rPr>
      </w:pPr>
      <w:r>
        <w:rPr>
          <w:rFonts w:ascii="Garamond" w:hAnsi="Garamond"/>
        </w:rPr>
        <w:t>Furthermore, network theorists posit that individual</w:t>
      </w:r>
      <w:r w:rsidR="00C10E59">
        <w:rPr>
          <w:rFonts w:ascii="Garamond" w:hAnsi="Garamond"/>
        </w:rPr>
        <w:t xml:space="preserve">s </w:t>
      </w:r>
      <w:r>
        <w:rPr>
          <w:rFonts w:ascii="Garamond" w:hAnsi="Garamond"/>
        </w:rPr>
        <w:t xml:space="preserve">that share similar personal beliefs are more likely to develop and maintain a social relationship </w:t>
      </w:r>
      <w:r w:rsidRPr="009A1D56">
        <w:rPr>
          <w:rFonts w:ascii="Garamond" w:hAnsi="Garamond"/>
        </w:rPr>
        <w:t>(</w:t>
      </w:r>
      <w:r w:rsidR="00435E4F">
        <w:rPr>
          <w:rFonts w:ascii="Garamond" w:hAnsi="Garamond"/>
        </w:rPr>
        <w:t>M</w:t>
      </w:r>
      <w:r w:rsidRPr="009A1D56">
        <w:rPr>
          <w:rFonts w:ascii="Garamond" w:hAnsi="Garamond"/>
        </w:rPr>
        <w:t>cPherson et al., 2001)</w:t>
      </w:r>
      <w:r>
        <w:rPr>
          <w:rFonts w:ascii="Garamond" w:hAnsi="Garamond"/>
        </w:rPr>
        <w:t xml:space="preserve">, which is a concept oft-referred to as </w:t>
      </w:r>
      <w:proofErr w:type="spellStart"/>
      <w:r>
        <w:rPr>
          <w:rFonts w:ascii="Garamond" w:hAnsi="Garamond"/>
        </w:rPr>
        <w:t>homophily</w:t>
      </w:r>
      <w:proofErr w:type="spellEnd"/>
      <w:r>
        <w:rPr>
          <w:rFonts w:ascii="Garamond" w:hAnsi="Garamond"/>
        </w:rPr>
        <w:t xml:space="preserve"> </w:t>
      </w:r>
      <w:r w:rsidRPr="009A1D56">
        <w:rPr>
          <w:rFonts w:ascii="Garamond" w:hAnsi="Garamond"/>
        </w:rPr>
        <w:t>(McPherson et al., 2001)</w:t>
      </w:r>
      <w:r>
        <w:rPr>
          <w:rFonts w:ascii="Garamond" w:hAnsi="Garamond"/>
        </w:rPr>
        <w:t xml:space="preserve">.  </w:t>
      </w:r>
      <w:r w:rsidR="00A85671" w:rsidRPr="009A1D56">
        <w:rPr>
          <w:rFonts w:ascii="Garamond" w:hAnsi="Garamond"/>
        </w:rPr>
        <w:t xml:space="preserve">Interactions </w:t>
      </w:r>
      <w:r w:rsidR="00C10E59">
        <w:rPr>
          <w:rFonts w:ascii="Garamond" w:hAnsi="Garamond"/>
        </w:rPr>
        <w:t xml:space="preserve">may develop trust and stronger bonds </w:t>
      </w:r>
      <w:r w:rsidR="00A85671" w:rsidRPr="009A1D56">
        <w:rPr>
          <w:rFonts w:ascii="Garamond" w:hAnsi="Garamond"/>
        </w:rPr>
        <w:t xml:space="preserve">with those who possess some similar characteristics (Kramer, 1999) and </w:t>
      </w:r>
      <w:r w:rsidR="00C10E59">
        <w:rPr>
          <w:rFonts w:ascii="Garamond" w:hAnsi="Garamond"/>
        </w:rPr>
        <w:t xml:space="preserve">such shared similarities </w:t>
      </w:r>
      <w:r w:rsidR="00A85671" w:rsidRPr="009A1D56">
        <w:rPr>
          <w:rFonts w:ascii="Garamond" w:hAnsi="Garamond"/>
        </w:rPr>
        <w:t>provide a more predictable response thereby reducing the “riskiness” of exchanges (</w:t>
      </w:r>
      <w:proofErr w:type="spellStart"/>
      <w:r w:rsidR="00A85671" w:rsidRPr="009A1D56">
        <w:rPr>
          <w:rFonts w:ascii="Garamond" w:hAnsi="Garamond"/>
        </w:rPr>
        <w:t>Llorens</w:t>
      </w:r>
      <w:proofErr w:type="spellEnd"/>
      <w:r w:rsidR="00A85671" w:rsidRPr="009A1D56">
        <w:rPr>
          <w:rFonts w:ascii="Garamond" w:hAnsi="Garamond"/>
        </w:rPr>
        <w:t xml:space="preserve">, </w:t>
      </w:r>
      <w:proofErr w:type="spellStart"/>
      <w:r w:rsidR="00A85671" w:rsidRPr="009A1D56">
        <w:rPr>
          <w:rFonts w:ascii="Garamond" w:hAnsi="Garamond"/>
        </w:rPr>
        <w:t>Schaufeli</w:t>
      </w:r>
      <w:proofErr w:type="spellEnd"/>
      <w:r w:rsidR="00A85671" w:rsidRPr="009A1D56">
        <w:rPr>
          <w:rFonts w:ascii="Garamond" w:hAnsi="Garamond"/>
        </w:rPr>
        <w:t xml:space="preserve">, Bakker, &amp; </w:t>
      </w:r>
      <w:proofErr w:type="spellStart"/>
      <w:r w:rsidR="00A85671" w:rsidRPr="009A1D56">
        <w:rPr>
          <w:rFonts w:ascii="Garamond" w:hAnsi="Garamond"/>
        </w:rPr>
        <w:t>Salanova</w:t>
      </w:r>
      <w:proofErr w:type="spellEnd"/>
      <w:r w:rsidR="00A85671" w:rsidRPr="009A1D56">
        <w:rPr>
          <w:rFonts w:ascii="Garamond" w:hAnsi="Garamond"/>
        </w:rPr>
        <w:t xml:space="preserve">, 2007).  We extend this idea by examining whether </w:t>
      </w:r>
      <w:r>
        <w:rPr>
          <w:rFonts w:ascii="Garamond" w:hAnsi="Garamond"/>
        </w:rPr>
        <w:t>pre-service teachers</w:t>
      </w:r>
      <w:r w:rsidR="00A85671" w:rsidRPr="009A1D56">
        <w:rPr>
          <w:rFonts w:ascii="Garamond" w:hAnsi="Garamond"/>
        </w:rPr>
        <w:t xml:space="preserve"> are more likely to exchange </w:t>
      </w:r>
      <w:r>
        <w:rPr>
          <w:rFonts w:ascii="Garamond" w:hAnsi="Garamond"/>
        </w:rPr>
        <w:t>instructional materials</w:t>
      </w:r>
      <w:r w:rsidR="00A85671" w:rsidRPr="009A1D56">
        <w:rPr>
          <w:rFonts w:ascii="Garamond" w:hAnsi="Garamond"/>
        </w:rPr>
        <w:t xml:space="preserve"> with </w:t>
      </w:r>
      <w:r>
        <w:rPr>
          <w:rFonts w:ascii="Garamond" w:hAnsi="Garamond"/>
        </w:rPr>
        <w:t>peers</w:t>
      </w:r>
      <w:r w:rsidR="00A85671" w:rsidRPr="009A1D56">
        <w:rPr>
          <w:rFonts w:ascii="Garamond" w:hAnsi="Garamond"/>
        </w:rPr>
        <w:t xml:space="preserve"> with whom they share similar levels of efficacy beliefs.  </w:t>
      </w:r>
      <w:r>
        <w:rPr>
          <w:rFonts w:ascii="Garamond" w:hAnsi="Garamond"/>
        </w:rPr>
        <w:t xml:space="preserve">Following this </w:t>
      </w:r>
      <w:r w:rsidR="004269F9">
        <w:rPr>
          <w:rFonts w:ascii="Garamond" w:hAnsi="Garamond"/>
        </w:rPr>
        <w:t xml:space="preserve">literature, </w:t>
      </w:r>
      <w:r w:rsidR="00A85671" w:rsidRPr="009A1D56">
        <w:rPr>
          <w:rFonts w:ascii="Garamond" w:hAnsi="Garamond"/>
        </w:rPr>
        <w:t xml:space="preserve">we hypothesize that </w:t>
      </w:r>
      <w:r w:rsidR="004269F9" w:rsidRPr="004269F9">
        <w:rPr>
          <w:rFonts w:ascii="Garamond" w:hAnsi="Garamond"/>
          <w:i/>
        </w:rPr>
        <w:t xml:space="preserve">pre-service teachers </w:t>
      </w:r>
      <w:r w:rsidR="00A85671" w:rsidRPr="004269F9">
        <w:rPr>
          <w:rFonts w:ascii="Garamond" w:hAnsi="Garamond"/>
          <w:i/>
        </w:rPr>
        <w:t xml:space="preserve">will be more likely to </w:t>
      </w:r>
      <w:r w:rsidR="004269F9" w:rsidRPr="004269F9">
        <w:rPr>
          <w:rFonts w:ascii="Garamond" w:hAnsi="Garamond"/>
          <w:i/>
        </w:rPr>
        <w:t>be involved in (seek/be sought for) the exchange of instructional materials</w:t>
      </w:r>
      <w:r w:rsidR="00A85671" w:rsidRPr="004269F9">
        <w:rPr>
          <w:rFonts w:ascii="Garamond" w:hAnsi="Garamond"/>
          <w:i/>
        </w:rPr>
        <w:t xml:space="preserve"> with others who share a similar level of efficacy </w:t>
      </w:r>
      <w:r w:rsidR="00A67BE8">
        <w:rPr>
          <w:rFonts w:ascii="Garamond" w:hAnsi="Garamond"/>
        </w:rPr>
        <w:t>(Hypothesis 4</w:t>
      </w:r>
      <w:r w:rsidR="00A85671" w:rsidRPr="009A1D56">
        <w:rPr>
          <w:rFonts w:ascii="Garamond" w:hAnsi="Garamond"/>
        </w:rPr>
        <w:t>).</w:t>
      </w:r>
    </w:p>
    <w:p w14:paraId="2C1669D1" w14:textId="361F0ABE" w:rsidR="004604D3" w:rsidRPr="00EC7A70" w:rsidRDefault="001A146B" w:rsidP="004604D3">
      <w:pPr>
        <w:widowControl/>
        <w:snapToGrid w:val="0"/>
        <w:spacing w:line="480" w:lineRule="auto"/>
        <w:rPr>
          <w:rFonts w:ascii="Garamond" w:hAnsi="Garamond"/>
          <w:b/>
          <w:bCs/>
        </w:rPr>
      </w:pPr>
      <w:r w:rsidRPr="00EC7A70">
        <w:rPr>
          <w:rFonts w:ascii="Garamond" w:hAnsi="Garamond"/>
          <w:b/>
          <w:bCs/>
        </w:rPr>
        <w:t>Peer</w:t>
      </w:r>
      <w:r w:rsidR="004604D3" w:rsidRPr="00EC7A70">
        <w:rPr>
          <w:rFonts w:ascii="Garamond" w:hAnsi="Garamond"/>
          <w:b/>
          <w:bCs/>
        </w:rPr>
        <w:t xml:space="preserve"> Trust</w:t>
      </w:r>
    </w:p>
    <w:p w14:paraId="72E6357D" w14:textId="12AFEB8B" w:rsidR="004604D3" w:rsidRPr="00EC7A70" w:rsidRDefault="00195481" w:rsidP="009D5D33">
      <w:pPr>
        <w:widowControl/>
        <w:snapToGrid w:val="0"/>
        <w:spacing w:line="480" w:lineRule="auto"/>
        <w:ind w:firstLine="720"/>
        <w:rPr>
          <w:rFonts w:ascii="Garamond" w:hAnsi="Garamond"/>
        </w:rPr>
      </w:pPr>
      <w:r>
        <w:rPr>
          <w:rFonts w:ascii="Garamond" w:hAnsi="Garamond"/>
        </w:rPr>
        <w:t>Trust has received considerable attention in the literature in</w:t>
      </w:r>
      <w:r w:rsidR="00BC1142">
        <w:rPr>
          <w:rFonts w:ascii="Garamond" w:hAnsi="Garamond"/>
        </w:rPr>
        <w:t xml:space="preserve"> </w:t>
      </w:r>
      <w:r>
        <w:rPr>
          <w:rFonts w:ascii="Garamond" w:hAnsi="Garamond"/>
        </w:rPr>
        <w:t>sociology, business, and education</w:t>
      </w:r>
      <w:r w:rsidR="00BC1142">
        <w:rPr>
          <w:rFonts w:ascii="Garamond" w:hAnsi="Garamond"/>
        </w:rPr>
        <w:t xml:space="preserve"> (e.g., </w:t>
      </w:r>
      <w:r w:rsidR="00BC1142" w:rsidRPr="00EC7A70">
        <w:rPr>
          <w:rFonts w:ascii="Garamond" w:hAnsi="Garamond"/>
        </w:rPr>
        <w:t>Coleman, 1988</w:t>
      </w:r>
      <w:r w:rsidR="00BC1142">
        <w:rPr>
          <w:rFonts w:ascii="Garamond" w:hAnsi="Garamond"/>
        </w:rPr>
        <w:t xml:space="preserve">; </w:t>
      </w:r>
      <w:r w:rsidR="00BC1142" w:rsidRPr="00534318">
        <w:rPr>
          <w:rFonts w:ascii="Garamond" w:hAnsi="Garamond"/>
        </w:rPr>
        <w:t>Levin, Cross, Abrams, Lesser, 200</w:t>
      </w:r>
      <w:r w:rsidR="00BC1142">
        <w:rPr>
          <w:rFonts w:ascii="Garamond" w:hAnsi="Garamond"/>
        </w:rPr>
        <w:t>2;</w:t>
      </w:r>
      <w:r w:rsidR="00B70C52" w:rsidRPr="00B70C52">
        <w:t xml:space="preserve"> </w:t>
      </w:r>
      <w:proofErr w:type="spellStart"/>
      <w:r w:rsidR="00B70C52" w:rsidRPr="00B70C52">
        <w:rPr>
          <w:rFonts w:ascii="Garamond" w:hAnsi="Garamond"/>
        </w:rPr>
        <w:t>Tschannen</w:t>
      </w:r>
      <w:proofErr w:type="spellEnd"/>
      <w:r w:rsidR="00B70C52" w:rsidRPr="00B70C52">
        <w:rPr>
          <w:rFonts w:ascii="Garamond" w:hAnsi="Garamond"/>
        </w:rPr>
        <w:t>-Moran, 2014</w:t>
      </w:r>
      <w:r w:rsidR="00BC1142">
        <w:rPr>
          <w:rFonts w:ascii="Garamond" w:hAnsi="Garamond"/>
        </w:rPr>
        <w:t xml:space="preserve">) </w:t>
      </w:r>
      <w:r>
        <w:rPr>
          <w:rFonts w:ascii="Garamond" w:hAnsi="Garamond"/>
        </w:rPr>
        <w:t>in the last few decades, and has been suggested as</w:t>
      </w:r>
      <w:r w:rsidR="004604D3" w:rsidRPr="00EC7A70">
        <w:rPr>
          <w:rFonts w:ascii="Garamond" w:hAnsi="Garamond"/>
        </w:rPr>
        <w:t xml:space="preserve"> a </w:t>
      </w:r>
      <w:r w:rsidR="00C83AE6">
        <w:rPr>
          <w:rFonts w:ascii="Garamond" w:hAnsi="Garamond"/>
        </w:rPr>
        <w:t>critical</w:t>
      </w:r>
      <w:r w:rsidR="004604D3" w:rsidRPr="00EC7A70">
        <w:rPr>
          <w:rFonts w:ascii="Garamond" w:hAnsi="Garamond"/>
        </w:rPr>
        <w:t xml:space="preserve"> adhesive that </w:t>
      </w:r>
      <w:r w:rsidR="00C83AE6">
        <w:rPr>
          <w:rFonts w:ascii="Garamond" w:hAnsi="Garamond"/>
        </w:rPr>
        <w:t>facilitate</w:t>
      </w:r>
      <w:r w:rsidR="001B773A">
        <w:rPr>
          <w:rFonts w:ascii="Garamond" w:hAnsi="Garamond"/>
        </w:rPr>
        <w:t>s</w:t>
      </w:r>
      <w:r w:rsidR="00C83AE6">
        <w:rPr>
          <w:rFonts w:ascii="Garamond" w:hAnsi="Garamond"/>
        </w:rPr>
        <w:t xml:space="preserve"> the connections of</w:t>
      </w:r>
      <w:r w:rsidR="004604D3" w:rsidRPr="00EC7A70">
        <w:rPr>
          <w:rFonts w:ascii="Garamond" w:hAnsi="Garamond"/>
        </w:rPr>
        <w:t xml:space="preserve"> individual</w:t>
      </w:r>
      <w:r w:rsidR="008362ED">
        <w:rPr>
          <w:rFonts w:ascii="Garamond" w:hAnsi="Garamond"/>
        </w:rPr>
        <w:t>s for the exchange of resources</w:t>
      </w:r>
      <w:r w:rsidR="00C83AE6">
        <w:rPr>
          <w:rFonts w:ascii="Garamond" w:hAnsi="Garamond"/>
        </w:rPr>
        <w:t xml:space="preserve"> (</w:t>
      </w:r>
      <w:proofErr w:type="spellStart"/>
      <w:r w:rsidR="00C83AE6" w:rsidRPr="00EC7A70">
        <w:rPr>
          <w:rFonts w:ascii="Garamond" w:hAnsi="Garamond"/>
        </w:rPr>
        <w:t>Bryk</w:t>
      </w:r>
      <w:proofErr w:type="spellEnd"/>
      <w:r w:rsidR="00C83AE6" w:rsidRPr="00EC7A70">
        <w:rPr>
          <w:rFonts w:ascii="Garamond" w:hAnsi="Garamond"/>
        </w:rPr>
        <w:t xml:space="preserve"> &amp; Schneider, 2002; </w:t>
      </w:r>
      <w:proofErr w:type="spellStart"/>
      <w:r w:rsidR="00C83AE6" w:rsidRPr="00EC7A70">
        <w:rPr>
          <w:rFonts w:ascii="Garamond" w:hAnsi="Garamond"/>
        </w:rPr>
        <w:t>Tschannen</w:t>
      </w:r>
      <w:proofErr w:type="spellEnd"/>
      <w:r w:rsidR="00C83AE6" w:rsidRPr="00EC7A70">
        <w:rPr>
          <w:rFonts w:ascii="Garamond" w:hAnsi="Garamond"/>
        </w:rPr>
        <w:t>-Moran, 2014)</w:t>
      </w:r>
      <w:r w:rsidR="00BC1142">
        <w:rPr>
          <w:rFonts w:ascii="Garamond" w:hAnsi="Garamond"/>
        </w:rPr>
        <w:t xml:space="preserve">. </w:t>
      </w:r>
      <w:r w:rsidR="008362ED">
        <w:rPr>
          <w:rFonts w:ascii="Garamond" w:hAnsi="Garamond"/>
        </w:rPr>
        <w:t xml:space="preserve"> </w:t>
      </w:r>
      <w:r w:rsidR="00C83AE6">
        <w:rPr>
          <w:rFonts w:ascii="Garamond" w:hAnsi="Garamond"/>
        </w:rPr>
        <w:t xml:space="preserve">Trust is generally defined as individuals’ willingness to take a certain level of risk to be vulnerable to </w:t>
      </w:r>
      <w:r w:rsidR="00C83AE6">
        <w:rPr>
          <w:rFonts w:ascii="Garamond" w:hAnsi="Garamond"/>
        </w:rPr>
        <w:lastRenderedPageBreak/>
        <w:t xml:space="preserve">another party based on the confidence that the latter party is consistently </w:t>
      </w:r>
      <w:r w:rsidR="00C83AE6" w:rsidRPr="00EC7A70">
        <w:rPr>
          <w:rFonts w:ascii="Garamond" w:hAnsi="Garamond"/>
        </w:rPr>
        <w:t>being reliable, benevolent, competent, and open (</w:t>
      </w:r>
      <w:proofErr w:type="spellStart"/>
      <w:r w:rsidR="00C83AE6" w:rsidRPr="00EC7A70">
        <w:rPr>
          <w:rFonts w:ascii="Garamond" w:hAnsi="Garamond"/>
        </w:rPr>
        <w:t>Bryk</w:t>
      </w:r>
      <w:proofErr w:type="spellEnd"/>
      <w:r w:rsidR="00C83AE6" w:rsidRPr="00EC7A70">
        <w:rPr>
          <w:rFonts w:ascii="Garamond" w:hAnsi="Garamond"/>
        </w:rPr>
        <w:t xml:space="preserve"> &amp; Schneider, 2002; </w:t>
      </w:r>
      <w:proofErr w:type="spellStart"/>
      <w:r w:rsidR="00C83AE6" w:rsidRPr="00EC7A70">
        <w:rPr>
          <w:rFonts w:ascii="Garamond" w:hAnsi="Garamond"/>
        </w:rPr>
        <w:t>Tschannen</w:t>
      </w:r>
      <w:proofErr w:type="spellEnd"/>
      <w:r w:rsidR="00C83AE6" w:rsidRPr="00EC7A70">
        <w:rPr>
          <w:rFonts w:ascii="Garamond" w:hAnsi="Garamond"/>
        </w:rPr>
        <w:t>-Moran, 2014).</w:t>
      </w:r>
      <w:r w:rsidR="00C83AE6">
        <w:rPr>
          <w:rFonts w:ascii="Garamond" w:hAnsi="Garamond"/>
        </w:rPr>
        <w:t xml:space="preserve">  </w:t>
      </w:r>
      <w:r w:rsidR="001B773A">
        <w:rPr>
          <w:rFonts w:ascii="Garamond" w:hAnsi="Garamond"/>
        </w:rPr>
        <w:t>R</w:t>
      </w:r>
      <w:r w:rsidR="004604D3" w:rsidRPr="00EC7A70">
        <w:rPr>
          <w:rFonts w:ascii="Garamond" w:hAnsi="Garamond"/>
        </w:rPr>
        <w:t xml:space="preserve">esearch </w:t>
      </w:r>
      <w:r w:rsidR="001B773A">
        <w:rPr>
          <w:rFonts w:ascii="Garamond" w:hAnsi="Garamond"/>
        </w:rPr>
        <w:t xml:space="preserve">on teacher learning and professional development </w:t>
      </w:r>
      <w:r w:rsidR="004604D3" w:rsidRPr="00EC7A70">
        <w:rPr>
          <w:rFonts w:ascii="Garamond" w:hAnsi="Garamond"/>
        </w:rPr>
        <w:t>ha</w:t>
      </w:r>
      <w:r w:rsidR="001B773A">
        <w:rPr>
          <w:rFonts w:ascii="Garamond" w:hAnsi="Garamond"/>
        </w:rPr>
        <w:t>s</w:t>
      </w:r>
      <w:r w:rsidR="004604D3" w:rsidRPr="00EC7A70">
        <w:rPr>
          <w:rFonts w:ascii="Garamond" w:hAnsi="Garamond"/>
        </w:rPr>
        <w:t xml:space="preserve"> identified ways in which trust has positively impacted individual and collective performance, for example better communication and knowledge sharing (</w:t>
      </w:r>
      <w:proofErr w:type="spellStart"/>
      <w:r w:rsidR="004604D3" w:rsidRPr="00EC7A70">
        <w:rPr>
          <w:rFonts w:ascii="Garamond" w:hAnsi="Garamond"/>
        </w:rPr>
        <w:t>Curşeu</w:t>
      </w:r>
      <w:proofErr w:type="spellEnd"/>
      <w:r w:rsidR="004604D3" w:rsidRPr="00EC7A70">
        <w:rPr>
          <w:rFonts w:ascii="Garamond" w:hAnsi="Garamond"/>
        </w:rPr>
        <w:t xml:space="preserve">, Janssen, &amp; </w:t>
      </w:r>
      <w:proofErr w:type="spellStart"/>
      <w:r w:rsidR="004604D3" w:rsidRPr="00EC7A70">
        <w:rPr>
          <w:rFonts w:ascii="Garamond" w:hAnsi="Garamond"/>
        </w:rPr>
        <w:t>Raab</w:t>
      </w:r>
      <w:proofErr w:type="spellEnd"/>
      <w:r w:rsidR="004604D3" w:rsidRPr="00EC7A70">
        <w:rPr>
          <w:rFonts w:ascii="Garamond" w:hAnsi="Garamond"/>
        </w:rPr>
        <w:t>, 2012), a reduction in anxiety during learning processes (Spector, Burkett, &amp; Steffen, 2002), an increase in team collaboration (Forbes &amp; Billet, 2012)</w:t>
      </w:r>
      <w:r w:rsidR="00954680" w:rsidRPr="00EC7A70">
        <w:rPr>
          <w:rFonts w:ascii="Garamond" w:hAnsi="Garamond"/>
        </w:rPr>
        <w:t xml:space="preserve">, and </w:t>
      </w:r>
      <w:r w:rsidR="001B773A">
        <w:rPr>
          <w:rFonts w:ascii="Garamond" w:hAnsi="Garamond"/>
        </w:rPr>
        <w:t>well-</w:t>
      </w:r>
      <w:r w:rsidR="00255A04" w:rsidRPr="00EC7A70">
        <w:rPr>
          <w:rFonts w:ascii="Garamond" w:hAnsi="Garamond"/>
        </w:rPr>
        <w:t>connected network</w:t>
      </w:r>
      <w:r w:rsidR="006271C2">
        <w:rPr>
          <w:rFonts w:ascii="Garamond" w:hAnsi="Garamond"/>
        </w:rPr>
        <w:t>s</w:t>
      </w:r>
      <w:r w:rsidR="00255A04" w:rsidRPr="00EC7A70">
        <w:rPr>
          <w:rFonts w:ascii="Garamond" w:hAnsi="Garamond"/>
        </w:rPr>
        <w:t xml:space="preserve"> </w:t>
      </w:r>
      <w:r w:rsidR="001B773A">
        <w:rPr>
          <w:rFonts w:ascii="Garamond" w:hAnsi="Garamond"/>
        </w:rPr>
        <w:t>of teachers in facilitating their school’s</w:t>
      </w:r>
      <w:r w:rsidR="001B773A" w:rsidRPr="00EC7A70">
        <w:rPr>
          <w:rFonts w:ascii="Garamond" w:hAnsi="Garamond"/>
        </w:rPr>
        <w:t xml:space="preserve"> </w:t>
      </w:r>
      <w:r w:rsidR="00255A04" w:rsidRPr="00EC7A70">
        <w:rPr>
          <w:rFonts w:ascii="Garamond" w:hAnsi="Garamond"/>
        </w:rPr>
        <w:t>innovative climate (Moolenaar</w:t>
      </w:r>
      <w:r w:rsidR="001B773A">
        <w:rPr>
          <w:rFonts w:ascii="Garamond" w:hAnsi="Garamond"/>
        </w:rPr>
        <w:t xml:space="preserve"> et al.</w:t>
      </w:r>
      <w:r w:rsidR="00255A04" w:rsidRPr="00EC7A70">
        <w:rPr>
          <w:rFonts w:ascii="Garamond" w:hAnsi="Garamond"/>
        </w:rPr>
        <w:t>, 201</w:t>
      </w:r>
      <w:r w:rsidR="001B773A">
        <w:rPr>
          <w:rFonts w:ascii="Garamond" w:hAnsi="Garamond"/>
        </w:rPr>
        <w:t>4</w:t>
      </w:r>
      <w:r w:rsidR="00255A04" w:rsidRPr="00EC7A70">
        <w:rPr>
          <w:rFonts w:ascii="Garamond" w:hAnsi="Garamond"/>
        </w:rPr>
        <w:t>)</w:t>
      </w:r>
      <w:r w:rsidR="004604D3" w:rsidRPr="00EC7A70">
        <w:rPr>
          <w:rFonts w:ascii="Garamond" w:hAnsi="Garamond"/>
        </w:rPr>
        <w:t>.</w:t>
      </w:r>
      <w:r w:rsidR="00954680" w:rsidRPr="00EC7A70">
        <w:rPr>
          <w:rFonts w:ascii="Garamond" w:hAnsi="Garamond"/>
        </w:rPr>
        <w:t xml:space="preserve"> </w:t>
      </w:r>
      <w:r w:rsidR="00255A04" w:rsidRPr="00EC7A70">
        <w:rPr>
          <w:rFonts w:ascii="Garamond" w:hAnsi="Garamond"/>
        </w:rPr>
        <w:t xml:space="preserve"> </w:t>
      </w:r>
    </w:p>
    <w:p w14:paraId="049EEFF4" w14:textId="37F72C28" w:rsidR="004604D3" w:rsidRDefault="003F1936" w:rsidP="004604D3">
      <w:pPr>
        <w:widowControl/>
        <w:snapToGrid w:val="0"/>
        <w:spacing w:line="480" w:lineRule="auto"/>
        <w:ind w:firstLine="720"/>
        <w:rPr>
          <w:rFonts w:ascii="Garamond" w:hAnsi="Garamond"/>
        </w:rPr>
      </w:pPr>
      <w:r>
        <w:rPr>
          <w:rFonts w:ascii="Garamond" w:hAnsi="Garamond"/>
        </w:rPr>
        <w:t xml:space="preserve">Given these positive impact of trust on interpersonal relationships, however, </w:t>
      </w:r>
      <w:r w:rsidR="004604D3" w:rsidRPr="00EC7A70">
        <w:rPr>
          <w:rFonts w:ascii="Garamond" w:hAnsi="Garamond"/>
        </w:rPr>
        <w:t xml:space="preserve">empirical studies around pre-service teacher preparation that focus on </w:t>
      </w:r>
      <w:r w:rsidR="00255A04" w:rsidRPr="00EC7A70">
        <w:rPr>
          <w:rFonts w:ascii="Garamond" w:hAnsi="Garamond"/>
        </w:rPr>
        <w:t>peer</w:t>
      </w:r>
      <w:r w:rsidR="004604D3" w:rsidRPr="00EC7A70">
        <w:rPr>
          <w:rFonts w:ascii="Garamond" w:hAnsi="Garamond"/>
        </w:rPr>
        <w:t xml:space="preserve"> </w:t>
      </w:r>
      <w:r>
        <w:rPr>
          <w:rFonts w:ascii="Garamond" w:hAnsi="Garamond"/>
        </w:rPr>
        <w:t>trust</w:t>
      </w:r>
      <w:r w:rsidR="004604D3" w:rsidRPr="00EC7A70">
        <w:rPr>
          <w:rFonts w:ascii="Garamond" w:hAnsi="Garamond"/>
        </w:rPr>
        <w:t xml:space="preserve"> </w:t>
      </w:r>
      <w:r w:rsidR="00B97083" w:rsidRPr="00EC7A70">
        <w:rPr>
          <w:rFonts w:ascii="Garamond" w:hAnsi="Garamond"/>
        </w:rPr>
        <w:t xml:space="preserve">and their social connectedness </w:t>
      </w:r>
      <w:r w:rsidR="004604D3" w:rsidRPr="00EC7A70">
        <w:rPr>
          <w:rFonts w:ascii="Garamond" w:hAnsi="Garamond"/>
        </w:rPr>
        <w:t xml:space="preserve">are </w:t>
      </w:r>
      <w:r w:rsidR="00255A04" w:rsidRPr="00EC7A70">
        <w:rPr>
          <w:rFonts w:ascii="Garamond" w:hAnsi="Garamond"/>
        </w:rPr>
        <w:t xml:space="preserve">relatively </w:t>
      </w:r>
      <w:r>
        <w:rPr>
          <w:rFonts w:ascii="Garamond" w:hAnsi="Garamond"/>
        </w:rPr>
        <w:t>scant</w:t>
      </w:r>
      <w:r w:rsidR="004604D3" w:rsidRPr="00EC7A70">
        <w:rPr>
          <w:rFonts w:ascii="Garamond" w:hAnsi="Garamond"/>
        </w:rPr>
        <w:t xml:space="preserve">.  </w:t>
      </w:r>
      <w:r w:rsidR="00B97083" w:rsidRPr="00EC7A70">
        <w:rPr>
          <w:rFonts w:ascii="Garamond" w:hAnsi="Garamond"/>
        </w:rPr>
        <w:t xml:space="preserve">The majority </w:t>
      </w:r>
      <w:r w:rsidR="004604D3" w:rsidRPr="00EC7A70">
        <w:rPr>
          <w:rFonts w:ascii="Garamond" w:hAnsi="Garamond"/>
        </w:rPr>
        <w:t xml:space="preserve">of </w:t>
      </w:r>
      <w:r w:rsidR="00B97083" w:rsidRPr="00EC7A70">
        <w:rPr>
          <w:rFonts w:ascii="Garamond" w:hAnsi="Garamond"/>
        </w:rPr>
        <w:t>studies</w:t>
      </w:r>
      <w:r w:rsidR="004604D3" w:rsidRPr="00EC7A70">
        <w:rPr>
          <w:rFonts w:ascii="Garamond" w:hAnsi="Garamond"/>
        </w:rPr>
        <w:t xml:space="preserve"> in </w:t>
      </w:r>
      <w:r w:rsidR="00B97083" w:rsidRPr="00EC7A70">
        <w:rPr>
          <w:rFonts w:ascii="Garamond" w:hAnsi="Garamond"/>
        </w:rPr>
        <w:t xml:space="preserve">pre-service </w:t>
      </w:r>
      <w:r w:rsidR="004604D3" w:rsidRPr="00EC7A70">
        <w:rPr>
          <w:rFonts w:ascii="Garamond" w:hAnsi="Garamond"/>
        </w:rPr>
        <w:t>teacher education focus on trust in the relationships between teacher preparation institutes and universities at the organizational level (Sutherl</w:t>
      </w:r>
      <w:r w:rsidR="00B97083" w:rsidRPr="00EC7A70">
        <w:rPr>
          <w:rFonts w:ascii="Garamond" w:hAnsi="Garamond"/>
        </w:rPr>
        <w:t xml:space="preserve">and, Scanlon, &amp; </w:t>
      </w:r>
      <w:proofErr w:type="spellStart"/>
      <w:r w:rsidR="00B97083" w:rsidRPr="00EC7A70">
        <w:rPr>
          <w:rFonts w:ascii="Garamond" w:hAnsi="Garamond"/>
        </w:rPr>
        <w:t>Sperring</w:t>
      </w:r>
      <w:proofErr w:type="spellEnd"/>
      <w:r w:rsidR="00B97083" w:rsidRPr="00EC7A70">
        <w:rPr>
          <w:rFonts w:ascii="Garamond" w:hAnsi="Garamond"/>
        </w:rPr>
        <w:t xml:space="preserve">, 2005) and/or </w:t>
      </w:r>
      <w:r w:rsidR="004604D3" w:rsidRPr="00EC7A70">
        <w:rPr>
          <w:rFonts w:ascii="Garamond" w:hAnsi="Garamond"/>
        </w:rPr>
        <w:t>student teachers and their mentors (</w:t>
      </w:r>
      <w:proofErr w:type="spellStart"/>
      <w:r w:rsidR="004604D3" w:rsidRPr="00EC7A70">
        <w:rPr>
          <w:rFonts w:ascii="Garamond" w:hAnsi="Garamond"/>
        </w:rPr>
        <w:t>Stanulis</w:t>
      </w:r>
      <w:proofErr w:type="spellEnd"/>
      <w:r w:rsidR="004604D3" w:rsidRPr="00EC7A70">
        <w:rPr>
          <w:rFonts w:ascii="Garamond" w:hAnsi="Garamond"/>
        </w:rPr>
        <w:t xml:space="preserve"> &amp; Russell, 2000)</w:t>
      </w:r>
      <w:r w:rsidR="00B97083" w:rsidRPr="00EC7A70">
        <w:rPr>
          <w:rFonts w:ascii="Garamond" w:hAnsi="Garamond"/>
        </w:rPr>
        <w:t xml:space="preserve"> with few recent studies investigating trust between </w:t>
      </w:r>
      <w:r w:rsidR="00642B96">
        <w:rPr>
          <w:rFonts w:ascii="Garamond" w:hAnsi="Garamond"/>
        </w:rPr>
        <w:t xml:space="preserve">a </w:t>
      </w:r>
      <w:r w:rsidR="00B97083" w:rsidRPr="00EC7A70">
        <w:rPr>
          <w:rFonts w:ascii="Garamond" w:hAnsi="Garamond"/>
        </w:rPr>
        <w:t>cohort of pre-service teachers and its influence on teaching performance and personal network connection (Authors et al., 2016, 2018)</w:t>
      </w:r>
      <w:r w:rsidR="004604D3" w:rsidRPr="00EC7A70">
        <w:rPr>
          <w:rFonts w:ascii="Garamond" w:hAnsi="Garamond"/>
        </w:rPr>
        <w:t xml:space="preserve">.  </w:t>
      </w:r>
      <w:r w:rsidR="00A34C00" w:rsidRPr="00EC7A70">
        <w:rPr>
          <w:rFonts w:ascii="Garamond" w:hAnsi="Garamond"/>
        </w:rPr>
        <w:t>Given that</w:t>
      </w:r>
      <w:r w:rsidR="004604D3" w:rsidRPr="00EC7A70">
        <w:rPr>
          <w:rFonts w:ascii="Garamond" w:hAnsi="Garamond"/>
        </w:rPr>
        <w:t xml:space="preserve"> trusting relationship</w:t>
      </w:r>
      <w:r w:rsidR="00A34C00" w:rsidRPr="00EC7A70">
        <w:rPr>
          <w:rFonts w:ascii="Garamond" w:hAnsi="Garamond"/>
        </w:rPr>
        <w:t>s</w:t>
      </w:r>
      <w:r w:rsidR="004604D3" w:rsidRPr="00EC7A70">
        <w:rPr>
          <w:rFonts w:ascii="Garamond" w:hAnsi="Garamond"/>
        </w:rPr>
        <w:t xml:space="preserve"> play a critical role in facilitating </w:t>
      </w:r>
      <w:r w:rsidR="00642B96">
        <w:rPr>
          <w:rFonts w:ascii="Garamond" w:hAnsi="Garamond"/>
        </w:rPr>
        <w:t xml:space="preserve">team work, social </w:t>
      </w:r>
      <w:r w:rsidR="00642B96" w:rsidRPr="00EC7A70">
        <w:rPr>
          <w:rFonts w:ascii="Garamond" w:hAnsi="Garamond"/>
        </w:rPr>
        <w:t>learning</w:t>
      </w:r>
      <w:r w:rsidR="00642B96">
        <w:rPr>
          <w:rFonts w:ascii="Garamond" w:hAnsi="Garamond"/>
        </w:rPr>
        <w:t>, and</w:t>
      </w:r>
      <w:r w:rsidR="00642B96" w:rsidRPr="00EC7A70">
        <w:rPr>
          <w:rFonts w:ascii="Garamond" w:hAnsi="Garamond"/>
        </w:rPr>
        <w:t xml:space="preserve"> </w:t>
      </w:r>
      <w:r w:rsidR="004604D3" w:rsidRPr="00EC7A70">
        <w:rPr>
          <w:rFonts w:ascii="Garamond" w:hAnsi="Garamond"/>
        </w:rPr>
        <w:t>the development of a more collaborative and supportive environment</w:t>
      </w:r>
      <w:r w:rsidR="00642B96">
        <w:rPr>
          <w:rFonts w:ascii="Garamond" w:hAnsi="Garamond"/>
        </w:rPr>
        <w:t xml:space="preserve"> </w:t>
      </w:r>
      <w:r w:rsidR="00642B96" w:rsidRPr="00EC7A70">
        <w:rPr>
          <w:rFonts w:ascii="Garamond" w:hAnsi="Garamond"/>
        </w:rPr>
        <w:t>(</w:t>
      </w:r>
      <w:proofErr w:type="spellStart"/>
      <w:r w:rsidR="00642B96" w:rsidRPr="00EC7A70">
        <w:rPr>
          <w:rFonts w:ascii="Garamond" w:hAnsi="Garamond"/>
        </w:rPr>
        <w:t>Tschannen</w:t>
      </w:r>
      <w:proofErr w:type="spellEnd"/>
      <w:r w:rsidR="00642B96" w:rsidRPr="00EC7A70">
        <w:rPr>
          <w:rFonts w:ascii="Garamond" w:hAnsi="Garamond"/>
        </w:rPr>
        <w:t>-Moran, 2014)</w:t>
      </w:r>
      <w:r w:rsidR="00642B96">
        <w:rPr>
          <w:rFonts w:ascii="Garamond" w:hAnsi="Garamond"/>
        </w:rPr>
        <w:t>,</w:t>
      </w:r>
      <w:r w:rsidR="004604D3" w:rsidRPr="00EC7A70">
        <w:rPr>
          <w:rFonts w:ascii="Garamond" w:hAnsi="Garamond"/>
        </w:rPr>
        <w:t xml:space="preserve"> which in turn may yield productive outcomes, </w:t>
      </w:r>
      <w:r w:rsidR="00642B96" w:rsidRPr="00EC7A70">
        <w:rPr>
          <w:rFonts w:ascii="Garamond" w:hAnsi="Garamond"/>
        </w:rPr>
        <w:t>it is important to examine peer trust and its relationship with the social connectivity of pre-service teachers.</w:t>
      </w:r>
      <w:r w:rsidR="004604D3" w:rsidRPr="00EC7A70">
        <w:rPr>
          <w:rFonts w:ascii="Garamond" w:hAnsi="Garamond"/>
        </w:rPr>
        <w:t xml:space="preserve">  Therefore, we hypothesize that </w:t>
      </w:r>
      <w:r w:rsidR="004604D3" w:rsidRPr="00EC7A70">
        <w:rPr>
          <w:rFonts w:ascii="Garamond" w:hAnsi="Garamond"/>
          <w:i/>
        </w:rPr>
        <w:t>pre-service tea</w:t>
      </w:r>
      <w:r w:rsidR="00A34C00" w:rsidRPr="00EC7A70">
        <w:rPr>
          <w:rFonts w:ascii="Garamond" w:hAnsi="Garamond"/>
          <w:i/>
        </w:rPr>
        <w:t xml:space="preserve">chers who perceive greater peer trust will be </w:t>
      </w:r>
      <w:r w:rsidR="002C25F4" w:rsidRPr="00EC7A70">
        <w:rPr>
          <w:rFonts w:ascii="Garamond" w:hAnsi="Garamond"/>
          <w:i/>
        </w:rPr>
        <w:t>more likely to be involved in (seek/be sought for) the exchange of instructional materials</w:t>
      </w:r>
      <w:r w:rsidR="002C25F4" w:rsidRPr="00EC7A70">
        <w:rPr>
          <w:rFonts w:ascii="Garamond" w:hAnsi="Garamond"/>
        </w:rPr>
        <w:t xml:space="preserve"> </w:t>
      </w:r>
      <w:r w:rsidR="00A67BE8">
        <w:rPr>
          <w:rFonts w:ascii="Garamond" w:hAnsi="Garamond"/>
        </w:rPr>
        <w:t>(Hypothesis 5</w:t>
      </w:r>
      <w:r w:rsidR="004604D3" w:rsidRPr="00EC7A70">
        <w:rPr>
          <w:rFonts w:ascii="Garamond" w:hAnsi="Garamond"/>
        </w:rPr>
        <w:t>).</w:t>
      </w:r>
    </w:p>
    <w:p w14:paraId="46C6D25B" w14:textId="536A522C" w:rsidR="00727300" w:rsidRPr="00EC7A70" w:rsidRDefault="00727300" w:rsidP="004604D3">
      <w:pPr>
        <w:widowControl/>
        <w:snapToGrid w:val="0"/>
        <w:spacing w:line="480" w:lineRule="auto"/>
        <w:ind w:firstLine="720"/>
        <w:rPr>
          <w:rFonts w:ascii="Garamond" w:hAnsi="Garamond"/>
        </w:rPr>
      </w:pPr>
      <w:r>
        <w:rPr>
          <w:rFonts w:ascii="Garamond" w:hAnsi="Garamond"/>
        </w:rPr>
        <w:t xml:space="preserve">Following the same line of discussion on network </w:t>
      </w:r>
      <w:proofErr w:type="spellStart"/>
      <w:r>
        <w:rPr>
          <w:rFonts w:ascii="Garamond" w:hAnsi="Garamond"/>
        </w:rPr>
        <w:t>homophily</w:t>
      </w:r>
      <w:proofErr w:type="spellEnd"/>
      <w:r>
        <w:rPr>
          <w:rFonts w:ascii="Garamond" w:hAnsi="Garamond"/>
        </w:rPr>
        <w:t xml:space="preserve">, it is reasonable to assume that pre-service teachers would more likely to establish a social tie with those peers with whom they share similar perception of peer trust, which may also facilitate mutual interaction.  Therefore, we </w:t>
      </w:r>
      <w:r>
        <w:rPr>
          <w:rFonts w:ascii="Garamond" w:hAnsi="Garamond"/>
        </w:rPr>
        <w:lastRenderedPageBreak/>
        <w:t xml:space="preserve">further hypothesize that </w:t>
      </w:r>
      <w:r w:rsidRPr="004269F9">
        <w:rPr>
          <w:rFonts w:ascii="Garamond" w:hAnsi="Garamond"/>
          <w:i/>
        </w:rPr>
        <w:t xml:space="preserve">pre-service teachers will be more likely to be involved in (seek/be sought for) the exchange of instructional materials with others who share a similar level of </w:t>
      </w:r>
      <w:r>
        <w:rPr>
          <w:rFonts w:ascii="Garamond" w:hAnsi="Garamond"/>
          <w:i/>
        </w:rPr>
        <w:t>peer trust</w:t>
      </w:r>
      <w:r w:rsidRPr="004269F9">
        <w:rPr>
          <w:rFonts w:ascii="Garamond" w:hAnsi="Garamond"/>
          <w:i/>
        </w:rPr>
        <w:t xml:space="preserve"> </w:t>
      </w:r>
      <w:r>
        <w:rPr>
          <w:rFonts w:ascii="Garamond" w:hAnsi="Garamond"/>
        </w:rPr>
        <w:t>(Hypothesis 6</w:t>
      </w:r>
      <w:r w:rsidRPr="009A1D56">
        <w:rPr>
          <w:rFonts w:ascii="Garamond" w:hAnsi="Garamond"/>
        </w:rPr>
        <w:t>).</w:t>
      </w:r>
      <w:r>
        <w:rPr>
          <w:rFonts w:ascii="Garamond" w:hAnsi="Garamond"/>
        </w:rPr>
        <w:t xml:space="preserve"> </w:t>
      </w:r>
    </w:p>
    <w:p w14:paraId="4BD01473" w14:textId="1A26DEA5" w:rsidR="00533196" w:rsidRPr="00EC7A70" w:rsidRDefault="00533196" w:rsidP="00B12833">
      <w:pPr>
        <w:widowControl/>
        <w:snapToGrid w:val="0"/>
        <w:spacing w:line="480" w:lineRule="auto"/>
        <w:rPr>
          <w:rFonts w:ascii="Garamond" w:hAnsi="Garamond"/>
          <w:b/>
          <w:bCs/>
        </w:rPr>
      </w:pPr>
      <w:r w:rsidRPr="00EC7A70">
        <w:rPr>
          <w:rFonts w:ascii="Garamond" w:hAnsi="Garamond"/>
          <w:b/>
          <w:bCs/>
        </w:rPr>
        <w:t xml:space="preserve">Innovative Climate in a Form of </w:t>
      </w:r>
      <w:r w:rsidR="00B12833" w:rsidRPr="00EC7A70">
        <w:rPr>
          <w:rFonts w:ascii="Garamond" w:hAnsi="Garamond"/>
          <w:b/>
          <w:bCs/>
        </w:rPr>
        <w:t>Sharing Innovative Ideas</w:t>
      </w:r>
    </w:p>
    <w:p w14:paraId="255349BA" w14:textId="551E5459" w:rsidR="003E2F82" w:rsidRPr="00EC7A70" w:rsidRDefault="00B058B8" w:rsidP="00B058B8">
      <w:pPr>
        <w:widowControl/>
        <w:snapToGrid w:val="0"/>
        <w:spacing w:line="480" w:lineRule="auto"/>
        <w:ind w:firstLine="720"/>
        <w:rPr>
          <w:rFonts w:ascii="Garamond" w:hAnsi="Garamond"/>
        </w:rPr>
      </w:pPr>
      <w:r w:rsidRPr="00EC7A70">
        <w:rPr>
          <w:rFonts w:ascii="Garamond" w:hAnsi="Garamond"/>
        </w:rPr>
        <w:t xml:space="preserve">Aside from individual-level factors, a growing </w:t>
      </w:r>
      <w:r w:rsidR="00674CB3">
        <w:rPr>
          <w:rFonts w:ascii="Garamond" w:hAnsi="Garamond"/>
        </w:rPr>
        <w:t>body</w:t>
      </w:r>
      <w:r w:rsidR="00674CB3" w:rsidRPr="00EC7A70">
        <w:rPr>
          <w:rFonts w:ascii="Garamond" w:hAnsi="Garamond"/>
        </w:rPr>
        <w:t xml:space="preserve"> </w:t>
      </w:r>
      <w:r w:rsidRPr="00EC7A70">
        <w:rPr>
          <w:rFonts w:ascii="Garamond" w:hAnsi="Garamond"/>
        </w:rPr>
        <w:t xml:space="preserve">of research </w:t>
      </w:r>
      <w:r w:rsidR="00674CB3">
        <w:rPr>
          <w:rFonts w:ascii="Garamond" w:hAnsi="Garamond"/>
        </w:rPr>
        <w:t xml:space="preserve">literature </w:t>
      </w:r>
      <w:r w:rsidRPr="00EC7A70">
        <w:rPr>
          <w:rFonts w:ascii="Garamond" w:hAnsi="Garamond"/>
        </w:rPr>
        <w:t xml:space="preserve">suggests </w:t>
      </w:r>
      <w:r w:rsidR="00674CB3">
        <w:rPr>
          <w:rFonts w:ascii="Garamond" w:hAnsi="Garamond"/>
        </w:rPr>
        <w:t xml:space="preserve">several </w:t>
      </w:r>
      <w:r w:rsidRPr="00EC7A70">
        <w:rPr>
          <w:rFonts w:ascii="Garamond" w:hAnsi="Garamond"/>
        </w:rPr>
        <w:t>important organizational</w:t>
      </w:r>
      <w:r w:rsidR="00674CB3">
        <w:rPr>
          <w:rFonts w:ascii="Garamond" w:hAnsi="Garamond"/>
        </w:rPr>
        <w:t>-</w:t>
      </w:r>
      <w:r w:rsidRPr="00EC7A70">
        <w:rPr>
          <w:rFonts w:ascii="Garamond" w:hAnsi="Garamond"/>
        </w:rPr>
        <w:t>level factors in shaping conditions for learning and social behavior (</w:t>
      </w:r>
      <w:proofErr w:type="spellStart"/>
      <w:r w:rsidRPr="00EC7A70">
        <w:rPr>
          <w:rFonts w:ascii="Garamond" w:hAnsi="Garamond"/>
        </w:rPr>
        <w:t>Storey</w:t>
      </w:r>
      <w:proofErr w:type="spellEnd"/>
      <w:r w:rsidRPr="00EC7A70">
        <w:rPr>
          <w:rFonts w:ascii="Garamond" w:hAnsi="Garamond"/>
        </w:rPr>
        <w:t xml:space="preserve"> &amp; </w:t>
      </w:r>
      <w:proofErr w:type="spellStart"/>
      <w:r w:rsidRPr="00EC7A70">
        <w:rPr>
          <w:rFonts w:ascii="Garamond" w:hAnsi="Garamond"/>
        </w:rPr>
        <w:t>Salaman</w:t>
      </w:r>
      <w:proofErr w:type="spellEnd"/>
      <w:r w:rsidRPr="00EC7A70">
        <w:rPr>
          <w:rFonts w:ascii="Garamond" w:hAnsi="Garamond"/>
        </w:rPr>
        <w:t>, 200</w:t>
      </w:r>
      <w:r w:rsidR="0072300B">
        <w:rPr>
          <w:rFonts w:ascii="Garamond" w:hAnsi="Garamond"/>
        </w:rPr>
        <w:t>9</w:t>
      </w:r>
      <w:r w:rsidRPr="00EC7A70">
        <w:rPr>
          <w:rFonts w:ascii="Garamond" w:hAnsi="Garamond"/>
        </w:rPr>
        <w:t>; Moolenaar et al., 2014).  Among these factors, a climate of innovation has been identified as crucial to individual learning and organizational change and improvement (</w:t>
      </w:r>
      <w:proofErr w:type="spellStart"/>
      <w:r w:rsidRPr="00EC7A70">
        <w:rPr>
          <w:rFonts w:ascii="Garamond" w:hAnsi="Garamond"/>
        </w:rPr>
        <w:t>Übius</w:t>
      </w:r>
      <w:proofErr w:type="spellEnd"/>
      <w:r w:rsidRPr="00EC7A70">
        <w:rPr>
          <w:rFonts w:ascii="Garamond" w:hAnsi="Garamond"/>
        </w:rPr>
        <w:t xml:space="preserve">, Alas, &amp; </w:t>
      </w:r>
      <w:proofErr w:type="spellStart"/>
      <w:r w:rsidRPr="00EC7A70">
        <w:rPr>
          <w:rFonts w:ascii="Garamond" w:hAnsi="Garamond"/>
        </w:rPr>
        <w:t>Elenurm</w:t>
      </w:r>
      <w:proofErr w:type="spellEnd"/>
      <w:r w:rsidRPr="00EC7A70">
        <w:rPr>
          <w:rFonts w:ascii="Garamond" w:hAnsi="Garamond"/>
        </w:rPr>
        <w:t>, 2013).  The notion of innovative climate can be defined as the shared perceptions of organizational members regarding values, beliefs, practice, and behaviors that facilitate risk taking and the creation of new knowledge (Moolenaar</w:t>
      </w:r>
      <w:r w:rsidR="00521184">
        <w:rPr>
          <w:rFonts w:ascii="Garamond" w:hAnsi="Garamond"/>
        </w:rPr>
        <w:t xml:space="preserve"> et al.</w:t>
      </w:r>
      <w:r w:rsidRPr="00EC7A70">
        <w:rPr>
          <w:rFonts w:ascii="Garamond" w:hAnsi="Garamond"/>
        </w:rPr>
        <w:t>, 201</w:t>
      </w:r>
      <w:r w:rsidR="00521184">
        <w:rPr>
          <w:rFonts w:ascii="Garamond" w:hAnsi="Garamond"/>
        </w:rPr>
        <w:t>4</w:t>
      </w:r>
      <w:r w:rsidRPr="00EC7A70">
        <w:rPr>
          <w:rFonts w:ascii="Garamond" w:hAnsi="Garamond"/>
        </w:rPr>
        <w:t xml:space="preserve">).  Central to this definition is </w:t>
      </w:r>
      <w:r w:rsidR="00E74D4E">
        <w:rPr>
          <w:rFonts w:ascii="Garamond" w:hAnsi="Garamond"/>
        </w:rPr>
        <w:t>“</w:t>
      </w:r>
      <w:r w:rsidR="00E74D4E" w:rsidRPr="00E74D4E">
        <w:rPr>
          <w:rFonts w:ascii="Garamond" w:hAnsi="Garamond"/>
        </w:rPr>
        <w:t xml:space="preserve">the development and transformation of new practices </w:t>
      </w:r>
      <w:r w:rsidR="00E74D4E">
        <w:rPr>
          <w:rFonts w:ascii="Garamond" w:hAnsi="Garamond"/>
        </w:rPr>
        <w:t>…</w:t>
      </w:r>
      <w:r w:rsidR="00E74D4E" w:rsidRPr="00E74D4E">
        <w:rPr>
          <w:rFonts w:ascii="Garamond" w:hAnsi="Garamond"/>
        </w:rPr>
        <w:t xml:space="preserve"> through collective social processes as a means to organizational change</w:t>
      </w:r>
      <w:r w:rsidR="00E74D4E">
        <w:rPr>
          <w:rFonts w:ascii="Garamond" w:hAnsi="Garamond"/>
        </w:rPr>
        <w:t>” (Authors et al., 2019, p. 63).</w:t>
      </w:r>
      <w:r w:rsidRPr="00EC7A70">
        <w:rPr>
          <w:rFonts w:ascii="Garamond" w:hAnsi="Garamond"/>
        </w:rPr>
        <w:t xml:space="preserve">  </w:t>
      </w:r>
      <w:r w:rsidR="00533735" w:rsidRPr="00EC7A70">
        <w:rPr>
          <w:rFonts w:ascii="Garamond" w:hAnsi="Garamond"/>
        </w:rPr>
        <w:t>Through social process</w:t>
      </w:r>
      <w:r w:rsidR="00E74D4E">
        <w:rPr>
          <w:rFonts w:ascii="Garamond" w:hAnsi="Garamond"/>
        </w:rPr>
        <w:t>es</w:t>
      </w:r>
      <w:r w:rsidR="00533735" w:rsidRPr="00EC7A70">
        <w:rPr>
          <w:rFonts w:ascii="Garamond" w:hAnsi="Garamond"/>
        </w:rPr>
        <w:t>, innovation “emerges between rather than within people” (</w:t>
      </w:r>
      <w:proofErr w:type="spellStart"/>
      <w:r w:rsidR="00533735" w:rsidRPr="00EC7A70">
        <w:rPr>
          <w:rFonts w:ascii="Garamond" w:hAnsi="Garamond"/>
        </w:rPr>
        <w:t>Paavola</w:t>
      </w:r>
      <w:proofErr w:type="spellEnd"/>
      <w:r w:rsidR="00533735" w:rsidRPr="00EC7A70">
        <w:rPr>
          <w:rFonts w:ascii="Garamond" w:hAnsi="Garamond"/>
        </w:rPr>
        <w:t xml:space="preserve">, </w:t>
      </w:r>
      <w:proofErr w:type="spellStart"/>
      <w:r w:rsidR="00533735" w:rsidRPr="00EC7A70">
        <w:rPr>
          <w:rFonts w:ascii="Garamond" w:hAnsi="Garamond"/>
        </w:rPr>
        <w:t>Lipponen</w:t>
      </w:r>
      <w:proofErr w:type="spellEnd"/>
      <w:r w:rsidR="00533735" w:rsidRPr="00EC7A70">
        <w:rPr>
          <w:rFonts w:ascii="Garamond" w:hAnsi="Garamond"/>
        </w:rPr>
        <w:t xml:space="preserve">, &amp; </w:t>
      </w:r>
      <w:proofErr w:type="spellStart"/>
      <w:r w:rsidR="00533735" w:rsidRPr="00EC7A70">
        <w:rPr>
          <w:rFonts w:ascii="Garamond" w:hAnsi="Garamond"/>
        </w:rPr>
        <w:t>Hakkarainen</w:t>
      </w:r>
      <w:proofErr w:type="spellEnd"/>
      <w:r w:rsidR="00533735" w:rsidRPr="00EC7A70">
        <w:rPr>
          <w:rFonts w:ascii="Garamond" w:hAnsi="Garamond"/>
        </w:rPr>
        <w:t xml:space="preserve">, 2004, p. 564).  </w:t>
      </w:r>
    </w:p>
    <w:p w14:paraId="6AB6A7CD" w14:textId="6CF8CD16" w:rsidR="00B058B8" w:rsidRPr="00EC7A70" w:rsidRDefault="003E2F82" w:rsidP="00B058B8">
      <w:pPr>
        <w:widowControl/>
        <w:snapToGrid w:val="0"/>
        <w:spacing w:line="480" w:lineRule="auto"/>
        <w:ind w:firstLine="720"/>
        <w:rPr>
          <w:rFonts w:ascii="Garamond" w:hAnsi="Garamond"/>
        </w:rPr>
      </w:pPr>
      <w:r w:rsidRPr="00EC7A70">
        <w:rPr>
          <w:rFonts w:ascii="Garamond" w:hAnsi="Garamond"/>
        </w:rPr>
        <w:t xml:space="preserve">Organizations with climates that are perceived to be innovative are characterized by creativity, risk taking, openness to </w:t>
      </w:r>
      <w:r w:rsidR="00394559">
        <w:rPr>
          <w:rFonts w:ascii="Garamond" w:hAnsi="Garamond"/>
        </w:rPr>
        <w:t xml:space="preserve">new ideas and </w:t>
      </w:r>
      <w:r w:rsidRPr="00EC7A70">
        <w:rPr>
          <w:rFonts w:ascii="Garamond" w:hAnsi="Garamond"/>
        </w:rPr>
        <w:t>change, and proactivity (</w:t>
      </w:r>
      <w:proofErr w:type="spellStart"/>
      <w:r w:rsidRPr="00EC7A70">
        <w:rPr>
          <w:rFonts w:ascii="Garamond" w:hAnsi="Garamond"/>
        </w:rPr>
        <w:t>Dundon</w:t>
      </w:r>
      <w:proofErr w:type="spellEnd"/>
      <w:r w:rsidRPr="00EC7A70">
        <w:rPr>
          <w:rFonts w:ascii="Garamond" w:hAnsi="Garamond"/>
        </w:rPr>
        <w:t xml:space="preserve">, 2005).  </w:t>
      </w:r>
      <w:r w:rsidR="00533735" w:rsidRPr="00EC7A70">
        <w:rPr>
          <w:rFonts w:ascii="Garamond" w:hAnsi="Garamond"/>
        </w:rPr>
        <w:t>Organizational members</w:t>
      </w:r>
      <w:r w:rsidR="00B058B8" w:rsidRPr="00EC7A70">
        <w:rPr>
          <w:rFonts w:ascii="Garamond" w:hAnsi="Garamond"/>
        </w:rPr>
        <w:t xml:space="preserve"> </w:t>
      </w:r>
      <w:r w:rsidRPr="00EC7A70">
        <w:rPr>
          <w:rFonts w:ascii="Garamond" w:hAnsi="Garamond"/>
        </w:rPr>
        <w:t xml:space="preserve">who are </w:t>
      </w:r>
      <w:r w:rsidR="00B058B8" w:rsidRPr="00EC7A70">
        <w:rPr>
          <w:rFonts w:ascii="Garamond" w:hAnsi="Garamond"/>
        </w:rPr>
        <w:t xml:space="preserve">open to innovative ideas </w:t>
      </w:r>
      <w:r w:rsidRPr="00EC7A70">
        <w:rPr>
          <w:rFonts w:ascii="Garamond" w:hAnsi="Garamond"/>
        </w:rPr>
        <w:t xml:space="preserve">tend to </w:t>
      </w:r>
      <w:r w:rsidR="00B058B8" w:rsidRPr="00EC7A70">
        <w:rPr>
          <w:rFonts w:ascii="Garamond" w:hAnsi="Garamond"/>
        </w:rPr>
        <w:t xml:space="preserve">be more motivated and willing to explore new and diverse interpersonal connections for </w:t>
      </w:r>
      <w:r w:rsidR="00533735" w:rsidRPr="00EC7A70">
        <w:rPr>
          <w:rFonts w:ascii="Garamond" w:hAnsi="Garamond"/>
        </w:rPr>
        <w:t>novel</w:t>
      </w:r>
      <w:r w:rsidR="00B058B8" w:rsidRPr="00EC7A70">
        <w:rPr>
          <w:rFonts w:ascii="Garamond" w:hAnsi="Garamond"/>
        </w:rPr>
        <w:t xml:space="preserve"> exchanges (Fredrickson, 2003), and thus are likely to be well-connected (</w:t>
      </w:r>
      <w:proofErr w:type="spellStart"/>
      <w:r w:rsidR="00B058B8" w:rsidRPr="00EC7A70">
        <w:rPr>
          <w:rFonts w:ascii="Garamond" w:hAnsi="Garamond"/>
        </w:rPr>
        <w:t>Heaphy</w:t>
      </w:r>
      <w:proofErr w:type="spellEnd"/>
      <w:r w:rsidR="00B058B8" w:rsidRPr="00EC7A70">
        <w:rPr>
          <w:rFonts w:ascii="Garamond" w:hAnsi="Garamond"/>
        </w:rPr>
        <w:t xml:space="preserve"> &amp; Dutton, 2008) and display </w:t>
      </w:r>
      <w:r w:rsidRPr="00EC7A70">
        <w:rPr>
          <w:rFonts w:ascii="Garamond" w:hAnsi="Garamond"/>
        </w:rPr>
        <w:t>positive emotion</w:t>
      </w:r>
      <w:r w:rsidR="00394559">
        <w:rPr>
          <w:rFonts w:ascii="Garamond" w:hAnsi="Garamond"/>
        </w:rPr>
        <w:t xml:space="preserve">s </w:t>
      </w:r>
      <w:r w:rsidRPr="00EC7A70">
        <w:rPr>
          <w:rFonts w:ascii="Garamond" w:hAnsi="Garamond"/>
        </w:rPr>
        <w:t>such as enthusiasm, elation, and excitement and high</w:t>
      </w:r>
      <w:r w:rsidR="00B058B8" w:rsidRPr="00EC7A70">
        <w:rPr>
          <w:rFonts w:ascii="Garamond" w:hAnsi="Garamond"/>
        </w:rPr>
        <w:t xml:space="preserve"> work engagement (</w:t>
      </w:r>
      <w:proofErr w:type="spellStart"/>
      <w:r w:rsidR="00B058B8" w:rsidRPr="00EC7A70">
        <w:rPr>
          <w:rFonts w:ascii="Garamond" w:hAnsi="Garamond"/>
        </w:rPr>
        <w:t>Spreitzer</w:t>
      </w:r>
      <w:proofErr w:type="spellEnd"/>
      <w:r w:rsidR="00B058B8" w:rsidRPr="00EC7A70">
        <w:rPr>
          <w:rFonts w:ascii="Garamond" w:hAnsi="Garamond"/>
        </w:rPr>
        <w:t xml:space="preserve">, Sutcliffe, Dutton, </w:t>
      </w:r>
      <w:proofErr w:type="spellStart"/>
      <w:r w:rsidR="00B058B8" w:rsidRPr="00EC7A70">
        <w:rPr>
          <w:rFonts w:ascii="Garamond" w:hAnsi="Garamond"/>
        </w:rPr>
        <w:t>Sonenshein</w:t>
      </w:r>
      <w:proofErr w:type="spellEnd"/>
      <w:r w:rsidR="00B058B8" w:rsidRPr="00EC7A70">
        <w:rPr>
          <w:rFonts w:ascii="Garamond" w:hAnsi="Garamond"/>
        </w:rPr>
        <w:t xml:space="preserve">, &amp; Grant, 2005).  </w:t>
      </w:r>
      <w:r w:rsidR="00394559">
        <w:rPr>
          <w:rFonts w:ascii="Garamond" w:hAnsi="Garamond"/>
        </w:rPr>
        <w:t>In contrast</w:t>
      </w:r>
      <w:r w:rsidR="00B058B8" w:rsidRPr="00EC7A70">
        <w:rPr>
          <w:rFonts w:ascii="Garamond" w:hAnsi="Garamond"/>
        </w:rPr>
        <w:t xml:space="preserve">, </w:t>
      </w:r>
      <w:r w:rsidR="00533735" w:rsidRPr="00EC7A70">
        <w:rPr>
          <w:rFonts w:ascii="Garamond" w:hAnsi="Garamond"/>
        </w:rPr>
        <w:t xml:space="preserve">members </w:t>
      </w:r>
      <w:r w:rsidR="00B058B8" w:rsidRPr="00EC7A70">
        <w:rPr>
          <w:rFonts w:ascii="Garamond" w:hAnsi="Garamond"/>
        </w:rPr>
        <w:t xml:space="preserve">that are less risk-tolerant may </w:t>
      </w:r>
      <w:r w:rsidR="00533735" w:rsidRPr="00EC7A70">
        <w:rPr>
          <w:rFonts w:ascii="Garamond" w:hAnsi="Garamond"/>
        </w:rPr>
        <w:t xml:space="preserve">less likely to establish </w:t>
      </w:r>
      <w:r w:rsidR="00B058B8" w:rsidRPr="00EC7A70">
        <w:rPr>
          <w:rFonts w:ascii="Garamond" w:hAnsi="Garamond"/>
        </w:rPr>
        <w:t>new</w:t>
      </w:r>
      <w:r w:rsidR="00533735" w:rsidRPr="00EC7A70">
        <w:rPr>
          <w:rFonts w:ascii="Garamond" w:hAnsi="Garamond"/>
        </w:rPr>
        <w:t xml:space="preserve"> interpersonal</w:t>
      </w:r>
      <w:r w:rsidR="00B058B8" w:rsidRPr="00EC7A70">
        <w:rPr>
          <w:rFonts w:ascii="Garamond" w:hAnsi="Garamond"/>
        </w:rPr>
        <w:t xml:space="preserve"> relations </w:t>
      </w:r>
      <w:r w:rsidR="00533735" w:rsidRPr="00EC7A70">
        <w:rPr>
          <w:rFonts w:ascii="Garamond" w:hAnsi="Garamond"/>
        </w:rPr>
        <w:t xml:space="preserve">(Fredrickson, 2003) </w:t>
      </w:r>
      <w:r w:rsidR="00B058B8" w:rsidRPr="00EC7A70">
        <w:rPr>
          <w:rFonts w:ascii="Garamond" w:hAnsi="Garamond"/>
        </w:rPr>
        <w:t xml:space="preserve">and </w:t>
      </w:r>
      <w:r w:rsidR="00533735" w:rsidRPr="00EC7A70">
        <w:rPr>
          <w:rFonts w:ascii="Garamond" w:hAnsi="Garamond"/>
        </w:rPr>
        <w:t>thus have fewer opportunities for affirmative and constructive exchanges</w:t>
      </w:r>
      <w:r w:rsidRPr="00EC7A70">
        <w:rPr>
          <w:rFonts w:ascii="Garamond" w:hAnsi="Garamond"/>
        </w:rPr>
        <w:t xml:space="preserve"> (Collins, 1993), and may </w:t>
      </w:r>
      <w:r w:rsidR="00394559">
        <w:rPr>
          <w:rFonts w:ascii="Garamond" w:hAnsi="Garamond"/>
        </w:rPr>
        <w:t xml:space="preserve">not </w:t>
      </w:r>
      <w:r w:rsidR="00533735" w:rsidRPr="00EC7A70">
        <w:rPr>
          <w:rFonts w:ascii="Garamond" w:hAnsi="Garamond"/>
        </w:rPr>
        <w:t xml:space="preserve">display positive emotional </w:t>
      </w:r>
      <w:r w:rsidR="00B058B8" w:rsidRPr="00EC7A70">
        <w:rPr>
          <w:rFonts w:ascii="Garamond" w:hAnsi="Garamond"/>
        </w:rPr>
        <w:t xml:space="preserve">excitement that can arise from </w:t>
      </w:r>
      <w:r w:rsidR="00533735" w:rsidRPr="00EC7A70">
        <w:rPr>
          <w:rFonts w:ascii="Garamond" w:hAnsi="Garamond"/>
        </w:rPr>
        <w:t>new</w:t>
      </w:r>
      <w:r w:rsidR="00B058B8" w:rsidRPr="00EC7A70">
        <w:rPr>
          <w:rFonts w:ascii="Garamond" w:hAnsi="Garamond"/>
        </w:rPr>
        <w:t xml:space="preserve"> experiences (</w:t>
      </w:r>
      <w:proofErr w:type="spellStart"/>
      <w:r w:rsidR="00B058B8" w:rsidRPr="00EC7A70">
        <w:rPr>
          <w:rFonts w:ascii="Garamond" w:hAnsi="Garamond"/>
        </w:rPr>
        <w:t>Spreitzer</w:t>
      </w:r>
      <w:proofErr w:type="spellEnd"/>
      <w:r w:rsidR="00B058B8" w:rsidRPr="00EC7A70">
        <w:rPr>
          <w:rFonts w:ascii="Garamond" w:hAnsi="Garamond"/>
        </w:rPr>
        <w:t xml:space="preserve"> et al., 2005).  In </w:t>
      </w:r>
      <w:r w:rsidR="00BD14F6" w:rsidRPr="00EC7A70">
        <w:rPr>
          <w:rFonts w:ascii="Garamond" w:hAnsi="Garamond"/>
        </w:rPr>
        <w:t xml:space="preserve">teacher </w:t>
      </w:r>
      <w:r w:rsidR="00B058B8" w:rsidRPr="00EC7A70">
        <w:rPr>
          <w:rFonts w:ascii="Garamond" w:hAnsi="Garamond"/>
        </w:rPr>
        <w:t xml:space="preserve">education, being open and willing to explore new ideas may be crucial for </w:t>
      </w:r>
      <w:r w:rsidR="00BD14F6" w:rsidRPr="00EC7A70">
        <w:rPr>
          <w:rFonts w:ascii="Garamond" w:hAnsi="Garamond"/>
        </w:rPr>
        <w:t>pre-service teachers</w:t>
      </w:r>
      <w:r w:rsidR="00B058B8" w:rsidRPr="00EC7A70">
        <w:rPr>
          <w:rFonts w:ascii="Garamond" w:hAnsi="Garamond"/>
        </w:rPr>
        <w:t xml:space="preserve"> </w:t>
      </w:r>
      <w:r w:rsidR="00BD14F6" w:rsidRPr="00EC7A70">
        <w:rPr>
          <w:rFonts w:ascii="Garamond" w:hAnsi="Garamond"/>
        </w:rPr>
        <w:t xml:space="preserve">during preparations </w:t>
      </w:r>
      <w:r w:rsidR="00A359A7" w:rsidRPr="00EC7A70">
        <w:rPr>
          <w:rFonts w:ascii="Garamond" w:hAnsi="Garamond"/>
        </w:rPr>
        <w:t xml:space="preserve">as </w:t>
      </w:r>
      <w:r w:rsidR="00A359A7" w:rsidRPr="00EC7A70">
        <w:rPr>
          <w:rFonts w:ascii="Garamond" w:hAnsi="Garamond"/>
        </w:rPr>
        <w:lastRenderedPageBreak/>
        <w:t>th</w:t>
      </w:r>
      <w:r w:rsidR="00394559">
        <w:rPr>
          <w:rFonts w:ascii="Garamond" w:hAnsi="Garamond"/>
        </w:rPr>
        <w:t>is propensity toward innovativeness is key to</w:t>
      </w:r>
      <w:r w:rsidR="00A359A7" w:rsidRPr="00EC7A70">
        <w:rPr>
          <w:rFonts w:ascii="Garamond" w:hAnsi="Garamond"/>
        </w:rPr>
        <w:t xml:space="preserve"> facilitat</w:t>
      </w:r>
      <w:r w:rsidR="000D7832">
        <w:rPr>
          <w:rFonts w:ascii="Garamond" w:hAnsi="Garamond"/>
        </w:rPr>
        <w:t>ing</w:t>
      </w:r>
      <w:r w:rsidR="00A359A7" w:rsidRPr="00EC7A70">
        <w:rPr>
          <w:rFonts w:ascii="Garamond" w:hAnsi="Garamond"/>
        </w:rPr>
        <w:t xml:space="preserve"> individual learning and better</w:t>
      </w:r>
      <w:r w:rsidR="00B058B8" w:rsidRPr="00EC7A70">
        <w:rPr>
          <w:rFonts w:ascii="Garamond" w:hAnsi="Garamond"/>
        </w:rPr>
        <w:t xml:space="preserve"> instructional </w:t>
      </w:r>
      <w:r w:rsidR="00A359A7" w:rsidRPr="00EC7A70">
        <w:rPr>
          <w:rFonts w:ascii="Garamond" w:hAnsi="Garamond"/>
        </w:rPr>
        <w:t>practice</w:t>
      </w:r>
      <w:r w:rsidR="00B058B8" w:rsidRPr="00EC7A70">
        <w:rPr>
          <w:rFonts w:ascii="Garamond" w:hAnsi="Garamond"/>
        </w:rPr>
        <w:t>.</w:t>
      </w:r>
      <w:r w:rsidRPr="00EC7A70">
        <w:rPr>
          <w:rFonts w:ascii="Garamond" w:hAnsi="Garamond"/>
        </w:rPr>
        <w:t xml:space="preserve">  Given the link in the literature between innovative climate and the generation of </w:t>
      </w:r>
      <w:r w:rsidR="00BD14F6" w:rsidRPr="00EC7A70">
        <w:rPr>
          <w:rFonts w:ascii="Garamond" w:hAnsi="Garamond"/>
        </w:rPr>
        <w:t>new ties</w:t>
      </w:r>
      <w:r w:rsidRPr="00EC7A70">
        <w:rPr>
          <w:rFonts w:ascii="Garamond" w:hAnsi="Garamond"/>
        </w:rPr>
        <w:t xml:space="preserve">, we </w:t>
      </w:r>
      <w:r w:rsidR="00BD14F6" w:rsidRPr="00EC7A70">
        <w:rPr>
          <w:rFonts w:ascii="Garamond" w:hAnsi="Garamond"/>
        </w:rPr>
        <w:t>therefore hypothesize</w:t>
      </w:r>
      <w:r w:rsidRPr="00EC7A70">
        <w:rPr>
          <w:rFonts w:ascii="Garamond" w:hAnsi="Garamond"/>
        </w:rPr>
        <w:t xml:space="preserve"> that </w:t>
      </w:r>
      <w:r w:rsidR="00BD14F6" w:rsidRPr="00EC7A70">
        <w:rPr>
          <w:rFonts w:ascii="Garamond" w:hAnsi="Garamond"/>
          <w:i/>
        </w:rPr>
        <w:t>pre-service teachers</w:t>
      </w:r>
      <w:r w:rsidRPr="00EC7A70">
        <w:rPr>
          <w:rFonts w:ascii="Garamond" w:hAnsi="Garamond"/>
          <w:i/>
        </w:rPr>
        <w:t xml:space="preserve"> who </w:t>
      </w:r>
      <w:r w:rsidR="00BD14F6" w:rsidRPr="00EC7A70">
        <w:rPr>
          <w:rFonts w:ascii="Garamond" w:hAnsi="Garamond"/>
          <w:i/>
        </w:rPr>
        <w:t>share innovative ideas with peers</w:t>
      </w:r>
      <w:r w:rsidRPr="00EC7A70">
        <w:rPr>
          <w:rFonts w:ascii="Garamond" w:hAnsi="Garamond"/>
          <w:i/>
        </w:rPr>
        <w:t xml:space="preserve"> will </w:t>
      </w:r>
      <w:r w:rsidR="002C25F4" w:rsidRPr="00EC7A70">
        <w:rPr>
          <w:rFonts w:ascii="Garamond" w:hAnsi="Garamond"/>
          <w:i/>
        </w:rPr>
        <w:t>be more likely to be involved in (seek/be sought for) the exchange of instructional materials</w:t>
      </w:r>
      <w:r w:rsidR="002F524F" w:rsidRPr="00EC7A70">
        <w:rPr>
          <w:rFonts w:ascii="Garamond" w:hAnsi="Garamond"/>
        </w:rPr>
        <w:t xml:space="preserve"> </w:t>
      </w:r>
      <w:r w:rsidRPr="00EC7A70">
        <w:rPr>
          <w:rFonts w:ascii="Garamond" w:hAnsi="Garamond"/>
        </w:rPr>
        <w:t xml:space="preserve">(Hypothesis </w:t>
      </w:r>
      <w:r w:rsidR="00727300">
        <w:rPr>
          <w:rFonts w:ascii="Garamond" w:hAnsi="Garamond"/>
        </w:rPr>
        <w:t>7</w:t>
      </w:r>
      <w:r w:rsidRPr="00EC7A70">
        <w:rPr>
          <w:rFonts w:ascii="Garamond" w:hAnsi="Garamond"/>
        </w:rPr>
        <w:t>).</w:t>
      </w:r>
      <w:r w:rsidR="00A359A7" w:rsidRPr="00EC7A70">
        <w:rPr>
          <w:rFonts w:ascii="Garamond" w:hAnsi="Garamond"/>
        </w:rPr>
        <w:t xml:space="preserve"> </w:t>
      </w:r>
    </w:p>
    <w:p w14:paraId="393C6B55" w14:textId="77777777" w:rsidR="00D721D0" w:rsidRPr="00EC7A70" w:rsidRDefault="00D721D0" w:rsidP="00D721D0">
      <w:pPr>
        <w:widowControl/>
        <w:snapToGrid w:val="0"/>
        <w:spacing w:line="480" w:lineRule="auto"/>
        <w:rPr>
          <w:rFonts w:ascii="Garamond" w:hAnsi="Garamond"/>
          <w:b/>
          <w:bCs/>
        </w:rPr>
      </w:pPr>
      <w:r w:rsidRPr="00EC7A70">
        <w:rPr>
          <w:rFonts w:ascii="Garamond" w:hAnsi="Garamond"/>
          <w:b/>
          <w:bCs/>
        </w:rPr>
        <w:t>Individual Characteristics Associated with the Formation of Relational Ties</w:t>
      </w:r>
    </w:p>
    <w:p w14:paraId="5DEE751E" w14:textId="77777777" w:rsidR="00D721D0" w:rsidRDefault="00D721D0" w:rsidP="00D721D0">
      <w:pPr>
        <w:widowControl/>
        <w:snapToGrid w:val="0"/>
        <w:spacing w:line="480" w:lineRule="auto"/>
        <w:ind w:firstLine="720"/>
        <w:rPr>
          <w:rFonts w:ascii="Garamond" w:hAnsi="Garamond"/>
        </w:rPr>
      </w:pPr>
      <w:r w:rsidRPr="00EC7A70">
        <w:rPr>
          <w:rFonts w:ascii="Garamond" w:hAnsi="Garamond"/>
        </w:rPr>
        <w:t>Social network research both inside and outside education has indicated that demographic characteristics of individuals may influence how individuals establish their social network ties (e.g.,</w:t>
      </w:r>
      <w:r>
        <w:rPr>
          <w:rFonts w:ascii="Garamond" w:hAnsi="Garamond"/>
        </w:rPr>
        <w:t xml:space="preserve"> </w:t>
      </w:r>
      <w:r w:rsidRPr="00EC7A70">
        <w:rPr>
          <w:rFonts w:ascii="Garamond" w:hAnsi="Garamond"/>
        </w:rPr>
        <w:t xml:space="preserve">Spillane et al., 2012; </w:t>
      </w:r>
      <w:proofErr w:type="spellStart"/>
      <w:r w:rsidRPr="00EC7A70">
        <w:rPr>
          <w:rFonts w:ascii="Garamond" w:hAnsi="Garamond"/>
        </w:rPr>
        <w:t>Stoloff</w:t>
      </w:r>
      <w:proofErr w:type="spellEnd"/>
      <w:r w:rsidRPr="00EC7A70">
        <w:rPr>
          <w:rFonts w:ascii="Garamond" w:hAnsi="Garamond"/>
        </w:rPr>
        <w:t xml:space="preserve">, Glanville, &amp; </w:t>
      </w:r>
      <w:proofErr w:type="spellStart"/>
      <w:r w:rsidRPr="00EC7A70">
        <w:rPr>
          <w:rFonts w:ascii="Garamond" w:hAnsi="Garamond"/>
        </w:rPr>
        <w:t>Bienenstock</w:t>
      </w:r>
      <w:proofErr w:type="spellEnd"/>
      <w:r w:rsidRPr="00EC7A70">
        <w:rPr>
          <w:rFonts w:ascii="Garamond" w:hAnsi="Garamond"/>
        </w:rPr>
        <w:t xml:space="preserve">, 1999).  </w:t>
      </w:r>
      <w:r>
        <w:rPr>
          <w:rFonts w:ascii="Garamond" w:hAnsi="Garamond"/>
        </w:rPr>
        <w:t xml:space="preserve">Particularly, gender appears to be one important factor in explaining the tie formation.  For instance, </w:t>
      </w:r>
      <w:r w:rsidRPr="00EC7A70">
        <w:rPr>
          <w:rFonts w:ascii="Garamond" w:hAnsi="Garamond"/>
        </w:rPr>
        <w:t xml:space="preserve">women tend to </w:t>
      </w:r>
      <w:r>
        <w:rPr>
          <w:rFonts w:ascii="Garamond" w:hAnsi="Garamond"/>
        </w:rPr>
        <w:t xml:space="preserve">engage in </w:t>
      </w:r>
      <w:r w:rsidRPr="00EC7A70">
        <w:rPr>
          <w:rFonts w:ascii="Garamond" w:hAnsi="Garamond"/>
        </w:rPr>
        <w:t>more social relationships than men</w:t>
      </w:r>
      <w:r>
        <w:rPr>
          <w:rFonts w:ascii="Garamond" w:hAnsi="Garamond"/>
        </w:rPr>
        <w:t xml:space="preserve"> in business organizations</w:t>
      </w:r>
      <w:r w:rsidRPr="00EC7A70">
        <w:rPr>
          <w:rFonts w:ascii="Garamond" w:hAnsi="Garamond"/>
        </w:rPr>
        <w:t xml:space="preserve"> (</w:t>
      </w:r>
      <w:r>
        <w:rPr>
          <w:rFonts w:ascii="Garamond" w:hAnsi="Garamond"/>
        </w:rPr>
        <w:t xml:space="preserve">e.g., </w:t>
      </w:r>
      <w:proofErr w:type="spellStart"/>
      <w:r w:rsidRPr="00EC7A70">
        <w:rPr>
          <w:rFonts w:ascii="Garamond" w:hAnsi="Garamond"/>
        </w:rPr>
        <w:t>Stoloff</w:t>
      </w:r>
      <w:proofErr w:type="spellEnd"/>
      <w:r w:rsidRPr="00EC7A70">
        <w:rPr>
          <w:rFonts w:ascii="Garamond" w:hAnsi="Garamond"/>
        </w:rPr>
        <w:t xml:space="preserve"> et al., 1999).</w:t>
      </w:r>
      <w:r w:rsidRPr="007437AF">
        <w:rPr>
          <w:rFonts w:ascii="Garamond" w:hAnsi="Garamond"/>
        </w:rPr>
        <w:t xml:space="preserve"> </w:t>
      </w:r>
      <w:r>
        <w:rPr>
          <w:rFonts w:ascii="Garamond" w:hAnsi="Garamond"/>
        </w:rPr>
        <w:t xml:space="preserve"> Female teachers are more likely to seek out advice around instructional practices than their male counterparts (Authors et al., 2016).  </w:t>
      </w:r>
      <w:r w:rsidRPr="00EC7A70">
        <w:rPr>
          <w:rFonts w:ascii="Garamond" w:hAnsi="Garamond"/>
        </w:rPr>
        <w:t xml:space="preserve">As </w:t>
      </w:r>
      <w:r>
        <w:rPr>
          <w:rFonts w:ascii="Garamond" w:hAnsi="Garamond"/>
        </w:rPr>
        <w:t xml:space="preserve">education </w:t>
      </w:r>
      <w:r w:rsidRPr="00EC7A70">
        <w:rPr>
          <w:rFonts w:ascii="Garamond" w:hAnsi="Garamond"/>
        </w:rPr>
        <w:t xml:space="preserve">around the world is often “gender-skewed” with predominantly female </w:t>
      </w:r>
      <w:r>
        <w:rPr>
          <w:rFonts w:ascii="Garamond" w:hAnsi="Garamond"/>
        </w:rPr>
        <w:t>educators</w:t>
      </w:r>
      <w:r w:rsidRPr="00EC7A70">
        <w:rPr>
          <w:rFonts w:ascii="Garamond" w:hAnsi="Garamond"/>
        </w:rPr>
        <w:t xml:space="preserve">, the pattern of social relationships in </w:t>
      </w:r>
      <w:r>
        <w:rPr>
          <w:rFonts w:ascii="Garamond" w:hAnsi="Garamond"/>
        </w:rPr>
        <w:t>cohorts of pre-service teachers</w:t>
      </w:r>
      <w:r w:rsidRPr="00EC7A70">
        <w:rPr>
          <w:rFonts w:ascii="Garamond" w:hAnsi="Garamond"/>
        </w:rPr>
        <w:t xml:space="preserve"> </w:t>
      </w:r>
      <w:r>
        <w:rPr>
          <w:rFonts w:ascii="Garamond" w:hAnsi="Garamond"/>
        </w:rPr>
        <w:t xml:space="preserve">may </w:t>
      </w:r>
      <w:r w:rsidRPr="00EC7A70">
        <w:rPr>
          <w:rFonts w:ascii="Garamond" w:hAnsi="Garamond"/>
        </w:rPr>
        <w:t xml:space="preserve">be segregated across gender lines.  Given that </w:t>
      </w:r>
      <w:r>
        <w:rPr>
          <w:rFonts w:ascii="Garamond" w:hAnsi="Garamond"/>
        </w:rPr>
        <w:t xml:space="preserve">our sample is </w:t>
      </w:r>
      <w:r w:rsidRPr="00EC7A70">
        <w:rPr>
          <w:rFonts w:ascii="Garamond" w:hAnsi="Garamond"/>
        </w:rPr>
        <w:t xml:space="preserve">predominantly female and that women </w:t>
      </w:r>
      <w:r>
        <w:rPr>
          <w:rFonts w:ascii="Garamond" w:hAnsi="Garamond"/>
        </w:rPr>
        <w:t>tend to</w:t>
      </w:r>
      <w:r w:rsidRPr="00EC7A70">
        <w:rPr>
          <w:rFonts w:ascii="Garamond" w:hAnsi="Garamond"/>
        </w:rPr>
        <w:t xml:space="preserve"> have a higher likelihood to be involved in social relationships, we hypothesize tha</w:t>
      </w:r>
      <w:r>
        <w:rPr>
          <w:rFonts w:ascii="Garamond" w:hAnsi="Garamond"/>
        </w:rPr>
        <w:t xml:space="preserve">t </w:t>
      </w:r>
      <w:r w:rsidRPr="00A85671">
        <w:rPr>
          <w:rFonts w:ascii="Garamond" w:hAnsi="Garamond"/>
          <w:i/>
        </w:rPr>
        <w:t>female pre-service teachers are more likely to be involved in (seek/be sought for) the exchange of instructional materials</w:t>
      </w:r>
      <w:r>
        <w:rPr>
          <w:rFonts w:ascii="Garamond" w:hAnsi="Garamond"/>
        </w:rPr>
        <w:t xml:space="preserve"> </w:t>
      </w:r>
      <w:r w:rsidRPr="00EC7A70">
        <w:rPr>
          <w:rFonts w:ascii="Garamond" w:hAnsi="Garamond"/>
        </w:rPr>
        <w:t xml:space="preserve">(Hypothesis </w:t>
      </w:r>
      <w:r>
        <w:rPr>
          <w:rFonts w:ascii="Garamond" w:hAnsi="Garamond"/>
        </w:rPr>
        <w:t>8</w:t>
      </w:r>
      <w:r w:rsidRPr="00EC7A70">
        <w:rPr>
          <w:rFonts w:ascii="Garamond" w:hAnsi="Garamond"/>
        </w:rPr>
        <w:t>).</w:t>
      </w:r>
    </w:p>
    <w:p w14:paraId="200FE68D" w14:textId="77777777" w:rsidR="00D721D0" w:rsidRPr="002B79AB" w:rsidRDefault="00D721D0" w:rsidP="00D721D0">
      <w:pPr>
        <w:widowControl/>
        <w:snapToGrid w:val="0"/>
        <w:spacing w:line="480" w:lineRule="auto"/>
        <w:ind w:firstLine="720"/>
        <w:rPr>
          <w:rFonts w:ascii="Garamond" w:hAnsi="Garamond"/>
        </w:rPr>
      </w:pPr>
      <w:r w:rsidRPr="002B79AB">
        <w:rPr>
          <w:rFonts w:ascii="Garamond" w:hAnsi="Garamond"/>
        </w:rPr>
        <w:t xml:space="preserve">In addition, </w:t>
      </w:r>
      <w:r>
        <w:rPr>
          <w:rFonts w:ascii="Garamond" w:hAnsi="Garamond"/>
        </w:rPr>
        <w:t xml:space="preserve">previous </w:t>
      </w:r>
      <w:r w:rsidRPr="002B79AB">
        <w:rPr>
          <w:rFonts w:ascii="Garamond" w:hAnsi="Garamond"/>
        </w:rPr>
        <w:t xml:space="preserve">research </w:t>
      </w:r>
      <w:r>
        <w:rPr>
          <w:rFonts w:ascii="Garamond" w:hAnsi="Garamond"/>
        </w:rPr>
        <w:t xml:space="preserve">further </w:t>
      </w:r>
      <w:r w:rsidRPr="002B79AB">
        <w:rPr>
          <w:rFonts w:ascii="Garamond" w:hAnsi="Garamond"/>
        </w:rPr>
        <w:t xml:space="preserve">suggested that same-gender work relationships are more </w:t>
      </w:r>
      <w:r>
        <w:rPr>
          <w:rFonts w:ascii="Garamond" w:hAnsi="Garamond"/>
        </w:rPr>
        <w:t>frequent</w:t>
      </w:r>
      <w:r w:rsidRPr="002B79AB">
        <w:rPr>
          <w:rFonts w:ascii="Garamond" w:hAnsi="Garamond"/>
        </w:rPr>
        <w:t xml:space="preserve"> than opposite-gender work relationships (</w:t>
      </w:r>
      <w:proofErr w:type="spellStart"/>
      <w:r w:rsidRPr="002B79AB">
        <w:rPr>
          <w:rFonts w:ascii="Garamond" w:hAnsi="Garamond"/>
        </w:rPr>
        <w:t>Faris</w:t>
      </w:r>
      <w:proofErr w:type="spellEnd"/>
      <w:r w:rsidRPr="002B79AB">
        <w:rPr>
          <w:rFonts w:ascii="Garamond" w:hAnsi="Garamond"/>
        </w:rPr>
        <w:t xml:space="preserve"> &amp; </w:t>
      </w:r>
      <w:proofErr w:type="spellStart"/>
      <w:r w:rsidRPr="002B79AB">
        <w:rPr>
          <w:rFonts w:ascii="Garamond" w:hAnsi="Garamond"/>
        </w:rPr>
        <w:t>Felmlee</w:t>
      </w:r>
      <w:proofErr w:type="spellEnd"/>
      <w:r w:rsidRPr="002B79AB">
        <w:rPr>
          <w:rFonts w:ascii="Garamond" w:hAnsi="Garamond"/>
        </w:rPr>
        <w:t>, 2011)</w:t>
      </w:r>
      <w:r>
        <w:rPr>
          <w:rFonts w:ascii="Garamond" w:hAnsi="Garamond"/>
        </w:rPr>
        <w:t xml:space="preserve">; and that school teachers tend to provide and receive advice from a colleague of the same gender (Authors et al., 2016; </w:t>
      </w:r>
      <w:r w:rsidRPr="003D530B">
        <w:rPr>
          <w:rFonts w:ascii="Garamond" w:hAnsi="Garamond" w:cs="Times New Roman"/>
          <w:szCs w:val="24"/>
        </w:rPr>
        <w:t>Spillane et al., 2012</w:t>
      </w:r>
      <w:r>
        <w:rPr>
          <w:rFonts w:ascii="Garamond" w:hAnsi="Garamond" w:cs="Times New Roman"/>
          <w:szCs w:val="24"/>
        </w:rPr>
        <w:t xml:space="preserve">). </w:t>
      </w:r>
      <w:r>
        <w:rPr>
          <w:rFonts w:ascii="Garamond" w:hAnsi="Garamond"/>
        </w:rPr>
        <w:t xml:space="preserve"> </w:t>
      </w:r>
      <w:r w:rsidRPr="000453E3">
        <w:rPr>
          <w:rFonts w:ascii="Garamond" w:hAnsi="Garamond"/>
        </w:rPr>
        <w:t xml:space="preserve">Based on gender similarity in </w:t>
      </w:r>
      <w:r>
        <w:rPr>
          <w:rFonts w:ascii="Garamond" w:hAnsi="Garamond"/>
        </w:rPr>
        <w:t>social connectivity</w:t>
      </w:r>
      <w:r w:rsidRPr="000453E3">
        <w:rPr>
          <w:rFonts w:ascii="Garamond" w:hAnsi="Garamond"/>
        </w:rPr>
        <w:t xml:space="preserve"> and the limited work available in education, we hypothesize that </w:t>
      </w:r>
      <w:r w:rsidRPr="00847173">
        <w:rPr>
          <w:rFonts w:ascii="Garamond" w:hAnsi="Garamond"/>
          <w:i/>
        </w:rPr>
        <w:t>pre-service teachers are more likely to exchange instructional materials with same-gender peers than with different-gender peers</w:t>
      </w:r>
      <w:r w:rsidRPr="000453E3">
        <w:rPr>
          <w:rFonts w:ascii="Garamond" w:hAnsi="Garamond"/>
        </w:rPr>
        <w:t xml:space="preserve"> (Hypothesis </w:t>
      </w:r>
      <w:r>
        <w:rPr>
          <w:rFonts w:ascii="Garamond" w:hAnsi="Garamond"/>
        </w:rPr>
        <w:t>9</w:t>
      </w:r>
      <w:r w:rsidRPr="000453E3">
        <w:rPr>
          <w:rFonts w:ascii="Garamond" w:hAnsi="Garamond"/>
        </w:rPr>
        <w:t>).</w:t>
      </w:r>
      <w:r>
        <w:rPr>
          <w:rFonts w:ascii="Garamond" w:hAnsi="Garamond"/>
        </w:rPr>
        <w:t xml:space="preserve"> </w:t>
      </w:r>
    </w:p>
    <w:p w14:paraId="486DAFDC" w14:textId="14F49DF1" w:rsidR="003A0AAD" w:rsidRPr="00EC7A70" w:rsidRDefault="003A0AAD" w:rsidP="003A0AAD">
      <w:pPr>
        <w:widowControl/>
        <w:snapToGrid w:val="0"/>
        <w:spacing w:line="480" w:lineRule="auto"/>
        <w:jc w:val="center"/>
        <w:rPr>
          <w:rFonts w:ascii="Garamond" w:hAnsi="Garamond"/>
          <w:b/>
          <w:bCs/>
        </w:rPr>
      </w:pPr>
      <w:r w:rsidRPr="00EC7A70">
        <w:rPr>
          <w:rFonts w:ascii="Garamond" w:hAnsi="Garamond"/>
          <w:b/>
          <w:bCs/>
        </w:rPr>
        <w:t>Methods</w:t>
      </w:r>
    </w:p>
    <w:p w14:paraId="5A327157" w14:textId="181DD683" w:rsidR="003409EB" w:rsidRPr="00EC7A70" w:rsidRDefault="003409EB" w:rsidP="003409EB">
      <w:pPr>
        <w:widowControl/>
        <w:snapToGrid w:val="0"/>
        <w:spacing w:line="480" w:lineRule="auto"/>
        <w:rPr>
          <w:rFonts w:ascii="Garamond" w:hAnsi="Garamond"/>
          <w:b/>
          <w:bCs/>
        </w:rPr>
      </w:pPr>
      <w:r w:rsidRPr="00EC7A70">
        <w:rPr>
          <w:rFonts w:ascii="Garamond" w:hAnsi="Garamond"/>
          <w:b/>
          <w:bCs/>
        </w:rPr>
        <w:t>Sample</w:t>
      </w:r>
    </w:p>
    <w:p w14:paraId="57B21FA2" w14:textId="7C8D4C47" w:rsidR="0046030B" w:rsidRPr="0046030B" w:rsidRDefault="005E6577" w:rsidP="0046030B">
      <w:pPr>
        <w:widowControl/>
        <w:snapToGrid w:val="0"/>
        <w:spacing w:line="480" w:lineRule="auto"/>
        <w:ind w:firstLine="720"/>
        <w:rPr>
          <w:rFonts w:ascii="Garamond" w:hAnsi="Garamond"/>
        </w:rPr>
      </w:pPr>
      <w:r>
        <w:rPr>
          <w:rFonts w:ascii="Garamond" w:hAnsi="Garamond"/>
        </w:rPr>
        <w:lastRenderedPageBreak/>
        <w:t>T</w:t>
      </w:r>
      <w:r w:rsidR="003409EB" w:rsidRPr="00EC7A70">
        <w:rPr>
          <w:rFonts w:ascii="Garamond" w:hAnsi="Garamond"/>
        </w:rPr>
        <w:t xml:space="preserve">his </w:t>
      </w:r>
      <w:r>
        <w:rPr>
          <w:rFonts w:ascii="Garamond" w:hAnsi="Garamond"/>
        </w:rPr>
        <w:t>cross-</w:t>
      </w:r>
      <w:r w:rsidR="00EE3B13">
        <w:rPr>
          <w:rFonts w:ascii="Garamond" w:hAnsi="Garamond"/>
        </w:rPr>
        <w:t>country</w:t>
      </w:r>
      <w:r>
        <w:rPr>
          <w:rFonts w:ascii="Garamond" w:hAnsi="Garamond"/>
        </w:rPr>
        <w:t xml:space="preserve"> </w:t>
      </w:r>
      <w:r w:rsidR="00EE3B13">
        <w:rPr>
          <w:rFonts w:ascii="Garamond" w:hAnsi="Garamond"/>
        </w:rPr>
        <w:t xml:space="preserve">exploratory </w:t>
      </w:r>
      <w:r w:rsidR="003409EB" w:rsidRPr="00EC7A70">
        <w:rPr>
          <w:rFonts w:ascii="Garamond" w:hAnsi="Garamond"/>
        </w:rPr>
        <w:t xml:space="preserve">study </w:t>
      </w:r>
      <w:r>
        <w:rPr>
          <w:rFonts w:ascii="Garamond" w:hAnsi="Garamond"/>
        </w:rPr>
        <w:t>was conducted in three purposively selected</w:t>
      </w:r>
      <w:r w:rsidR="0046030B" w:rsidRPr="0046030B">
        <w:rPr>
          <w:rFonts w:ascii="Garamond" w:hAnsi="Garamond"/>
        </w:rPr>
        <w:t xml:space="preserve"> </w:t>
      </w:r>
      <w:r w:rsidR="0046030B">
        <w:rPr>
          <w:rFonts w:ascii="Garamond" w:hAnsi="Garamond"/>
        </w:rPr>
        <w:t>university-based</w:t>
      </w:r>
      <w:r>
        <w:rPr>
          <w:rFonts w:ascii="Garamond" w:hAnsi="Garamond"/>
        </w:rPr>
        <w:t xml:space="preserve"> teacher preparation programs in </w:t>
      </w:r>
      <w:r w:rsidR="00315024">
        <w:rPr>
          <w:rFonts w:ascii="Garamond" w:hAnsi="Garamond"/>
        </w:rPr>
        <w:t xml:space="preserve">England, </w:t>
      </w:r>
      <w:r>
        <w:rPr>
          <w:rFonts w:ascii="Garamond" w:hAnsi="Garamond"/>
        </w:rPr>
        <w:t>Spain, and US that employ a cohort model of training</w:t>
      </w:r>
      <w:r w:rsidR="003409EB" w:rsidRPr="00EC7A70">
        <w:rPr>
          <w:rFonts w:ascii="Garamond" w:hAnsi="Garamond"/>
        </w:rPr>
        <w:t xml:space="preserve">.  </w:t>
      </w:r>
      <w:r w:rsidRPr="005E6577">
        <w:rPr>
          <w:rFonts w:ascii="Garamond" w:hAnsi="Garamond"/>
        </w:rPr>
        <w:t xml:space="preserve">A cohort model adopted in this and many other programs </w:t>
      </w:r>
      <w:r w:rsidR="0046030B">
        <w:rPr>
          <w:rFonts w:ascii="Garamond" w:hAnsi="Garamond"/>
        </w:rPr>
        <w:t xml:space="preserve">internationally </w:t>
      </w:r>
      <w:r w:rsidRPr="005E6577">
        <w:rPr>
          <w:rFonts w:ascii="Garamond" w:hAnsi="Garamond"/>
        </w:rPr>
        <w:t>can be generally defined as a group of people who stay and learn together from the beginning to the end of a program (</w:t>
      </w:r>
      <w:proofErr w:type="spellStart"/>
      <w:r w:rsidRPr="005E6577">
        <w:rPr>
          <w:rFonts w:ascii="Garamond" w:hAnsi="Garamond"/>
        </w:rPr>
        <w:t>Goodlad</w:t>
      </w:r>
      <w:proofErr w:type="spellEnd"/>
      <w:r w:rsidRPr="005E6577">
        <w:rPr>
          <w:rFonts w:ascii="Garamond" w:hAnsi="Garamond"/>
        </w:rPr>
        <w:t>, 1990).</w:t>
      </w:r>
      <w:r>
        <w:rPr>
          <w:rFonts w:ascii="Garamond" w:hAnsi="Garamond"/>
        </w:rPr>
        <w:t xml:space="preserve">  </w:t>
      </w:r>
      <w:r w:rsidR="0046030B">
        <w:rPr>
          <w:rFonts w:ascii="Garamond" w:hAnsi="Garamond"/>
        </w:rPr>
        <w:t>The</w:t>
      </w:r>
      <w:r w:rsidR="00F27A9E">
        <w:rPr>
          <w:rFonts w:ascii="Garamond" w:hAnsi="Garamond"/>
        </w:rPr>
        <w:t xml:space="preserve"> </w:t>
      </w:r>
      <w:r w:rsidR="0046030B">
        <w:rPr>
          <w:rFonts w:ascii="Garamond" w:hAnsi="Garamond"/>
        </w:rPr>
        <w:t xml:space="preserve">programs </w:t>
      </w:r>
      <w:r w:rsidR="00F27A9E">
        <w:rPr>
          <w:rFonts w:ascii="Garamond" w:hAnsi="Garamond"/>
        </w:rPr>
        <w:t xml:space="preserve">in these countries </w:t>
      </w:r>
      <w:r w:rsidR="0046030B">
        <w:rPr>
          <w:rFonts w:ascii="Garamond" w:hAnsi="Garamond"/>
        </w:rPr>
        <w:t>serve as</w:t>
      </w:r>
      <w:r w:rsidR="0046030B" w:rsidRPr="0046030B">
        <w:rPr>
          <w:rFonts w:ascii="Garamond" w:hAnsi="Garamond"/>
        </w:rPr>
        <w:t xml:space="preserve"> potentially instructive case</w:t>
      </w:r>
      <w:r w:rsidR="0046030B">
        <w:rPr>
          <w:rFonts w:ascii="Garamond" w:hAnsi="Garamond"/>
        </w:rPr>
        <w:t xml:space="preserve">s given </w:t>
      </w:r>
      <w:r w:rsidR="00F27A9E">
        <w:rPr>
          <w:rFonts w:ascii="Garamond" w:hAnsi="Garamond"/>
        </w:rPr>
        <w:t xml:space="preserve">each with its unique preparation system and </w:t>
      </w:r>
      <w:r w:rsidR="0046030B">
        <w:rPr>
          <w:rFonts w:ascii="Garamond" w:hAnsi="Garamond"/>
        </w:rPr>
        <w:t xml:space="preserve">their long established reputation from the teaching profession and </w:t>
      </w:r>
      <w:r w:rsidR="00315024">
        <w:rPr>
          <w:rFonts w:ascii="Garamond" w:hAnsi="Garamond"/>
        </w:rPr>
        <w:t>community</w:t>
      </w:r>
      <w:r w:rsidR="0046030B">
        <w:rPr>
          <w:rFonts w:ascii="Garamond" w:hAnsi="Garamond"/>
        </w:rPr>
        <w:t xml:space="preserve"> for producing high quality teachers.  </w:t>
      </w:r>
      <w:r w:rsidR="0046030B" w:rsidRPr="0046030B">
        <w:rPr>
          <w:rFonts w:ascii="Garamond" w:hAnsi="Garamond"/>
        </w:rPr>
        <w:t xml:space="preserve">During the coursework, </w:t>
      </w:r>
      <w:r w:rsidR="00891E8E">
        <w:rPr>
          <w:rFonts w:ascii="Garamond" w:hAnsi="Garamond"/>
        </w:rPr>
        <w:t>pre-service teachers</w:t>
      </w:r>
      <w:r w:rsidR="00891E8E" w:rsidRPr="0046030B">
        <w:rPr>
          <w:rFonts w:ascii="Garamond" w:hAnsi="Garamond"/>
        </w:rPr>
        <w:t xml:space="preserve"> </w:t>
      </w:r>
      <w:r w:rsidR="0046030B" w:rsidRPr="0046030B">
        <w:rPr>
          <w:rFonts w:ascii="Garamond" w:hAnsi="Garamond"/>
        </w:rPr>
        <w:t xml:space="preserve">were exposed to opportunities to engage in </w:t>
      </w:r>
      <w:r w:rsidR="00F27A9E">
        <w:rPr>
          <w:rFonts w:ascii="Garamond" w:hAnsi="Garamond"/>
        </w:rPr>
        <w:t xml:space="preserve">multiple </w:t>
      </w:r>
      <w:r w:rsidR="0046030B" w:rsidRPr="0046030B">
        <w:rPr>
          <w:rFonts w:ascii="Garamond" w:hAnsi="Garamond"/>
        </w:rPr>
        <w:t>team-based, hands-on teaching experiences in laboratory situations.</w:t>
      </w:r>
      <w:r w:rsidR="0046030B">
        <w:rPr>
          <w:rFonts w:ascii="Garamond" w:hAnsi="Garamond"/>
        </w:rPr>
        <w:t xml:space="preserve">  </w:t>
      </w:r>
    </w:p>
    <w:p w14:paraId="1574F5C3" w14:textId="351A2AC6" w:rsidR="00724821" w:rsidRDefault="00724821" w:rsidP="00724821">
      <w:pPr>
        <w:widowControl/>
        <w:snapToGrid w:val="0"/>
        <w:spacing w:line="480" w:lineRule="auto"/>
        <w:ind w:firstLine="720"/>
        <w:rPr>
          <w:rFonts w:ascii="Garamond" w:hAnsi="Garamond"/>
        </w:rPr>
      </w:pPr>
      <w:r w:rsidRPr="007643DF">
        <w:rPr>
          <w:rFonts w:ascii="Garamond" w:hAnsi="Garamond"/>
          <w:color w:val="000000" w:themeColor="text1"/>
        </w:rPr>
        <w:t>The English cohort includes 37 pre-service t</w:t>
      </w:r>
      <w:r>
        <w:rPr>
          <w:rFonts w:ascii="Garamond" w:hAnsi="Garamond"/>
        </w:rPr>
        <w:t>eachers training to teach mathematics</w:t>
      </w:r>
      <w:r w:rsidR="007C52DB">
        <w:rPr>
          <w:rFonts w:ascii="Garamond" w:hAnsi="Garamond"/>
        </w:rPr>
        <w:t xml:space="preserve"> </w:t>
      </w:r>
      <w:r>
        <w:rPr>
          <w:rFonts w:ascii="Garamond" w:hAnsi="Garamond"/>
        </w:rPr>
        <w:t>to students in secondary schools on a mix of one-year graduate level university-led and school-</w:t>
      </w:r>
      <w:proofErr w:type="spellStart"/>
      <w:r>
        <w:rPr>
          <w:rFonts w:ascii="Garamond" w:hAnsi="Garamond"/>
        </w:rPr>
        <w:t>centred</w:t>
      </w:r>
      <w:proofErr w:type="spellEnd"/>
      <w:r>
        <w:rPr>
          <w:rFonts w:ascii="Garamond" w:hAnsi="Garamond"/>
        </w:rPr>
        <w:t xml:space="preserve"> (School Direct) </w:t>
      </w:r>
      <w:r w:rsidR="000D7832">
        <w:rPr>
          <w:rFonts w:ascii="Garamond" w:hAnsi="Garamond"/>
        </w:rPr>
        <w:t>programs</w:t>
      </w:r>
      <w:r>
        <w:rPr>
          <w:rFonts w:ascii="Garamond" w:hAnsi="Garamond"/>
        </w:rPr>
        <w:t xml:space="preserve">. </w:t>
      </w:r>
      <w:r w:rsidR="007C52DB">
        <w:rPr>
          <w:rFonts w:ascii="Garamond" w:hAnsi="Garamond"/>
        </w:rPr>
        <w:t xml:space="preserve"> </w:t>
      </w:r>
      <w:r>
        <w:rPr>
          <w:rFonts w:ascii="Garamond" w:hAnsi="Garamond"/>
        </w:rPr>
        <w:t>Of the 37 pre-service teachers in this cohort, 49% were females.  During the 2014-15 academic year network data were collected on four different occasions during the year-long programme (October 2014, December 20</w:t>
      </w:r>
      <w:r w:rsidR="001E6BB0">
        <w:rPr>
          <w:rFonts w:ascii="Garamond" w:hAnsi="Garamond"/>
        </w:rPr>
        <w:t>1</w:t>
      </w:r>
      <w:r>
        <w:rPr>
          <w:rFonts w:ascii="Garamond" w:hAnsi="Garamond"/>
        </w:rPr>
        <w:t xml:space="preserve">4, March 2015 and May 2015). </w:t>
      </w:r>
      <w:r w:rsidR="007C52DB">
        <w:rPr>
          <w:rFonts w:ascii="Garamond" w:hAnsi="Garamond"/>
        </w:rPr>
        <w:t xml:space="preserve"> </w:t>
      </w:r>
      <w:r>
        <w:rPr>
          <w:rFonts w:ascii="Garamond" w:hAnsi="Garamond"/>
        </w:rPr>
        <w:t xml:space="preserve">The data </w:t>
      </w:r>
      <w:r w:rsidR="007C52DB">
        <w:rPr>
          <w:rFonts w:ascii="Garamond" w:hAnsi="Garamond"/>
        </w:rPr>
        <w:t>analyzed</w:t>
      </w:r>
      <w:r>
        <w:rPr>
          <w:rFonts w:ascii="Garamond" w:hAnsi="Garamond"/>
        </w:rPr>
        <w:t xml:space="preserve"> here represent the peer group networks collected at the final, May </w:t>
      </w:r>
      <w:proofErr w:type="spellStart"/>
      <w:r>
        <w:rPr>
          <w:rFonts w:ascii="Garamond" w:hAnsi="Garamond"/>
        </w:rPr>
        <w:t>timepoint</w:t>
      </w:r>
      <w:proofErr w:type="spellEnd"/>
      <w:r>
        <w:rPr>
          <w:rFonts w:ascii="Garamond" w:hAnsi="Garamond"/>
        </w:rPr>
        <w:t>.</w:t>
      </w:r>
      <w:r w:rsidRPr="00E31429">
        <w:rPr>
          <w:rFonts w:ascii="Garamond" w:hAnsi="Garamond"/>
        </w:rPr>
        <w:t xml:space="preserve"> </w:t>
      </w:r>
      <w:r w:rsidR="007C52DB">
        <w:rPr>
          <w:rFonts w:ascii="Garamond" w:hAnsi="Garamond"/>
        </w:rPr>
        <w:t xml:space="preserve"> </w:t>
      </w:r>
      <w:r w:rsidRPr="00F74137">
        <w:rPr>
          <w:rFonts w:ascii="Garamond" w:hAnsi="Garamond"/>
        </w:rPr>
        <w:t>By this stage of the programme the pre-service teachers were all well into their second of two teaching placements</w:t>
      </w:r>
      <w:r w:rsidR="00075D4A">
        <w:rPr>
          <w:rFonts w:ascii="Garamond" w:hAnsi="Garamond"/>
        </w:rPr>
        <w:t xml:space="preserve">.  </w:t>
      </w:r>
      <w:r w:rsidR="00C143ED">
        <w:rPr>
          <w:rFonts w:ascii="Garamond" w:hAnsi="Garamond"/>
        </w:rPr>
        <w:t xml:space="preserve">The </w:t>
      </w:r>
      <w:r w:rsidR="00075D4A">
        <w:rPr>
          <w:rFonts w:ascii="Garamond" w:hAnsi="Garamond"/>
        </w:rPr>
        <w:t>trainee teachers all had achieved a final review grade for their teaching of at least “good” (second highest level on a four-point ordinal scale) including seven</w:t>
      </w:r>
      <w:r w:rsidR="00075D4A" w:rsidRPr="00DE0FCF">
        <w:rPr>
          <w:rFonts w:ascii="Garamond" w:hAnsi="Garamond"/>
          <w:color w:val="0070C0"/>
        </w:rPr>
        <w:t xml:space="preserve"> </w:t>
      </w:r>
      <w:r w:rsidR="00075D4A">
        <w:rPr>
          <w:rFonts w:ascii="Garamond" w:hAnsi="Garamond"/>
        </w:rPr>
        <w:t xml:space="preserve">trainees who achieved an “outstanding” grade for the quality of their teaching.  </w:t>
      </w:r>
    </w:p>
    <w:p w14:paraId="40575E21" w14:textId="17778C4C" w:rsidR="00315024" w:rsidRDefault="00315024" w:rsidP="00315024">
      <w:pPr>
        <w:widowControl/>
        <w:snapToGrid w:val="0"/>
        <w:spacing w:line="480" w:lineRule="auto"/>
        <w:ind w:firstLine="720"/>
        <w:rPr>
          <w:rFonts w:ascii="Garamond" w:hAnsi="Garamond"/>
        </w:rPr>
      </w:pPr>
      <w:r w:rsidRPr="004518B2">
        <w:rPr>
          <w:rFonts w:ascii="Garamond" w:hAnsi="Garamond"/>
        </w:rPr>
        <w:t xml:space="preserve">The Spanish cohort </w:t>
      </w:r>
      <w:r w:rsidR="00213F68" w:rsidRPr="004518B2">
        <w:rPr>
          <w:rFonts w:ascii="Garamond" w:hAnsi="Garamond"/>
        </w:rPr>
        <w:t>include</w:t>
      </w:r>
      <w:r w:rsidR="00213F68" w:rsidRPr="00213F68">
        <w:rPr>
          <w:rFonts w:ascii="Garamond" w:hAnsi="Garamond"/>
        </w:rPr>
        <w:t xml:space="preserve">s 45 pre-service </w:t>
      </w:r>
      <w:r w:rsidR="00C143ED">
        <w:rPr>
          <w:rFonts w:ascii="Garamond" w:hAnsi="Garamond"/>
        </w:rPr>
        <w:t xml:space="preserve">teachers </w:t>
      </w:r>
      <w:r w:rsidR="00213F68" w:rsidRPr="00213F68">
        <w:rPr>
          <w:rFonts w:ascii="Garamond" w:hAnsi="Garamond"/>
        </w:rPr>
        <w:t xml:space="preserve">in </w:t>
      </w:r>
      <w:r w:rsidR="00C143ED">
        <w:rPr>
          <w:rFonts w:ascii="Garamond" w:hAnsi="Garamond"/>
        </w:rPr>
        <w:t>a well-regarded university-based</w:t>
      </w:r>
      <w:r w:rsidR="00213F68" w:rsidRPr="00213F68">
        <w:rPr>
          <w:rFonts w:ascii="Garamond" w:hAnsi="Garamond"/>
        </w:rPr>
        <w:t xml:space="preserve"> Teacher Training Primary Education Programme in Catalonia (Barcelona), Spain. </w:t>
      </w:r>
      <w:r w:rsidR="00075D4A">
        <w:rPr>
          <w:rFonts w:ascii="Garamond" w:hAnsi="Garamond"/>
        </w:rPr>
        <w:t xml:space="preserve"> Individual </w:t>
      </w:r>
      <w:r w:rsidR="00075D4A" w:rsidRPr="00213F68">
        <w:rPr>
          <w:rFonts w:ascii="Garamond" w:hAnsi="Garamond"/>
        </w:rPr>
        <w:t xml:space="preserve">participants received an online voluntary survey </w:t>
      </w:r>
      <w:r w:rsidR="00C143ED">
        <w:rPr>
          <w:rFonts w:ascii="Garamond" w:hAnsi="Garamond"/>
        </w:rPr>
        <w:t xml:space="preserve">at the end of the </w:t>
      </w:r>
      <w:r w:rsidR="00075D4A" w:rsidRPr="00213F68">
        <w:rPr>
          <w:rFonts w:ascii="Garamond" w:hAnsi="Garamond"/>
        </w:rPr>
        <w:t xml:space="preserve">training programme </w:t>
      </w:r>
      <w:r w:rsidR="00C143ED">
        <w:rPr>
          <w:rFonts w:ascii="Garamond" w:hAnsi="Garamond"/>
        </w:rPr>
        <w:t>during t</w:t>
      </w:r>
      <w:r w:rsidR="00075D4A" w:rsidRPr="00213F68">
        <w:rPr>
          <w:rFonts w:ascii="Garamond" w:hAnsi="Garamond"/>
        </w:rPr>
        <w:t>heir</w:t>
      </w:r>
      <w:r w:rsidR="00C143ED">
        <w:rPr>
          <w:rFonts w:ascii="Garamond" w:hAnsi="Garamond"/>
        </w:rPr>
        <w:t xml:space="preserve"> </w:t>
      </w:r>
      <w:r w:rsidR="00075D4A" w:rsidRPr="00213F68">
        <w:rPr>
          <w:rFonts w:ascii="Garamond" w:hAnsi="Garamond"/>
        </w:rPr>
        <w:t>internships</w:t>
      </w:r>
      <w:r w:rsidR="00C143ED" w:rsidRPr="00C143ED">
        <w:rPr>
          <w:rFonts w:ascii="Garamond" w:hAnsi="Garamond"/>
        </w:rPr>
        <w:t xml:space="preserve"> </w:t>
      </w:r>
      <w:r w:rsidR="00C143ED" w:rsidRPr="00213F68">
        <w:rPr>
          <w:rFonts w:ascii="Garamond" w:hAnsi="Garamond"/>
        </w:rPr>
        <w:t xml:space="preserve">in </w:t>
      </w:r>
      <w:r w:rsidR="00C143ED">
        <w:rPr>
          <w:rFonts w:ascii="Garamond" w:hAnsi="Garamond"/>
        </w:rPr>
        <w:t>fall</w:t>
      </w:r>
      <w:r w:rsidR="00C143ED" w:rsidRPr="00213F68">
        <w:rPr>
          <w:rFonts w:ascii="Garamond" w:hAnsi="Garamond"/>
        </w:rPr>
        <w:t xml:space="preserve"> 2014</w:t>
      </w:r>
      <w:r w:rsidR="00075D4A" w:rsidRPr="00213F68">
        <w:rPr>
          <w:rFonts w:ascii="Garamond" w:hAnsi="Garamond"/>
        </w:rPr>
        <w:t xml:space="preserve">. </w:t>
      </w:r>
      <w:r w:rsidR="00075D4A">
        <w:rPr>
          <w:rFonts w:ascii="Garamond" w:hAnsi="Garamond"/>
        </w:rPr>
        <w:t xml:space="preserve"> </w:t>
      </w:r>
      <w:r w:rsidR="00213F68" w:rsidRPr="00213F68">
        <w:rPr>
          <w:rFonts w:ascii="Garamond" w:hAnsi="Garamond"/>
        </w:rPr>
        <w:t>Of the 45 pre-service teachers, 69% were females</w:t>
      </w:r>
      <w:r w:rsidR="00075D4A">
        <w:rPr>
          <w:rFonts w:ascii="Garamond" w:hAnsi="Garamond"/>
        </w:rPr>
        <w:t xml:space="preserve">; the averaged academic </w:t>
      </w:r>
      <w:r w:rsidR="00075D4A">
        <w:rPr>
          <w:rFonts w:ascii="Garamond" w:hAnsi="Garamond"/>
        </w:rPr>
        <w:lastRenderedPageBreak/>
        <w:t>performance as measured by four-point GPA is 1.77 (SD=0.39); and the averaged final training performance on a 10-point scale is 7.65 (SD=0.98)</w:t>
      </w:r>
      <w:r w:rsidR="00213F68" w:rsidRPr="00213F68">
        <w:rPr>
          <w:rFonts w:ascii="Garamond" w:hAnsi="Garamond"/>
        </w:rPr>
        <w:t xml:space="preserve">. </w:t>
      </w:r>
      <w:r w:rsidR="00075D4A">
        <w:rPr>
          <w:rFonts w:ascii="Garamond" w:hAnsi="Garamond"/>
        </w:rPr>
        <w:t xml:space="preserve"> </w:t>
      </w:r>
    </w:p>
    <w:p w14:paraId="73E5B224" w14:textId="275AB6E1" w:rsidR="00315024" w:rsidRPr="005E6577" w:rsidRDefault="00315024" w:rsidP="00315024">
      <w:pPr>
        <w:widowControl/>
        <w:snapToGrid w:val="0"/>
        <w:spacing w:line="480" w:lineRule="auto"/>
        <w:ind w:firstLine="720"/>
        <w:rPr>
          <w:rFonts w:ascii="Garamond" w:hAnsi="Garamond"/>
        </w:rPr>
      </w:pPr>
      <w:r>
        <w:rPr>
          <w:rFonts w:ascii="Garamond" w:hAnsi="Garamond"/>
        </w:rPr>
        <w:t>The US cohort includes 48</w:t>
      </w:r>
      <w:r w:rsidR="005E6577" w:rsidRPr="005E6577">
        <w:rPr>
          <w:rFonts w:ascii="Garamond" w:hAnsi="Garamond"/>
        </w:rPr>
        <w:t xml:space="preserve"> pre-service teachers </w:t>
      </w:r>
      <w:r>
        <w:rPr>
          <w:rFonts w:ascii="Garamond" w:hAnsi="Garamond"/>
        </w:rPr>
        <w:t xml:space="preserve">enrolled in </w:t>
      </w:r>
      <w:r w:rsidRPr="00315024">
        <w:rPr>
          <w:rFonts w:ascii="Garamond" w:hAnsi="Garamond"/>
        </w:rPr>
        <w:t xml:space="preserve">four </w:t>
      </w:r>
      <w:r>
        <w:rPr>
          <w:rFonts w:ascii="Garamond" w:hAnsi="Garamond"/>
        </w:rPr>
        <w:t xml:space="preserve">credential </w:t>
      </w:r>
      <w:r w:rsidRPr="00315024">
        <w:rPr>
          <w:rFonts w:ascii="Garamond" w:hAnsi="Garamond"/>
        </w:rPr>
        <w:t>programs that offer an M.Ed. degree and teaching credential for multiple subjects as well as bi/multi-lingual and special education credentials for elementary and secondary school teachers</w:t>
      </w:r>
      <w:r>
        <w:rPr>
          <w:rFonts w:ascii="Garamond" w:hAnsi="Garamond"/>
        </w:rPr>
        <w:t>.  All 48 participants completed a</w:t>
      </w:r>
      <w:r w:rsidR="009F0977">
        <w:rPr>
          <w:rFonts w:ascii="Garamond" w:hAnsi="Garamond"/>
        </w:rPr>
        <w:t>n</w:t>
      </w:r>
      <w:r>
        <w:rPr>
          <w:rFonts w:ascii="Garamond" w:hAnsi="Garamond"/>
        </w:rPr>
        <w:t xml:space="preserve"> </w:t>
      </w:r>
      <w:r w:rsidR="009F0977">
        <w:rPr>
          <w:rFonts w:ascii="Garamond" w:hAnsi="Garamond"/>
        </w:rPr>
        <w:t xml:space="preserve">online </w:t>
      </w:r>
      <w:r>
        <w:rPr>
          <w:rFonts w:ascii="Garamond" w:hAnsi="Garamond"/>
        </w:rPr>
        <w:t xml:space="preserve">survey at </w:t>
      </w:r>
      <w:r w:rsidRPr="00315024">
        <w:rPr>
          <w:rFonts w:ascii="Garamond" w:hAnsi="Garamond"/>
        </w:rPr>
        <w:t xml:space="preserve">three </w:t>
      </w:r>
      <w:r>
        <w:rPr>
          <w:rFonts w:ascii="Garamond" w:hAnsi="Garamond"/>
        </w:rPr>
        <w:t>points in time</w:t>
      </w:r>
      <w:r w:rsidRPr="00315024">
        <w:rPr>
          <w:rFonts w:ascii="Garamond" w:hAnsi="Garamond"/>
        </w:rPr>
        <w:t xml:space="preserve"> over the course of a 10-month program</w:t>
      </w:r>
      <w:r w:rsidR="00B1225A">
        <w:rPr>
          <w:rFonts w:ascii="Garamond" w:hAnsi="Garamond"/>
        </w:rPr>
        <w:t xml:space="preserve"> during 2012</w:t>
      </w:r>
      <w:r w:rsidR="005E6577" w:rsidRPr="005E6577">
        <w:rPr>
          <w:rFonts w:ascii="Garamond" w:hAnsi="Garamond"/>
        </w:rPr>
        <w:t xml:space="preserve">. </w:t>
      </w:r>
      <w:r w:rsidR="009F0977">
        <w:rPr>
          <w:rFonts w:ascii="Garamond" w:hAnsi="Garamond"/>
        </w:rPr>
        <w:t xml:space="preserve"> The US data presented in this study is from the final </w:t>
      </w:r>
      <w:proofErr w:type="spellStart"/>
      <w:r w:rsidR="009F0977">
        <w:rPr>
          <w:rFonts w:ascii="Garamond" w:hAnsi="Garamond"/>
        </w:rPr>
        <w:t>timepoint</w:t>
      </w:r>
      <w:proofErr w:type="spellEnd"/>
      <w:r w:rsidR="009F0977">
        <w:rPr>
          <w:rFonts w:ascii="Garamond" w:hAnsi="Garamond"/>
        </w:rPr>
        <w:t xml:space="preserve"> to ensure comparability across settings.  O</w:t>
      </w:r>
      <w:r w:rsidR="005E6577" w:rsidRPr="005E6577">
        <w:rPr>
          <w:rFonts w:ascii="Garamond" w:hAnsi="Garamond"/>
        </w:rPr>
        <w:t xml:space="preserve">f all the participants, 83% were females.  The </w:t>
      </w:r>
      <w:r w:rsidR="009F0977">
        <w:rPr>
          <w:rFonts w:ascii="Garamond" w:hAnsi="Garamond"/>
        </w:rPr>
        <w:t>sample</w:t>
      </w:r>
      <w:r w:rsidR="009F0977" w:rsidRPr="005E6577">
        <w:rPr>
          <w:rFonts w:ascii="Garamond" w:hAnsi="Garamond"/>
        </w:rPr>
        <w:t xml:space="preserve"> </w:t>
      </w:r>
      <w:r w:rsidR="005E6577" w:rsidRPr="005E6577">
        <w:rPr>
          <w:rFonts w:ascii="Garamond" w:hAnsi="Garamond"/>
        </w:rPr>
        <w:t>consist</w:t>
      </w:r>
      <w:r w:rsidR="009F0977">
        <w:rPr>
          <w:rFonts w:ascii="Garamond" w:hAnsi="Garamond"/>
        </w:rPr>
        <w:t>ed</w:t>
      </w:r>
      <w:r w:rsidR="005E6577" w:rsidRPr="005E6577">
        <w:rPr>
          <w:rFonts w:ascii="Garamond" w:hAnsi="Garamond"/>
        </w:rPr>
        <w:t xml:space="preserve"> of 42% Asian American, 27% Caucasian or White, 15% Latino, and 17% Other.  About 44% of the pre-service teachers had a GPA above 3.5</w:t>
      </w:r>
      <w:r w:rsidR="009131AE">
        <w:rPr>
          <w:rFonts w:ascii="Garamond" w:hAnsi="Garamond"/>
        </w:rPr>
        <w:t xml:space="preserve"> and the average level of state level credential examination is above proficient</w:t>
      </w:r>
      <w:r w:rsidR="005E6577" w:rsidRPr="005E6577">
        <w:rPr>
          <w:rFonts w:ascii="Garamond" w:hAnsi="Garamond"/>
        </w:rPr>
        <w:t xml:space="preserve">.  </w:t>
      </w:r>
    </w:p>
    <w:p w14:paraId="0FFEE222" w14:textId="77777777" w:rsidR="003409EB" w:rsidRPr="00EC7A70" w:rsidRDefault="003409EB" w:rsidP="003409EB">
      <w:pPr>
        <w:widowControl/>
        <w:snapToGrid w:val="0"/>
        <w:spacing w:line="480" w:lineRule="auto"/>
        <w:rPr>
          <w:rFonts w:ascii="Garamond" w:hAnsi="Garamond"/>
          <w:b/>
          <w:bCs/>
        </w:rPr>
      </w:pPr>
      <w:r w:rsidRPr="00EC7A70">
        <w:rPr>
          <w:rFonts w:ascii="Garamond" w:hAnsi="Garamond"/>
          <w:b/>
          <w:bCs/>
        </w:rPr>
        <w:t>Instruments</w:t>
      </w:r>
    </w:p>
    <w:p w14:paraId="6B23B333" w14:textId="3347DAA8" w:rsidR="00CC3A0F" w:rsidRDefault="003409EB" w:rsidP="00A76B4B">
      <w:pPr>
        <w:widowControl/>
        <w:snapToGrid w:val="0"/>
        <w:spacing w:line="480" w:lineRule="auto"/>
        <w:ind w:firstLine="720"/>
        <w:rPr>
          <w:rFonts w:ascii="Garamond" w:hAnsi="Garamond"/>
        </w:rPr>
      </w:pPr>
      <w:r w:rsidRPr="00EC7A70">
        <w:rPr>
          <w:rFonts w:ascii="Garamond" w:hAnsi="Garamond"/>
          <w:b/>
          <w:bCs/>
        </w:rPr>
        <w:t>Social networks</w:t>
      </w:r>
      <w:r w:rsidR="006E2545">
        <w:rPr>
          <w:rFonts w:ascii="Garamond" w:hAnsi="Garamond"/>
          <w:b/>
          <w:bCs/>
        </w:rPr>
        <w:t xml:space="preserve">: </w:t>
      </w:r>
      <w:r w:rsidR="006E2545" w:rsidRPr="006E2545">
        <w:rPr>
          <w:rFonts w:ascii="Garamond" w:hAnsi="Garamond"/>
          <w:b/>
          <w:bCs/>
        </w:rPr>
        <w:t xml:space="preserve">Instructional materials </w:t>
      </w:r>
      <w:r w:rsidR="006E2545">
        <w:rPr>
          <w:rFonts w:ascii="Garamond" w:hAnsi="Garamond"/>
          <w:b/>
          <w:bCs/>
        </w:rPr>
        <w:t xml:space="preserve">(IMs) </w:t>
      </w:r>
      <w:r w:rsidR="006E2545" w:rsidRPr="006E2545">
        <w:rPr>
          <w:rFonts w:ascii="Garamond" w:hAnsi="Garamond"/>
          <w:b/>
          <w:bCs/>
        </w:rPr>
        <w:t>and new ideas</w:t>
      </w:r>
      <w:r w:rsidR="006E2545">
        <w:rPr>
          <w:rFonts w:ascii="Garamond" w:hAnsi="Garamond"/>
          <w:b/>
          <w:bCs/>
        </w:rPr>
        <w:t xml:space="preserve"> </w:t>
      </w:r>
      <w:r w:rsidR="009F00C9">
        <w:rPr>
          <w:rFonts w:ascii="Garamond" w:hAnsi="Garamond"/>
          <w:b/>
          <w:bCs/>
        </w:rPr>
        <w:t xml:space="preserve">about teaching </w:t>
      </w:r>
      <w:r w:rsidR="006E2545">
        <w:rPr>
          <w:rFonts w:ascii="Garamond" w:hAnsi="Garamond"/>
          <w:b/>
          <w:bCs/>
        </w:rPr>
        <w:t>(NIs)</w:t>
      </w:r>
      <w:r w:rsidRPr="00EC7A70">
        <w:rPr>
          <w:rFonts w:ascii="Garamond" w:hAnsi="Garamond"/>
        </w:rPr>
        <w:t xml:space="preserve">.  </w:t>
      </w:r>
      <w:r w:rsidR="006E2545">
        <w:rPr>
          <w:rFonts w:ascii="Garamond" w:hAnsi="Garamond"/>
        </w:rPr>
        <w:t>W</w:t>
      </w:r>
      <w:r w:rsidR="006E2545" w:rsidRPr="006E2545">
        <w:rPr>
          <w:rFonts w:ascii="Garamond" w:hAnsi="Garamond"/>
        </w:rPr>
        <w:t xml:space="preserve">e asked pre-service teachers to assess the frequency of interactions with their peers from whom they </w:t>
      </w:r>
      <w:r w:rsidR="0059402F">
        <w:rPr>
          <w:rFonts w:ascii="Garamond" w:hAnsi="Garamond"/>
        </w:rPr>
        <w:t>seek</w:t>
      </w:r>
      <w:r w:rsidR="006E2545" w:rsidRPr="006E2545">
        <w:rPr>
          <w:rFonts w:ascii="Garamond" w:hAnsi="Garamond"/>
        </w:rPr>
        <w:t xml:space="preserve"> instructional materials they used in teaching practices (Instructional Materials</w:t>
      </w:r>
      <w:r w:rsidR="006E2545">
        <w:rPr>
          <w:rFonts w:ascii="Garamond" w:hAnsi="Garamond"/>
        </w:rPr>
        <w:t>, IMs</w:t>
      </w:r>
      <w:r w:rsidR="006E2545" w:rsidRPr="006E2545">
        <w:rPr>
          <w:rFonts w:ascii="Garamond" w:hAnsi="Garamond"/>
        </w:rPr>
        <w:t xml:space="preserve">) and </w:t>
      </w:r>
      <w:r w:rsidR="00AC7346">
        <w:rPr>
          <w:rFonts w:ascii="Garamond" w:hAnsi="Garamond"/>
        </w:rPr>
        <w:t>from</w:t>
      </w:r>
      <w:r w:rsidR="00AC7346" w:rsidRPr="006E2545">
        <w:rPr>
          <w:rFonts w:ascii="Garamond" w:hAnsi="Garamond"/>
        </w:rPr>
        <w:t xml:space="preserve"> </w:t>
      </w:r>
      <w:r w:rsidR="006E2545" w:rsidRPr="006E2545">
        <w:rPr>
          <w:rFonts w:ascii="Garamond" w:hAnsi="Garamond"/>
        </w:rPr>
        <w:t>whom they seek new ideas about teaching (New Ideas</w:t>
      </w:r>
      <w:r w:rsidR="006E2545">
        <w:rPr>
          <w:rFonts w:ascii="Garamond" w:hAnsi="Garamond"/>
        </w:rPr>
        <w:t>, NIs</w:t>
      </w:r>
      <w:r w:rsidR="006E2545" w:rsidRPr="006E2545">
        <w:rPr>
          <w:rFonts w:ascii="Garamond" w:hAnsi="Garamond"/>
        </w:rPr>
        <w:t xml:space="preserve">) on a 4-point frequency scale (from 1 = ‘once in the past two months’ to 4 = ‘1-2 times a week’).  </w:t>
      </w:r>
      <w:r w:rsidR="008A3C86">
        <w:rPr>
          <w:rFonts w:ascii="Garamond" w:hAnsi="Garamond"/>
        </w:rPr>
        <w:t xml:space="preserve">We used </w:t>
      </w:r>
      <w:r w:rsidR="00CC3A0F" w:rsidRPr="00CC3A0F">
        <w:rPr>
          <w:rFonts w:ascii="Garamond" w:hAnsi="Garamond"/>
        </w:rPr>
        <w:t>UCINET social network software (Borgatti, Everett, &amp; Freeman, 2005) to generate measures</w:t>
      </w:r>
      <w:r w:rsidR="008A3C86">
        <w:rPr>
          <w:rFonts w:ascii="Garamond" w:hAnsi="Garamond"/>
        </w:rPr>
        <w:t xml:space="preserve"> for network properties</w:t>
      </w:r>
      <w:r w:rsidR="00CC3A0F" w:rsidRPr="00CC3A0F">
        <w:rPr>
          <w:rFonts w:ascii="Garamond" w:hAnsi="Garamond"/>
        </w:rPr>
        <w:t xml:space="preserve">.  As seeking and exchanging instructional materials and new ideas is desired in most collaborative learning environments, it is important to examine the degree of mutual interaction and the degree of seeking or providing that kind of materials and ideas.  We therefore focus on </w:t>
      </w:r>
      <w:r w:rsidR="00AC7346">
        <w:rPr>
          <w:rFonts w:ascii="Garamond" w:hAnsi="Garamond"/>
        </w:rPr>
        <w:t xml:space="preserve">individual-level </w:t>
      </w:r>
      <w:r w:rsidR="00CC3A0F" w:rsidRPr="00CC3A0F">
        <w:rPr>
          <w:rFonts w:ascii="Garamond" w:hAnsi="Garamond"/>
        </w:rPr>
        <w:t xml:space="preserve">measures, </w:t>
      </w:r>
      <w:r w:rsidR="00AC7346">
        <w:rPr>
          <w:rFonts w:ascii="Garamond" w:hAnsi="Garamond"/>
        </w:rPr>
        <w:t xml:space="preserve">i.e., </w:t>
      </w:r>
      <w:r w:rsidR="00CC3A0F" w:rsidRPr="00CC3A0F">
        <w:rPr>
          <w:rFonts w:ascii="Garamond" w:hAnsi="Garamond"/>
        </w:rPr>
        <w:t xml:space="preserve">ego-reciprocity, outdegree and indegree.  The ego-reciprocity </w:t>
      </w:r>
      <w:r w:rsidR="007643DF">
        <w:rPr>
          <w:rFonts w:ascii="Garamond" w:hAnsi="Garamond"/>
        </w:rPr>
        <w:t xml:space="preserve">is </w:t>
      </w:r>
      <w:r w:rsidR="00CC3A0F" w:rsidRPr="00CC3A0F">
        <w:rPr>
          <w:rFonts w:ascii="Garamond" w:hAnsi="Garamond"/>
        </w:rPr>
        <w:t xml:space="preserve">calculated as the ratio of reciprocated relationships to the total number of relationships for an actor.  The outdegree of a pre-service teacher corresponds to the number of peers nominated by the pre-service teacher to whom they reached out and can be interpreted as the pre-service teacher’s “activity.”  The indegree </w:t>
      </w:r>
      <w:r w:rsidR="00CC3A0F" w:rsidRPr="00CC3A0F">
        <w:rPr>
          <w:rFonts w:ascii="Garamond" w:hAnsi="Garamond"/>
        </w:rPr>
        <w:lastRenderedPageBreak/>
        <w:t>of a pre-service teacher reflect</w:t>
      </w:r>
      <w:r w:rsidR="00AC7346">
        <w:rPr>
          <w:rFonts w:ascii="Garamond" w:hAnsi="Garamond"/>
        </w:rPr>
        <w:t>s</w:t>
      </w:r>
      <w:r w:rsidR="00CC3A0F" w:rsidRPr="00CC3A0F">
        <w:rPr>
          <w:rFonts w:ascii="Garamond" w:hAnsi="Garamond"/>
        </w:rPr>
        <w:t xml:space="preserve"> the number of peers from whom the pre-service teacher received a nomination, and can thus be regarded as an indication of a pre-service teacher’s “popularity” in providing instructional materials or new ideas for their peers.  </w:t>
      </w:r>
    </w:p>
    <w:p w14:paraId="1B1505B9" w14:textId="2224A1BC" w:rsidR="006E2545" w:rsidRDefault="006E2545" w:rsidP="00A76B4B">
      <w:pPr>
        <w:widowControl/>
        <w:snapToGrid w:val="0"/>
        <w:spacing w:line="480" w:lineRule="auto"/>
        <w:ind w:firstLine="720"/>
        <w:rPr>
          <w:rFonts w:ascii="Garamond" w:hAnsi="Garamond"/>
        </w:rPr>
      </w:pPr>
      <w:r w:rsidRPr="006E2545">
        <w:rPr>
          <w:rFonts w:ascii="Garamond" w:hAnsi="Garamond"/>
        </w:rPr>
        <w:t xml:space="preserve">As this study examines two types of network relationships, it is important to </w:t>
      </w:r>
      <w:r w:rsidR="00AC7346">
        <w:rPr>
          <w:rFonts w:ascii="Garamond" w:hAnsi="Garamond"/>
        </w:rPr>
        <w:t>check for collinearity between the two network matrices</w:t>
      </w:r>
      <w:r w:rsidRPr="006E2545">
        <w:rPr>
          <w:rFonts w:ascii="Garamond" w:hAnsi="Garamond"/>
        </w:rPr>
        <w:t xml:space="preserve">.  Prior to </w:t>
      </w:r>
      <w:r>
        <w:rPr>
          <w:rFonts w:ascii="Garamond" w:hAnsi="Garamond"/>
        </w:rPr>
        <w:t>hypothesis testing</w:t>
      </w:r>
      <w:r w:rsidRPr="006E2545">
        <w:rPr>
          <w:rFonts w:ascii="Garamond" w:hAnsi="Garamond"/>
        </w:rPr>
        <w:t xml:space="preserve">, we </w:t>
      </w:r>
      <w:r w:rsidR="00AC7346" w:rsidRPr="006E2545">
        <w:rPr>
          <w:rFonts w:ascii="Garamond" w:hAnsi="Garamond"/>
        </w:rPr>
        <w:t>emplo</w:t>
      </w:r>
      <w:r w:rsidR="00AC7346">
        <w:rPr>
          <w:rFonts w:ascii="Garamond" w:hAnsi="Garamond"/>
        </w:rPr>
        <w:t>yed</w:t>
      </w:r>
      <w:r w:rsidRPr="006E2545">
        <w:rPr>
          <w:rFonts w:ascii="Garamond" w:hAnsi="Garamond"/>
        </w:rPr>
        <w:t xml:space="preserve"> the Quadratic Assignment Procedure (QAP) to identify the strength of correlation between </w:t>
      </w:r>
      <w:r w:rsidR="00AC7346">
        <w:rPr>
          <w:rFonts w:ascii="Garamond" w:hAnsi="Garamond"/>
        </w:rPr>
        <w:t xml:space="preserve">the two </w:t>
      </w:r>
      <w:r w:rsidRPr="006E2545">
        <w:rPr>
          <w:rFonts w:ascii="Garamond" w:hAnsi="Garamond"/>
        </w:rPr>
        <w:t xml:space="preserve">network structures.  The QAP result indicates a weak to medium correlation between </w:t>
      </w:r>
      <w:r w:rsidR="00AC7346">
        <w:rPr>
          <w:rFonts w:ascii="Garamond" w:hAnsi="Garamond"/>
        </w:rPr>
        <w:t xml:space="preserve">IMs and NIs </w:t>
      </w:r>
      <w:r w:rsidRPr="006E2545">
        <w:rPr>
          <w:rFonts w:ascii="Garamond" w:hAnsi="Garamond"/>
        </w:rPr>
        <w:t xml:space="preserve">network </w:t>
      </w:r>
      <w:r w:rsidR="00AC7346">
        <w:rPr>
          <w:rFonts w:ascii="Garamond" w:hAnsi="Garamond"/>
        </w:rPr>
        <w:t>matrices</w:t>
      </w:r>
      <w:r>
        <w:rPr>
          <w:rFonts w:ascii="Garamond" w:hAnsi="Garamond"/>
        </w:rPr>
        <w:t xml:space="preserve"> (r &lt;</w:t>
      </w:r>
      <w:r w:rsidRPr="006E2545">
        <w:rPr>
          <w:rFonts w:ascii="Garamond" w:hAnsi="Garamond"/>
        </w:rPr>
        <w:t xml:space="preserve"> .40) </w:t>
      </w:r>
      <w:r>
        <w:rPr>
          <w:rFonts w:ascii="Garamond" w:hAnsi="Garamond"/>
        </w:rPr>
        <w:t>across study sites</w:t>
      </w:r>
      <w:r w:rsidR="00AC7346">
        <w:rPr>
          <w:rFonts w:ascii="Garamond" w:hAnsi="Garamond"/>
        </w:rPr>
        <w:t>, suggesting the two relations represent</w:t>
      </w:r>
      <w:r w:rsidR="00AC7346" w:rsidRPr="006E2545">
        <w:rPr>
          <w:rFonts w:ascii="Garamond" w:hAnsi="Garamond"/>
        </w:rPr>
        <w:t xml:space="preserve"> distinct concepts</w:t>
      </w:r>
      <w:r>
        <w:rPr>
          <w:rFonts w:ascii="Garamond" w:hAnsi="Garamond"/>
        </w:rPr>
        <w:t xml:space="preserve"> </w:t>
      </w:r>
      <w:r w:rsidRPr="006E2545">
        <w:rPr>
          <w:rFonts w:ascii="Garamond" w:hAnsi="Garamond"/>
        </w:rPr>
        <w:t>and thus allow</w:t>
      </w:r>
      <w:r w:rsidR="00AC7346">
        <w:rPr>
          <w:rFonts w:ascii="Garamond" w:hAnsi="Garamond"/>
        </w:rPr>
        <w:t>ing</w:t>
      </w:r>
      <w:r w:rsidRPr="006E2545">
        <w:rPr>
          <w:rFonts w:ascii="Garamond" w:hAnsi="Garamond"/>
        </w:rPr>
        <w:t xml:space="preserve"> for further analysis.</w:t>
      </w:r>
      <w:r w:rsidR="00AC7346" w:rsidRPr="00AC7346">
        <w:rPr>
          <w:rFonts w:ascii="Garamond" w:hAnsi="Garamond"/>
        </w:rPr>
        <w:t xml:space="preserve"> </w:t>
      </w:r>
    </w:p>
    <w:p w14:paraId="54632C41" w14:textId="725D64CA" w:rsidR="006E2545" w:rsidRDefault="004604D3" w:rsidP="00B12833">
      <w:pPr>
        <w:widowControl/>
        <w:snapToGrid w:val="0"/>
        <w:spacing w:line="480" w:lineRule="auto"/>
        <w:ind w:firstLine="720"/>
        <w:rPr>
          <w:rFonts w:ascii="Garamond" w:hAnsi="Garamond"/>
        </w:rPr>
      </w:pPr>
      <w:r w:rsidRPr="00EC7A70">
        <w:rPr>
          <w:rFonts w:ascii="Garamond" w:hAnsi="Garamond"/>
          <w:b/>
          <w:bCs/>
        </w:rPr>
        <w:t>Self-e</w:t>
      </w:r>
      <w:r w:rsidR="00A76B4B" w:rsidRPr="00EC7A70">
        <w:rPr>
          <w:rFonts w:ascii="Garamond" w:hAnsi="Garamond"/>
          <w:b/>
          <w:bCs/>
        </w:rPr>
        <w:t>fficacy</w:t>
      </w:r>
      <w:r w:rsidR="00A76B4B" w:rsidRPr="00EC7A70">
        <w:rPr>
          <w:rFonts w:ascii="Garamond" w:hAnsi="Garamond"/>
        </w:rPr>
        <w:t xml:space="preserve">.  </w:t>
      </w:r>
      <w:r w:rsidR="006E2545" w:rsidRPr="006E2545">
        <w:rPr>
          <w:rFonts w:ascii="Garamond" w:hAnsi="Garamond"/>
        </w:rPr>
        <w:t>We drew upon the Teacher Efficacy Scale used in previous work (</w:t>
      </w:r>
      <w:proofErr w:type="spellStart"/>
      <w:r w:rsidR="006E2545" w:rsidRPr="006E2545">
        <w:rPr>
          <w:rFonts w:ascii="Garamond" w:hAnsi="Garamond"/>
        </w:rPr>
        <w:t>Tschannen</w:t>
      </w:r>
      <w:proofErr w:type="spellEnd"/>
      <w:r w:rsidR="006E2545" w:rsidRPr="006E2545">
        <w:rPr>
          <w:rFonts w:ascii="Garamond" w:hAnsi="Garamond"/>
        </w:rPr>
        <w:t xml:space="preserve">-Moran &amp; Hoy, 2001) that examined the perceptions of self-efficacy for instructional improvement, which allows us to capture perceptions of individual efficacy about instructional practice.  The self-efficacy scale comprised of </w:t>
      </w:r>
      <w:r w:rsidR="00821518">
        <w:rPr>
          <w:rFonts w:ascii="Garamond" w:hAnsi="Garamond"/>
        </w:rPr>
        <w:t>five</w:t>
      </w:r>
      <w:r w:rsidR="006E2545" w:rsidRPr="006E2545">
        <w:rPr>
          <w:rFonts w:ascii="Garamond" w:hAnsi="Garamond"/>
        </w:rPr>
        <w:t xml:space="preserve"> items based on a 9-point Likert scale ranging from 1 (Not at all) to 9 (Always).  </w:t>
      </w:r>
      <w:r w:rsidR="00891E8E">
        <w:rPr>
          <w:rFonts w:ascii="Garamond" w:hAnsi="Garamond"/>
        </w:rPr>
        <w:t>Across all sites, p</w:t>
      </w:r>
      <w:r w:rsidR="006E2545" w:rsidRPr="006E2545">
        <w:rPr>
          <w:rFonts w:ascii="Garamond" w:hAnsi="Garamond"/>
        </w:rPr>
        <w:t xml:space="preserve">rincipal component analysis </w:t>
      </w:r>
      <w:r w:rsidR="00821518" w:rsidRPr="00EC7A70">
        <w:rPr>
          <w:rFonts w:ascii="Garamond" w:hAnsi="Garamond"/>
        </w:rPr>
        <w:t>(PCA)</w:t>
      </w:r>
      <w:r w:rsidR="00821518">
        <w:rPr>
          <w:rFonts w:ascii="Garamond" w:hAnsi="Garamond"/>
        </w:rPr>
        <w:t xml:space="preserve"> </w:t>
      </w:r>
      <w:r w:rsidR="006E2545" w:rsidRPr="006E2545">
        <w:rPr>
          <w:rFonts w:ascii="Garamond" w:hAnsi="Garamond"/>
        </w:rPr>
        <w:t xml:space="preserve">with </w:t>
      </w:r>
      <w:proofErr w:type="spellStart"/>
      <w:r w:rsidR="006E2545" w:rsidRPr="006E2545">
        <w:rPr>
          <w:rFonts w:ascii="Garamond" w:hAnsi="Garamond"/>
        </w:rPr>
        <w:t>varimax</w:t>
      </w:r>
      <w:proofErr w:type="spellEnd"/>
      <w:r w:rsidR="006E2545" w:rsidRPr="006E2545">
        <w:rPr>
          <w:rFonts w:ascii="Garamond" w:hAnsi="Garamond"/>
        </w:rPr>
        <w:t xml:space="preserve"> rotation yielded a single-factor solution with </w:t>
      </w:r>
      <w:r w:rsidR="0046517A">
        <w:rPr>
          <w:rFonts w:ascii="Garamond" w:hAnsi="Garamond"/>
        </w:rPr>
        <w:t xml:space="preserve">internal reliability </w:t>
      </w:r>
      <w:r w:rsidR="006E2545" w:rsidRPr="006E2545">
        <w:rPr>
          <w:rFonts w:ascii="Garamond" w:hAnsi="Garamond"/>
        </w:rPr>
        <w:t>α ranging from .8</w:t>
      </w:r>
      <w:r w:rsidR="00891E8E">
        <w:rPr>
          <w:rFonts w:ascii="Garamond" w:hAnsi="Garamond"/>
        </w:rPr>
        <w:t>0</w:t>
      </w:r>
      <w:r w:rsidR="006E2545" w:rsidRPr="006E2545">
        <w:rPr>
          <w:rFonts w:ascii="Garamond" w:hAnsi="Garamond"/>
        </w:rPr>
        <w:t xml:space="preserve"> to .92. </w:t>
      </w:r>
    </w:p>
    <w:p w14:paraId="38643BCB" w14:textId="05C7F979" w:rsidR="00652EC1" w:rsidRDefault="00533196" w:rsidP="00B12833">
      <w:pPr>
        <w:widowControl/>
        <w:snapToGrid w:val="0"/>
        <w:spacing w:line="480" w:lineRule="auto"/>
        <w:ind w:firstLine="720"/>
        <w:rPr>
          <w:rFonts w:ascii="Garamond" w:hAnsi="Garamond"/>
        </w:rPr>
      </w:pPr>
      <w:r w:rsidRPr="00EC7A70">
        <w:rPr>
          <w:rFonts w:ascii="Garamond" w:hAnsi="Garamond"/>
          <w:b/>
          <w:bCs/>
        </w:rPr>
        <w:t xml:space="preserve">Peer </w:t>
      </w:r>
      <w:r w:rsidR="00B12833" w:rsidRPr="00EC7A70">
        <w:rPr>
          <w:rFonts w:ascii="Garamond" w:hAnsi="Garamond"/>
          <w:b/>
          <w:bCs/>
        </w:rPr>
        <w:t>t</w:t>
      </w:r>
      <w:r w:rsidR="003409EB" w:rsidRPr="00EC7A70">
        <w:rPr>
          <w:rFonts w:ascii="Garamond" w:hAnsi="Garamond"/>
          <w:b/>
          <w:bCs/>
        </w:rPr>
        <w:t>rust</w:t>
      </w:r>
      <w:r w:rsidR="003409EB" w:rsidRPr="00EC7A70">
        <w:rPr>
          <w:rFonts w:ascii="Garamond" w:hAnsi="Garamond"/>
        </w:rPr>
        <w:t>.</w:t>
      </w:r>
      <w:r w:rsidRPr="00EC7A70">
        <w:rPr>
          <w:rFonts w:ascii="Garamond" w:hAnsi="Garamond"/>
        </w:rPr>
        <w:t xml:space="preserve">  We assessed </w:t>
      </w:r>
      <w:r w:rsidR="00821518">
        <w:rPr>
          <w:rFonts w:ascii="Garamond" w:hAnsi="Garamond"/>
        </w:rPr>
        <w:t>peer</w:t>
      </w:r>
      <w:r w:rsidRPr="00EC7A70">
        <w:rPr>
          <w:rFonts w:ascii="Garamond" w:hAnsi="Garamond"/>
        </w:rPr>
        <w:t xml:space="preserve"> trust through a previously validated trust scale (</w:t>
      </w:r>
      <w:r w:rsidR="00821518">
        <w:rPr>
          <w:rFonts w:ascii="Garamond" w:hAnsi="Garamond"/>
        </w:rPr>
        <w:t>Authors et al., 2017</w:t>
      </w:r>
      <w:r w:rsidRPr="00EC7A70">
        <w:rPr>
          <w:rFonts w:ascii="Garamond" w:hAnsi="Garamond"/>
        </w:rPr>
        <w:t xml:space="preserve">).  Participants were asked to respond to each of the </w:t>
      </w:r>
      <w:r w:rsidR="00891E8E">
        <w:rPr>
          <w:rFonts w:ascii="Garamond" w:hAnsi="Garamond"/>
        </w:rPr>
        <w:t>six</w:t>
      </w:r>
      <w:r w:rsidRPr="00EC7A70">
        <w:rPr>
          <w:rFonts w:ascii="Garamond" w:hAnsi="Garamond"/>
        </w:rPr>
        <w:t xml:space="preserve"> trust items on a 9-point Likert scale, ranging from 1 “</w:t>
      </w:r>
      <w:r w:rsidR="00821518">
        <w:rPr>
          <w:rFonts w:ascii="Garamond" w:hAnsi="Garamond"/>
        </w:rPr>
        <w:t>v</w:t>
      </w:r>
      <w:r w:rsidRPr="00EC7A70">
        <w:rPr>
          <w:rFonts w:ascii="Garamond" w:hAnsi="Garamond"/>
        </w:rPr>
        <w:t>ery strongly disagree” to 9 “</w:t>
      </w:r>
      <w:r w:rsidR="00821518">
        <w:rPr>
          <w:rFonts w:ascii="Garamond" w:hAnsi="Garamond"/>
        </w:rPr>
        <w:t>v</w:t>
      </w:r>
      <w:r w:rsidRPr="00EC7A70">
        <w:rPr>
          <w:rFonts w:ascii="Garamond" w:hAnsi="Garamond"/>
        </w:rPr>
        <w:t xml:space="preserve">ery strongly agree.”  </w:t>
      </w:r>
      <w:r w:rsidR="00821518">
        <w:rPr>
          <w:rFonts w:ascii="Garamond" w:hAnsi="Garamond"/>
        </w:rPr>
        <w:t xml:space="preserve">PCA </w:t>
      </w:r>
      <w:r w:rsidRPr="00EC7A70">
        <w:rPr>
          <w:rFonts w:ascii="Garamond" w:hAnsi="Garamond"/>
        </w:rPr>
        <w:t xml:space="preserve">on the </w:t>
      </w:r>
      <w:r w:rsidR="00891E8E">
        <w:rPr>
          <w:rFonts w:ascii="Garamond" w:hAnsi="Garamond"/>
        </w:rPr>
        <w:t>six</w:t>
      </w:r>
      <w:r w:rsidRPr="00EC7A70">
        <w:rPr>
          <w:rFonts w:ascii="Garamond" w:hAnsi="Garamond"/>
        </w:rPr>
        <w:t xml:space="preserve"> trust survey items using </w:t>
      </w:r>
      <w:proofErr w:type="spellStart"/>
      <w:r w:rsidRPr="00EC7A70">
        <w:rPr>
          <w:rFonts w:ascii="Garamond" w:hAnsi="Garamond"/>
        </w:rPr>
        <w:t>varimax</w:t>
      </w:r>
      <w:proofErr w:type="spellEnd"/>
      <w:r w:rsidRPr="00EC7A70">
        <w:rPr>
          <w:rFonts w:ascii="Garamond" w:hAnsi="Garamond"/>
        </w:rPr>
        <w:t xml:space="preserve"> rotation yielded a single-factor solution.  Items that had a communality of less than .50 were removed.  The </w:t>
      </w:r>
      <w:r w:rsidR="0046517A">
        <w:rPr>
          <w:rFonts w:ascii="Garamond" w:hAnsi="Garamond"/>
        </w:rPr>
        <w:t xml:space="preserve">internal reliability </w:t>
      </w:r>
      <w:r w:rsidR="0046517A" w:rsidRPr="006E2545">
        <w:rPr>
          <w:rFonts w:ascii="Garamond" w:hAnsi="Garamond"/>
        </w:rPr>
        <w:t xml:space="preserve">α </w:t>
      </w:r>
      <w:r w:rsidR="00891E8E">
        <w:rPr>
          <w:rFonts w:ascii="Garamond" w:hAnsi="Garamond"/>
        </w:rPr>
        <w:t xml:space="preserve">of the scale </w:t>
      </w:r>
      <w:r w:rsidRPr="00EC7A70">
        <w:rPr>
          <w:rFonts w:ascii="Garamond" w:hAnsi="Garamond"/>
        </w:rPr>
        <w:t>rang</w:t>
      </w:r>
      <w:r w:rsidR="00891E8E">
        <w:rPr>
          <w:rFonts w:ascii="Garamond" w:hAnsi="Garamond"/>
        </w:rPr>
        <w:t>es</w:t>
      </w:r>
      <w:r w:rsidRPr="00EC7A70">
        <w:rPr>
          <w:rFonts w:ascii="Garamond" w:hAnsi="Garamond"/>
        </w:rPr>
        <w:t xml:space="preserve"> from .</w:t>
      </w:r>
      <w:r w:rsidR="00891E8E">
        <w:rPr>
          <w:rFonts w:ascii="Garamond" w:hAnsi="Garamond"/>
        </w:rPr>
        <w:t>89</w:t>
      </w:r>
      <w:r w:rsidRPr="00EC7A70">
        <w:rPr>
          <w:rFonts w:ascii="Garamond" w:hAnsi="Garamond"/>
        </w:rPr>
        <w:t xml:space="preserve"> to .9</w:t>
      </w:r>
      <w:r w:rsidR="00891E8E">
        <w:rPr>
          <w:rFonts w:ascii="Garamond" w:hAnsi="Garamond"/>
        </w:rPr>
        <w:t>7</w:t>
      </w:r>
      <w:r w:rsidRPr="00EC7A70">
        <w:rPr>
          <w:rFonts w:ascii="Garamond" w:hAnsi="Garamond"/>
        </w:rPr>
        <w:t xml:space="preserve">.  </w:t>
      </w:r>
    </w:p>
    <w:p w14:paraId="67AC3F99" w14:textId="776B33D2" w:rsidR="00533196" w:rsidRDefault="00652EC1" w:rsidP="00B12833">
      <w:pPr>
        <w:widowControl/>
        <w:snapToGrid w:val="0"/>
        <w:spacing w:line="480" w:lineRule="auto"/>
        <w:ind w:firstLine="720"/>
        <w:rPr>
          <w:rFonts w:ascii="Garamond" w:hAnsi="Garamond"/>
        </w:rPr>
      </w:pPr>
      <w:r>
        <w:rPr>
          <w:rFonts w:ascii="Garamond" w:hAnsi="Garamond"/>
        </w:rPr>
        <w:t xml:space="preserve">Table 1 provides factor loadings and reliability of self-efficacy and peer trust scales for each study site. </w:t>
      </w:r>
    </w:p>
    <w:p w14:paraId="270F6800" w14:textId="77777777" w:rsidR="00652EC1" w:rsidRPr="00EC7A70" w:rsidRDefault="00652EC1" w:rsidP="00652EC1">
      <w:pPr>
        <w:widowControl/>
        <w:snapToGrid w:val="0"/>
        <w:spacing w:line="480" w:lineRule="auto"/>
        <w:jc w:val="center"/>
        <w:rPr>
          <w:rFonts w:ascii="Garamond" w:hAnsi="Garamond"/>
        </w:rPr>
      </w:pPr>
      <w:r>
        <w:rPr>
          <w:rFonts w:ascii="Garamond" w:hAnsi="Garamond"/>
        </w:rPr>
        <w:t>Insert Table 1 about Here</w:t>
      </w:r>
    </w:p>
    <w:p w14:paraId="2DB4FCD7" w14:textId="77777777" w:rsidR="003409EB" w:rsidRPr="00EC7A70" w:rsidRDefault="003409EB" w:rsidP="003409EB">
      <w:pPr>
        <w:widowControl/>
        <w:snapToGrid w:val="0"/>
        <w:spacing w:line="480" w:lineRule="auto"/>
        <w:rPr>
          <w:rFonts w:ascii="Garamond" w:hAnsi="Garamond"/>
          <w:b/>
          <w:bCs/>
        </w:rPr>
      </w:pPr>
      <w:r w:rsidRPr="00EC7A70">
        <w:rPr>
          <w:rFonts w:ascii="Garamond" w:hAnsi="Garamond"/>
          <w:b/>
          <w:bCs/>
        </w:rPr>
        <w:t>Data Analysis</w:t>
      </w:r>
    </w:p>
    <w:p w14:paraId="5C310A69" w14:textId="381534C4" w:rsidR="00FD2DF5" w:rsidRPr="00FD2DF5" w:rsidRDefault="009844B7" w:rsidP="00FD2DF5">
      <w:pPr>
        <w:widowControl/>
        <w:snapToGrid w:val="0"/>
        <w:spacing w:line="480" w:lineRule="auto"/>
        <w:ind w:firstLine="720"/>
        <w:rPr>
          <w:rFonts w:ascii="Garamond" w:hAnsi="Garamond"/>
        </w:rPr>
      </w:pPr>
      <w:r>
        <w:rPr>
          <w:rFonts w:ascii="Garamond" w:hAnsi="Garamond"/>
        </w:rPr>
        <w:lastRenderedPageBreak/>
        <w:t>W</w:t>
      </w:r>
      <w:r w:rsidR="00FD2DF5">
        <w:rPr>
          <w:rFonts w:ascii="Garamond" w:hAnsi="Garamond"/>
        </w:rPr>
        <w:t xml:space="preserve">e first present descriptive </w:t>
      </w:r>
      <w:r w:rsidR="00755A12" w:rsidRPr="00EC7A70">
        <w:rPr>
          <w:rFonts w:ascii="Garamond" w:hAnsi="Garamond"/>
        </w:rPr>
        <w:t xml:space="preserve">statistics for the scales assessing </w:t>
      </w:r>
      <w:r w:rsidR="00755A12">
        <w:rPr>
          <w:rFonts w:ascii="Garamond" w:hAnsi="Garamond"/>
        </w:rPr>
        <w:t xml:space="preserve">self-efficacy and peer </w:t>
      </w:r>
      <w:r w:rsidR="00755A12" w:rsidRPr="00EC7A70">
        <w:rPr>
          <w:rFonts w:ascii="Garamond" w:hAnsi="Garamond"/>
        </w:rPr>
        <w:t xml:space="preserve">trust as well as network </w:t>
      </w:r>
      <w:r>
        <w:rPr>
          <w:rFonts w:ascii="Garamond" w:hAnsi="Garamond"/>
        </w:rPr>
        <w:t>properties</w:t>
      </w:r>
      <w:r w:rsidR="00755A12" w:rsidRPr="00FD2DF5">
        <w:rPr>
          <w:rFonts w:ascii="Garamond" w:hAnsi="Garamond"/>
        </w:rPr>
        <w:t xml:space="preserve"> </w:t>
      </w:r>
      <w:r w:rsidR="00FD2DF5" w:rsidRPr="00FD2DF5">
        <w:rPr>
          <w:rFonts w:ascii="Garamond" w:hAnsi="Garamond"/>
        </w:rPr>
        <w:t xml:space="preserve">of both </w:t>
      </w:r>
      <w:r w:rsidR="00755A12">
        <w:rPr>
          <w:rFonts w:ascii="Garamond" w:hAnsi="Garamond"/>
        </w:rPr>
        <w:t>IMs</w:t>
      </w:r>
      <w:r w:rsidR="00FD2DF5" w:rsidRPr="00FD2DF5">
        <w:rPr>
          <w:rFonts w:ascii="Garamond" w:hAnsi="Garamond"/>
        </w:rPr>
        <w:t xml:space="preserve"> and </w:t>
      </w:r>
      <w:r w:rsidR="00755A12">
        <w:rPr>
          <w:rFonts w:ascii="Garamond" w:hAnsi="Garamond"/>
        </w:rPr>
        <w:t xml:space="preserve">NIs </w:t>
      </w:r>
      <w:r w:rsidR="00FD2DF5" w:rsidRPr="00FD2DF5">
        <w:rPr>
          <w:rFonts w:ascii="Garamond" w:hAnsi="Garamond"/>
        </w:rPr>
        <w:t>relations.  We then test our hypotheses by conducting a series of selection models (</w:t>
      </w:r>
      <w:proofErr w:type="spellStart"/>
      <w:r w:rsidR="00FD2DF5" w:rsidRPr="00FD2DF5">
        <w:rPr>
          <w:rFonts w:ascii="Garamond" w:hAnsi="Garamond"/>
        </w:rPr>
        <w:t>Dujin</w:t>
      </w:r>
      <w:proofErr w:type="spellEnd"/>
      <w:r w:rsidR="00FD2DF5" w:rsidRPr="00FD2DF5">
        <w:rPr>
          <w:rFonts w:ascii="Garamond" w:hAnsi="Garamond"/>
        </w:rPr>
        <w:t>, 1998)</w:t>
      </w:r>
      <w:r w:rsidRPr="00FD2DF5">
        <w:rPr>
          <w:rFonts w:ascii="Garamond" w:hAnsi="Garamond"/>
        </w:rPr>
        <w:t xml:space="preserve"> </w:t>
      </w:r>
      <w:r w:rsidR="00FD2DF5" w:rsidRPr="00FD2DF5">
        <w:rPr>
          <w:rFonts w:ascii="Garamond" w:hAnsi="Garamond"/>
        </w:rPr>
        <w:t xml:space="preserve">to investigate </w:t>
      </w:r>
      <w:r w:rsidR="00E30AA4">
        <w:rPr>
          <w:rFonts w:ascii="Garamond" w:hAnsi="Garamond"/>
        </w:rPr>
        <w:t>the extent to which</w:t>
      </w:r>
      <w:r w:rsidR="00E30AA4" w:rsidRPr="00FD2DF5">
        <w:rPr>
          <w:rFonts w:ascii="Garamond" w:hAnsi="Garamond"/>
        </w:rPr>
        <w:t xml:space="preserve"> </w:t>
      </w:r>
      <w:r w:rsidR="00FD2DF5" w:rsidRPr="00FD2DF5">
        <w:rPr>
          <w:rFonts w:ascii="Garamond" w:hAnsi="Garamond"/>
        </w:rPr>
        <w:t>pre-service teachers’ perceived self-efficacy</w:t>
      </w:r>
      <w:r w:rsidR="00E30AA4">
        <w:rPr>
          <w:rFonts w:ascii="Garamond" w:hAnsi="Garamond"/>
        </w:rPr>
        <w:t xml:space="preserve"> and</w:t>
      </w:r>
      <w:r w:rsidR="00FD2DF5">
        <w:rPr>
          <w:rFonts w:ascii="Garamond" w:hAnsi="Garamond"/>
        </w:rPr>
        <w:t xml:space="preserve"> peer trust </w:t>
      </w:r>
      <w:r w:rsidR="00FD2DF5" w:rsidRPr="00FD2DF5">
        <w:rPr>
          <w:rFonts w:ascii="Garamond" w:hAnsi="Garamond"/>
        </w:rPr>
        <w:t xml:space="preserve">and demographic characteristics affect the formation of </w:t>
      </w:r>
      <w:r w:rsidR="00FD2DF5">
        <w:rPr>
          <w:rFonts w:ascii="Garamond" w:hAnsi="Garamond"/>
        </w:rPr>
        <w:t>IMs</w:t>
      </w:r>
      <w:r w:rsidR="00FD2DF5" w:rsidRPr="00FD2DF5">
        <w:rPr>
          <w:rFonts w:ascii="Garamond" w:hAnsi="Garamond"/>
        </w:rPr>
        <w:t xml:space="preserve"> ties, controlling for </w:t>
      </w:r>
      <w:r w:rsidR="00FD2DF5">
        <w:rPr>
          <w:rFonts w:ascii="Garamond" w:hAnsi="Garamond"/>
        </w:rPr>
        <w:t xml:space="preserve">NIs relation and </w:t>
      </w:r>
      <w:r w:rsidR="00FD2DF5" w:rsidRPr="00FD2DF5">
        <w:rPr>
          <w:rFonts w:ascii="Garamond" w:hAnsi="Garamond"/>
        </w:rPr>
        <w:t xml:space="preserve">gender.  </w:t>
      </w:r>
      <w:r w:rsidR="00755A12">
        <w:rPr>
          <w:rFonts w:ascii="Garamond" w:hAnsi="Garamond"/>
        </w:rPr>
        <w:t xml:space="preserve">P2 modeling addresses the </w:t>
      </w:r>
      <w:r w:rsidR="00755A12" w:rsidRPr="00755A12">
        <w:rPr>
          <w:rFonts w:ascii="Garamond" w:hAnsi="Garamond"/>
        </w:rPr>
        <w:t>interdependency of the network data of the dependent variable (relationships among individuals)</w:t>
      </w:r>
      <w:r w:rsidR="00755A12">
        <w:rPr>
          <w:rFonts w:ascii="Garamond" w:hAnsi="Garamond"/>
        </w:rPr>
        <w:t xml:space="preserve">.  </w:t>
      </w:r>
      <w:r w:rsidR="00FD2DF5" w:rsidRPr="00755A12">
        <w:rPr>
          <w:rFonts w:ascii="Garamond" w:hAnsi="Garamond"/>
        </w:rPr>
        <w:t>T</w:t>
      </w:r>
      <w:r w:rsidR="00FD2DF5" w:rsidRPr="00FD2DF5">
        <w:rPr>
          <w:rFonts w:ascii="Garamond" w:hAnsi="Garamond"/>
        </w:rPr>
        <w:t>he following models are proposed:</w:t>
      </w:r>
    </w:p>
    <w:p w14:paraId="6069580D" w14:textId="77777777" w:rsidR="00FD2DF5" w:rsidRPr="00FD2DF5" w:rsidRDefault="00FD2DF5" w:rsidP="009844B7">
      <w:pPr>
        <w:widowControl/>
        <w:snapToGrid w:val="0"/>
        <w:spacing w:line="480" w:lineRule="auto"/>
        <w:rPr>
          <w:rFonts w:ascii="Garamond" w:hAnsi="Garamond"/>
        </w:rPr>
      </w:pPr>
      <w:r w:rsidRPr="00FD2DF5">
        <w:rPr>
          <w:rFonts w:ascii="Garamond" w:hAnsi="Garamond"/>
        </w:rPr>
        <w:t xml:space="preserve">Pair Level (Relationship in between </w:t>
      </w:r>
      <w:proofErr w:type="spellStart"/>
      <w:r w:rsidRPr="00FD2DF5">
        <w:rPr>
          <w:rFonts w:ascii="Garamond" w:hAnsi="Garamond"/>
        </w:rPr>
        <w:t>i</w:t>
      </w:r>
      <w:proofErr w:type="spellEnd"/>
      <w:r w:rsidRPr="00FD2DF5">
        <w:rPr>
          <w:rFonts w:ascii="Garamond" w:hAnsi="Garamond"/>
        </w:rPr>
        <w:t xml:space="preserve"> and </w:t>
      </w:r>
      <w:proofErr w:type="spellStart"/>
      <w:r w:rsidRPr="00FD2DF5">
        <w:rPr>
          <w:rFonts w:ascii="Garamond" w:hAnsi="Garamond"/>
        </w:rPr>
        <w:t>i</w:t>
      </w:r>
      <w:proofErr w:type="spellEnd"/>
      <w:r w:rsidRPr="00FD2DF5">
        <w:rPr>
          <w:rFonts w:ascii="Garamond" w:hAnsi="Garamond"/>
        </w:rPr>
        <w:t>’)</w:t>
      </w:r>
    </w:p>
    <w:p w14:paraId="5492C0AD" w14:textId="3D770C4F" w:rsidR="00FD2DF5" w:rsidRPr="000748D1" w:rsidRDefault="00DC16A5" w:rsidP="00FD2DF5">
      <w:pPr>
        <w:snapToGrid w:val="0"/>
        <w:spacing w:line="480" w:lineRule="auto"/>
        <w:ind w:left="480"/>
        <w:rPr>
          <w:rFonts w:ascii="Garamond" w:hAnsi="Garamond"/>
          <w:szCs w:val="24"/>
        </w:rPr>
      </w:pPr>
      <m:oMathPara>
        <m:oMathParaPr>
          <m:jc m:val="left"/>
        </m:oMathParaPr>
        <m:oMath>
          <m:func>
            <m:funcPr>
              <m:ctrlPr>
                <w:rPr>
                  <w:rFonts w:ascii="Cambria Math" w:hAnsi="Cambria Math"/>
                  <w:szCs w:val="24"/>
                </w:rPr>
              </m:ctrlPr>
            </m:funcPr>
            <m:fName>
              <m:r>
                <m:rPr>
                  <m:sty m:val="p"/>
                </m:rPr>
                <w:rPr>
                  <w:rFonts w:ascii="Cambria Math" w:hAnsi="Cambria Math"/>
                  <w:szCs w:val="24"/>
                </w:rPr>
                <m:t>log</m:t>
              </m:r>
            </m:fName>
            <m:e>
              <m:d>
                <m:dPr>
                  <m:begChr m:val="["/>
                  <m:endChr m:val="]"/>
                  <m:ctrlPr>
                    <w:rPr>
                      <w:rFonts w:ascii="Cambria Math" w:hAnsi="Cambria Math"/>
                      <w:i/>
                      <w:szCs w:val="24"/>
                    </w:rPr>
                  </m:ctrlPr>
                </m:dPr>
                <m:e>
                  <m:f>
                    <m:fPr>
                      <m:ctrlPr>
                        <w:rPr>
                          <w:rFonts w:ascii="Cambria Math" w:hAnsi="Cambria Math"/>
                          <w:i/>
                          <w:szCs w:val="24"/>
                        </w:rPr>
                      </m:ctrlPr>
                    </m:fPr>
                    <m:num>
                      <m:r>
                        <w:rPr>
                          <w:rFonts w:ascii="Cambria Math" w:hAnsi="Cambria Math"/>
                          <w:szCs w:val="24"/>
                        </w:rPr>
                        <m:t>p</m:t>
                      </m:r>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seeking or receiving instructional materials</m:t>
                              </m:r>
                            </m:e>
                            <m:sub>
                              <m:r>
                                <w:rPr>
                                  <w:rFonts w:ascii="Cambria Math" w:hAnsi="Cambria Math"/>
                                  <w:szCs w:val="24"/>
                                </w:rPr>
                                <m:t>i</m:t>
                              </m:r>
                              <m:sSup>
                                <m:sSupPr>
                                  <m:ctrlPr>
                                    <w:rPr>
                                      <w:rFonts w:ascii="Cambria Math" w:hAnsi="Cambria Math"/>
                                      <w:i/>
                                      <w:szCs w:val="24"/>
                                    </w:rPr>
                                  </m:ctrlPr>
                                </m:sSupPr>
                                <m:e>
                                  <m:r>
                                    <w:rPr>
                                      <w:rFonts w:ascii="Cambria Math" w:hAnsi="Cambria Math"/>
                                      <w:szCs w:val="24"/>
                                    </w:rPr>
                                    <m:t>i</m:t>
                                  </m:r>
                                </m:e>
                                <m:sup>
                                  <m:r>
                                    <w:rPr>
                                      <w:rFonts w:ascii="Cambria Math" w:hAnsi="Cambria Math"/>
                                      <w:szCs w:val="24"/>
                                    </w:rPr>
                                    <m:t>'</m:t>
                                  </m:r>
                                </m:sup>
                              </m:sSup>
                            </m:sub>
                          </m:sSub>
                        </m:e>
                      </m:d>
                    </m:num>
                    <m:den>
                      <m:r>
                        <w:rPr>
                          <w:rFonts w:ascii="Cambria Math" w:hAnsi="Cambria Math"/>
                          <w:szCs w:val="24"/>
                        </w:rPr>
                        <m:t>1-p</m:t>
                      </m:r>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Y1:seeking or receiving instructional materials</m:t>
                              </m:r>
                            </m:e>
                            <m:sub>
                              <m:r>
                                <w:rPr>
                                  <w:rFonts w:ascii="Cambria Math" w:hAnsi="Cambria Math"/>
                                  <w:szCs w:val="24"/>
                                </w:rPr>
                                <m:t>i</m:t>
                              </m:r>
                              <m:sSup>
                                <m:sSupPr>
                                  <m:ctrlPr>
                                    <w:rPr>
                                      <w:rFonts w:ascii="Cambria Math" w:hAnsi="Cambria Math"/>
                                      <w:i/>
                                      <w:szCs w:val="24"/>
                                    </w:rPr>
                                  </m:ctrlPr>
                                </m:sSupPr>
                                <m:e>
                                  <m:r>
                                    <w:rPr>
                                      <w:rFonts w:ascii="Cambria Math" w:hAnsi="Cambria Math"/>
                                      <w:szCs w:val="24"/>
                                    </w:rPr>
                                    <m:t>i</m:t>
                                  </m:r>
                                </m:e>
                                <m:sup>
                                  <m:r>
                                    <w:rPr>
                                      <w:rFonts w:ascii="Cambria Math" w:hAnsi="Cambria Math"/>
                                      <w:szCs w:val="24"/>
                                    </w:rPr>
                                    <m:t>'</m:t>
                                  </m:r>
                                </m:sup>
                              </m:sSup>
                            </m:sub>
                          </m:sSub>
                        </m:e>
                      </m:d>
                    </m:den>
                  </m:f>
                </m:e>
              </m:d>
            </m:e>
          </m:func>
          <m:r>
            <w:rPr>
              <w:rFonts w:ascii="Cambria Math" w:hAnsi="Cambria Math"/>
              <w:szCs w:val="24"/>
            </w:rPr>
            <m:t>=</m:t>
          </m:r>
          <m:sSub>
            <m:sSubPr>
              <m:ctrlPr>
                <w:rPr>
                  <w:rFonts w:ascii="Cambria Math" w:hAnsi="Cambria Math"/>
                  <w:i/>
                  <w:szCs w:val="24"/>
                </w:rPr>
              </m:ctrlPr>
            </m:sSubPr>
            <m:e>
              <m:r>
                <w:rPr>
                  <w:rFonts w:ascii="Cambria Math" w:hAnsi="Cambria Math"/>
                  <w:szCs w:val="24"/>
                </w:rPr>
                <m:t>θ</m:t>
              </m:r>
            </m:e>
            <m:sub>
              <m:r>
                <w:rPr>
                  <w:rFonts w:ascii="Cambria Math" w:hAnsi="Cambria Math"/>
                  <w:szCs w:val="24"/>
                </w:rPr>
                <m:t>0i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θ</m:t>
              </m:r>
            </m:e>
            <m:sub>
              <m:r>
                <w:rPr>
                  <w:rFonts w:ascii="Cambria Math" w:hAnsi="Cambria Math"/>
                  <w:szCs w:val="24"/>
                </w:rPr>
                <m:t>0i'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θ</m:t>
              </m:r>
            </m:e>
            <m:sub>
              <m:r>
                <w:rPr>
                  <w:rFonts w:ascii="Cambria Math" w:hAnsi="Cambria Math"/>
                  <w:szCs w:val="24"/>
                </w:rPr>
                <m:t>1</m:t>
              </m:r>
            </m:sub>
          </m:sSub>
          <m:sSub>
            <m:sSubPr>
              <m:ctrlPr>
                <w:rPr>
                  <w:rFonts w:ascii="Cambria Math" w:hAnsi="Cambria Math"/>
                  <w:i/>
                  <w:szCs w:val="24"/>
                </w:rPr>
              </m:ctrlPr>
            </m:sSubPr>
            <m:e>
              <m:r>
                <w:rPr>
                  <w:rFonts w:ascii="Cambria Math" w:hAnsi="Cambria Math"/>
                  <w:szCs w:val="24"/>
                </w:rPr>
                <m:t>same gender</m:t>
              </m:r>
            </m:e>
            <m:sub>
              <m:r>
                <w:rPr>
                  <w:rFonts w:ascii="Cambria Math" w:hAnsi="Cambria Math"/>
                  <w:szCs w:val="24"/>
                </w:rPr>
                <m:t>ii'</m:t>
              </m:r>
            </m:sub>
          </m:sSub>
        </m:oMath>
      </m:oMathPara>
    </w:p>
    <w:p w14:paraId="458396F0" w14:textId="77777777" w:rsidR="00FD2DF5" w:rsidRPr="00FD2DF5" w:rsidRDefault="00FD2DF5" w:rsidP="00381F93">
      <w:pPr>
        <w:widowControl/>
        <w:snapToGrid w:val="0"/>
        <w:spacing w:line="480" w:lineRule="auto"/>
        <w:rPr>
          <w:rFonts w:ascii="Garamond" w:hAnsi="Garamond"/>
        </w:rPr>
      </w:pPr>
      <w:r w:rsidRPr="00FD2DF5">
        <w:rPr>
          <w:rFonts w:ascii="Garamond" w:hAnsi="Garamond"/>
        </w:rPr>
        <w:t>Nominator Level (</w:t>
      </w:r>
      <w:proofErr w:type="spellStart"/>
      <w:r w:rsidRPr="00FD2DF5">
        <w:rPr>
          <w:rFonts w:ascii="Garamond" w:hAnsi="Garamond"/>
        </w:rPr>
        <w:t>i</w:t>
      </w:r>
      <w:proofErr w:type="spellEnd"/>
      <w:r w:rsidRPr="00FD2DF5">
        <w:rPr>
          <w:rFonts w:ascii="Garamond" w:hAnsi="Garamond"/>
        </w:rPr>
        <w:t>)</w:t>
      </w:r>
    </w:p>
    <w:p w14:paraId="573F325B" w14:textId="4E559DA9" w:rsidR="00FD2DF5" w:rsidRPr="000748D1" w:rsidRDefault="00DC16A5" w:rsidP="00FD2DF5">
      <w:pPr>
        <w:snapToGrid w:val="0"/>
        <w:spacing w:line="480" w:lineRule="auto"/>
        <w:ind w:left="480"/>
        <w:rPr>
          <w:rFonts w:ascii="Garamond" w:hAnsi="Garamond"/>
          <w:szCs w:val="24"/>
        </w:rPr>
      </w:pPr>
      <m:oMathPara>
        <m:oMathParaPr>
          <m:jc m:val="left"/>
        </m:oMathParaPr>
        <m:oMath>
          <m:sSub>
            <m:sSubPr>
              <m:ctrlPr>
                <w:rPr>
                  <w:rFonts w:ascii="Cambria Math" w:hAnsi="Cambria Math"/>
                  <w:i/>
                  <w:szCs w:val="24"/>
                </w:rPr>
              </m:ctrlPr>
            </m:sSubPr>
            <m:e>
              <m:r>
                <w:rPr>
                  <w:rFonts w:ascii="Cambria Math" w:hAnsi="Cambria Math"/>
                  <w:szCs w:val="24"/>
                </w:rPr>
                <m:t>θ</m:t>
              </m:r>
            </m:e>
            <m:sub>
              <m:r>
                <w:rPr>
                  <w:rFonts w:ascii="Cambria Math" w:hAnsi="Cambria Math"/>
                  <w:szCs w:val="24"/>
                </w:rPr>
                <m:t>0i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γ</m:t>
              </m:r>
            </m:e>
            <m:sub>
              <m:r>
                <w:rPr>
                  <w:rFonts w:ascii="Cambria Math" w:hAnsi="Cambria Math"/>
                  <w:szCs w:val="24"/>
                </w:rPr>
                <m:t>00i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γ</m:t>
              </m:r>
            </m:e>
            <m:sub>
              <m:r>
                <w:rPr>
                  <w:rFonts w:ascii="Cambria Math" w:hAnsi="Cambria Math"/>
                  <w:szCs w:val="24"/>
                </w:rPr>
                <m:t>01i</m:t>
              </m:r>
            </m:sub>
          </m:sSub>
          <m:sSub>
            <m:sSubPr>
              <m:ctrlPr>
                <w:rPr>
                  <w:rFonts w:ascii="Cambria Math" w:hAnsi="Cambria Math"/>
                  <w:i/>
                  <w:szCs w:val="24"/>
                </w:rPr>
              </m:ctrlPr>
            </m:sSubPr>
            <m:e>
              <m:r>
                <w:rPr>
                  <w:rFonts w:ascii="Cambria Math" w:hAnsi="Cambria Math"/>
                  <w:szCs w:val="24"/>
                </w:rPr>
                <m:t>Previeved self efficacy</m:t>
              </m:r>
            </m:e>
            <m:sub>
              <m:r>
                <w:rPr>
                  <w:rFonts w:ascii="Cambria Math" w:hAnsi="Cambria Math"/>
                  <w:szCs w:val="24"/>
                </w:rPr>
                <m:t>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γ</m:t>
              </m:r>
            </m:e>
            <m:sub>
              <m:r>
                <w:rPr>
                  <w:rFonts w:ascii="Cambria Math" w:hAnsi="Cambria Math"/>
                  <w:szCs w:val="24"/>
                </w:rPr>
                <m:t>02i</m:t>
              </m:r>
            </m:sub>
          </m:sSub>
          <m:sSub>
            <m:sSubPr>
              <m:ctrlPr>
                <w:rPr>
                  <w:rFonts w:ascii="Cambria Math" w:hAnsi="Cambria Math"/>
                  <w:i/>
                  <w:szCs w:val="24"/>
                </w:rPr>
              </m:ctrlPr>
            </m:sSubPr>
            <m:e>
              <m:r>
                <w:rPr>
                  <w:rFonts w:ascii="Cambria Math" w:hAnsi="Cambria Math"/>
                  <w:szCs w:val="24"/>
                </w:rPr>
                <m:t>Peer trust</m:t>
              </m:r>
            </m:e>
            <m:sub>
              <m:r>
                <w:rPr>
                  <w:rFonts w:ascii="Cambria Math" w:hAnsi="Cambria Math"/>
                  <w:szCs w:val="24"/>
                </w:rPr>
                <m:t>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u</m:t>
              </m:r>
            </m:e>
            <m:sub>
              <m:r>
                <w:rPr>
                  <w:rFonts w:ascii="Cambria Math" w:hAnsi="Cambria Math"/>
                  <w:szCs w:val="24"/>
                </w:rPr>
                <m:t>i</m:t>
              </m:r>
            </m:sub>
          </m:sSub>
        </m:oMath>
      </m:oMathPara>
    </w:p>
    <w:p w14:paraId="5E29795C" w14:textId="5D4599DE" w:rsidR="00FD2DF5" w:rsidRPr="00FD2DF5" w:rsidRDefault="00FD2DF5" w:rsidP="00381F93">
      <w:pPr>
        <w:widowControl/>
        <w:snapToGrid w:val="0"/>
        <w:spacing w:line="480" w:lineRule="auto"/>
        <w:rPr>
          <w:rFonts w:ascii="Garamond" w:hAnsi="Garamond"/>
        </w:rPr>
      </w:pPr>
      <w:proofErr w:type="spellStart"/>
      <w:r w:rsidRPr="00FD2DF5">
        <w:rPr>
          <w:rFonts w:ascii="Garamond" w:hAnsi="Garamond"/>
        </w:rPr>
        <w:t>Nominat</w:t>
      </w:r>
      <w:r w:rsidR="009844B7">
        <w:rPr>
          <w:rFonts w:ascii="Garamond" w:hAnsi="Garamond"/>
        </w:rPr>
        <w:t>ee</w:t>
      </w:r>
      <w:proofErr w:type="spellEnd"/>
      <w:r w:rsidRPr="00FD2DF5">
        <w:rPr>
          <w:rFonts w:ascii="Garamond" w:hAnsi="Garamond"/>
        </w:rPr>
        <w:t xml:space="preserve"> Level (</w:t>
      </w:r>
      <w:proofErr w:type="spellStart"/>
      <w:r w:rsidRPr="00FD2DF5">
        <w:rPr>
          <w:rFonts w:ascii="Garamond" w:hAnsi="Garamond"/>
        </w:rPr>
        <w:t>i</w:t>
      </w:r>
      <w:proofErr w:type="spellEnd"/>
      <w:r w:rsidRPr="00FD2DF5">
        <w:rPr>
          <w:rFonts w:ascii="Garamond" w:hAnsi="Garamond"/>
        </w:rPr>
        <w:t>’)</w:t>
      </w:r>
    </w:p>
    <w:p w14:paraId="2A5EF1C3" w14:textId="4256329A" w:rsidR="00FD2DF5" w:rsidRPr="000748D1" w:rsidRDefault="00DC16A5" w:rsidP="00FD2DF5">
      <w:pPr>
        <w:snapToGrid w:val="0"/>
        <w:spacing w:line="480" w:lineRule="auto"/>
        <w:ind w:left="480"/>
        <w:rPr>
          <w:rFonts w:ascii="Garamond" w:hAnsi="Garamond"/>
          <w:szCs w:val="24"/>
        </w:rPr>
      </w:pPr>
      <m:oMath>
        <m:sSub>
          <m:sSubPr>
            <m:ctrlPr>
              <w:rPr>
                <w:rFonts w:ascii="Cambria Math" w:hAnsi="Cambria Math"/>
                <w:i/>
                <w:szCs w:val="24"/>
              </w:rPr>
            </m:ctrlPr>
          </m:sSubPr>
          <m:e>
            <m:r>
              <w:rPr>
                <w:rFonts w:ascii="Cambria Math" w:hAnsi="Cambria Math"/>
                <w:szCs w:val="24"/>
              </w:rPr>
              <m:t>θ</m:t>
            </m:r>
          </m:e>
          <m:sub>
            <m:r>
              <w:rPr>
                <w:rFonts w:ascii="Cambria Math" w:hAnsi="Cambria Math"/>
                <w:szCs w:val="24"/>
              </w:rPr>
              <m:t>0i'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γ</m:t>
            </m:r>
          </m:e>
          <m:sub>
            <m:r>
              <w:rPr>
                <w:rFonts w:ascii="Cambria Math" w:hAnsi="Cambria Math"/>
                <w:szCs w:val="24"/>
              </w:rPr>
              <m:t>00i'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γ</m:t>
            </m:r>
          </m:e>
          <m:sub>
            <m:r>
              <w:rPr>
                <w:rFonts w:ascii="Cambria Math" w:hAnsi="Cambria Math"/>
                <w:szCs w:val="24"/>
              </w:rPr>
              <m:t>01i'</m:t>
            </m:r>
          </m:sub>
        </m:sSub>
        <m:sSub>
          <m:sSubPr>
            <m:ctrlPr>
              <w:rPr>
                <w:rFonts w:ascii="Cambria Math" w:hAnsi="Cambria Math"/>
                <w:i/>
                <w:szCs w:val="24"/>
              </w:rPr>
            </m:ctrlPr>
          </m:sSubPr>
          <m:e>
            <m:r>
              <w:rPr>
                <w:rFonts w:ascii="Cambria Math" w:hAnsi="Cambria Math"/>
                <w:szCs w:val="24"/>
              </w:rPr>
              <m:t>Previeved self efficacy</m:t>
            </m:r>
          </m:e>
          <m:sub>
            <m:r>
              <w:rPr>
                <w:rFonts w:ascii="Cambria Math" w:hAnsi="Cambria Math"/>
                <w:szCs w:val="24"/>
              </w:rPr>
              <m:t>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γ</m:t>
            </m:r>
          </m:e>
          <m:sub>
            <m:r>
              <w:rPr>
                <w:rFonts w:ascii="Cambria Math" w:hAnsi="Cambria Math"/>
                <w:szCs w:val="24"/>
              </w:rPr>
              <m:t>02i'</m:t>
            </m:r>
          </m:sub>
        </m:sSub>
        <m:sSub>
          <m:sSubPr>
            <m:ctrlPr>
              <w:rPr>
                <w:rFonts w:ascii="Cambria Math" w:hAnsi="Cambria Math"/>
                <w:i/>
                <w:szCs w:val="24"/>
              </w:rPr>
            </m:ctrlPr>
          </m:sSubPr>
          <m:e>
            <m:r>
              <w:rPr>
                <w:rFonts w:ascii="Cambria Math" w:hAnsi="Cambria Math"/>
                <w:szCs w:val="24"/>
              </w:rPr>
              <m:t>Peer trust</m:t>
            </m:r>
          </m:e>
          <m:sub>
            <m:r>
              <w:rPr>
                <w:rFonts w:ascii="Cambria Math" w:hAnsi="Cambria Math"/>
                <w:szCs w:val="24"/>
              </w:rPr>
              <m:t>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u</m:t>
            </m:r>
          </m:e>
          <m:sub>
            <m:r>
              <w:rPr>
                <w:rFonts w:ascii="Cambria Math" w:hAnsi="Cambria Math"/>
                <w:szCs w:val="24"/>
              </w:rPr>
              <m:t>i'</m:t>
            </m:r>
          </m:sub>
        </m:sSub>
      </m:oMath>
      <w:r w:rsidR="00FD2DF5" w:rsidRPr="000748D1">
        <w:rPr>
          <w:rFonts w:ascii="Garamond" w:hAnsi="Garamond"/>
          <w:szCs w:val="24"/>
        </w:rPr>
        <w:t>.</w:t>
      </w:r>
    </w:p>
    <w:p w14:paraId="15D1E2FE" w14:textId="7379DF96" w:rsidR="00FD2DF5" w:rsidRDefault="00FD2DF5" w:rsidP="009844B7">
      <w:pPr>
        <w:widowControl/>
        <w:snapToGrid w:val="0"/>
        <w:spacing w:line="480" w:lineRule="auto"/>
        <w:rPr>
          <w:rFonts w:ascii="Garamond" w:hAnsi="Garamond"/>
        </w:rPr>
      </w:pPr>
      <w:r w:rsidRPr="00FD2DF5">
        <w:rPr>
          <w:rFonts w:ascii="Garamond" w:hAnsi="Garamond"/>
        </w:rPr>
        <w:t xml:space="preserve">The models were analyzed with the p2 program </w:t>
      </w:r>
      <w:r w:rsidR="00FB2605">
        <w:rPr>
          <w:rFonts w:ascii="Garamond" w:hAnsi="Garamond"/>
        </w:rPr>
        <w:t>in</w:t>
      </w:r>
      <w:r w:rsidRPr="00FD2DF5">
        <w:rPr>
          <w:rFonts w:ascii="Garamond" w:hAnsi="Garamond"/>
        </w:rPr>
        <w:t xml:space="preserve"> the </w:t>
      </w:r>
      <w:proofErr w:type="spellStart"/>
      <w:r w:rsidRPr="00FD2DF5">
        <w:rPr>
          <w:rFonts w:ascii="Garamond" w:hAnsi="Garamond"/>
        </w:rPr>
        <w:t>StOCNET</w:t>
      </w:r>
      <w:proofErr w:type="spellEnd"/>
      <w:r w:rsidRPr="00FD2DF5">
        <w:rPr>
          <w:rFonts w:ascii="Garamond" w:hAnsi="Garamond"/>
        </w:rPr>
        <w:t xml:space="preserve"> software (Van </w:t>
      </w:r>
      <w:proofErr w:type="spellStart"/>
      <w:r w:rsidRPr="00FD2DF5">
        <w:rPr>
          <w:rFonts w:ascii="Garamond" w:hAnsi="Garamond"/>
        </w:rPr>
        <w:t>Duijn</w:t>
      </w:r>
      <w:proofErr w:type="spellEnd"/>
      <w:r w:rsidR="00DC7404">
        <w:rPr>
          <w:rFonts w:ascii="Garamond" w:hAnsi="Garamond"/>
          <w:szCs w:val="24"/>
        </w:rPr>
        <w:t xml:space="preserve">, </w:t>
      </w:r>
      <w:proofErr w:type="spellStart"/>
      <w:r w:rsidR="00DC7404" w:rsidRPr="00FD2DF5">
        <w:rPr>
          <w:rFonts w:ascii="Garamond" w:hAnsi="Garamond"/>
          <w:szCs w:val="24"/>
        </w:rPr>
        <w:t>Snijders</w:t>
      </w:r>
      <w:proofErr w:type="spellEnd"/>
      <w:r w:rsidR="00DC7404" w:rsidRPr="00FD2DF5">
        <w:rPr>
          <w:rFonts w:ascii="Garamond" w:hAnsi="Garamond"/>
          <w:szCs w:val="24"/>
        </w:rPr>
        <w:t xml:space="preserve">, </w:t>
      </w:r>
      <w:r w:rsidR="00DC7404">
        <w:rPr>
          <w:rFonts w:ascii="Garamond" w:hAnsi="Garamond"/>
          <w:szCs w:val="24"/>
        </w:rPr>
        <w:t xml:space="preserve">&amp; </w:t>
      </w:r>
      <w:proofErr w:type="spellStart"/>
      <w:r w:rsidR="00DC7404">
        <w:rPr>
          <w:rFonts w:ascii="Garamond" w:hAnsi="Garamond"/>
          <w:szCs w:val="24"/>
        </w:rPr>
        <w:t>Zijlstra</w:t>
      </w:r>
      <w:proofErr w:type="spellEnd"/>
      <w:r w:rsidRPr="00FD2DF5">
        <w:rPr>
          <w:rFonts w:ascii="Garamond" w:hAnsi="Garamond"/>
        </w:rPr>
        <w:t>, 2004</w:t>
      </w:r>
      <w:r w:rsidR="00341D57">
        <w:rPr>
          <w:rFonts w:ascii="Garamond" w:hAnsi="Garamond"/>
        </w:rPr>
        <w:t>)</w:t>
      </w:r>
      <w:r w:rsidRPr="00FD2DF5">
        <w:rPr>
          <w:rFonts w:ascii="Garamond" w:hAnsi="Garamond"/>
        </w:rPr>
        <w:t xml:space="preserve">.  </w:t>
      </w:r>
      <w:r w:rsidR="009844B7" w:rsidRPr="00FB2605">
        <w:rPr>
          <w:rFonts w:ascii="Garamond" w:hAnsi="Garamond"/>
        </w:rPr>
        <w:t xml:space="preserve">The p2 model is developed to handle dichotomous dyadic outcomes.  In contrast to a univariate logistic regression model, the p2 model controls for the interdependency that resides in social network data.  </w:t>
      </w:r>
      <w:r w:rsidR="009844B7">
        <w:rPr>
          <w:rFonts w:ascii="Garamond" w:hAnsi="Garamond"/>
        </w:rPr>
        <w:t xml:space="preserve">It </w:t>
      </w:r>
      <w:r w:rsidR="009844B7" w:rsidRPr="00FB2605">
        <w:rPr>
          <w:rFonts w:ascii="Garamond" w:hAnsi="Garamond"/>
        </w:rPr>
        <w:t>regards sender and receiver effects as latent random variables that can be explained by sender and receiver characteristics (</w:t>
      </w:r>
      <w:r w:rsidR="00DC7404" w:rsidRPr="00FD2DF5">
        <w:rPr>
          <w:rFonts w:ascii="Garamond" w:hAnsi="Garamond"/>
        </w:rPr>
        <w:t xml:space="preserve">Van </w:t>
      </w:r>
      <w:proofErr w:type="spellStart"/>
      <w:r w:rsidR="00DC7404" w:rsidRPr="00FD2DF5">
        <w:rPr>
          <w:rFonts w:ascii="Garamond" w:hAnsi="Garamond"/>
        </w:rPr>
        <w:t>Duijn</w:t>
      </w:r>
      <w:proofErr w:type="spellEnd"/>
      <w:r w:rsidR="00DC7404">
        <w:rPr>
          <w:rFonts w:ascii="Garamond" w:hAnsi="Garamond"/>
        </w:rPr>
        <w:t xml:space="preserve"> et al., 2004</w:t>
      </w:r>
      <w:r w:rsidR="009844B7" w:rsidRPr="00FB2605">
        <w:rPr>
          <w:rFonts w:ascii="Garamond" w:hAnsi="Garamond"/>
        </w:rPr>
        <w:t xml:space="preserve">).  </w:t>
      </w:r>
      <w:r w:rsidR="00B51E74">
        <w:rPr>
          <w:rFonts w:ascii="Garamond" w:hAnsi="Garamond"/>
        </w:rPr>
        <w:t xml:space="preserve">It also produces </w:t>
      </w:r>
      <w:r w:rsidR="0062617B">
        <w:rPr>
          <w:rFonts w:ascii="Garamond" w:hAnsi="Garamond"/>
        </w:rPr>
        <w:t xml:space="preserve">a </w:t>
      </w:r>
      <w:r w:rsidR="00B51E74">
        <w:rPr>
          <w:rFonts w:ascii="Garamond" w:hAnsi="Garamond"/>
        </w:rPr>
        <w:t xml:space="preserve">reciprocity </w:t>
      </w:r>
      <w:r w:rsidR="00B51E74" w:rsidRPr="00755A12">
        <w:rPr>
          <w:rFonts w:ascii="Garamond" w:hAnsi="Garamond"/>
        </w:rPr>
        <w:t xml:space="preserve">covariate </w:t>
      </w:r>
      <w:r w:rsidR="00B51E74">
        <w:rPr>
          <w:rFonts w:ascii="Garamond" w:hAnsi="Garamond"/>
        </w:rPr>
        <w:t>that measures</w:t>
      </w:r>
      <w:r w:rsidR="00B51E74" w:rsidRPr="00755A12">
        <w:rPr>
          <w:rFonts w:ascii="Garamond" w:hAnsi="Garamond"/>
        </w:rPr>
        <w:t xml:space="preserve"> </w:t>
      </w:r>
      <w:r w:rsidR="0062617B">
        <w:rPr>
          <w:rFonts w:ascii="Garamond" w:hAnsi="Garamond"/>
        </w:rPr>
        <w:t xml:space="preserve">the </w:t>
      </w:r>
      <w:r w:rsidR="00B51E74" w:rsidRPr="00755A12">
        <w:rPr>
          <w:rFonts w:ascii="Garamond" w:hAnsi="Garamond"/>
        </w:rPr>
        <w:t xml:space="preserve">similarity of two individuals on a given characteristic, </w:t>
      </w:r>
      <w:r w:rsidR="00E30AA4">
        <w:rPr>
          <w:rFonts w:ascii="Garamond" w:hAnsi="Garamond"/>
        </w:rPr>
        <w:t>e.g.,</w:t>
      </w:r>
      <w:r w:rsidR="00B51E74" w:rsidRPr="00755A12">
        <w:rPr>
          <w:rFonts w:ascii="Garamond" w:hAnsi="Garamond"/>
        </w:rPr>
        <w:t xml:space="preserve"> similarity of gender.</w:t>
      </w:r>
      <w:r w:rsidR="00B51E74">
        <w:rPr>
          <w:rFonts w:ascii="Garamond" w:hAnsi="Garamond"/>
        </w:rPr>
        <w:t xml:space="preserve">  </w:t>
      </w:r>
      <w:r w:rsidR="009844B7" w:rsidRPr="00FB2605">
        <w:rPr>
          <w:rFonts w:ascii="Garamond" w:hAnsi="Garamond"/>
        </w:rPr>
        <w:t xml:space="preserve">In p2 analyses, the dependent variable is the aggregate of all the nominations a network member sent to or received from others.  A positive effect thus indicates that the independent variable (e.g., a pre-service teacher’s perceived level of efficacy) has a positive effect on </w:t>
      </w:r>
      <w:r w:rsidR="009844B7" w:rsidRPr="00FB2605">
        <w:rPr>
          <w:rFonts w:ascii="Garamond" w:hAnsi="Garamond"/>
        </w:rPr>
        <w:lastRenderedPageBreak/>
        <w:t xml:space="preserve">the likelihood of having a relationship.  </w:t>
      </w:r>
      <w:r w:rsidR="009844B7">
        <w:rPr>
          <w:rFonts w:ascii="Garamond" w:hAnsi="Garamond"/>
        </w:rPr>
        <w:t>T</w:t>
      </w:r>
      <w:r w:rsidR="009844B7" w:rsidRPr="00FB2605">
        <w:rPr>
          <w:rFonts w:ascii="Garamond" w:hAnsi="Garamond"/>
        </w:rPr>
        <w:t>he regression coefficients (reported as log odds ratios) reflect the expected change in the log of the odds associated with a one-unit change in the independent variable (</w:t>
      </w:r>
      <w:proofErr w:type="spellStart"/>
      <w:r w:rsidR="009844B7" w:rsidRPr="00FB2605">
        <w:rPr>
          <w:rFonts w:ascii="Garamond" w:hAnsi="Garamond"/>
        </w:rPr>
        <w:t>Pedhazur</w:t>
      </w:r>
      <w:proofErr w:type="spellEnd"/>
      <w:r w:rsidR="009844B7" w:rsidRPr="00FB2605">
        <w:rPr>
          <w:rFonts w:ascii="Garamond" w:hAnsi="Garamond"/>
        </w:rPr>
        <w:t xml:space="preserve">, 1997). </w:t>
      </w:r>
      <w:r w:rsidR="009844B7">
        <w:rPr>
          <w:rFonts w:ascii="Garamond" w:hAnsi="Garamond"/>
        </w:rPr>
        <w:t xml:space="preserve"> </w:t>
      </w:r>
      <w:r w:rsidRPr="00FD2DF5">
        <w:rPr>
          <w:rFonts w:ascii="Garamond" w:hAnsi="Garamond"/>
        </w:rPr>
        <w:t xml:space="preserve">For more information regarding the </w:t>
      </w:r>
      <w:r w:rsidR="00147164" w:rsidRPr="00147164">
        <w:rPr>
          <w:rFonts w:ascii="Garamond" w:hAnsi="Garamond"/>
        </w:rPr>
        <w:t xml:space="preserve">algorithm </w:t>
      </w:r>
      <w:r w:rsidRPr="00FD2DF5">
        <w:rPr>
          <w:rFonts w:ascii="Garamond" w:hAnsi="Garamond"/>
        </w:rPr>
        <w:t>and interpretation</w:t>
      </w:r>
      <w:r w:rsidR="009844B7">
        <w:rPr>
          <w:rStyle w:val="EndnoteReference"/>
          <w:rFonts w:ascii="Garamond" w:hAnsi="Garamond"/>
        </w:rPr>
        <w:endnoteReference w:id="2"/>
      </w:r>
      <w:r w:rsidRPr="00FD2DF5">
        <w:rPr>
          <w:rFonts w:ascii="Garamond" w:hAnsi="Garamond"/>
        </w:rPr>
        <w:t xml:space="preserve"> of p2 models, please </w:t>
      </w:r>
      <w:r>
        <w:rPr>
          <w:rFonts w:ascii="Garamond" w:hAnsi="Garamond"/>
        </w:rPr>
        <w:t>see V</w:t>
      </w:r>
      <w:r w:rsidRPr="00FC6197">
        <w:rPr>
          <w:rFonts w:ascii="Garamond" w:hAnsi="Garamond"/>
          <w:szCs w:val="24"/>
        </w:rPr>
        <w:t xml:space="preserve">an </w:t>
      </w:r>
      <w:proofErr w:type="spellStart"/>
      <w:r w:rsidRPr="00FC6197">
        <w:rPr>
          <w:rFonts w:ascii="Garamond" w:hAnsi="Garamond"/>
          <w:szCs w:val="24"/>
        </w:rPr>
        <w:t>Duijn</w:t>
      </w:r>
      <w:proofErr w:type="spellEnd"/>
      <w:r w:rsidR="00DC7404">
        <w:rPr>
          <w:rFonts w:ascii="Garamond" w:hAnsi="Garamond"/>
          <w:szCs w:val="24"/>
        </w:rPr>
        <w:t xml:space="preserve"> et </w:t>
      </w:r>
      <w:proofErr w:type="spellStart"/>
      <w:r w:rsidR="00DC7404">
        <w:rPr>
          <w:rFonts w:ascii="Garamond" w:hAnsi="Garamond"/>
          <w:szCs w:val="24"/>
        </w:rPr>
        <w:t>al</w:t>
      </w:r>
      <w:r>
        <w:rPr>
          <w:rFonts w:ascii="Garamond" w:hAnsi="Garamond"/>
          <w:szCs w:val="24"/>
        </w:rPr>
        <w:t>’s</w:t>
      </w:r>
      <w:proofErr w:type="spellEnd"/>
      <w:r w:rsidRPr="00FD2DF5">
        <w:rPr>
          <w:rFonts w:ascii="Garamond" w:hAnsi="Garamond"/>
          <w:szCs w:val="24"/>
        </w:rPr>
        <w:t xml:space="preserve"> </w:t>
      </w:r>
      <w:r>
        <w:rPr>
          <w:rFonts w:ascii="Garamond" w:hAnsi="Garamond"/>
          <w:szCs w:val="24"/>
        </w:rPr>
        <w:t>(</w:t>
      </w:r>
      <w:r w:rsidRPr="00FD2DF5">
        <w:rPr>
          <w:rFonts w:ascii="Garamond" w:hAnsi="Garamond"/>
          <w:szCs w:val="24"/>
        </w:rPr>
        <w:t>2004</w:t>
      </w:r>
      <w:r>
        <w:rPr>
          <w:rFonts w:ascii="Garamond" w:hAnsi="Garamond"/>
          <w:szCs w:val="24"/>
        </w:rPr>
        <w:t xml:space="preserve">) </w:t>
      </w:r>
      <w:r w:rsidRPr="00FD2DF5">
        <w:rPr>
          <w:rFonts w:ascii="Garamond" w:hAnsi="Garamond"/>
        </w:rPr>
        <w:t xml:space="preserve">work.  </w:t>
      </w:r>
    </w:p>
    <w:p w14:paraId="3190B9BA" w14:textId="1E295E12" w:rsidR="003A0AAD" w:rsidRPr="00EC7A70" w:rsidRDefault="003A0AAD" w:rsidP="00FB2605">
      <w:pPr>
        <w:widowControl/>
        <w:snapToGrid w:val="0"/>
        <w:spacing w:line="480" w:lineRule="auto"/>
        <w:jc w:val="center"/>
        <w:rPr>
          <w:rFonts w:ascii="Garamond" w:hAnsi="Garamond"/>
          <w:b/>
          <w:bCs/>
        </w:rPr>
      </w:pPr>
      <w:r w:rsidRPr="00EC7A70">
        <w:rPr>
          <w:rFonts w:ascii="Garamond" w:hAnsi="Garamond"/>
          <w:b/>
          <w:bCs/>
        </w:rPr>
        <w:t>Results</w:t>
      </w:r>
    </w:p>
    <w:p w14:paraId="6E841C1E" w14:textId="495C1702" w:rsidR="003A0AAD" w:rsidRPr="00EC7A70" w:rsidRDefault="00A76B4B" w:rsidP="00A76B4B">
      <w:pPr>
        <w:widowControl/>
        <w:snapToGrid w:val="0"/>
        <w:spacing w:line="480" w:lineRule="auto"/>
        <w:rPr>
          <w:rFonts w:ascii="Garamond" w:hAnsi="Garamond"/>
          <w:b/>
        </w:rPr>
      </w:pPr>
      <w:r w:rsidRPr="00EC7A70">
        <w:rPr>
          <w:rFonts w:ascii="Garamond" w:hAnsi="Garamond"/>
          <w:b/>
        </w:rPr>
        <w:t>Descriptive</w:t>
      </w:r>
      <w:r w:rsidR="00E30AA4">
        <w:rPr>
          <w:rFonts w:ascii="Garamond" w:hAnsi="Garamond"/>
          <w:b/>
        </w:rPr>
        <w:t xml:space="preserve"> Statistics</w:t>
      </w:r>
      <w:r w:rsidRPr="00EC7A70">
        <w:rPr>
          <w:rFonts w:ascii="Garamond" w:hAnsi="Garamond"/>
          <w:b/>
        </w:rPr>
        <w:t xml:space="preserve"> of Study Variables in England, Spain, and US</w:t>
      </w:r>
    </w:p>
    <w:p w14:paraId="652628B1" w14:textId="69B59FE2" w:rsidR="00616C7E" w:rsidRDefault="00947553" w:rsidP="00D62B25">
      <w:pPr>
        <w:widowControl/>
        <w:snapToGrid w:val="0"/>
        <w:spacing w:line="480" w:lineRule="auto"/>
        <w:ind w:firstLine="720"/>
        <w:rPr>
          <w:rFonts w:ascii="Garamond" w:hAnsi="Garamond"/>
        </w:rPr>
      </w:pPr>
      <w:r w:rsidRPr="00EC7A70">
        <w:rPr>
          <w:rFonts w:ascii="Garamond" w:hAnsi="Garamond"/>
        </w:rPr>
        <w:t xml:space="preserve">Table </w:t>
      </w:r>
      <w:r w:rsidR="00652EC1">
        <w:rPr>
          <w:rFonts w:ascii="Garamond" w:hAnsi="Garamond"/>
        </w:rPr>
        <w:t>2</w:t>
      </w:r>
      <w:r w:rsidRPr="00EC7A70">
        <w:rPr>
          <w:rFonts w:ascii="Garamond" w:hAnsi="Garamond"/>
        </w:rPr>
        <w:t xml:space="preserve"> presents the descriptive statistics of the study variables in England, Spain, and US.  The results indicate that across </w:t>
      </w:r>
      <w:r w:rsidR="00E30AA4">
        <w:rPr>
          <w:rFonts w:ascii="Garamond" w:hAnsi="Garamond"/>
        </w:rPr>
        <w:t>sites</w:t>
      </w:r>
      <w:r w:rsidR="00E30AA4" w:rsidRPr="00EC7A70">
        <w:rPr>
          <w:rFonts w:ascii="Garamond" w:hAnsi="Garamond"/>
        </w:rPr>
        <w:t xml:space="preserve"> </w:t>
      </w:r>
      <w:r w:rsidRPr="00EC7A70">
        <w:rPr>
          <w:rFonts w:ascii="Garamond" w:hAnsi="Garamond"/>
        </w:rPr>
        <w:t xml:space="preserve">there are higher levels of </w:t>
      </w:r>
      <w:r w:rsidR="00E30AA4">
        <w:rPr>
          <w:rFonts w:ascii="Garamond" w:hAnsi="Garamond"/>
        </w:rPr>
        <w:t>perceived</w:t>
      </w:r>
      <w:r w:rsidRPr="00EC7A70">
        <w:rPr>
          <w:rFonts w:ascii="Garamond" w:hAnsi="Garamond"/>
        </w:rPr>
        <w:t xml:space="preserve"> self-efficacy and peer trust </w:t>
      </w:r>
      <w:r w:rsidR="002F39B1">
        <w:rPr>
          <w:rFonts w:ascii="Garamond" w:hAnsi="Garamond"/>
        </w:rPr>
        <w:t>reported by</w:t>
      </w:r>
      <w:r w:rsidRPr="00EC7A70">
        <w:rPr>
          <w:rFonts w:ascii="Garamond" w:hAnsi="Garamond"/>
        </w:rPr>
        <w:t xml:space="preserve"> pre-service teachers (mean ranging between 6.5 and 7.1).  </w:t>
      </w:r>
      <w:r w:rsidR="00E30AA4">
        <w:rPr>
          <w:rFonts w:ascii="Garamond" w:hAnsi="Garamond"/>
        </w:rPr>
        <w:t>T</w:t>
      </w:r>
      <w:r w:rsidR="00E74AD5" w:rsidRPr="00EC7A70">
        <w:rPr>
          <w:rFonts w:ascii="Garamond" w:hAnsi="Garamond"/>
        </w:rPr>
        <w:t>he English</w:t>
      </w:r>
      <w:r w:rsidRPr="00EC7A70">
        <w:rPr>
          <w:rFonts w:ascii="Garamond" w:hAnsi="Garamond"/>
        </w:rPr>
        <w:t xml:space="preserve"> cohort has the highest </w:t>
      </w:r>
      <w:r w:rsidR="00E30AA4">
        <w:rPr>
          <w:rFonts w:ascii="Garamond" w:hAnsi="Garamond"/>
        </w:rPr>
        <w:t xml:space="preserve">level of perceived </w:t>
      </w:r>
      <w:r w:rsidRPr="00EC7A70">
        <w:rPr>
          <w:rFonts w:ascii="Garamond" w:hAnsi="Garamond"/>
        </w:rPr>
        <w:t>sel</w:t>
      </w:r>
      <w:r w:rsidR="00E74AD5" w:rsidRPr="00EC7A70">
        <w:rPr>
          <w:rFonts w:ascii="Garamond" w:hAnsi="Garamond"/>
        </w:rPr>
        <w:t>f-efficacy and peer trust (mean = 7.05 and 7.13, respectively)</w:t>
      </w:r>
      <w:r w:rsidRPr="00EC7A70">
        <w:rPr>
          <w:rFonts w:ascii="Garamond" w:hAnsi="Garamond"/>
        </w:rPr>
        <w:t>, followed by the Spanish cohort</w:t>
      </w:r>
      <w:r w:rsidR="00E74AD5" w:rsidRPr="00EC7A70">
        <w:rPr>
          <w:rFonts w:ascii="Garamond" w:hAnsi="Garamond"/>
        </w:rPr>
        <w:t xml:space="preserve"> (mean = 6.84 and 6.87, respectively)</w:t>
      </w:r>
      <w:r w:rsidRPr="00EC7A70">
        <w:rPr>
          <w:rFonts w:ascii="Garamond" w:hAnsi="Garamond"/>
        </w:rPr>
        <w:t xml:space="preserve"> and the US cohort</w:t>
      </w:r>
      <w:r w:rsidR="00E74AD5" w:rsidRPr="00EC7A70">
        <w:rPr>
          <w:rFonts w:ascii="Garamond" w:hAnsi="Garamond"/>
        </w:rPr>
        <w:t xml:space="preserve"> (mean = 6.45 a</w:t>
      </w:r>
      <w:r w:rsidR="007461D8" w:rsidRPr="00EC7A70">
        <w:rPr>
          <w:rFonts w:ascii="Garamond" w:hAnsi="Garamond"/>
        </w:rPr>
        <w:t>n</w:t>
      </w:r>
      <w:r w:rsidR="00E74AD5" w:rsidRPr="00EC7A70">
        <w:rPr>
          <w:rFonts w:ascii="Garamond" w:hAnsi="Garamond"/>
        </w:rPr>
        <w:t>d 6.77, respectively)</w:t>
      </w:r>
      <w:r w:rsidRPr="00EC7A70">
        <w:rPr>
          <w:rFonts w:ascii="Garamond" w:hAnsi="Garamond"/>
        </w:rPr>
        <w:t xml:space="preserve">. </w:t>
      </w:r>
      <w:r w:rsidR="00E74AD5" w:rsidRPr="00EC7A70">
        <w:rPr>
          <w:rFonts w:ascii="Garamond" w:hAnsi="Garamond"/>
        </w:rPr>
        <w:t xml:space="preserve"> </w:t>
      </w:r>
    </w:p>
    <w:p w14:paraId="6DC7D9F3" w14:textId="76792E9B" w:rsidR="00626721" w:rsidRPr="00EC7A70" w:rsidRDefault="00626721" w:rsidP="00626721">
      <w:pPr>
        <w:widowControl/>
        <w:snapToGrid w:val="0"/>
        <w:spacing w:line="480" w:lineRule="auto"/>
        <w:jc w:val="center"/>
        <w:rPr>
          <w:rFonts w:ascii="Garamond" w:hAnsi="Garamond"/>
        </w:rPr>
      </w:pPr>
      <w:r>
        <w:rPr>
          <w:rFonts w:ascii="Garamond" w:hAnsi="Garamond"/>
        </w:rPr>
        <w:t xml:space="preserve">Insert Table </w:t>
      </w:r>
      <w:r w:rsidR="00652EC1">
        <w:rPr>
          <w:rFonts w:ascii="Garamond" w:hAnsi="Garamond"/>
        </w:rPr>
        <w:t>2</w:t>
      </w:r>
      <w:r>
        <w:rPr>
          <w:rFonts w:ascii="Garamond" w:hAnsi="Garamond"/>
        </w:rPr>
        <w:t xml:space="preserve"> about Here</w:t>
      </w:r>
    </w:p>
    <w:p w14:paraId="42F49285" w14:textId="27B44B83" w:rsidR="00616C7E" w:rsidRPr="00EC7A70" w:rsidRDefault="00E74AD5" w:rsidP="00616C7E">
      <w:pPr>
        <w:widowControl/>
        <w:snapToGrid w:val="0"/>
        <w:spacing w:line="480" w:lineRule="auto"/>
        <w:ind w:firstLine="720"/>
        <w:rPr>
          <w:rFonts w:ascii="Garamond" w:hAnsi="Garamond"/>
        </w:rPr>
      </w:pPr>
      <w:r w:rsidRPr="00EC7A70">
        <w:rPr>
          <w:rFonts w:ascii="Garamond" w:hAnsi="Garamond"/>
        </w:rPr>
        <w:t xml:space="preserve">In terms of social network properties </w:t>
      </w:r>
      <w:r w:rsidR="00D649B5">
        <w:rPr>
          <w:rFonts w:ascii="Garamond" w:hAnsi="Garamond"/>
        </w:rPr>
        <w:t>for the</w:t>
      </w:r>
      <w:r w:rsidRPr="00EC7A70">
        <w:rPr>
          <w:rFonts w:ascii="Garamond" w:hAnsi="Garamond"/>
        </w:rPr>
        <w:t xml:space="preserve"> </w:t>
      </w:r>
      <w:r w:rsidR="002F39B1">
        <w:rPr>
          <w:rFonts w:ascii="Garamond" w:hAnsi="Garamond"/>
        </w:rPr>
        <w:t>IMs relationship</w:t>
      </w:r>
      <w:r w:rsidRPr="00EC7A70">
        <w:rPr>
          <w:rFonts w:ascii="Garamond" w:hAnsi="Garamond"/>
        </w:rPr>
        <w:t xml:space="preserve">, </w:t>
      </w:r>
      <w:r w:rsidR="00911886" w:rsidRPr="00EC7A70">
        <w:rPr>
          <w:rFonts w:ascii="Garamond" w:hAnsi="Garamond"/>
        </w:rPr>
        <w:t xml:space="preserve">the results indicate that </w:t>
      </w:r>
      <w:r w:rsidR="00E30AA4">
        <w:rPr>
          <w:rFonts w:ascii="Garamond" w:hAnsi="Garamond"/>
        </w:rPr>
        <w:t xml:space="preserve">of </w:t>
      </w:r>
      <w:r w:rsidR="00E30AA4" w:rsidRPr="00EC7A70">
        <w:rPr>
          <w:rFonts w:ascii="Garamond" w:hAnsi="Garamond"/>
        </w:rPr>
        <w:t>all possible ties that can exi</w:t>
      </w:r>
      <w:r w:rsidR="00E30AA4">
        <w:rPr>
          <w:rFonts w:ascii="Garamond" w:hAnsi="Garamond"/>
        </w:rPr>
        <w:t>s</w:t>
      </w:r>
      <w:r w:rsidR="00E30AA4" w:rsidRPr="00EC7A70">
        <w:rPr>
          <w:rFonts w:ascii="Garamond" w:hAnsi="Garamond"/>
        </w:rPr>
        <w:t xml:space="preserve">t among </w:t>
      </w:r>
      <w:r w:rsidR="00E30AA4">
        <w:rPr>
          <w:rFonts w:ascii="Garamond" w:hAnsi="Garamond"/>
        </w:rPr>
        <w:t>the</w:t>
      </w:r>
      <w:r w:rsidR="00E30AA4" w:rsidRPr="00EC7A70">
        <w:rPr>
          <w:rFonts w:ascii="Garamond" w:hAnsi="Garamond"/>
        </w:rPr>
        <w:t xml:space="preserve"> pre-service teachers only </w:t>
      </w:r>
      <w:r w:rsidR="00E30AA4">
        <w:rPr>
          <w:rFonts w:ascii="Garamond" w:hAnsi="Garamond"/>
        </w:rPr>
        <w:t>2-</w:t>
      </w:r>
      <w:r w:rsidR="00E30AA4" w:rsidRPr="00EC7A70">
        <w:rPr>
          <w:rFonts w:ascii="Garamond" w:hAnsi="Garamond"/>
        </w:rPr>
        <w:t xml:space="preserve">5% of the ties </w:t>
      </w:r>
      <w:r w:rsidR="00E30AA4">
        <w:rPr>
          <w:rFonts w:ascii="Garamond" w:hAnsi="Garamond"/>
        </w:rPr>
        <w:t xml:space="preserve">that exchange instructional materials </w:t>
      </w:r>
      <w:r w:rsidR="00E30AA4" w:rsidRPr="00EC7A70">
        <w:rPr>
          <w:rFonts w:ascii="Garamond" w:hAnsi="Garamond"/>
        </w:rPr>
        <w:t>are present</w:t>
      </w:r>
      <w:r w:rsidR="00911886" w:rsidRPr="00EC7A70">
        <w:rPr>
          <w:rFonts w:ascii="Garamond" w:hAnsi="Garamond"/>
        </w:rPr>
        <w:t xml:space="preserve"> </w:t>
      </w:r>
      <w:r w:rsidR="00E30AA4">
        <w:rPr>
          <w:rFonts w:ascii="Garamond" w:hAnsi="Garamond"/>
        </w:rPr>
        <w:t xml:space="preserve">from </w:t>
      </w:r>
      <w:r w:rsidR="00911886" w:rsidRPr="00EC7A70">
        <w:rPr>
          <w:rFonts w:ascii="Garamond" w:hAnsi="Garamond"/>
        </w:rPr>
        <w:t xml:space="preserve">across </w:t>
      </w:r>
      <w:r w:rsidR="00E30AA4">
        <w:rPr>
          <w:rFonts w:ascii="Garamond" w:hAnsi="Garamond"/>
        </w:rPr>
        <w:t>the study sites</w:t>
      </w:r>
      <w:r w:rsidR="00911886" w:rsidRPr="00EC7A70">
        <w:rPr>
          <w:rFonts w:ascii="Garamond" w:hAnsi="Garamond"/>
        </w:rPr>
        <w:t xml:space="preserve"> (density ranging between 0.02 and 0.05).  Of th</w:t>
      </w:r>
      <w:r w:rsidR="00E30AA4">
        <w:rPr>
          <w:rFonts w:ascii="Garamond" w:hAnsi="Garamond"/>
        </w:rPr>
        <w:t>o</w:t>
      </w:r>
      <w:r w:rsidR="00911886" w:rsidRPr="00EC7A70">
        <w:rPr>
          <w:rFonts w:ascii="Garamond" w:hAnsi="Garamond"/>
        </w:rPr>
        <w:t xml:space="preserve">se ties that are present, the English cohort has the highest percentage of reciprocated ties between dyads of peers (network reciprocity = 0.19), compared to 14% of reciprocated ties for </w:t>
      </w:r>
      <w:r w:rsidR="002F39B1">
        <w:rPr>
          <w:rFonts w:ascii="Garamond" w:hAnsi="Garamond"/>
        </w:rPr>
        <w:t xml:space="preserve">the </w:t>
      </w:r>
      <w:r w:rsidR="00911886" w:rsidRPr="00EC7A70">
        <w:rPr>
          <w:rFonts w:ascii="Garamond" w:hAnsi="Garamond"/>
        </w:rPr>
        <w:t xml:space="preserve">Spanish cohort and 6% for </w:t>
      </w:r>
      <w:r w:rsidR="002F39B1">
        <w:rPr>
          <w:rFonts w:ascii="Garamond" w:hAnsi="Garamond"/>
        </w:rPr>
        <w:t xml:space="preserve">the </w:t>
      </w:r>
      <w:r w:rsidR="00911886" w:rsidRPr="00EC7A70">
        <w:rPr>
          <w:rFonts w:ascii="Garamond" w:hAnsi="Garamond"/>
        </w:rPr>
        <w:t xml:space="preserve">US cohort.  As for </w:t>
      </w:r>
      <w:r w:rsidR="00D649B5">
        <w:rPr>
          <w:rFonts w:ascii="Garamond" w:hAnsi="Garamond"/>
        </w:rPr>
        <w:t>seeking</w:t>
      </w:r>
      <w:r w:rsidR="00911886" w:rsidRPr="00EC7A70">
        <w:rPr>
          <w:rFonts w:ascii="Garamond" w:hAnsi="Garamond"/>
        </w:rPr>
        <w:t xml:space="preserve"> others for instructional materials (outdegree), </w:t>
      </w:r>
      <w:r w:rsidR="007461D8" w:rsidRPr="00EC7A70">
        <w:rPr>
          <w:rFonts w:ascii="Garamond" w:hAnsi="Garamond"/>
        </w:rPr>
        <w:t>the Spanish cohort is on average connected with 5% of their peers to exchange instructional materials, whereas the English and US cohorts are connected with approximately 2% of their peers for th</w:t>
      </w:r>
      <w:r w:rsidR="002F39B1">
        <w:rPr>
          <w:rFonts w:ascii="Garamond" w:hAnsi="Garamond"/>
        </w:rPr>
        <w:t>is</w:t>
      </w:r>
      <w:r w:rsidR="007461D8" w:rsidRPr="00EC7A70">
        <w:rPr>
          <w:rFonts w:ascii="Garamond" w:hAnsi="Garamond"/>
        </w:rPr>
        <w:t xml:space="preserve"> matter.  Of these </w:t>
      </w:r>
      <w:r w:rsidR="00911886" w:rsidRPr="00EC7A70">
        <w:rPr>
          <w:rFonts w:ascii="Garamond" w:hAnsi="Garamond"/>
        </w:rPr>
        <w:t>outgoing</w:t>
      </w:r>
      <w:r w:rsidR="007461D8" w:rsidRPr="00EC7A70">
        <w:rPr>
          <w:rFonts w:ascii="Garamond" w:hAnsi="Garamond"/>
        </w:rPr>
        <w:t xml:space="preserve"> ties for exchange</w:t>
      </w:r>
      <w:r w:rsidR="002F39B1">
        <w:rPr>
          <w:rFonts w:ascii="Garamond" w:hAnsi="Garamond"/>
        </w:rPr>
        <w:t xml:space="preserve"> of instructional materials</w:t>
      </w:r>
      <w:r w:rsidR="007461D8" w:rsidRPr="00EC7A70">
        <w:rPr>
          <w:rFonts w:ascii="Garamond" w:hAnsi="Garamond"/>
        </w:rPr>
        <w:t xml:space="preserve">, </w:t>
      </w:r>
      <w:r w:rsidR="00203A56" w:rsidRPr="00EC7A70">
        <w:rPr>
          <w:rFonts w:ascii="Garamond" w:hAnsi="Garamond"/>
        </w:rPr>
        <w:t>the English cohort</w:t>
      </w:r>
      <w:r w:rsidR="00AA646D" w:rsidRPr="00EC7A70">
        <w:rPr>
          <w:rFonts w:ascii="Garamond" w:hAnsi="Garamond"/>
        </w:rPr>
        <w:t xml:space="preserve"> has the highest ego-reciprocity (0.32), meaning that approximately one third of the </w:t>
      </w:r>
      <w:r w:rsidR="00AA646D" w:rsidRPr="00EC7A70">
        <w:rPr>
          <w:rFonts w:ascii="Garamond" w:hAnsi="Garamond"/>
        </w:rPr>
        <w:lastRenderedPageBreak/>
        <w:t xml:space="preserve">outgoing ties </w:t>
      </w:r>
      <w:r w:rsidR="002F39B1">
        <w:rPr>
          <w:rFonts w:ascii="Garamond" w:hAnsi="Garamond"/>
        </w:rPr>
        <w:t xml:space="preserve">from the English cohort </w:t>
      </w:r>
      <w:r w:rsidR="00AA646D" w:rsidRPr="00EC7A70">
        <w:rPr>
          <w:rFonts w:ascii="Garamond" w:hAnsi="Garamond"/>
        </w:rPr>
        <w:t>is r</w:t>
      </w:r>
      <w:r w:rsidR="00C429A1">
        <w:rPr>
          <w:rFonts w:ascii="Garamond" w:hAnsi="Garamond"/>
        </w:rPr>
        <w:t>eciprocated</w:t>
      </w:r>
      <w:r w:rsidR="00CD74A3">
        <w:rPr>
          <w:rFonts w:ascii="Garamond" w:hAnsi="Garamond"/>
        </w:rPr>
        <w:t xml:space="preserve"> (i.e., mutually exchanging instructional materials)</w:t>
      </w:r>
      <w:r w:rsidR="00C429A1">
        <w:rPr>
          <w:rFonts w:ascii="Garamond" w:hAnsi="Garamond"/>
        </w:rPr>
        <w:t xml:space="preserve">, compared to 25% </w:t>
      </w:r>
      <w:r w:rsidR="00AA646D" w:rsidRPr="00EC7A70">
        <w:rPr>
          <w:rFonts w:ascii="Garamond" w:hAnsi="Garamond"/>
        </w:rPr>
        <w:t xml:space="preserve">for </w:t>
      </w:r>
      <w:r w:rsidR="002F39B1">
        <w:rPr>
          <w:rFonts w:ascii="Garamond" w:hAnsi="Garamond"/>
        </w:rPr>
        <w:t xml:space="preserve">the </w:t>
      </w:r>
      <w:r w:rsidR="00AA646D" w:rsidRPr="00EC7A70">
        <w:rPr>
          <w:rFonts w:ascii="Garamond" w:hAnsi="Garamond"/>
        </w:rPr>
        <w:t>Spanish</w:t>
      </w:r>
      <w:r w:rsidR="005F68BE" w:rsidRPr="00EC7A70">
        <w:rPr>
          <w:rFonts w:ascii="Garamond" w:hAnsi="Garamond"/>
        </w:rPr>
        <w:t xml:space="preserve"> cohort and 12% for </w:t>
      </w:r>
      <w:r w:rsidR="002F39B1">
        <w:rPr>
          <w:rFonts w:ascii="Garamond" w:hAnsi="Garamond"/>
        </w:rPr>
        <w:t xml:space="preserve">the </w:t>
      </w:r>
      <w:r w:rsidR="005F68BE" w:rsidRPr="00EC7A70">
        <w:rPr>
          <w:rFonts w:ascii="Garamond" w:hAnsi="Garamond"/>
        </w:rPr>
        <w:t xml:space="preserve">US cohort.  </w:t>
      </w:r>
    </w:p>
    <w:p w14:paraId="2156978D" w14:textId="30C20AB9" w:rsidR="00F1729A" w:rsidRDefault="005F68BE" w:rsidP="00911886">
      <w:pPr>
        <w:widowControl/>
        <w:snapToGrid w:val="0"/>
        <w:spacing w:line="480" w:lineRule="auto"/>
        <w:ind w:firstLine="720"/>
        <w:rPr>
          <w:rFonts w:ascii="Garamond" w:hAnsi="Garamond"/>
        </w:rPr>
      </w:pPr>
      <w:r w:rsidRPr="00EC7A70">
        <w:rPr>
          <w:rFonts w:ascii="Garamond" w:hAnsi="Garamond"/>
        </w:rPr>
        <w:t xml:space="preserve">The network properties of sharing new ideas about teaching </w:t>
      </w:r>
      <w:r w:rsidR="002F39B1">
        <w:rPr>
          <w:rFonts w:ascii="Garamond" w:hAnsi="Garamond"/>
        </w:rPr>
        <w:t xml:space="preserve">(NIs) </w:t>
      </w:r>
      <w:r w:rsidR="009711F4" w:rsidRPr="00EC7A70">
        <w:rPr>
          <w:rFonts w:ascii="Garamond" w:hAnsi="Garamond"/>
        </w:rPr>
        <w:t xml:space="preserve">yields a somewhat different pattern from the </w:t>
      </w:r>
      <w:r w:rsidR="002F39B1">
        <w:rPr>
          <w:rFonts w:ascii="Garamond" w:hAnsi="Garamond"/>
        </w:rPr>
        <w:t>IMs</w:t>
      </w:r>
      <w:r w:rsidR="009711F4" w:rsidRPr="00EC7A70">
        <w:rPr>
          <w:rFonts w:ascii="Garamond" w:hAnsi="Garamond"/>
        </w:rPr>
        <w:t xml:space="preserve"> network.  </w:t>
      </w:r>
      <w:r w:rsidR="00D649B5">
        <w:rPr>
          <w:rFonts w:ascii="Garamond" w:hAnsi="Garamond"/>
        </w:rPr>
        <w:t>For</w:t>
      </w:r>
      <w:r w:rsidR="009711F4" w:rsidRPr="00EC7A70">
        <w:rPr>
          <w:rFonts w:ascii="Garamond" w:hAnsi="Garamond"/>
        </w:rPr>
        <w:t xml:space="preserve"> network density,</w:t>
      </w:r>
      <w:r w:rsidR="003F4F01">
        <w:rPr>
          <w:rFonts w:ascii="Garamond" w:hAnsi="Garamond"/>
        </w:rPr>
        <w:t xml:space="preserve"> NIs networks appear to be slightly </w:t>
      </w:r>
      <w:proofErr w:type="gramStart"/>
      <w:r w:rsidR="002F39B1">
        <w:rPr>
          <w:rFonts w:ascii="Garamond" w:hAnsi="Garamond"/>
        </w:rPr>
        <w:t>more dense</w:t>
      </w:r>
      <w:proofErr w:type="gramEnd"/>
      <w:r w:rsidR="002F39B1">
        <w:rPr>
          <w:rFonts w:ascii="Garamond" w:hAnsi="Garamond"/>
        </w:rPr>
        <w:t xml:space="preserve"> </w:t>
      </w:r>
      <w:r w:rsidR="003F4F01">
        <w:rPr>
          <w:rFonts w:ascii="Garamond" w:hAnsi="Garamond"/>
        </w:rPr>
        <w:t>than</w:t>
      </w:r>
      <w:r w:rsidR="00AF7470" w:rsidRPr="00EC7A70">
        <w:rPr>
          <w:rFonts w:ascii="Garamond" w:hAnsi="Garamond"/>
        </w:rPr>
        <w:t xml:space="preserve"> </w:t>
      </w:r>
      <w:r w:rsidR="002F39B1">
        <w:rPr>
          <w:rFonts w:ascii="Garamond" w:hAnsi="Garamond"/>
        </w:rPr>
        <w:t>the IMs</w:t>
      </w:r>
      <w:r w:rsidR="00AF7470" w:rsidRPr="00EC7A70">
        <w:rPr>
          <w:rFonts w:ascii="Garamond" w:hAnsi="Garamond"/>
        </w:rPr>
        <w:t xml:space="preserve"> network</w:t>
      </w:r>
      <w:r w:rsidR="002F39B1">
        <w:rPr>
          <w:rFonts w:ascii="Garamond" w:hAnsi="Garamond"/>
        </w:rPr>
        <w:t xml:space="preserve"> structure</w:t>
      </w:r>
      <w:r w:rsidR="00C619F6">
        <w:rPr>
          <w:rFonts w:ascii="Garamond" w:hAnsi="Garamond"/>
        </w:rPr>
        <w:t xml:space="preserve"> for both Spanish and US cohorts</w:t>
      </w:r>
      <w:r w:rsidR="003F4F01">
        <w:rPr>
          <w:rFonts w:ascii="Garamond" w:hAnsi="Garamond"/>
        </w:rPr>
        <w:t>, although non-significant</w:t>
      </w:r>
      <w:r w:rsidR="00AF7470" w:rsidRPr="00EC7A70">
        <w:rPr>
          <w:rFonts w:ascii="Garamond" w:hAnsi="Garamond"/>
        </w:rPr>
        <w:t xml:space="preserve">.  </w:t>
      </w:r>
      <w:r w:rsidR="00C619F6">
        <w:rPr>
          <w:rFonts w:ascii="Garamond" w:hAnsi="Garamond"/>
        </w:rPr>
        <w:t>T</w:t>
      </w:r>
      <w:r w:rsidR="00275FCA" w:rsidRPr="00EC7A70">
        <w:rPr>
          <w:rFonts w:ascii="Garamond" w:hAnsi="Garamond"/>
        </w:rPr>
        <w:t xml:space="preserve">he proportion of reciprocated ties across network </w:t>
      </w:r>
      <w:r w:rsidR="002F39B1">
        <w:rPr>
          <w:rFonts w:ascii="Garamond" w:hAnsi="Garamond"/>
        </w:rPr>
        <w:t>for NIs relationship is greater than IMs relationship</w:t>
      </w:r>
      <w:r w:rsidR="00275FCA" w:rsidRPr="00EC7A70">
        <w:rPr>
          <w:rFonts w:ascii="Garamond" w:hAnsi="Garamond"/>
        </w:rPr>
        <w:t xml:space="preserve"> for both Spanish and US cohorts </w:t>
      </w:r>
      <w:r w:rsidR="0036601A" w:rsidRPr="00EC7A70">
        <w:rPr>
          <w:rFonts w:ascii="Garamond" w:hAnsi="Garamond"/>
        </w:rPr>
        <w:t>but</w:t>
      </w:r>
      <w:r w:rsidR="00275FCA" w:rsidRPr="00EC7A70">
        <w:rPr>
          <w:rFonts w:ascii="Garamond" w:hAnsi="Garamond"/>
        </w:rPr>
        <w:t xml:space="preserve"> </w:t>
      </w:r>
      <w:r w:rsidR="002F39B1">
        <w:rPr>
          <w:rFonts w:ascii="Garamond" w:hAnsi="Garamond"/>
        </w:rPr>
        <w:t>smaller</w:t>
      </w:r>
      <w:r w:rsidR="00275FCA" w:rsidRPr="00EC7A70">
        <w:rPr>
          <w:rFonts w:ascii="Garamond" w:hAnsi="Garamond"/>
        </w:rPr>
        <w:t xml:space="preserve"> for English cohort.  </w:t>
      </w:r>
      <w:r w:rsidR="0036601A" w:rsidRPr="00EC7A70">
        <w:rPr>
          <w:rFonts w:ascii="Garamond" w:hAnsi="Garamond"/>
        </w:rPr>
        <w:t xml:space="preserve">In terms of </w:t>
      </w:r>
      <w:r w:rsidR="00C619F6">
        <w:rPr>
          <w:rFonts w:ascii="Garamond" w:hAnsi="Garamond"/>
        </w:rPr>
        <w:t>reaching out for</w:t>
      </w:r>
      <w:r w:rsidR="00C619F6" w:rsidRPr="00EC7A70">
        <w:rPr>
          <w:rFonts w:ascii="Garamond" w:hAnsi="Garamond"/>
        </w:rPr>
        <w:t xml:space="preserve"> </w:t>
      </w:r>
      <w:r w:rsidR="0036601A" w:rsidRPr="00EC7A70">
        <w:rPr>
          <w:rFonts w:ascii="Garamond" w:hAnsi="Garamond"/>
        </w:rPr>
        <w:t xml:space="preserve">new ideas, on average, </w:t>
      </w:r>
      <w:r w:rsidR="00AC096A" w:rsidRPr="00EC7A70">
        <w:rPr>
          <w:rFonts w:ascii="Garamond" w:hAnsi="Garamond"/>
        </w:rPr>
        <w:t xml:space="preserve">the Spanish </w:t>
      </w:r>
      <w:r w:rsidR="001F4059">
        <w:rPr>
          <w:rFonts w:ascii="Garamond" w:hAnsi="Garamond"/>
        </w:rPr>
        <w:t>cohort</w:t>
      </w:r>
      <w:r w:rsidR="00AC096A" w:rsidRPr="00EC7A70">
        <w:rPr>
          <w:rFonts w:ascii="Garamond" w:hAnsi="Garamond"/>
        </w:rPr>
        <w:t xml:space="preserve"> seek</w:t>
      </w:r>
      <w:r w:rsidR="001F4059">
        <w:rPr>
          <w:rFonts w:ascii="Garamond" w:hAnsi="Garamond"/>
        </w:rPr>
        <w:t>s</w:t>
      </w:r>
      <w:r w:rsidR="00AC096A" w:rsidRPr="00EC7A70">
        <w:rPr>
          <w:rFonts w:ascii="Garamond" w:hAnsi="Garamond"/>
        </w:rPr>
        <w:t xml:space="preserve"> approximately 9% of their peers for new teaching ideas, whereas the English </w:t>
      </w:r>
      <w:r w:rsidR="001F4059">
        <w:rPr>
          <w:rFonts w:ascii="Garamond" w:hAnsi="Garamond"/>
        </w:rPr>
        <w:t>cohort</w:t>
      </w:r>
      <w:r w:rsidR="001F4059" w:rsidRPr="00EC7A70">
        <w:rPr>
          <w:rFonts w:ascii="Garamond" w:hAnsi="Garamond"/>
        </w:rPr>
        <w:t xml:space="preserve"> </w:t>
      </w:r>
      <w:r w:rsidR="001F4059">
        <w:rPr>
          <w:rFonts w:ascii="Garamond" w:hAnsi="Garamond"/>
        </w:rPr>
        <w:t>is</w:t>
      </w:r>
      <w:r w:rsidR="00AC096A" w:rsidRPr="00EC7A70">
        <w:rPr>
          <w:rFonts w:ascii="Garamond" w:hAnsi="Garamond"/>
        </w:rPr>
        <w:t xml:space="preserve"> connected to 2% of th</w:t>
      </w:r>
      <w:r w:rsidR="005038DD">
        <w:rPr>
          <w:rFonts w:ascii="Garamond" w:hAnsi="Garamond"/>
        </w:rPr>
        <w:t xml:space="preserve">eir peers and 7% for the US cohort </w:t>
      </w:r>
      <w:r w:rsidR="00C619F6">
        <w:rPr>
          <w:rFonts w:ascii="Garamond" w:hAnsi="Garamond"/>
        </w:rPr>
        <w:t>for</w:t>
      </w:r>
      <w:r w:rsidR="00C619F6" w:rsidRPr="00EC7A70">
        <w:rPr>
          <w:rFonts w:ascii="Garamond" w:hAnsi="Garamond"/>
        </w:rPr>
        <w:t xml:space="preserve"> </w:t>
      </w:r>
      <w:r w:rsidR="00AC096A" w:rsidRPr="00EC7A70">
        <w:rPr>
          <w:rFonts w:ascii="Garamond" w:hAnsi="Garamond"/>
        </w:rPr>
        <w:t xml:space="preserve">this matter.  Of all these outgoing ties, 42% of the ties </w:t>
      </w:r>
      <w:r w:rsidR="005038DD">
        <w:rPr>
          <w:rFonts w:ascii="Garamond" w:hAnsi="Garamond"/>
        </w:rPr>
        <w:t>from</w:t>
      </w:r>
      <w:r w:rsidR="00AC096A" w:rsidRPr="00EC7A70">
        <w:rPr>
          <w:rFonts w:ascii="Garamond" w:hAnsi="Garamond"/>
        </w:rPr>
        <w:t xml:space="preserve"> the US cohort are reciprocated, compared to 38% for the Spanish cohort a</w:t>
      </w:r>
      <w:r w:rsidR="00F1729A" w:rsidRPr="00EC7A70">
        <w:rPr>
          <w:rFonts w:ascii="Garamond" w:hAnsi="Garamond"/>
        </w:rPr>
        <w:t>nd 22% for the English cohort.</w:t>
      </w:r>
      <w:r w:rsidR="005038DD">
        <w:rPr>
          <w:rFonts w:ascii="Garamond" w:hAnsi="Garamond"/>
        </w:rPr>
        <w:t xml:space="preserve">  </w:t>
      </w:r>
      <w:r w:rsidR="00F1729A" w:rsidRPr="00EC7A70">
        <w:rPr>
          <w:rFonts w:ascii="Garamond" w:hAnsi="Garamond"/>
        </w:rPr>
        <w:t xml:space="preserve">  </w:t>
      </w:r>
    </w:p>
    <w:p w14:paraId="5D73FE6C" w14:textId="6E363000" w:rsidR="00911886" w:rsidRPr="005038DD" w:rsidRDefault="00F1729A" w:rsidP="005038DD">
      <w:pPr>
        <w:widowControl/>
        <w:snapToGrid w:val="0"/>
        <w:spacing w:line="480" w:lineRule="auto"/>
        <w:ind w:firstLine="720"/>
        <w:rPr>
          <w:rFonts w:ascii="Garamond" w:hAnsi="Garamond"/>
        </w:rPr>
      </w:pPr>
      <w:r w:rsidRPr="00EC7A70">
        <w:rPr>
          <w:rFonts w:ascii="Garamond" w:hAnsi="Garamond"/>
        </w:rPr>
        <w:t xml:space="preserve">In sum, there is variation in network properties </w:t>
      </w:r>
      <w:r w:rsidR="00795768" w:rsidRPr="00EC7A70">
        <w:rPr>
          <w:rFonts w:ascii="Garamond" w:hAnsi="Garamond"/>
        </w:rPr>
        <w:t>among</w:t>
      </w:r>
      <w:r w:rsidRPr="00EC7A70">
        <w:rPr>
          <w:rFonts w:ascii="Garamond" w:hAnsi="Garamond"/>
        </w:rPr>
        <w:t xml:space="preserve"> the study cohorts</w:t>
      </w:r>
      <w:r w:rsidR="00C619F6">
        <w:rPr>
          <w:rFonts w:ascii="Garamond" w:hAnsi="Garamond"/>
        </w:rPr>
        <w:t xml:space="preserve"> of pre-service teachers across </w:t>
      </w:r>
      <w:r w:rsidRPr="00EC7A70">
        <w:rPr>
          <w:rFonts w:ascii="Garamond" w:hAnsi="Garamond"/>
        </w:rPr>
        <w:t xml:space="preserve">the three </w:t>
      </w:r>
      <w:r w:rsidR="00C619F6">
        <w:rPr>
          <w:rFonts w:ascii="Garamond" w:hAnsi="Garamond"/>
        </w:rPr>
        <w:t>sites</w:t>
      </w:r>
      <w:r w:rsidRPr="00EC7A70">
        <w:rPr>
          <w:rFonts w:ascii="Garamond" w:hAnsi="Garamond"/>
        </w:rPr>
        <w:t xml:space="preserve">. </w:t>
      </w:r>
      <w:r w:rsidR="00626721">
        <w:rPr>
          <w:rFonts w:ascii="Garamond" w:hAnsi="Garamond"/>
        </w:rPr>
        <w:t xml:space="preserve"> To explore the </w:t>
      </w:r>
      <w:r w:rsidR="00C619F6">
        <w:rPr>
          <w:rFonts w:ascii="Garamond" w:hAnsi="Garamond"/>
        </w:rPr>
        <w:t xml:space="preserve">similarities </w:t>
      </w:r>
      <w:r w:rsidR="00626721">
        <w:rPr>
          <w:rFonts w:ascii="Garamond" w:hAnsi="Garamond"/>
        </w:rPr>
        <w:t xml:space="preserve">and differences across sites and test our hypotheses, we present findings from our p2 models (Table </w:t>
      </w:r>
      <w:r w:rsidR="00652EC1">
        <w:rPr>
          <w:rFonts w:ascii="Garamond" w:hAnsi="Garamond"/>
        </w:rPr>
        <w:t>3</w:t>
      </w:r>
      <w:r w:rsidR="001F4059">
        <w:rPr>
          <w:rFonts w:ascii="Garamond" w:hAnsi="Garamond"/>
        </w:rPr>
        <w:t>).  W</w:t>
      </w:r>
      <w:r w:rsidR="005038DD">
        <w:rPr>
          <w:rFonts w:ascii="Garamond" w:hAnsi="Garamond"/>
        </w:rPr>
        <w:t xml:space="preserve">e </w:t>
      </w:r>
      <w:r w:rsidR="00626721">
        <w:rPr>
          <w:rFonts w:ascii="Garamond" w:hAnsi="Garamond"/>
        </w:rPr>
        <w:t>examine</w:t>
      </w:r>
      <w:r w:rsidR="00626721" w:rsidRPr="005038DD">
        <w:rPr>
          <w:rFonts w:ascii="Garamond" w:hAnsi="Garamond"/>
        </w:rPr>
        <w:t xml:space="preserve"> the extent to which pre-service teachers’ perceptions of self-efficacy and </w:t>
      </w:r>
      <w:r w:rsidR="00626721">
        <w:rPr>
          <w:rFonts w:ascii="Garamond" w:hAnsi="Garamond"/>
        </w:rPr>
        <w:t>peer trust</w:t>
      </w:r>
      <w:r w:rsidR="00626721" w:rsidRPr="005038DD">
        <w:rPr>
          <w:rFonts w:ascii="Garamond" w:hAnsi="Garamond"/>
        </w:rPr>
        <w:t xml:space="preserve"> are associated with </w:t>
      </w:r>
      <w:r w:rsidR="00626721">
        <w:rPr>
          <w:rFonts w:ascii="Garamond" w:hAnsi="Garamond"/>
        </w:rPr>
        <w:t xml:space="preserve">the likelihood of sending, receiving, and reciprocating IMs ties with </w:t>
      </w:r>
      <w:r w:rsidR="00626721" w:rsidRPr="005038DD">
        <w:rPr>
          <w:rFonts w:ascii="Garamond" w:hAnsi="Garamond"/>
        </w:rPr>
        <w:t>their peers</w:t>
      </w:r>
      <w:r w:rsidR="00626721">
        <w:rPr>
          <w:rFonts w:ascii="Garamond" w:hAnsi="Garamond"/>
        </w:rPr>
        <w:t xml:space="preserve">.  </w:t>
      </w:r>
    </w:p>
    <w:p w14:paraId="6DD73DAA" w14:textId="2576A6E0" w:rsidR="00626721" w:rsidRPr="00EC7A70" w:rsidRDefault="00626721" w:rsidP="00626721">
      <w:pPr>
        <w:widowControl/>
        <w:snapToGrid w:val="0"/>
        <w:spacing w:line="480" w:lineRule="auto"/>
        <w:jc w:val="center"/>
        <w:rPr>
          <w:rFonts w:ascii="Garamond" w:hAnsi="Garamond"/>
        </w:rPr>
      </w:pPr>
      <w:r>
        <w:rPr>
          <w:rFonts w:ascii="Garamond" w:hAnsi="Garamond"/>
        </w:rPr>
        <w:t>Insert Table</w:t>
      </w:r>
      <w:r w:rsidR="00652EC1">
        <w:rPr>
          <w:rFonts w:ascii="Garamond" w:hAnsi="Garamond"/>
        </w:rPr>
        <w:t xml:space="preserve"> 3</w:t>
      </w:r>
      <w:r>
        <w:rPr>
          <w:rFonts w:ascii="Garamond" w:hAnsi="Garamond"/>
        </w:rPr>
        <w:t xml:space="preserve"> about Here</w:t>
      </w:r>
    </w:p>
    <w:p w14:paraId="5A566F85" w14:textId="3C4CF09E" w:rsidR="000D0AA6" w:rsidRPr="000D0AA6" w:rsidRDefault="000D0AA6" w:rsidP="000D0AA6">
      <w:pPr>
        <w:widowControl/>
        <w:snapToGrid w:val="0"/>
        <w:spacing w:line="480" w:lineRule="auto"/>
        <w:rPr>
          <w:rFonts w:ascii="Garamond" w:hAnsi="Garamond"/>
          <w:b/>
        </w:rPr>
      </w:pPr>
      <w:r w:rsidRPr="000D0AA6">
        <w:rPr>
          <w:rFonts w:ascii="Garamond" w:hAnsi="Garamond"/>
          <w:b/>
        </w:rPr>
        <w:t xml:space="preserve">Density </w:t>
      </w:r>
      <w:r>
        <w:rPr>
          <w:rFonts w:ascii="Garamond" w:hAnsi="Garamond"/>
          <w:b/>
        </w:rPr>
        <w:t xml:space="preserve">(H1) </w:t>
      </w:r>
      <w:r w:rsidRPr="000D0AA6">
        <w:rPr>
          <w:rFonts w:ascii="Garamond" w:hAnsi="Garamond"/>
          <w:b/>
        </w:rPr>
        <w:t xml:space="preserve">and Reciprocity </w:t>
      </w:r>
      <w:r>
        <w:rPr>
          <w:rFonts w:ascii="Garamond" w:hAnsi="Garamond"/>
          <w:b/>
        </w:rPr>
        <w:t xml:space="preserve">(H2) </w:t>
      </w:r>
      <w:r w:rsidRPr="000D0AA6">
        <w:rPr>
          <w:rFonts w:ascii="Garamond" w:hAnsi="Garamond"/>
          <w:b/>
        </w:rPr>
        <w:t xml:space="preserve">of </w:t>
      </w:r>
      <w:r>
        <w:rPr>
          <w:rFonts w:ascii="Garamond" w:hAnsi="Garamond"/>
          <w:b/>
        </w:rPr>
        <w:t>IMs</w:t>
      </w:r>
      <w:r w:rsidRPr="000D0AA6">
        <w:rPr>
          <w:rFonts w:ascii="Garamond" w:hAnsi="Garamond"/>
          <w:b/>
        </w:rPr>
        <w:t xml:space="preserve"> Ties</w:t>
      </w:r>
    </w:p>
    <w:p w14:paraId="1FDF71B8" w14:textId="47D6924B" w:rsidR="007643DF" w:rsidRPr="00EC7A70" w:rsidRDefault="000D0AA6" w:rsidP="007643DF">
      <w:pPr>
        <w:widowControl/>
        <w:snapToGrid w:val="0"/>
        <w:spacing w:line="480" w:lineRule="auto"/>
        <w:ind w:firstLine="720"/>
        <w:rPr>
          <w:rFonts w:ascii="Garamond" w:hAnsi="Garamond"/>
        </w:rPr>
      </w:pPr>
      <w:r>
        <w:rPr>
          <w:rFonts w:ascii="Garamond" w:hAnsi="Garamond"/>
        </w:rPr>
        <w:t xml:space="preserve">The </w:t>
      </w:r>
      <w:r w:rsidRPr="000D0AA6">
        <w:rPr>
          <w:rFonts w:ascii="Garamond" w:hAnsi="Garamond"/>
        </w:rPr>
        <w:t xml:space="preserve">p2 models provide general parameters of the overall network structure </w:t>
      </w:r>
      <w:r w:rsidR="00A23443">
        <w:rPr>
          <w:rFonts w:ascii="Garamond" w:hAnsi="Garamond"/>
        </w:rPr>
        <w:t>i</w:t>
      </w:r>
      <w:r w:rsidRPr="000D0AA6">
        <w:rPr>
          <w:rFonts w:ascii="Garamond" w:hAnsi="Garamond"/>
        </w:rPr>
        <w:t xml:space="preserve">n order to get a sense of the overall </w:t>
      </w:r>
      <w:r w:rsidR="00A23443">
        <w:rPr>
          <w:rFonts w:ascii="Garamond" w:hAnsi="Garamond"/>
        </w:rPr>
        <w:t xml:space="preserve">network </w:t>
      </w:r>
      <w:r w:rsidRPr="000D0AA6">
        <w:rPr>
          <w:rFonts w:ascii="Garamond" w:hAnsi="Garamond"/>
        </w:rPr>
        <w:t xml:space="preserve">structure of </w:t>
      </w:r>
      <w:r w:rsidR="00A23443">
        <w:rPr>
          <w:rFonts w:ascii="Garamond" w:hAnsi="Garamond"/>
        </w:rPr>
        <w:t xml:space="preserve">the </w:t>
      </w:r>
      <w:r w:rsidRPr="000D0AA6">
        <w:rPr>
          <w:rFonts w:ascii="Garamond" w:hAnsi="Garamond"/>
        </w:rPr>
        <w:t xml:space="preserve">relationship </w:t>
      </w:r>
      <w:r w:rsidR="00A23443">
        <w:rPr>
          <w:rFonts w:ascii="Garamond" w:hAnsi="Garamond"/>
        </w:rPr>
        <w:t>under study</w:t>
      </w:r>
      <w:r w:rsidRPr="000D0AA6">
        <w:rPr>
          <w:rFonts w:ascii="Garamond" w:hAnsi="Garamond"/>
        </w:rPr>
        <w:t>.</w:t>
      </w:r>
      <w:r>
        <w:rPr>
          <w:rFonts w:ascii="Garamond" w:hAnsi="Garamond"/>
        </w:rPr>
        <w:t xml:space="preserve"> </w:t>
      </w:r>
      <w:r w:rsidRPr="000D0AA6">
        <w:rPr>
          <w:rFonts w:ascii="Garamond" w:hAnsi="Garamond"/>
        </w:rPr>
        <w:t xml:space="preserve"> </w:t>
      </w:r>
      <w:r>
        <w:rPr>
          <w:rFonts w:ascii="Garamond" w:hAnsi="Garamond"/>
        </w:rPr>
        <w:t>Supporting H1, the findings indicate that the</w:t>
      </w:r>
      <w:r w:rsidRPr="000D0AA6">
        <w:rPr>
          <w:rFonts w:ascii="Garamond" w:hAnsi="Garamond"/>
        </w:rPr>
        <w:t xml:space="preserve"> </w:t>
      </w:r>
      <w:r>
        <w:rPr>
          <w:rFonts w:ascii="Garamond" w:hAnsi="Garamond"/>
        </w:rPr>
        <w:t>IMs</w:t>
      </w:r>
      <w:r w:rsidRPr="000D0AA6">
        <w:rPr>
          <w:rFonts w:ascii="Garamond" w:hAnsi="Garamond"/>
        </w:rPr>
        <w:t xml:space="preserve"> network </w:t>
      </w:r>
      <w:r>
        <w:rPr>
          <w:rFonts w:ascii="Garamond" w:hAnsi="Garamond"/>
        </w:rPr>
        <w:t xml:space="preserve">structure </w:t>
      </w:r>
      <w:r w:rsidRPr="000D0AA6">
        <w:rPr>
          <w:rFonts w:ascii="Garamond" w:hAnsi="Garamond"/>
        </w:rPr>
        <w:t>tends to be sparse</w:t>
      </w:r>
      <w:r>
        <w:rPr>
          <w:rFonts w:ascii="Garamond" w:hAnsi="Garamond"/>
        </w:rPr>
        <w:t xml:space="preserve"> </w:t>
      </w:r>
      <w:r w:rsidR="00A23443">
        <w:rPr>
          <w:rFonts w:ascii="Garamond" w:hAnsi="Garamond"/>
        </w:rPr>
        <w:t xml:space="preserve">among the </w:t>
      </w:r>
      <w:r>
        <w:rPr>
          <w:rFonts w:ascii="Garamond" w:hAnsi="Garamond"/>
        </w:rPr>
        <w:t>English, Spanish and US cohorts</w:t>
      </w:r>
      <w:r w:rsidRPr="000D0AA6">
        <w:rPr>
          <w:rFonts w:ascii="Garamond" w:hAnsi="Garamond"/>
        </w:rPr>
        <w:t xml:space="preserve">, as indicated by a negative density effect, which also corresponds to the network descriptive statistics. </w:t>
      </w:r>
      <w:r>
        <w:rPr>
          <w:rFonts w:ascii="Garamond" w:hAnsi="Garamond"/>
        </w:rPr>
        <w:t xml:space="preserve"> </w:t>
      </w:r>
      <w:r w:rsidR="007643DF">
        <w:rPr>
          <w:rFonts w:ascii="Garamond" w:hAnsi="Garamond"/>
        </w:rPr>
        <w:t xml:space="preserve">By the end of the year-long programme the peer groups had </w:t>
      </w:r>
      <w:r w:rsidR="007643DF" w:rsidRPr="00F74137">
        <w:rPr>
          <w:rFonts w:ascii="Garamond" w:hAnsi="Garamond"/>
        </w:rPr>
        <w:t>only very limited opp</w:t>
      </w:r>
      <w:r w:rsidR="007643DF">
        <w:rPr>
          <w:rFonts w:ascii="Garamond" w:hAnsi="Garamond"/>
        </w:rPr>
        <w:t xml:space="preserve">ortunities to meet face-to-face as they were in field teaching placement.  </w:t>
      </w:r>
      <w:r w:rsidR="007643DF" w:rsidRPr="00F74137">
        <w:rPr>
          <w:rFonts w:ascii="Garamond" w:hAnsi="Garamond"/>
        </w:rPr>
        <w:t xml:space="preserve">This </w:t>
      </w:r>
      <w:r w:rsidR="007643DF">
        <w:rPr>
          <w:rFonts w:ascii="Garamond" w:hAnsi="Garamond"/>
        </w:rPr>
        <w:t xml:space="preserve">may </w:t>
      </w:r>
      <w:r w:rsidR="007643DF" w:rsidRPr="00F74137">
        <w:rPr>
          <w:rFonts w:ascii="Garamond" w:hAnsi="Garamond"/>
        </w:rPr>
        <w:t xml:space="preserve">explain in part </w:t>
      </w:r>
      <w:r w:rsidR="007643DF" w:rsidRPr="00F74137">
        <w:rPr>
          <w:rFonts w:ascii="Garamond" w:hAnsi="Garamond"/>
        </w:rPr>
        <w:lastRenderedPageBreak/>
        <w:t>why the</w:t>
      </w:r>
      <w:r w:rsidR="007643DF">
        <w:rPr>
          <w:rFonts w:ascii="Garamond" w:hAnsi="Garamond"/>
        </w:rPr>
        <w:t>ir peer</w:t>
      </w:r>
      <w:r w:rsidR="007643DF" w:rsidRPr="00F74137">
        <w:rPr>
          <w:rFonts w:ascii="Garamond" w:hAnsi="Garamond"/>
        </w:rPr>
        <w:t xml:space="preserve"> network is </w:t>
      </w:r>
      <w:r w:rsidR="007643DF">
        <w:rPr>
          <w:rFonts w:ascii="Garamond" w:hAnsi="Garamond"/>
        </w:rPr>
        <w:t>sparse</w:t>
      </w:r>
      <w:r w:rsidR="007643DF" w:rsidRPr="00F74137">
        <w:rPr>
          <w:rFonts w:ascii="Garamond" w:hAnsi="Garamond"/>
        </w:rPr>
        <w:t>.</w:t>
      </w:r>
      <w:r w:rsidR="007643DF" w:rsidRPr="00E31429">
        <w:rPr>
          <w:rFonts w:ascii="Garamond" w:hAnsi="Garamond"/>
        </w:rPr>
        <w:t xml:space="preserve"> </w:t>
      </w:r>
      <w:r w:rsidR="007643DF">
        <w:rPr>
          <w:rFonts w:ascii="Garamond" w:hAnsi="Garamond"/>
        </w:rPr>
        <w:t xml:space="preserve"> </w:t>
      </w:r>
      <w:r w:rsidRPr="000D0AA6">
        <w:rPr>
          <w:rFonts w:ascii="Garamond" w:hAnsi="Garamond"/>
        </w:rPr>
        <w:t xml:space="preserve">The </w:t>
      </w:r>
      <w:r>
        <w:rPr>
          <w:rFonts w:ascii="Garamond" w:hAnsi="Garamond"/>
        </w:rPr>
        <w:t>IMs</w:t>
      </w:r>
      <w:r w:rsidRPr="000D0AA6">
        <w:rPr>
          <w:rFonts w:ascii="Garamond" w:hAnsi="Garamond"/>
        </w:rPr>
        <w:t xml:space="preserve"> relationship also tends to be reciprocated (mutual) as opposed to unidirectional, as evidenced by the positive overall reciprocity effect</w:t>
      </w:r>
      <w:r>
        <w:rPr>
          <w:rFonts w:ascii="Garamond" w:hAnsi="Garamond"/>
        </w:rPr>
        <w:t>, supporting H2</w:t>
      </w:r>
      <w:r w:rsidRPr="000D0AA6">
        <w:rPr>
          <w:rFonts w:ascii="Garamond" w:hAnsi="Garamond"/>
        </w:rPr>
        <w:t xml:space="preserve">. </w:t>
      </w:r>
      <w:r>
        <w:rPr>
          <w:rFonts w:ascii="Garamond" w:hAnsi="Garamond"/>
        </w:rPr>
        <w:t xml:space="preserve"> </w:t>
      </w:r>
    </w:p>
    <w:p w14:paraId="3946DA38" w14:textId="01F54EA6" w:rsidR="00626721" w:rsidRPr="00626721" w:rsidRDefault="00626721" w:rsidP="00626721">
      <w:pPr>
        <w:widowControl/>
        <w:snapToGrid w:val="0"/>
        <w:spacing w:line="480" w:lineRule="auto"/>
        <w:rPr>
          <w:rFonts w:ascii="Garamond" w:hAnsi="Garamond"/>
          <w:b/>
        </w:rPr>
      </w:pPr>
      <w:r w:rsidRPr="00626721">
        <w:rPr>
          <w:rFonts w:ascii="Garamond" w:hAnsi="Garamond"/>
          <w:b/>
        </w:rPr>
        <w:t>Characterizing Pre-service Teachers Who Seek Instructional Materials</w:t>
      </w:r>
    </w:p>
    <w:p w14:paraId="666EDFF1" w14:textId="44E1E1A6" w:rsidR="00A34A5A" w:rsidRDefault="0059402F" w:rsidP="00A34A5A">
      <w:pPr>
        <w:widowControl/>
        <w:snapToGrid w:val="0"/>
        <w:spacing w:line="480" w:lineRule="auto"/>
        <w:ind w:firstLine="720"/>
        <w:rPr>
          <w:rFonts w:ascii="Garamond" w:hAnsi="Garamond"/>
        </w:rPr>
      </w:pPr>
      <w:r>
        <w:rPr>
          <w:rFonts w:ascii="Garamond" w:hAnsi="Garamond"/>
          <w:b/>
        </w:rPr>
        <w:t>S</w:t>
      </w:r>
      <w:r w:rsidR="00626721" w:rsidRPr="00626721">
        <w:rPr>
          <w:rFonts w:ascii="Garamond" w:hAnsi="Garamond"/>
          <w:b/>
        </w:rPr>
        <w:t xml:space="preserve">elf-efficacy </w:t>
      </w:r>
      <w:r w:rsidR="00A34A5A">
        <w:rPr>
          <w:rFonts w:ascii="Garamond" w:hAnsi="Garamond"/>
          <w:b/>
        </w:rPr>
        <w:t xml:space="preserve">(H3), </w:t>
      </w:r>
      <w:r>
        <w:rPr>
          <w:rFonts w:ascii="Garamond" w:hAnsi="Garamond"/>
          <w:b/>
        </w:rPr>
        <w:t>peer trust (H5</w:t>
      </w:r>
      <w:r w:rsidRPr="00A34A5A">
        <w:rPr>
          <w:rFonts w:ascii="Garamond" w:hAnsi="Garamond"/>
          <w:b/>
        </w:rPr>
        <w:t>)</w:t>
      </w:r>
      <w:r w:rsidR="00A34A5A" w:rsidRPr="00A34A5A">
        <w:rPr>
          <w:rFonts w:ascii="Garamond" w:hAnsi="Garamond"/>
          <w:b/>
        </w:rPr>
        <w:t>, and gender (H8)</w:t>
      </w:r>
      <w:r w:rsidR="00A34A5A">
        <w:rPr>
          <w:rFonts w:ascii="Garamond" w:hAnsi="Garamond"/>
        </w:rPr>
        <w:t>.</w:t>
      </w:r>
      <w:r w:rsidR="00626721" w:rsidRPr="00626721">
        <w:rPr>
          <w:rFonts w:ascii="Garamond" w:hAnsi="Garamond"/>
        </w:rPr>
        <w:t xml:space="preserve">  </w:t>
      </w:r>
      <w:r>
        <w:rPr>
          <w:rFonts w:ascii="Garamond" w:hAnsi="Garamond"/>
        </w:rPr>
        <w:t xml:space="preserve">The findings indicate </w:t>
      </w:r>
      <w:r w:rsidR="00626721" w:rsidRPr="00626721">
        <w:rPr>
          <w:rFonts w:ascii="Garamond" w:hAnsi="Garamond"/>
        </w:rPr>
        <w:t xml:space="preserve">a </w:t>
      </w:r>
      <w:r w:rsidR="00092C63" w:rsidRPr="00626721">
        <w:rPr>
          <w:rFonts w:ascii="Garamond" w:hAnsi="Garamond"/>
        </w:rPr>
        <w:t xml:space="preserve">statistically </w:t>
      </w:r>
      <w:r w:rsidR="00626721" w:rsidRPr="00626721">
        <w:rPr>
          <w:rFonts w:ascii="Garamond" w:hAnsi="Garamond"/>
        </w:rPr>
        <w:t>significant and positive sender effect for self-efficacy</w:t>
      </w:r>
      <w:r>
        <w:rPr>
          <w:rFonts w:ascii="Garamond" w:hAnsi="Garamond"/>
        </w:rPr>
        <w:t xml:space="preserve"> across </w:t>
      </w:r>
      <w:r w:rsidR="009D2D43">
        <w:rPr>
          <w:rFonts w:ascii="Garamond" w:hAnsi="Garamond"/>
        </w:rPr>
        <w:t xml:space="preserve">the </w:t>
      </w:r>
      <w:r>
        <w:rPr>
          <w:rFonts w:ascii="Garamond" w:hAnsi="Garamond"/>
        </w:rPr>
        <w:t>English, Spanish, and US cohorts</w:t>
      </w:r>
      <w:r w:rsidR="00626721" w:rsidRPr="00626721">
        <w:rPr>
          <w:rFonts w:ascii="Garamond" w:hAnsi="Garamond"/>
        </w:rPr>
        <w:t xml:space="preserve">, supporting </w:t>
      </w:r>
      <w:r w:rsidR="00A34A5A">
        <w:rPr>
          <w:rFonts w:ascii="Garamond" w:hAnsi="Garamond"/>
        </w:rPr>
        <w:t>H</w:t>
      </w:r>
      <w:r w:rsidR="00626721" w:rsidRPr="00626721">
        <w:rPr>
          <w:rFonts w:ascii="Garamond" w:hAnsi="Garamond"/>
        </w:rPr>
        <w:t>3.  That is, the pre-service teachers who are more efficacious in their ability to manage classroom</w:t>
      </w:r>
      <w:r w:rsidR="00DC6A2C">
        <w:rPr>
          <w:rFonts w:ascii="Garamond" w:hAnsi="Garamond"/>
        </w:rPr>
        <w:t>s</w:t>
      </w:r>
      <w:r w:rsidR="00626721" w:rsidRPr="00626721">
        <w:rPr>
          <w:rFonts w:ascii="Garamond" w:hAnsi="Garamond"/>
        </w:rPr>
        <w:t xml:space="preserve"> and address students’ behavioral issues are more</w:t>
      </w:r>
      <w:r>
        <w:rPr>
          <w:rFonts w:ascii="Garamond" w:hAnsi="Garamond"/>
        </w:rPr>
        <w:t xml:space="preserve"> likely to identify </w:t>
      </w:r>
      <w:r w:rsidR="00A34A5A">
        <w:rPr>
          <w:rFonts w:ascii="Garamond" w:hAnsi="Garamond"/>
        </w:rPr>
        <w:t xml:space="preserve">source of information by </w:t>
      </w:r>
      <w:r>
        <w:rPr>
          <w:rFonts w:ascii="Garamond" w:hAnsi="Garamond"/>
        </w:rPr>
        <w:t>seek</w:t>
      </w:r>
      <w:r w:rsidR="00A34A5A">
        <w:rPr>
          <w:rFonts w:ascii="Garamond" w:hAnsi="Garamond"/>
        </w:rPr>
        <w:t>ing</w:t>
      </w:r>
      <w:r w:rsidR="00626721" w:rsidRPr="00626721">
        <w:rPr>
          <w:rFonts w:ascii="Garamond" w:hAnsi="Garamond"/>
        </w:rPr>
        <w:t xml:space="preserve"> instructional materials that they </w:t>
      </w:r>
      <w:r w:rsidR="00A34A5A">
        <w:rPr>
          <w:rFonts w:ascii="Garamond" w:hAnsi="Garamond"/>
        </w:rPr>
        <w:t xml:space="preserve">would </w:t>
      </w:r>
      <w:r w:rsidR="00626721" w:rsidRPr="00626721">
        <w:rPr>
          <w:rFonts w:ascii="Garamond" w:hAnsi="Garamond"/>
        </w:rPr>
        <w:t>use in their teaching activities.  The findings also indicate a</w:t>
      </w:r>
      <w:r w:rsidR="00092C63" w:rsidRPr="00092C63">
        <w:rPr>
          <w:rFonts w:ascii="Garamond" w:hAnsi="Garamond"/>
        </w:rPr>
        <w:t xml:space="preserve"> </w:t>
      </w:r>
      <w:r w:rsidR="00092C63" w:rsidRPr="00626721">
        <w:rPr>
          <w:rFonts w:ascii="Garamond" w:hAnsi="Garamond"/>
        </w:rPr>
        <w:t>statistically</w:t>
      </w:r>
      <w:r w:rsidR="00626721" w:rsidRPr="00626721">
        <w:rPr>
          <w:rFonts w:ascii="Garamond" w:hAnsi="Garamond"/>
        </w:rPr>
        <w:t xml:space="preserve"> signific</w:t>
      </w:r>
      <w:r w:rsidR="00A34A5A">
        <w:rPr>
          <w:rFonts w:ascii="Garamond" w:hAnsi="Garamond"/>
        </w:rPr>
        <w:t xml:space="preserve">ant and positive effect for peer trust for the English cohort </w:t>
      </w:r>
      <w:r w:rsidR="00626721" w:rsidRPr="00626721">
        <w:rPr>
          <w:rFonts w:ascii="Garamond" w:hAnsi="Garamond"/>
        </w:rPr>
        <w:t>on the likelihood of seeking instructional materials</w:t>
      </w:r>
      <w:r w:rsidR="00A34A5A">
        <w:rPr>
          <w:rFonts w:ascii="Garamond" w:hAnsi="Garamond"/>
        </w:rPr>
        <w:t>, supporting H5</w:t>
      </w:r>
      <w:r w:rsidR="00626721" w:rsidRPr="00626721">
        <w:rPr>
          <w:rFonts w:ascii="Garamond" w:hAnsi="Garamond"/>
        </w:rPr>
        <w:t xml:space="preserve">.  In other words, the </w:t>
      </w:r>
      <w:r w:rsidR="00A34A5A">
        <w:rPr>
          <w:rFonts w:ascii="Garamond" w:hAnsi="Garamond"/>
        </w:rPr>
        <w:t xml:space="preserve">English </w:t>
      </w:r>
      <w:r w:rsidR="00626721" w:rsidRPr="00626721">
        <w:rPr>
          <w:rFonts w:ascii="Garamond" w:hAnsi="Garamond"/>
        </w:rPr>
        <w:t xml:space="preserve">pre-service teachers who </w:t>
      </w:r>
      <w:r w:rsidR="00A34A5A">
        <w:rPr>
          <w:rFonts w:ascii="Garamond" w:hAnsi="Garamond"/>
        </w:rPr>
        <w:t>report</w:t>
      </w:r>
      <w:r w:rsidR="009D2D43">
        <w:rPr>
          <w:rFonts w:ascii="Garamond" w:hAnsi="Garamond"/>
        </w:rPr>
        <w:t>ed</w:t>
      </w:r>
      <w:r w:rsidR="00A34A5A">
        <w:rPr>
          <w:rFonts w:ascii="Garamond" w:hAnsi="Garamond"/>
        </w:rPr>
        <w:t xml:space="preserve"> higher trust among their peers </w:t>
      </w:r>
      <w:r w:rsidR="009D2D43">
        <w:rPr>
          <w:rFonts w:ascii="Garamond" w:hAnsi="Garamond"/>
        </w:rPr>
        <w:t>were</w:t>
      </w:r>
      <w:r w:rsidR="009D2D43" w:rsidRPr="00626721">
        <w:rPr>
          <w:rFonts w:ascii="Garamond" w:hAnsi="Garamond"/>
        </w:rPr>
        <w:t xml:space="preserve"> </w:t>
      </w:r>
      <w:r w:rsidR="00626721" w:rsidRPr="00626721">
        <w:rPr>
          <w:rFonts w:ascii="Garamond" w:hAnsi="Garamond"/>
        </w:rPr>
        <w:t xml:space="preserve">more likely to reach out to their peers for instructional materials.  </w:t>
      </w:r>
      <w:r w:rsidR="00A34A5A">
        <w:rPr>
          <w:rFonts w:ascii="Garamond" w:hAnsi="Garamond"/>
        </w:rPr>
        <w:t>Finally, there is a</w:t>
      </w:r>
      <w:r w:rsidR="00092C63" w:rsidRPr="00092C63">
        <w:rPr>
          <w:rFonts w:ascii="Garamond" w:hAnsi="Garamond"/>
        </w:rPr>
        <w:t xml:space="preserve"> </w:t>
      </w:r>
      <w:r w:rsidR="00092C63" w:rsidRPr="00626721">
        <w:rPr>
          <w:rFonts w:ascii="Garamond" w:hAnsi="Garamond"/>
        </w:rPr>
        <w:t>statistically</w:t>
      </w:r>
      <w:r w:rsidR="00A34A5A">
        <w:rPr>
          <w:rFonts w:ascii="Garamond" w:hAnsi="Garamond"/>
        </w:rPr>
        <w:t xml:space="preserve"> s</w:t>
      </w:r>
      <w:r w:rsidR="00A34A5A" w:rsidRPr="00626721">
        <w:rPr>
          <w:rFonts w:ascii="Garamond" w:hAnsi="Garamond"/>
        </w:rPr>
        <w:t>ignificant and positive sender effect for</w:t>
      </w:r>
      <w:r w:rsidR="00A34A5A">
        <w:rPr>
          <w:rFonts w:ascii="Garamond" w:hAnsi="Garamond"/>
        </w:rPr>
        <w:t xml:space="preserve"> gender for the Spanish cohort, meaning that male pre-service teachers are more likely to reach out to their peers for instructional materials than their female counterparts.  </w:t>
      </w:r>
    </w:p>
    <w:p w14:paraId="7BC7B72B" w14:textId="1AFD50EE" w:rsidR="00A34A5A" w:rsidRPr="00626721" w:rsidRDefault="00A34A5A" w:rsidP="00A34A5A">
      <w:pPr>
        <w:widowControl/>
        <w:snapToGrid w:val="0"/>
        <w:spacing w:line="480" w:lineRule="auto"/>
        <w:rPr>
          <w:rFonts w:ascii="Garamond" w:hAnsi="Garamond"/>
          <w:b/>
        </w:rPr>
      </w:pPr>
      <w:r w:rsidRPr="00626721">
        <w:rPr>
          <w:rFonts w:ascii="Garamond" w:hAnsi="Garamond"/>
          <w:b/>
        </w:rPr>
        <w:t xml:space="preserve">Characterizing Pre-service Teachers Who </w:t>
      </w:r>
      <w:r w:rsidR="004E70C1">
        <w:rPr>
          <w:rFonts w:ascii="Garamond" w:hAnsi="Garamond"/>
          <w:b/>
        </w:rPr>
        <w:t>A</w:t>
      </w:r>
      <w:r w:rsidR="001F4059">
        <w:rPr>
          <w:rFonts w:ascii="Garamond" w:hAnsi="Garamond"/>
          <w:b/>
        </w:rPr>
        <w:t>re Sought for</w:t>
      </w:r>
      <w:r w:rsidRPr="00626721">
        <w:rPr>
          <w:rFonts w:ascii="Garamond" w:hAnsi="Garamond"/>
          <w:b/>
        </w:rPr>
        <w:t xml:space="preserve"> Instructional Materials</w:t>
      </w:r>
    </w:p>
    <w:p w14:paraId="37CAF644" w14:textId="3C2267D1" w:rsidR="00A34A5A" w:rsidRPr="00626721" w:rsidRDefault="00A34A5A" w:rsidP="00A34A5A">
      <w:pPr>
        <w:widowControl/>
        <w:snapToGrid w:val="0"/>
        <w:spacing w:line="480" w:lineRule="auto"/>
        <w:ind w:firstLine="720"/>
        <w:rPr>
          <w:rFonts w:ascii="Garamond" w:hAnsi="Garamond"/>
        </w:rPr>
      </w:pPr>
      <w:r w:rsidRPr="00626721">
        <w:rPr>
          <w:rFonts w:ascii="Garamond" w:hAnsi="Garamond"/>
        </w:rPr>
        <w:t>The p2 model did not yield any</w:t>
      </w:r>
      <w:r w:rsidR="00092C63" w:rsidRPr="00092C63">
        <w:rPr>
          <w:rFonts w:ascii="Garamond" w:hAnsi="Garamond"/>
        </w:rPr>
        <w:t xml:space="preserve"> </w:t>
      </w:r>
      <w:r w:rsidR="00092C63" w:rsidRPr="00626721">
        <w:rPr>
          <w:rFonts w:ascii="Garamond" w:hAnsi="Garamond"/>
        </w:rPr>
        <w:t>statistically</w:t>
      </w:r>
      <w:r w:rsidRPr="00626721">
        <w:rPr>
          <w:rFonts w:ascii="Garamond" w:hAnsi="Garamond"/>
        </w:rPr>
        <w:t xml:space="preserve"> significant covariates in characterizing the pre-service teachers who are sought for instructional materials</w:t>
      </w:r>
      <w:r>
        <w:rPr>
          <w:rFonts w:ascii="Garamond" w:hAnsi="Garamond"/>
        </w:rPr>
        <w:t xml:space="preserve"> across cohorts</w:t>
      </w:r>
      <w:r w:rsidRPr="00626721">
        <w:rPr>
          <w:rFonts w:ascii="Garamond" w:hAnsi="Garamond"/>
        </w:rPr>
        <w:t>.  This suggests that there is no significant difference in the variables in explaining ties around the provision of instructional materials.</w:t>
      </w:r>
    </w:p>
    <w:p w14:paraId="39F86BEB" w14:textId="70A546D5" w:rsidR="00A34A5A" w:rsidRPr="00626721" w:rsidRDefault="00A34A5A" w:rsidP="00A34A5A">
      <w:pPr>
        <w:widowControl/>
        <w:snapToGrid w:val="0"/>
        <w:spacing w:line="480" w:lineRule="auto"/>
        <w:rPr>
          <w:rFonts w:ascii="Garamond" w:hAnsi="Garamond"/>
          <w:b/>
        </w:rPr>
      </w:pPr>
      <w:r w:rsidRPr="00626721">
        <w:rPr>
          <w:rFonts w:ascii="Garamond" w:hAnsi="Garamond"/>
          <w:b/>
        </w:rPr>
        <w:t>Similar</w:t>
      </w:r>
      <w:r w:rsidR="001F4059">
        <w:rPr>
          <w:rFonts w:ascii="Garamond" w:hAnsi="Garamond"/>
          <w:b/>
        </w:rPr>
        <w:t>ity in</w:t>
      </w:r>
      <w:r w:rsidRPr="00626721">
        <w:rPr>
          <w:rFonts w:ascii="Garamond" w:hAnsi="Garamond"/>
          <w:b/>
        </w:rPr>
        <w:t xml:space="preserve"> Characteristics in </w:t>
      </w:r>
      <w:r>
        <w:rPr>
          <w:rFonts w:ascii="Garamond" w:hAnsi="Garamond"/>
          <w:b/>
        </w:rPr>
        <w:t xml:space="preserve">Forming </w:t>
      </w:r>
      <w:r w:rsidRPr="00626721">
        <w:rPr>
          <w:rFonts w:ascii="Garamond" w:hAnsi="Garamond"/>
          <w:b/>
        </w:rPr>
        <w:t xml:space="preserve">a Tie for </w:t>
      </w:r>
      <w:r>
        <w:rPr>
          <w:rFonts w:ascii="Garamond" w:hAnsi="Garamond"/>
          <w:b/>
        </w:rPr>
        <w:t>Instructional Materials</w:t>
      </w:r>
    </w:p>
    <w:p w14:paraId="7B0F49B1" w14:textId="2E436ABF" w:rsidR="000D0AA6" w:rsidRPr="0016707B" w:rsidRDefault="00A34A5A" w:rsidP="0016707B">
      <w:pPr>
        <w:widowControl/>
        <w:snapToGrid w:val="0"/>
        <w:spacing w:line="480" w:lineRule="auto"/>
        <w:ind w:firstLine="720"/>
        <w:rPr>
          <w:rFonts w:ascii="Garamond" w:hAnsi="Garamond"/>
        </w:rPr>
      </w:pPr>
      <w:r w:rsidRPr="00626721">
        <w:rPr>
          <w:rFonts w:ascii="Garamond" w:hAnsi="Garamond"/>
        </w:rPr>
        <w:t xml:space="preserve">Results of the relationship covariates indicate a statistically significant and </w:t>
      </w:r>
      <w:r w:rsidR="000D0AA6">
        <w:rPr>
          <w:rFonts w:ascii="Garamond" w:hAnsi="Garamond"/>
        </w:rPr>
        <w:t>positive</w:t>
      </w:r>
      <w:r w:rsidRPr="00626721">
        <w:rPr>
          <w:rFonts w:ascii="Garamond" w:hAnsi="Garamond"/>
        </w:rPr>
        <w:t xml:space="preserve"> association with </w:t>
      </w:r>
      <w:r w:rsidR="000D0AA6">
        <w:rPr>
          <w:rFonts w:ascii="Garamond" w:hAnsi="Garamond"/>
        </w:rPr>
        <w:t>NIs relationship</w:t>
      </w:r>
      <w:r w:rsidRPr="00626721">
        <w:rPr>
          <w:rFonts w:ascii="Garamond" w:hAnsi="Garamond"/>
        </w:rPr>
        <w:t xml:space="preserve"> on the likelihood of </w:t>
      </w:r>
      <w:r w:rsidR="000D0AA6">
        <w:rPr>
          <w:rFonts w:ascii="Garamond" w:hAnsi="Garamond"/>
        </w:rPr>
        <w:t>establishing</w:t>
      </w:r>
      <w:r w:rsidRPr="00626721">
        <w:rPr>
          <w:rFonts w:ascii="Garamond" w:hAnsi="Garamond"/>
        </w:rPr>
        <w:t xml:space="preserve"> a tie for </w:t>
      </w:r>
      <w:r w:rsidR="000D0AA6">
        <w:rPr>
          <w:rFonts w:ascii="Garamond" w:hAnsi="Garamond"/>
        </w:rPr>
        <w:t xml:space="preserve">instructional materials across </w:t>
      </w:r>
      <w:r w:rsidR="009D2D43">
        <w:rPr>
          <w:rFonts w:ascii="Garamond" w:hAnsi="Garamond"/>
        </w:rPr>
        <w:t xml:space="preserve">the </w:t>
      </w:r>
      <w:r w:rsidR="000D0AA6">
        <w:rPr>
          <w:rFonts w:ascii="Garamond" w:hAnsi="Garamond"/>
        </w:rPr>
        <w:t>English, Spanish and US cohorts</w:t>
      </w:r>
      <w:r w:rsidRPr="00626721">
        <w:rPr>
          <w:rFonts w:ascii="Garamond" w:hAnsi="Garamond"/>
        </w:rPr>
        <w:t xml:space="preserve">.  This means that the pre-service teachers who </w:t>
      </w:r>
      <w:r w:rsidR="000D0AA6">
        <w:rPr>
          <w:rFonts w:ascii="Garamond" w:hAnsi="Garamond"/>
        </w:rPr>
        <w:t>exchange</w:t>
      </w:r>
      <w:r w:rsidR="009D2D43">
        <w:rPr>
          <w:rFonts w:ascii="Garamond" w:hAnsi="Garamond"/>
        </w:rPr>
        <w:t>d</w:t>
      </w:r>
      <w:r w:rsidR="000D0AA6">
        <w:rPr>
          <w:rFonts w:ascii="Garamond" w:hAnsi="Garamond"/>
        </w:rPr>
        <w:t xml:space="preserve"> new ideas about teaching </w:t>
      </w:r>
      <w:r w:rsidR="009D2D43">
        <w:rPr>
          <w:rFonts w:ascii="Garamond" w:hAnsi="Garamond"/>
        </w:rPr>
        <w:t xml:space="preserve">were </w:t>
      </w:r>
      <w:r w:rsidRPr="00626721">
        <w:rPr>
          <w:rFonts w:ascii="Garamond" w:hAnsi="Garamond"/>
        </w:rPr>
        <w:t xml:space="preserve">more likely to </w:t>
      </w:r>
      <w:r w:rsidR="000D0AA6">
        <w:rPr>
          <w:rFonts w:ascii="Garamond" w:hAnsi="Garamond"/>
        </w:rPr>
        <w:t xml:space="preserve">also </w:t>
      </w:r>
      <w:r w:rsidRPr="00626721">
        <w:rPr>
          <w:rFonts w:ascii="Garamond" w:hAnsi="Garamond"/>
        </w:rPr>
        <w:t xml:space="preserve">exchange </w:t>
      </w:r>
      <w:r w:rsidR="000D0AA6">
        <w:rPr>
          <w:rFonts w:ascii="Garamond" w:hAnsi="Garamond"/>
        </w:rPr>
        <w:t>instructional materials</w:t>
      </w:r>
      <w:r w:rsidRPr="00626721">
        <w:rPr>
          <w:rFonts w:ascii="Garamond" w:hAnsi="Garamond"/>
        </w:rPr>
        <w:t xml:space="preserve">.  </w:t>
      </w:r>
      <w:r w:rsidR="000D0AA6">
        <w:rPr>
          <w:rFonts w:ascii="Garamond" w:hAnsi="Garamond"/>
        </w:rPr>
        <w:t xml:space="preserve">There </w:t>
      </w:r>
      <w:r w:rsidR="000D0AA6">
        <w:rPr>
          <w:rFonts w:ascii="Garamond" w:hAnsi="Garamond"/>
        </w:rPr>
        <w:lastRenderedPageBreak/>
        <w:t xml:space="preserve">is no significant relational effect for gender, self-efficacy, and peer trust on the likelihood of forming a tie for </w:t>
      </w:r>
      <w:r w:rsidR="00C0713D">
        <w:rPr>
          <w:rFonts w:ascii="Garamond" w:hAnsi="Garamond"/>
        </w:rPr>
        <w:t>sharing</w:t>
      </w:r>
      <w:r w:rsidR="000D0AA6">
        <w:rPr>
          <w:rFonts w:ascii="Garamond" w:hAnsi="Garamond"/>
        </w:rPr>
        <w:t xml:space="preserve"> instructional materials.  In terms of reciprocity effect, the findings indicate </w:t>
      </w:r>
      <w:r w:rsidR="0016707B">
        <w:rPr>
          <w:rFonts w:ascii="Garamond" w:hAnsi="Garamond"/>
        </w:rPr>
        <w:t xml:space="preserve">a </w:t>
      </w:r>
      <w:r w:rsidR="003A45F7" w:rsidRPr="00626721">
        <w:rPr>
          <w:rFonts w:ascii="Garamond" w:hAnsi="Garamond"/>
        </w:rPr>
        <w:t xml:space="preserve">significant and </w:t>
      </w:r>
      <w:r w:rsidR="0016707B">
        <w:rPr>
          <w:rFonts w:ascii="Garamond" w:hAnsi="Garamond"/>
        </w:rPr>
        <w:t>positive effect for peer trust among the English cohort, meaning that</w:t>
      </w:r>
      <w:r w:rsidR="0016707B" w:rsidRPr="0016707B">
        <w:rPr>
          <w:rFonts w:ascii="Garamond" w:hAnsi="Garamond"/>
        </w:rPr>
        <w:t xml:space="preserve"> </w:t>
      </w:r>
      <w:r w:rsidR="0016707B">
        <w:rPr>
          <w:rFonts w:ascii="Garamond" w:hAnsi="Garamond"/>
        </w:rPr>
        <w:t>the English pre-service teachers</w:t>
      </w:r>
      <w:r w:rsidR="0016707B" w:rsidRPr="0016707B">
        <w:rPr>
          <w:rFonts w:ascii="Garamond" w:hAnsi="Garamond"/>
        </w:rPr>
        <w:t xml:space="preserve"> </w:t>
      </w:r>
      <w:r w:rsidR="0016707B">
        <w:rPr>
          <w:rFonts w:ascii="Garamond" w:hAnsi="Garamond"/>
        </w:rPr>
        <w:t>who perceive</w:t>
      </w:r>
      <w:r w:rsidR="00C0713D">
        <w:rPr>
          <w:rFonts w:ascii="Garamond" w:hAnsi="Garamond"/>
        </w:rPr>
        <w:t>d</w:t>
      </w:r>
      <w:r w:rsidR="0016707B" w:rsidRPr="0016707B">
        <w:rPr>
          <w:rFonts w:ascii="Garamond" w:hAnsi="Garamond"/>
        </w:rPr>
        <w:t xml:space="preserve"> different levels of peer trust </w:t>
      </w:r>
      <w:r w:rsidR="00C0713D">
        <w:rPr>
          <w:rFonts w:ascii="Garamond" w:hAnsi="Garamond"/>
        </w:rPr>
        <w:t>were</w:t>
      </w:r>
      <w:r w:rsidR="00C0713D" w:rsidRPr="0016707B">
        <w:rPr>
          <w:rFonts w:ascii="Garamond" w:hAnsi="Garamond"/>
        </w:rPr>
        <w:t xml:space="preserve"> </w:t>
      </w:r>
      <w:r w:rsidR="0016707B" w:rsidRPr="0016707B">
        <w:rPr>
          <w:rFonts w:ascii="Garamond" w:hAnsi="Garamond"/>
        </w:rPr>
        <w:t xml:space="preserve">more likely to </w:t>
      </w:r>
      <w:r w:rsidR="0016707B">
        <w:rPr>
          <w:rFonts w:ascii="Garamond" w:hAnsi="Garamond"/>
        </w:rPr>
        <w:t>establish</w:t>
      </w:r>
      <w:r w:rsidR="0016707B" w:rsidRPr="0016707B">
        <w:rPr>
          <w:rFonts w:ascii="Garamond" w:hAnsi="Garamond"/>
        </w:rPr>
        <w:t xml:space="preserve"> </w:t>
      </w:r>
      <w:r w:rsidR="00477218">
        <w:rPr>
          <w:rFonts w:ascii="Garamond" w:hAnsi="Garamond"/>
        </w:rPr>
        <w:t>mutual relationships</w:t>
      </w:r>
      <w:r w:rsidR="0016707B" w:rsidRPr="0016707B">
        <w:rPr>
          <w:rFonts w:ascii="Garamond" w:hAnsi="Garamond"/>
        </w:rPr>
        <w:t xml:space="preserve"> in exchanging instructional materials</w:t>
      </w:r>
      <w:r w:rsidR="0016707B">
        <w:rPr>
          <w:rFonts w:ascii="Garamond" w:hAnsi="Garamond"/>
        </w:rPr>
        <w:t>, contrary to H6</w:t>
      </w:r>
      <w:r w:rsidR="0016707B" w:rsidRPr="0016707B">
        <w:rPr>
          <w:rFonts w:ascii="Garamond" w:hAnsi="Garamond"/>
        </w:rPr>
        <w:t xml:space="preserve">.  </w:t>
      </w:r>
      <w:r w:rsidR="0016707B">
        <w:rPr>
          <w:rFonts w:ascii="Garamond" w:hAnsi="Garamond"/>
        </w:rPr>
        <w:t xml:space="preserve">Similarly, a </w:t>
      </w:r>
      <w:r w:rsidR="003A45F7" w:rsidRPr="00626721">
        <w:rPr>
          <w:rFonts w:ascii="Garamond" w:hAnsi="Garamond"/>
        </w:rPr>
        <w:t xml:space="preserve">significant and </w:t>
      </w:r>
      <w:r w:rsidR="0016707B">
        <w:rPr>
          <w:rFonts w:ascii="Garamond" w:hAnsi="Garamond"/>
        </w:rPr>
        <w:t xml:space="preserve">positive reciprocity effect is found for self-efficacy for the US cohort on the likelihood of establishing a reciprocated tie.  </w:t>
      </w:r>
      <w:r w:rsidR="00477218">
        <w:rPr>
          <w:rFonts w:ascii="Garamond" w:hAnsi="Garamond"/>
        </w:rPr>
        <w:t>This suggests</w:t>
      </w:r>
      <w:r w:rsidR="0016707B">
        <w:rPr>
          <w:rFonts w:ascii="Garamond" w:hAnsi="Garamond"/>
        </w:rPr>
        <w:t xml:space="preserve"> the US pre-service teachers who perceive</w:t>
      </w:r>
      <w:r w:rsidR="00477218">
        <w:rPr>
          <w:rFonts w:ascii="Garamond" w:hAnsi="Garamond"/>
        </w:rPr>
        <w:t>d</w:t>
      </w:r>
      <w:r w:rsidR="0016707B" w:rsidRPr="0016707B">
        <w:rPr>
          <w:rFonts w:ascii="Garamond" w:hAnsi="Garamond"/>
        </w:rPr>
        <w:t xml:space="preserve"> different levels of self-efficacy </w:t>
      </w:r>
      <w:r w:rsidR="00477218">
        <w:rPr>
          <w:rFonts w:ascii="Garamond" w:hAnsi="Garamond"/>
        </w:rPr>
        <w:t>were</w:t>
      </w:r>
      <w:r w:rsidR="00477218" w:rsidRPr="0016707B">
        <w:rPr>
          <w:rFonts w:ascii="Garamond" w:hAnsi="Garamond"/>
        </w:rPr>
        <w:t xml:space="preserve"> </w:t>
      </w:r>
      <w:r w:rsidR="0016707B" w:rsidRPr="0016707B">
        <w:rPr>
          <w:rFonts w:ascii="Garamond" w:hAnsi="Garamond"/>
        </w:rPr>
        <w:t xml:space="preserve">more likely to </w:t>
      </w:r>
      <w:r w:rsidR="0016707B">
        <w:rPr>
          <w:rFonts w:ascii="Garamond" w:hAnsi="Garamond"/>
        </w:rPr>
        <w:t>mutually e</w:t>
      </w:r>
      <w:r w:rsidR="0016707B" w:rsidRPr="0016707B">
        <w:rPr>
          <w:rFonts w:ascii="Garamond" w:hAnsi="Garamond"/>
        </w:rPr>
        <w:t>xchang</w:t>
      </w:r>
      <w:r w:rsidR="0016707B">
        <w:rPr>
          <w:rFonts w:ascii="Garamond" w:hAnsi="Garamond"/>
        </w:rPr>
        <w:t>e</w:t>
      </w:r>
      <w:r w:rsidR="0016707B" w:rsidRPr="0016707B">
        <w:rPr>
          <w:rFonts w:ascii="Garamond" w:hAnsi="Garamond"/>
        </w:rPr>
        <w:t xml:space="preserve"> instructional materials</w:t>
      </w:r>
      <w:r w:rsidR="0016707B">
        <w:rPr>
          <w:rFonts w:ascii="Garamond" w:hAnsi="Garamond"/>
        </w:rPr>
        <w:t xml:space="preserve"> with each other, not supporting H4</w:t>
      </w:r>
      <w:r w:rsidR="0016707B" w:rsidRPr="0016707B">
        <w:rPr>
          <w:rFonts w:ascii="Garamond" w:hAnsi="Garamond"/>
        </w:rPr>
        <w:t>.</w:t>
      </w:r>
      <w:r w:rsidR="0016707B">
        <w:rPr>
          <w:rFonts w:ascii="Garamond" w:hAnsi="Garamond"/>
        </w:rPr>
        <w:t xml:space="preserve"> </w:t>
      </w:r>
      <w:r w:rsidR="003A45F7">
        <w:rPr>
          <w:rFonts w:ascii="Garamond" w:hAnsi="Garamond"/>
        </w:rPr>
        <w:t xml:space="preserve"> Finally, there is a </w:t>
      </w:r>
      <w:r w:rsidR="003A45F7" w:rsidRPr="00626721">
        <w:rPr>
          <w:rFonts w:ascii="Garamond" w:hAnsi="Garamond"/>
        </w:rPr>
        <w:t xml:space="preserve">significant and </w:t>
      </w:r>
      <w:r w:rsidR="003A45F7">
        <w:rPr>
          <w:rFonts w:ascii="Garamond" w:hAnsi="Garamond"/>
        </w:rPr>
        <w:t xml:space="preserve">negative </w:t>
      </w:r>
      <w:r w:rsidR="00B00A7C">
        <w:rPr>
          <w:rFonts w:ascii="Garamond" w:hAnsi="Garamond"/>
        </w:rPr>
        <w:t xml:space="preserve">reciprocity effect for gender among the US pre-service teachers, which indicates that the US cohort tend to mutually exchange instructional materials with same gender peers, supporting H9.  </w:t>
      </w:r>
    </w:p>
    <w:p w14:paraId="45359B7F" w14:textId="126D018B" w:rsidR="00A76B4B" w:rsidRPr="00626721" w:rsidRDefault="00626721" w:rsidP="00626721">
      <w:pPr>
        <w:widowControl/>
        <w:snapToGrid w:val="0"/>
        <w:spacing w:line="480" w:lineRule="auto"/>
        <w:ind w:firstLine="720"/>
        <w:rPr>
          <w:rFonts w:ascii="Garamond" w:hAnsi="Garamond"/>
        </w:rPr>
      </w:pPr>
      <w:r w:rsidRPr="00626721">
        <w:rPr>
          <w:rFonts w:ascii="Garamond" w:hAnsi="Garamond"/>
        </w:rPr>
        <w:t xml:space="preserve">In sum, our findings fully supported </w:t>
      </w:r>
      <w:r w:rsidR="009A54E6">
        <w:rPr>
          <w:rFonts w:ascii="Garamond" w:hAnsi="Garamond"/>
        </w:rPr>
        <w:t>six</w:t>
      </w:r>
      <w:r w:rsidRPr="00626721">
        <w:rPr>
          <w:rFonts w:ascii="Garamond" w:hAnsi="Garamond"/>
        </w:rPr>
        <w:t xml:space="preserve"> hypotheses</w:t>
      </w:r>
      <w:r w:rsidR="009A54E6">
        <w:rPr>
          <w:rFonts w:ascii="Garamond" w:hAnsi="Garamond"/>
        </w:rPr>
        <w:t xml:space="preserve"> in the overall network structure, </w:t>
      </w:r>
      <w:r w:rsidR="00815581">
        <w:rPr>
          <w:rFonts w:ascii="Garamond" w:hAnsi="Garamond"/>
        </w:rPr>
        <w:t>individual effect for self-efficac</w:t>
      </w:r>
      <w:r w:rsidR="00B20D95">
        <w:rPr>
          <w:rFonts w:ascii="Garamond" w:hAnsi="Garamond"/>
        </w:rPr>
        <w:t>y and peer trust,</w:t>
      </w:r>
      <w:r w:rsidR="00815581">
        <w:rPr>
          <w:rFonts w:ascii="Garamond" w:hAnsi="Garamond"/>
        </w:rPr>
        <w:t xml:space="preserve"> </w:t>
      </w:r>
      <w:r w:rsidR="00B20D95">
        <w:rPr>
          <w:rFonts w:ascii="Garamond" w:hAnsi="Garamond"/>
        </w:rPr>
        <w:t xml:space="preserve">as well as </w:t>
      </w:r>
      <w:r w:rsidR="00815581">
        <w:rPr>
          <w:rFonts w:ascii="Garamond" w:hAnsi="Garamond"/>
        </w:rPr>
        <w:t>dyadic effect</w:t>
      </w:r>
      <w:r w:rsidR="00B20D95">
        <w:rPr>
          <w:rFonts w:ascii="Garamond" w:hAnsi="Garamond"/>
        </w:rPr>
        <w:t>s</w:t>
      </w:r>
      <w:r w:rsidR="00815581">
        <w:rPr>
          <w:rFonts w:ascii="Garamond" w:hAnsi="Garamond"/>
        </w:rPr>
        <w:t xml:space="preserve"> for </w:t>
      </w:r>
      <w:r w:rsidR="00B20D95">
        <w:rPr>
          <w:rFonts w:ascii="Garamond" w:hAnsi="Garamond"/>
        </w:rPr>
        <w:t xml:space="preserve">gender and </w:t>
      </w:r>
      <w:r w:rsidR="00815581">
        <w:rPr>
          <w:rFonts w:ascii="Garamond" w:hAnsi="Garamond"/>
        </w:rPr>
        <w:t>NIs exchange</w:t>
      </w:r>
      <w:r w:rsidRPr="00626721">
        <w:rPr>
          <w:rFonts w:ascii="Garamond" w:hAnsi="Garamond"/>
        </w:rPr>
        <w:t xml:space="preserve">.  </w:t>
      </w:r>
      <w:r w:rsidR="009A54E6">
        <w:rPr>
          <w:rFonts w:ascii="Garamond" w:hAnsi="Garamond"/>
        </w:rPr>
        <w:t>Three</w:t>
      </w:r>
      <w:r w:rsidRPr="00626721">
        <w:rPr>
          <w:rFonts w:ascii="Garamond" w:hAnsi="Garamond"/>
        </w:rPr>
        <w:t xml:space="preserve"> of the study hypotheses were not supported</w:t>
      </w:r>
      <w:r w:rsidR="00B20D95">
        <w:rPr>
          <w:rFonts w:ascii="Garamond" w:hAnsi="Garamond"/>
        </w:rPr>
        <w:t xml:space="preserve"> including the </w:t>
      </w:r>
      <w:proofErr w:type="spellStart"/>
      <w:r w:rsidR="00B20D95">
        <w:rPr>
          <w:rFonts w:ascii="Garamond" w:hAnsi="Garamond"/>
        </w:rPr>
        <w:t>homophily</w:t>
      </w:r>
      <w:proofErr w:type="spellEnd"/>
      <w:r w:rsidR="00B20D95">
        <w:rPr>
          <w:rFonts w:ascii="Garamond" w:hAnsi="Garamond"/>
        </w:rPr>
        <w:t xml:space="preserve"> effects for self-efficacy and peer trust and the individual effect for gender</w:t>
      </w:r>
      <w:r w:rsidRPr="00626721">
        <w:rPr>
          <w:rFonts w:ascii="Garamond" w:hAnsi="Garamond"/>
        </w:rPr>
        <w:t xml:space="preserve">. </w:t>
      </w:r>
      <w:r w:rsidR="00B20D95">
        <w:rPr>
          <w:rFonts w:ascii="Garamond" w:hAnsi="Garamond"/>
        </w:rPr>
        <w:t xml:space="preserve"> Table 4 </w:t>
      </w:r>
      <w:r w:rsidRPr="00626721">
        <w:rPr>
          <w:rFonts w:ascii="Garamond" w:hAnsi="Garamond"/>
        </w:rPr>
        <w:t>provides a summary of the study hypotheses and findings.</w:t>
      </w:r>
    </w:p>
    <w:p w14:paraId="64A62F3D" w14:textId="0552FE71" w:rsidR="009A6D34" w:rsidRPr="00EC7A70" w:rsidRDefault="009A6D34" w:rsidP="009A6D34">
      <w:pPr>
        <w:widowControl/>
        <w:snapToGrid w:val="0"/>
        <w:spacing w:line="480" w:lineRule="auto"/>
        <w:jc w:val="center"/>
        <w:rPr>
          <w:rFonts w:ascii="Garamond" w:hAnsi="Garamond"/>
        </w:rPr>
      </w:pPr>
      <w:r>
        <w:rPr>
          <w:rFonts w:ascii="Garamond" w:hAnsi="Garamond"/>
        </w:rPr>
        <w:t xml:space="preserve">Insert Table </w:t>
      </w:r>
      <w:r w:rsidR="002C4768">
        <w:rPr>
          <w:rFonts w:ascii="Garamond" w:hAnsi="Garamond"/>
        </w:rPr>
        <w:t>4</w:t>
      </w:r>
      <w:r>
        <w:rPr>
          <w:rFonts w:ascii="Garamond" w:hAnsi="Garamond"/>
        </w:rPr>
        <w:t xml:space="preserve"> about Here</w:t>
      </w:r>
    </w:p>
    <w:p w14:paraId="4EA822E9" w14:textId="5188EB1E" w:rsidR="003A0AAD" w:rsidRPr="00EC7A70" w:rsidRDefault="003A0AAD" w:rsidP="003A0AAD">
      <w:pPr>
        <w:widowControl/>
        <w:snapToGrid w:val="0"/>
        <w:spacing w:line="480" w:lineRule="auto"/>
        <w:jc w:val="center"/>
        <w:rPr>
          <w:rFonts w:ascii="Garamond" w:hAnsi="Garamond"/>
          <w:b/>
          <w:bCs/>
        </w:rPr>
      </w:pPr>
      <w:r w:rsidRPr="00EC7A70">
        <w:rPr>
          <w:rFonts w:ascii="Garamond" w:hAnsi="Garamond"/>
          <w:b/>
          <w:bCs/>
        </w:rPr>
        <w:t>Discussion and Conclusion</w:t>
      </w:r>
    </w:p>
    <w:p w14:paraId="6C0313D9" w14:textId="0166498D" w:rsidR="00B73B1C" w:rsidRPr="00CB580E" w:rsidRDefault="00BC775B" w:rsidP="00CB580E">
      <w:pPr>
        <w:widowControl/>
        <w:snapToGrid w:val="0"/>
        <w:spacing w:line="480" w:lineRule="auto"/>
        <w:ind w:firstLine="720"/>
        <w:rPr>
          <w:rFonts w:ascii="Garamond" w:hAnsi="Garamond"/>
        </w:rPr>
      </w:pPr>
      <w:r>
        <w:rPr>
          <w:rFonts w:ascii="Garamond" w:hAnsi="Garamond"/>
        </w:rPr>
        <w:t>Responding to the recent call for a more social and collaborative approach to improvement, t</w:t>
      </w:r>
      <w:r w:rsidR="00B73B1C" w:rsidRPr="00B73B1C">
        <w:rPr>
          <w:rFonts w:ascii="Garamond" w:hAnsi="Garamond"/>
        </w:rPr>
        <w:t xml:space="preserve">his exploratory </w:t>
      </w:r>
      <w:r>
        <w:rPr>
          <w:rFonts w:ascii="Garamond" w:hAnsi="Garamond"/>
        </w:rPr>
        <w:t xml:space="preserve">cross-country </w:t>
      </w:r>
      <w:r w:rsidR="00B73B1C" w:rsidRPr="00B73B1C">
        <w:rPr>
          <w:rFonts w:ascii="Garamond" w:hAnsi="Garamond"/>
        </w:rPr>
        <w:t xml:space="preserve">study builds on rapidly growing scholarship using social network analysis </w:t>
      </w:r>
      <w:r>
        <w:rPr>
          <w:rFonts w:ascii="Garamond" w:hAnsi="Garamond"/>
        </w:rPr>
        <w:t xml:space="preserve">to examine the social side </w:t>
      </w:r>
      <w:r w:rsidR="00B73B1C" w:rsidRPr="00B73B1C">
        <w:rPr>
          <w:rFonts w:ascii="Garamond" w:hAnsi="Garamond"/>
        </w:rPr>
        <w:t xml:space="preserve">in education and further sheds new light on </w:t>
      </w:r>
      <w:r>
        <w:rPr>
          <w:rFonts w:ascii="Garamond" w:hAnsi="Garamond"/>
        </w:rPr>
        <w:t xml:space="preserve">conventional </w:t>
      </w:r>
      <w:r w:rsidR="00B73B1C" w:rsidRPr="00B73B1C">
        <w:rPr>
          <w:rFonts w:ascii="Garamond" w:hAnsi="Garamond"/>
        </w:rPr>
        <w:t>understanding of pre-service teacher development</w:t>
      </w:r>
      <w:r w:rsidR="00657130">
        <w:rPr>
          <w:rFonts w:ascii="Garamond" w:hAnsi="Garamond"/>
        </w:rPr>
        <w:t xml:space="preserve"> across settings</w:t>
      </w:r>
      <w:r w:rsidR="00B73B1C" w:rsidRPr="00B73B1C">
        <w:rPr>
          <w:rFonts w:ascii="Garamond" w:hAnsi="Garamond"/>
        </w:rPr>
        <w:t xml:space="preserve">.  </w:t>
      </w:r>
      <w:r w:rsidR="00CB580E" w:rsidRPr="00CB580E">
        <w:rPr>
          <w:rFonts w:ascii="Garamond" w:hAnsi="Garamond"/>
        </w:rPr>
        <w:t>This work adds to an emerging set of</w:t>
      </w:r>
      <w:r w:rsidR="00CB580E">
        <w:rPr>
          <w:rFonts w:ascii="Garamond" w:hAnsi="Garamond"/>
        </w:rPr>
        <w:t xml:space="preserve"> social network data about peer relationships</w:t>
      </w:r>
      <w:r w:rsidR="00CB580E" w:rsidRPr="00CB580E">
        <w:rPr>
          <w:rFonts w:ascii="Garamond" w:hAnsi="Garamond"/>
        </w:rPr>
        <w:t xml:space="preserve"> during teacher education programs.  Understanding the mechanisms through which pre-service teachers’ relational ties can be </w:t>
      </w:r>
      <w:r w:rsidR="00CB580E">
        <w:rPr>
          <w:rFonts w:ascii="Garamond" w:hAnsi="Garamond"/>
        </w:rPr>
        <w:t>developed</w:t>
      </w:r>
      <w:r w:rsidR="00CB580E" w:rsidRPr="00CB580E">
        <w:rPr>
          <w:rFonts w:ascii="Garamond" w:hAnsi="Garamond"/>
        </w:rPr>
        <w:t xml:space="preserve"> </w:t>
      </w:r>
      <w:r w:rsidR="00543D79">
        <w:rPr>
          <w:rFonts w:ascii="Garamond" w:hAnsi="Garamond"/>
        </w:rPr>
        <w:lastRenderedPageBreak/>
        <w:t xml:space="preserve">within and across </w:t>
      </w:r>
      <w:r w:rsidR="004E62DB">
        <w:rPr>
          <w:rFonts w:ascii="Garamond" w:hAnsi="Garamond"/>
        </w:rPr>
        <w:t xml:space="preserve">each of the </w:t>
      </w:r>
      <w:r w:rsidR="00543D79">
        <w:rPr>
          <w:rFonts w:ascii="Garamond" w:hAnsi="Garamond"/>
        </w:rPr>
        <w:t xml:space="preserve">settings </w:t>
      </w:r>
      <w:r w:rsidR="00CB580E" w:rsidRPr="00CB580E">
        <w:rPr>
          <w:rFonts w:ascii="Garamond" w:hAnsi="Garamond"/>
        </w:rPr>
        <w:t xml:space="preserve">may </w:t>
      </w:r>
      <w:r w:rsidR="00CB580E">
        <w:rPr>
          <w:rFonts w:ascii="Garamond" w:hAnsi="Garamond"/>
        </w:rPr>
        <w:t xml:space="preserve">further assist in rethinking </w:t>
      </w:r>
      <w:r w:rsidR="00CF0334">
        <w:rPr>
          <w:rFonts w:ascii="Garamond" w:hAnsi="Garamond"/>
        </w:rPr>
        <w:t xml:space="preserve">the design of </w:t>
      </w:r>
      <w:r w:rsidR="00CB580E" w:rsidRPr="00CB580E">
        <w:rPr>
          <w:rFonts w:ascii="Garamond" w:hAnsi="Garamond"/>
        </w:rPr>
        <w:t xml:space="preserve">teacher preparation programs </w:t>
      </w:r>
      <w:r w:rsidR="00CF0334">
        <w:rPr>
          <w:rFonts w:ascii="Garamond" w:hAnsi="Garamond"/>
        </w:rPr>
        <w:t>including</w:t>
      </w:r>
      <w:r w:rsidR="00CB580E" w:rsidRPr="00CB580E">
        <w:rPr>
          <w:rFonts w:ascii="Garamond" w:hAnsi="Garamond"/>
        </w:rPr>
        <w:t xml:space="preserve"> curriculum, training activities, and social settings that better serve the </w:t>
      </w:r>
      <w:r w:rsidR="00CF0334">
        <w:rPr>
          <w:rFonts w:ascii="Garamond" w:hAnsi="Garamond"/>
        </w:rPr>
        <w:t xml:space="preserve">learning </w:t>
      </w:r>
      <w:r w:rsidR="00CB580E" w:rsidRPr="00CB580E">
        <w:rPr>
          <w:rFonts w:ascii="Garamond" w:hAnsi="Garamond"/>
        </w:rPr>
        <w:t xml:space="preserve">needs of pre-service teachers </w:t>
      </w:r>
      <w:r w:rsidR="00CF0334">
        <w:rPr>
          <w:rFonts w:ascii="Garamond" w:hAnsi="Garamond"/>
        </w:rPr>
        <w:t>both socially and professionally</w:t>
      </w:r>
      <w:r w:rsidR="00CB580E" w:rsidRPr="00CB580E">
        <w:rPr>
          <w:rFonts w:ascii="Garamond" w:hAnsi="Garamond"/>
        </w:rPr>
        <w:t>.</w:t>
      </w:r>
    </w:p>
    <w:p w14:paraId="531AEE26" w14:textId="2206BFAA" w:rsidR="00623B52" w:rsidRPr="00623B52" w:rsidRDefault="00CB580E" w:rsidP="00623B52">
      <w:pPr>
        <w:widowControl/>
        <w:snapToGrid w:val="0"/>
        <w:spacing w:line="480" w:lineRule="auto"/>
        <w:rPr>
          <w:rFonts w:ascii="Garamond" w:hAnsi="Garamond"/>
          <w:b/>
        </w:rPr>
      </w:pPr>
      <w:r w:rsidRPr="00623B52">
        <w:rPr>
          <w:rFonts w:ascii="Garamond" w:hAnsi="Garamond"/>
          <w:b/>
        </w:rPr>
        <w:t xml:space="preserve">The </w:t>
      </w:r>
      <w:r w:rsidR="00623B52">
        <w:rPr>
          <w:rFonts w:ascii="Garamond" w:hAnsi="Garamond"/>
          <w:b/>
        </w:rPr>
        <w:t>R</w:t>
      </w:r>
      <w:r w:rsidRPr="00623B52">
        <w:rPr>
          <w:rFonts w:ascii="Garamond" w:hAnsi="Garamond"/>
          <w:b/>
        </w:rPr>
        <w:t xml:space="preserve">ole of </w:t>
      </w:r>
      <w:r w:rsidR="00623B52">
        <w:rPr>
          <w:rFonts w:ascii="Garamond" w:hAnsi="Garamond"/>
          <w:b/>
        </w:rPr>
        <w:t>S</w:t>
      </w:r>
      <w:r w:rsidR="00BC775B" w:rsidRPr="00623B52">
        <w:rPr>
          <w:rFonts w:ascii="Garamond" w:hAnsi="Garamond"/>
          <w:b/>
        </w:rPr>
        <w:t>elf-</w:t>
      </w:r>
      <w:r w:rsidR="00623B52">
        <w:rPr>
          <w:rFonts w:ascii="Garamond" w:hAnsi="Garamond"/>
          <w:b/>
        </w:rPr>
        <w:t>E</w:t>
      </w:r>
      <w:r w:rsidR="00BC775B" w:rsidRPr="00623B52">
        <w:rPr>
          <w:rFonts w:ascii="Garamond" w:hAnsi="Garamond"/>
          <w:b/>
        </w:rPr>
        <w:t xml:space="preserve">fficacy and </w:t>
      </w:r>
      <w:r w:rsidR="00623B52">
        <w:rPr>
          <w:rFonts w:ascii="Garamond" w:hAnsi="Garamond"/>
          <w:b/>
        </w:rPr>
        <w:t>P</w:t>
      </w:r>
      <w:r w:rsidR="00BC775B" w:rsidRPr="00623B52">
        <w:rPr>
          <w:rFonts w:ascii="Garamond" w:hAnsi="Garamond"/>
          <w:b/>
        </w:rPr>
        <w:t xml:space="preserve">eer </w:t>
      </w:r>
      <w:r w:rsidR="00623B52">
        <w:rPr>
          <w:rFonts w:ascii="Garamond" w:hAnsi="Garamond"/>
          <w:b/>
        </w:rPr>
        <w:t>T</w:t>
      </w:r>
      <w:r w:rsidR="00BC775B" w:rsidRPr="00623B52">
        <w:rPr>
          <w:rFonts w:ascii="Garamond" w:hAnsi="Garamond"/>
          <w:b/>
        </w:rPr>
        <w:t xml:space="preserve">rust in IMs </w:t>
      </w:r>
      <w:r w:rsidR="00623B52">
        <w:rPr>
          <w:rFonts w:ascii="Garamond" w:hAnsi="Garamond"/>
          <w:b/>
        </w:rPr>
        <w:t>T</w:t>
      </w:r>
      <w:r w:rsidR="00BC775B" w:rsidRPr="00623B52">
        <w:rPr>
          <w:rFonts w:ascii="Garamond" w:hAnsi="Garamond"/>
          <w:b/>
        </w:rPr>
        <w:t xml:space="preserve">ies  </w:t>
      </w:r>
    </w:p>
    <w:p w14:paraId="2C0FFF1F" w14:textId="7BD4CDA1" w:rsidR="00C922D1" w:rsidRDefault="00B73B1C" w:rsidP="00623B52">
      <w:pPr>
        <w:widowControl/>
        <w:snapToGrid w:val="0"/>
        <w:spacing w:line="480" w:lineRule="auto"/>
        <w:ind w:firstLine="720"/>
        <w:rPr>
          <w:rFonts w:ascii="Garamond" w:hAnsi="Garamond"/>
        </w:rPr>
      </w:pPr>
      <w:r w:rsidRPr="00B73B1C">
        <w:rPr>
          <w:rFonts w:ascii="Garamond" w:hAnsi="Garamond"/>
        </w:rPr>
        <w:t xml:space="preserve">This study fully supported </w:t>
      </w:r>
      <w:r w:rsidR="00BC775B">
        <w:rPr>
          <w:rFonts w:ascii="Garamond" w:hAnsi="Garamond"/>
        </w:rPr>
        <w:t>our hypotheses around self-efficacy and peer trust in terms of individual sender effect</w:t>
      </w:r>
      <w:r w:rsidRPr="00B73B1C">
        <w:rPr>
          <w:rFonts w:ascii="Garamond" w:hAnsi="Garamond"/>
        </w:rPr>
        <w:t xml:space="preserve">.  Our read of the literature led us to hypothesize that self-efficacy would be an important </w:t>
      </w:r>
      <w:r w:rsidR="00DD1066">
        <w:rPr>
          <w:rFonts w:ascii="Garamond" w:hAnsi="Garamond"/>
        </w:rPr>
        <w:t xml:space="preserve">intrinsic </w:t>
      </w:r>
      <w:r w:rsidRPr="00B73B1C">
        <w:rPr>
          <w:rFonts w:ascii="Garamond" w:hAnsi="Garamond"/>
        </w:rPr>
        <w:t xml:space="preserve">factor and so the findings around </w:t>
      </w:r>
      <w:r w:rsidR="00BC775B">
        <w:rPr>
          <w:rFonts w:ascii="Garamond" w:hAnsi="Garamond"/>
        </w:rPr>
        <w:t>self-</w:t>
      </w:r>
      <w:r w:rsidRPr="00B73B1C">
        <w:rPr>
          <w:rFonts w:ascii="Garamond" w:hAnsi="Garamond"/>
        </w:rPr>
        <w:t xml:space="preserve">efficacy were validating, but not surprising.  It seems that </w:t>
      </w:r>
      <w:r w:rsidR="00DD1066">
        <w:rPr>
          <w:rFonts w:ascii="Garamond" w:hAnsi="Garamond"/>
        </w:rPr>
        <w:t xml:space="preserve">at the end of preparation, </w:t>
      </w:r>
      <w:r w:rsidRPr="00B73B1C">
        <w:rPr>
          <w:rFonts w:ascii="Garamond" w:hAnsi="Garamond"/>
        </w:rPr>
        <w:t xml:space="preserve">the pre-service teachers had a growing competence in their skill sets and </w:t>
      </w:r>
      <w:r w:rsidR="00DD1066">
        <w:rPr>
          <w:rFonts w:ascii="Garamond" w:hAnsi="Garamond"/>
        </w:rPr>
        <w:t xml:space="preserve">as such </w:t>
      </w:r>
      <w:r w:rsidRPr="00B73B1C">
        <w:rPr>
          <w:rFonts w:ascii="Garamond" w:hAnsi="Garamond"/>
        </w:rPr>
        <w:t xml:space="preserve">those with </w:t>
      </w:r>
      <w:r w:rsidR="00DD1066">
        <w:rPr>
          <w:rFonts w:ascii="Garamond" w:hAnsi="Garamond"/>
        </w:rPr>
        <w:t>greater</w:t>
      </w:r>
      <w:r w:rsidRPr="00B73B1C">
        <w:rPr>
          <w:rFonts w:ascii="Garamond" w:hAnsi="Garamond"/>
        </w:rPr>
        <w:t xml:space="preserve"> </w:t>
      </w:r>
      <w:r w:rsidR="00DD1066">
        <w:rPr>
          <w:rFonts w:ascii="Garamond" w:hAnsi="Garamond"/>
        </w:rPr>
        <w:t>self-</w:t>
      </w:r>
      <w:r w:rsidRPr="00B73B1C">
        <w:rPr>
          <w:rFonts w:ascii="Garamond" w:hAnsi="Garamond"/>
        </w:rPr>
        <w:t xml:space="preserve">efficacy </w:t>
      </w:r>
      <w:r w:rsidR="00DD1066">
        <w:rPr>
          <w:rFonts w:ascii="Garamond" w:hAnsi="Garamond"/>
        </w:rPr>
        <w:t xml:space="preserve">were able to identify </w:t>
      </w:r>
      <w:r w:rsidR="00321ECD">
        <w:rPr>
          <w:rFonts w:ascii="Garamond" w:hAnsi="Garamond"/>
        </w:rPr>
        <w:t xml:space="preserve">peers as </w:t>
      </w:r>
      <w:r w:rsidR="00DD1066">
        <w:rPr>
          <w:rFonts w:ascii="Garamond" w:hAnsi="Garamond"/>
        </w:rPr>
        <w:t>source</w:t>
      </w:r>
      <w:r w:rsidR="00FD5A95">
        <w:rPr>
          <w:rFonts w:ascii="Garamond" w:hAnsi="Garamond"/>
        </w:rPr>
        <w:t>s</w:t>
      </w:r>
      <w:r w:rsidR="00DD1066">
        <w:rPr>
          <w:rFonts w:ascii="Garamond" w:hAnsi="Garamond"/>
        </w:rPr>
        <w:t xml:space="preserve"> of information to </w:t>
      </w:r>
      <w:r w:rsidR="00321ECD">
        <w:rPr>
          <w:rFonts w:ascii="Garamond" w:hAnsi="Garamond"/>
        </w:rPr>
        <w:t xml:space="preserve">whom </w:t>
      </w:r>
      <w:r w:rsidR="00DD1066">
        <w:rPr>
          <w:rFonts w:ascii="Garamond" w:hAnsi="Garamond"/>
        </w:rPr>
        <w:t xml:space="preserve">they </w:t>
      </w:r>
      <w:r w:rsidRPr="00B73B1C">
        <w:rPr>
          <w:rFonts w:ascii="Garamond" w:hAnsi="Garamond"/>
        </w:rPr>
        <w:t>reach out for instructional materials</w:t>
      </w:r>
      <w:r w:rsidR="00DD1066">
        <w:rPr>
          <w:rFonts w:ascii="Garamond" w:hAnsi="Garamond"/>
        </w:rPr>
        <w:t>.  Research</w:t>
      </w:r>
      <w:r w:rsidR="00FE3F50">
        <w:rPr>
          <w:rFonts w:ascii="Garamond" w:hAnsi="Garamond"/>
        </w:rPr>
        <w:t xml:space="preserve"> on organizational learning</w:t>
      </w:r>
      <w:r w:rsidR="00DD1066">
        <w:rPr>
          <w:rFonts w:ascii="Garamond" w:hAnsi="Garamond"/>
        </w:rPr>
        <w:t xml:space="preserve"> </w:t>
      </w:r>
      <w:r w:rsidRPr="00B73B1C">
        <w:rPr>
          <w:rFonts w:ascii="Garamond" w:hAnsi="Garamond"/>
        </w:rPr>
        <w:t>indicates the importan</w:t>
      </w:r>
      <w:r w:rsidR="009B5F90">
        <w:rPr>
          <w:rFonts w:ascii="Garamond" w:hAnsi="Garamond"/>
        </w:rPr>
        <w:t xml:space="preserve">t role </w:t>
      </w:r>
      <w:r w:rsidRPr="00B73B1C">
        <w:rPr>
          <w:rFonts w:ascii="Garamond" w:hAnsi="Garamond"/>
        </w:rPr>
        <w:t xml:space="preserve">of </w:t>
      </w:r>
      <w:r w:rsidR="00DD1066">
        <w:rPr>
          <w:rFonts w:ascii="Garamond" w:hAnsi="Garamond"/>
        </w:rPr>
        <w:t>“</w:t>
      </w:r>
      <w:r w:rsidRPr="00B73B1C">
        <w:rPr>
          <w:rFonts w:ascii="Garamond" w:hAnsi="Garamond"/>
        </w:rPr>
        <w:t>seeking</w:t>
      </w:r>
      <w:r w:rsidR="00DD1066">
        <w:rPr>
          <w:rFonts w:ascii="Garamond" w:hAnsi="Garamond"/>
        </w:rPr>
        <w:t>”</w:t>
      </w:r>
      <w:r w:rsidRPr="00B73B1C">
        <w:rPr>
          <w:rFonts w:ascii="Garamond" w:hAnsi="Garamond"/>
        </w:rPr>
        <w:t xml:space="preserve"> behavior particularly in the area of </w:t>
      </w:r>
      <w:r w:rsidR="009B5F90">
        <w:rPr>
          <w:rFonts w:ascii="Garamond" w:hAnsi="Garamond"/>
        </w:rPr>
        <w:t>sharing and development</w:t>
      </w:r>
      <w:r w:rsidRPr="00B73B1C">
        <w:rPr>
          <w:rFonts w:ascii="Garamond" w:hAnsi="Garamond"/>
        </w:rPr>
        <w:t xml:space="preserve"> </w:t>
      </w:r>
      <w:r w:rsidR="009B5F90">
        <w:rPr>
          <w:rFonts w:ascii="Garamond" w:hAnsi="Garamond"/>
        </w:rPr>
        <w:t xml:space="preserve">of knowledge </w:t>
      </w:r>
      <w:r w:rsidRPr="00B73B1C">
        <w:rPr>
          <w:rFonts w:ascii="Garamond" w:hAnsi="Garamond"/>
        </w:rPr>
        <w:t>(</w:t>
      </w:r>
      <w:r w:rsidR="008E7820">
        <w:rPr>
          <w:rFonts w:ascii="Garamond" w:hAnsi="Garamond"/>
        </w:rPr>
        <w:t>Finnigan, Daly, &amp; Stewart, 2012</w:t>
      </w:r>
      <w:r w:rsidRPr="00B73B1C">
        <w:rPr>
          <w:rFonts w:ascii="Garamond" w:hAnsi="Garamond"/>
        </w:rPr>
        <w:t xml:space="preserve">).  </w:t>
      </w:r>
      <w:r w:rsidR="009B5F90">
        <w:rPr>
          <w:rFonts w:ascii="Garamond" w:hAnsi="Garamond"/>
        </w:rPr>
        <w:t xml:space="preserve">This suggests that </w:t>
      </w:r>
      <w:r w:rsidR="00BF7E8D">
        <w:rPr>
          <w:rFonts w:ascii="Garamond" w:hAnsi="Garamond"/>
        </w:rPr>
        <w:t>self-efficacy not only help</w:t>
      </w:r>
      <w:r w:rsidR="00E312BA">
        <w:rPr>
          <w:rFonts w:ascii="Garamond" w:hAnsi="Garamond"/>
        </w:rPr>
        <w:t>s</w:t>
      </w:r>
      <w:r w:rsidR="00FE3F50">
        <w:rPr>
          <w:rFonts w:ascii="Garamond" w:hAnsi="Garamond"/>
        </w:rPr>
        <w:t xml:space="preserve"> </w:t>
      </w:r>
      <w:r w:rsidR="00BF7E8D">
        <w:rPr>
          <w:rFonts w:ascii="Garamond" w:hAnsi="Garamond"/>
        </w:rPr>
        <w:t xml:space="preserve">individuals’ ability to identify sources of expertise they need in teaching practices but also shapes their behaviors in terms of the </w:t>
      </w:r>
      <w:r w:rsidR="00BF7E8D" w:rsidRPr="00B73B1C">
        <w:rPr>
          <w:rFonts w:ascii="Garamond" w:hAnsi="Garamond"/>
        </w:rPr>
        <w:t>important activity of reaching out to others</w:t>
      </w:r>
      <w:r w:rsidR="00BF7E8D">
        <w:rPr>
          <w:rFonts w:ascii="Garamond" w:hAnsi="Garamond"/>
        </w:rPr>
        <w:t xml:space="preserve"> </w:t>
      </w:r>
      <w:r w:rsidR="00BF7E8D" w:rsidRPr="00B73B1C">
        <w:rPr>
          <w:rFonts w:ascii="Garamond" w:hAnsi="Garamond"/>
        </w:rPr>
        <w:t>as previous work suggests</w:t>
      </w:r>
      <w:r w:rsidR="00FE3F50">
        <w:rPr>
          <w:rFonts w:ascii="Garamond" w:hAnsi="Garamond"/>
        </w:rPr>
        <w:t xml:space="preserve"> </w:t>
      </w:r>
      <w:r w:rsidR="00BF7E8D">
        <w:rPr>
          <w:rFonts w:ascii="Garamond" w:hAnsi="Garamond"/>
        </w:rPr>
        <w:t>(Authors et al., 2017</w:t>
      </w:r>
      <w:r w:rsidR="00BF7E8D" w:rsidRPr="00B73B1C">
        <w:rPr>
          <w:rFonts w:ascii="Garamond" w:hAnsi="Garamond"/>
        </w:rPr>
        <w:t>)</w:t>
      </w:r>
      <w:r w:rsidRPr="00B73B1C">
        <w:rPr>
          <w:rFonts w:ascii="Garamond" w:hAnsi="Garamond"/>
        </w:rPr>
        <w:t xml:space="preserve">.  </w:t>
      </w:r>
      <w:r w:rsidR="00BF7E8D">
        <w:rPr>
          <w:rFonts w:ascii="Garamond" w:hAnsi="Garamond"/>
        </w:rPr>
        <w:t>Obtaining useful information</w:t>
      </w:r>
      <w:r w:rsidRPr="00B73B1C">
        <w:rPr>
          <w:rFonts w:ascii="Garamond" w:hAnsi="Garamond"/>
        </w:rPr>
        <w:t xml:space="preserve"> may also </w:t>
      </w:r>
      <w:r w:rsidR="00BF7E8D">
        <w:rPr>
          <w:rFonts w:ascii="Garamond" w:hAnsi="Garamond"/>
        </w:rPr>
        <w:t>positively influence individuals’ confidence level</w:t>
      </w:r>
      <w:r w:rsidRPr="00B73B1C">
        <w:rPr>
          <w:rFonts w:ascii="Garamond" w:hAnsi="Garamond"/>
        </w:rPr>
        <w:t xml:space="preserve"> (Loera, </w:t>
      </w:r>
      <w:proofErr w:type="spellStart"/>
      <w:r w:rsidRPr="00B73B1C">
        <w:rPr>
          <w:rFonts w:ascii="Garamond" w:hAnsi="Garamond"/>
        </w:rPr>
        <w:t>Nakamoto</w:t>
      </w:r>
      <w:proofErr w:type="spellEnd"/>
      <w:r w:rsidRPr="00B73B1C">
        <w:rPr>
          <w:rFonts w:ascii="Garamond" w:hAnsi="Garamond"/>
        </w:rPr>
        <w:t xml:space="preserve">, Rueda, Oh, Beck, &amp; Cherry, 2013) </w:t>
      </w:r>
      <w:r w:rsidR="00BF7E8D">
        <w:rPr>
          <w:rFonts w:ascii="Garamond" w:hAnsi="Garamond"/>
        </w:rPr>
        <w:t xml:space="preserve">in that having an accurate assessment of their own abilities and skills may help </w:t>
      </w:r>
      <w:r w:rsidR="00E312BA">
        <w:rPr>
          <w:rFonts w:ascii="Garamond" w:hAnsi="Garamond"/>
        </w:rPr>
        <w:t>individuals</w:t>
      </w:r>
      <w:r w:rsidR="00BF7E8D">
        <w:rPr>
          <w:rFonts w:ascii="Garamond" w:hAnsi="Garamond"/>
        </w:rPr>
        <w:t xml:space="preserve"> identify areas that</w:t>
      </w:r>
      <w:r w:rsidR="00E312BA">
        <w:rPr>
          <w:rFonts w:ascii="Garamond" w:hAnsi="Garamond"/>
        </w:rPr>
        <w:t xml:space="preserve"> are</w:t>
      </w:r>
      <w:r w:rsidR="00BF7E8D">
        <w:rPr>
          <w:rFonts w:ascii="Garamond" w:hAnsi="Garamond"/>
        </w:rPr>
        <w:t xml:space="preserve"> in need of improvement </w:t>
      </w:r>
      <w:r w:rsidR="00CC3AF0">
        <w:rPr>
          <w:rFonts w:ascii="Garamond" w:hAnsi="Garamond"/>
        </w:rPr>
        <w:t xml:space="preserve">and in turn build a sense of </w:t>
      </w:r>
      <w:r w:rsidR="00CC3AF0" w:rsidRPr="00B73B1C">
        <w:rPr>
          <w:rFonts w:ascii="Garamond" w:hAnsi="Garamond"/>
        </w:rPr>
        <w:t xml:space="preserve">competence </w:t>
      </w:r>
      <w:r w:rsidRPr="00B73B1C">
        <w:rPr>
          <w:rFonts w:ascii="Garamond" w:hAnsi="Garamond"/>
        </w:rPr>
        <w:t>(Holmes, Preston, Shaw, &amp; Buchanan, 2013)</w:t>
      </w:r>
      <w:r w:rsidRPr="00DD1066">
        <w:rPr>
          <w:rFonts w:ascii="Garamond" w:hAnsi="Garamond"/>
        </w:rPr>
        <w:t xml:space="preserve">. </w:t>
      </w:r>
      <w:r w:rsidR="00DD1066">
        <w:rPr>
          <w:rFonts w:ascii="Garamond" w:hAnsi="Garamond"/>
        </w:rPr>
        <w:t xml:space="preserve"> </w:t>
      </w:r>
      <w:r w:rsidR="00C922D1" w:rsidRPr="00C922D1">
        <w:rPr>
          <w:rFonts w:ascii="Garamond" w:hAnsi="Garamond"/>
        </w:rPr>
        <w:t xml:space="preserve">This finding also confirms previous research around </w:t>
      </w:r>
      <w:r w:rsidR="009266D6">
        <w:rPr>
          <w:rFonts w:ascii="Garamond" w:hAnsi="Garamond"/>
        </w:rPr>
        <w:t xml:space="preserve">the interplay between </w:t>
      </w:r>
      <w:r w:rsidR="00C922D1" w:rsidRPr="00C922D1">
        <w:rPr>
          <w:rFonts w:ascii="Garamond" w:hAnsi="Garamond"/>
        </w:rPr>
        <w:t xml:space="preserve">teacher self-efficacy </w:t>
      </w:r>
      <w:r w:rsidR="009266D6">
        <w:rPr>
          <w:rFonts w:ascii="Garamond" w:hAnsi="Garamond"/>
        </w:rPr>
        <w:t xml:space="preserve">and </w:t>
      </w:r>
      <w:r w:rsidR="00C922D1" w:rsidRPr="00C922D1">
        <w:rPr>
          <w:rFonts w:ascii="Garamond" w:hAnsi="Garamond"/>
        </w:rPr>
        <w:t>the</w:t>
      </w:r>
      <w:r w:rsidR="009266D6">
        <w:rPr>
          <w:rFonts w:ascii="Garamond" w:hAnsi="Garamond"/>
        </w:rPr>
        <w:t>ir</w:t>
      </w:r>
      <w:r w:rsidR="00C922D1" w:rsidRPr="00C922D1">
        <w:rPr>
          <w:rFonts w:ascii="Garamond" w:hAnsi="Garamond"/>
        </w:rPr>
        <w:t xml:space="preserve"> collaborative </w:t>
      </w:r>
      <w:r w:rsidR="009266D6">
        <w:rPr>
          <w:rFonts w:ascii="Garamond" w:hAnsi="Garamond"/>
        </w:rPr>
        <w:t>behaviors</w:t>
      </w:r>
      <w:r w:rsidR="009266D6" w:rsidRPr="00C922D1">
        <w:rPr>
          <w:rFonts w:ascii="Garamond" w:hAnsi="Garamond"/>
        </w:rPr>
        <w:t xml:space="preserve"> </w:t>
      </w:r>
      <w:r w:rsidR="00C922D1" w:rsidRPr="00C922D1">
        <w:rPr>
          <w:rFonts w:ascii="Garamond" w:hAnsi="Garamond"/>
        </w:rPr>
        <w:t xml:space="preserve">(Bates &amp; </w:t>
      </w:r>
      <w:proofErr w:type="spellStart"/>
      <w:r w:rsidR="00C922D1" w:rsidRPr="00C922D1">
        <w:rPr>
          <w:rFonts w:ascii="Garamond" w:hAnsi="Garamond"/>
        </w:rPr>
        <w:t>Khasawneh</w:t>
      </w:r>
      <w:proofErr w:type="spellEnd"/>
      <w:r w:rsidR="00C922D1" w:rsidRPr="00C922D1">
        <w:rPr>
          <w:rFonts w:ascii="Garamond" w:hAnsi="Garamond"/>
        </w:rPr>
        <w:t>, 2007).</w:t>
      </w:r>
      <w:r w:rsidR="00C922D1">
        <w:rPr>
          <w:rFonts w:ascii="Garamond" w:hAnsi="Garamond"/>
        </w:rPr>
        <w:t xml:space="preserve"> </w:t>
      </w:r>
    </w:p>
    <w:p w14:paraId="77766CFA" w14:textId="288793B8" w:rsidR="0075571F" w:rsidRDefault="00C922D1" w:rsidP="00CD22CD">
      <w:pPr>
        <w:widowControl/>
        <w:snapToGrid w:val="0"/>
        <w:spacing w:line="480" w:lineRule="auto"/>
        <w:ind w:firstLine="720"/>
        <w:rPr>
          <w:rFonts w:ascii="Garamond" w:hAnsi="Garamond"/>
        </w:rPr>
      </w:pPr>
      <w:r>
        <w:rPr>
          <w:rFonts w:ascii="Garamond" w:hAnsi="Garamond"/>
        </w:rPr>
        <w:t xml:space="preserve">Contrary to the seeking behavior, however, none of the </w:t>
      </w:r>
      <w:r w:rsidR="00994079">
        <w:rPr>
          <w:rFonts w:ascii="Garamond" w:hAnsi="Garamond"/>
        </w:rPr>
        <w:t xml:space="preserve">receiver </w:t>
      </w:r>
      <w:r>
        <w:rPr>
          <w:rFonts w:ascii="Garamond" w:hAnsi="Garamond"/>
        </w:rPr>
        <w:t xml:space="preserve">effects </w:t>
      </w:r>
      <w:r w:rsidR="00CD22CD">
        <w:rPr>
          <w:rFonts w:ascii="Garamond" w:hAnsi="Garamond"/>
        </w:rPr>
        <w:t xml:space="preserve">examined in this study </w:t>
      </w:r>
      <w:r>
        <w:rPr>
          <w:rFonts w:ascii="Garamond" w:hAnsi="Garamond"/>
        </w:rPr>
        <w:t>are significant</w:t>
      </w:r>
      <w:r w:rsidR="00994079">
        <w:rPr>
          <w:rFonts w:ascii="Garamond" w:hAnsi="Garamond"/>
        </w:rPr>
        <w:t xml:space="preserve"> across settings, meaning that </w:t>
      </w:r>
      <w:r>
        <w:rPr>
          <w:rFonts w:ascii="Garamond" w:hAnsi="Garamond"/>
        </w:rPr>
        <w:t xml:space="preserve">the extent to which pre-service teachers </w:t>
      </w:r>
      <w:r w:rsidR="00961F6E">
        <w:rPr>
          <w:rFonts w:ascii="Garamond" w:hAnsi="Garamond"/>
        </w:rPr>
        <w:t xml:space="preserve">are </w:t>
      </w:r>
      <w:r>
        <w:rPr>
          <w:rFonts w:ascii="Garamond" w:hAnsi="Garamond"/>
        </w:rPr>
        <w:t>nominated as someone from whom others would seek instructional materials is not necessarily related to gender</w:t>
      </w:r>
      <w:r w:rsidR="00994079">
        <w:rPr>
          <w:rFonts w:ascii="Garamond" w:hAnsi="Garamond"/>
        </w:rPr>
        <w:t xml:space="preserve">, </w:t>
      </w:r>
      <w:r>
        <w:rPr>
          <w:rFonts w:ascii="Garamond" w:hAnsi="Garamond"/>
        </w:rPr>
        <w:t xml:space="preserve">perceived self-efficacy </w:t>
      </w:r>
      <w:r w:rsidR="0091042B">
        <w:rPr>
          <w:rFonts w:ascii="Garamond" w:hAnsi="Garamond"/>
        </w:rPr>
        <w:t>n</w:t>
      </w:r>
      <w:r w:rsidR="00994079">
        <w:rPr>
          <w:rFonts w:ascii="Garamond" w:hAnsi="Garamond"/>
        </w:rPr>
        <w:t xml:space="preserve">or </w:t>
      </w:r>
      <w:r>
        <w:rPr>
          <w:rFonts w:ascii="Garamond" w:hAnsi="Garamond"/>
        </w:rPr>
        <w:t xml:space="preserve">peer trust.  </w:t>
      </w:r>
      <w:r w:rsidR="00140BAF">
        <w:rPr>
          <w:rFonts w:ascii="Garamond" w:hAnsi="Garamond"/>
        </w:rPr>
        <w:t xml:space="preserve">It could be the case that in our sample the </w:t>
      </w:r>
      <w:r w:rsidR="00140BAF">
        <w:rPr>
          <w:rFonts w:ascii="Garamond" w:hAnsi="Garamond"/>
        </w:rPr>
        <w:lastRenderedPageBreak/>
        <w:t>pre-service teachers were encouraged to engage in discussion and collaboration with their peers, and as such reaching out to others ha</w:t>
      </w:r>
      <w:r w:rsidR="00E5141F">
        <w:rPr>
          <w:rFonts w:ascii="Garamond" w:hAnsi="Garamond"/>
        </w:rPr>
        <w:t>s</w:t>
      </w:r>
      <w:r w:rsidR="00140BAF">
        <w:rPr>
          <w:rFonts w:ascii="Garamond" w:hAnsi="Garamond"/>
        </w:rPr>
        <w:t xml:space="preserve"> become the norm of learning during preparations.  P</w:t>
      </w:r>
      <w:r w:rsidR="00140BAF" w:rsidRPr="00140BAF">
        <w:rPr>
          <w:rFonts w:ascii="Garamond" w:hAnsi="Garamond"/>
        </w:rPr>
        <w:t xml:space="preserve">roviding the opportunities </w:t>
      </w:r>
      <w:r w:rsidR="00140BAF">
        <w:rPr>
          <w:rFonts w:ascii="Garamond" w:hAnsi="Garamond"/>
        </w:rPr>
        <w:t xml:space="preserve">for peer interaction </w:t>
      </w:r>
      <w:r w:rsidR="00140BAF" w:rsidRPr="00140BAF">
        <w:rPr>
          <w:rFonts w:ascii="Garamond" w:hAnsi="Garamond"/>
        </w:rPr>
        <w:t>can be consequential to the development of self-efficacy</w:t>
      </w:r>
      <w:r w:rsidR="00C86BB1">
        <w:rPr>
          <w:rFonts w:ascii="Garamond" w:hAnsi="Garamond"/>
        </w:rPr>
        <w:t xml:space="preserve"> (Spillane et al., 2018)</w:t>
      </w:r>
      <w:r w:rsidR="00140BAF" w:rsidRPr="00140BAF">
        <w:rPr>
          <w:rFonts w:ascii="Garamond" w:hAnsi="Garamond"/>
        </w:rPr>
        <w:t>.</w:t>
      </w:r>
      <w:r w:rsidR="00140BAF">
        <w:rPr>
          <w:rFonts w:ascii="Garamond" w:hAnsi="Garamond"/>
        </w:rPr>
        <w:t xml:space="preserve">  </w:t>
      </w:r>
    </w:p>
    <w:p w14:paraId="2099D0D2" w14:textId="2666029B" w:rsidR="00140BAF" w:rsidRDefault="00140BAF" w:rsidP="002A2E54">
      <w:pPr>
        <w:widowControl/>
        <w:snapToGrid w:val="0"/>
        <w:spacing w:line="480" w:lineRule="auto"/>
        <w:ind w:firstLine="720"/>
        <w:rPr>
          <w:rFonts w:ascii="Garamond" w:hAnsi="Garamond"/>
        </w:rPr>
      </w:pPr>
      <w:r>
        <w:rPr>
          <w:rFonts w:ascii="Garamond" w:hAnsi="Garamond"/>
        </w:rPr>
        <w:t xml:space="preserve">Finally, </w:t>
      </w:r>
      <w:r w:rsidR="00DD1066" w:rsidRPr="00DD1066">
        <w:rPr>
          <w:rFonts w:ascii="Garamond" w:hAnsi="Garamond"/>
        </w:rPr>
        <w:t>we</w:t>
      </w:r>
      <w:r>
        <w:rPr>
          <w:rFonts w:ascii="Garamond" w:hAnsi="Garamond"/>
        </w:rPr>
        <w:t xml:space="preserve"> are</w:t>
      </w:r>
      <w:r w:rsidR="00DD1066" w:rsidRPr="00DD1066">
        <w:rPr>
          <w:rFonts w:ascii="Garamond" w:hAnsi="Garamond"/>
        </w:rPr>
        <w:t xml:space="preserve"> </w:t>
      </w:r>
      <w:r w:rsidR="00DD1066">
        <w:rPr>
          <w:rFonts w:ascii="Garamond" w:hAnsi="Garamond"/>
        </w:rPr>
        <w:t xml:space="preserve">somewhat </w:t>
      </w:r>
      <w:r w:rsidR="00DD1066" w:rsidRPr="00DD1066">
        <w:rPr>
          <w:rFonts w:ascii="Garamond" w:hAnsi="Garamond"/>
        </w:rPr>
        <w:t xml:space="preserve">surprised about the </w:t>
      </w:r>
      <w:r w:rsidR="00147164">
        <w:rPr>
          <w:rFonts w:ascii="Garamond" w:hAnsi="Garamond"/>
        </w:rPr>
        <w:t>positive</w:t>
      </w:r>
      <w:r w:rsidR="00DD1066" w:rsidRPr="00DD1066">
        <w:rPr>
          <w:rFonts w:ascii="Garamond" w:hAnsi="Garamond"/>
        </w:rPr>
        <w:t xml:space="preserve"> </w:t>
      </w:r>
      <w:proofErr w:type="spellStart"/>
      <w:r w:rsidR="00DD1066">
        <w:rPr>
          <w:rFonts w:ascii="Garamond" w:hAnsi="Garamond"/>
        </w:rPr>
        <w:t>homophily</w:t>
      </w:r>
      <w:proofErr w:type="spellEnd"/>
      <w:r w:rsidR="00DD1066">
        <w:rPr>
          <w:rFonts w:ascii="Garamond" w:hAnsi="Garamond"/>
        </w:rPr>
        <w:t xml:space="preserve"> effect for self-efficacy</w:t>
      </w:r>
      <w:r>
        <w:rPr>
          <w:rFonts w:ascii="Garamond" w:hAnsi="Garamond"/>
        </w:rPr>
        <w:t>, particularly in the US cohort</w:t>
      </w:r>
      <w:r w:rsidR="00FB197E">
        <w:rPr>
          <w:rFonts w:ascii="Garamond" w:hAnsi="Garamond"/>
        </w:rPr>
        <w:t xml:space="preserve">, that the pre-service teachers with different perceived levels of self-efficacy are more likely to mutually exchange instructional materials.  </w:t>
      </w:r>
      <w:r w:rsidR="00C429A1">
        <w:rPr>
          <w:rFonts w:ascii="Garamond" w:hAnsi="Garamond"/>
        </w:rPr>
        <w:t xml:space="preserve">The finding did not support previous </w:t>
      </w:r>
      <w:r w:rsidR="00C31CA6">
        <w:rPr>
          <w:rFonts w:ascii="Garamond" w:hAnsi="Garamond"/>
        </w:rPr>
        <w:t xml:space="preserve">network research that suggests </w:t>
      </w:r>
      <w:proofErr w:type="spellStart"/>
      <w:r w:rsidR="00C31CA6">
        <w:rPr>
          <w:rFonts w:ascii="Garamond" w:hAnsi="Garamond"/>
        </w:rPr>
        <w:t>homophilious</w:t>
      </w:r>
      <w:proofErr w:type="spellEnd"/>
      <w:r w:rsidR="00C31CA6">
        <w:rPr>
          <w:rFonts w:ascii="Garamond" w:hAnsi="Garamond"/>
        </w:rPr>
        <w:t xml:space="preserve"> interaction based on similar </w:t>
      </w:r>
      <w:r w:rsidR="00450247">
        <w:rPr>
          <w:rFonts w:ascii="Garamond" w:hAnsi="Garamond"/>
        </w:rPr>
        <w:t xml:space="preserve">personal </w:t>
      </w:r>
      <w:r w:rsidR="00C31CA6">
        <w:rPr>
          <w:rFonts w:ascii="Garamond" w:hAnsi="Garamond"/>
        </w:rPr>
        <w:t>beliefs</w:t>
      </w:r>
      <w:r w:rsidR="00450247">
        <w:rPr>
          <w:rFonts w:ascii="Garamond" w:hAnsi="Garamond"/>
        </w:rPr>
        <w:t xml:space="preserve"> </w:t>
      </w:r>
      <w:r w:rsidR="00C31CA6">
        <w:rPr>
          <w:rFonts w:ascii="Garamond" w:hAnsi="Garamond"/>
        </w:rPr>
        <w:t>(Coburn</w:t>
      </w:r>
      <w:r w:rsidR="00F85F6A">
        <w:rPr>
          <w:rFonts w:ascii="Garamond" w:hAnsi="Garamond"/>
        </w:rPr>
        <w:t xml:space="preserve"> et al.,</w:t>
      </w:r>
      <w:r w:rsidR="00C31CA6">
        <w:rPr>
          <w:rFonts w:ascii="Garamond" w:hAnsi="Garamond"/>
        </w:rPr>
        <w:t xml:space="preserve"> 2013</w:t>
      </w:r>
      <w:r w:rsidR="00CD22CD">
        <w:rPr>
          <w:rFonts w:ascii="Garamond" w:hAnsi="Garamond"/>
        </w:rPr>
        <w:t>; Spillane et al., 2018</w:t>
      </w:r>
      <w:r w:rsidR="00C31CA6">
        <w:rPr>
          <w:rFonts w:ascii="Garamond" w:hAnsi="Garamond"/>
        </w:rPr>
        <w:t xml:space="preserve">).  </w:t>
      </w:r>
      <w:r w:rsidR="00D83A0D">
        <w:rPr>
          <w:rFonts w:ascii="Garamond" w:hAnsi="Garamond"/>
        </w:rPr>
        <w:t xml:space="preserve">This may be in part </w:t>
      </w:r>
      <w:r w:rsidR="0075571F">
        <w:rPr>
          <w:rFonts w:ascii="Garamond" w:hAnsi="Garamond"/>
        </w:rPr>
        <w:t xml:space="preserve">due </w:t>
      </w:r>
      <w:r w:rsidR="00D83A0D">
        <w:rPr>
          <w:rFonts w:ascii="Garamond" w:hAnsi="Garamond"/>
        </w:rPr>
        <w:t xml:space="preserve">to the </w:t>
      </w:r>
      <w:r w:rsidR="004E62DB">
        <w:rPr>
          <w:rFonts w:ascii="Garamond" w:hAnsi="Garamond"/>
        </w:rPr>
        <w:t xml:space="preserve">fact that the US cohort are exposed </w:t>
      </w:r>
      <w:r w:rsidR="0075571F">
        <w:rPr>
          <w:rFonts w:ascii="Garamond" w:hAnsi="Garamond"/>
        </w:rPr>
        <w:t xml:space="preserve">to a </w:t>
      </w:r>
      <w:r w:rsidR="00B25EEE">
        <w:rPr>
          <w:rFonts w:ascii="Garamond" w:hAnsi="Garamond"/>
        </w:rPr>
        <w:t xml:space="preserve">variety </w:t>
      </w:r>
      <w:r w:rsidR="0075571F">
        <w:rPr>
          <w:rFonts w:ascii="Garamond" w:hAnsi="Garamond"/>
        </w:rPr>
        <w:t xml:space="preserve">of opportunities to engage in </w:t>
      </w:r>
      <w:r w:rsidR="004E62DB">
        <w:rPr>
          <w:rFonts w:ascii="Garamond" w:hAnsi="Garamond"/>
        </w:rPr>
        <w:t>inter-personal,</w:t>
      </w:r>
      <w:r w:rsidR="00CA2D4A">
        <w:rPr>
          <w:rFonts w:ascii="Garamond" w:hAnsi="Garamond"/>
        </w:rPr>
        <w:t xml:space="preserve"> inter-group,</w:t>
      </w:r>
      <w:r w:rsidR="004E62DB">
        <w:rPr>
          <w:rFonts w:ascii="Garamond" w:hAnsi="Garamond"/>
        </w:rPr>
        <w:t xml:space="preserve"> </w:t>
      </w:r>
      <w:r w:rsidR="0075571F" w:rsidRPr="0075571F">
        <w:rPr>
          <w:rFonts w:ascii="Garamond" w:hAnsi="Garamond"/>
        </w:rPr>
        <w:t>team-based</w:t>
      </w:r>
      <w:r w:rsidR="0075571F">
        <w:rPr>
          <w:rFonts w:ascii="Garamond" w:hAnsi="Garamond"/>
        </w:rPr>
        <w:t>,</w:t>
      </w:r>
      <w:r w:rsidR="0075571F" w:rsidRPr="0075571F">
        <w:rPr>
          <w:rFonts w:ascii="Garamond" w:hAnsi="Garamond"/>
        </w:rPr>
        <w:t xml:space="preserve"> hands-on </w:t>
      </w:r>
      <w:r w:rsidR="00CA2D4A">
        <w:rPr>
          <w:rFonts w:ascii="Garamond" w:hAnsi="Garamond"/>
        </w:rPr>
        <w:t>learning</w:t>
      </w:r>
      <w:r w:rsidR="00CA2D4A" w:rsidRPr="0075571F">
        <w:rPr>
          <w:rFonts w:ascii="Garamond" w:hAnsi="Garamond"/>
        </w:rPr>
        <w:t xml:space="preserve"> </w:t>
      </w:r>
      <w:r w:rsidR="0075571F" w:rsidRPr="0075571F">
        <w:rPr>
          <w:rFonts w:ascii="Garamond" w:hAnsi="Garamond"/>
        </w:rPr>
        <w:t>experiences</w:t>
      </w:r>
      <w:r w:rsidR="00CA2D4A">
        <w:rPr>
          <w:rFonts w:ascii="Garamond" w:hAnsi="Garamond"/>
        </w:rPr>
        <w:t xml:space="preserve">.  </w:t>
      </w:r>
      <w:r w:rsidR="0075571F">
        <w:rPr>
          <w:rFonts w:ascii="Garamond" w:hAnsi="Garamond"/>
        </w:rPr>
        <w:t xml:space="preserve">For instance, </w:t>
      </w:r>
      <w:r w:rsidR="008851E3">
        <w:rPr>
          <w:rFonts w:ascii="Garamond" w:hAnsi="Garamond"/>
        </w:rPr>
        <w:t>i</w:t>
      </w:r>
      <w:r w:rsidR="0075571F" w:rsidRPr="0075571F">
        <w:rPr>
          <w:rFonts w:ascii="Garamond" w:hAnsi="Garamond"/>
        </w:rPr>
        <w:t xml:space="preserve">n many of the </w:t>
      </w:r>
      <w:r w:rsidR="0084224E">
        <w:rPr>
          <w:rFonts w:ascii="Garamond" w:hAnsi="Garamond"/>
        </w:rPr>
        <w:t>mandatory methods</w:t>
      </w:r>
      <w:r w:rsidR="0075571F" w:rsidRPr="0075571F">
        <w:rPr>
          <w:rFonts w:ascii="Garamond" w:hAnsi="Garamond"/>
        </w:rPr>
        <w:t xml:space="preserve"> courses, the pre-service teachers were required to engage in online discussion </w:t>
      </w:r>
      <w:r w:rsidR="0084224E">
        <w:rPr>
          <w:rFonts w:ascii="Garamond" w:hAnsi="Garamond"/>
        </w:rPr>
        <w:t>with and review works of peers from w</w:t>
      </w:r>
      <w:r w:rsidR="0075571F" w:rsidRPr="0075571F">
        <w:rPr>
          <w:rFonts w:ascii="Garamond" w:hAnsi="Garamond"/>
        </w:rPr>
        <w:t xml:space="preserve">ithin and </w:t>
      </w:r>
      <w:r w:rsidR="0084224E">
        <w:rPr>
          <w:rFonts w:ascii="Garamond" w:hAnsi="Garamond"/>
        </w:rPr>
        <w:t>other</w:t>
      </w:r>
      <w:r w:rsidR="0075571F" w:rsidRPr="0075571F">
        <w:rPr>
          <w:rFonts w:ascii="Garamond" w:hAnsi="Garamond"/>
        </w:rPr>
        <w:t xml:space="preserve"> </w:t>
      </w:r>
      <w:r w:rsidR="004E62DB">
        <w:rPr>
          <w:rFonts w:ascii="Garamond" w:hAnsi="Garamond"/>
        </w:rPr>
        <w:t>teams</w:t>
      </w:r>
      <w:r w:rsidR="0075571F" w:rsidRPr="0075571F">
        <w:rPr>
          <w:rFonts w:ascii="Garamond" w:hAnsi="Garamond"/>
        </w:rPr>
        <w:t xml:space="preserve"> </w:t>
      </w:r>
      <w:r w:rsidR="008851E3">
        <w:rPr>
          <w:rFonts w:ascii="Garamond" w:hAnsi="Garamond"/>
        </w:rPr>
        <w:t>for</w:t>
      </w:r>
      <w:r w:rsidR="0075571F" w:rsidRPr="0075571F">
        <w:rPr>
          <w:rFonts w:ascii="Garamond" w:hAnsi="Garamond"/>
        </w:rPr>
        <w:t xml:space="preserve"> weekly reflections, small class assignments, and final team projects.  By reviewing the work of, and providing feedback to, other cohorts, the pre-service teachers </w:t>
      </w:r>
      <w:r w:rsidR="00CA2D4A">
        <w:rPr>
          <w:rFonts w:ascii="Garamond" w:hAnsi="Garamond"/>
        </w:rPr>
        <w:t xml:space="preserve">are </w:t>
      </w:r>
      <w:r w:rsidR="0075571F" w:rsidRPr="0075571F">
        <w:rPr>
          <w:rFonts w:ascii="Garamond" w:hAnsi="Garamond"/>
        </w:rPr>
        <w:t xml:space="preserve">able to learn to teach </w:t>
      </w:r>
      <w:r w:rsidR="008851E3">
        <w:rPr>
          <w:rFonts w:ascii="Garamond" w:hAnsi="Garamond"/>
        </w:rPr>
        <w:t xml:space="preserve">others </w:t>
      </w:r>
      <w:r w:rsidR="0075571F" w:rsidRPr="0075571F">
        <w:rPr>
          <w:rFonts w:ascii="Garamond" w:hAnsi="Garamond"/>
        </w:rPr>
        <w:t xml:space="preserve">how to teach, design class lessons, and manage a classroom.  </w:t>
      </w:r>
      <w:r w:rsidR="0075571F">
        <w:rPr>
          <w:rFonts w:ascii="Garamond" w:hAnsi="Garamond"/>
        </w:rPr>
        <w:t xml:space="preserve">Those with </w:t>
      </w:r>
      <w:r w:rsidR="002A2E54">
        <w:rPr>
          <w:rFonts w:ascii="Garamond" w:hAnsi="Garamond"/>
        </w:rPr>
        <w:t>lower</w:t>
      </w:r>
      <w:r w:rsidR="0075571F">
        <w:rPr>
          <w:rFonts w:ascii="Garamond" w:hAnsi="Garamond"/>
        </w:rPr>
        <w:t xml:space="preserve"> confidence</w:t>
      </w:r>
      <w:r w:rsidR="002A2E54">
        <w:rPr>
          <w:rFonts w:ascii="Garamond" w:hAnsi="Garamond"/>
        </w:rPr>
        <w:t xml:space="preserve"> in managing classroom and student behaviors</w:t>
      </w:r>
      <w:r w:rsidR="0075571F">
        <w:rPr>
          <w:rFonts w:ascii="Garamond" w:hAnsi="Garamond"/>
        </w:rPr>
        <w:t xml:space="preserve"> are thus likely to </w:t>
      </w:r>
      <w:r w:rsidR="002A2E54">
        <w:rPr>
          <w:rFonts w:ascii="Garamond" w:hAnsi="Garamond"/>
        </w:rPr>
        <w:t>be working with those with greater confidence, and vice versa; hence</w:t>
      </w:r>
      <w:r w:rsidR="008851E3">
        <w:rPr>
          <w:rFonts w:ascii="Garamond" w:hAnsi="Garamond"/>
        </w:rPr>
        <w:t xml:space="preserve"> increasing the likelihood of </w:t>
      </w:r>
      <w:r w:rsidR="002A2E54">
        <w:rPr>
          <w:rFonts w:ascii="Garamond" w:hAnsi="Garamond"/>
        </w:rPr>
        <w:t>mutual connectivity at the end of preparation.  A r</w:t>
      </w:r>
      <w:r w:rsidR="00CD22CD">
        <w:rPr>
          <w:rFonts w:ascii="Garamond" w:hAnsi="Garamond"/>
        </w:rPr>
        <w:t xml:space="preserve">ecent study by Spillane and colleagues (2018) suggests that </w:t>
      </w:r>
      <w:r w:rsidR="009E5110">
        <w:rPr>
          <w:rFonts w:ascii="Garamond" w:hAnsi="Garamond"/>
        </w:rPr>
        <w:t>teachers’</w:t>
      </w:r>
      <w:r w:rsidR="00CD22CD">
        <w:rPr>
          <w:rFonts w:ascii="Garamond" w:hAnsi="Garamond"/>
        </w:rPr>
        <w:t xml:space="preserve"> beliefs are mutable under certain conditions such as reform</w:t>
      </w:r>
      <w:r w:rsidR="009E5110">
        <w:rPr>
          <w:rFonts w:ascii="Garamond" w:hAnsi="Garamond"/>
        </w:rPr>
        <w:t>-related</w:t>
      </w:r>
      <w:r w:rsidR="00CD22CD">
        <w:rPr>
          <w:rFonts w:ascii="Garamond" w:hAnsi="Garamond"/>
        </w:rPr>
        <w:t xml:space="preserve"> interventions (</w:t>
      </w:r>
      <w:r w:rsidR="00CD22CD" w:rsidRPr="00CD22CD">
        <w:rPr>
          <w:rFonts w:ascii="Garamond" w:hAnsi="Garamond"/>
        </w:rPr>
        <w:t xml:space="preserve">Gill, Ashton, &amp; </w:t>
      </w:r>
      <w:proofErr w:type="spellStart"/>
      <w:r w:rsidR="00CD22CD" w:rsidRPr="00CD22CD">
        <w:rPr>
          <w:rFonts w:ascii="Garamond" w:hAnsi="Garamond"/>
        </w:rPr>
        <w:t>Algina</w:t>
      </w:r>
      <w:proofErr w:type="spellEnd"/>
      <w:r w:rsidR="00CD22CD" w:rsidRPr="00CD22CD">
        <w:rPr>
          <w:rFonts w:ascii="Garamond" w:hAnsi="Garamond"/>
        </w:rPr>
        <w:t>,</w:t>
      </w:r>
      <w:r w:rsidR="00CD22CD">
        <w:rPr>
          <w:rFonts w:ascii="Garamond" w:hAnsi="Garamond"/>
        </w:rPr>
        <w:t xml:space="preserve"> </w:t>
      </w:r>
      <w:r w:rsidR="00C429A1">
        <w:rPr>
          <w:rFonts w:ascii="Garamond" w:hAnsi="Garamond"/>
        </w:rPr>
        <w:t>2004</w:t>
      </w:r>
      <w:r w:rsidR="009E5110">
        <w:rPr>
          <w:rFonts w:ascii="Garamond" w:hAnsi="Garamond"/>
        </w:rPr>
        <w:t xml:space="preserve">).  </w:t>
      </w:r>
      <w:r w:rsidR="002A2E54">
        <w:rPr>
          <w:rFonts w:ascii="Garamond" w:hAnsi="Garamond"/>
        </w:rPr>
        <w:t>It is reasonable to speculate that the reciprocated ties between pre-service teachers with dissimilar efficacy beliefs are also the results of this intentional c</w:t>
      </w:r>
      <w:r w:rsidR="008851E3">
        <w:rPr>
          <w:rFonts w:ascii="Garamond" w:hAnsi="Garamond"/>
        </w:rPr>
        <w:t xml:space="preserve">ohort approach to individual learning and development. </w:t>
      </w:r>
    </w:p>
    <w:p w14:paraId="241B47A6" w14:textId="51C9BF42" w:rsidR="00283E47" w:rsidRPr="00283E47" w:rsidRDefault="00BC775B" w:rsidP="00283E47">
      <w:pPr>
        <w:widowControl/>
        <w:snapToGrid w:val="0"/>
        <w:spacing w:line="480" w:lineRule="auto"/>
        <w:rPr>
          <w:rFonts w:ascii="Garamond" w:hAnsi="Garamond"/>
          <w:b/>
        </w:rPr>
      </w:pPr>
      <w:r w:rsidRPr="00283E47">
        <w:rPr>
          <w:rFonts w:ascii="Garamond" w:hAnsi="Garamond"/>
          <w:b/>
        </w:rPr>
        <w:t xml:space="preserve">The </w:t>
      </w:r>
      <w:r w:rsidR="00283E47">
        <w:rPr>
          <w:rFonts w:ascii="Garamond" w:hAnsi="Garamond"/>
          <w:b/>
        </w:rPr>
        <w:t>R</w:t>
      </w:r>
      <w:r w:rsidRPr="00283E47">
        <w:rPr>
          <w:rFonts w:ascii="Garamond" w:hAnsi="Garamond"/>
          <w:b/>
        </w:rPr>
        <w:t xml:space="preserve">ole of </w:t>
      </w:r>
      <w:r w:rsidR="00283E47">
        <w:rPr>
          <w:rFonts w:ascii="Garamond" w:hAnsi="Garamond"/>
          <w:b/>
        </w:rPr>
        <w:t>N</w:t>
      </w:r>
      <w:r w:rsidRPr="00283E47">
        <w:rPr>
          <w:rFonts w:ascii="Garamond" w:hAnsi="Garamond"/>
          <w:b/>
        </w:rPr>
        <w:t xml:space="preserve">ew </w:t>
      </w:r>
      <w:r w:rsidR="00283E47">
        <w:rPr>
          <w:rFonts w:ascii="Garamond" w:hAnsi="Garamond"/>
          <w:b/>
        </w:rPr>
        <w:t>I</w:t>
      </w:r>
      <w:r w:rsidRPr="00283E47">
        <w:rPr>
          <w:rFonts w:ascii="Garamond" w:hAnsi="Garamond"/>
          <w:b/>
        </w:rPr>
        <w:t xml:space="preserve">deas </w:t>
      </w:r>
      <w:r w:rsidR="00283E47">
        <w:rPr>
          <w:rFonts w:ascii="Garamond" w:hAnsi="Garamond"/>
          <w:b/>
        </w:rPr>
        <w:t>E</w:t>
      </w:r>
      <w:r w:rsidRPr="00283E47">
        <w:rPr>
          <w:rFonts w:ascii="Garamond" w:hAnsi="Garamond"/>
          <w:b/>
        </w:rPr>
        <w:t>xchange in IMs</w:t>
      </w:r>
      <w:r w:rsidR="00283E47">
        <w:rPr>
          <w:rFonts w:ascii="Garamond" w:hAnsi="Garamond"/>
          <w:b/>
        </w:rPr>
        <w:t xml:space="preserve"> T</w:t>
      </w:r>
      <w:r w:rsidRPr="00283E47">
        <w:rPr>
          <w:rFonts w:ascii="Garamond" w:hAnsi="Garamond"/>
          <w:b/>
        </w:rPr>
        <w:t>ies</w:t>
      </w:r>
      <w:r w:rsidR="00283E47">
        <w:rPr>
          <w:rFonts w:ascii="Garamond" w:hAnsi="Garamond"/>
          <w:b/>
        </w:rPr>
        <w:t xml:space="preserve"> </w:t>
      </w:r>
    </w:p>
    <w:p w14:paraId="35F0AC6D" w14:textId="191ED114" w:rsidR="00B73B1C" w:rsidRDefault="00B73B1C" w:rsidP="000412AD">
      <w:pPr>
        <w:widowControl/>
        <w:snapToGrid w:val="0"/>
        <w:spacing w:line="480" w:lineRule="auto"/>
        <w:ind w:firstLine="720"/>
        <w:rPr>
          <w:rFonts w:ascii="Garamond" w:hAnsi="Garamond"/>
        </w:rPr>
      </w:pPr>
      <w:r w:rsidRPr="00B73B1C">
        <w:rPr>
          <w:rFonts w:ascii="Garamond" w:hAnsi="Garamond"/>
        </w:rPr>
        <w:lastRenderedPageBreak/>
        <w:t xml:space="preserve">The finding around </w:t>
      </w:r>
      <w:r w:rsidR="00BC775B">
        <w:rPr>
          <w:rFonts w:ascii="Garamond" w:hAnsi="Garamond"/>
        </w:rPr>
        <w:t xml:space="preserve">exchange </w:t>
      </w:r>
      <w:r w:rsidR="008967C4">
        <w:rPr>
          <w:rFonts w:ascii="Garamond" w:hAnsi="Garamond"/>
        </w:rPr>
        <w:t xml:space="preserve">of </w:t>
      </w:r>
      <w:r w:rsidR="00BC775B">
        <w:rPr>
          <w:rFonts w:ascii="Garamond" w:hAnsi="Garamond"/>
        </w:rPr>
        <w:t>new ideas</w:t>
      </w:r>
      <w:r w:rsidRPr="00B73B1C">
        <w:rPr>
          <w:rFonts w:ascii="Garamond" w:hAnsi="Garamond"/>
        </w:rPr>
        <w:t xml:space="preserve"> </w:t>
      </w:r>
      <w:r w:rsidR="008967C4">
        <w:rPr>
          <w:rFonts w:ascii="Garamond" w:hAnsi="Garamond"/>
        </w:rPr>
        <w:t>is</w:t>
      </w:r>
      <w:r w:rsidRPr="00B73B1C">
        <w:rPr>
          <w:rFonts w:ascii="Garamond" w:hAnsi="Garamond"/>
        </w:rPr>
        <w:t xml:space="preserve"> </w:t>
      </w:r>
      <w:r w:rsidR="008967C4">
        <w:rPr>
          <w:rFonts w:ascii="Garamond" w:hAnsi="Garamond"/>
        </w:rPr>
        <w:t xml:space="preserve">consistent across study settings and suggests that pre-service teachers who exchange new ideas about teaching are more likely to establish a </w:t>
      </w:r>
      <w:r w:rsidR="00CA2D4A">
        <w:rPr>
          <w:rFonts w:ascii="Garamond" w:hAnsi="Garamond"/>
        </w:rPr>
        <w:t xml:space="preserve">relationship </w:t>
      </w:r>
      <w:r w:rsidR="008967C4">
        <w:rPr>
          <w:rFonts w:ascii="Garamond" w:hAnsi="Garamond"/>
        </w:rPr>
        <w:t>for exchang</w:t>
      </w:r>
      <w:r w:rsidR="00027B56">
        <w:rPr>
          <w:rFonts w:ascii="Garamond" w:hAnsi="Garamond"/>
        </w:rPr>
        <w:t>ing</w:t>
      </w:r>
      <w:r w:rsidR="008967C4">
        <w:rPr>
          <w:rFonts w:ascii="Garamond" w:hAnsi="Garamond"/>
        </w:rPr>
        <w:t xml:space="preserve"> instructional materials.  The finding is very much intuitive and corresponds to previous studies on organizational learning</w:t>
      </w:r>
      <w:r w:rsidR="006A3BDA">
        <w:rPr>
          <w:rFonts w:ascii="Garamond" w:hAnsi="Garamond"/>
        </w:rPr>
        <w:t xml:space="preserve"> and</w:t>
      </w:r>
      <w:r w:rsidR="008967C4">
        <w:rPr>
          <w:rFonts w:ascii="Garamond" w:hAnsi="Garamond"/>
        </w:rPr>
        <w:t xml:space="preserve"> innovation in relation to social ties (</w:t>
      </w:r>
      <w:r w:rsidR="001836FC">
        <w:rPr>
          <w:rFonts w:ascii="Garamond" w:hAnsi="Garamond"/>
        </w:rPr>
        <w:t xml:space="preserve">e.g., </w:t>
      </w:r>
      <w:proofErr w:type="spellStart"/>
      <w:r w:rsidR="003312EC" w:rsidRPr="003312EC">
        <w:rPr>
          <w:rFonts w:ascii="Garamond" w:hAnsi="Garamond"/>
        </w:rPr>
        <w:t>Battilana</w:t>
      </w:r>
      <w:proofErr w:type="spellEnd"/>
      <w:r w:rsidR="003312EC">
        <w:rPr>
          <w:rFonts w:ascii="Garamond" w:hAnsi="Garamond"/>
        </w:rPr>
        <w:t xml:space="preserve"> </w:t>
      </w:r>
      <w:r w:rsidR="003312EC" w:rsidRPr="003312EC">
        <w:rPr>
          <w:rFonts w:ascii="Garamond" w:hAnsi="Garamond"/>
        </w:rPr>
        <w:t>&amp; Casciaro, 2013</w:t>
      </w:r>
      <w:r w:rsidR="003312EC">
        <w:rPr>
          <w:rFonts w:ascii="Garamond" w:hAnsi="Garamond"/>
        </w:rPr>
        <w:t xml:space="preserve">; </w:t>
      </w:r>
      <w:proofErr w:type="spellStart"/>
      <w:r w:rsidR="003312EC" w:rsidRPr="003312EC">
        <w:rPr>
          <w:rFonts w:ascii="Garamond" w:hAnsi="Garamond"/>
        </w:rPr>
        <w:t>Dahlander</w:t>
      </w:r>
      <w:proofErr w:type="spellEnd"/>
      <w:r w:rsidR="003312EC">
        <w:rPr>
          <w:rFonts w:ascii="Garamond" w:hAnsi="Garamond"/>
        </w:rPr>
        <w:t xml:space="preserve"> </w:t>
      </w:r>
      <w:r w:rsidR="003312EC" w:rsidRPr="003312EC">
        <w:rPr>
          <w:rFonts w:ascii="Garamond" w:hAnsi="Garamond"/>
        </w:rPr>
        <w:t>&amp; McFarland, 2013</w:t>
      </w:r>
      <w:r w:rsidR="008967C4">
        <w:rPr>
          <w:rFonts w:ascii="Garamond" w:hAnsi="Garamond"/>
        </w:rPr>
        <w:t>)</w:t>
      </w:r>
      <w:r w:rsidRPr="00B73B1C">
        <w:rPr>
          <w:rFonts w:ascii="Garamond" w:hAnsi="Garamond"/>
        </w:rPr>
        <w:t xml:space="preserve">.  </w:t>
      </w:r>
      <w:r w:rsidR="00757102">
        <w:rPr>
          <w:rFonts w:ascii="Garamond" w:hAnsi="Garamond"/>
        </w:rPr>
        <w:t xml:space="preserve">The literature suggests that </w:t>
      </w:r>
      <w:r w:rsidR="00E23BEA">
        <w:rPr>
          <w:rFonts w:ascii="Garamond" w:hAnsi="Garamond"/>
        </w:rPr>
        <w:t>organizational members who are open to new ideas are more willing to explore diverse interpersonal connections for novel exchange</w:t>
      </w:r>
      <w:r w:rsidR="00E23BEA" w:rsidRPr="00E23BEA">
        <w:rPr>
          <w:rFonts w:ascii="Garamond" w:hAnsi="Garamond"/>
        </w:rPr>
        <w:t xml:space="preserve"> </w:t>
      </w:r>
      <w:r w:rsidR="00E23BEA">
        <w:rPr>
          <w:rFonts w:ascii="Garamond" w:hAnsi="Garamond"/>
        </w:rPr>
        <w:t>(</w:t>
      </w:r>
      <w:r w:rsidR="00E23BEA" w:rsidRPr="00E23BEA">
        <w:rPr>
          <w:rFonts w:ascii="Garamond" w:hAnsi="Garamond"/>
        </w:rPr>
        <w:t>Fredrickson, 2003</w:t>
      </w:r>
      <w:r w:rsidR="00E23BEA">
        <w:rPr>
          <w:rFonts w:ascii="Garamond" w:hAnsi="Garamond"/>
        </w:rPr>
        <w:t xml:space="preserve">) and thus tend to be well-connected </w:t>
      </w:r>
      <w:r w:rsidR="00E23BEA" w:rsidRPr="00E23BEA">
        <w:rPr>
          <w:rFonts w:ascii="Garamond" w:hAnsi="Garamond"/>
        </w:rPr>
        <w:t>(</w:t>
      </w:r>
      <w:proofErr w:type="spellStart"/>
      <w:r w:rsidR="00E23BEA" w:rsidRPr="00E23BEA">
        <w:rPr>
          <w:rFonts w:ascii="Garamond" w:hAnsi="Garamond"/>
        </w:rPr>
        <w:t>Heaphy</w:t>
      </w:r>
      <w:proofErr w:type="spellEnd"/>
      <w:r w:rsidR="00E23BEA" w:rsidRPr="00E23BEA">
        <w:rPr>
          <w:rFonts w:ascii="Garamond" w:hAnsi="Garamond"/>
        </w:rPr>
        <w:t xml:space="preserve"> &amp; Dutton, 2008)</w:t>
      </w:r>
      <w:r w:rsidR="00E23BEA">
        <w:rPr>
          <w:rFonts w:ascii="Garamond" w:hAnsi="Garamond"/>
        </w:rPr>
        <w:t xml:space="preserve">. </w:t>
      </w:r>
      <w:r w:rsidR="00857E41">
        <w:rPr>
          <w:rFonts w:ascii="Garamond" w:hAnsi="Garamond"/>
        </w:rPr>
        <w:t xml:space="preserve"> It might well be the case that</w:t>
      </w:r>
      <w:r w:rsidR="009827DD">
        <w:rPr>
          <w:rFonts w:ascii="Garamond" w:hAnsi="Garamond"/>
        </w:rPr>
        <w:t xml:space="preserve"> the </w:t>
      </w:r>
      <w:r w:rsidR="008B7DBB">
        <w:rPr>
          <w:rFonts w:ascii="Garamond" w:hAnsi="Garamond"/>
        </w:rPr>
        <w:t xml:space="preserve">during preparations </w:t>
      </w:r>
      <w:r w:rsidR="009827DD">
        <w:rPr>
          <w:rFonts w:ascii="Garamond" w:hAnsi="Garamond"/>
        </w:rPr>
        <w:t xml:space="preserve">pre-service teachers </w:t>
      </w:r>
      <w:r w:rsidR="00CA2D4A">
        <w:rPr>
          <w:rFonts w:ascii="Garamond" w:hAnsi="Garamond"/>
        </w:rPr>
        <w:t xml:space="preserve">have been </w:t>
      </w:r>
      <w:r w:rsidR="009827DD">
        <w:rPr>
          <w:rFonts w:ascii="Garamond" w:hAnsi="Garamond"/>
        </w:rPr>
        <w:t xml:space="preserve">exposed to a variety of collaborative opportunities </w:t>
      </w:r>
      <w:r w:rsidR="008B7DBB">
        <w:rPr>
          <w:rFonts w:ascii="Garamond" w:hAnsi="Garamond"/>
        </w:rPr>
        <w:t>encourag</w:t>
      </w:r>
      <w:r w:rsidR="00CA2D4A">
        <w:rPr>
          <w:rFonts w:ascii="Garamond" w:hAnsi="Garamond"/>
        </w:rPr>
        <w:t>ing</w:t>
      </w:r>
      <w:r w:rsidR="009827DD">
        <w:rPr>
          <w:rFonts w:ascii="Garamond" w:hAnsi="Garamond"/>
        </w:rPr>
        <w:t xml:space="preserve"> them to interact within and between cohorts and access new information</w:t>
      </w:r>
      <w:r w:rsidR="008B7DBB">
        <w:rPr>
          <w:rFonts w:ascii="Garamond" w:hAnsi="Garamond"/>
        </w:rPr>
        <w:t xml:space="preserve"> to come up with project ideas</w:t>
      </w:r>
      <w:r w:rsidR="00CA2D4A">
        <w:rPr>
          <w:rFonts w:ascii="Garamond" w:hAnsi="Garamond"/>
        </w:rPr>
        <w:t xml:space="preserve"> and</w:t>
      </w:r>
      <w:r w:rsidR="008B7DBB">
        <w:rPr>
          <w:rFonts w:ascii="Garamond" w:hAnsi="Garamond"/>
        </w:rPr>
        <w:t xml:space="preserve"> solve problems that are too challenging for single individual to accomplish</w:t>
      </w:r>
      <w:r w:rsidR="009827DD">
        <w:rPr>
          <w:rFonts w:ascii="Garamond" w:hAnsi="Garamond"/>
        </w:rPr>
        <w:t xml:space="preserve">.  These norms are identified </w:t>
      </w:r>
      <w:r w:rsidR="00F43836">
        <w:rPr>
          <w:rFonts w:ascii="Garamond" w:hAnsi="Garamond"/>
        </w:rPr>
        <w:t xml:space="preserve">as </w:t>
      </w:r>
      <w:r w:rsidR="009827DD">
        <w:rPr>
          <w:rFonts w:ascii="Garamond" w:hAnsi="Garamond"/>
        </w:rPr>
        <w:t>particularly common for collaboration to occur in natural and organizational sciences</w:t>
      </w:r>
      <w:r w:rsidR="00857E41">
        <w:rPr>
          <w:rFonts w:ascii="Garamond" w:hAnsi="Garamond"/>
        </w:rPr>
        <w:t xml:space="preserve"> </w:t>
      </w:r>
      <w:r w:rsidR="009827DD">
        <w:rPr>
          <w:rFonts w:ascii="Garamond" w:hAnsi="Garamond"/>
        </w:rPr>
        <w:t>(</w:t>
      </w:r>
      <w:proofErr w:type="spellStart"/>
      <w:r w:rsidR="00F07123" w:rsidRPr="00F07123">
        <w:rPr>
          <w:rFonts w:ascii="Garamond" w:hAnsi="Garamond"/>
        </w:rPr>
        <w:t>Dahlander</w:t>
      </w:r>
      <w:proofErr w:type="spellEnd"/>
      <w:r w:rsidR="00F07123" w:rsidRPr="00F07123">
        <w:rPr>
          <w:rFonts w:ascii="Garamond" w:hAnsi="Garamond"/>
        </w:rPr>
        <w:t xml:space="preserve"> </w:t>
      </w:r>
      <w:r w:rsidR="00F07123">
        <w:rPr>
          <w:rFonts w:ascii="Garamond" w:hAnsi="Garamond"/>
        </w:rPr>
        <w:t>&amp;</w:t>
      </w:r>
      <w:r w:rsidR="00F07123" w:rsidRPr="00F07123">
        <w:rPr>
          <w:rFonts w:ascii="Garamond" w:hAnsi="Garamond"/>
        </w:rPr>
        <w:t xml:space="preserve"> McFarland</w:t>
      </w:r>
      <w:r w:rsidR="00F07123">
        <w:rPr>
          <w:rFonts w:ascii="Garamond" w:hAnsi="Garamond"/>
        </w:rPr>
        <w:t>, 2013</w:t>
      </w:r>
      <w:r w:rsidR="009827DD">
        <w:rPr>
          <w:rFonts w:ascii="Garamond" w:hAnsi="Garamond"/>
        </w:rPr>
        <w:t>)</w:t>
      </w:r>
      <w:r w:rsidR="0044017B">
        <w:rPr>
          <w:rFonts w:ascii="Garamond" w:hAnsi="Garamond"/>
        </w:rPr>
        <w:t xml:space="preserve">.  </w:t>
      </w:r>
      <w:r w:rsidR="00027B56">
        <w:rPr>
          <w:rFonts w:ascii="Garamond" w:hAnsi="Garamond"/>
        </w:rPr>
        <w:t>As such, it is not surpr</w:t>
      </w:r>
      <w:r w:rsidR="00E077F4">
        <w:rPr>
          <w:rFonts w:ascii="Garamond" w:hAnsi="Garamond"/>
        </w:rPr>
        <w:t xml:space="preserve">ising to correlate the NIs network relation with the tie that bridges the sharing of useful instructional materials.  </w:t>
      </w:r>
      <w:r w:rsidRPr="00B73B1C">
        <w:rPr>
          <w:rFonts w:ascii="Garamond" w:hAnsi="Garamond"/>
        </w:rPr>
        <w:t xml:space="preserve">Research on organizational network and innovation suggests the merit of exploring new and diverse knowledge and resources for better development of individual human and social capital (Finnigan et al., 2012).  Having the opportunities and channels for exchanging ideas may better stimulate </w:t>
      </w:r>
      <w:r w:rsidR="00FE60C1">
        <w:rPr>
          <w:rFonts w:ascii="Garamond" w:hAnsi="Garamond"/>
        </w:rPr>
        <w:t>the</w:t>
      </w:r>
      <w:r w:rsidR="004C5E8E">
        <w:rPr>
          <w:rFonts w:ascii="Garamond" w:hAnsi="Garamond"/>
        </w:rPr>
        <w:t xml:space="preserve"> use and refine </w:t>
      </w:r>
      <w:r w:rsidRPr="00B73B1C">
        <w:rPr>
          <w:rFonts w:ascii="Garamond" w:hAnsi="Garamond"/>
        </w:rPr>
        <w:t xml:space="preserve">of individual knowledge and in the long terms improve individual and collective actions toward innovation.   </w:t>
      </w:r>
    </w:p>
    <w:p w14:paraId="22B1746A" w14:textId="59D739EA" w:rsidR="004C5E8E" w:rsidRPr="004C5E8E" w:rsidRDefault="004C5E8E" w:rsidP="004C5E8E">
      <w:pPr>
        <w:widowControl/>
        <w:snapToGrid w:val="0"/>
        <w:spacing w:line="480" w:lineRule="auto"/>
        <w:rPr>
          <w:rFonts w:ascii="Garamond" w:hAnsi="Garamond"/>
          <w:b/>
        </w:rPr>
      </w:pPr>
      <w:r w:rsidRPr="004C5E8E">
        <w:rPr>
          <w:rFonts w:ascii="Garamond" w:hAnsi="Garamond"/>
          <w:b/>
        </w:rPr>
        <w:t>The Role of Peer Trust in IMs Ties</w:t>
      </w:r>
    </w:p>
    <w:p w14:paraId="2F72E389" w14:textId="661087CA" w:rsidR="00AB01D9" w:rsidRDefault="003E6712" w:rsidP="004A1F49">
      <w:pPr>
        <w:widowControl/>
        <w:snapToGrid w:val="0"/>
        <w:spacing w:line="480" w:lineRule="auto"/>
        <w:ind w:firstLine="720"/>
        <w:rPr>
          <w:rFonts w:ascii="Garamond" w:hAnsi="Garamond"/>
        </w:rPr>
      </w:pPr>
      <w:r>
        <w:rPr>
          <w:rFonts w:ascii="Garamond" w:hAnsi="Garamond"/>
        </w:rPr>
        <w:t>The finding</w:t>
      </w:r>
      <w:r w:rsidR="00101E0B">
        <w:rPr>
          <w:rFonts w:ascii="Garamond" w:hAnsi="Garamond"/>
        </w:rPr>
        <w:t>s</w:t>
      </w:r>
      <w:r>
        <w:rPr>
          <w:rFonts w:ascii="Garamond" w:hAnsi="Garamond"/>
        </w:rPr>
        <w:t xml:space="preserve"> on peer trust </w:t>
      </w:r>
      <w:r w:rsidR="00101E0B">
        <w:rPr>
          <w:rFonts w:ascii="Garamond" w:hAnsi="Garamond"/>
        </w:rPr>
        <w:t>are</w:t>
      </w:r>
      <w:r w:rsidR="000575F9">
        <w:rPr>
          <w:rFonts w:ascii="Garamond" w:hAnsi="Garamond"/>
        </w:rPr>
        <w:t xml:space="preserve"> salient in the English cohort as both sender and reciprocity effects.  </w:t>
      </w:r>
      <w:r w:rsidR="00EA6AA2">
        <w:rPr>
          <w:rFonts w:ascii="Garamond" w:hAnsi="Garamond"/>
        </w:rPr>
        <w:t xml:space="preserve">The </w:t>
      </w:r>
      <w:r w:rsidR="001D0571">
        <w:rPr>
          <w:rFonts w:ascii="Garamond" w:hAnsi="Garamond"/>
        </w:rPr>
        <w:t xml:space="preserve">finding around </w:t>
      </w:r>
      <w:r w:rsidR="00EA6AA2">
        <w:rPr>
          <w:rFonts w:ascii="Garamond" w:hAnsi="Garamond"/>
        </w:rPr>
        <w:t xml:space="preserve">positive </w:t>
      </w:r>
      <w:r w:rsidR="00101E0B">
        <w:rPr>
          <w:rFonts w:ascii="Garamond" w:hAnsi="Garamond"/>
        </w:rPr>
        <w:t>sender effect</w:t>
      </w:r>
      <w:r w:rsidR="00EA6AA2">
        <w:rPr>
          <w:rFonts w:ascii="Garamond" w:hAnsi="Garamond"/>
        </w:rPr>
        <w:t xml:space="preserve"> for </w:t>
      </w:r>
      <w:r w:rsidR="00101E0B">
        <w:rPr>
          <w:rFonts w:ascii="Garamond" w:hAnsi="Garamond"/>
        </w:rPr>
        <w:t xml:space="preserve">peer trust </w:t>
      </w:r>
      <w:r w:rsidR="00EA6AA2">
        <w:rPr>
          <w:rFonts w:ascii="Garamond" w:hAnsi="Garamond"/>
        </w:rPr>
        <w:t xml:space="preserve">on </w:t>
      </w:r>
      <w:r w:rsidR="00101E0B">
        <w:rPr>
          <w:rFonts w:ascii="Garamond" w:hAnsi="Garamond"/>
        </w:rPr>
        <w:t xml:space="preserve">the likelihood of reaching out to others for instructional materials corresponds to a number of previous studies on relational trust </w:t>
      </w:r>
      <w:r w:rsidR="00E870F9">
        <w:rPr>
          <w:rFonts w:ascii="Garamond" w:hAnsi="Garamond"/>
        </w:rPr>
        <w:t xml:space="preserve">and social ties </w:t>
      </w:r>
      <w:r w:rsidR="00101E0B">
        <w:rPr>
          <w:rFonts w:ascii="Garamond" w:hAnsi="Garamond"/>
        </w:rPr>
        <w:t>(</w:t>
      </w:r>
      <w:r w:rsidR="001D0571">
        <w:rPr>
          <w:rFonts w:ascii="Garamond" w:hAnsi="Garamond"/>
        </w:rPr>
        <w:t xml:space="preserve">e.g., </w:t>
      </w:r>
      <w:r w:rsidR="00E870F9" w:rsidRPr="00E870F9">
        <w:rPr>
          <w:rFonts w:ascii="Garamond" w:hAnsi="Garamond"/>
        </w:rPr>
        <w:t>Moolenaar</w:t>
      </w:r>
      <w:r w:rsidR="00B70C52">
        <w:rPr>
          <w:rFonts w:ascii="Garamond" w:hAnsi="Garamond"/>
        </w:rPr>
        <w:t xml:space="preserve"> et al.</w:t>
      </w:r>
      <w:r w:rsidR="00E870F9">
        <w:rPr>
          <w:rFonts w:ascii="Garamond" w:hAnsi="Garamond"/>
        </w:rPr>
        <w:t>, 201</w:t>
      </w:r>
      <w:r w:rsidR="00B70C52">
        <w:rPr>
          <w:rFonts w:ascii="Garamond" w:hAnsi="Garamond"/>
        </w:rPr>
        <w:t>4</w:t>
      </w:r>
      <w:r w:rsidR="00E870F9">
        <w:rPr>
          <w:rFonts w:ascii="Garamond" w:hAnsi="Garamond"/>
        </w:rPr>
        <w:t xml:space="preserve">; </w:t>
      </w:r>
      <w:r w:rsidR="00E870F9" w:rsidRPr="00E870F9">
        <w:rPr>
          <w:rFonts w:ascii="Garamond" w:hAnsi="Garamond"/>
        </w:rPr>
        <w:t xml:space="preserve">Van </w:t>
      </w:r>
      <w:proofErr w:type="spellStart"/>
      <w:r w:rsidR="00E870F9" w:rsidRPr="00E870F9">
        <w:rPr>
          <w:rFonts w:ascii="Garamond" w:hAnsi="Garamond"/>
        </w:rPr>
        <w:t>Maele</w:t>
      </w:r>
      <w:proofErr w:type="spellEnd"/>
      <w:r w:rsidR="00E870F9" w:rsidRPr="00E870F9">
        <w:rPr>
          <w:rFonts w:ascii="Garamond" w:hAnsi="Garamond"/>
        </w:rPr>
        <w:t xml:space="preserve">, Forsyth, </w:t>
      </w:r>
      <w:r w:rsidR="00E870F9">
        <w:rPr>
          <w:rFonts w:ascii="Garamond" w:hAnsi="Garamond"/>
        </w:rPr>
        <w:t xml:space="preserve">&amp; </w:t>
      </w:r>
      <w:r w:rsidR="00E870F9" w:rsidRPr="00E870F9">
        <w:rPr>
          <w:rFonts w:ascii="Garamond" w:hAnsi="Garamond"/>
        </w:rPr>
        <w:t xml:space="preserve">Van </w:t>
      </w:r>
      <w:proofErr w:type="spellStart"/>
      <w:r w:rsidR="00E870F9" w:rsidRPr="00E870F9">
        <w:rPr>
          <w:rFonts w:ascii="Garamond" w:hAnsi="Garamond"/>
        </w:rPr>
        <w:t>Houtte</w:t>
      </w:r>
      <w:proofErr w:type="spellEnd"/>
      <w:r w:rsidR="00E870F9">
        <w:rPr>
          <w:rFonts w:ascii="Garamond" w:hAnsi="Garamond"/>
        </w:rPr>
        <w:t>, 2014</w:t>
      </w:r>
      <w:r w:rsidR="00101E0B" w:rsidRPr="00E870F9">
        <w:rPr>
          <w:rFonts w:ascii="Garamond" w:hAnsi="Garamond"/>
        </w:rPr>
        <w:t>)</w:t>
      </w:r>
      <w:r w:rsidR="00101E0B">
        <w:rPr>
          <w:rFonts w:ascii="Garamond" w:hAnsi="Garamond"/>
        </w:rPr>
        <w:t xml:space="preserve">.  </w:t>
      </w:r>
      <w:r w:rsidR="004A1F49">
        <w:rPr>
          <w:rFonts w:ascii="Garamond" w:hAnsi="Garamond"/>
        </w:rPr>
        <w:t>The English pre-service teachers who perceive</w:t>
      </w:r>
      <w:r w:rsidR="001D0571">
        <w:rPr>
          <w:rFonts w:ascii="Garamond" w:hAnsi="Garamond"/>
        </w:rPr>
        <w:t>d</w:t>
      </w:r>
      <w:r w:rsidR="004A1F49">
        <w:rPr>
          <w:rFonts w:ascii="Garamond" w:hAnsi="Garamond"/>
        </w:rPr>
        <w:t xml:space="preserve"> greater peer trust might be more willing to provide </w:t>
      </w:r>
      <w:r w:rsidR="004A1F49" w:rsidRPr="008453EA">
        <w:rPr>
          <w:rFonts w:ascii="Garamond" w:hAnsi="Garamond"/>
        </w:rPr>
        <w:t xml:space="preserve">and exchange </w:t>
      </w:r>
      <w:r w:rsidR="004A1F49" w:rsidRPr="008453EA">
        <w:rPr>
          <w:rFonts w:ascii="Garamond" w:hAnsi="Garamond"/>
        </w:rPr>
        <w:lastRenderedPageBreak/>
        <w:t>social and em</w:t>
      </w:r>
      <w:r w:rsidR="00426D5D">
        <w:rPr>
          <w:rFonts w:ascii="Garamond" w:hAnsi="Garamond"/>
        </w:rPr>
        <w:t>otional support with their peers</w:t>
      </w:r>
      <w:r w:rsidR="004A1F49" w:rsidRPr="008453EA">
        <w:rPr>
          <w:rFonts w:ascii="Garamond" w:hAnsi="Garamond"/>
        </w:rPr>
        <w:t xml:space="preserve">, as has been shown in </w:t>
      </w:r>
      <w:r w:rsidR="004A1F49">
        <w:rPr>
          <w:rFonts w:ascii="Garamond" w:hAnsi="Garamond"/>
        </w:rPr>
        <w:t>earlier</w:t>
      </w:r>
      <w:r w:rsidR="004A1F49" w:rsidRPr="008453EA">
        <w:rPr>
          <w:rFonts w:ascii="Garamond" w:hAnsi="Garamond"/>
        </w:rPr>
        <w:t xml:space="preserve"> studies </w:t>
      </w:r>
      <w:r w:rsidR="004A1F49">
        <w:rPr>
          <w:rFonts w:ascii="Garamond" w:hAnsi="Garamond"/>
        </w:rPr>
        <w:t>suggesting</w:t>
      </w:r>
      <w:r w:rsidR="004A1F49" w:rsidRPr="008453EA">
        <w:rPr>
          <w:rFonts w:ascii="Garamond" w:hAnsi="Garamond"/>
        </w:rPr>
        <w:t xml:space="preserve"> trust as a key resource for </w:t>
      </w:r>
      <w:r w:rsidR="001D0571">
        <w:rPr>
          <w:rFonts w:ascii="Garamond" w:hAnsi="Garamond"/>
        </w:rPr>
        <w:t>establishing ties for</w:t>
      </w:r>
      <w:r w:rsidR="00426D5D">
        <w:rPr>
          <w:rFonts w:ascii="Garamond" w:hAnsi="Garamond"/>
        </w:rPr>
        <w:t xml:space="preserve"> social support (Authors et al., 2017), individual and organizational improvement (</w:t>
      </w:r>
      <w:proofErr w:type="spellStart"/>
      <w:r w:rsidR="00426D5D" w:rsidRPr="008453EA">
        <w:rPr>
          <w:rFonts w:ascii="Garamond" w:hAnsi="Garamond"/>
        </w:rPr>
        <w:t>Bryk</w:t>
      </w:r>
      <w:proofErr w:type="spellEnd"/>
      <w:r w:rsidR="00426D5D" w:rsidRPr="008453EA">
        <w:rPr>
          <w:rFonts w:ascii="Garamond" w:hAnsi="Garamond"/>
        </w:rPr>
        <w:t xml:space="preserve"> &amp; Schneider, 2002</w:t>
      </w:r>
      <w:r w:rsidR="0040372B">
        <w:rPr>
          <w:rFonts w:ascii="Garamond" w:hAnsi="Garamond"/>
        </w:rPr>
        <w:t xml:space="preserve">), and </w:t>
      </w:r>
      <w:r w:rsidR="004A1F49">
        <w:rPr>
          <w:rFonts w:ascii="Garamond" w:hAnsi="Garamond"/>
        </w:rPr>
        <w:t xml:space="preserve">promoting </w:t>
      </w:r>
      <w:r w:rsidR="00426D5D">
        <w:rPr>
          <w:rFonts w:ascii="Garamond" w:hAnsi="Garamond"/>
        </w:rPr>
        <w:t>innovation</w:t>
      </w:r>
      <w:r w:rsidR="004A1F49" w:rsidRPr="008453EA">
        <w:rPr>
          <w:rFonts w:ascii="Garamond" w:hAnsi="Garamond"/>
        </w:rPr>
        <w:t xml:space="preserve"> (</w:t>
      </w:r>
      <w:r w:rsidR="00426D5D" w:rsidRPr="00E870F9">
        <w:rPr>
          <w:rFonts w:ascii="Garamond" w:hAnsi="Garamond"/>
        </w:rPr>
        <w:t xml:space="preserve">Moolenaar </w:t>
      </w:r>
      <w:r w:rsidR="00B70C52">
        <w:rPr>
          <w:rFonts w:ascii="Garamond" w:hAnsi="Garamond"/>
        </w:rPr>
        <w:t>et al.</w:t>
      </w:r>
      <w:r w:rsidR="00426D5D">
        <w:rPr>
          <w:rFonts w:ascii="Garamond" w:hAnsi="Garamond"/>
        </w:rPr>
        <w:t>, 201</w:t>
      </w:r>
      <w:r w:rsidR="00B70C52">
        <w:rPr>
          <w:rFonts w:ascii="Garamond" w:hAnsi="Garamond"/>
        </w:rPr>
        <w:t>4</w:t>
      </w:r>
      <w:r w:rsidR="004A1F49" w:rsidRPr="008453EA">
        <w:rPr>
          <w:rFonts w:ascii="Garamond" w:hAnsi="Garamond"/>
        </w:rPr>
        <w:t>).</w:t>
      </w:r>
      <w:r w:rsidR="00426D5D">
        <w:rPr>
          <w:rFonts w:ascii="Garamond" w:hAnsi="Garamond"/>
        </w:rPr>
        <w:t xml:space="preserve">  </w:t>
      </w:r>
      <w:r w:rsidR="001D0571">
        <w:rPr>
          <w:rFonts w:ascii="Garamond" w:hAnsi="Garamond"/>
        </w:rPr>
        <w:t>In addition, t</w:t>
      </w:r>
      <w:r w:rsidR="00426D5D">
        <w:rPr>
          <w:rFonts w:ascii="Garamond" w:hAnsi="Garamond"/>
        </w:rPr>
        <w:t>rust offer</w:t>
      </w:r>
      <w:r w:rsidR="00AB01D9">
        <w:rPr>
          <w:rFonts w:ascii="Garamond" w:hAnsi="Garamond"/>
        </w:rPr>
        <w:t>s</w:t>
      </w:r>
      <w:r w:rsidR="00426D5D">
        <w:rPr>
          <w:rFonts w:ascii="Garamond" w:hAnsi="Garamond"/>
        </w:rPr>
        <w:t xml:space="preserve"> ways for teachers to build a sense of security</w:t>
      </w:r>
      <w:r w:rsidR="00AB01D9">
        <w:rPr>
          <w:rFonts w:ascii="Garamond" w:hAnsi="Garamond"/>
        </w:rPr>
        <w:t xml:space="preserve"> and certainty</w:t>
      </w:r>
      <w:r w:rsidR="00426D5D">
        <w:rPr>
          <w:rFonts w:ascii="Garamond" w:hAnsi="Garamond"/>
        </w:rPr>
        <w:t xml:space="preserve"> </w:t>
      </w:r>
      <w:r w:rsidR="00AB01D9">
        <w:rPr>
          <w:rFonts w:ascii="Garamond" w:hAnsi="Garamond"/>
        </w:rPr>
        <w:t xml:space="preserve">through a general expectation that the action of others can be relied on </w:t>
      </w:r>
      <w:r w:rsidR="009C0087">
        <w:rPr>
          <w:rFonts w:ascii="Garamond" w:hAnsi="Garamond"/>
        </w:rPr>
        <w:t>(</w:t>
      </w:r>
      <w:proofErr w:type="spellStart"/>
      <w:r w:rsidR="009C0087" w:rsidRPr="008453EA">
        <w:rPr>
          <w:rFonts w:ascii="Garamond" w:hAnsi="Garamond"/>
        </w:rPr>
        <w:t>Bryk</w:t>
      </w:r>
      <w:proofErr w:type="spellEnd"/>
      <w:r w:rsidR="009C0087" w:rsidRPr="008453EA">
        <w:rPr>
          <w:rFonts w:ascii="Garamond" w:hAnsi="Garamond"/>
        </w:rPr>
        <w:t xml:space="preserve"> &amp; Schneider, 2002</w:t>
      </w:r>
      <w:r w:rsidR="009C0087">
        <w:rPr>
          <w:rFonts w:ascii="Garamond" w:hAnsi="Garamond"/>
        </w:rPr>
        <w:t>), particularly when they are</w:t>
      </w:r>
      <w:r w:rsidR="001D0571">
        <w:rPr>
          <w:rFonts w:ascii="Garamond" w:hAnsi="Garamond"/>
        </w:rPr>
        <w:t xml:space="preserve"> encouraged</w:t>
      </w:r>
      <w:r w:rsidR="009C0087" w:rsidRPr="009C0087">
        <w:rPr>
          <w:rFonts w:ascii="Garamond" w:hAnsi="Garamond"/>
        </w:rPr>
        <w:t xml:space="preserve"> </w:t>
      </w:r>
      <w:r w:rsidR="009C0087">
        <w:rPr>
          <w:rFonts w:ascii="Garamond" w:hAnsi="Garamond"/>
        </w:rPr>
        <w:t xml:space="preserve">to work with </w:t>
      </w:r>
      <w:r w:rsidR="001D0571">
        <w:rPr>
          <w:rFonts w:ascii="Garamond" w:hAnsi="Garamond"/>
        </w:rPr>
        <w:t xml:space="preserve">peers from other cohorts </w:t>
      </w:r>
      <w:r w:rsidR="009C0087">
        <w:rPr>
          <w:rFonts w:ascii="Garamond" w:hAnsi="Garamond"/>
        </w:rPr>
        <w:t xml:space="preserve">with whom they are </w:t>
      </w:r>
      <w:r w:rsidR="001D0571">
        <w:rPr>
          <w:rFonts w:ascii="Garamond" w:hAnsi="Garamond"/>
        </w:rPr>
        <w:t xml:space="preserve">less </w:t>
      </w:r>
      <w:r w:rsidR="009C0087">
        <w:rPr>
          <w:rFonts w:ascii="Garamond" w:hAnsi="Garamond"/>
        </w:rPr>
        <w:t xml:space="preserve">familiar.  </w:t>
      </w:r>
      <w:r w:rsidR="003777AD">
        <w:rPr>
          <w:rFonts w:ascii="Garamond" w:hAnsi="Garamond"/>
        </w:rPr>
        <w:t>Having a</w:t>
      </w:r>
      <w:r w:rsidR="003777AD" w:rsidRPr="008453EA">
        <w:rPr>
          <w:rFonts w:ascii="Garamond" w:hAnsi="Garamond"/>
        </w:rPr>
        <w:t xml:space="preserve"> sense of </w:t>
      </w:r>
      <w:r w:rsidR="003777AD">
        <w:rPr>
          <w:rFonts w:ascii="Garamond" w:hAnsi="Garamond"/>
        </w:rPr>
        <w:t>relational</w:t>
      </w:r>
      <w:r w:rsidR="003777AD" w:rsidRPr="008453EA">
        <w:rPr>
          <w:rFonts w:ascii="Garamond" w:hAnsi="Garamond"/>
        </w:rPr>
        <w:t xml:space="preserve"> </w:t>
      </w:r>
      <w:r w:rsidR="003777AD">
        <w:rPr>
          <w:rFonts w:ascii="Garamond" w:hAnsi="Garamond"/>
        </w:rPr>
        <w:t>certainty</w:t>
      </w:r>
      <w:r w:rsidR="003777AD" w:rsidRPr="008453EA">
        <w:rPr>
          <w:rFonts w:ascii="Garamond" w:hAnsi="Garamond"/>
        </w:rPr>
        <w:t xml:space="preserve"> may </w:t>
      </w:r>
      <w:r w:rsidR="003777AD">
        <w:rPr>
          <w:rFonts w:ascii="Garamond" w:hAnsi="Garamond"/>
        </w:rPr>
        <w:t>assist</w:t>
      </w:r>
      <w:r w:rsidR="003777AD" w:rsidRPr="008453EA">
        <w:rPr>
          <w:rFonts w:ascii="Garamond" w:hAnsi="Garamond"/>
        </w:rPr>
        <w:t xml:space="preserve"> pre-service teachers </w:t>
      </w:r>
      <w:r w:rsidR="003777AD">
        <w:rPr>
          <w:rFonts w:ascii="Garamond" w:hAnsi="Garamond"/>
        </w:rPr>
        <w:t>in</w:t>
      </w:r>
      <w:r w:rsidR="003777AD" w:rsidRPr="008453EA">
        <w:rPr>
          <w:rFonts w:ascii="Garamond" w:hAnsi="Garamond"/>
        </w:rPr>
        <w:t xml:space="preserve"> engag</w:t>
      </w:r>
      <w:r w:rsidR="003777AD">
        <w:rPr>
          <w:rFonts w:ascii="Garamond" w:hAnsi="Garamond"/>
        </w:rPr>
        <w:t>ing</w:t>
      </w:r>
      <w:r w:rsidR="003777AD" w:rsidRPr="008453EA">
        <w:rPr>
          <w:rFonts w:ascii="Garamond" w:hAnsi="Garamond"/>
        </w:rPr>
        <w:t xml:space="preserve"> in more timely and accurate communications and knowledge sharing (</w:t>
      </w:r>
      <w:proofErr w:type="spellStart"/>
      <w:r w:rsidR="003777AD" w:rsidRPr="008453EA">
        <w:rPr>
          <w:rFonts w:ascii="Garamond" w:hAnsi="Garamond"/>
        </w:rPr>
        <w:t>Bulu</w:t>
      </w:r>
      <w:proofErr w:type="spellEnd"/>
      <w:r w:rsidR="003777AD" w:rsidRPr="008453EA">
        <w:rPr>
          <w:rFonts w:ascii="Garamond" w:hAnsi="Garamond"/>
        </w:rPr>
        <w:t xml:space="preserve"> &amp; </w:t>
      </w:r>
      <w:proofErr w:type="spellStart"/>
      <w:r w:rsidR="003777AD" w:rsidRPr="008453EA">
        <w:rPr>
          <w:rFonts w:ascii="Garamond" w:hAnsi="Garamond"/>
        </w:rPr>
        <w:t>Yildirim</w:t>
      </w:r>
      <w:proofErr w:type="spellEnd"/>
      <w:r w:rsidR="003777AD" w:rsidRPr="008453EA">
        <w:rPr>
          <w:rFonts w:ascii="Garamond" w:hAnsi="Garamond"/>
        </w:rPr>
        <w:t>, 2008), reduc</w:t>
      </w:r>
      <w:r w:rsidR="0040372B">
        <w:rPr>
          <w:rFonts w:ascii="Garamond" w:hAnsi="Garamond"/>
        </w:rPr>
        <w:t>ing</w:t>
      </w:r>
      <w:r w:rsidR="003777AD" w:rsidRPr="008453EA">
        <w:rPr>
          <w:rFonts w:ascii="Garamond" w:hAnsi="Garamond"/>
        </w:rPr>
        <w:t xml:space="preserve"> a sense of professional isolation (</w:t>
      </w:r>
      <w:proofErr w:type="spellStart"/>
      <w:r w:rsidR="003777AD" w:rsidRPr="008453EA">
        <w:rPr>
          <w:rFonts w:ascii="Garamond" w:hAnsi="Garamond"/>
        </w:rPr>
        <w:t>Durksen</w:t>
      </w:r>
      <w:proofErr w:type="spellEnd"/>
      <w:r w:rsidR="003777AD" w:rsidRPr="008453EA">
        <w:rPr>
          <w:rFonts w:ascii="Garamond" w:hAnsi="Garamond"/>
        </w:rPr>
        <w:t xml:space="preserve"> &amp; </w:t>
      </w:r>
      <w:proofErr w:type="spellStart"/>
      <w:r w:rsidR="003777AD" w:rsidRPr="008453EA">
        <w:rPr>
          <w:rFonts w:ascii="Garamond" w:hAnsi="Garamond"/>
        </w:rPr>
        <w:t>Klassen</w:t>
      </w:r>
      <w:proofErr w:type="spellEnd"/>
      <w:r w:rsidR="003777AD" w:rsidRPr="008453EA">
        <w:rPr>
          <w:rFonts w:ascii="Garamond" w:hAnsi="Garamond"/>
        </w:rPr>
        <w:t>, 2012), and increas</w:t>
      </w:r>
      <w:r w:rsidR="0040372B">
        <w:rPr>
          <w:rFonts w:ascii="Garamond" w:hAnsi="Garamond"/>
        </w:rPr>
        <w:t>ing</w:t>
      </w:r>
      <w:r w:rsidR="003777AD" w:rsidRPr="008453EA">
        <w:rPr>
          <w:rFonts w:ascii="Garamond" w:hAnsi="Garamond"/>
        </w:rPr>
        <w:t xml:space="preserve"> team collaboration (Forbes &amp; Billet, 2012)</w:t>
      </w:r>
      <w:r w:rsidR="0040372B">
        <w:rPr>
          <w:rFonts w:ascii="Garamond" w:hAnsi="Garamond"/>
        </w:rPr>
        <w:t xml:space="preserve"> and </w:t>
      </w:r>
      <w:r w:rsidR="0040372B" w:rsidRPr="008453EA">
        <w:rPr>
          <w:rFonts w:ascii="Garamond" w:hAnsi="Garamond"/>
        </w:rPr>
        <w:t>teacher professionalism (</w:t>
      </w:r>
      <w:proofErr w:type="spellStart"/>
      <w:r w:rsidR="0040372B" w:rsidRPr="008453EA">
        <w:rPr>
          <w:rFonts w:ascii="Garamond" w:hAnsi="Garamond"/>
        </w:rPr>
        <w:t>Tschannen</w:t>
      </w:r>
      <w:proofErr w:type="spellEnd"/>
      <w:r w:rsidR="0040372B" w:rsidRPr="008453EA">
        <w:rPr>
          <w:rFonts w:ascii="Garamond" w:hAnsi="Garamond"/>
        </w:rPr>
        <w:t>-Moran, 2009)</w:t>
      </w:r>
      <w:r w:rsidR="003777AD" w:rsidRPr="008453EA">
        <w:rPr>
          <w:rFonts w:ascii="Garamond" w:hAnsi="Garamond"/>
        </w:rPr>
        <w:t xml:space="preserve">.  </w:t>
      </w:r>
      <w:r w:rsidR="0040372B">
        <w:rPr>
          <w:rFonts w:ascii="Garamond" w:hAnsi="Garamond"/>
        </w:rPr>
        <w:t>In this regard, i</w:t>
      </w:r>
      <w:r w:rsidR="0040372B" w:rsidRPr="008453EA">
        <w:rPr>
          <w:rFonts w:ascii="Garamond" w:hAnsi="Garamond"/>
        </w:rPr>
        <w:t xml:space="preserve">t is reasonable to infer a similar and positive effect </w:t>
      </w:r>
      <w:r w:rsidR="0040372B">
        <w:rPr>
          <w:rFonts w:ascii="Garamond" w:hAnsi="Garamond"/>
        </w:rPr>
        <w:t xml:space="preserve">for trust </w:t>
      </w:r>
      <w:r w:rsidR="0040372B" w:rsidRPr="008453EA">
        <w:rPr>
          <w:rFonts w:ascii="Garamond" w:hAnsi="Garamond"/>
        </w:rPr>
        <w:t>on collaboration among pre-service teachers as they experience in clinical settings (e.g., field placement, practicum).</w:t>
      </w:r>
      <w:r w:rsidR="0040372B">
        <w:rPr>
          <w:rFonts w:ascii="Garamond" w:hAnsi="Garamond"/>
        </w:rPr>
        <w:t xml:space="preserve">  </w:t>
      </w:r>
      <w:r w:rsidR="001D0571">
        <w:rPr>
          <w:rFonts w:ascii="Garamond" w:hAnsi="Garamond"/>
        </w:rPr>
        <w:t>Furthermore</w:t>
      </w:r>
      <w:r w:rsidR="002C58CE">
        <w:rPr>
          <w:rFonts w:ascii="Garamond" w:hAnsi="Garamond"/>
        </w:rPr>
        <w:t xml:space="preserve">, seeking out resources may </w:t>
      </w:r>
      <w:r w:rsidR="00CD125E">
        <w:rPr>
          <w:rFonts w:ascii="Garamond" w:hAnsi="Garamond"/>
        </w:rPr>
        <w:t>look like a sign of weakness</w:t>
      </w:r>
      <w:r w:rsidR="003E4C6C">
        <w:rPr>
          <w:rFonts w:ascii="Garamond" w:hAnsi="Garamond"/>
        </w:rPr>
        <w:t xml:space="preserve"> (</w:t>
      </w:r>
      <w:proofErr w:type="spellStart"/>
      <w:r w:rsidR="004633DF" w:rsidRPr="004633DF">
        <w:rPr>
          <w:rFonts w:ascii="Garamond" w:hAnsi="Garamond"/>
        </w:rPr>
        <w:t>Bohns</w:t>
      </w:r>
      <w:proofErr w:type="spellEnd"/>
      <w:r w:rsidR="004633DF">
        <w:rPr>
          <w:rFonts w:ascii="Garamond" w:hAnsi="Garamond"/>
        </w:rPr>
        <w:t xml:space="preserve"> &amp;</w:t>
      </w:r>
      <w:r w:rsidR="004633DF" w:rsidRPr="004633DF">
        <w:rPr>
          <w:rFonts w:ascii="Garamond" w:hAnsi="Garamond"/>
        </w:rPr>
        <w:t xml:space="preserve"> Flynn,</w:t>
      </w:r>
      <w:r w:rsidR="004633DF">
        <w:rPr>
          <w:rFonts w:ascii="Garamond" w:hAnsi="Garamond"/>
        </w:rPr>
        <w:t xml:space="preserve"> </w:t>
      </w:r>
      <w:r w:rsidR="004633DF" w:rsidRPr="004633DF">
        <w:rPr>
          <w:rFonts w:ascii="Garamond" w:hAnsi="Garamond"/>
        </w:rPr>
        <w:t>2010</w:t>
      </w:r>
      <w:r w:rsidR="003E4C6C">
        <w:rPr>
          <w:rFonts w:ascii="Garamond" w:hAnsi="Garamond"/>
        </w:rPr>
        <w:t>).  This concern is particularly relevant to advice-seeking contexts in which the seekers risk exposing their vulnerability and may resist imposing on others for assistance</w:t>
      </w:r>
      <w:r w:rsidR="004633DF">
        <w:rPr>
          <w:rFonts w:ascii="Garamond" w:hAnsi="Garamond"/>
        </w:rPr>
        <w:t xml:space="preserve"> (</w:t>
      </w:r>
      <w:r w:rsidR="004633DF" w:rsidRPr="004633DF">
        <w:rPr>
          <w:rFonts w:ascii="Garamond" w:hAnsi="Garamond"/>
        </w:rPr>
        <w:t>Collins &amp; Feeney, 2000</w:t>
      </w:r>
      <w:r w:rsidR="004633DF">
        <w:rPr>
          <w:rFonts w:ascii="Garamond" w:hAnsi="Garamond"/>
        </w:rPr>
        <w:t>)</w:t>
      </w:r>
      <w:r w:rsidR="003E4C6C">
        <w:rPr>
          <w:rFonts w:ascii="Garamond" w:hAnsi="Garamond"/>
        </w:rPr>
        <w:t>.  However, with a certain level of trust,</w:t>
      </w:r>
      <w:r w:rsidR="004633DF">
        <w:rPr>
          <w:rFonts w:ascii="Garamond" w:hAnsi="Garamond"/>
        </w:rPr>
        <w:t xml:space="preserve"> people may be more willing to take the risks of being vulnerable</w:t>
      </w:r>
      <w:r w:rsidR="0058480A">
        <w:rPr>
          <w:rFonts w:ascii="Garamond" w:hAnsi="Garamond"/>
        </w:rPr>
        <w:t xml:space="preserve"> to others</w:t>
      </w:r>
      <w:r w:rsidR="004633DF">
        <w:rPr>
          <w:rFonts w:ascii="Garamond" w:hAnsi="Garamond"/>
        </w:rPr>
        <w:t>.  W</w:t>
      </w:r>
      <w:r w:rsidR="0040372B">
        <w:rPr>
          <w:rFonts w:ascii="Garamond" w:hAnsi="Garamond"/>
        </w:rPr>
        <w:t xml:space="preserve">e may speculate that the English pre-service teachers who perceive high trust </w:t>
      </w:r>
      <w:r w:rsidR="001D0571">
        <w:rPr>
          <w:rFonts w:ascii="Garamond" w:hAnsi="Garamond"/>
        </w:rPr>
        <w:t xml:space="preserve">are </w:t>
      </w:r>
      <w:r w:rsidR="0040372B">
        <w:rPr>
          <w:rFonts w:ascii="Garamond" w:hAnsi="Garamond"/>
        </w:rPr>
        <w:t xml:space="preserve">willing to </w:t>
      </w:r>
      <w:r w:rsidR="002C58CE">
        <w:rPr>
          <w:rFonts w:ascii="Garamond" w:hAnsi="Garamond"/>
        </w:rPr>
        <w:t xml:space="preserve">be open to others </w:t>
      </w:r>
      <w:r w:rsidR="001D0571">
        <w:rPr>
          <w:rFonts w:ascii="Garamond" w:hAnsi="Garamond"/>
        </w:rPr>
        <w:t xml:space="preserve">and risk-tolerant </w:t>
      </w:r>
      <w:r w:rsidR="0040372B">
        <w:rPr>
          <w:rFonts w:ascii="Garamond" w:hAnsi="Garamond"/>
        </w:rPr>
        <w:t xml:space="preserve">based on the perceptions that </w:t>
      </w:r>
      <w:r w:rsidR="001D0571">
        <w:rPr>
          <w:rFonts w:ascii="Garamond" w:hAnsi="Garamond"/>
        </w:rPr>
        <w:t xml:space="preserve">their peers </w:t>
      </w:r>
      <w:r w:rsidR="0040372B">
        <w:rPr>
          <w:rFonts w:ascii="Garamond" w:hAnsi="Garamond"/>
        </w:rPr>
        <w:t>will act in manner that can be reliable and in the best interes</w:t>
      </w:r>
      <w:r w:rsidR="008D2084">
        <w:rPr>
          <w:rFonts w:ascii="Garamond" w:hAnsi="Garamond" w:hint="eastAsia"/>
        </w:rPr>
        <w:t>t</w:t>
      </w:r>
      <w:r w:rsidR="0040372B">
        <w:rPr>
          <w:rFonts w:ascii="Garamond" w:hAnsi="Garamond"/>
        </w:rPr>
        <w:t xml:space="preserve"> of </w:t>
      </w:r>
      <w:r w:rsidR="001D0571">
        <w:rPr>
          <w:rFonts w:ascii="Garamond" w:hAnsi="Garamond"/>
        </w:rPr>
        <w:t xml:space="preserve">them </w:t>
      </w:r>
      <w:r w:rsidR="0040372B">
        <w:rPr>
          <w:rFonts w:ascii="Garamond" w:hAnsi="Garamond"/>
        </w:rPr>
        <w:t>(</w:t>
      </w:r>
      <w:proofErr w:type="spellStart"/>
      <w:r w:rsidR="0040372B">
        <w:rPr>
          <w:rFonts w:ascii="Garamond" w:hAnsi="Garamond"/>
        </w:rPr>
        <w:t>Tschannen</w:t>
      </w:r>
      <w:proofErr w:type="spellEnd"/>
      <w:r w:rsidR="0040372B">
        <w:rPr>
          <w:rFonts w:ascii="Garamond" w:hAnsi="Garamond"/>
        </w:rPr>
        <w:t>-Moran, 2004)</w:t>
      </w:r>
      <w:r w:rsidR="008D2084">
        <w:rPr>
          <w:rFonts w:ascii="Garamond" w:hAnsi="Garamond"/>
        </w:rPr>
        <w:t xml:space="preserve">, and as such they are more likely to reach out to others for materials that they </w:t>
      </w:r>
      <w:r w:rsidR="00027CE3">
        <w:rPr>
          <w:rFonts w:ascii="Garamond" w:hAnsi="Garamond"/>
        </w:rPr>
        <w:t xml:space="preserve">would </w:t>
      </w:r>
      <w:r w:rsidR="008D2084">
        <w:rPr>
          <w:rFonts w:ascii="Garamond" w:hAnsi="Garamond"/>
        </w:rPr>
        <w:t>use in practice</w:t>
      </w:r>
      <w:r w:rsidR="0040372B">
        <w:rPr>
          <w:rFonts w:ascii="Garamond" w:hAnsi="Garamond"/>
        </w:rPr>
        <w:t xml:space="preserve">.  </w:t>
      </w:r>
    </w:p>
    <w:p w14:paraId="067227E8" w14:textId="4F701F33" w:rsidR="00BD4EBF" w:rsidRDefault="008C35A1" w:rsidP="00BD4EBF">
      <w:pPr>
        <w:widowControl/>
        <w:snapToGrid w:val="0"/>
        <w:spacing w:line="480" w:lineRule="auto"/>
        <w:ind w:firstLine="720"/>
        <w:rPr>
          <w:rFonts w:ascii="Garamond" w:hAnsi="Garamond"/>
        </w:rPr>
      </w:pPr>
      <w:r>
        <w:rPr>
          <w:rFonts w:ascii="Garamond" w:hAnsi="Garamond"/>
        </w:rPr>
        <w:t>Creating</w:t>
      </w:r>
      <w:r w:rsidR="00BD4EBF" w:rsidRPr="008453EA">
        <w:rPr>
          <w:rFonts w:ascii="Garamond" w:hAnsi="Garamond"/>
        </w:rPr>
        <w:t xml:space="preserve"> </w:t>
      </w:r>
      <w:r w:rsidR="005354BA">
        <w:rPr>
          <w:rFonts w:ascii="Garamond" w:hAnsi="Garamond"/>
        </w:rPr>
        <w:t xml:space="preserve">a </w:t>
      </w:r>
      <w:r w:rsidR="00BD4EBF" w:rsidRPr="008453EA">
        <w:rPr>
          <w:rFonts w:ascii="Garamond" w:hAnsi="Garamond"/>
        </w:rPr>
        <w:t>trusting environment for learning</w:t>
      </w:r>
      <w:r>
        <w:rPr>
          <w:rFonts w:ascii="Garamond" w:hAnsi="Garamond"/>
        </w:rPr>
        <w:t xml:space="preserve"> that supports sharing and collaboration</w:t>
      </w:r>
      <w:r w:rsidR="00BD4EBF" w:rsidRPr="008453EA">
        <w:rPr>
          <w:rFonts w:ascii="Garamond" w:hAnsi="Garamond"/>
        </w:rPr>
        <w:t xml:space="preserve"> is important for teachers, as demonstrated in many school reform cases in which teachers are more effective when they feel respected (</w:t>
      </w:r>
      <w:proofErr w:type="spellStart"/>
      <w:r w:rsidR="00C56E02">
        <w:rPr>
          <w:rFonts w:ascii="Garamond" w:hAnsi="Garamond"/>
        </w:rPr>
        <w:t>Tschannen</w:t>
      </w:r>
      <w:proofErr w:type="spellEnd"/>
      <w:r w:rsidR="00C56E02">
        <w:rPr>
          <w:rFonts w:ascii="Garamond" w:hAnsi="Garamond"/>
        </w:rPr>
        <w:t>-Moran, 2014</w:t>
      </w:r>
      <w:r w:rsidR="00BD4EBF" w:rsidRPr="008453EA">
        <w:rPr>
          <w:rFonts w:ascii="Garamond" w:hAnsi="Garamond"/>
        </w:rPr>
        <w:t>) and trust the people within the school have their best interest at heart (</w:t>
      </w:r>
      <w:proofErr w:type="spellStart"/>
      <w:r w:rsidR="00BD4EBF" w:rsidRPr="008453EA">
        <w:rPr>
          <w:rFonts w:ascii="Garamond" w:hAnsi="Garamond"/>
        </w:rPr>
        <w:t>Bryk</w:t>
      </w:r>
      <w:proofErr w:type="spellEnd"/>
      <w:r w:rsidR="00BD4EBF" w:rsidRPr="008453EA">
        <w:rPr>
          <w:rFonts w:ascii="Garamond" w:hAnsi="Garamond"/>
        </w:rPr>
        <w:t xml:space="preserve"> &amp; Schneider, 2002).  We believe this is also the case for pre-</w:t>
      </w:r>
      <w:r w:rsidR="00BD4EBF" w:rsidRPr="008453EA">
        <w:rPr>
          <w:rFonts w:ascii="Garamond" w:hAnsi="Garamond"/>
        </w:rPr>
        <w:lastRenderedPageBreak/>
        <w:t xml:space="preserve">service teacher </w:t>
      </w:r>
      <w:r>
        <w:rPr>
          <w:rFonts w:ascii="Garamond" w:hAnsi="Garamond"/>
        </w:rPr>
        <w:t xml:space="preserve">during </w:t>
      </w:r>
      <w:r w:rsidR="00BD4EBF" w:rsidRPr="008453EA">
        <w:rPr>
          <w:rFonts w:ascii="Garamond" w:hAnsi="Garamond"/>
        </w:rPr>
        <w:t xml:space="preserve">preparation.  </w:t>
      </w:r>
      <w:r>
        <w:rPr>
          <w:rFonts w:ascii="Garamond" w:hAnsi="Garamond"/>
        </w:rPr>
        <w:t>Such</w:t>
      </w:r>
      <w:r w:rsidRPr="008453EA">
        <w:rPr>
          <w:rFonts w:ascii="Garamond" w:hAnsi="Garamond"/>
        </w:rPr>
        <w:t xml:space="preserve"> supportive condition for collaboration has implications for successful educational reform in the long term as pre-service teachers enter the field.  </w:t>
      </w:r>
      <w:r>
        <w:rPr>
          <w:rFonts w:ascii="Garamond" w:hAnsi="Garamond"/>
        </w:rPr>
        <w:t xml:space="preserve">Recent research </w:t>
      </w:r>
      <w:r w:rsidR="00147164" w:rsidRPr="00147164">
        <w:rPr>
          <w:rFonts w:ascii="Garamond" w:hAnsi="Garamond"/>
        </w:rPr>
        <w:t xml:space="preserve">emphasizes the importance of </w:t>
      </w:r>
      <w:r w:rsidR="00BD4EBF" w:rsidRPr="008453EA">
        <w:rPr>
          <w:rFonts w:ascii="Garamond" w:hAnsi="Garamond"/>
        </w:rPr>
        <w:t>teachers’ social and emotional competence and well-being in promoting student-teacher relationships and learning outcomes (</w:t>
      </w:r>
      <w:r w:rsidR="00C56E02">
        <w:rPr>
          <w:rFonts w:ascii="Garamond" w:hAnsi="Garamond"/>
        </w:rPr>
        <w:t xml:space="preserve">e.g., </w:t>
      </w:r>
      <w:proofErr w:type="spellStart"/>
      <w:r w:rsidR="00B71270" w:rsidRPr="00B71270">
        <w:rPr>
          <w:rFonts w:ascii="Garamond" w:hAnsi="Garamond"/>
        </w:rPr>
        <w:t>Kendziora</w:t>
      </w:r>
      <w:proofErr w:type="spellEnd"/>
      <w:r w:rsidR="00B71270">
        <w:rPr>
          <w:rFonts w:ascii="Garamond" w:hAnsi="Garamond"/>
        </w:rPr>
        <w:t xml:space="preserve"> &amp; </w:t>
      </w:r>
      <w:r w:rsidR="00B71270" w:rsidRPr="00B71270">
        <w:rPr>
          <w:rFonts w:ascii="Garamond" w:hAnsi="Garamond"/>
        </w:rPr>
        <w:t>Yoder</w:t>
      </w:r>
      <w:r w:rsidR="0084224E">
        <w:rPr>
          <w:rFonts w:ascii="Garamond" w:hAnsi="Garamond"/>
        </w:rPr>
        <w:t>, 2016</w:t>
      </w:r>
      <w:r w:rsidR="00BD4EBF" w:rsidRPr="008453EA">
        <w:rPr>
          <w:rFonts w:ascii="Garamond" w:hAnsi="Garamond"/>
        </w:rPr>
        <w:t>) and starting this work early on</w:t>
      </w:r>
      <w:r w:rsidR="00B71270">
        <w:rPr>
          <w:rFonts w:ascii="Garamond" w:hAnsi="Garamond"/>
        </w:rPr>
        <w:t xml:space="preserve"> in preparation phase</w:t>
      </w:r>
      <w:r w:rsidR="00BD4EBF" w:rsidRPr="008453EA">
        <w:rPr>
          <w:rFonts w:ascii="Garamond" w:hAnsi="Garamond"/>
        </w:rPr>
        <w:t xml:space="preserve"> may pay dividends.  </w:t>
      </w:r>
      <w:r w:rsidR="00B71270">
        <w:rPr>
          <w:rFonts w:ascii="Garamond" w:hAnsi="Garamond"/>
        </w:rPr>
        <w:t>A</w:t>
      </w:r>
      <w:r w:rsidR="00BD4EBF" w:rsidRPr="008453EA">
        <w:rPr>
          <w:rFonts w:ascii="Garamond" w:hAnsi="Garamond"/>
        </w:rPr>
        <w:t xml:space="preserve">ttention </w:t>
      </w:r>
      <w:r w:rsidR="00B71270">
        <w:rPr>
          <w:rFonts w:ascii="Garamond" w:hAnsi="Garamond"/>
        </w:rPr>
        <w:t xml:space="preserve">to </w:t>
      </w:r>
      <w:r w:rsidR="00BD4EBF" w:rsidRPr="008453EA">
        <w:rPr>
          <w:rFonts w:ascii="Garamond" w:hAnsi="Garamond"/>
        </w:rPr>
        <w:t xml:space="preserve">not only the </w:t>
      </w:r>
      <w:r w:rsidR="00B71270">
        <w:rPr>
          <w:rFonts w:ascii="Garamond" w:hAnsi="Garamond"/>
        </w:rPr>
        <w:t>pattern</w:t>
      </w:r>
      <w:r w:rsidR="00BD4EBF" w:rsidRPr="008453EA">
        <w:rPr>
          <w:rFonts w:ascii="Garamond" w:hAnsi="Garamond"/>
        </w:rPr>
        <w:t xml:space="preserve"> of relationships</w:t>
      </w:r>
      <w:r w:rsidR="00B71270">
        <w:rPr>
          <w:rFonts w:ascii="Garamond" w:hAnsi="Garamond"/>
        </w:rPr>
        <w:t xml:space="preserve"> (i.e., seeking resources)</w:t>
      </w:r>
      <w:r w:rsidR="00BD4EBF" w:rsidRPr="008453EA">
        <w:rPr>
          <w:rFonts w:ascii="Garamond" w:hAnsi="Garamond"/>
        </w:rPr>
        <w:t>, but the quality of exchanges</w:t>
      </w:r>
      <w:r w:rsidR="00B71270">
        <w:rPr>
          <w:rFonts w:ascii="Garamond" w:hAnsi="Garamond"/>
        </w:rPr>
        <w:t xml:space="preserve"> (peer trust)</w:t>
      </w:r>
      <w:r w:rsidR="00BD4EBF" w:rsidRPr="008453EA">
        <w:rPr>
          <w:rFonts w:ascii="Garamond" w:hAnsi="Garamond"/>
        </w:rPr>
        <w:t xml:space="preserve"> and social norms that are set in a cohort is likely to be critical. </w:t>
      </w:r>
      <w:r w:rsidR="00BD4EBF">
        <w:rPr>
          <w:rFonts w:ascii="Garamond" w:hAnsi="Garamond"/>
        </w:rPr>
        <w:t xml:space="preserve"> </w:t>
      </w:r>
    </w:p>
    <w:p w14:paraId="069DB57E" w14:textId="03A9919A" w:rsidR="003A0AAD" w:rsidRPr="00EC7A70" w:rsidRDefault="00A10449">
      <w:pPr>
        <w:widowControl/>
        <w:spacing w:after="160" w:line="259" w:lineRule="auto"/>
        <w:rPr>
          <w:rFonts w:ascii="Garamond" w:hAnsi="Garamond"/>
          <w:b/>
          <w:bCs/>
        </w:rPr>
      </w:pPr>
      <w:r w:rsidRPr="00A10449">
        <w:rPr>
          <w:noProof/>
        </w:rPr>
        <w:drawing>
          <wp:inline distT="0" distB="0" distL="0" distR="0" wp14:anchorId="49C06CBD" wp14:editId="7953C8EC">
            <wp:extent cx="5943600" cy="548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5486400"/>
                    </a:xfrm>
                    <a:prstGeom prst="rect">
                      <a:avLst/>
                    </a:prstGeom>
                    <a:noFill/>
                    <a:ln>
                      <a:noFill/>
                    </a:ln>
                  </pic:spPr>
                </pic:pic>
              </a:graphicData>
            </a:graphic>
          </wp:inline>
        </w:drawing>
      </w:r>
      <w:r w:rsidR="003A0AAD" w:rsidRPr="00EC7A70">
        <w:rPr>
          <w:rFonts w:ascii="Garamond" w:hAnsi="Garamond"/>
          <w:b/>
          <w:bCs/>
        </w:rPr>
        <w:br w:type="page"/>
      </w:r>
    </w:p>
    <w:p w14:paraId="6CDCB277" w14:textId="13D8E651" w:rsidR="00E240AF" w:rsidRPr="00EC7A70" w:rsidRDefault="003A0AAD" w:rsidP="00AB3ED4">
      <w:pPr>
        <w:widowControl/>
        <w:snapToGrid w:val="0"/>
        <w:spacing w:line="480" w:lineRule="auto"/>
        <w:jc w:val="center"/>
        <w:rPr>
          <w:rFonts w:ascii="Garamond" w:hAnsi="Garamond"/>
          <w:b/>
          <w:bCs/>
        </w:rPr>
      </w:pPr>
      <w:r w:rsidRPr="00EC7A70">
        <w:rPr>
          <w:rFonts w:ascii="Garamond" w:hAnsi="Garamond"/>
          <w:b/>
          <w:bCs/>
        </w:rPr>
        <w:lastRenderedPageBreak/>
        <w:t>References</w:t>
      </w:r>
    </w:p>
    <w:p w14:paraId="64386E56" w14:textId="77777777" w:rsidR="00AB7BF3" w:rsidRPr="00D5423A" w:rsidRDefault="00AB7BF3" w:rsidP="00AB7BF3">
      <w:pPr>
        <w:snapToGrid w:val="0"/>
        <w:spacing w:line="480" w:lineRule="auto"/>
        <w:ind w:left="720" w:hangingChars="300" w:hanging="720"/>
        <w:rPr>
          <w:rFonts w:ascii="Garamond" w:hAnsi="Garamond"/>
          <w:szCs w:val="24"/>
        </w:rPr>
      </w:pPr>
      <w:r w:rsidRPr="00D5423A">
        <w:rPr>
          <w:rFonts w:ascii="Garamond" w:hAnsi="Garamond"/>
          <w:szCs w:val="24"/>
        </w:rPr>
        <w:t xml:space="preserve">Anderson, S. E., &amp; </w:t>
      </w:r>
      <w:proofErr w:type="spellStart"/>
      <w:r w:rsidRPr="00D5423A">
        <w:rPr>
          <w:rFonts w:ascii="Garamond" w:hAnsi="Garamond"/>
          <w:szCs w:val="24"/>
        </w:rPr>
        <w:t>Maninger</w:t>
      </w:r>
      <w:proofErr w:type="spellEnd"/>
      <w:r w:rsidRPr="00D5423A">
        <w:rPr>
          <w:rFonts w:ascii="Garamond" w:hAnsi="Garamond"/>
          <w:szCs w:val="24"/>
        </w:rPr>
        <w:t>, R. M. (2007). Pre-service Teachers' Abilities, Beliefs, and Intentions Regarding Technology Integration.</w:t>
      </w:r>
      <w:r w:rsidRPr="00D5423A">
        <w:rPr>
          <w:rFonts w:ascii="Garamond" w:hAnsi="Garamond"/>
          <w:i/>
          <w:szCs w:val="24"/>
        </w:rPr>
        <w:t xml:space="preserve"> Journal of Educational Computing Research</w:t>
      </w:r>
      <w:r w:rsidRPr="00D5423A">
        <w:rPr>
          <w:rFonts w:ascii="Garamond" w:hAnsi="Garamond"/>
          <w:szCs w:val="24"/>
        </w:rPr>
        <w:t>, 37(2), 151-172.</w:t>
      </w:r>
    </w:p>
    <w:p w14:paraId="63EDCAC2" w14:textId="77777777" w:rsidR="00AB7BF3" w:rsidRPr="00D5423A" w:rsidRDefault="00AB7BF3" w:rsidP="00AB7BF3">
      <w:pPr>
        <w:snapToGrid w:val="0"/>
        <w:spacing w:line="480" w:lineRule="auto"/>
        <w:ind w:left="720" w:hangingChars="300" w:hanging="720"/>
        <w:rPr>
          <w:rFonts w:ascii="Garamond" w:hAnsi="Garamond"/>
          <w:szCs w:val="24"/>
        </w:rPr>
      </w:pPr>
      <w:r w:rsidRPr="00D5423A">
        <w:rPr>
          <w:rFonts w:ascii="Garamond" w:hAnsi="Garamond"/>
          <w:szCs w:val="24"/>
        </w:rPr>
        <w:t xml:space="preserve">Bandura, A. (1977). </w:t>
      </w:r>
      <w:r w:rsidRPr="00D5423A">
        <w:rPr>
          <w:rFonts w:ascii="Garamond" w:hAnsi="Garamond"/>
          <w:i/>
          <w:szCs w:val="24"/>
        </w:rPr>
        <w:t>Social learning theory</w:t>
      </w:r>
      <w:r w:rsidRPr="00D5423A">
        <w:rPr>
          <w:rFonts w:ascii="Garamond" w:hAnsi="Garamond"/>
          <w:szCs w:val="24"/>
        </w:rPr>
        <w:t xml:space="preserve">. Englewood Cliffs, NJ: Prentice-Hall, Inc. </w:t>
      </w:r>
    </w:p>
    <w:p w14:paraId="3488556F" w14:textId="77777777" w:rsidR="00AB7BF3" w:rsidRPr="00D5423A" w:rsidRDefault="00AB7BF3" w:rsidP="00AB7BF3">
      <w:pPr>
        <w:snapToGrid w:val="0"/>
        <w:spacing w:line="480" w:lineRule="auto"/>
        <w:ind w:left="720" w:hangingChars="300" w:hanging="720"/>
        <w:rPr>
          <w:rFonts w:ascii="Garamond" w:hAnsi="Garamond"/>
        </w:rPr>
      </w:pPr>
      <w:r w:rsidRPr="00D5423A">
        <w:rPr>
          <w:rFonts w:ascii="Garamond" w:hAnsi="Garamond"/>
        </w:rPr>
        <w:t xml:space="preserve">Bandura, A. (1995). Exercise of personal and collective efficacy in changing societies. In A. Bandura (Ed.), </w:t>
      </w:r>
      <w:r w:rsidRPr="00D5423A">
        <w:rPr>
          <w:rFonts w:ascii="Garamond" w:hAnsi="Garamond"/>
          <w:i/>
        </w:rPr>
        <w:t>Self-efficacy in changing societies</w:t>
      </w:r>
      <w:r w:rsidRPr="00D5423A">
        <w:rPr>
          <w:rFonts w:ascii="Garamond" w:hAnsi="Garamond"/>
        </w:rPr>
        <w:t xml:space="preserve"> (pp. 1-45). Cambridge, UK: Cambridge University Press.</w:t>
      </w:r>
    </w:p>
    <w:p w14:paraId="6D425ECF" w14:textId="77777777" w:rsidR="00AB7BF3" w:rsidRPr="00D5423A" w:rsidRDefault="00AB7BF3" w:rsidP="00AB7BF3">
      <w:pPr>
        <w:snapToGrid w:val="0"/>
        <w:spacing w:line="480" w:lineRule="auto"/>
        <w:ind w:left="720" w:hanging="720"/>
        <w:rPr>
          <w:rFonts w:ascii="Garamond" w:hAnsi="Garamond"/>
        </w:rPr>
      </w:pPr>
      <w:r w:rsidRPr="00D5423A">
        <w:rPr>
          <w:rFonts w:ascii="Garamond" w:hAnsi="Garamond"/>
        </w:rPr>
        <w:t xml:space="preserve">Bates, R., &amp; </w:t>
      </w:r>
      <w:proofErr w:type="spellStart"/>
      <w:r w:rsidRPr="00D5423A">
        <w:rPr>
          <w:rFonts w:ascii="Garamond" w:hAnsi="Garamond"/>
        </w:rPr>
        <w:t>Khasawneh</w:t>
      </w:r>
      <w:proofErr w:type="spellEnd"/>
      <w:r w:rsidRPr="00D5423A">
        <w:rPr>
          <w:rFonts w:ascii="Garamond" w:hAnsi="Garamond"/>
        </w:rPr>
        <w:t xml:space="preserve">, S. (2007). Self-efficacy and college students’ perceptions and use of online learning systems. </w:t>
      </w:r>
      <w:r w:rsidRPr="00D5423A">
        <w:rPr>
          <w:rFonts w:ascii="Garamond" w:hAnsi="Garamond"/>
          <w:i/>
          <w:iCs/>
        </w:rPr>
        <w:t>Computers in Human Behavior</w:t>
      </w:r>
      <w:r w:rsidRPr="00D5423A">
        <w:rPr>
          <w:rFonts w:ascii="Garamond" w:hAnsi="Garamond"/>
        </w:rPr>
        <w:t xml:space="preserve">, </w:t>
      </w:r>
      <w:r w:rsidRPr="00D5423A">
        <w:rPr>
          <w:rFonts w:ascii="Garamond" w:hAnsi="Garamond"/>
          <w:i/>
          <w:iCs/>
        </w:rPr>
        <w:t>23</w:t>
      </w:r>
      <w:r w:rsidRPr="00D5423A">
        <w:rPr>
          <w:rFonts w:ascii="Garamond" w:hAnsi="Garamond"/>
        </w:rPr>
        <w:t>(1), 175-191.</w:t>
      </w:r>
    </w:p>
    <w:p w14:paraId="263C2316" w14:textId="77777777" w:rsidR="00AB7BF3" w:rsidRPr="00D5423A" w:rsidRDefault="00AB7BF3" w:rsidP="00AB7BF3">
      <w:pPr>
        <w:snapToGrid w:val="0"/>
        <w:spacing w:line="480" w:lineRule="auto"/>
        <w:ind w:left="720" w:hangingChars="300" w:hanging="720"/>
        <w:rPr>
          <w:rFonts w:ascii="Garamond" w:hAnsi="Garamond"/>
        </w:rPr>
      </w:pPr>
      <w:r w:rsidRPr="00D5423A">
        <w:rPr>
          <w:rFonts w:ascii="Garamond" w:hAnsi="Garamond"/>
        </w:rPr>
        <w:t xml:space="preserve">Bates, A. B., Latham, N., &amp; Kim, J. (2011). Linking pre-service teachers’ mathematics self-efficacy and mathematics teaching efficacy to their mathematical performance. </w:t>
      </w:r>
      <w:r w:rsidRPr="00D5423A">
        <w:rPr>
          <w:rFonts w:ascii="Garamond" w:hAnsi="Garamond"/>
          <w:i/>
        </w:rPr>
        <w:t>School Science and Mathematics</w:t>
      </w:r>
      <w:r w:rsidRPr="00D5423A">
        <w:rPr>
          <w:rFonts w:ascii="Garamond" w:hAnsi="Garamond"/>
        </w:rPr>
        <w:t xml:space="preserve">, 111, 325-333. </w:t>
      </w:r>
    </w:p>
    <w:p w14:paraId="6C1ACE71" w14:textId="77777777" w:rsidR="00AB7BF3" w:rsidRPr="00D5423A" w:rsidRDefault="00AB7BF3" w:rsidP="00AB7BF3">
      <w:pPr>
        <w:widowControl/>
        <w:snapToGrid w:val="0"/>
        <w:spacing w:line="480" w:lineRule="auto"/>
        <w:ind w:left="720" w:hanging="720"/>
        <w:rPr>
          <w:rFonts w:ascii="Garamond" w:hAnsi="Garamond"/>
          <w:szCs w:val="24"/>
        </w:rPr>
      </w:pPr>
      <w:proofErr w:type="spellStart"/>
      <w:r w:rsidRPr="00D5423A">
        <w:rPr>
          <w:rFonts w:ascii="Garamond" w:hAnsi="Garamond"/>
          <w:szCs w:val="24"/>
        </w:rPr>
        <w:t>Battilana</w:t>
      </w:r>
      <w:proofErr w:type="spellEnd"/>
      <w:r w:rsidRPr="00D5423A">
        <w:rPr>
          <w:rFonts w:ascii="Garamond" w:hAnsi="Garamond"/>
          <w:szCs w:val="24"/>
        </w:rPr>
        <w:t xml:space="preserve">, J., &amp; Casciaro, T. (2013). Overcoming resistance to organizational change: Strong ties and affective cooptation. </w:t>
      </w:r>
      <w:r w:rsidRPr="00D5423A">
        <w:rPr>
          <w:rFonts w:ascii="Garamond" w:hAnsi="Garamond"/>
          <w:i/>
          <w:szCs w:val="24"/>
        </w:rPr>
        <w:t>Management Science</w:t>
      </w:r>
      <w:r w:rsidRPr="00D5423A">
        <w:rPr>
          <w:rFonts w:ascii="Garamond" w:hAnsi="Garamond"/>
          <w:szCs w:val="24"/>
        </w:rPr>
        <w:t>, 59(4), 819-836.</w:t>
      </w:r>
    </w:p>
    <w:p w14:paraId="5B6EC1E1" w14:textId="77777777" w:rsidR="00AB7BF3" w:rsidRPr="00D5423A" w:rsidRDefault="00AB7BF3" w:rsidP="00AB7BF3">
      <w:pPr>
        <w:widowControl/>
        <w:snapToGrid w:val="0"/>
        <w:spacing w:line="480" w:lineRule="auto"/>
        <w:ind w:left="720" w:hanging="720"/>
        <w:rPr>
          <w:rFonts w:ascii="Garamond" w:hAnsi="Garamond"/>
          <w:szCs w:val="24"/>
        </w:rPr>
      </w:pPr>
      <w:proofErr w:type="spellStart"/>
      <w:r w:rsidRPr="00D5423A">
        <w:rPr>
          <w:rFonts w:ascii="Garamond" w:hAnsi="Garamond"/>
          <w:szCs w:val="24"/>
        </w:rPr>
        <w:t>Bohns</w:t>
      </w:r>
      <w:proofErr w:type="spellEnd"/>
      <w:r w:rsidRPr="00D5423A">
        <w:rPr>
          <w:rFonts w:ascii="Garamond" w:hAnsi="Garamond"/>
          <w:szCs w:val="24"/>
        </w:rPr>
        <w:t xml:space="preserve">, V. K., &amp; Flynn, F. J. (2010). “Why didn’t you just ask?” Underestimating the discomfort of help-seeking. </w:t>
      </w:r>
      <w:r w:rsidRPr="00D5423A">
        <w:rPr>
          <w:rFonts w:ascii="Garamond" w:hAnsi="Garamond"/>
          <w:i/>
          <w:iCs/>
          <w:szCs w:val="24"/>
        </w:rPr>
        <w:t>Journal of Experimental Social Psychology</w:t>
      </w:r>
      <w:r w:rsidRPr="00D5423A">
        <w:rPr>
          <w:rFonts w:ascii="Garamond" w:hAnsi="Garamond"/>
          <w:szCs w:val="24"/>
        </w:rPr>
        <w:t xml:space="preserve">, </w:t>
      </w:r>
      <w:r w:rsidRPr="00D5423A">
        <w:rPr>
          <w:rFonts w:ascii="Garamond" w:hAnsi="Garamond"/>
          <w:i/>
          <w:iCs/>
          <w:szCs w:val="24"/>
        </w:rPr>
        <w:t>46</w:t>
      </w:r>
      <w:r w:rsidRPr="00D5423A">
        <w:rPr>
          <w:rFonts w:ascii="Garamond" w:hAnsi="Garamond"/>
          <w:szCs w:val="24"/>
        </w:rPr>
        <w:t>(2), 402-409.</w:t>
      </w:r>
    </w:p>
    <w:p w14:paraId="4310C641" w14:textId="77777777" w:rsidR="00AB7BF3" w:rsidRPr="00D5423A" w:rsidRDefault="00AB7BF3" w:rsidP="00AB7BF3">
      <w:pPr>
        <w:tabs>
          <w:tab w:val="left" w:pos="720"/>
        </w:tabs>
        <w:autoSpaceDE w:val="0"/>
        <w:autoSpaceDN w:val="0"/>
        <w:snapToGrid w:val="0"/>
        <w:spacing w:line="480" w:lineRule="auto"/>
        <w:ind w:left="720" w:hangingChars="300" w:hanging="720"/>
        <w:rPr>
          <w:rFonts w:ascii="Garamond" w:hAnsi="Garamond"/>
          <w:szCs w:val="24"/>
        </w:rPr>
      </w:pPr>
      <w:r w:rsidRPr="00D5423A">
        <w:rPr>
          <w:rFonts w:ascii="Garamond" w:hAnsi="Garamond"/>
          <w:szCs w:val="24"/>
        </w:rPr>
        <w:t xml:space="preserve">Borgatti, S. P., Everett, M. G., &amp; Freeman, L. C. (2005). </w:t>
      </w:r>
      <w:r w:rsidRPr="00D5423A">
        <w:rPr>
          <w:rFonts w:ascii="Garamond" w:hAnsi="Garamond"/>
          <w:i/>
          <w:iCs/>
          <w:szCs w:val="24"/>
        </w:rPr>
        <w:t>UCINET, Social network analysis software</w:t>
      </w:r>
      <w:r w:rsidRPr="00D5423A">
        <w:rPr>
          <w:rFonts w:ascii="Garamond" w:hAnsi="Garamond"/>
          <w:szCs w:val="24"/>
        </w:rPr>
        <w:t>. Analytic Technologies Inc.</w:t>
      </w:r>
    </w:p>
    <w:p w14:paraId="75928C91" w14:textId="77777777" w:rsidR="00AB7BF3" w:rsidRPr="00D5423A" w:rsidRDefault="00AB7BF3" w:rsidP="00AB7BF3">
      <w:pPr>
        <w:snapToGrid w:val="0"/>
        <w:spacing w:line="480" w:lineRule="auto"/>
        <w:ind w:left="720" w:hangingChars="300" w:hanging="720"/>
        <w:rPr>
          <w:rFonts w:ascii="Garamond" w:hAnsi="Garamond"/>
        </w:rPr>
      </w:pPr>
      <w:proofErr w:type="spellStart"/>
      <w:r w:rsidRPr="00D5423A">
        <w:rPr>
          <w:rFonts w:ascii="Garamond" w:hAnsi="Garamond"/>
        </w:rPr>
        <w:t>Bulu</w:t>
      </w:r>
      <w:proofErr w:type="spellEnd"/>
      <w:r w:rsidRPr="00D5423A">
        <w:rPr>
          <w:rFonts w:ascii="Garamond" w:hAnsi="Garamond"/>
        </w:rPr>
        <w:t xml:space="preserve">, S. T., &amp; </w:t>
      </w:r>
      <w:proofErr w:type="spellStart"/>
      <w:r w:rsidRPr="00D5423A">
        <w:rPr>
          <w:rFonts w:ascii="Garamond" w:hAnsi="Garamond"/>
        </w:rPr>
        <w:t>Yildirim</w:t>
      </w:r>
      <w:proofErr w:type="spellEnd"/>
      <w:r w:rsidRPr="00D5423A">
        <w:rPr>
          <w:rFonts w:ascii="Garamond" w:hAnsi="Garamond"/>
        </w:rPr>
        <w:t xml:space="preserve">, Z. (2008). Communication behaviors and trust in collaborative online teams. </w:t>
      </w:r>
      <w:r w:rsidRPr="00D5423A">
        <w:rPr>
          <w:rFonts w:ascii="Garamond" w:hAnsi="Garamond"/>
          <w:i/>
          <w:iCs/>
        </w:rPr>
        <w:t>Educational Technology &amp; Society</w:t>
      </w:r>
      <w:r w:rsidRPr="00D5423A">
        <w:rPr>
          <w:rFonts w:ascii="Garamond" w:hAnsi="Garamond"/>
        </w:rPr>
        <w:t xml:space="preserve">, </w:t>
      </w:r>
      <w:r w:rsidRPr="00D5423A">
        <w:rPr>
          <w:rFonts w:ascii="Garamond" w:hAnsi="Garamond"/>
          <w:i/>
          <w:iCs/>
        </w:rPr>
        <w:t>11</w:t>
      </w:r>
      <w:r w:rsidRPr="00D5423A">
        <w:rPr>
          <w:rFonts w:ascii="Garamond" w:hAnsi="Garamond"/>
        </w:rPr>
        <w:t>(1), 132-147.</w:t>
      </w:r>
    </w:p>
    <w:p w14:paraId="12279888" w14:textId="77777777" w:rsidR="00AB7BF3" w:rsidRPr="00D5423A" w:rsidRDefault="00AB7BF3" w:rsidP="00AB7BF3">
      <w:pPr>
        <w:snapToGrid w:val="0"/>
        <w:spacing w:line="480" w:lineRule="auto"/>
        <w:ind w:left="720" w:hangingChars="300" w:hanging="720"/>
        <w:rPr>
          <w:rFonts w:ascii="Garamond" w:hAnsi="Garamond" w:cs="Arial"/>
          <w:szCs w:val="24"/>
        </w:rPr>
      </w:pPr>
      <w:proofErr w:type="spellStart"/>
      <w:r w:rsidRPr="00D5423A">
        <w:rPr>
          <w:rFonts w:ascii="Garamond" w:hAnsi="Garamond" w:cs="Arial"/>
          <w:szCs w:val="24"/>
        </w:rPr>
        <w:t>Bryk</w:t>
      </w:r>
      <w:proofErr w:type="spellEnd"/>
      <w:r w:rsidRPr="00D5423A">
        <w:rPr>
          <w:rFonts w:ascii="Garamond" w:hAnsi="Garamond" w:cs="Arial"/>
          <w:szCs w:val="24"/>
        </w:rPr>
        <w:t xml:space="preserve">, A., &amp; Schneider, B. (2002). </w:t>
      </w:r>
      <w:r w:rsidRPr="00D5423A">
        <w:rPr>
          <w:rFonts w:ascii="Garamond" w:hAnsi="Garamond" w:cs="Arial"/>
          <w:i/>
          <w:iCs/>
          <w:szCs w:val="24"/>
        </w:rPr>
        <w:t>Trust in schools: A core resource for improvement</w:t>
      </w:r>
      <w:r w:rsidRPr="00D5423A">
        <w:rPr>
          <w:rFonts w:ascii="Garamond" w:hAnsi="Garamond" w:cs="Arial"/>
          <w:szCs w:val="24"/>
        </w:rPr>
        <w:t>. Russell Sage Foundation.</w:t>
      </w:r>
    </w:p>
    <w:p w14:paraId="141344A5" w14:textId="77777777" w:rsidR="00AB7BF3" w:rsidRPr="00D5423A" w:rsidRDefault="00AB7BF3" w:rsidP="00AB7BF3">
      <w:pPr>
        <w:snapToGrid w:val="0"/>
        <w:spacing w:line="480" w:lineRule="auto"/>
        <w:ind w:left="720" w:hangingChars="300" w:hanging="720"/>
        <w:rPr>
          <w:rFonts w:ascii="Garamond" w:hAnsi="Garamond"/>
        </w:rPr>
      </w:pPr>
      <w:proofErr w:type="spellStart"/>
      <w:r w:rsidRPr="00D5423A">
        <w:rPr>
          <w:rFonts w:ascii="Garamond" w:hAnsi="Garamond"/>
        </w:rPr>
        <w:t>Cakiroglu</w:t>
      </w:r>
      <w:proofErr w:type="spellEnd"/>
      <w:r w:rsidRPr="00D5423A">
        <w:rPr>
          <w:rFonts w:ascii="Garamond" w:hAnsi="Garamond"/>
        </w:rPr>
        <w:t xml:space="preserve">, U. (2012). Comparison of Novice Programmers' Performances: Blended versus Face-to-Face. </w:t>
      </w:r>
      <w:r w:rsidRPr="00D5423A">
        <w:rPr>
          <w:rFonts w:ascii="Garamond" w:hAnsi="Garamond"/>
          <w:i/>
          <w:iCs/>
        </w:rPr>
        <w:t>Turkish Online Journal of Distance Education</w:t>
      </w:r>
      <w:r w:rsidRPr="00D5423A">
        <w:rPr>
          <w:rFonts w:ascii="Garamond" w:hAnsi="Garamond"/>
        </w:rPr>
        <w:t xml:space="preserve">, </w:t>
      </w:r>
      <w:r w:rsidRPr="00D5423A">
        <w:rPr>
          <w:rFonts w:ascii="Garamond" w:hAnsi="Garamond"/>
          <w:i/>
          <w:iCs/>
        </w:rPr>
        <w:t>13</w:t>
      </w:r>
      <w:r w:rsidRPr="00D5423A">
        <w:rPr>
          <w:rFonts w:ascii="Garamond" w:hAnsi="Garamond"/>
        </w:rPr>
        <w:t>(3), 135-151.</w:t>
      </w:r>
    </w:p>
    <w:p w14:paraId="423D1A00" w14:textId="77777777" w:rsidR="00AB7BF3" w:rsidRPr="00D5423A" w:rsidRDefault="00AB7BF3" w:rsidP="00AB7BF3">
      <w:pPr>
        <w:snapToGrid w:val="0"/>
        <w:spacing w:line="480" w:lineRule="auto"/>
        <w:ind w:left="720" w:hangingChars="300" w:hanging="720"/>
        <w:rPr>
          <w:rFonts w:ascii="Garamond" w:hAnsi="Garamond"/>
          <w:lang w:val="es-US"/>
        </w:rPr>
      </w:pPr>
      <w:proofErr w:type="spellStart"/>
      <w:r w:rsidRPr="00D5423A">
        <w:rPr>
          <w:rFonts w:ascii="Garamond" w:hAnsi="Garamond"/>
        </w:rPr>
        <w:t>Centola</w:t>
      </w:r>
      <w:proofErr w:type="spellEnd"/>
      <w:r w:rsidRPr="00D5423A">
        <w:rPr>
          <w:rFonts w:ascii="Garamond" w:hAnsi="Garamond"/>
        </w:rPr>
        <w:t xml:space="preserve">, D., &amp; van de </w:t>
      </w:r>
      <w:proofErr w:type="spellStart"/>
      <w:r w:rsidRPr="00D5423A">
        <w:rPr>
          <w:rFonts w:ascii="Garamond" w:hAnsi="Garamond"/>
        </w:rPr>
        <w:t>Rijt</w:t>
      </w:r>
      <w:proofErr w:type="spellEnd"/>
      <w:r w:rsidRPr="00D5423A">
        <w:rPr>
          <w:rFonts w:ascii="Garamond" w:hAnsi="Garamond"/>
        </w:rPr>
        <w:t xml:space="preserve">, A. (2015). Choosing your network: Social preferences in an online health </w:t>
      </w:r>
      <w:r w:rsidRPr="00D5423A">
        <w:rPr>
          <w:rFonts w:ascii="Garamond" w:hAnsi="Garamond"/>
        </w:rPr>
        <w:lastRenderedPageBreak/>
        <w:t xml:space="preserve">community. </w:t>
      </w:r>
      <w:r w:rsidRPr="00D5423A">
        <w:rPr>
          <w:rFonts w:ascii="Garamond" w:hAnsi="Garamond"/>
          <w:i/>
          <w:iCs/>
          <w:lang w:val="es-US"/>
        </w:rPr>
        <w:t xml:space="preserve">Social </w:t>
      </w:r>
      <w:proofErr w:type="spellStart"/>
      <w:r w:rsidRPr="00D5423A">
        <w:rPr>
          <w:rFonts w:ascii="Garamond" w:hAnsi="Garamond"/>
          <w:i/>
          <w:iCs/>
          <w:lang w:val="es-US"/>
        </w:rPr>
        <w:t>Science</w:t>
      </w:r>
      <w:proofErr w:type="spellEnd"/>
      <w:r w:rsidRPr="00D5423A">
        <w:rPr>
          <w:rFonts w:ascii="Garamond" w:hAnsi="Garamond"/>
          <w:i/>
          <w:iCs/>
          <w:lang w:val="es-US"/>
        </w:rPr>
        <w:t xml:space="preserve"> &amp; Medicine</w:t>
      </w:r>
      <w:r w:rsidRPr="00D5423A">
        <w:rPr>
          <w:rFonts w:ascii="Garamond" w:hAnsi="Garamond"/>
          <w:lang w:val="es-US"/>
        </w:rPr>
        <w:t xml:space="preserve">, </w:t>
      </w:r>
      <w:r w:rsidRPr="00D5423A">
        <w:rPr>
          <w:rFonts w:ascii="Garamond" w:hAnsi="Garamond"/>
          <w:i/>
          <w:iCs/>
          <w:lang w:val="es-US"/>
        </w:rPr>
        <w:t>125</w:t>
      </w:r>
      <w:r w:rsidRPr="00D5423A">
        <w:rPr>
          <w:rFonts w:ascii="Garamond" w:hAnsi="Garamond"/>
          <w:lang w:val="es-US"/>
        </w:rPr>
        <w:t>, 19-31.</w:t>
      </w:r>
    </w:p>
    <w:p w14:paraId="3D1B4459" w14:textId="77777777" w:rsidR="00AB7BF3" w:rsidRPr="00D5423A" w:rsidRDefault="00AB7BF3" w:rsidP="00AB7BF3">
      <w:pPr>
        <w:snapToGrid w:val="0"/>
        <w:spacing w:line="480" w:lineRule="auto"/>
        <w:ind w:left="720" w:hanging="720"/>
        <w:rPr>
          <w:rFonts w:ascii="Garamond" w:hAnsi="Garamond"/>
        </w:rPr>
      </w:pPr>
      <w:proofErr w:type="spellStart"/>
      <w:r w:rsidRPr="00D5423A">
        <w:rPr>
          <w:rFonts w:ascii="Garamond" w:hAnsi="Garamond"/>
          <w:lang w:val="es-US"/>
        </w:rPr>
        <w:t>Civís</w:t>
      </w:r>
      <w:proofErr w:type="spellEnd"/>
      <w:r w:rsidRPr="00D5423A">
        <w:rPr>
          <w:rFonts w:ascii="Garamond" w:hAnsi="Garamond"/>
          <w:lang w:val="es-US"/>
        </w:rPr>
        <w:t xml:space="preserve">, M., Díaz-Gibson, J., &amp; </w:t>
      </w:r>
      <w:proofErr w:type="spellStart"/>
      <w:r w:rsidRPr="00D5423A">
        <w:rPr>
          <w:rFonts w:ascii="Garamond" w:hAnsi="Garamond"/>
          <w:lang w:val="es-US"/>
        </w:rPr>
        <w:t>Fontanet</w:t>
      </w:r>
      <w:proofErr w:type="spellEnd"/>
      <w:r w:rsidRPr="00D5423A">
        <w:rPr>
          <w:rFonts w:ascii="Garamond" w:hAnsi="Garamond"/>
          <w:lang w:val="es-US"/>
        </w:rPr>
        <w:t xml:space="preserve">, A. &amp; López, S. (2018). </w:t>
      </w:r>
      <w:r w:rsidRPr="00D5423A">
        <w:rPr>
          <w:rFonts w:ascii="Garamond" w:hAnsi="Garamond"/>
        </w:rPr>
        <w:t xml:space="preserve">Teachers of the 21st Century. Professional Competencies in Catalonia Today. </w:t>
      </w:r>
      <w:r w:rsidRPr="00D5423A">
        <w:rPr>
          <w:rFonts w:ascii="Garamond" w:hAnsi="Garamond"/>
          <w:i/>
        </w:rPr>
        <w:t>Educational Studies</w:t>
      </w:r>
      <w:r w:rsidRPr="00D5423A">
        <w:rPr>
          <w:rFonts w:ascii="Garamond" w:hAnsi="Garamond"/>
        </w:rPr>
        <w:t xml:space="preserve">, </w:t>
      </w:r>
      <w:r w:rsidRPr="00D5423A">
        <w:rPr>
          <w:rFonts w:ascii="Garamond" w:hAnsi="Garamond"/>
          <w:i/>
        </w:rPr>
        <w:t>Under revision</w:t>
      </w:r>
      <w:r w:rsidRPr="00D5423A">
        <w:rPr>
          <w:rFonts w:ascii="Garamond" w:hAnsi="Garamond"/>
        </w:rPr>
        <w:t xml:space="preserve">. </w:t>
      </w:r>
    </w:p>
    <w:p w14:paraId="5A19D5B5" w14:textId="77777777" w:rsidR="00AB7BF3" w:rsidRPr="00D5423A" w:rsidRDefault="00AB7BF3" w:rsidP="00AB7BF3">
      <w:pPr>
        <w:snapToGrid w:val="0"/>
        <w:spacing w:line="480" w:lineRule="auto"/>
        <w:ind w:left="720" w:hanging="720"/>
        <w:rPr>
          <w:rFonts w:ascii="Garamond" w:hAnsi="Garamond"/>
        </w:rPr>
      </w:pPr>
      <w:r w:rsidRPr="00D5423A">
        <w:rPr>
          <w:rFonts w:ascii="Garamond" w:hAnsi="Garamond"/>
        </w:rPr>
        <w:t xml:space="preserve">Coburn, C. E., Mata, W., &amp; Choi, L. (2013). The embeddedness of teachers' social networks: Evidence from mathematics reform. </w:t>
      </w:r>
      <w:r w:rsidRPr="00D5423A">
        <w:rPr>
          <w:rFonts w:ascii="Garamond" w:hAnsi="Garamond"/>
          <w:i/>
          <w:iCs/>
        </w:rPr>
        <w:t>Sociology of Education, 86(4)</w:t>
      </w:r>
      <w:r w:rsidRPr="00D5423A">
        <w:rPr>
          <w:rFonts w:ascii="Garamond" w:hAnsi="Garamond"/>
        </w:rPr>
        <w:t>, 311-342.</w:t>
      </w:r>
    </w:p>
    <w:p w14:paraId="2C28769E" w14:textId="77777777" w:rsidR="00AB7BF3" w:rsidRPr="00D5423A" w:rsidRDefault="00AB7BF3" w:rsidP="00AB7BF3">
      <w:pPr>
        <w:snapToGrid w:val="0"/>
        <w:spacing w:line="480" w:lineRule="auto"/>
        <w:ind w:left="720" w:hangingChars="300" w:hanging="720"/>
        <w:rPr>
          <w:rFonts w:ascii="Garamond" w:hAnsi="Garamond"/>
          <w:szCs w:val="24"/>
        </w:rPr>
      </w:pPr>
      <w:r w:rsidRPr="00D5423A">
        <w:rPr>
          <w:rFonts w:ascii="Garamond" w:hAnsi="Garamond"/>
          <w:szCs w:val="24"/>
        </w:rPr>
        <w:t xml:space="preserve">Coleman, J. S. (1988, February). </w:t>
      </w:r>
      <w:r w:rsidRPr="00D5423A">
        <w:rPr>
          <w:rFonts w:ascii="Garamond" w:hAnsi="Garamond"/>
          <w:i/>
          <w:szCs w:val="24"/>
        </w:rPr>
        <w:t>Social capital in the development of human capital: The ambiguous position</w:t>
      </w:r>
      <w:r w:rsidRPr="00D5423A">
        <w:rPr>
          <w:rFonts w:ascii="Garamond" w:hAnsi="Garamond"/>
          <w:i/>
          <w:iCs/>
          <w:szCs w:val="24"/>
        </w:rPr>
        <w:t xml:space="preserve"> of private schools</w:t>
      </w:r>
      <w:r w:rsidRPr="00D5423A">
        <w:rPr>
          <w:rFonts w:ascii="Garamond" w:hAnsi="Garamond"/>
          <w:szCs w:val="24"/>
        </w:rPr>
        <w:t xml:space="preserve">. Paper presented at the Annual Conference of the National Association of Independent Schools, New York, NY. </w:t>
      </w:r>
    </w:p>
    <w:p w14:paraId="275B5A86" w14:textId="77777777" w:rsidR="00AB7BF3" w:rsidRPr="00D5423A" w:rsidRDefault="00AB7BF3" w:rsidP="00AB7BF3">
      <w:pPr>
        <w:widowControl/>
        <w:snapToGrid w:val="0"/>
        <w:spacing w:line="480" w:lineRule="auto"/>
        <w:ind w:left="720" w:hanging="720"/>
        <w:rPr>
          <w:rFonts w:ascii="Garamond" w:hAnsi="Garamond"/>
        </w:rPr>
      </w:pPr>
      <w:r w:rsidRPr="00D5423A">
        <w:rPr>
          <w:rFonts w:ascii="Garamond" w:hAnsi="Garamond"/>
        </w:rPr>
        <w:t xml:space="preserve">Collins, R. (1993). Emotional energy as the common denominator of relational action. </w:t>
      </w:r>
      <w:r w:rsidRPr="00D5423A">
        <w:rPr>
          <w:rFonts w:ascii="Garamond" w:hAnsi="Garamond"/>
          <w:i/>
        </w:rPr>
        <w:t>Rationality and Society</w:t>
      </w:r>
      <w:r w:rsidRPr="00D5423A">
        <w:rPr>
          <w:rFonts w:ascii="Garamond" w:hAnsi="Garamond"/>
        </w:rPr>
        <w:t>, 5, 203-230.</w:t>
      </w:r>
    </w:p>
    <w:p w14:paraId="76AC9953" w14:textId="77777777" w:rsidR="00AB7BF3" w:rsidRPr="00D5423A" w:rsidRDefault="00AB7BF3" w:rsidP="00AB7BF3">
      <w:pPr>
        <w:widowControl/>
        <w:snapToGrid w:val="0"/>
        <w:spacing w:line="480" w:lineRule="auto"/>
        <w:ind w:left="720" w:hanging="720"/>
        <w:rPr>
          <w:rFonts w:ascii="Garamond" w:hAnsi="Garamond"/>
          <w:szCs w:val="24"/>
        </w:rPr>
      </w:pPr>
      <w:r w:rsidRPr="00D5423A">
        <w:rPr>
          <w:rFonts w:ascii="Garamond" w:hAnsi="Garamond"/>
          <w:szCs w:val="24"/>
        </w:rPr>
        <w:t xml:space="preserve">Collins, N. L., &amp; Feeney, B. C. (2000). A safe haven: Support-seeking and caregiving processes in intimate relationships. </w:t>
      </w:r>
      <w:r w:rsidRPr="00D5423A">
        <w:rPr>
          <w:rFonts w:ascii="Garamond" w:hAnsi="Garamond"/>
          <w:i/>
          <w:szCs w:val="24"/>
        </w:rPr>
        <w:t>Journal of Personality and Social Psychology</w:t>
      </w:r>
      <w:r w:rsidRPr="00D5423A">
        <w:rPr>
          <w:rFonts w:ascii="Garamond" w:hAnsi="Garamond"/>
          <w:szCs w:val="24"/>
        </w:rPr>
        <w:t>, 78, 1053-1073.</w:t>
      </w:r>
    </w:p>
    <w:p w14:paraId="5682EC67" w14:textId="77777777" w:rsidR="00AB7BF3" w:rsidRPr="00D5423A" w:rsidRDefault="00AB7BF3" w:rsidP="00AB7BF3">
      <w:pPr>
        <w:widowControl/>
        <w:snapToGrid w:val="0"/>
        <w:spacing w:line="480" w:lineRule="auto"/>
        <w:ind w:left="720" w:hanging="720"/>
        <w:rPr>
          <w:rFonts w:ascii="Garamond" w:hAnsi="Garamond"/>
          <w:szCs w:val="24"/>
        </w:rPr>
      </w:pPr>
      <w:r w:rsidRPr="00D5423A">
        <w:rPr>
          <w:rFonts w:ascii="Garamond" w:hAnsi="Garamond"/>
          <w:szCs w:val="24"/>
        </w:rPr>
        <w:t xml:space="preserve">Cross, R., &amp; Borgatti, S. P. (2004). The ties that share: Relational characteristics that facilitate information seeking. </w:t>
      </w:r>
      <w:r w:rsidRPr="00D5423A">
        <w:rPr>
          <w:rFonts w:ascii="Garamond" w:hAnsi="Garamond"/>
          <w:i/>
          <w:iCs/>
          <w:szCs w:val="24"/>
        </w:rPr>
        <w:t>Social Capital and Information Technology</w:t>
      </w:r>
      <w:r w:rsidRPr="00D5423A">
        <w:rPr>
          <w:rFonts w:ascii="Garamond" w:hAnsi="Garamond"/>
          <w:szCs w:val="24"/>
        </w:rPr>
        <w:t>, 137-161.</w:t>
      </w:r>
    </w:p>
    <w:p w14:paraId="77B410F1" w14:textId="77777777" w:rsidR="00AB7BF3" w:rsidRPr="00D5423A" w:rsidRDefault="00AB7BF3" w:rsidP="00AB7BF3">
      <w:pPr>
        <w:snapToGrid w:val="0"/>
        <w:spacing w:line="480" w:lineRule="auto"/>
        <w:ind w:left="720" w:hanging="720"/>
        <w:rPr>
          <w:rFonts w:ascii="Garamond" w:hAnsi="Garamond"/>
        </w:rPr>
      </w:pPr>
      <w:r w:rsidRPr="00D5423A">
        <w:rPr>
          <w:rFonts w:ascii="Garamond" w:hAnsi="Garamond"/>
        </w:rPr>
        <w:t xml:space="preserve">Cruddas, L. (2015). Leading the way: Blueprint for a self-improving system. </w:t>
      </w:r>
      <w:r w:rsidRPr="00D5423A">
        <w:rPr>
          <w:rFonts w:ascii="Garamond" w:hAnsi="Garamond"/>
          <w:i/>
          <w:iCs/>
        </w:rPr>
        <w:t>Association of School and College Leaders (ASCL)</w:t>
      </w:r>
      <w:r w:rsidRPr="00D5423A">
        <w:rPr>
          <w:rFonts w:ascii="Garamond" w:hAnsi="Garamond"/>
        </w:rPr>
        <w:t>.</w:t>
      </w:r>
    </w:p>
    <w:p w14:paraId="51FAF279" w14:textId="77777777" w:rsidR="00AB7BF3" w:rsidRPr="00D5423A" w:rsidRDefault="00AB7BF3" w:rsidP="00AB7BF3">
      <w:pPr>
        <w:snapToGrid w:val="0"/>
        <w:spacing w:line="480" w:lineRule="auto"/>
        <w:ind w:left="720" w:hangingChars="300" w:hanging="720"/>
        <w:rPr>
          <w:rFonts w:ascii="Garamond" w:hAnsi="Garamond" w:cs="Arial"/>
          <w:szCs w:val="24"/>
        </w:rPr>
      </w:pPr>
      <w:proofErr w:type="spellStart"/>
      <w:r w:rsidRPr="00D5423A">
        <w:rPr>
          <w:rFonts w:ascii="Garamond" w:hAnsi="Garamond" w:cs="Arial"/>
          <w:szCs w:val="24"/>
        </w:rPr>
        <w:t>Cur</w:t>
      </w:r>
      <w:r w:rsidRPr="00D5423A">
        <w:rPr>
          <w:rFonts w:ascii="Garamond" w:hAnsi="Garamond" w:cs="Times New Roman"/>
          <w:szCs w:val="24"/>
        </w:rPr>
        <w:t>ş</w:t>
      </w:r>
      <w:r w:rsidRPr="00D5423A">
        <w:rPr>
          <w:rFonts w:ascii="Garamond" w:hAnsi="Garamond" w:cs="Arial"/>
          <w:szCs w:val="24"/>
        </w:rPr>
        <w:t>eu</w:t>
      </w:r>
      <w:proofErr w:type="spellEnd"/>
      <w:r w:rsidRPr="00D5423A">
        <w:rPr>
          <w:rFonts w:ascii="Garamond" w:hAnsi="Garamond" w:cs="Arial"/>
          <w:szCs w:val="24"/>
        </w:rPr>
        <w:t xml:space="preserve">, P. L., Janssen, S. E., &amp; </w:t>
      </w:r>
      <w:proofErr w:type="spellStart"/>
      <w:r w:rsidRPr="00D5423A">
        <w:rPr>
          <w:rFonts w:ascii="Garamond" w:hAnsi="Garamond" w:cs="Arial"/>
          <w:szCs w:val="24"/>
        </w:rPr>
        <w:t>Raab</w:t>
      </w:r>
      <w:proofErr w:type="spellEnd"/>
      <w:r w:rsidRPr="00D5423A">
        <w:rPr>
          <w:rFonts w:ascii="Garamond" w:hAnsi="Garamond" w:cs="Arial"/>
          <w:szCs w:val="24"/>
        </w:rPr>
        <w:t xml:space="preserve">, J. (2012). Connecting the dots: Social network structure, conflict, and group cognitive complexity. </w:t>
      </w:r>
      <w:r w:rsidRPr="00D5423A">
        <w:rPr>
          <w:rFonts w:ascii="Garamond" w:hAnsi="Garamond" w:cs="Arial"/>
          <w:i/>
          <w:iCs/>
          <w:szCs w:val="24"/>
        </w:rPr>
        <w:t>Higher Education</w:t>
      </w:r>
      <w:r w:rsidRPr="00D5423A">
        <w:rPr>
          <w:rFonts w:ascii="Garamond" w:hAnsi="Garamond" w:cs="Arial"/>
          <w:szCs w:val="24"/>
        </w:rPr>
        <w:t xml:space="preserve">, </w:t>
      </w:r>
      <w:r w:rsidRPr="00D5423A">
        <w:rPr>
          <w:rFonts w:ascii="Garamond" w:hAnsi="Garamond" w:cs="Arial"/>
          <w:i/>
          <w:iCs/>
          <w:szCs w:val="24"/>
        </w:rPr>
        <w:t>63</w:t>
      </w:r>
      <w:r w:rsidRPr="00D5423A">
        <w:rPr>
          <w:rFonts w:ascii="Garamond" w:hAnsi="Garamond" w:cs="Arial"/>
          <w:szCs w:val="24"/>
        </w:rPr>
        <w:t>(5), 621-629.</w:t>
      </w:r>
    </w:p>
    <w:p w14:paraId="2334EECA" w14:textId="77777777" w:rsidR="00AB7BF3" w:rsidRPr="00D5423A" w:rsidRDefault="00AB7BF3" w:rsidP="00AB7BF3">
      <w:pPr>
        <w:widowControl/>
        <w:snapToGrid w:val="0"/>
        <w:spacing w:line="480" w:lineRule="auto"/>
        <w:ind w:left="720" w:hanging="720"/>
        <w:rPr>
          <w:rFonts w:ascii="Garamond" w:hAnsi="Garamond"/>
          <w:szCs w:val="24"/>
        </w:rPr>
      </w:pPr>
      <w:proofErr w:type="spellStart"/>
      <w:r w:rsidRPr="00D5423A">
        <w:rPr>
          <w:rFonts w:ascii="Garamond" w:hAnsi="Garamond"/>
          <w:szCs w:val="24"/>
        </w:rPr>
        <w:t>Dahlander</w:t>
      </w:r>
      <w:proofErr w:type="spellEnd"/>
      <w:r w:rsidRPr="00D5423A">
        <w:rPr>
          <w:rFonts w:ascii="Garamond" w:hAnsi="Garamond"/>
          <w:szCs w:val="24"/>
        </w:rPr>
        <w:t xml:space="preserve">, L., &amp; McFarland, D. A. (2013). Ties that last: Tie formation and persistence in research collaborations over time. </w:t>
      </w:r>
      <w:r w:rsidRPr="00D5423A">
        <w:rPr>
          <w:rFonts w:ascii="Garamond" w:hAnsi="Garamond"/>
          <w:i/>
          <w:szCs w:val="24"/>
        </w:rPr>
        <w:t>Administrative Science Quarterly</w:t>
      </w:r>
      <w:r w:rsidRPr="00D5423A">
        <w:rPr>
          <w:rFonts w:ascii="Garamond" w:hAnsi="Garamond"/>
          <w:szCs w:val="24"/>
        </w:rPr>
        <w:t>, 58(1), 69-110.</w:t>
      </w:r>
    </w:p>
    <w:p w14:paraId="40B98543" w14:textId="77777777" w:rsidR="00AB7BF3" w:rsidRPr="00D5423A" w:rsidRDefault="00AB7BF3" w:rsidP="00AB7BF3">
      <w:pPr>
        <w:snapToGrid w:val="0"/>
        <w:spacing w:line="480" w:lineRule="auto"/>
        <w:ind w:left="720" w:hanging="720"/>
        <w:rPr>
          <w:rFonts w:ascii="Garamond" w:hAnsi="Garamond"/>
        </w:rPr>
      </w:pPr>
      <w:r w:rsidRPr="00D5423A">
        <w:rPr>
          <w:rFonts w:ascii="Garamond" w:hAnsi="Garamond"/>
        </w:rPr>
        <w:t xml:space="preserve">Darling-Hammond, L., </w:t>
      </w:r>
      <w:proofErr w:type="spellStart"/>
      <w:r w:rsidRPr="00D5423A">
        <w:rPr>
          <w:rFonts w:ascii="Garamond" w:hAnsi="Garamond"/>
        </w:rPr>
        <w:t>Hyler</w:t>
      </w:r>
      <w:proofErr w:type="spellEnd"/>
      <w:r w:rsidRPr="00D5423A">
        <w:rPr>
          <w:rFonts w:ascii="Garamond" w:hAnsi="Garamond"/>
        </w:rPr>
        <w:t xml:space="preserve">, M. E., and Gardner, M. (2017). </w:t>
      </w:r>
      <w:r w:rsidRPr="00D5423A">
        <w:rPr>
          <w:rFonts w:ascii="Garamond" w:hAnsi="Garamond"/>
          <w:i/>
        </w:rPr>
        <w:t>Effective teacher professional development</w:t>
      </w:r>
      <w:r w:rsidRPr="00D5423A">
        <w:rPr>
          <w:rFonts w:ascii="Garamond" w:hAnsi="Garamond"/>
        </w:rPr>
        <w:t>. Learning Policy Institute, Palo Alto, CA.</w:t>
      </w:r>
    </w:p>
    <w:p w14:paraId="283A38ED" w14:textId="77777777" w:rsidR="00AB7BF3" w:rsidRPr="00D5423A" w:rsidRDefault="00AB7BF3" w:rsidP="00AB7BF3">
      <w:pPr>
        <w:widowControl/>
        <w:snapToGrid w:val="0"/>
        <w:spacing w:line="480" w:lineRule="auto"/>
        <w:ind w:left="720" w:hanging="720"/>
        <w:rPr>
          <w:rFonts w:ascii="Garamond" w:hAnsi="Garamond"/>
          <w:szCs w:val="24"/>
        </w:rPr>
      </w:pPr>
      <w:proofErr w:type="spellStart"/>
      <w:r w:rsidRPr="00D5423A">
        <w:rPr>
          <w:rFonts w:ascii="Garamond" w:hAnsi="Garamond"/>
          <w:szCs w:val="24"/>
        </w:rPr>
        <w:t>DfE</w:t>
      </w:r>
      <w:proofErr w:type="spellEnd"/>
      <w:r w:rsidRPr="00D5423A">
        <w:rPr>
          <w:rFonts w:ascii="Garamond" w:hAnsi="Garamond"/>
          <w:szCs w:val="24"/>
        </w:rPr>
        <w:t xml:space="preserve"> (Department for Education) (2011) Teachers’ Standards Guidance for school leaders, school staff and governing bodies. July 2011. </w:t>
      </w:r>
    </w:p>
    <w:p w14:paraId="5CA6B0EA" w14:textId="77777777" w:rsidR="00AB7BF3" w:rsidRPr="00D5423A" w:rsidRDefault="00AB7BF3" w:rsidP="00AB7BF3">
      <w:pPr>
        <w:snapToGrid w:val="0"/>
        <w:spacing w:line="480" w:lineRule="auto"/>
        <w:ind w:left="720" w:hanging="720"/>
        <w:rPr>
          <w:rFonts w:ascii="Garamond" w:hAnsi="Garamond"/>
        </w:rPr>
      </w:pPr>
      <w:proofErr w:type="spellStart"/>
      <w:r w:rsidRPr="00D5423A">
        <w:rPr>
          <w:rFonts w:ascii="Garamond" w:hAnsi="Garamond"/>
        </w:rPr>
        <w:lastRenderedPageBreak/>
        <w:t>Dundon</w:t>
      </w:r>
      <w:proofErr w:type="spellEnd"/>
      <w:r w:rsidRPr="00D5423A">
        <w:rPr>
          <w:rFonts w:ascii="Garamond" w:hAnsi="Garamond"/>
        </w:rPr>
        <w:t xml:space="preserve">, E. (2005). Innovation triangle. </w:t>
      </w:r>
      <w:r w:rsidRPr="00D5423A">
        <w:rPr>
          <w:rFonts w:ascii="Garamond" w:hAnsi="Garamond"/>
          <w:i/>
          <w:iCs/>
        </w:rPr>
        <w:t>Leadership Excellence</w:t>
      </w:r>
      <w:r w:rsidRPr="00D5423A">
        <w:rPr>
          <w:rFonts w:ascii="Garamond" w:hAnsi="Garamond"/>
        </w:rPr>
        <w:t xml:space="preserve">, </w:t>
      </w:r>
      <w:r w:rsidRPr="00D5423A">
        <w:rPr>
          <w:rFonts w:ascii="Garamond" w:hAnsi="Garamond"/>
          <w:i/>
          <w:iCs/>
        </w:rPr>
        <w:t>22</w:t>
      </w:r>
      <w:r w:rsidRPr="00D5423A">
        <w:rPr>
          <w:rFonts w:ascii="Garamond" w:hAnsi="Garamond"/>
        </w:rPr>
        <w:t>(3), 1-16.</w:t>
      </w:r>
    </w:p>
    <w:p w14:paraId="01DDF287" w14:textId="77777777" w:rsidR="00AB7BF3" w:rsidRPr="00D5423A" w:rsidRDefault="00AB7BF3" w:rsidP="00AB7BF3">
      <w:pPr>
        <w:snapToGrid w:val="0"/>
        <w:spacing w:line="480" w:lineRule="auto"/>
        <w:ind w:left="720" w:hangingChars="300" w:hanging="720"/>
        <w:rPr>
          <w:rFonts w:ascii="Garamond" w:hAnsi="Garamond"/>
          <w:szCs w:val="24"/>
        </w:rPr>
      </w:pPr>
      <w:r w:rsidRPr="00D5423A">
        <w:rPr>
          <w:rFonts w:ascii="Garamond" w:hAnsi="Garamond"/>
          <w:szCs w:val="24"/>
          <w:lang w:val="nl-NL"/>
        </w:rPr>
        <w:t xml:space="preserve">Durksen, T. L., &amp; Klassen, R. M. (2012). </w:t>
      </w:r>
      <w:r w:rsidRPr="00D5423A">
        <w:rPr>
          <w:rFonts w:ascii="Garamond" w:hAnsi="Garamond"/>
          <w:szCs w:val="24"/>
        </w:rPr>
        <w:t xml:space="preserve">Professional relationships influence preservice teacher success. </w:t>
      </w:r>
      <w:r w:rsidRPr="00D5423A">
        <w:rPr>
          <w:rFonts w:ascii="Garamond" w:hAnsi="Garamond"/>
          <w:i/>
          <w:szCs w:val="24"/>
        </w:rPr>
        <w:t>ASCD Express</w:t>
      </w:r>
      <w:r w:rsidRPr="00D5423A">
        <w:rPr>
          <w:rFonts w:ascii="Garamond" w:hAnsi="Garamond"/>
          <w:szCs w:val="24"/>
        </w:rPr>
        <w:t>,</w:t>
      </w:r>
      <w:r w:rsidRPr="00D5423A">
        <w:rPr>
          <w:rFonts w:ascii="Garamond" w:hAnsi="Garamond"/>
          <w:i/>
          <w:szCs w:val="24"/>
        </w:rPr>
        <w:t xml:space="preserve"> 7</w:t>
      </w:r>
      <w:r w:rsidRPr="00D5423A">
        <w:rPr>
          <w:rFonts w:ascii="Garamond" w:hAnsi="Garamond"/>
          <w:szCs w:val="24"/>
        </w:rPr>
        <w:t xml:space="preserve">(10). </w:t>
      </w:r>
    </w:p>
    <w:p w14:paraId="3AADDFA3" w14:textId="77777777" w:rsidR="00AB7BF3" w:rsidRPr="00D5423A" w:rsidRDefault="00AB7BF3" w:rsidP="00AB7BF3">
      <w:pPr>
        <w:snapToGrid w:val="0"/>
        <w:spacing w:line="480" w:lineRule="auto"/>
        <w:ind w:left="720" w:hanging="720"/>
        <w:rPr>
          <w:rFonts w:ascii="Garamond" w:hAnsi="Garamond"/>
        </w:rPr>
      </w:pPr>
      <w:proofErr w:type="spellStart"/>
      <w:r w:rsidRPr="00D5423A">
        <w:rPr>
          <w:rFonts w:ascii="Garamond" w:hAnsi="Garamond"/>
        </w:rPr>
        <w:t>Faris</w:t>
      </w:r>
      <w:proofErr w:type="spellEnd"/>
      <w:r w:rsidRPr="00D5423A">
        <w:rPr>
          <w:rFonts w:ascii="Garamond" w:hAnsi="Garamond"/>
        </w:rPr>
        <w:t xml:space="preserve">, R., &amp; </w:t>
      </w:r>
      <w:proofErr w:type="spellStart"/>
      <w:r w:rsidRPr="00D5423A">
        <w:rPr>
          <w:rFonts w:ascii="Garamond" w:hAnsi="Garamond"/>
        </w:rPr>
        <w:t>Felmlee</w:t>
      </w:r>
      <w:proofErr w:type="spellEnd"/>
      <w:r w:rsidRPr="00D5423A">
        <w:rPr>
          <w:rFonts w:ascii="Garamond" w:hAnsi="Garamond"/>
        </w:rPr>
        <w:t xml:space="preserve">, D. (2011). Status struggles: Network centrality and gender segregation in same-and cross-gender aggression. </w:t>
      </w:r>
      <w:r w:rsidRPr="00D5423A">
        <w:rPr>
          <w:rFonts w:ascii="Garamond" w:hAnsi="Garamond"/>
          <w:i/>
          <w:iCs/>
        </w:rPr>
        <w:t>American Sociological Review</w:t>
      </w:r>
      <w:r w:rsidRPr="00D5423A">
        <w:rPr>
          <w:rFonts w:ascii="Garamond" w:hAnsi="Garamond"/>
        </w:rPr>
        <w:t xml:space="preserve">, </w:t>
      </w:r>
      <w:r w:rsidRPr="00D5423A">
        <w:rPr>
          <w:rFonts w:ascii="Garamond" w:hAnsi="Garamond"/>
          <w:i/>
          <w:iCs/>
        </w:rPr>
        <w:t>76</w:t>
      </w:r>
      <w:r w:rsidRPr="00D5423A">
        <w:rPr>
          <w:rFonts w:ascii="Garamond" w:hAnsi="Garamond"/>
        </w:rPr>
        <w:t>(1), 48-73.</w:t>
      </w:r>
    </w:p>
    <w:p w14:paraId="3B694BB5" w14:textId="77777777" w:rsidR="00AB7BF3" w:rsidRPr="00D5423A" w:rsidRDefault="00AB7BF3" w:rsidP="00AB7BF3">
      <w:pPr>
        <w:snapToGrid w:val="0"/>
        <w:spacing w:line="480" w:lineRule="auto"/>
        <w:ind w:left="720" w:hangingChars="300" w:hanging="720"/>
        <w:rPr>
          <w:rFonts w:ascii="Garamond" w:hAnsi="Garamond"/>
        </w:rPr>
      </w:pPr>
      <w:r w:rsidRPr="00D5423A">
        <w:rPr>
          <w:rFonts w:ascii="Garamond" w:hAnsi="Garamond"/>
        </w:rPr>
        <w:t xml:space="preserve">Finnigan, K. k., Daly, A. J., &amp; Stewart, T. J. (2012). Organizational learning in schools under sanction. </w:t>
      </w:r>
      <w:r w:rsidRPr="00D5423A">
        <w:rPr>
          <w:rFonts w:ascii="Garamond" w:hAnsi="Garamond"/>
          <w:i/>
          <w:iCs/>
        </w:rPr>
        <w:t>Education Research International</w:t>
      </w:r>
      <w:r w:rsidRPr="00D5423A">
        <w:rPr>
          <w:rFonts w:ascii="Garamond" w:hAnsi="Garamond"/>
        </w:rPr>
        <w:t xml:space="preserve">, 1-10. </w:t>
      </w:r>
    </w:p>
    <w:p w14:paraId="518A20EA" w14:textId="77777777" w:rsidR="00AB7BF3" w:rsidRPr="00D5423A" w:rsidRDefault="00AB7BF3" w:rsidP="00AB7BF3">
      <w:pPr>
        <w:pStyle w:val="NormalWeb"/>
        <w:snapToGrid w:val="0"/>
        <w:spacing w:after="0" w:line="480" w:lineRule="auto"/>
        <w:ind w:left="720" w:hangingChars="300" w:hanging="720"/>
        <w:rPr>
          <w:rFonts w:ascii="Garamond" w:hAnsi="Garamond" w:cs="Arial"/>
          <w:color w:val="auto"/>
        </w:rPr>
      </w:pPr>
      <w:r w:rsidRPr="00D5423A">
        <w:rPr>
          <w:rFonts w:ascii="Garamond" w:hAnsi="Garamond" w:cs="Arial"/>
          <w:color w:val="auto"/>
        </w:rPr>
        <w:t xml:space="preserve">Forbes, L., &amp; Billet, S. (2012). Successful co-teaching in the science classroom. </w:t>
      </w:r>
      <w:r w:rsidRPr="00D5423A">
        <w:rPr>
          <w:rFonts w:ascii="Garamond" w:hAnsi="Garamond" w:cs="Arial"/>
          <w:i/>
          <w:iCs/>
          <w:color w:val="auto"/>
        </w:rPr>
        <w:t>Science Scope</w:t>
      </w:r>
      <w:r w:rsidRPr="00D5423A">
        <w:rPr>
          <w:rFonts w:ascii="Garamond" w:hAnsi="Garamond" w:cs="Arial"/>
          <w:color w:val="auto"/>
        </w:rPr>
        <w:t xml:space="preserve">, </w:t>
      </w:r>
      <w:r w:rsidRPr="00D5423A">
        <w:rPr>
          <w:rFonts w:ascii="Garamond" w:hAnsi="Garamond" w:cs="Arial"/>
          <w:i/>
          <w:iCs/>
          <w:color w:val="auto"/>
        </w:rPr>
        <w:t>36</w:t>
      </w:r>
      <w:r w:rsidRPr="00D5423A">
        <w:rPr>
          <w:rFonts w:ascii="Garamond" w:hAnsi="Garamond" w:cs="Arial"/>
          <w:color w:val="auto"/>
        </w:rPr>
        <w:t>(1), 61-64.</w:t>
      </w:r>
    </w:p>
    <w:p w14:paraId="3B1D99C2" w14:textId="77777777" w:rsidR="00AB7BF3" w:rsidRPr="00D5423A" w:rsidRDefault="00AB7BF3" w:rsidP="00AB7BF3">
      <w:pPr>
        <w:snapToGrid w:val="0"/>
        <w:spacing w:line="480" w:lineRule="auto"/>
        <w:ind w:left="720" w:hanging="720"/>
        <w:rPr>
          <w:rFonts w:ascii="Garamond" w:hAnsi="Garamond"/>
        </w:rPr>
      </w:pPr>
      <w:r w:rsidRPr="00D5423A">
        <w:rPr>
          <w:rFonts w:ascii="Garamond" w:hAnsi="Garamond"/>
        </w:rPr>
        <w:t xml:space="preserve">Fredrickson, B. L. (2003). Positive emotions and upward spirals in organizations. In K. Cameron, J. Dutton, &amp; R. Quinn (eds.), </w:t>
      </w:r>
      <w:r w:rsidRPr="00D5423A">
        <w:rPr>
          <w:rFonts w:ascii="Garamond" w:hAnsi="Garamond"/>
          <w:i/>
          <w:iCs/>
        </w:rPr>
        <w:t>Positive organizational scholarship</w:t>
      </w:r>
      <w:r w:rsidRPr="00D5423A">
        <w:rPr>
          <w:rFonts w:ascii="Garamond" w:hAnsi="Garamond"/>
          <w:iCs/>
        </w:rPr>
        <w:t xml:space="preserve"> (</w:t>
      </w:r>
      <w:r w:rsidRPr="00D5423A">
        <w:rPr>
          <w:rFonts w:ascii="Garamond" w:hAnsi="Garamond"/>
        </w:rPr>
        <w:t xml:space="preserve">pp. 163-175). San Francisco: </w:t>
      </w:r>
      <w:proofErr w:type="spellStart"/>
      <w:r w:rsidRPr="00D5423A">
        <w:rPr>
          <w:rFonts w:ascii="Garamond" w:hAnsi="Garamond"/>
        </w:rPr>
        <w:t>Berrett</w:t>
      </w:r>
      <w:proofErr w:type="spellEnd"/>
      <w:r w:rsidRPr="00D5423A">
        <w:rPr>
          <w:rFonts w:ascii="Garamond" w:hAnsi="Garamond"/>
        </w:rPr>
        <w:t>-Koehler Publishers, Inc.</w:t>
      </w:r>
    </w:p>
    <w:p w14:paraId="79A07EC4" w14:textId="77777777" w:rsidR="00AB7BF3" w:rsidRPr="00D5423A" w:rsidRDefault="00AB7BF3" w:rsidP="00AB7BF3">
      <w:pPr>
        <w:snapToGrid w:val="0"/>
        <w:spacing w:line="480" w:lineRule="auto"/>
        <w:ind w:left="720" w:hanging="720"/>
        <w:rPr>
          <w:rFonts w:ascii="Garamond" w:hAnsi="Garamond"/>
        </w:rPr>
      </w:pPr>
      <w:r w:rsidRPr="00D5423A">
        <w:rPr>
          <w:rFonts w:ascii="Garamond" w:hAnsi="Garamond"/>
        </w:rPr>
        <w:t xml:space="preserve">Gill, M. G., Ashton, P. T., &amp; </w:t>
      </w:r>
      <w:proofErr w:type="spellStart"/>
      <w:r w:rsidRPr="00D5423A">
        <w:rPr>
          <w:rFonts w:ascii="Garamond" w:hAnsi="Garamond"/>
        </w:rPr>
        <w:t>Algina</w:t>
      </w:r>
      <w:proofErr w:type="spellEnd"/>
      <w:r w:rsidRPr="00D5423A">
        <w:rPr>
          <w:rFonts w:ascii="Garamond" w:hAnsi="Garamond"/>
        </w:rPr>
        <w:t xml:space="preserve">, J. (2004). Changing preservice teachers’ epistemological beliefs about teaching and learning in mathematics: An intervention study. </w:t>
      </w:r>
      <w:r w:rsidRPr="00D5423A">
        <w:rPr>
          <w:rFonts w:ascii="Garamond" w:hAnsi="Garamond"/>
          <w:i/>
          <w:iCs/>
        </w:rPr>
        <w:t>Contemporary Educational Psychology</w:t>
      </w:r>
      <w:r w:rsidRPr="00D5423A">
        <w:rPr>
          <w:rFonts w:ascii="Garamond" w:hAnsi="Garamond"/>
        </w:rPr>
        <w:t xml:space="preserve">, </w:t>
      </w:r>
      <w:r w:rsidRPr="00D5423A">
        <w:rPr>
          <w:rFonts w:ascii="Garamond" w:hAnsi="Garamond"/>
          <w:i/>
          <w:iCs/>
        </w:rPr>
        <w:t>29</w:t>
      </w:r>
      <w:r w:rsidRPr="00D5423A">
        <w:rPr>
          <w:rFonts w:ascii="Garamond" w:hAnsi="Garamond"/>
        </w:rPr>
        <w:t>(2), 164-185.</w:t>
      </w:r>
    </w:p>
    <w:p w14:paraId="1D2C167F" w14:textId="77777777" w:rsidR="00AB7BF3" w:rsidRPr="00D5423A" w:rsidRDefault="00AB7BF3" w:rsidP="00AB7BF3">
      <w:pPr>
        <w:snapToGrid w:val="0"/>
        <w:spacing w:line="480" w:lineRule="auto"/>
        <w:ind w:left="720" w:hangingChars="300" w:hanging="720"/>
        <w:rPr>
          <w:rFonts w:ascii="Garamond" w:hAnsi="Garamond"/>
        </w:rPr>
      </w:pPr>
      <w:proofErr w:type="spellStart"/>
      <w:r w:rsidRPr="00D5423A">
        <w:rPr>
          <w:rFonts w:ascii="Garamond" w:hAnsi="Garamond"/>
        </w:rPr>
        <w:t>Goodlad</w:t>
      </w:r>
      <w:proofErr w:type="spellEnd"/>
      <w:r w:rsidRPr="00D5423A">
        <w:rPr>
          <w:rFonts w:ascii="Garamond" w:hAnsi="Garamond"/>
        </w:rPr>
        <w:t xml:space="preserve">, J. 1. (1990). </w:t>
      </w:r>
      <w:r w:rsidRPr="00D5423A">
        <w:rPr>
          <w:rFonts w:ascii="Garamond" w:hAnsi="Garamond"/>
          <w:i/>
        </w:rPr>
        <w:t>Teachers for our nation's schools</w:t>
      </w:r>
      <w:r w:rsidRPr="00D5423A">
        <w:rPr>
          <w:rFonts w:ascii="Garamond" w:hAnsi="Garamond"/>
        </w:rPr>
        <w:t xml:space="preserve">. San Francisco, CA: </w:t>
      </w:r>
      <w:proofErr w:type="spellStart"/>
      <w:r w:rsidRPr="00D5423A">
        <w:rPr>
          <w:rFonts w:ascii="Garamond" w:hAnsi="Garamond"/>
        </w:rPr>
        <w:t>Jossey</w:t>
      </w:r>
      <w:proofErr w:type="spellEnd"/>
      <w:r w:rsidRPr="00D5423A">
        <w:rPr>
          <w:rFonts w:ascii="Garamond" w:hAnsi="Garamond"/>
        </w:rPr>
        <w:t>-Bass.</w:t>
      </w:r>
    </w:p>
    <w:p w14:paraId="3F67D230" w14:textId="77777777" w:rsidR="00AB7BF3" w:rsidRPr="00D5423A" w:rsidRDefault="00AB7BF3" w:rsidP="00AB7BF3">
      <w:pPr>
        <w:snapToGrid w:val="0"/>
        <w:spacing w:line="480" w:lineRule="auto"/>
        <w:ind w:left="720" w:hangingChars="300" w:hanging="720"/>
        <w:rPr>
          <w:rFonts w:ascii="Garamond" w:hAnsi="Garamond" w:cs="AdvOT863180fb"/>
          <w:szCs w:val="24"/>
        </w:rPr>
      </w:pPr>
      <w:proofErr w:type="spellStart"/>
      <w:r w:rsidRPr="00D5423A">
        <w:rPr>
          <w:rFonts w:ascii="Garamond" w:hAnsi="Garamond" w:cs="AdvOT863180fb"/>
          <w:szCs w:val="24"/>
        </w:rPr>
        <w:t>Granovetter</w:t>
      </w:r>
      <w:proofErr w:type="spellEnd"/>
      <w:r w:rsidRPr="00D5423A">
        <w:rPr>
          <w:rFonts w:ascii="Garamond" w:hAnsi="Garamond" w:cs="AdvOT863180fb"/>
          <w:szCs w:val="24"/>
        </w:rPr>
        <w:t xml:space="preserve">, M. S. (1973). The strength of weak ties. </w:t>
      </w:r>
      <w:r w:rsidRPr="00D5423A">
        <w:rPr>
          <w:rFonts w:ascii="Garamond" w:hAnsi="Garamond" w:cs="AdvOT863180fb"/>
          <w:i/>
          <w:szCs w:val="24"/>
        </w:rPr>
        <w:t>American Journal of Sociology</w:t>
      </w:r>
      <w:r w:rsidRPr="00D5423A">
        <w:rPr>
          <w:rFonts w:ascii="Garamond" w:hAnsi="Garamond" w:cs="AdvOT863180fb"/>
          <w:szCs w:val="24"/>
        </w:rPr>
        <w:t>, 78, 1360-1380.</w:t>
      </w:r>
    </w:p>
    <w:p w14:paraId="0CF7634B" w14:textId="77777777" w:rsidR="00AB7BF3" w:rsidRPr="00D5423A" w:rsidRDefault="00AB7BF3" w:rsidP="00AB7BF3">
      <w:pPr>
        <w:snapToGrid w:val="0"/>
        <w:spacing w:line="480" w:lineRule="auto"/>
        <w:ind w:left="720" w:hanging="720"/>
        <w:rPr>
          <w:rFonts w:ascii="Garamond" w:hAnsi="Garamond"/>
        </w:rPr>
      </w:pPr>
      <w:proofErr w:type="spellStart"/>
      <w:r w:rsidRPr="00D5423A">
        <w:rPr>
          <w:rFonts w:ascii="Garamond" w:hAnsi="Garamond"/>
        </w:rPr>
        <w:t>Heaphy</w:t>
      </w:r>
      <w:proofErr w:type="spellEnd"/>
      <w:r w:rsidRPr="00D5423A">
        <w:rPr>
          <w:rFonts w:ascii="Garamond" w:hAnsi="Garamond"/>
        </w:rPr>
        <w:t xml:space="preserve">, E. D., &amp; Dutton, J. E. (2008). Positive social interactions and the human body at work: Linking organizations and physiology. </w:t>
      </w:r>
      <w:r w:rsidRPr="00D5423A">
        <w:rPr>
          <w:rFonts w:ascii="Garamond" w:hAnsi="Garamond"/>
          <w:i/>
          <w:iCs/>
        </w:rPr>
        <w:t>Academy of Management Review</w:t>
      </w:r>
      <w:r w:rsidRPr="00D5423A">
        <w:rPr>
          <w:rFonts w:ascii="Garamond" w:hAnsi="Garamond"/>
        </w:rPr>
        <w:t xml:space="preserve">, </w:t>
      </w:r>
      <w:r w:rsidRPr="00D5423A">
        <w:rPr>
          <w:rFonts w:ascii="Garamond" w:hAnsi="Garamond"/>
          <w:i/>
          <w:iCs/>
        </w:rPr>
        <w:t>33</w:t>
      </w:r>
      <w:r w:rsidRPr="00D5423A">
        <w:rPr>
          <w:rFonts w:ascii="Garamond" w:hAnsi="Garamond"/>
        </w:rPr>
        <w:t>(1), 137-162.</w:t>
      </w:r>
    </w:p>
    <w:p w14:paraId="09A8DE49" w14:textId="77777777" w:rsidR="00AB7BF3" w:rsidRPr="00D5423A" w:rsidRDefault="00AB7BF3" w:rsidP="00AB7BF3">
      <w:pPr>
        <w:snapToGrid w:val="0"/>
        <w:spacing w:line="480" w:lineRule="auto"/>
        <w:ind w:left="720" w:hangingChars="300" w:hanging="720"/>
        <w:rPr>
          <w:rFonts w:ascii="Garamond" w:hAnsi="Garamond"/>
          <w:szCs w:val="24"/>
        </w:rPr>
      </w:pPr>
      <w:r w:rsidRPr="00D5423A">
        <w:rPr>
          <w:rFonts w:ascii="Garamond" w:hAnsi="Garamond"/>
          <w:szCs w:val="24"/>
        </w:rPr>
        <w:t xml:space="preserve">Hill, D. M., &amp; Barth, M. (2004). NCLB and teacher retention: who will turn out the </w:t>
      </w:r>
      <w:proofErr w:type="gramStart"/>
      <w:r w:rsidRPr="00D5423A">
        <w:rPr>
          <w:rFonts w:ascii="Garamond" w:hAnsi="Garamond"/>
          <w:szCs w:val="24"/>
        </w:rPr>
        <w:t>lights?.</w:t>
      </w:r>
      <w:proofErr w:type="gramEnd"/>
      <w:r w:rsidRPr="00D5423A">
        <w:rPr>
          <w:rFonts w:ascii="Garamond" w:hAnsi="Garamond"/>
          <w:szCs w:val="24"/>
        </w:rPr>
        <w:t xml:space="preserve"> </w:t>
      </w:r>
      <w:r w:rsidRPr="00D5423A">
        <w:rPr>
          <w:rFonts w:ascii="Garamond" w:hAnsi="Garamond"/>
          <w:i/>
          <w:iCs/>
          <w:szCs w:val="24"/>
        </w:rPr>
        <w:t>Education and the Law</w:t>
      </w:r>
      <w:r w:rsidRPr="00D5423A">
        <w:rPr>
          <w:rFonts w:ascii="Garamond" w:hAnsi="Garamond"/>
          <w:szCs w:val="24"/>
        </w:rPr>
        <w:t xml:space="preserve">, </w:t>
      </w:r>
      <w:r w:rsidRPr="00D5423A">
        <w:rPr>
          <w:rFonts w:ascii="Garamond" w:hAnsi="Garamond"/>
          <w:i/>
          <w:iCs/>
          <w:szCs w:val="24"/>
        </w:rPr>
        <w:t>16</w:t>
      </w:r>
      <w:r w:rsidRPr="00D5423A">
        <w:rPr>
          <w:rFonts w:ascii="Garamond" w:hAnsi="Garamond"/>
          <w:szCs w:val="24"/>
        </w:rPr>
        <w:t>(2-3), 173-181.</w:t>
      </w:r>
    </w:p>
    <w:p w14:paraId="2E64462D" w14:textId="77777777" w:rsidR="00AB7BF3" w:rsidRPr="00D5423A" w:rsidRDefault="00AB7BF3" w:rsidP="00AB7BF3">
      <w:pPr>
        <w:snapToGrid w:val="0"/>
        <w:spacing w:line="480" w:lineRule="auto"/>
        <w:ind w:left="720" w:hangingChars="300" w:hanging="720"/>
        <w:rPr>
          <w:rFonts w:ascii="Garamond" w:hAnsi="Garamond"/>
          <w:szCs w:val="24"/>
        </w:rPr>
      </w:pPr>
      <w:r w:rsidRPr="00D5423A">
        <w:rPr>
          <w:rFonts w:ascii="Garamond" w:hAnsi="Garamond"/>
          <w:szCs w:val="24"/>
        </w:rPr>
        <w:t xml:space="preserve">Holmes, K., Preston, G., Shaw, K., &amp; Buchanan, R. (2013). "Follow" me: Networked professional learning for teachers. </w:t>
      </w:r>
      <w:r w:rsidRPr="00D5423A">
        <w:rPr>
          <w:rFonts w:ascii="Garamond" w:hAnsi="Garamond"/>
          <w:i/>
          <w:iCs/>
          <w:szCs w:val="24"/>
        </w:rPr>
        <w:t>Australian Journal of Teacher Education</w:t>
      </w:r>
      <w:r w:rsidRPr="00D5423A">
        <w:rPr>
          <w:rFonts w:ascii="Garamond" w:hAnsi="Garamond"/>
          <w:szCs w:val="24"/>
        </w:rPr>
        <w:t>, 38(12).</w:t>
      </w:r>
    </w:p>
    <w:p w14:paraId="57E4F3E7" w14:textId="77777777" w:rsidR="00AB7BF3" w:rsidRPr="00D5423A" w:rsidRDefault="00AB7BF3" w:rsidP="00AB7BF3">
      <w:pPr>
        <w:snapToGrid w:val="0"/>
        <w:spacing w:line="480" w:lineRule="auto"/>
        <w:ind w:left="720" w:hanging="720"/>
        <w:rPr>
          <w:rFonts w:ascii="Garamond" w:hAnsi="Garamond"/>
        </w:rPr>
      </w:pPr>
      <w:r w:rsidRPr="00D5423A">
        <w:rPr>
          <w:rFonts w:ascii="Garamond" w:hAnsi="Garamond"/>
        </w:rPr>
        <w:t xml:space="preserve">Honig, M. I., &amp; </w:t>
      </w:r>
      <w:proofErr w:type="spellStart"/>
      <w:r w:rsidRPr="00D5423A">
        <w:rPr>
          <w:rFonts w:ascii="Garamond" w:hAnsi="Garamond"/>
        </w:rPr>
        <w:t>Ikemoto</w:t>
      </w:r>
      <w:proofErr w:type="spellEnd"/>
      <w:r w:rsidRPr="00D5423A">
        <w:rPr>
          <w:rFonts w:ascii="Garamond" w:hAnsi="Garamond"/>
        </w:rPr>
        <w:t xml:space="preserve">, G. S. (2008). Adaptive assistance for learning improvement efforts: The </w:t>
      </w:r>
      <w:r w:rsidRPr="00D5423A">
        <w:rPr>
          <w:rFonts w:ascii="Garamond" w:hAnsi="Garamond"/>
        </w:rPr>
        <w:lastRenderedPageBreak/>
        <w:t xml:space="preserve">case of the Institute for Learning. </w:t>
      </w:r>
      <w:r w:rsidRPr="00D5423A">
        <w:rPr>
          <w:rFonts w:ascii="Garamond" w:hAnsi="Garamond"/>
          <w:i/>
          <w:iCs/>
        </w:rPr>
        <w:t>Peabody Journal of Education</w:t>
      </w:r>
      <w:r w:rsidRPr="00D5423A">
        <w:rPr>
          <w:rFonts w:ascii="Garamond" w:hAnsi="Garamond"/>
        </w:rPr>
        <w:t xml:space="preserve">, </w:t>
      </w:r>
      <w:r w:rsidRPr="00D5423A">
        <w:rPr>
          <w:rFonts w:ascii="Garamond" w:hAnsi="Garamond"/>
          <w:i/>
          <w:iCs/>
        </w:rPr>
        <w:t>83</w:t>
      </w:r>
      <w:r w:rsidRPr="00D5423A">
        <w:rPr>
          <w:rFonts w:ascii="Garamond" w:hAnsi="Garamond"/>
        </w:rPr>
        <w:t>(3), 328-363.</w:t>
      </w:r>
    </w:p>
    <w:p w14:paraId="056DD0AB" w14:textId="77777777" w:rsidR="00AB7BF3" w:rsidRPr="00D5423A" w:rsidRDefault="00AB7BF3" w:rsidP="00AB7BF3">
      <w:pPr>
        <w:snapToGrid w:val="0"/>
        <w:spacing w:line="480" w:lineRule="auto"/>
        <w:ind w:left="720" w:hanging="720"/>
        <w:rPr>
          <w:rFonts w:ascii="Garamond" w:hAnsi="Garamond"/>
        </w:rPr>
      </w:pPr>
      <w:r w:rsidRPr="00D5423A">
        <w:rPr>
          <w:rFonts w:ascii="Garamond" w:hAnsi="Garamond"/>
        </w:rPr>
        <w:t xml:space="preserve">Hoy, W. K., &amp; </w:t>
      </w:r>
      <w:proofErr w:type="spellStart"/>
      <w:r w:rsidRPr="00D5423A">
        <w:rPr>
          <w:rFonts w:ascii="Garamond" w:hAnsi="Garamond"/>
        </w:rPr>
        <w:t>Tschannen</w:t>
      </w:r>
      <w:proofErr w:type="spellEnd"/>
      <w:r w:rsidRPr="00D5423A">
        <w:rPr>
          <w:rFonts w:ascii="Garamond" w:hAnsi="Garamond"/>
        </w:rPr>
        <w:t xml:space="preserve">-Moran, M. (2003). The conceptualization and measurement of faculty trust in schools: The Omnibus T-Scale. In W. K. Hoy &amp; C. G. </w:t>
      </w:r>
      <w:proofErr w:type="spellStart"/>
      <w:r w:rsidRPr="00D5423A">
        <w:rPr>
          <w:rFonts w:ascii="Garamond" w:hAnsi="Garamond"/>
        </w:rPr>
        <w:t>Miskel</w:t>
      </w:r>
      <w:proofErr w:type="spellEnd"/>
      <w:r w:rsidRPr="00D5423A">
        <w:rPr>
          <w:rFonts w:ascii="Garamond" w:hAnsi="Garamond"/>
        </w:rPr>
        <w:t xml:space="preserve"> (Eds.),</w:t>
      </w:r>
      <w:r w:rsidRPr="00D5423A">
        <w:rPr>
          <w:rFonts w:ascii="Garamond" w:hAnsi="Garamond"/>
          <w:i/>
        </w:rPr>
        <w:t xml:space="preserve"> Studies in leading and organizing schools</w:t>
      </w:r>
      <w:r w:rsidRPr="00D5423A">
        <w:rPr>
          <w:rFonts w:ascii="Garamond" w:hAnsi="Garamond"/>
        </w:rPr>
        <w:t xml:space="preserve"> (pp. 181-208). Greenwich, CT: Information Age.</w:t>
      </w:r>
    </w:p>
    <w:p w14:paraId="60EAEB3D" w14:textId="77777777" w:rsidR="00AB7BF3" w:rsidRPr="00D5423A" w:rsidRDefault="00AB7BF3" w:rsidP="00AB7BF3">
      <w:pPr>
        <w:snapToGrid w:val="0"/>
        <w:spacing w:line="480" w:lineRule="auto"/>
        <w:ind w:left="720" w:hanging="720"/>
        <w:rPr>
          <w:rFonts w:ascii="Garamond" w:hAnsi="Garamond"/>
        </w:rPr>
      </w:pPr>
      <w:r w:rsidRPr="00D5423A">
        <w:rPr>
          <w:rFonts w:ascii="Garamond" w:hAnsi="Garamond"/>
        </w:rPr>
        <w:t xml:space="preserve">Hubers, M. D., Moolenaar, N. M., </w:t>
      </w:r>
      <w:proofErr w:type="spellStart"/>
      <w:r w:rsidRPr="00D5423A">
        <w:rPr>
          <w:rFonts w:ascii="Garamond" w:hAnsi="Garamond"/>
        </w:rPr>
        <w:t>Schildkamp</w:t>
      </w:r>
      <w:proofErr w:type="spellEnd"/>
      <w:r w:rsidRPr="00D5423A">
        <w:rPr>
          <w:rFonts w:ascii="Garamond" w:hAnsi="Garamond"/>
        </w:rPr>
        <w:t xml:space="preserve">, K., Daly, A. J., </w:t>
      </w:r>
      <w:proofErr w:type="spellStart"/>
      <w:r w:rsidRPr="00D5423A">
        <w:rPr>
          <w:rFonts w:ascii="Garamond" w:hAnsi="Garamond"/>
        </w:rPr>
        <w:t>Handelzalts</w:t>
      </w:r>
      <w:proofErr w:type="spellEnd"/>
      <w:r w:rsidRPr="00D5423A">
        <w:rPr>
          <w:rFonts w:ascii="Garamond" w:hAnsi="Garamond"/>
        </w:rPr>
        <w:t xml:space="preserve">, A., &amp; </w:t>
      </w:r>
      <w:proofErr w:type="spellStart"/>
      <w:r w:rsidRPr="00D5423A">
        <w:rPr>
          <w:rFonts w:ascii="Garamond" w:hAnsi="Garamond"/>
        </w:rPr>
        <w:t>Pieters</w:t>
      </w:r>
      <w:proofErr w:type="spellEnd"/>
      <w:r w:rsidRPr="00D5423A">
        <w:rPr>
          <w:rFonts w:ascii="Garamond" w:hAnsi="Garamond"/>
        </w:rPr>
        <w:t xml:space="preserve">, J. M. (2018). Share and succeed: the development of knowledge sharing and brokerage in data teams’ network structures. </w:t>
      </w:r>
      <w:r w:rsidRPr="00D5423A">
        <w:rPr>
          <w:rFonts w:ascii="Garamond" w:hAnsi="Garamond"/>
          <w:i/>
          <w:iCs/>
        </w:rPr>
        <w:t>Research Papers in Education</w:t>
      </w:r>
      <w:r w:rsidRPr="00D5423A">
        <w:rPr>
          <w:rFonts w:ascii="Garamond" w:hAnsi="Garamond"/>
        </w:rPr>
        <w:t xml:space="preserve">, </w:t>
      </w:r>
      <w:r w:rsidRPr="00D5423A">
        <w:rPr>
          <w:rFonts w:ascii="Garamond" w:hAnsi="Garamond"/>
          <w:i/>
          <w:iCs/>
        </w:rPr>
        <w:t>33</w:t>
      </w:r>
      <w:r w:rsidRPr="00D5423A">
        <w:rPr>
          <w:rFonts w:ascii="Garamond" w:hAnsi="Garamond"/>
        </w:rPr>
        <w:t>(2), 216-238.</w:t>
      </w:r>
    </w:p>
    <w:p w14:paraId="2F4F6910" w14:textId="77777777" w:rsidR="00AB7BF3" w:rsidRPr="00D5423A" w:rsidRDefault="00AB7BF3" w:rsidP="00AB7BF3">
      <w:pPr>
        <w:snapToGrid w:val="0"/>
        <w:spacing w:line="480" w:lineRule="auto"/>
        <w:ind w:left="720" w:hanging="720"/>
        <w:rPr>
          <w:rFonts w:ascii="Garamond" w:hAnsi="Garamond"/>
        </w:rPr>
      </w:pPr>
      <w:r w:rsidRPr="00D5423A">
        <w:rPr>
          <w:rFonts w:ascii="Garamond" w:hAnsi="Garamond"/>
        </w:rPr>
        <w:t xml:space="preserve"> Huggins, R., &amp; Johnston, A. (2010). Knowledge flow and inter-firm networks: The influence of network resources, spatial proximity and firm size. </w:t>
      </w:r>
      <w:r w:rsidRPr="00D5423A">
        <w:rPr>
          <w:rFonts w:ascii="Garamond" w:hAnsi="Garamond"/>
          <w:i/>
          <w:iCs/>
        </w:rPr>
        <w:t>Entrepreneurship &amp; regional development</w:t>
      </w:r>
      <w:r w:rsidRPr="00D5423A">
        <w:rPr>
          <w:rFonts w:ascii="Garamond" w:hAnsi="Garamond"/>
        </w:rPr>
        <w:t xml:space="preserve">, </w:t>
      </w:r>
      <w:r w:rsidRPr="00D5423A">
        <w:rPr>
          <w:rFonts w:ascii="Garamond" w:hAnsi="Garamond"/>
          <w:i/>
          <w:iCs/>
        </w:rPr>
        <w:t>22</w:t>
      </w:r>
      <w:r w:rsidRPr="00D5423A">
        <w:rPr>
          <w:rFonts w:ascii="Garamond" w:hAnsi="Garamond"/>
        </w:rPr>
        <w:t>(5), 457-484.</w:t>
      </w:r>
    </w:p>
    <w:p w14:paraId="147E65DA" w14:textId="77777777" w:rsidR="00AB7BF3" w:rsidRPr="00D5423A" w:rsidRDefault="00AB7BF3" w:rsidP="00AB7BF3">
      <w:pPr>
        <w:widowControl/>
        <w:snapToGrid w:val="0"/>
        <w:spacing w:line="480" w:lineRule="auto"/>
        <w:ind w:left="720" w:hanging="720"/>
        <w:rPr>
          <w:rFonts w:ascii="Garamond" w:hAnsi="Garamond"/>
          <w:szCs w:val="24"/>
        </w:rPr>
      </w:pPr>
      <w:proofErr w:type="spellStart"/>
      <w:r w:rsidRPr="00D5423A">
        <w:rPr>
          <w:rFonts w:ascii="Garamond" w:hAnsi="Garamond"/>
          <w:szCs w:val="24"/>
        </w:rPr>
        <w:t>Kendziora</w:t>
      </w:r>
      <w:proofErr w:type="spellEnd"/>
      <w:r w:rsidRPr="00D5423A">
        <w:rPr>
          <w:rFonts w:ascii="Garamond" w:hAnsi="Garamond"/>
          <w:szCs w:val="24"/>
        </w:rPr>
        <w:t xml:space="preserve">, K., &amp; Yoder, N. (2016). </w:t>
      </w:r>
      <w:r w:rsidRPr="00D5423A">
        <w:rPr>
          <w:rFonts w:ascii="Garamond" w:hAnsi="Garamond"/>
          <w:i/>
          <w:iCs/>
          <w:szCs w:val="24"/>
        </w:rPr>
        <w:t>When districts support and integrate social and emotional learning (SEL): Findings from an ongoing evaluation of districtwide implementation of SEL</w:t>
      </w:r>
      <w:r w:rsidRPr="00D5423A">
        <w:rPr>
          <w:rFonts w:ascii="Garamond" w:hAnsi="Garamond"/>
          <w:szCs w:val="24"/>
        </w:rPr>
        <w:t xml:space="preserve">. Washington DC: Education Policy Center at American Institutes for Research. </w:t>
      </w:r>
    </w:p>
    <w:p w14:paraId="50162A45" w14:textId="77777777" w:rsidR="00AB7BF3" w:rsidRPr="00D5423A" w:rsidRDefault="00AB7BF3" w:rsidP="00AB7BF3">
      <w:pPr>
        <w:snapToGrid w:val="0"/>
        <w:spacing w:line="480" w:lineRule="auto"/>
        <w:ind w:left="720" w:hangingChars="300" w:hanging="720"/>
        <w:rPr>
          <w:rFonts w:ascii="Garamond" w:hAnsi="Garamond"/>
        </w:rPr>
      </w:pPr>
      <w:proofErr w:type="spellStart"/>
      <w:r w:rsidRPr="00D5423A">
        <w:rPr>
          <w:rFonts w:ascii="Garamond" w:hAnsi="Garamond"/>
        </w:rPr>
        <w:t>Kilduff</w:t>
      </w:r>
      <w:proofErr w:type="spellEnd"/>
      <w:r w:rsidRPr="00D5423A">
        <w:rPr>
          <w:rFonts w:ascii="Garamond" w:hAnsi="Garamond"/>
        </w:rPr>
        <w:t xml:space="preserve">, M. &amp; Tsai, W. (2003). </w:t>
      </w:r>
      <w:r w:rsidRPr="00D5423A">
        <w:rPr>
          <w:rFonts w:ascii="Garamond" w:hAnsi="Garamond"/>
          <w:i/>
        </w:rPr>
        <w:t>Social networks and organizations</w:t>
      </w:r>
      <w:r w:rsidRPr="00D5423A">
        <w:rPr>
          <w:rFonts w:ascii="Garamond" w:hAnsi="Garamond"/>
        </w:rPr>
        <w:t xml:space="preserve">. London, UK: Sage Publications. </w:t>
      </w:r>
    </w:p>
    <w:p w14:paraId="7D607D3E" w14:textId="77777777" w:rsidR="00AB7BF3" w:rsidRPr="00D5423A" w:rsidRDefault="00AB7BF3" w:rsidP="00AB7BF3">
      <w:pPr>
        <w:snapToGrid w:val="0"/>
        <w:spacing w:line="480" w:lineRule="auto"/>
        <w:ind w:left="720" w:hangingChars="300" w:hanging="720"/>
        <w:rPr>
          <w:rFonts w:ascii="Garamond" w:hAnsi="Garamond"/>
        </w:rPr>
      </w:pPr>
      <w:proofErr w:type="spellStart"/>
      <w:r w:rsidRPr="00D5423A">
        <w:rPr>
          <w:rFonts w:ascii="Garamond" w:hAnsi="Garamond"/>
        </w:rPr>
        <w:t>Klassen</w:t>
      </w:r>
      <w:proofErr w:type="spellEnd"/>
      <w:r w:rsidRPr="00D5423A">
        <w:rPr>
          <w:rFonts w:ascii="Garamond" w:hAnsi="Garamond"/>
        </w:rPr>
        <w:t xml:space="preserve">, R. M., &amp; Chiu, M. M. (2011). The occupational commitment and intention to quit of practicing and pre-service teachers: Influence of self-efficacy, job stress, and teaching context. </w:t>
      </w:r>
      <w:r w:rsidRPr="00D5423A">
        <w:rPr>
          <w:rFonts w:ascii="Garamond" w:hAnsi="Garamond"/>
          <w:i/>
        </w:rPr>
        <w:t>Contemporary Educational Psychology</w:t>
      </w:r>
      <w:r w:rsidRPr="00D5423A">
        <w:rPr>
          <w:rFonts w:ascii="Garamond" w:hAnsi="Garamond"/>
        </w:rPr>
        <w:t xml:space="preserve">, 36, 114-129. </w:t>
      </w:r>
    </w:p>
    <w:p w14:paraId="79B1AE1A" w14:textId="77777777" w:rsidR="00AB7BF3" w:rsidRPr="00D5423A" w:rsidRDefault="00AB7BF3" w:rsidP="00AB7BF3">
      <w:pPr>
        <w:widowControl/>
        <w:snapToGrid w:val="0"/>
        <w:spacing w:line="480" w:lineRule="auto"/>
        <w:ind w:left="720" w:hanging="720"/>
        <w:rPr>
          <w:rFonts w:ascii="Garamond" w:hAnsi="Garamond"/>
          <w:szCs w:val="24"/>
        </w:rPr>
      </w:pPr>
      <w:proofErr w:type="spellStart"/>
      <w:r w:rsidRPr="00D5423A">
        <w:rPr>
          <w:rFonts w:ascii="Garamond" w:hAnsi="Garamond"/>
          <w:szCs w:val="24"/>
        </w:rPr>
        <w:t>Koirala</w:t>
      </w:r>
      <w:proofErr w:type="spellEnd"/>
      <w:r w:rsidRPr="00D5423A">
        <w:rPr>
          <w:rFonts w:ascii="Garamond" w:hAnsi="Garamond"/>
          <w:szCs w:val="24"/>
        </w:rPr>
        <w:t xml:space="preserve">, H. P., Davis, M., &amp; Johnson, P. (2008). Development of a performance assessment task and rubric to measure prospective secondary school mathematics teachers’ pedagogical content knowledge and skills. </w:t>
      </w:r>
      <w:r w:rsidRPr="00D5423A">
        <w:rPr>
          <w:rFonts w:ascii="Garamond" w:hAnsi="Garamond"/>
          <w:i/>
          <w:iCs/>
          <w:szCs w:val="24"/>
        </w:rPr>
        <w:t>Journal of Mathematics Teacher Education</w:t>
      </w:r>
      <w:r w:rsidRPr="00D5423A">
        <w:rPr>
          <w:rFonts w:ascii="Garamond" w:hAnsi="Garamond"/>
          <w:szCs w:val="24"/>
        </w:rPr>
        <w:t xml:space="preserve">, </w:t>
      </w:r>
      <w:r w:rsidRPr="00D5423A">
        <w:rPr>
          <w:rFonts w:ascii="Garamond" w:hAnsi="Garamond"/>
          <w:i/>
          <w:iCs/>
          <w:szCs w:val="24"/>
        </w:rPr>
        <w:t>11</w:t>
      </w:r>
      <w:r w:rsidRPr="00D5423A">
        <w:rPr>
          <w:rFonts w:ascii="Garamond" w:hAnsi="Garamond"/>
          <w:szCs w:val="24"/>
        </w:rPr>
        <w:t>(2), 127-138.</w:t>
      </w:r>
    </w:p>
    <w:p w14:paraId="307121F1" w14:textId="77777777" w:rsidR="00AB7BF3" w:rsidRPr="00D5423A" w:rsidRDefault="00AB7BF3" w:rsidP="00AB7BF3">
      <w:pPr>
        <w:snapToGrid w:val="0"/>
        <w:spacing w:line="480" w:lineRule="auto"/>
        <w:ind w:left="720" w:hangingChars="300" w:hanging="720"/>
        <w:rPr>
          <w:rFonts w:ascii="Garamond" w:hAnsi="Garamond"/>
        </w:rPr>
      </w:pPr>
      <w:r w:rsidRPr="00D5423A">
        <w:rPr>
          <w:rFonts w:ascii="Garamond" w:hAnsi="Garamond"/>
        </w:rPr>
        <w:t xml:space="preserve">Kramer, R. M. (1999). Trust and distrust in organizations: Emerging perspectives, enduring questions. </w:t>
      </w:r>
      <w:r w:rsidRPr="00D5423A">
        <w:rPr>
          <w:rFonts w:ascii="Garamond" w:hAnsi="Garamond"/>
          <w:i/>
          <w:iCs/>
        </w:rPr>
        <w:t>Annual Review of Psychology</w:t>
      </w:r>
      <w:r w:rsidRPr="00D5423A">
        <w:rPr>
          <w:rFonts w:ascii="Garamond" w:hAnsi="Garamond"/>
        </w:rPr>
        <w:t xml:space="preserve">, </w:t>
      </w:r>
      <w:r w:rsidRPr="00D5423A">
        <w:rPr>
          <w:rFonts w:ascii="Garamond" w:hAnsi="Garamond"/>
          <w:i/>
        </w:rPr>
        <w:t>50</w:t>
      </w:r>
      <w:r w:rsidRPr="00D5423A">
        <w:rPr>
          <w:rFonts w:ascii="Garamond" w:hAnsi="Garamond"/>
        </w:rPr>
        <w:t>, 569-598.</w:t>
      </w:r>
    </w:p>
    <w:p w14:paraId="7F2FF62F" w14:textId="77777777" w:rsidR="00AB7BF3" w:rsidRPr="00D5423A" w:rsidRDefault="00AB7BF3" w:rsidP="00AB7BF3">
      <w:pPr>
        <w:snapToGrid w:val="0"/>
        <w:spacing w:line="480" w:lineRule="auto"/>
        <w:ind w:left="720" w:hangingChars="300" w:hanging="720"/>
        <w:rPr>
          <w:rFonts w:ascii="Garamond" w:hAnsi="Garamond" w:cs="Arial"/>
          <w:szCs w:val="24"/>
        </w:rPr>
      </w:pPr>
      <w:r w:rsidRPr="00D5423A">
        <w:rPr>
          <w:rFonts w:ascii="Garamond" w:hAnsi="Garamond" w:cs="Arial"/>
          <w:szCs w:val="24"/>
        </w:rPr>
        <w:t>Leader-Janssen, E. M., &amp; Rankin-Erickson, J. L. (2013).</w:t>
      </w:r>
      <w:r w:rsidRPr="00D5423A">
        <w:rPr>
          <w:rFonts w:ascii="Garamond" w:hAnsi="Garamond" w:cs="Arial" w:hint="eastAsia"/>
          <w:szCs w:val="24"/>
        </w:rPr>
        <w:t xml:space="preserve"> </w:t>
      </w:r>
      <w:r w:rsidRPr="00D5423A">
        <w:rPr>
          <w:rFonts w:ascii="Garamond" w:hAnsi="Garamond" w:cs="Arial"/>
          <w:szCs w:val="24"/>
        </w:rPr>
        <w:t xml:space="preserve">Preservice teachers' content knowledge and self-efficacy for teaching reading. </w:t>
      </w:r>
      <w:r w:rsidRPr="00D5423A">
        <w:rPr>
          <w:rFonts w:ascii="Garamond" w:hAnsi="Garamond" w:cs="Arial"/>
          <w:i/>
          <w:iCs/>
          <w:szCs w:val="24"/>
        </w:rPr>
        <w:t>Literacy Research and Instruction</w:t>
      </w:r>
      <w:r w:rsidRPr="00D5423A">
        <w:rPr>
          <w:rFonts w:ascii="Garamond" w:hAnsi="Garamond" w:cs="Arial"/>
          <w:szCs w:val="24"/>
        </w:rPr>
        <w:t xml:space="preserve">, </w:t>
      </w:r>
      <w:r w:rsidRPr="00D5423A">
        <w:rPr>
          <w:rFonts w:ascii="Garamond" w:hAnsi="Garamond" w:cs="Arial"/>
          <w:i/>
          <w:iCs/>
          <w:szCs w:val="24"/>
        </w:rPr>
        <w:t>52</w:t>
      </w:r>
      <w:r w:rsidRPr="00D5423A">
        <w:rPr>
          <w:rFonts w:ascii="Garamond" w:hAnsi="Garamond" w:cs="Arial"/>
          <w:szCs w:val="24"/>
        </w:rPr>
        <w:t>(3), 204-229.</w:t>
      </w:r>
    </w:p>
    <w:p w14:paraId="6E046EE5" w14:textId="77777777" w:rsidR="00AB7BF3" w:rsidRPr="00D5423A" w:rsidRDefault="00AB7BF3" w:rsidP="00AB7BF3">
      <w:pPr>
        <w:snapToGrid w:val="0"/>
        <w:spacing w:line="480" w:lineRule="auto"/>
        <w:ind w:left="720" w:hanging="720"/>
        <w:rPr>
          <w:rFonts w:ascii="Garamond" w:hAnsi="Garamond"/>
        </w:rPr>
      </w:pPr>
      <w:r w:rsidRPr="00D5423A">
        <w:rPr>
          <w:rFonts w:ascii="Garamond" w:hAnsi="Garamond"/>
        </w:rPr>
        <w:lastRenderedPageBreak/>
        <w:t>Levin, D. Z., Cross, R., Abrams, L. C., &amp; Lesser, E. L. (2002). Trust and knowledge sharing: A McPherson, M., Smith-</w:t>
      </w:r>
      <w:proofErr w:type="spellStart"/>
      <w:r w:rsidRPr="00D5423A">
        <w:rPr>
          <w:rFonts w:ascii="Garamond" w:hAnsi="Garamond"/>
        </w:rPr>
        <w:t>Lovin</w:t>
      </w:r>
      <w:proofErr w:type="spellEnd"/>
      <w:r w:rsidRPr="00D5423A">
        <w:rPr>
          <w:rFonts w:ascii="Garamond" w:hAnsi="Garamond"/>
        </w:rPr>
        <w:t xml:space="preserve">, L., &amp; Cook, J. M. (2001). Birds of a feather: Homophily in social networks. </w:t>
      </w:r>
      <w:r w:rsidRPr="00D5423A">
        <w:rPr>
          <w:rFonts w:ascii="Garamond" w:hAnsi="Garamond"/>
          <w:i/>
        </w:rPr>
        <w:t>Annual Review of Sociology</w:t>
      </w:r>
      <w:r w:rsidRPr="00D5423A">
        <w:rPr>
          <w:rFonts w:ascii="Garamond" w:hAnsi="Garamond"/>
        </w:rPr>
        <w:t xml:space="preserve">, </w:t>
      </w:r>
      <w:r w:rsidRPr="00D5423A">
        <w:rPr>
          <w:rFonts w:ascii="Garamond" w:hAnsi="Garamond"/>
          <w:i/>
        </w:rPr>
        <w:t>27</w:t>
      </w:r>
      <w:r w:rsidRPr="00D5423A">
        <w:rPr>
          <w:rFonts w:ascii="Garamond" w:hAnsi="Garamond"/>
        </w:rPr>
        <w:t>, 415-444.</w:t>
      </w:r>
    </w:p>
    <w:p w14:paraId="3B1F30EA" w14:textId="77777777" w:rsidR="00AB7BF3" w:rsidRPr="00D5423A" w:rsidRDefault="00AB7BF3" w:rsidP="00AB7BF3">
      <w:pPr>
        <w:widowControl/>
        <w:snapToGrid w:val="0"/>
        <w:spacing w:line="480" w:lineRule="auto"/>
        <w:ind w:left="720" w:hanging="720"/>
        <w:rPr>
          <w:rFonts w:ascii="Garamond" w:hAnsi="Garamond"/>
          <w:szCs w:val="24"/>
        </w:rPr>
      </w:pPr>
      <w:r w:rsidRPr="00D5423A">
        <w:rPr>
          <w:rFonts w:ascii="Garamond" w:hAnsi="Garamond"/>
          <w:szCs w:val="24"/>
        </w:rPr>
        <w:t xml:space="preserve">Mutton, T., Burn, K., &amp; </w:t>
      </w:r>
      <w:proofErr w:type="spellStart"/>
      <w:r w:rsidRPr="00D5423A">
        <w:rPr>
          <w:rFonts w:ascii="Garamond" w:hAnsi="Garamond"/>
          <w:szCs w:val="24"/>
        </w:rPr>
        <w:t>Menter</w:t>
      </w:r>
      <w:proofErr w:type="spellEnd"/>
      <w:r w:rsidRPr="00D5423A">
        <w:rPr>
          <w:rFonts w:ascii="Garamond" w:hAnsi="Garamond"/>
          <w:szCs w:val="24"/>
        </w:rPr>
        <w:t xml:space="preserve">, I. (2017). Deconstructing the Carter Review: competing conceptions of quality in England’s ‘school-led’ system of initial teacher education. </w:t>
      </w:r>
      <w:r w:rsidRPr="00D5423A">
        <w:rPr>
          <w:rFonts w:ascii="Garamond" w:hAnsi="Garamond"/>
          <w:i/>
          <w:szCs w:val="24"/>
        </w:rPr>
        <w:t>Journal of Education Policy</w:t>
      </w:r>
      <w:r w:rsidRPr="00D5423A">
        <w:rPr>
          <w:rFonts w:ascii="Garamond" w:hAnsi="Garamond"/>
          <w:szCs w:val="24"/>
        </w:rPr>
        <w:t xml:space="preserve">, </w:t>
      </w:r>
      <w:r w:rsidRPr="00D5423A">
        <w:rPr>
          <w:rFonts w:ascii="Garamond" w:hAnsi="Garamond"/>
          <w:i/>
          <w:szCs w:val="24"/>
        </w:rPr>
        <w:t>32</w:t>
      </w:r>
      <w:r w:rsidRPr="00D5423A">
        <w:rPr>
          <w:rFonts w:ascii="Garamond" w:hAnsi="Garamond"/>
          <w:szCs w:val="24"/>
        </w:rPr>
        <w:t>(1), 14-33.</w:t>
      </w:r>
    </w:p>
    <w:p w14:paraId="36A4663D" w14:textId="77777777" w:rsidR="00AB7BF3" w:rsidRPr="00D5423A" w:rsidRDefault="00AB7BF3" w:rsidP="00AB7BF3">
      <w:pPr>
        <w:snapToGrid w:val="0"/>
        <w:spacing w:line="480" w:lineRule="auto"/>
        <w:ind w:left="720" w:hangingChars="300" w:hanging="720"/>
        <w:rPr>
          <w:rFonts w:ascii="Garamond" w:hAnsi="Garamond" w:cs="Arial"/>
          <w:szCs w:val="24"/>
        </w:rPr>
      </w:pPr>
      <w:r w:rsidRPr="00D5423A">
        <w:rPr>
          <w:rFonts w:ascii="Garamond" w:hAnsi="Garamond" w:cs="Arial"/>
          <w:bCs/>
          <w:szCs w:val="24"/>
        </w:rPr>
        <w:t>Nobles</w:t>
      </w:r>
      <w:r w:rsidRPr="00D5423A">
        <w:rPr>
          <w:rFonts w:ascii="Garamond" w:hAnsi="Garamond" w:cs="Arial"/>
          <w:szCs w:val="24"/>
        </w:rPr>
        <w:t xml:space="preserve">, S., </w:t>
      </w:r>
      <w:r w:rsidRPr="00D5423A">
        <w:rPr>
          <w:rFonts w:ascii="Garamond" w:hAnsi="Garamond" w:cs="Arial"/>
          <w:bCs/>
          <w:szCs w:val="24"/>
        </w:rPr>
        <w:t>Dredger</w:t>
      </w:r>
      <w:r w:rsidRPr="00D5423A">
        <w:rPr>
          <w:rFonts w:ascii="Garamond" w:hAnsi="Garamond" w:cs="Arial"/>
          <w:szCs w:val="24"/>
        </w:rPr>
        <w:t xml:space="preserve">, K., &amp; </w:t>
      </w:r>
      <w:proofErr w:type="spellStart"/>
      <w:r w:rsidRPr="00D5423A">
        <w:rPr>
          <w:rFonts w:ascii="Garamond" w:hAnsi="Garamond" w:cs="Arial"/>
          <w:bCs/>
          <w:szCs w:val="24"/>
        </w:rPr>
        <w:t>Gerheart</w:t>
      </w:r>
      <w:proofErr w:type="spellEnd"/>
      <w:r w:rsidRPr="00D5423A">
        <w:rPr>
          <w:rFonts w:ascii="Garamond" w:hAnsi="Garamond" w:cs="Arial"/>
          <w:szCs w:val="24"/>
        </w:rPr>
        <w:t>, M.D. (</w:t>
      </w:r>
      <w:r w:rsidRPr="00D5423A">
        <w:rPr>
          <w:rFonts w:ascii="Garamond" w:hAnsi="Garamond" w:cs="Arial"/>
          <w:bCs/>
          <w:szCs w:val="24"/>
        </w:rPr>
        <w:t>2012</w:t>
      </w:r>
      <w:r w:rsidRPr="00D5423A">
        <w:rPr>
          <w:rFonts w:ascii="Garamond" w:hAnsi="Garamond" w:cs="Arial"/>
          <w:szCs w:val="24"/>
        </w:rPr>
        <w:t xml:space="preserve">). Collaboration beyond the classroom walls: Deepening learning for students, preservice teachers, teachers, and professors. </w:t>
      </w:r>
      <w:r w:rsidRPr="00D5423A">
        <w:rPr>
          <w:rFonts w:ascii="Garamond" w:hAnsi="Garamond" w:cs="Arial"/>
          <w:i/>
          <w:szCs w:val="24"/>
        </w:rPr>
        <w:t xml:space="preserve">Contemporary Issues in Technology and Teacher Education, </w:t>
      </w:r>
      <w:r w:rsidRPr="00D5423A">
        <w:rPr>
          <w:rFonts w:ascii="Garamond" w:hAnsi="Garamond" w:cs="Arial"/>
          <w:szCs w:val="24"/>
        </w:rPr>
        <w:t>12(4), 343-354.</w:t>
      </w:r>
    </w:p>
    <w:p w14:paraId="5BF2F4D8" w14:textId="77777777" w:rsidR="00AB7BF3" w:rsidRPr="00D5423A" w:rsidRDefault="00AB7BF3" w:rsidP="00AB7BF3">
      <w:pPr>
        <w:snapToGrid w:val="0"/>
        <w:spacing w:line="480" w:lineRule="auto"/>
        <w:ind w:left="720" w:hanging="720"/>
        <w:rPr>
          <w:rFonts w:ascii="Garamond" w:hAnsi="Garamond"/>
        </w:rPr>
      </w:pPr>
      <w:proofErr w:type="spellStart"/>
      <w:r w:rsidRPr="00D5423A">
        <w:rPr>
          <w:rFonts w:ascii="Garamond" w:hAnsi="Garamond"/>
        </w:rPr>
        <w:t>Oberle</w:t>
      </w:r>
      <w:proofErr w:type="spellEnd"/>
      <w:r w:rsidRPr="00D5423A">
        <w:rPr>
          <w:rFonts w:ascii="Garamond" w:hAnsi="Garamond"/>
        </w:rPr>
        <w:t xml:space="preserve">, E., &amp; </w:t>
      </w:r>
      <w:proofErr w:type="spellStart"/>
      <w:r w:rsidRPr="00D5423A">
        <w:rPr>
          <w:rFonts w:ascii="Garamond" w:hAnsi="Garamond"/>
        </w:rPr>
        <w:t>Schonert-Reichl</w:t>
      </w:r>
      <w:proofErr w:type="spellEnd"/>
      <w:r w:rsidRPr="00D5423A">
        <w:rPr>
          <w:rFonts w:ascii="Garamond" w:hAnsi="Garamond"/>
        </w:rPr>
        <w:t xml:space="preserve">, K. A. (2017). Social and emotional learning: Recent research and practical strategies for promoting children’s social and emotional competence in schools. In J. L. Matson (Ed.), </w:t>
      </w:r>
      <w:r w:rsidRPr="00D5423A">
        <w:rPr>
          <w:rFonts w:ascii="Garamond" w:hAnsi="Garamond"/>
          <w:i/>
          <w:iCs/>
        </w:rPr>
        <w:t>Handbook of Social Behavior and Skills in Children</w:t>
      </w:r>
      <w:r w:rsidRPr="00D5423A">
        <w:rPr>
          <w:rFonts w:ascii="Garamond" w:hAnsi="Garamond"/>
        </w:rPr>
        <w:t xml:space="preserve"> (pp. 175-197). Cham, Switzerland: Springer. </w:t>
      </w:r>
    </w:p>
    <w:p w14:paraId="12A7F5A3" w14:textId="77777777" w:rsidR="00AB7BF3" w:rsidRPr="00D5423A" w:rsidRDefault="00AB7BF3" w:rsidP="00AB7BF3">
      <w:pPr>
        <w:snapToGrid w:val="0"/>
        <w:spacing w:line="480" w:lineRule="auto"/>
        <w:ind w:left="720" w:hangingChars="300" w:hanging="720"/>
        <w:rPr>
          <w:rFonts w:ascii="Garamond" w:hAnsi="Garamond"/>
        </w:rPr>
      </w:pPr>
      <w:proofErr w:type="spellStart"/>
      <w:r w:rsidRPr="00D5423A">
        <w:rPr>
          <w:rFonts w:ascii="Garamond" w:hAnsi="Garamond" w:cs="Times-Roman"/>
          <w:szCs w:val="24"/>
        </w:rPr>
        <w:t>Organisation</w:t>
      </w:r>
      <w:proofErr w:type="spellEnd"/>
      <w:r w:rsidRPr="00D5423A">
        <w:rPr>
          <w:rFonts w:ascii="Garamond" w:hAnsi="Garamond"/>
          <w:szCs w:val="24"/>
        </w:rPr>
        <w:t xml:space="preserve"> for Economic Co-operation and Development (2013). </w:t>
      </w:r>
      <w:r w:rsidRPr="00D5423A">
        <w:rPr>
          <w:rFonts w:ascii="Garamond" w:hAnsi="Garamond"/>
          <w:i/>
          <w:szCs w:val="24"/>
        </w:rPr>
        <w:t>Teachers for the 21</w:t>
      </w:r>
      <w:r w:rsidRPr="00D5423A">
        <w:rPr>
          <w:rFonts w:ascii="Garamond" w:hAnsi="Garamond"/>
          <w:i/>
          <w:szCs w:val="24"/>
          <w:vertAlign w:val="superscript"/>
        </w:rPr>
        <w:t>st</w:t>
      </w:r>
      <w:r w:rsidRPr="00D5423A">
        <w:rPr>
          <w:rFonts w:ascii="Garamond" w:hAnsi="Garamond"/>
          <w:i/>
          <w:szCs w:val="24"/>
        </w:rPr>
        <w:t xml:space="preserve"> Century: Using evaluation to improve teaching.</w:t>
      </w:r>
      <w:r w:rsidRPr="00D5423A">
        <w:rPr>
          <w:rFonts w:ascii="Garamond" w:hAnsi="Garamond"/>
          <w:szCs w:val="24"/>
        </w:rPr>
        <w:t xml:space="preserve"> Paris: OECD.</w:t>
      </w:r>
    </w:p>
    <w:p w14:paraId="508728A9" w14:textId="77777777" w:rsidR="00AB7BF3" w:rsidRPr="00D5423A" w:rsidRDefault="00AB7BF3" w:rsidP="00AB7BF3">
      <w:pPr>
        <w:snapToGrid w:val="0"/>
        <w:spacing w:line="480" w:lineRule="auto"/>
        <w:ind w:left="720" w:hanging="720"/>
        <w:rPr>
          <w:rFonts w:ascii="Garamond" w:hAnsi="Garamond"/>
        </w:rPr>
      </w:pPr>
      <w:proofErr w:type="spellStart"/>
      <w:r w:rsidRPr="00D5423A">
        <w:rPr>
          <w:rFonts w:ascii="Garamond" w:hAnsi="Garamond"/>
        </w:rPr>
        <w:t>Paavola</w:t>
      </w:r>
      <w:proofErr w:type="spellEnd"/>
      <w:r w:rsidRPr="00D5423A">
        <w:rPr>
          <w:rFonts w:ascii="Garamond" w:hAnsi="Garamond"/>
        </w:rPr>
        <w:t xml:space="preserve">, S., </w:t>
      </w:r>
      <w:proofErr w:type="spellStart"/>
      <w:r w:rsidRPr="00D5423A">
        <w:rPr>
          <w:rFonts w:ascii="Garamond" w:hAnsi="Garamond"/>
        </w:rPr>
        <w:t>Lipponen</w:t>
      </w:r>
      <w:proofErr w:type="spellEnd"/>
      <w:r w:rsidRPr="00D5423A">
        <w:rPr>
          <w:rFonts w:ascii="Garamond" w:hAnsi="Garamond"/>
        </w:rPr>
        <w:t xml:space="preserve">, L., &amp; </w:t>
      </w:r>
      <w:proofErr w:type="spellStart"/>
      <w:r w:rsidRPr="00D5423A">
        <w:rPr>
          <w:rFonts w:ascii="Garamond" w:hAnsi="Garamond"/>
        </w:rPr>
        <w:t>Hakkarainen</w:t>
      </w:r>
      <w:proofErr w:type="spellEnd"/>
      <w:r w:rsidRPr="00D5423A">
        <w:rPr>
          <w:rFonts w:ascii="Garamond" w:hAnsi="Garamond"/>
        </w:rPr>
        <w:t xml:space="preserve">, K. (2004). Models of innovative knowledge communities and three metaphors of learning. </w:t>
      </w:r>
      <w:r w:rsidRPr="00D5423A">
        <w:rPr>
          <w:rFonts w:ascii="Garamond" w:hAnsi="Garamond"/>
          <w:i/>
        </w:rPr>
        <w:t>Review of Educational Research</w:t>
      </w:r>
      <w:r w:rsidRPr="00D5423A">
        <w:rPr>
          <w:rFonts w:ascii="Garamond" w:hAnsi="Garamond"/>
        </w:rPr>
        <w:t xml:space="preserve">, </w:t>
      </w:r>
      <w:r w:rsidRPr="00D5423A">
        <w:rPr>
          <w:rFonts w:ascii="Garamond" w:hAnsi="Garamond"/>
          <w:i/>
        </w:rPr>
        <w:t>74</w:t>
      </w:r>
      <w:r w:rsidRPr="00D5423A">
        <w:rPr>
          <w:rFonts w:ascii="Garamond" w:hAnsi="Garamond"/>
        </w:rPr>
        <w:t>(4), 557-576.</w:t>
      </w:r>
    </w:p>
    <w:p w14:paraId="6C2FA8F1" w14:textId="77777777" w:rsidR="00AB7BF3" w:rsidRPr="00D5423A" w:rsidRDefault="00AB7BF3" w:rsidP="00AB7BF3">
      <w:pPr>
        <w:snapToGrid w:val="0"/>
        <w:spacing w:line="480" w:lineRule="auto"/>
        <w:ind w:left="720" w:hanging="720"/>
        <w:rPr>
          <w:rFonts w:ascii="Garamond" w:hAnsi="Garamond"/>
        </w:rPr>
      </w:pPr>
      <w:r w:rsidRPr="00D5423A">
        <w:rPr>
          <w:rFonts w:ascii="Garamond" w:hAnsi="Garamond"/>
        </w:rPr>
        <w:t xml:space="preserve">Paine, L., &amp; </w:t>
      </w:r>
      <w:proofErr w:type="spellStart"/>
      <w:r w:rsidRPr="00D5423A">
        <w:rPr>
          <w:rFonts w:ascii="Garamond" w:hAnsi="Garamond"/>
        </w:rPr>
        <w:t>Zeichner</w:t>
      </w:r>
      <w:proofErr w:type="spellEnd"/>
      <w:r w:rsidRPr="00D5423A">
        <w:rPr>
          <w:rFonts w:ascii="Garamond" w:hAnsi="Garamond"/>
        </w:rPr>
        <w:t xml:space="preserve">, K. (2012). The local and the global in reforming teaching and teacher education. </w:t>
      </w:r>
      <w:r w:rsidRPr="00D5423A">
        <w:rPr>
          <w:rFonts w:ascii="Garamond" w:hAnsi="Garamond"/>
          <w:i/>
        </w:rPr>
        <w:t>Comparative Education Review</w:t>
      </w:r>
      <w:r w:rsidRPr="00D5423A">
        <w:rPr>
          <w:rFonts w:ascii="Garamond" w:hAnsi="Garamond"/>
        </w:rPr>
        <w:t xml:space="preserve">, 56(4). </w:t>
      </w:r>
    </w:p>
    <w:p w14:paraId="7B7125AD" w14:textId="77777777" w:rsidR="00AB7BF3" w:rsidRPr="00D5423A" w:rsidRDefault="00AB7BF3" w:rsidP="00AB7BF3">
      <w:pPr>
        <w:snapToGrid w:val="0"/>
        <w:spacing w:line="480" w:lineRule="auto"/>
        <w:ind w:left="720" w:hanging="720"/>
        <w:rPr>
          <w:rFonts w:ascii="Garamond" w:hAnsi="Garamond"/>
        </w:rPr>
      </w:pPr>
      <w:proofErr w:type="spellStart"/>
      <w:r w:rsidRPr="00D5423A">
        <w:rPr>
          <w:rFonts w:ascii="Garamond" w:hAnsi="Garamond"/>
        </w:rPr>
        <w:t>Pajares</w:t>
      </w:r>
      <w:proofErr w:type="spellEnd"/>
      <w:r w:rsidRPr="00D5423A">
        <w:rPr>
          <w:rFonts w:ascii="Garamond" w:hAnsi="Garamond"/>
        </w:rPr>
        <w:t xml:space="preserve">, F. (1996). Self-efficacy beliefs in academic settings. </w:t>
      </w:r>
      <w:r w:rsidRPr="00D5423A">
        <w:rPr>
          <w:rFonts w:ascii="Garamond" w:hAnsi="Garamond"/>
          <w:i/>
        </w:rPr>
        <w:t>Review of Educational Research</w:t>
      </w:r>
      <w:r w:rsidRPr="00D5423A">
        <w:rPr>
          <w:rFonts w:ascii="Garamond" w:hAnsi="Garamond"/>
        </w:rPr>
        <w:t>, 66(4), 543-578.</w:t>
      </w:r>
    </w:p>
    <w:p w14:paraId="3EBF4F11" w14:textId="77777777" w:rsidR="00AB7BF3" w:rsidRPr="00D5423A" w:rsidRDefault="00AB7BF3" w:rsidP="00AB7BF3">
      <w:pPr>
        <w:tabs>
          <w:tab w:val="left" w:pos="720"/>
          <w:tab w:val="left" w:pos="900"/>
        </w:tabs>
        <w:snapToGrid w:val="0"/>
        <w:spacing w:line="480" w:lineRule="auto"/>
        <w:ind w:left="720" w:hangingChars="300" w:hanging="720"/>
        <w:rPr>
          <w:rFonts w:ascii="Garamond" w:hAnsi="Garamond" w:cs="Arial"/>
          <w:bCs/>
          <w:szCs w:val="24"/>
        </w:rPr>
      </w:pPr>
      <w:proofErr w:type="spellStart"/>
      <w:r w:rsidRPr="00D5423A">
        <w:rPr>
          <w:rFonts w:ascii="Garamond" w:hAnsi="Garamond" w:cs="Arial"/>
          <w:bCs/>
          <w:szCs w:val="24"/>
        </w:rPr>
        <w:t>Pearcy</w:t>
      </w:r>
      <w:proofErr w:type="spellEnd"/>
      <w:r w:rsidRPr="00D5423A">
        <w:rPr>
          <w:rFonts w:ascii="Garamond" w:hAnsi="Garamond" w:cs="Arial"/>
          <w:bCs/>
          <w:szCs w:val="24"/>
        </w:rPr>
        <w:t xml:space="preserve">, A. G. (2009). </w:t>
      </w:r>
      <w:r w:rsidRPr="00D5423A">
        <w:rPr>
          <w:rFonts w:ascii="Garamond" w:hAnsi="Garamond" w:cs="Arial"/>
          <w:bCs/>
          <w:i/>
          <w:szCs w:val="24"/>
        </w:rPr>
        <w:t>Finding the perfect blend: A comparative study of online, face-to-face, and blended instruction</w:t>
      </w:r>
      <w:r w:rsidRPr="00D5423A">
        <w:rPr>
          <w:rFonts w:ascii="Garamond" w:hAnsi="Garamond" w:cs="Arial"/>
          <w:bCs/>
          <w:szCs w:val="24"/>
        </w:rPr>
        <w:t xml:space="preserve">. Denton, TX: University of North Texas. </w:t>
      </w:r>
    </w:p>
    <w:p w14:paraId="4C490456" w14:textId="77777777" w:rsidR="00AB7BF3" w:rsidRPr="00D5423A" w:rsidRDefault="00AB7BF3" w:rsidP="00AB7BF3">
      <w:pPr>
        <w:snapToGrid w:val="0"/>
        <w:spacing w:line="480" w:lineRule="auto"/>
        <w:ind w:left="720" w:hanging="720"/>
        <w:rPr>
          <w:rFonts w:ascii="Garamond" w:hAnsi="Garamond"/>
        </w:rPr>
      </w:pPr>
      <w:proofErr w:type="spellStart"/>
      <w:r w:rsidRPr="00D5423A">
        <w:rPr>
          <w:rFonts w:ascii="Garamond" w:hAnsi="Garamond"/>
        </w:rPr>
        <w:t>Pedhazur</w:t>
      </w:r>
      <w:proofErr w:type="spellEnd"/>
      <w:r w:rsidRPr="00D5423A">
        <w:rPr>
          <w:rFonts w:ascii="Garamond" w:hAnsi="Garamond"/>
        </w:rPr>
        <w:t xml:space="preserve">, E. J. (1997). </w:t>
      </w:r>
      <w:r w:rsidRPr="00D5423A">
        <w:rPr>
          <w:rFonts w:ascii="Garamond" w:hAnsi="Garamond"/>
          <w:i/>
          <w:iCs/>
        </w:rPr>
        <w:t>Multiple Regression in Behavioral Research: Explanation and Prediction</w:t>
      </w:r>
      <w:r w:rsidRPr="00D5423A">
        <w:rPr>
          <w:rFonts w:ascii="Garamond" w:hAnsi="Garamond"/>
        </w:rPr>
        <w:t xml:space="preserve">, 3rd </w:t>
      </w:r>
      <w:proofErr w:type="spellStart"/>
      <w:r w:rsidRPr="00D5423A">
        <w:rPr>
          <w:rFonts w:ascii="Garamond" w:hAnsi="Garamond"/>
        </w:rPr>
        <w:t>Edn</w:t>
      </w:r>
      <w:proofErr w:type="spellEnd"/>
      <w:r w:rsidRPr="00D5423A">
        <w:rPr>
          <w:rFonts w:ascii="Garamond" w:hAnsi="Garamond"/>
        </w:rPr>
        <w:t xml:space="preserve">. Fort </w:t>
      </w:r>
      <w:r w:rsidRPr="00D5423A">
        <w:rPr>
          <w:rFonts w:ascii="Garamond" w:hAnsi="Garamond"/>
        </w:rPr>
        <w:lastRenderedPageBreak/>
        <w:t xml:space="preserve">Worth, TX: Harcourt Brace. </w:t>
      </w:r>
    </w:p>
    <w:p w14:paraId="283823D2" w14:textId="77777777" w:rsidR="00AB7BF3" w:rsidRPr="00D5423A" w:rsidRDefault="00AB7BF3" w:rsidP="00AB7BF3">
      <w:pPr>
        <w:tabs>
          <w:tab w:val="left" w:pos="720"/>
          <w:tab w:val="left" w:pos="900"/>
        </w:tabs>
        <w:snapToGrid w:val="0"/>
        <w:spacing w:line="480" w:lineRule="auto"/>
        <w:ind w:left="720" w:hangingChars="300" w:hanging="720"/>
        <w:rPr>
          <w:rFonts w:ascii="Garamond" w:hAnsi="Garamond"/>
          <w:szCs w:val="24"/>
        </w:rPr>
      </w:pPr>
      <w:proofErr w:type="spellStart"/>
      <w:r w:rsidRPr="00D5423A">
        <w:rPr>
          <w:rFonts w:ascii="Garamond" w:hAnsi="Garamond"/>
          <w:szCs w:val="24"/>
        </w:rPr>
        <w:t>Penuel</w:t>
      </w:r>
      <w:proofErr w:type="spellEnd"/>
      <w:r w:rsidRPr="00D5423A">
        <w:rPr>
          <w:rFonts w:ascii="Garamond" w:hAnsi="Garamond"/>
          <w:szCs w:val="24"/>
        </w:rPr>
        <w:t>, W. R., Sun, M., Frank, K. A., &amp;Gallagher, H. A. (2012</w:t>
      </w:r>
      <w:r w:rsidRPr="00D5423A">
        <w:rPr>
          <w:rFonts w:ascii="Garamond" w:hAnsi="Garamond"/>
          <w:szCs w:val="24"/>
          <w:lang w:val="en-GB"/>
        </w:rPr>
        <w:t xml:space="preserve">). Using social network analysis to study how collegial interactions can augment teacher learning from external professional development. </w:t>
      </w:r>
      <w:r w:rsidRPr="00D5423A">
        <w:rPr>
          <w:rFonts w:ascii="Garamond" w:hAnsi="Garamond"/>
          <w:i/>
          <w:szCs w:val="24"/>
        </w:rPr>
        <w:t xml:space="preserve">American Journal of Education, </w:t>
      </w:r>
      <w:r w:rsidRPr="00D5423A">
        <w:rPr>
          <w:rFonts w:ascii="Garamond" w:hAnsi="Garamond"/>
          <w:szCs w:val="24"/>
        </w:rPr>
        <w:t>119(1), 103-136.</w:t>
      </w:r>
    </w:p>
    <w:p w14:paraId="0CC2FB32" w14:textId="77777777" w:rsidR="00AB7BF3" w:rsidRPr="00D5423A" w:rsidRDefault="00AB7BF3" w:rsidP="00AB7BF3">
      <w:pPr>
        <w:snapToGrid w:val="0"/>
        <w:spacing w:line="480" w:lineRule="auto"/>
        <w:ind w:left="720" w:hangingChars="300" w:hanging="720"/>
        <w:rPr>
          <w:rFonts w:ascii="Garamond" w:hAnsi="Garamond" w:cs="Arial"/>
          <w:szCs w:val="24"/>
        </w:rPr>
      </w:pPr>
      <w:r w:rsidRPr="00D5423A">
        <w:rPr>
          <w:rFonts w:ascii="Garamond" w:hAnsi="Garamond" w:cs="Arial"/>
          <w:szCs w:val="24"/>
        </w:rPr>
        <w:t xml:space="preserve">Perry-Smith, J. E., &amp; </w:t>
      </w:r>
      <w:proofErr w:type="spellStart"/>
      <w:r w:rsidRPr="00D5423A">
        <w:rPr>
          <w:rFonts w:ascii="Garamond" w:hAnsi="Garamond" w:cs="Arial"/>
          <w:szCs w:val="24"/>
        </w:rPr>
        <w:t>Mannucci</w:t>
      </w:r>
      <w:proofErr w:type="spellEnd"/>
      <w:r w:rsidRPr="00D5423A">
        <w:rPr>
          <w:rFonts w:ascii="Garamond" w:hAnsi="Garamond" w:cs="Arial"/>
          <w:szCs w:val="24"/>
        </w:rPr>
        <w:t xml:space="preserve">, P. V. (2017). From creativity to innovation: The social network drivers of the four phases of the idea journey. </w:t>
      </w:r>
      <w:r w:rsidRPr="00D5423A">
        <w:rPr>
          <w:rFonts w:ascii="Garamond" w:hAnsi="Garamond" w:cs="Arial"/>
          <w:i/>
          <w:iCs/>
          <w:szCs w:val="24"/>
        </w:rPr>
        <w:t>Academy of Management Review</w:t>
      </w:r>
      <w:r w:rsidRPr="00D5423A">
        <w:rPr>
          <w:rFonts w:ascii="Garamond" w:hAnsi="Garamond" w:cs="Arial"/>
          <w:szCs w:val="24"/>
        </w:rPr>
        <w:t xml:space="preserve">, </w:t>
      </w:r>
      <w:r w:rsidRPr="00D5423A">
        <w:rPr>
          <w:rFonts w:ascii="Garamond" w:hAnsi="Garamond" w:cs="Arial"/>
          <w:i/>
          <w:iCs/>
          <w:szCs w:val="24"/>
        </w:rPr>
        <w:t>42</w:t>
      </w:r>
      <w:r w:rsidRPr="00D5423A">
        <w:rPr>
          <w:rFonts w:ascii="Garamond" w:hAnsi="Garamond" w:cs="Arial"/>
          <w:szCs w:val="24"/>
        </w:rPr>
        <w:t>(1), 53-79.</w:t>
      </w:r>
    </w:p>
    <w:p w14:paraId="2F2B60B7" w14:textId="77777777" w:rsidR="00AB7BF3" w:rsidRPr="00D5423A" w:rsidRDefault="00AB7BF3" w:rsidP="00AB7BF3">
      <w:pPr>
        <w:snapToGrid w:val="0"/>
        <w:spacing w:line="480" w:lineRule="auto"/>
        <w:ind w:left="720" w:hangingChars="300" w:hanging="720"/>
        <w:rPr>
          <w:rFonts w:ascii="Garamond" w:hAnsi="Garamond" w:cs="Arial"/>
          <w:szCs w:val="24"/>
        </w:rPr>
      </w:pPr>
      <w:proofErr w:type="spellStart"/>
      <w:r w:rsidRPr="00D5423A">
        <w:rPr>
          <w:rFonts w:ascii="Garamond" w:hAnsi="Garamond" w:cs="Arial"/>
          <w:szCs w:val="24"/>
        </w:rPr>
        <w:t>Pil</w:t>
      </w:r>
      <w:proofErr w:type="spellEnd"/>
      <w:r w:rsidRPr="00D5423A">
        <w:rPr>
          <w:rFonts w:ascii="Garamond" w:hAnsi="Garamond" w:cs="Arial"/>
          <w:szCs w:val="24"/>
        </w:rPr>
        <w:t xml:space="preserve">, F. K., &amp; </w:t>
      </w:r>
      <w:proofErr w:type="spellStart"/>
      <w:r w:rsidRPr="00D5423A">
        <w:rPr>
          <w:rFonts w:ascii="Garamond" w:hAnsi="Garamond" w:cs="Arial"/>
          <w:szCs w:val="24"/>
        </w:rPr>
        <w:t>Leana</w:t>
      </w:r>
      <w:proofErr w:type="spellEnd"/>
      <w:r w:rsidRPr="00D5423A">
        <w:rPr>
          <w:rFonts w:ascii="Garamond" w:hAnsi="Garamond" w:cs="Arial"/>
          <w:szCs w:val="24"/>
        </w:rPr>
        <w:t xml:space="preserve">, C. (2009). Applying organizational research to public school reform: The effects of teacher human and social capital on student performance. </w:t>
      </w:r>
      <w:r w:rsidRPr="00D5423A">
        <w:rPr>
          <w:rFonts w:ascii="Garamond" w:hAnsi="Garamond" w:cs="Arial"/>
          <w:i/>
          <w:iCs/>
          <w:szCs w:val="24"/>
        </w:rPr>
        <w:t>Academy of Management Journal</w:t>
      </w:r>
      <w:r w:rsidRPr="00D5423A">
        <w:rPr>
          <w:rFonts w:ascii="Garamond" w:hAnsi="Garamond" w:cs="Arial"/>
          <w:szCs w:val="24"/>
        </w:rPr>
        <w:t xml:space="preserve">, </w:t>
      </w:r>
      <w:r w:rsidRPr="00D5423A">
        <w:rPr>
          <w:rFonts w:ascii="Garamond" w:hAnsi="Garamond" w:cs="Arial"/>
          <w:i/>
          <w:iCs/>
          <w:szCs w:val="24"/>
        </w:rPr>
        <w:t>52</w:t>
      </w:r>
      <w:r w:rsidRPr="00D5423A">
        <w:rPr>
          <w:rFonts w:ascii="Garamond" w:hAnsi="Garamond" w:cs="Arial"/>
          <w:szCs w:val="24"/>
        </w:rPr>
        <w:t>(6), 1101-1124.</w:t>
      </w:r>
    </w:p>
    <w:p w14:paraId="2E2A251F" w14:textId="77777777" w:rsidR="00AB7BF3" w:rsidRPr="00D5423A" w:rsidRDefault="00AB7BF3" w:rsidP="00AB7BF3">
      <w:pPr>
        <w:snapToGrid w:val="0"/>
        <w:spacing w:line="480" w:lineRule="auto"/>
        <w:ind w:left="720" w:hangingChars="300" w:hanging="720"/>
        <w:rPr>
          <w:rFonts w:ascii="Garamond" w:hAnsi="Garamond"/>
        </w:rPr>
      </w:pPr>
      <w:r w:rsidRPr="00D5423A">
        <w:rPr>
          <w:rFonts w:ascii="Garamond" w:hAnsi="Garamond"/>
        </w:rPr>
        <w:t xml:space="preserve">Powell, W. W., White, D. R., </w:t>
      </w:r>
      <w:proofErr w:type="spellStart"/>
      <w:r w:rsidRPr="00D5423A">
        <w:rPr>
          <w:rFonts w:ascii="Garamond" w:hAnsi="Garamond"/>
        </w:rPr>
        <w:t>Koput</w:t>
      </w:r>
      <w:proofErr w:type="spellEnd"/>
      <w:r w:rsidRPr="00D5423A">
        <w:rPr>
          <w:rFonts w:ascii="Garamond" w:hAnsi="Garamond"/>
        </w:rPr>
        <w:t xml:space="preserve">, K. W., &amp; Owen-Smith, J. (2005). Network dynamics and field evolution: The growth of </w:t>
      </w:r>
      <w:proofErr w:type="spellStart"/>
      <w:r w:rsidRPr="00D5423A">
        <w:rPr>
          <w:rFonts w:ascii="Garamond" w:hAnsi="Garamond"/>
        </w:rPr>
        <w:t>interorganizational</w:t>
      </w:r>
      <w:proofErr w:type="spellEnd"/>
      <w:r w:rsidRPr="00D5423A">
        <w:rPr>
          <w:rFonts w:ascii="Garamond" w:hAnsi="Garamond"/>
        </w:rPr>
        <w:t xml:space="preserve"> collaboration in the life sciences. </w:t>
      </w:r>
      <w:r w:rsidRPr="00D5423A">
        <w:rPr>
          <w:rFonts w:ascii="Garamond" w:hAnsi="Garamond"/>
          <w:i/>
          <w:iCs/>
        </w:rPr>
        <w:t>American Journal of Sociology</w:t>
      </w:r>
      <w:r w:rsidRPr="00D5423A">
        <w:rPr>
          <w:rFonts w:ascii="Garamond" w:hAnsi="Garamond"/>
        </w:rPr>
        <w:t xml:space="preserve">, </w:t>
      </w:r>
      <w:r w:rsidRPr="00D5423A">
        <w:rPr>
          <w:rFonts w:ascii="Garamond" w:hAnsi="Garamond"/>
          <w:i/>
          <w:iCs/>
        </w:rPr>
        <w:t>110</w:t>
      </w:r>
      <w:r w:rsidRPr="00D5423A">
        <w:rPr>
          <w:rFonts w:ascii="Garamond" w:hAnsi="Garamond"/>
        </w:rPr>
        <w:t>(4), 1132-1205.</w:t>
      </w:r>
    </w:p>
    <w:p w14:paraId="21DEEB88" w14:textId="77777777" w:rsidR="00AB7BF3" w:rsidRPr="00D5423A" w:rsidRDefault="00AB7BF3" w:rsidP="00AB7BF3">
      <w:pPr>
        <w:snapToGrid w:val="0"/>
        <w:spacing w:line="480" w:lineRule="auto"/>
        <w:ind w:left="720" w:hangingChars="300" w:hanging="720"/>
        <w:rPr>
          <w:rFonts w:ascii="Garamond" w:hAnsi="Garamond" w:cs="Arial"/>
          <w:szCs w:val="24"/>
        </w:rPr>
      </w:pPr>
      <w:r w:rsidRPr="00D5423A">
        <w:rPr>
          <w:rFonts w:ascii="Garamond" w:hAnsi="Garamond" w:cs="Arial"/>
          <w:szCs w:val="24"/>
        </w:rPr>
        <w:t xml:space="preserve">Putman, S. M. (2012). Investigating teacher efficacy: Comparing preservice and </w:t>
      </w:r>
      <w:proofErr w:type="spellStart"/>
      <w:r w:rsidRPr="00D5423A">
        <w:rPr>
          <w:rFonts w:ascii="Garamond" w:hAnsi="Garamond" w:cs="Arial"/>
          <w:szCs w:val="24"/>
        </w:rPr>
        <w:t>inservice</w:t>
      </w:r>
      <w:proofErr w:type="spellEnd"/>
      <w:r w:rsidRPr="00D5423A">
        <w:rPr>
          <w:rFonts w:ascii="Garamond" w:hAnsi="Garamond" w:cs="Arial"/>
          <w:szCs w:val="24"/>
        </w:rPr>
        <w:t xml:space="preserve"> teachers with different levels of experience. </w:t>
      </w:r>
      <w:r w:rsidRPr="00D5423A">
        <w:rPr>
          <w:rFonts w:ascii="Garamond" w:hAnsi="Garamond" w:cs="Arial"/>
          <w:i/>
          <w:szCs w:val="24"/>
        </w:rPr>
        <w:t>Action in Teacher Education, 34</w:t>
      </w:r>
      <w:r w:rsidRPr="00D5423A">
        <w:rPr>
          <w:rFonts w:ascii="Garamond" w:hAnsi="Garamond" w:cs="Arial"/>
          <w:szCs w:val="24"/>
        </w:rPr>
        <w:t>(1), 26-40.</w:t>
      </w:r>
    </w:p>
    <w:p w14:paraId="7FFE8F01" w14:textId="77777777" w:rsidR="00AB7BF3" w:rsidRPr="00D5423A" w:rsidRDefault="00AB7BF3" w:rsidP="00AB7BF3">
      <w:pPr>
        <w:snapToGrid w:val="0"/>
        <w:spacing w:line="480" w:lineRule="auto"/>
        <w:ind w:left="720" w:hangingChars="300" w:hanging="720"/>
        <w:rPr>
          <w:rFonts w:ascii="Garamond" w:hAnsi="Garamond" w:cs="Arial"/>
          <w:szCs w:val="24"/>
        </w:rPr>
      </w:pPr>
      <w:r w:rsidRPr="00D5423A">
        <w:rPr>
          <w:rFonts w:ascii="Garamond" w:hAnsi="Garamond" w:cs="Arial"/>
          <w:szCs w:val="24"/>
        </w:rPr>
        <w:t xml:space="preserve">Richards, J., Levin, D. M., &amp; Hammer, D. (2011, April). </w:t>
      </w:r>
      <w:r w:rsidRPr="00D5423A">
        <w:rPr>
          <w:rFonts w:ascii="Garamond" w:hAnsi="Garamond" w:cs="Arial"/>
          <w:i/>
          <w:szCs w:val="24"/>
        </w:rPr>
        <w:t xml:space="preserve">Supporting preservice teachers' reform-based practices: The importance of intellectual and emotional support in a community. </w:t>
      </w:r>
      <w:r w:rsidRPr="00D5423A">
        <w:rPr>
          <w:rFonts w:ascii="Garamond" w:hAnsi="Garamond" w:cs="Arial"/>
          <w:szCs w:val="24"/>
        </w:rPr>
        <w:t>Paper presented at the Annual Meeting of the American Educational Research Association</w:t>
      </w:r>
    </w:p>
    <w:p w14:paraId="63C107F5" w14:textId="77777777" w:rsidR="00AB7BF3" w:rsidRPr="00D5423A" w:rsidRDefault="00AB7BF3" w:rsidP="00AB7BF3">
      <w:pPr>
        <w:widowControl/>
        <w:snapToGrid w:val="0"/>
        <w:spacing w:line="480" w:lineRule="auto"/>
        <w:ind w:left="720" w:hanging="720"/>
        <w:rPr>
          <w:rFonts w:ascii="Garamond" w:hAnsi="Garamond"/>
          <w:szCs w:val="24"/>
        </w:rPr>
      </w:pPr>
      <w:r w:rsidRPr="00D5423A">
        <w:rPr>
          <w:rFonts w:ascii="Garamond" w:hAnsi="Garamond"/>
          <w:szCs w:val="24"/>
        </w:rPr>
        <w:t xml:space="preserve">Robertson, S. L. (2012). Placing teachers in global governance agendas. </w:t>
      </w:r>
      <w:r w:rsidRPr="00D5423A">
        <w:rPr>
          <w:rFonts w:ascii="Garamond" w:hAnsi="Garamond"/>
          <w:i/>
          <w:iCs/>
          <w:szCs w:val="24"/>
        </w:rPr>
        <w:t>Comparative Education Review</w:t>
      </w:r>
      <w:r w:rsidRPr="00D5423A">
        <w:rPr>
          <w:rFonts w:ascii="Garamond" w:hAnsi="Garamond"/>
          <w:szCs w:val="24"/>
        </w:rPr>
        <w:t xml:space="preserve">, </w:t>
      </w:r>
      <w:r w:rsidRPr="00D5423A">
        <w:rPr>
          <w:rFonts w:ascii="Garamond" w:hAnsi="Garamond"/>
          <w:i/>
          <w:iCs/>
          <w:szCs w:val="24"/>
        </w:rPr>
        <w:t>56</w:t>
      </w:r>
      <w:r w:rsidRPr="00D5423A">
        <w:rPr>
          <w:rFonts w:ascii="Garamond" w:hAnsi="Garamond"/>
          <w:szCs w:val="24"/>
        </w:rPr>
        <w:t>(4), 584-607.</w:t>
      </w:r>
    </w:p>
    <w:p w14:paraId="7F5B1FBC" w14:textId="77777777" w:rsidR="00AB7BF3" w:rsidRPr="00D5423A" w:rsidRDefault="00AB7BF3" w:rsidP="00AB7BF3">
      <w:pPr>
        <w:snapToGrid w:val="0"/>
        <w:spacing w:line="480" w:lineRule="auto"/>
        <w:ind w:left="720" w:hanging="720"/>
        <w:rPr>
          <w:rFonts w:ascii="Garamond" w:hAnsi="Garamond"/>
        </w:rPr>
      </w:pPr>
      <w:r w:rsidRPr="00D5423A">
        <w:rPr>
          <w:rFonts w:ascii="Garamond" w:hAnsi="Garamond"/>
        </w:rPr>
        <w:t xml:space="preserve">Schleicher, A. (2016). Teaching excellence through professional learning and policy reform. </w:t>
      </w:r>
      <w:r w:rsidRPr="00D5423A">
        <w:rPr>
          <w:rFonts w:ascii="Garamond" w:hAnsi="Garamond"/>
          <w:i/>
          <w:iCs/>
        </w:rPr>
        <w:t>Lessons from Around the World, International Summit on the Teaching Profession</w:t>
      </w:r>
      <w:r w:rsidRPr="00D5423A">
        <w:rPr>
          <w:rFonts w:ascii="Garamond" w:hAnsi="Garamond"/>
        </w:rPr>
        <w:t>. Paris: OECD Publishing.</w:t>
      </w:r>
    </w:p>
    <w:p w14:paraId="65DD786A" w14:textId="77777777" w:rsidR="00AB7BF3" w:rsidRPr="00D5423A" w:rsidRDefault="00AB7BF3" w:rsidP="00AB7BF3">
      <w:pPr>
        <w:snapToGrid w:val="0"/>
        <w:spacing w:line="480" w:lineRule="auto"/>
        <w:ind w:left="720" w:hanging="720"/>
        <w:rPr>
          <w:rFonts w:ascii="Garamond" w:hAnsi="Garamond"/>
        </w:rPr>
      </w:pPr>
      <w:proofErr w:type="spellStart"/>
      <w:r w:rsidRPr="00D5423A">
        <w:rPr>
          <w:rFonts w:ascii="Garamond" w:hAnsi="Garamond"/>
        </w:rPr>
        <w:t>Schonert-Reichl</w:t>
      </w:r>
      <w:proofErr w:type="spellEnd"/>
      <w:r w:rsidRPr="00D5423A">
        <w:rPr>
          <w:rFonts w:ascii="Garamond" w:hAnsi="Garamond"/>
        </w:rPr>
        <w:t xml:space="preserve">, K. A., </w:t>
      </w:r>
      <w:proofErr w:type="spellStart"/>
      <w:r w:rsidRPr="00D5423A">
        <w:rPr>
          <w:rFonts w:ascii="Garamond" w:hAnsi="Garamond"/>
        </w:rPr>
        <w:t>Kitil</w:t>
      </w:r>
      <w:proofErr w:type="spellEnd"/>
      <w:r w:rsidRPr="00D5423A">
        <w:rPr>
          <w:rFonts w:ascii="Garamond" w:hAnsi="Garamond"/>
        </w:rPr>
        <w:t xml:space="preserve">, M. J., &amp; Hanson-Peterson, J. (2016). </w:t>
      </w:r>
      <w:r w:rsidRPr="00D5423A">
        <w:rPr>
          <w:rFonts w:ascii="Garamond" w:hAnsi="Garamond"/>
          <w:i/>
        </w:rPr>
        <w:t>Teachers first: A national scan of teacher preparation programs and social and emotional learning</w:t>
      </w:r>
      <w:r w:rsidRPr="00D5423A">
        <w:rPr>
          <w:rFonts w:ascii="Garamond" w:hAnsi="Garamond"/>
        </w:rPr>
        <w:t xml:space="preserve">. A report prepared for the Collaborative for Academic, Social, and Emotional Learning (CASEL). Vancouver, BC: </w:t>
      </w:r>
      <w:r w:rsidRPr="00D5423A">
        <w:rPr>
          <w:rFonts w:ascii="Garamond" w:hAnsi="Garamond"/>
        </w:rPr>
        <w:lastRenderedPageBreak/>
        <w:t>University of British Columbia.</w:t>
      </w:r>
    </w:p>
    <w:p w14:paraId="7C6163EE" w14:textId="77777777" w:rsidR="00AB7BF3" w:rsidRPr="00D5423A" w:rsidRDefault="00AB7BF3" w:rsidP="00AB7BF3">
      <w:pPr>
        <w:snapToGrid w:val="0"/>
        <w:spacing w:line="480" w:lineRule="auto"/>
        <w:ind w:left="720" w:hangingChars="300" w:hanging="720"/>
        <w:rPr>
          <w:rFonts w:ascii="Garamond" w:hAnsi="Garamond"/>
        </w:rPr>
      </w:pPr>
      <w:proofErr w:type="spellStart"/>
      <w:r w:rsidRPr="00D5423A">
        <w:rPr>
          <w:rFonts w:ascii="Garamond" w:hAnsi="Garamond"/>
        </w:rPr>
        <w:t>Schunk</w:t>
      </w:r>
      <w:proofErr w:type="spellEnd"/>
      <w:r w:rsidRPr="00D5423A">
        <w:rPr>
          <w:rFonts w:ascii="Garamond" w:hAnsi="Garamond"/>
        </w:rPr>
        <w:t xml:space="preserve">, D. H. (1995). Self-efficacy, motivation, and performance. </w:t>
      </w:r>
      <w:r w:rsidRPr="00D5423A">
        <w:rPr>
          <w:rFonts w:ascii="Garamond" w:hAnsi="Garamond"/>
          <w:i/>
          <w:iCs/>
        </w:rPr>
        <w:t>Journal of Applied Sport Psychology</w:t>
      </w:r>
      <w:r w:rsidRPr="00D5423A">
        <w:rPr>
          <w:rFonts w:ascii="Garamond" w:hAnsi="Garamond"/>
        </w:rPr>
        <w:t>, 7(2), 112-137.</w:t>
      </w:r>
    </w:p>
    <w:p w14:paraId="3F43911B" w14:textId="77777777" w:rsidR="00AB7BF3" w:rsidRPr="00D5423A" w:rsidRDefault="00AB7BF3" w:rsidP="00AB7BF3">
      <w:pPr>
        <w:snapToGrid w:val="0"/>
        <w:spacing w:line="480" w:lineRule="auto"/>
        <w:ind w:left="720" w:hangingChars="300" w:hanging="720"/>
        <w:rPr>
          <w:rFonts w:ascii="Garamond" w:eastAsia="Garamond" w:hAnsi="Garamond" w:cs="Garamond"/>
          <w:szCs w:val="24"/>
        </w:rPr>
      </w:pPr>
      <w:r w:rsidRPr="00D5423A">
        <w:rPr>
          <w:rFonts w:ascii="Garamond" w:eastAsia="Garamond" w:hAnsi="Garamond" w:cs="Garamond"/>
          <w:szCs w:val="24"/>
        </w:rPr>
        <w:t xml:space="preserve">Scott, J. (2000). </w:t>
      </w:r>
      <w:r w:rsidRPr="00D5423A">
        <w:rPr>
          <w:rFonts w:ascii="Garamond" w:eastAsia="Garamond" w:hAnsi="Garamond" w:cs="Garamond"/>
          <w:i/>
          <w:iCs/>
          <w:szCs w:val="24"/>
        </w:rPr>
        <w:t>Social network analysis (2</w:t>
      </w:r>
      <w:r w:rsidRPr="00D5423A">
        <w:rPr>
          <w:rFonts w:ascii="Garamond" w:eastAsia="Garamond" w:hAnsi="Garamond" w:cs="Garamond"/>
          <w:i/>
          <w:iCs/>
          <w:szCs w:val="24"/>
          <w:vertAlign w:val="superscript"/>
        </w:rPr>
        <w:t>nd</w:t>
      </w:r>
      <w:r w:rsidRPr="00D5423A">
        <w:rPr>
          <w:rFonts w:ascii="Garamond" w:eastAsia="Garamond" w:hAnsi="Garamond" w:cs="Garamond"/>
          <w:i/>
          <w:iCs/>
          <w:szCs w:val="24"/>
        </w:rPr>
        <w:t xml:space="preserve"> Ed.)</w:t>
      </w:r>
      <w:r w:rsidRPr="00D5423A">
        <w:rPr>
          <w:rFonts w:ascii="Garamond" w:eastAsia="Garamond" w:hAnsi="Garamond" w:cs="Garamond"/>
          <w:szCs w:val="24"/>
        </w:rPr>
        <w:t>. London: Sage Publications.</w:t>
      </w:r>
    </w:p>
    <w:p w14:paraId="1E22852A" w14:textId="77777777" w:rsidR="00AB7BF3" w:rsidRPr="00D5423A" w:rsidRDefault="00AB7BF3" w:rsidP="00AB7BF3">
      <w:pPr>
        <w:snapToGrid w:val="0"/>
        <w:spacing w:line="480" w:lineRule="auto"/>
        <w:ind w:left="720" w:hangingChars="300" w:hanging="720"/>
        <w:rPr>
          <w:rFonts w:ascii="Garamond" w:hAnsi="Garamond"/>
        </w:rPr>
      </w:pPr>
      <w:r w:rsidRPr="00D5423A">
        <w:rPr>
          <w:rFonts w:ascii="Garamond" w:hAnsi="Garamond"/>
        </w:rPr>
        <w:t xml:space="preserve">Shulman, L. S. (1986). Those who understand: Knowledge growth in teaching. </w:t>
      </w:r>
      <w:r w:rsidRPr="00D5423A">
        <w:rPr>
          <w:rFonts w:ascii="Garamond" w:hAnsi="Garamond"/>
          <w:i/>
          <w:iCs/>
        </w:rPr>
        <w:t>Educational Researcher</w:t>
      </w:r>
      <w:r w:rsidRPr="00D5423A">
        <w:rPr>
          <w:rFonts w:ascii="Garamond" w:hAnsi="Garamond"/>
        </w:rPr>
        <w:t xml:space="preserve">, </w:t>
      </w:r>
      <w:r w:rsidRPr="00D5423A">
        <w:rPr>
          <w:rFonts w:ascii="Garamond" w:hAnsi="Garamond"/>
          <w:i/>
          <w:iCs/>
        </w:rPr>
        <w:t>15</w:t>
      </w:r>
      <w:r w:rsidRPr="00D5423A">
        <w:rPr>
          <w:rFonts w:ascii="Garamond" w:hAnsi="Garamond"/>
        </w:rPr>
        <w:t>(2), 4-14.</w:t>
      </w:r>
    </w:p>
    <w:p w14:paraId="2D5B5342" w14:textId="77777777" w:rsidR="00AB7BF3" w:rsidRPr="00D5423A" w:rsidRDefault="00AB7BF3" w:rsidP="00AB7BF3">
      <w:pPr>
        <w:snapToGrid w:val="0"/>
        <w:spacing w:line="480" w:lineRule="auto"/>
        <w:ind w:left="720" w:hangingChars="300" w:hanging="720"/>
        <w:rPr>
          <w:rFonts w:ascii="Garamond" w:hAnsi="Garamond" w:cs="Arial"/>
          <w:szCs w:val="24"/>
        </w:rPr>
      </w:pPr>
      <w:proofErr w:type="spellStart"/>
      <w:r w:rsidRPr="00D5423A">
        <w:rPr>
          <w:rFonts w:ascii="Garamond" w:hAnsi="Garamond" w:cs="Arial"/>
          <w:szCs w:val="24"/>
        </w:rPr>
        <w:t>Siwatu</w:t>
      </w:r>
      <w:proofErr w:type="spellEnd"/>
      <w:r w:rsidRPr="00D5423A">
        <w:rPr>
          <w:rFonts w:ascii="Garamond" w:hAnsi="Garamond" w:cs="Arial"/>
          <w:szCs w:val="24"/>
        </w:rPr>
        <w:t xml:space="preserve">, K. O. (2011). Preservice teachers’ sense of preparedness and self-efficacy to teach in America’s urban and suburban schools: Does context </w:t>
      </w:r>
      <w:proofErr w:type="spellStart"/>
      <w:r w:rsidRPr="00D5423A">
        <w:rPr>
          <w:rFonts w:ascii="Garamond" w:hAnsi="Garamond" w:cs="Arial"/>
          <w:szCs w:val="24"/>
        </w:rPr>
        <w:t>matter</w:t>
      </w:r>
      <w:proofErr w:type="gramStart"/>
      <w:r w:rsidRPr="00D5423A">
        <w:rPr>
          <w:rFonts w:ascii="Garamond" w:hAnsi="Garamond" w:cs="Arial"/>
          <w:szCs w:val="24"/>
        </w:rPr>
        <w:t>?.</w:t>
      </w:r>
      <w:r w:rsidRPr="00D5423A">
        <w:rPr>
          <w:rFonts w:ascii="Garamond" w:hAnsi="Garamond" w:cs="Arial"/>
          <w:i/>
          <w:iCs/>
          <w:szCs w:val="24"/>
        </w:rPr>
        <w:t>Teaching</w:t>
      </w:r>
      <w:proofErr w:type="spellEnd"/>
      <w:proofErr w:type="gramEnd"/>
      <w:r w:rsidRPr="00D5423A">
        <w:rPr>
          <w:rFonts w:ascii="Garamond" w:hAnsi="Garamond" w:cs="Arial"/>
          <w:i/>
          <w:iCs/>
          <w:szCs w:val="24"/>
        </w:rPr>
        <w:t xml:space="preserve"> and Teacher Education</w:t>
      </w:r>
      <w:r w:rsidRPr="00D5423A">
        <w:rPr>
          <w:rFonts w:ascii="Garamond" w:hAnsi="Garamond" w:cs="Arial"/>
          <w:szCs w:val="24"/>
        </w:rPr>
        <w:t xml:space="preserve">, </w:t>
      </w:r>
      <w:r w:rsidRPr="00D5423A">
        <w:rPr>
          <w:rFonts w:ascii="Garamond" w:hAnsi="Garamond" w:cs="Arial"/>
          <w:i/>
          <w:iCs/>
          <w:szCs w:val="24"/>
        </w:rPr>
        <w:t>27</w:t>
      </w:r>
      <w:r w:rsidRPr="00D5423A">
        <w:rPr>
          <w:rFonts w:ascii="Garamond" w:hAnsi="Garamond" w:cs="Arial"/>
          <w:szCs w:val="24"/>
        </w:rPr>
        <w:t>(2), 357-365.</w:t>
      </w:r>
    </w:p>
    <w:p w14:paraId="2395CAE4" w14:textId="77777777" w:rsidR="00AB7BF3" w:rsidRPr="00D5423A" w:rsidRDefault="00AB7BF3" w:rsidP="00AB7BF3">
      <w:pPr>
        <w:snapToGrid w:val="0"/>
        <w:spacing w:line="480" w:lineRule="auto"/>
        <w:ind w:left="720" w:hangingChars="300" w:hanging="720"/>
        <w:rPr>
          <w:rFonts w:ascii="Garamond" w:hAnsi="Garamond"/>
        </w:rPr>
      </w:pPr>
      <w:proofErr w:type="spellStart"/>
      <w:r w:rsidRPr="00D5423A">
        <w:rPr>
          <w:rFonts w:ascii="Garamond" w:hAnsi="Garamond"/>
        </w:rPr>
        <w:t>Soomro</w:t>
      </w:r>
      <w:proofErr w:type="spellEnd"/>
      <w:r w:rsidRPr="00D5423A">
        <w:rPr>
          <w:rFonts w:ascii="Garamond" w:hAnsi="Garamond"/>
        </w:rPr>
        <w:t xml:space="preserve">, K. A., Kale, U., &amp; </w:t>
      </w:r>
      <w:proofErr w:type="spellStart"/>
      <w:r w:rsidRPr="00D5423A">
        <w:rPr>
          <w:rFonts w:ascii="Garamond" w:hAnsi="Garamond"/>
        </w:rPr>
        <w:t>Yousuf</w:t>
      </w:r>
      <w:proofErr w:type="spellEnd"/>
      <w:r w:rsidRPr="00D5423A">
        <w:rPr>
          <w:rFonts w:ascii="Garamond" w:hAnsi="Garamond"/>
        </w:rPr>
        <w:t xml:space="preserve"> </w:t>
      </w:r>
      <w:proofErr w:type="spellStart"/>
      <w:r w:rsidRPr="00D5423A">
        <w:rPr>
          <w:rFonts w:ascii="Garamond" w:hAnsi="Garamond"/>
        </w:rPr>
        <w:t>Zai</w:t>
      </w:r>
      <w:proofErr w:type="spellEnd"/>
      <w:r w:rsidRPr="00D5423A">
        <w:rPr>
          <w:rFonts w:ascii="Garamond" w:hAnsi="Garamond"/>
        </w:rPr>
        <w:t xml:space="preserve">, S. (2014). Pre-service teachers’ and teacher-educators’ experiences and attitudes toward using social networking sites for collaborative learning. </w:t>
      </w:r>
      <w:r w:rsidRPr="00D5423A">
        <w:rPr>
          <w:rFonts w:ascii="Garamond" w:hAnsi="Garamond"/>
          <w:i/>
          <w:iCs/>
        </w:rPr>
        <w:t>Educational Media International</w:t>
      </w:r>
      <w:r w:rsidRPr="00D5423A">
        <w:rPr>
          <w:rFonts w:ascii="Garamond" w:hAnsi="Garamond"/>
        </w:rPr>
        <w:t xml:space="preserve">, </w:t>
      </w:r>
      <w:r w:rsidRPr="00D5423A">
        <w:rPr>
          <w:rFonts w:ascii="Garamond" w:hAnsi="Garamond"/>
          <w:i/>
          <w:iCs/>
        </w:rPr>
        <w:t>51</w:t>
      </w:r>
      <w:r w:rsidRPr="00D5423A">
        <w:rPr>
          <w:rFonts w:ascii="Garamond" w:hAnsi="Garamond"/>
        </w:rPr>
        <w:t>(4), 278-294.</w:t>
      </w:r>
    </w:p>
    <w:p w14:paraId="44956458" w14:textId="77777777" w:rsidR="00AB7BF3" w:rsidRPr="00D5423A" w:rsidRDefault="00AB7BF3" w:rsidP="00AB7BF3">
      <w:pPr>
        <w:snapToGrid w:val="0"/>
        <w:spacing w:line="480" w:lineRule="auto"/>
        <w:ind w:left="720" w:hangingChars="300" w:hanging="720"/>
        <w:rPr>
          <w:rFonts w:ascii="Garamond" w:hAnsi="Garamond" w:cs="Arial"/>
          <w:szCs w:val="24"/>
        </w:rPr>
      </w:pPr>
      <w:r w:rsidRPr="00D5423A">
        <w:rPr>
          <w:rFonts w:ascii="Garamond" w:hAnsi="Garamond" w:cs="Arial"/>
          <w:szCs w:val="24"/>
        </w:rPr>
        <w:t xml:space="preserve">Spector, B. S., Burkett, R. S., &amp; Steffen, C. O. (2002). Factors contributing to preservice teachers’ discomfort in a web-based course structured as an inquiry. </w:t>
      </w:r>
      <w:r w:rsidRPr="00D5423A">
        <w:rPr>
          <w:rFonts w:ascii="Garamond" w:hAnsi="Garamond" w:cs="Arial"/>
          <w:i/>
          <w:iCs/>
          <w:szCs w:val="24"/>
        </w:rPr>
        <w:t>Journal of Educational Technology Systems</w:t>
      </w:r>
      <w:r w:rsidRPr="00D5423A">
        <w:rPr>
          <w:rFonts w:ascii="Garamond" w:hAnsi="Garamond" w:cs="Arial"/>
          <w:szCs w:val="24"/>
        </w:rPr>
        <w:t xml:space="preserve">, </w:t>
      </w:r>
      <w:r w:rsidRPr="00D5423A">
        <w:rPr>
          <w:rFonts w:ascii="Garamond" w:hAnsi="Garamond" w:cs="Arial"/>
          <w:i/>
          <w:iCs/>
          <w:szCs w:val="24"/>
        </w:rPr>
        <w:t>30</w:t>
      </w:r>
      <w:r w:rsidRPr="00D5423A">
        <w:rPr>
          <w:rFonts w:ascii="Garamond" w:hAnsi="Garamond" w:cs="Arial"/>
          <w:szCs w:val="24"/>
        </w:rPr>
        <w:t>(3), 293-310.</w:t>
      </w:r>
    </w:p>
    <w:p w14:paraId="323763CE" w14:textId="77777777" w:rsidR="00AB7BF3" w:rsidRPr="00D5423A" w:rsidRDefault="00AB7BF3" w:rsidP="00AB7BF3">
      <w:pPr>
        <w:snapToGrid w:val="0"/>
        <w:spacing w:line="480" w:lineRule="auto"/>
        <w:ind w:left="720" w:hanging="720"/>
        <w:rPr>
          <w:rFonts w:ascii="Garamond" w:hAnsi="Garamond"/>
        </w:rPr>
      </w:pPr>
      <w:r w:rsidRPr="00D5423A">
        <w:rPr>
          <w:rFonts w:ascii="Garamond" w:hAnsi="Garamond"/>
        </w:rPr>
        <w:t xml:space="preserve">Spillane, J. P., Kim, C., &amp; Frank, K. A. (2012). Instructional advice and information providing and receiving behavior in elementary schools: Exploring tie formation as a building block in social capital development. </w:t>
      </w:r>
      <w:r w:rsidRPr="00D5423A">
        <w:rPr>
          <w:rFonts w:ascii="Garamond" w:hAnsi="Garamond"/>
          <w:i/>
        </w:rPr>
        <w:t>American Educational Research Journal</w:t>
      </w:r>
      <w:r w:rsidRPr="00D5423A">
        <w:rPr>
          <w:rFonts w:ascii="Garamond" w:hAnsi="Garamond"/>
        </w:rPr>
        <w:t>, 49(6), 1112-1145.</w:t>
      </w:r>
    </w:p>
    <w:p w14:paraId="11FC9587" w14:textId="77777777" w:rsidR="00AB7BF3" w:rsidRPr="00D5423A" w:rsidRDefault="00AB7BF3" w:rsidP="00AB7BF3">
      <w:pPr>
        <w:snapToGrid w:val="0"/>
        <w:spacing w:line="480" w:lineRule="auto"/>
        <w:ind w:left="720" w:hanging="720"/>
        <w:rPr>
          <w:rFonts w:ascii="Garamond" w:hAnsi="Garamond"/>
        </w:rPr>
      </w:pPr>
      <w:r w:rsidRPr="00D5423A">
        <w:rPr>
          <w:rFonts w:ascii="Garamond" w:hAnsi="Garamond"/>
        </w:rPr>
        <w:t xml:space="preserve">Spillane, J. P., Hopkins, M., &amp; Sweet, T. M. (2018). School district educational infrastructure and change at scale: teacher peer interactions and their beliefs about mathematics instruction. </w:t>
      </w:r>
      <w:r w:rsidRPr="00D5423A">
        <w:rPr>
          <w:rFonts w:ascii="Garamond" w:hAnsi="Garamond"/>
          <w:i/>
          <w:iCs/>
        </w:rPr>
        <w:t>American Educational Research Journal</w:t>
      </w:r>
      <w:r w:rsidRPr="00D5423A">
        <w:rPr>
          <w:rFonts w:ascii="Garamond" w:hAnsi="Garamond"/>
        </w:rPr>
        <w:t xml:space="preserve">, </w:t>
      </w:r>
      <w:r w:rsidRPr="00D5423A">
        <w:rPr>
          <w:rFonts w:ascii="Garamond" w:hAnsi="Garamond"/>
          <w:i/>
          <w:iCs/>
        </w:rPr>
        <w:t>55</w:t>
      </w:r>
      <w:r w:rsidRPr="00D5423A">
        <w:rPr>
          <w:rFonts w:ascii="Garamond" w:hAnsi="Garamond"/>
        </w:rPr>
        <w:t>(3), 532-571.</w:t>
      </w:r>
    </w:p>
    <w:p w14:paraId="22011EA8" w14:textId="77777777" w:rsidR="00AB7BF3" w:rsidRPr="00D5423A" w:rsidRDefault="00AB7BF3" w:rsidP="00AB7BF3">
      <w:pPr>
        <w:snapToGrid w:val="0"/>
        <w:spacing w:line="480" w:lineRule="auto"/>
        <w:ind w:left="720" w:hanging="720"/>
        <w:rPr>
          <w:rFonts w:ascii="Garamond" w:hAnsi="Garamond"/>
        </w:rPr>
      </w:pPr>
      <w:proofErr w:type="spellStart"/>
      <w:r w:rsidRPr="00D5423A">
        <w:rPr>
          <w:rFonts w:ascii="Garamond" w:hAnsi="Garamond"/>
        </w:rPr>
        <w:t>Spreitzer</w:t>
      </w:r>
      <w:proofErr w:type="spellEnd"/>
      <w:r w:rsidRPr="00D5423A">
        <w:rPr>
          <w:rFonts w:ascii="Garamond" w:hAnsi="Garamond"/>
        </w:rPr>
        <w:t xml:space="preserve">, G., Sutcliffe, K., Dutton, J., </w:t>
      </w:r>
      <w:proofErr w:type="spellStart"/>
      <w:r w:rsidRPr="00D5423A">
        <w:rPr>
          <w:rFonts w:ascii="Garamond" w:hAnsi="Garamond"/>
        </w:rPr>
        <w:t>Sonenshein</w:t>
      </w:r>
      <w:proofErr w:type="spellEnd"/>
      <w:r w:rsidRPr="00D5423A">
        <w:rPr>
          <w:rFonts w:ascii="Garamond" w:hAnsi="Garamond"/>
        </w:rPr>
        <w:t xml:space="preserve">, S., &amp; Grant, A. M. (2005). A socially embedded model of thriving at work. </w:t>
      </w:r>
      <w:r w:rsidRPr="00D5423A">
        <w:rPr>
          <w:rFonts w:ascii="Garamond" w:hAnsi="Garamond"/>
          <w:i/>
          <w:iCs/>
        </w:rPr>
        <w:t>Organization Science</w:t>
      </w:r>
      <w:r w:rsidRPr="00D5423A">
        <w:rPr>
          <w:rFonts w:ascii="Garamond" w:hAnsi="Garamond"/>
        </w:rPr>
        <w:t xml:space="preserve">, </w:t>
      </w:r>
      <w:r w:rsidRPr="00D5423A">
        <w:rPr>
          <w:rFonts w:ascii="Garamond" w:hAnsi="Garamond"/>
          <w:i/>
          <w:iCs/>
        </w:rPr>
        <w:t>16</w:t>
      </w:r>
      <w:r w:rsidRPr="00D5423A">
        <w:rPr>
          <w:rFonts w:ascii="Garamond" w:hAnsi="Garamond"/>
        </w:rPr>
        <w:t>(5), 537-549.</w:t>
      </w:r>
    </w:p>
    <w:p w14:paraId="2001D8DE" w14:textId="77777777" w:rsidR="00AB7BF3" w:rsidRPr="00D5423A" w:rsidRDefault="00AB7BF3" w:rsidP="00AB7BF3">
      <w:pPr>
        <w:snapToGrid w:val="0"/>
        <w:spacing w:line="480" w:lineRule="auto"/>
        <w:ind w:left="720" w:hanging="720"/>
        <w:rPr>
          <w:rFonts w:ascii="Garamond" w:hAnsi="Garamond"/>
        </w:rPr>
      </w:pPr>
      <w:proofErr w:type="spellStart"/>
      <w:r w:rsidRPr="00D5423A">
        <w:rPr>
          <w:rFonts w:ascii="Garamond" w:hAnsi="Garamond"/>
        </w:rPr>
        <w:t>Stanulis</w:t>
      </w:r>
      <w:proofErr w:type="spellEnd"/>
      <w:r w:rsidRPr="00D5423A">
        <w:rPr>
          <w:rFonts w:ascii="Garamond" w:hAnsi="Garamond"/>
        </w:rPr>
        <w:t xml:space="preserve">, R. N., &amp; Russell, D. (2000). “Jumping in”: Trust and communication in mentoring student </w:t>
      </w:r>
      <w:r w:rsidRPr="00D5423A">
        <w:rPr>
          <w:rFonts w:ascii="Garamond" w:hAnsi="Garamond"/>
        </w:rPr>
        <w:lastRenderedPageBreak/>
        <w:t xml:space="preserve">teachers. </w:t>
      </w:r>
      <w:r w:rsidRPr="00D5423A">
        <w:rPr>
          <w:rFonts w:ascii="Garamond" w:hAnsi="Garamond"/>
          <w:i/>
        </w:rPr>
        <w:t>Teaching and Teacher Education, 16</w:t>
      </w:r>
      <w:r w:rsidRPr="00D5423A">
        <w:rPr>
          <w:rFonts w:ascii="Garamond" w:hAnsi="Garamond"/>
        </w:rPr>
        <w:t>(1), 65-80.</w:t>
      </w:r>
    </w:p>
    <w:p w14:paraId="01E97B38" w14:textId="77777777" w:rsidR="00AB7BF3" w:rsidRPr="00D5423A" w:rsidRDefault="00AB7BF3" w:rsidP="00AB7BF3">
      <w:pPr>
        <w:snapToGrid w:val="0"/>
        <w:spacing w:line="480" w:lineRule="auto"/>
        <w:ind w:left="720" w:hangingChars="300" w:hanging="720"/>
        <w:rPr>
          <w:rFonts w:ascii="Garamond" w:hAnsi="Garamond"/>
          <w:szCs w:val="24"/>
        </w:rPr>
      </w:pPr>
      <w:proofErr w:type="spellStart"/>
      <w:r w:rsidRPr="00D5423A">
        <w:rPr>
          <w:rFonts w:ascii="Garamond" w:hAnsi="Garamond"/>
          <w:szCs w:val="24"/>
        </w:rPr>
        <w:t>Steinbrecher</w:t>
      </w:r>
      <w:proofErr w:type="spellEnd"/>
      <w:r w:rsidRPr="00D5423A">
        <w:rPr>
          <w:rFonts w:ascii="Garamond" w:hAnsi="Garamond"/>
          <w:szCs w:val="24"/>
        </w:rPr>
        <w:t xml:space="preserve">, T., &amp; Hart, J. (2012). Examining teachers' personal and professional use of Facebook: Recommendations for teacher education programming. </w:t>
      </w:r>
      <w:r w:rsidRPr="00D5423A">
        <w:rPr>
          <w:rFonts w:ascii="Garamond" w:hAnsi="Garamond"/>
          <w:i/>
          <w:iCs/>
          <w:szCs w:val="24"/>
        </w:rPr>
        <w:t>Journal of Technology and Teacher Education</w:t>
      </w:r>
      <w:r w:rsidRPr="00D5423A">
        <w:rPr>
          <w:rFonts w:ascii="Garamond" w:hAnsi="Garamond"/>
          <w:szCs w:val="24"/>
        </w:rPr>
        <w:t xml:space="preserve">, </w:t>
      </w:r>
      <w:r w:rsidRPr="00D5423A">
        <w:rPr>
          <w:rFonts w:ascii="Garamond" w:hAnsi="Garamond"/>
          <w:i/>
          <w:iCs/>
          <w:szCs w:val="24"/>
        </w:rPr>
        <w:t>20</w:t>
      </w:r>
      <w:r w:rsidRPr="00D5423A">
        <w:rPr>
          <w:rFonts w:ascii="Garamond" w:hAnsi="Garamond"/>
          <w:szCs w:val="24"/>
        </w:rPr>
        <w:t>(1), 71-88.</w:t>
      </w:r>
    </w:p>
    <w:p w14:paraId="7528BA27" w14:textId="77777777" w:rsidR="00AB7BF3" w:rsidRPr="00D5423A" w:rsidRDefault="00AB7BF3" w:rsidP="00AB7BF3">
      <w:pPr>
        <w:snapToGrid w:val="0"/>
        <w:spacing w:line="480" w:lineRule="auto"/>
        <w:ind w:left="720" w:hanging="720"/>
        <w:rPr>
          <w:rFonts w:ascii="Garamond" w:hAnsi="Garamond"/>
        </w:rPr>
      </w:pPr>
      <w:proofErr w:type="spellStart"/>
      <w:r w:rsidRPr="00D5423A">
        <w:rPr>
          <w:rFonts w:ascii="Garamond" w:hAnsi="Garamond"/>
        </w:rPr>
        <w:t>Stoloff</w:t>
      </w:r>
      <w:proofErr w:type="spellEnd"/>
      <w:r w:rsidRPr="00D5423A">
        <w:rPr>
          <w:rFonts w:ascii="Garamond" w:hAnsi="Garamond"/>
        </w:rPr>
        <w:t xml:space="preserve">, J. A., Glanville, J. L., &amp; </w:t>
      </w:r>
      <w:proofErr w:type="spellStart"/>
      <w:r w:rsidRPr="00D5423A">
        <w:rPr>
          <w:rFonts w:ascii="Garamond" w:hAnsi="Garamond"/>
        </w:rPr>
        <w:t>Bienenstock</w:t>
      </w:r>
      <w:proofErr w:type="spellEnd"/>
      <w:r w:rsidRPr="00D5423A">
        <w:rPr>
          <w:rFonts w:ascii="Garamond" w:hAnsi="Garamond"/>
        </w:rPr>
        <w:t xml:space="preserve">, E. J. (1999). Women's participation in the labor force: the role of social networks. </w:t>
      </w:r>
      <w:r w:rsidRPr="00D5423A">
        <w:rPr>
          <w:rFonts w:ascii="Garamond" w:hAnsi="Garamond"/>
          <w:i/>
          <w:iCs/>
        </w:rPr>
        <w:t>Social Networks</w:t>
      </w:r>
      <w:r w:rsidRPr="00D5423A">
        <w:rPr>
          <w:rFonts w:ascii="Garamond" w:hAnsi="Garamond"/>
        </w:rPr>
        <w:t xml:space="preserve">, </w:t>
      </w:r>
      <w:r w:rsidRPr="00D5423A">
        <w:rPr>
          <w:rFonts w:ascii="Garamond" w:hAnsi="Garamond"/>
          <w:i/>
          <w:iCs/>
        </w:rPr>
        <w:t>21</w:t>
      </w:r>
      <w:r w:rsidRPr="00D5423A">
        <w:rPr>
          <w:rFonts w:ascii="Garamond" w:hAnsi="Garamond"/>
        </w:rPr>
        <w:t>(1), 91-108.</w:t>
      </w:r>
    </w:p>
    <w:p w14:paraId="367A6DD2" w14:textId="77777777" w:rsidR="00AB7BF3" w:rsidRPr="00D5423A" w:rsidRDefault="00AB7BF3" w:rsidP="00AB7BF3">
      <w:pPr>
        <w:snapToGrid w:val="0"/>
        <w:spacing w:line="480" w:lineRule="auto"/>
        <w:ind w:left="720" w:hanging="720"/>
        <w:rPr>
          <w:rFonts w:ascii="Garamond" w:hAnsi="Garamond"/>
        </w:rPr>
      </w:pPr>
      <w:proofErr w:type="spellStart"/>
      <w:r w:rsidRPr="00D5423A">
        <w:rPr>
          <w:rFonts w:ascii="Garamond" w:hAnsi="Garamond"/>
        </w:rPr>
        <w:t>Storey</w:t>
      </w:r>
      <w:proofErr w:type="spellEnd"/>
      <w:r w:rsidRPr="00D5423A">
        <w:rPr>
          <w:rFonts w:ascii="Garamond" w:hAnsi="Garamond"/>
        </w:rPr>
        <w:t xml:space="preserve">, J., &amp; </w:t>
      </w:r>
      <w:proofErr w:type="spellStart"/>
      <w:r w:rsidRPr="00D5423A">
        <w:rPr>
          <w:rFonts w:ascii="Garamond" w:hAnsi="Garamond"/>
        </w:rPr>
        <w:t>Salaman</w:t>
      </w:r>
      <w:proofErr w:type="spellEnd"/>
      <w:r w:rsidRPr="00D5423A">
        <w:rPr>
          <w:rFonts w:ascii="Garamond" w:hAnsi="Garamond"/>
        </w:rPr>
        <w:t xml:space="preserve">, G. (2009). </w:t>
      </w:r>
      <w:r w:rsidRPr="00D5423A">
        <w:rPr>
          <w:rFonts w:ascii="Garamond" w:hAnsi="Garamond"/>
          <w:i/>
          <w:iCs/>
        </w:rPr>
        <w:t>Managers of innovation: Insights into making innovation happen</w:t>
      </w:r>
      <w:r w:rsidRPr="00D5423A">
        <w:rPr>
          <w:rFonts w:ascii="Garamond" w:hAnsi="Garamond"/>
        </w:rPr>
        <w:t>. Hoboken, NJ: John Wiley &amp; Sons.</w:t>
      </w:r>
    </w:p>
    <w:p w14:paraId="11D3E13E" w14:textId="77777777" w:rsidR="00AB7BF3" w:rsidRPr="00D5423A" w:rsidRDefault="00AB7BF3" w:rsidP="00AB7BF3">
      <w:pPr>
        <w:snapToGrid w:val="0"/>
        <w:spacing w:line="480" w:lineRule="auto"/>
        <w:ind w:left="720" w:hangingChars="300" w:hanging="720"/>
        <w:rPr>
          <w:rFonts w:ascii="Garamond" w:hAnsi="Garamond" w:cs="Arial"/>
          <w:szCs w:val="24"/>
        </w:rPr>
      </w:pPr>
      <w:r w:rsidRPr="00D5423A">
        <w:rPr>
          <w:rFonts w:ascii="Garamond" w:hAnsi="Garamond" w:cs="Arial"/>
          <w:szCs w:val="24"/>
        </w:rPr>
        <w:t xml:space="preserve">Sutherland, L. M., Scanlon, L. A., &amp; </w:t>
      </w:r>
      <w:proofErr w:type="spellStart"/>
      <w:r w:rsidRPr="00D5423A">
        <w:rPr>
          <w:rFonts w:ascii="Garamond" w:hAnsi="Garamond" w:cs="Arial"/>
          <w:szCs w:val="24"/>
        </w:rPr>
        <w:t>Sperring</w:t>
      </w:r>
      <w:proofErr w:type="spellEnd"/>
      <w:r w:rsidRPr="00D5423A">
        <w:rPr>
          <w:rFonts w:ascii="Garamond" w:hAnsi="Garamond" w:cs="Arial"/>
          <w:szCs w:val="24"/>
        </w:rPr>
        <w:t xml:space="preserve">, A. (2005). New directions in preparing professionals: examining issues in engaging students in communities of practice through a school–university partnership. </w:t>
      </w:r>
      <w:r w:rsidRPr="00D5423A">
        <w:rPr>
          <w:rFonts w:ascii="Garamond" w:hAnsi="Garamond" w:cs="Arial"/>
          <w:i/>
          <w:iCs/>
          <w:szCs w:val="24"/>
        </w:rPr>
        <w:t>Teaching and Teacher Education</w:t>
      </w:r>
      <w:r w:rsidRPr="00D5423A">
        <w:rPr>
          <w:rFonts w:ascii="Garamond" w:hAnsi="Garamond" w:cs="Arial"/>
          <w:szCs w:val="24"/>
        </w:rPr>
        <w:t xml:space="preserve">, </w:t>
      </w:r>
      <w:r w:rsidRPr="00D5423A">
        <w:rPr>
          <w:rFonts w:ascii="Garamond" w:hAnsi="Garamond" w:cs="Arial"/>
          <w:i/>
          <w:iCs/>
          <w:szCs w:val="24"/>
        </w:rPr>
        <w:t>21</w:t>
      </w:r>
      <w:r w:rsidRPr="00D5423A">
        <w:rPr>
          <w:rFonts w:ascii="Garamond" w:hAnsi="Garamond" w:cs="Arial"/>
          <w:szCs w:val="24"/>
        </w:rPr>
        <w:t>(1), 79-92.</w:t>
      </w:r>
    </w:p>
    <w:p w14:paraId="0874B3BC" w14:textId="77777777" w:rsidR="00AB7BF3" w:rsidRPr="00D5423A" w:rsidRDefault="00AB7BF3" w:rsidP="00AB7BF3">
      <w:pPr>
        <w:snapToGrid w:val="0"/>
        <w:spacing w:line="480" w:lineRule="auto"/>
        <w:ind w:left="720" w:hanging="720"/>
        <w:rPr>
          <w:rFonts w:ascii="Garamond" w:hAnsi="Garamond"/>
        </w:rPr>
      </w:pPr>
      <w:r w:rsidRPr="00D5423A">
        <w:rPr>
          <w:rFonts w:ascii="Garamond" w:hAnsi="Garamond"/>
        </w:rPr>
        <w:t xml:space="preserve">The United Nations Educational, Scientific and Cultural Organization [UNESCO] (2016). </w:t>
      </w:r>
      <w:r w:rsidRPr="00D5423A">
        <w:rPr>
          <w:rFonts w:ascii="Garamond" w:hAnsi="Garamond"/>
          <w:i/>
        </w:rPr>
        <w:t>Education 2030 Incheon declaration and framework for action</w:t>
      </w:r>
      <w:r w:rsidRPr="00D5423A">
        <w:rPr>
          <w:rFonts w:ascii="Garamond" w:hAnsi="Garamond"/>
        </w:rPr>
        <w:t xml:space="preserve">. The United Nations Educational, Scientific and Cultural Organization. Paris, France. </w:t>
      </w:r>
    </w:p>
    <w:p w14:paraId="001FED38" w14:textId="77777777" w:rsidR="00AB7BF3" w:rsidRPr="00D5423A" w:rsidRDefault="00AB7BF3" w:rsidP="00AB7BF3">
      <w:pPr>
        <w:snapToGrid w:val="0"/>
        <w:spacing w:line="480" w:lineRule="auto"/>
        <w:ind w:left="720" w:hanging="720"/>
        <w:rPr>
          <w:rFonts w:ascii="Garamond" w:hAnsi="Garamond"/>
          <w:i/>
        </w:rPr>
      </w:pPr>
      <w:proofErr w:type="spellStart"/>
      <w:r w:rsidRPr="00D5423A">
        <w:rPr>
          <w:rFonts w:ascii="Garamond" w:hAnsi="Garamond"/>
        </w:rPr>
        <w:t>Tschannen</w:t>
      </w:r>
      <w:proofErr w:type="spellEnd"/>
      <w:r w:rsidRPr="00D5423A">
        <w:rPr>
          <w:rFonts w:ascii="Garamond" w:hAnsi="Garamond"/>
        </w:rPr>
        <w:t xml:space="preserve">-Moran, M. (2009). Fostering teacher professionalism in schools. The role of leadership orientation and trust. </w:t>
      </w:r>
      <w:r w:rsidRPr="00D5423A">
        <w:rPr>
          <w:rFonts w:ascii="Garamond" w:hAnsi="Garamond"/>
          <w:i/>
        </w:rPr>
        <w:t>Educational Administration Quarterly,</w:t>
      </w:r>
      <w:r w:rsidRPr="00D5423A">
        <w:rPr>
          <w:rFonts w:ascii="Garamond" w:hAnsi="Garamond"/>
        </w:rPr>
        <w:t xml:space="preserve"> 45(2), 217-247.</w:t>
      </w:r>
    </w:p>
    <w:p w14:paraId="63DC407A" w14:textId="77777777" w:rsidR="00AB7BF3" w:rsidRPr="00D5423A" w:rsidRDefault="00AB7BF3" w:rsidP="00AB7BF3">
      <w:pPr>
        <w:snapToGrid w:val="0"/>
        <w:spacing w:line="480" w:lineRule="auto"/>
        <w:ind w:left="720" w:hanging="720"/>
        <w:rPr>
          <w:rFonts w:ascii="Garamond" w:hAnsi="Garamond"/>
        </w:rPr>
      </w:pPr>
      <w:proofErr w:type="spellStart"/>
      <w:r w:rsidRPr="00D5423A">
        <w:rPr>
          <w:rFonts w:ascii="Garamond" w:hAnsi="Garamond"/>
        </w:rPr>
        <w:t>Tschannen</w:t>
      </w:r>
      <w:proofErr w:type="spellEnd"/>
      <w:r w:rsidRPr="00D5423A">
        <w:rPr>
          <w:rFonts w:ascii="Garamond" w:hAnsi="Garamond"/>
        </w:rPr>
        <w:t xml:space="preserve">-Moran, M. (2014). </w:t>
      </w:r>
      <w:r w:rsidRPr="00D5423A">
        <w:rPr>
          <w:rFonts w:ascii="Garamond" w:hAnsi="Garamond"/>
          <w:i/>
          <w:iCs/>
        </w:rPr>
        <w:t>Trust matters: Leadership for successful schools</w:t>
      </w:r>
      <w:r w:rsidRPr="00D5423A">
        <w:rPr>
          <w:rFonts w:ascii="Garamond" w:hAnsi="Garamond"/>
        </w:rPr>
        <w:t xml:space="preserve"> (2nd Ed.). San Francisco, CA: </w:t>
      </w:r>
      <w:proofErr w:type="spellStart"/>
      <w:r w:rsidRPr="00D5423A">
        <w:rPr>
          <w:rFonts w:ascii="Garamond" w:hAnsi="Garamond"/>
        </w:rPr>
        <w:t>Jossey</w:t>
      </w:r>
      <w:proofErr w:type="spellEnd"/>
      <w:r w:rsidRPr="00D5423A">
        <w:rPr>
          <w:rFonts w:ascii="Garamond" w:hAnsi="Garamond"/>
        </w:rPr>
        <w:t xml:space="preserve">-Bass. </w:t>
      </w:r>
    </w:p>
    <w:p w14:paraId="13A27EF0" w14:textId="77777777" w:rsidR="00AB7BF3" w:rsidRPr="00D5423A" w:rsidRDefault="00AB7BF3" w:rsidP="00AB7BF3">
      <w:pPr>
        <w:snapToGrid w:val="0"/>
        <w:spacing w:line="480" w:lineRule="auto"/>
        <w:ind w:left="720" w:hangingChars="300" w:hanging="720"/>
        <w:rPr>
          <w:rFonts w:ascii="Garamond" w:hAnsi="Garamond"/>
          <w:szCs w:val="24"/>
        </w:rPr>
      </w:pPr>
      <w:proofErr w:type="spellStart"/>
      <w:r w:rsidRPr="00D5423A">
        <w:rPr>
          <w:rFonts w:ascii="Garamond" w:hAnsi="Garamond" w:cs="Arial"/>
          <w:szCs w:val="24"/>
        </w:rPr>
        <w:t>Tschannen</w:t>
      </w:r>
      <w:proofErr w:type="spellEnd"/>
      <w:r w:rsidRPr="00D5423A">
        <w:rPr>
          <w:rFonts w:ascii="Garamond" w:hAnsi="Garamond" w:cs="Arial"/>
          <w:szCs w:val="24"/>
        </w:rPr>
        <w:t xml:space="preserve">-Moran, M., &amp; Hoy, A. W. (2001). Teacher efficacy: Capturing an elusive construct. </w:t>
      </w:r>
      <w:r w:rsidRPr="00D5423A">
        <w:rPr>
          <w:rFonts w:ascii="Garamond" w:hAnsi="Garamond" w:cs="Arial"/>
          <w:i/>
          <w:iCs/>
          <w:szCs w:val="24"/>
        </w:rPr>
        <w:t>Teaching and teacher education</w:t>
      </w:r>
      <w:r w:rsidRPr="00D5423A">
        <w:rPr>
          <w:rFonts w:ascii="Garamond" w:hAnsi="Garamond" w:cs="Arial"/>
          <w:szCs w:val="24"/>
        </w:rPr>
        <w:t xml:space="preserve">, </w:t>
      </w:r>
      <w:r w:rsidRPr="00D5423A">
        <w:rPr>
          <w:rFonts w:ascii="Garamond" w:hAnsi="Garamond" w:cs="Arial"/>
          <w:i/>
          <w:iCs/>
          <w:szCs w:val="24"/>
        </w:rPr>
        <w:t>17</w:t>
      </w:r>
      <w:r w:rsidRPr="00D5423A">
        <w:rPr>
          <w:rFonts w:ascii="Garamond" w:hAnsi="Garamond" w:cs="Arial"/>
          <w:szCs w:val="24"/>
        </w:rPr>
        <w:t>(7), 783-805.</w:t>
      </w:r>
    </w:p>
    <w:p w14:paraId="5BEC6D4A" w14:textId="77777777" w:rsidR="00AB7BF3" w:rsidRPr="00D5423A" w:rsidRDefault="00AB7BF3" w:rsidP="00AB7BF3">
      <w:pPr>
        <w:snapToGrid w:val="0"/>
        <w:spacing w:line="480" w:lineRule="auto"/>
        <w:ind w:left="720" w:hangingChars="300" w:hanging="720"/>
        <w:rPr>
          <w:rFonts w:ascii="Garamond" w:hAnsi="Garamond"/>
          <w:szCs w:val="24"/>
        </w:rPr>
      </w:pPr>
      <w:proofErr w:type="spellStart"/>
      <w:r w:rsidRPr="00D5423A">
        <w:rPr>
          <w:rFonts w:ascii="Garamond" w:hAnsi="Garamond"/>
          <w:szCs w:val="24"/>
        </w:rPr>
        <w:t>Übius</w:t>
      </w:r>
      <w:proofErr w:type="spellEnd"/>
      <w:r w:rsidRPr="00D5423A">
        <w:rPr>
          <w:rFonts w:ascii="Garamond" w:hAnsi="Garamond"/>
          <w:szCs w:val="24"/>
        </w:rPr>
        <w:t xml:space="preserve">, Ü., Alas, R., &amp; </w:t>
      </w:r>
      <w:proofErr w:type="spellStart"/>
      <w:r w:rsidRPr="00D5423A">
        <w:rPr>
          <w:rFonts w:ascii="Garamond" w:hAnsi="Garamond"/>
          <w:szCs w:val="24"/>
        </w:rPr>
        <w:t>Elenurm</w:t>
      </w:r>
      <w:proofErr w:type="spellEnd"/>
      <w:r w:rsidRPr="00D5423A">
        <w:rPr>
          <w:rFonts w:ascii="Garamond" w:hAnsi="Garamond"/>
          <w:szCs w:val="24"/>
        </w:rPr>
        <w:t xml:space="preserve">, T. (2013). Impact of innovation climate on individual and </w:t>
      </w:r>
      <w:proofErr w:type="spellStart"/>
      <w:r w:rsidRPr="00D5423A">
        <w:rPr>
          <w:rFonts w:ascii="Garamond" w:hAnsi="Garamond"/>
          <w:szCs w:val="24"/>
        </w:rPr>
        <w:t>organisational</w:t>
      </w:r>
      <w:proofErr w:type="spellEnd"/>
      <w:r w:rsidRPr="00D5423A">
        <w:rPr>
          <w:rFonts w:ascii="Garamond" w:hAnsi="Garamond"/>
          <w:szCs w:val="24"/>
        </w:rPr>
        <w:t xml:space="preserve"> level factors in Asia and Europe. </w:t>
      </w:r>
      <w:r w:rsidRPr="00D5423A">
        <w:rPr>
          <w:rFonts w:ascii="Garamond" w:hAnsi="Garamond"/>
          <w:i/>
          <w:iCs/>
          <w:szCs w:val="24"/>
        </w:rPr>
        <w:t>Journal of Business Economics and Management</w:t>
      </w:r>
      <w:r w:rsidRPr="00D5423A">
        <w:rPr>
          <w:rFonts w:ascii="Garamond" w:hAnsi="Garamond"/>
          <w:szCs w:val="24"/>
        </w:rPr>
        <w:t xml:space="preserve">, </w:t>
      </w:r>
      <w:r w:rsidRPr="00D5423A">
        <w:rPr>
          <w:rFonts w:ascii="Garamond" w:hAnsi="Garamond"/>
          <w:i/>
          <w:iCs/>
          <w:szCs w:val="24"/>
        </w:rPr>
        <w:t>14</w:t>
      </w:r>
      <w:r w:rsidRPr="00D5423A">
        <w:rPr>
          <w:rFonts w:ascii="Garamond" w:hAnsi="Garamond"/>
          <w:szCs w:val="24"/>
        </w:rPr>
        <w:t>(1), 1-21.</w:t>
      </w:r>
    </w:p>
    <w:p w14:paraId="1829A141" w14:textId="77777777" w:rsidR="00AB7BF3" w:rsidRPr="00D5423A" w:rsidRDefault="00AB7BF3" w:rsidP="00AB7BF3">
      <w:pPr>
        <w:snapToGrid w:val="0"/>
        <w:spacing w:line="480" w:lineRule="auto"/>
        <w:ind w:left="720" w:hanging="720"/>
        <w:rPr>
          <w:rFonts w:ascii="Garamond" w:hAnsi="Garamond"/>
          <w:lang w:val="nl-NL"/>
        </w:rPr>
      </w:pPr>
      <w:r w:rsidRPr="00D5423A">
        <w:rPr>
          <w:rFonts w:ascii="Garamond" w:hAnsi="Garamond"/>
        </w:rPr>
        <w:t xml:space="preserve">Van </w:t>
      </w:r>
      <w:proofErr w:type="spellStart"/>
      <w:r w:rsidRPr="00D5423A">
        <w:rPr>
          <w:rFonts w:ascii="Garamond" w:hAnsi="Garamond"/>
        </w:rPr>
        <w:t>Duijn</w:t>
      </w:r>
      <w:proofErr w:type="spellEnd"/>
      <w:r w:rsidRPr="00D5423A">
        <w:rPr>
          <w:rFonts w:ascii="Garamond" w:hAnsi="Garamond"/>
        </w:rPr>
        <w:t xml:space="preserve">, M. A. J., </w:t>
      </w:r>
      <w:proofErr w:type="spellStart"/>
      <w:r w:rsidRPr="00D5423A">
        <w:rPr>
          <w:rFonts w:ascii="Garamond" w:hAnsi="Garamond"/>
        </w:rPr>
        <w:t>Snijders</w:t>
      </w:r>
      <w:proofErr w:type="spellEnd"/>
      <w:r w:rsidRPr="00D5423A">
        <w:rPr>
          <w:rFonts w:ascii="Garamond" w:hAnsi="Garamond"/>
        </w:rPr>
        <w:t xml:space="preserve">, T. A. B., &amp; </w:t>
      </w:r>
      <w:proofErr w:type="spellStart"/>
      <w:r w:rsidRPr="00D5423A">
        <w:rPr>
          <w:rFonts w:ascii="Garamond" w:hAnsi="Garamond"/>
        </w:rPr>
        <w:t>Zijlstra</w:t>
      </w:r>
      <w:proofErr w:type="spellEnd"/>
      <w:r w:rsidRPr="00D5423A">
        <w:rPr>
          <w:rFonts w:ascii="Garamond" w:hAnsi="Garamond"/>
        </w:rPr>
        <w:t xml:space="preserve">, B. J. H. (2004). p2: A random effects model with </w:t>
      </w:r>
      <w:r w:rsidRPr="00D5423A">
        <w:rPr>
          <w:rFonts w:ascii="Garamond" w:hAnsi="Garamond"/>
        </w:rPr>
        <w:lastRenderedPageBreak/>
        <w:t xml:space="preserve">covariates for directed graphs. </w:t>
      </w:r>
      <w:r w:rsidRPr="00D5423A">
        <w:rPr>
          <w:rFonts w:ascii="Garamond" w:hAnsi="Garamond"/>
          <w:i/>
          <w:lang w:val="nl-NL"/>
        </w:rPr>
        <w:t>Statistica Neerlandica</w:t>
      </w:r>
      <w:r w:rsidRPr="00D5423A">
        <w:rPr>
          <w:rFonts w:ascii="Garamond" w:hAnsi="Garamond"/>
          <w:lang w:val="nl-NL"/>
        </w:rPr>
        <w:t>, 58, 234-254.</w:t>
      </w:r>
    </w:p>
    <w:p w14:paraId="101BE746" w14:textId="77777777" w:rsidR="00AB7BF3" w:rsidRPr="00D5423A" w:rsidRDefault="00AB7BF3" w:rsidP="00AB7BF3">
      <w:pPr>
        <w:snapToGrid w:val="0"/>
        <w:spacing w:line="480" w:lineRule="auto"/>
        <w:ind w:left="720" w:hangingChars="300" w:hanging="720"/>
        <w:rPr>
          <w:rFonts w:ascii="Garamond" w:hAnsi="Garamond"/>
        </w:rPr>
      </w:pPr>
      <w:r w:rsidRPr="00D5423A">
        <w:rPr>
          <w:rFonts w:ascii="Garamond" w:hAnsi="Garamond"/>
        </w:rPr>
        <w:t xml:space="preserve">Van </w:t>
      </w:r>
      <w:proofErr w:type="spellStart"/>
      <w:r w:rsidRPr="00D5423A">
        <w:rPr>
          <w:rFonts w:ascii="Garamond" w:hAnsi="Garamond"/>
        </w:rPr>
        <w:t>Maele</w:t>
      </w:r>
      <w:proofErr w:type="spellEnd"/>
      <w:r w:rsidRPr="00D5423A">
        <w:rPr>
          <w:rFonts w:ascii="Garamond" w:hAnsi="Garamond"/>
        </w:rPr>
        <w:t xml:space="preserve">, D., Forsyth, P. B., &amp; Van </w:t>
      </w:r>
      <w:proofErr w:type="spellStart"/>
      <w:r w:rsidRPr="00D5423A">
        <w:rPr>
          <w:rFonts w:ascii="Garamond" w:hAnsi="Garamond"/>
        </w:rPr>
        <w:t>Houtte</w:t>
      </w:r>
      <w:proofErr w:type="spellEnd"/>
      <w:r w:rsidRPr="00D5423A">
        <w:rPr>
          <w:rFonts w:ascii="Garamond" w:hAnsi="Garamond"/>
        </w:rPr>
        <w:t xml:space="preserve">, M. (Eds.). (2014). </w:t>
      </w:r>
      <w:r w:rsidRPr="00D5423A">
        <w:rPr>
          <w:rFonts w:ascii="Garamond" w:hAnsi="Garamond"/>
          <w:i/>
          <w:iCs/>
        </w:rPr>
        <w:t>Trust and school life: The role of trust for learning, teaching, leading, and bridging</w:t>
      </w:r>
      <w:r w:rsidRPr="00D5423A">
        <w:rPr>
          <w:rFonts w:ascii="Garamond" w:hAnsi="Garamond"/>
        </w:rPr>
        <w:t>. Springer Science &amp; Business Media.</w:t>
      </w:r>
    </w:p>
    <w:p w14:paraId="198425CC" w14:textId="55BF1F8A" w:rsidR="00AB7BF3" w:rsidRDefault="00AB7BF3" w:rsidP="00AB7BF3">
      <w:pPr>
        <w:snapToGrid w:val="0"/>
        <w:spacing w:line="480" w:lineRule="auto"/>
        <w:ind w:left="720" w:hanging="720"/>
        <w:rPr>
          <w:rFonts w:ascii="Garamond" w:hAnsi="Garamond"/>
        </w:rPr>
      </w:pPr>
      <w:r w:rsidRPr="00D5423A">
        <w:rPr>
          <w:rFonts w:ascii="Garamond" w:hAnsi="Garamond"/>
        </w:rPr>
        <w:t xml:space="preserve">Yoon, S. A., Yom, J. K., Yang, Z., &amp; Liu, L. (2017). The effects of teachers’ social and human capital on urban science reform initiatives: Considerations for professional development. </w:t>
      </w:r>
      <w:r w:rsidRPr="00D5423A">
        <w:rPr>
          <w:rFonts w:ascii="Garamond" w:hAnsi="Garamond"/>
          <w:i/>
          <w:iCs/>
        </w:rPr>
        <w:t>Teachers College Record</w:t>
      </w:r>
      <w:r w:rsidRPr="00D5423A">
        <w:rPr>
          <w:rFonts w:ascii="Garamond" w:hAnsi="Garamond"/>
        </w:rPr>
        <w:t xml:space="preserve">, </w:t>
      </w:r>
      <w:r w:rsidRPr="00D5423A">
        <w:rPr>
          <w:rFonts w:ascii="Garamond" w:hAnsi="Garamond"/>
          <w:i/>
          <w:iCs/>
        </w:rPr>
        <w:t>119</w:t>
      </w:r>
      <w:r w:rsidRPr="00D5423A">
        <w:rPr>
          <w:rFonts w:ascii="Garamond" w:hAnsi="Garamond"/>
        </w:rPr>
        <w:t>(4).</w:t>
      </w:r>
    </w:p>
    <w:p w14:paraId="2029D085" w14:textId="32E4412C" w:rsidR="005C3F88" w:rsidRDefault="005C3F88" w:rsidP="00AB7BF3">
      <w:pPr>
        <w:snapToGrid w:val="0"/>
        <w:spacing w:line="480" w:lineRule="auto"/>
        <w:ind w:left="720" w:hanging="720"/>
        <w:rPr>
          <w:rFonts w:ascii="Garamond" w:hAnsi="Garamond"/>
        </w:rPr>
      </w:pPr>
    </w:p>
    <w:p w14:paraId="79A4FB90" w14:textId="5B0E6CB3" w:rsidR="005C3F88" w:rsidRDefault="005C3F88">
      <w:pPr>
        <w:widowControl/>
        <w:spacing w:after="160" w:line="259" w:lineRule="auto"/>
        <w:rPr>
          <w:rFonts w:ascii="Garamond" w:hAnsi="Garamond"/>
        </w:rPr>
      </w:pPr>
      <w:r>
        <w:rPr>
          <w:rFonts w:ascii="Garamond" w:hAnsi="Garamond"/>
        </w:rPr>
        <w:br w:type="page"/>
      </w:r>
    </w:p>
    <w:p w14:paraId="1019BEC7" w14:textId="77777777" w:rsidR="005C3F88" w:rsidRPr="00645A39" w:rsidRDefault="005C3F88" w:rsidP="005C3F88">
      <w:pPr>
        <w:widowControl/>
        <w:snapToGrid w:val="0"/>
        <w:spacing w:line="480" w:lineRule="auto"/>
        <w:jc w:val="center"/>
        <w:rPr>
          <w:rFonts w:ascii="Garamond" w:hAnsi="Garamond"/>
          <w:b/>
          <w:szCs w:val="24"/>
        </w:rPr>
      </w:pPr>
      <w:r w:rsidRPr="00990D09">
        <w:rPr>
          <w:rFonts w:ascii="Garamond" w:hAnsi="Garamond"/>
          <w:b/>
        </w:rPr>
        <w:lastRenderedPageBreak/>
        <w:t>Table</w:t>
      </w:r>
      <w:r>
        <w:rPr>
          <w:rFonts w:ascii="Garamond" w:hAnsi="Garamond"/>
          <w:b/>
        </w:rPr>
        <w:t>s</w:t>
      </w:r>
    </w:p>
    <w:p w14:paraId="46B88A45" w14:textId="77777777" w:rsidR="005C3F88" w:rsidRDefault="005C3F88" w:rsidP="005C3F88">
      <w:pPr>
        <w:widowControl/>
        <w:spacing w:after="160" w:line="259" w:lineRule="auto"/>
        <w:rPr>
          <w:rFonts w:ascii="Garamond" w:hAnsi="Garamond"/>
        </w:rPr>
      </w:pPr>
      <w:r>
        <w:rPr>
          <w:rFonts w:ascii="Garamond" w:hAnsi="Garamond"/>
        </w:rPr>
        <w:t xml:space="preserve">Table 1: </w:t>
      </w:r>
      <w:r w:rsidRPr="001944DF">
        <w:rPr>
          <w:rFonts w:ascii="Garamond" w:hAnsi="Garamond" w:cs="Garamond"/>
          <w:szCs w:val="24"/>
        </w:rPr>
        <w:t xml:space="preserve">Factor Loadings </w:t>
      </w:r>
      <w:r>
        <w:rPr>
          <w:rFonts w:ascii="Garamond" w:hAnsi="Garamond" w:cs="Garamond"/>
          <w:szCs w:val="24"/>
        </w:rPr>
        <w:t xml:space="preserve">and Reliability </w:t>
      </w:r>
      <w:r w:rsidRPr="001944DF">
        <w:rPr>
          <w:rFonts w:ascii="Garamond" w:hAnsi="Garamond" w:cs="Garamond"/>
          <w:szCs w:val="24"/>
        </w:rPr>
        <w:t>for Self</w:t>
      </w:r>
      <w:r>
        <w:rPr>
          <w:rFonts w:ascii="Garamond" w:hAnsi="Garamond" w:cs="Garamond"/>
          <w:szCs w:val="24"/>
        </w:rPr>
        <w:t>-</w:t>
      </w:r>
      <w:r w:rsidRPr="001944DF">
        <w:rPr>
          <w:rFonts w:ascii="Garamond" w:hAnsi="Garamond" w:cs="Garamond"/>
          <w:szCs w:val="24"/>
        </w:rPr>
        <w:t>Efficacy</w:t>
      </w:r>
      <w:r>
        <w:rPr>
          <w:rFonts w:ascii="Garamond" w:hAnsi="Garamond" w:cs="Garamond"/>
          <w:szCs w:val="24"/>
        </w:rPr>
        <w:t xml:space="preserve"> and Peer Trust </w:t>
      </w:r>
      <w:r w:rsidRPr="001944DF">
        <w:rPr>
          <w:rFonts w:ascii="Garamond" w:hAnsi="Garamond" w:cs="Garamond"/>
          <w:szCs w:val="24"/>
        </w:rPr>
        <w:t>Scales</w:t>
      </w:r>
    </w:p>
    <w:tbl>
      <w:tblPr>
        <w:tblW w:w="9263" w:type="dxa"/>
        <w:tblBorders>
          <w:top w:val="single" w:sz="4" w:space="0" w:color="auto"/>
        </w:tblBorders>
        <w:tblLook w:val="04A0" w:firstRow="1" w:lastRow="0" w:firstColumn="1" w:lastColumn="0" w:noHBand="0" w:noVBand="1"/>
      </w:tblPr>
      <w:tblGrid>
        <w:gridCol w:w="6768"/>
        <w:gridCol w:w="999"/>
        <w:gridCol w:w="748"/>
        <w:gridCol w:w="748"/>
      </w:tblGrid>
      <w:tr w:rsidR="005C3F88" w:rsidRPr="006A58F7" w14:paraId="12629A65" w14:textId="77777777" w:rsidTr="0058079D">
        <w:trPr>
          <w:trHeight w:val="20"/>
        </w:trPr>
        <w:tc>
          <w:tcPr>
            <w:tcW w:w="6768" w:type="dxa"/>
            <w:vMerge w:val="restart"/>
            <w:tcBorders>
              <w:top w:val="single" w:sz="4" w:space="0" w:color="auto"/>
            </w:tcBorders>
            <w:shd w:val="clear" w:color="auto" w:fill="auto"/>
            <w:noWrap/>
            <w:vAlign w:val="center"/>
            <w:hideMark/>
          </w:tcPr>
          <w:p w14:paraId="309D58D3" w14:textId="77777777" w:rsidR="005C3F88" w:rsidRPr="006A58F7" w:rsidRDefault="005C3F88" w:rsidP="0058079D">
            <w:pPr>
              <w:widowControl/>
              <w:snapToGrid w:val="0"/>
              <w:jc w:val="center"/>
              <w:rPr>
                <w:rFonts w:ascii="Garamond" w:eastAsia="Times New Roman" w:hAnsi="Garamond" w:cs="Times New Roman"/>
                <w:kern w:val="0"/>
                <w:szCs w:val="24"/>
              </w:rPr>
            </w:pPr>
            <w:r w:rsidRPr="006A58F7">
              <w:rPr>
                <w:rFonts w:ascii="Garamond" w:eastAsia="Times New Roman" w:hAnsi="Garamond" w:cs="Times New Roman"/>
                <w:kern w:val="0"/>
                <w:szCs w:val="24"/>
              </w:rPr>
              <w:t>Item</w:t>
            </w:r>
          </w:p>
        </w:tc>
        <w:tc>
          <w:tcPr>
            <w:tcW w:w="2495" w:type="dxa"/>
            <w:gridSpan w:val="3"/>
            <w:tcBorders>
              <w:top w:val="single" w:sz="4" w:space="0" w:color="auto"/>
              <w:bottom w:val="single" w:sz="4" w:space="0" w:color="auto"/>
            </w:tcBorders>
            <w:shd w:val="clear" w:color="auto" w:fill="auto"/>
            <w:noWrap/>
            <w:vAlign w:val="center"/>
          </w:tcPr>
          <w:p w14:paraId="1F6575BD" w14:textId="77777777" w:rsidR="005C3F88" w:rsidRPr="006A58F7" w:rsidRDefault="005C3F88" w:rsidP="0058079D">
            <w:pPr>
              <w:widowControl/>
              <w:snapToGrid w:val="0"/>
              <w:jc w:val="center"/>
              <w:rPr>
                <w:rFonts w:ascii="Garamond" w:eastAsia="Times New Roman" w:hAnsi="Garamond" w:cs="Times New Roman"/>
                <w:color w:val="000000"/>
                <w:kern w:val="0"/>
                <w:szCs w:val="24"/>
              </w:rPr>
            </w:pPr>
            <w:r>
              <w:rPr>
                <w:rFonts w:ascii="Garamond" w:eastAsia="Times New Roman" w:hAnsi="Garamond" w:cs="Times New Roman"/>
                <w:color w:val="000000"/>
                <w:kern w:val="0"/>
                <w:szCs w:val="24"/>
              </w:rPr>
              <w:t>α and factor loading</w:t>
            </w:r>
          </w:p>
        </w:tc>
      </w:tr>
      <w:tr w:rsidR="005C3F88" w:rsidRPr="006A58F7" w14:paraId="05D0C326" w14:textId="77777777" w:rsidTr="0058079D">
        <w:trPr>
          <w:trHeight w:val="20"/>
        </w:trPr>
        <w:tc>
          <w:tcPr>
            <w:tcW w:w="6768" w:type="dxa"/>
            <w:vMerge/>
            <w:tcBorders>
              <w:bottom w:val="single" w:sz="4" w:space="0" w:color="auto"/>
            </w:tcBorders>
            <w:shd w:val="clear" w:color="auto" w:fill="auto"/>
            <w:noWrap/>
            <w:vAlign w:val="center"/>
          </w:tcPr>
          <w:p w14:paraId="6BC9DA26" w14:textId="77777777" w:rsidR="005C3F88" w:rsidRPr="006A58F7" w:rsidRDefault="005C3F88" w:rsidP="0058079D">
            <w:pPr>
              <w:widowControl/>
              <w:snapToGrid w:val="0"/>
              <w:jc w:val="center"/>
              <w:rPr>
                <w:rFonts w:ascii="Garamond" w:eastAsia="Times New Roman" w:hAnsi="Garamond" w:cs="Times New Roman"/>
                <w:kern w:val="0"/>
                <w:szCs w:val="24"/>
              </w:rPr>
            </w:pPr>
          </w:p>
        </w:tc>
        <w:tc>
          <w:tcPr>
            <w:tcW w:w="999" w:type="dxa"/>
            <w:tcBorders>
              <w:top w:val="single" w:sz="4" w:space="0" w:color="auto"/>
              <w:bottom w:val="single" w:sz="4" w:space="0" w:color="auto"/>
            </w:tcBorders>
            <w:shd w:val="clear" w:color="auto" w:fill="auto"/>
            <w:noWrap/>
            <w:vAlign w:val="center"/>
          </w:tcPr>
          <w:p w14:paraId="39C2CC41" w14:textId="77777777" w:rsidR="005C3F88" w:rsidRPr="00301704" w:rsidRDefault="005C3F88" w:rsidP="0058079D">
            <w:pPr>
              <w:widowControl/>
              <w:snapToGrid w:val="0"/>
              <w:jc w:val="center"/>
              <w:rPr>
                <w:rFonts w:ascii="Garamond" w:eastAsia="Times New Roman" w:hAnsi="Garamond" w:cs="Times New Roman"/>
                <w:kern w:val="0"/>
                <w:szCs w:val="24"/>
              </w:rPr>
            </w:pPr>
            <w:r w:rsidRPr="00301704">
              <w:rPr>
                <w:rFonts w:ascii="Garamond" w:eastAsia="Times New Roman" w:hAnsi="Garamond" w:cs="Times New Roman"/>
                <w:kern w:val="0"/>
                <w:szCs w:val="24"/>
              </w:rPr>
              <w:t>England</w:t>
            </w:r>
          </w:p>
        </w:tc>
        <w:tc>
          <w:tcPr>
            <w:tcW w:w="748" w:type="dxa"/>
            <w:tcBorders>
              <w:top w:val="single" w:sz="4" w:space="0" w:color="auto"/>
              <w:bottom w:val="single" w:sz="4" w:space="0" w:color="auto"/>
            </w:tcBorders>
            <w:shd w:val="clear" w:color="auto" w:fill="auto"/>
            <w:noWrap/>
            <w:vAlign w:val="center"/>
          </w:tcPr>
          <w:p w14:paraId="0122BB8C" w14:textId="77777777" w:rsidR="005C3F88" w:rsidRPr="00301704" w:rsidRDefault="005C3F88" w:rsidP="0058079D">
            <w:pPr>
              <w:widowControl/>
              <w:snapToGrid w:val="0"/>
              <w:jc w:val="center"/>
              <w:rPr>
                <w:rFonts w:ascii="Garamond" w:eastAsia="Times New Roman" w:hAnsi="Garamond" w:cs="Times New Roman"/>
                <w:kern w:val="0"/>
                <w:szCs w:val="24"/>
              </w:rPr>
            </w:pPr>
            <w:r w:rsidRPr="00301704">
              <w:rPr>
                <w:rFonts w:ascii="Garamond" w:eastAsia="Times New Roman" w:hAnsi="Garamond" w:cs="Times New Roman"/>
                <w:kern w:val="0"/>
                <w:szCs w:val="24"/>
              </w:rPr>
              <w:t>Spain</w:t>
            </w:r>
          </w:p>
        </w:tc>
        <w:tc>
          <w:tcPr>
            <w:tcW w:w="748" w:type="dxa"/>
            <w:tcBorders>
              <w:top w:val="single" w:sz="4" w:space="0" w:color="auto"/>
              <w:bottom w:val="single" w:sz="4" w:space="0" w:color="auto"/>
            </w:tcBorders>
            <w:shd w:val="clear" w:color="auto" w:fill="auto"/>
            <w:noWrap/>
            <w:vAlign w:val="center"/>
          </w:tcPr>
          <w:p w14:paraId="2C81ACD9" w14:textId="77777777" w:rsidR="005C3F88" w:rsidRPr="006A58F7" w:rsidRDefault="005C3F88" w:rsidP="0058079D">
            <w:pPr>
              <w:widowControl/>
              <w:snapToGrid w:val="0"/>
              <w:jc w:val="center"/>
              <w:rPr>
                <w:rFonts w:ascii="Garamond" w:eastAsia="Times New Roman" w:hAnsi="Garamond" w:cs="Times New Roman"/>
                <w:color w:val="000000"/>
                <w:kern w:val="0"/>
                <w:szCs w:val="24"/>
              </w:rPr>
            </w:pPr>
            <w:r>
              <w:rPr>
                <w:rFonts w:ascii="Garamond" w:eastAsia="Times New Roman" w:hAnsi="Garamond" w:cs="Times New Roman"/>
                <w:color w:val="000000"/>
                <w:kern w:val="0"/>
                <w:szCs w:val="24"/>
              </w:rPr>
              <w:t>US</w:t>
            </w:r>
          </w:p>
        </w:tc>
      </w:tr>
      <w:tr w:rsidR="005C3F88" w:rsidRPr="006A58F7" w14:paraId="193658D3" w14:textId="77777777" w:rsidTr="0058079D">
        <w:trPr>
          <w:trHeight w:val="360"/>
        </w:trPr>
        <w:tc>
          <w:tcPr>
            <w:tcW w:w="6768" w:type="dxa"/>
            <w:tcBorders>
              <w:top w:val="nil"/>
            </w:tcBorders>
            <w:shd w:val="clear" w:color="auto" w:fill="auto"/>
            <w:noWrap/>
            <w:vAlign w:val="center"/>
            <w:hideMark/>
          </w:tcPr>
          <w:p w14:paraId="34DB3E44" w14:textId="77777777" w:rsidR="005C3F88" w:rsidRPr="006A58F7" w:rsidRDefault="005C3F88" w:rsidP="0058079D">
            <w:pPr>
              <w:widowControl/>
              <w:snapToGrid w:val="0"/>
              <w:rPr>
                <w:rFonts w:ascii="Garamond" w:eastAsia="Times New Roman" w:hAnsi="Garamond" w:cs="Times New Roman"/>
                <w:b/>
                <w:bCs/>
                <w:color w:val="000000"/>
                <w:kern w:val="0"/>
                <w:szCs w:val="24"/>
              </w:rPr>
            </w:pPr>
            <w:r w:rsidRPr="006A58F7">
              <w:rPr>
                <w:rFonts w:ascii="Garamond" w:eastAsia="Times New Roman" w:hAnsi="Garamond" w:cs="Times New Roman"/>
                <w:b/>
                <w:bCs/>
                <w:color w:val="000000"/>
                <w:kern w:val="0"/>
                <w:szCs w:val="24"/>
              </w:rPr>
              <w:t>Self-efficacy</w:t>
            </w:r>
          </w:p>
        </w:tc>
        <w:tc>
          <w:tcPr>
            <w:tcW w:w="999" w:type="dxa"/>
            <w:tcBorders>
              <w:top w:val="nil"/>
            </w:tcBorders>
            <w:shd w:val="clear" w:color="auto" w:fill="auto"/>
            <w:noWrap/>
            <w:vAlign w:val="center"/>
          </w:tcPr>
          <w:p w14:paraId="59F09466" w14:textId="77777777" w:rsidR="005C3F88" w:rsidRPr="00301704" w:rsidRDefault="005C3F88" w:rsidP="0058079D">
            <w:pPr>
              <w:widowControl/>
              <w:snapToGrid w:val="0"/>
              <w:jc w:val="center"/>
              <w:rPr>
                <w:rFonts w:ascii="Garamond" w:eastAsia="Times New Roman" w:hAnsi="Garamond" w:cs="Times New Roman"/>
                <w:kern w:val="0"/>
                <w:szCs w:val="24"/>
              </w:rPr>
            </w:pPr>
            <w:r w:rsidRPr="00301704">
              <w:rPr>
                <w:rFonts w:ascii="Garamond" w:eastAsia="Times New Roman" w:hAnsi="Garamond" w:cs="Times New Roman"/>
                <w:kern w:val="0"/>
                <w:szCs w:val="24"/>
              </w:rPr>
              <w:t>(.88)</w:t>
            </w:r>
          </w:p>
        </w:tc>
        <w:tc>
          <w:tcPr>
            <w:tcW w:w="748" w:type="dxa"/>
            <w:tcBorders>
              <w:top w:val="nil"/>
            </w:tcBorders>
            <w:shd w:val="clear" w:color="auto" w:fill="auto"/>
            <w:noWrap/>
            <w:vAlign w:val="center"/>
          </w:tcPr>
          <w:p w14:paraId="7D79FF81" w14:textId="77777777" w:rsidR="005C3F88" w:rsidRPr="00301704" w:rsidRDefault="005C3F88" w:rsidP="0058079D">
            <w:pPr>
              <w:widowControl/>
              <w:snapToGrid w:val="0"/>
              <w:jc w:val="center"/>
              <w:rPr>
                <w:rFonts w:ascii="Garamond" w:eastAsia="Times New Roman" w:hAnsi="Garamond" w:cs="Times New Roman"/>
                <w:kern w:val="0"/>
                <w:szCs w:val="24"/>
              </w:rPr>
            </w:pPr>
            <w:r w:rsidRPr="00301704">
              <w:rPr>
                <w:rFonts w:ascii="Garamond" w:eastAsia="Times New Roman" w:hAnsi="Garamond" w:cs="Times New Roman"/>
                <w:kern w:val="0"/>
                <w:szCs w:val="24"/>
              </w:rPr>
              <w:t>(.80)</w:t>
            </w:r>
          </w:p>
        </w:tc>
        <w:tc>
          <w:tcPr>
            <w:tcW w:w="748" w:type="dxa"/>
            <w:tcBorders>
              <w:top w:val="nil"/>
            </w:tcBorders>
            <w:shd w:val="clear" w:color="auto" w:fill="auto"/>
            <w:noWrap/>
            <w:vAlign w:val="center"/>
            <w:hideMark/>
          </w:tcPr>
          <w:p w14:paraId="4C4BF658" w14:textId="77777777" w:rsidR="005C3F88" w:rsidRPr="006A58F7" w:rsidRDefault="005C3F88" w:rsidP="0058079D">
            <w:pPr>
              <w:widowControl/>
              <w:snapToGrid w:val="0"/>
              <w:jc w:val="center"/>
              <w:rPr>
                <w:rFonts w:ascii="Garamond" w:eastAsia="Times New Roman" w:hAnsi="Garamond" w:cs="Times New Roman"/>
                <w:color w:val="000000"/>
                <w:kern w:val="0"/>
                <w:szCs w:val="24"/>
              </w:rPr>
            </w:pPr>
            <w:r>
              <w:rPr>
                <w:rFonts w:ascii="Garamond" w:eastAsia="Times New Roman" w:hAnsi="Garamond" w:cs="Times New Roman"/>
                <w:color w:val="000000"/>
                <w:kern w:val="0"/>
                <w:szCs w:val="24"/>
              </w:rPr>
              <w:t>(</w:t>
            </w:r>
            <w:r w:rsidRPr="006A58F7">
              <w:rPr>
                <w:rFonts w:ascii="Garamond" w:eastAsia="Times New Roman" w:hAnsi="Garamond" w:cs="Times New Roman"/>
                <w:color w:val="000000"/>
                <w:kern w:val="0"/>
                <w:szCs w:val="24"/>
              </w:rPr>
              <w:t>.92</w:t>
            </w:r>
            <w:r>
              <w:rPr>
                <w:rFonts w:ascii="Garamond" w:eastAsia="Times New Roman" w:hAnsi="Garamond" w:cs="Times New Roman"/>
                <w:color w:val="000000"/>
                <w:kern w:val="0"/>
                <w:szCs w:val="24"/>
              </w:rPr>
              <w:t>)</w:t>
            </w:r>
          </w:p>
        </w:tc>
      </w:tr>
      <w:tr w:rsidR="005C3F88" w:rsidRPr="006A58F7" w14:paraId="36C3CE5B" w14:textId="77777777" w:rsidTr="0058079D">
        <w:trPr>
          <w:trHeight w:val="360"/>
        </w:trPr>
        <w:tc>
          <w:tcPr>
            <w:tcW w:w="6768" w:type="dxa"/>
            <w:shd w:val="clear" w:color="auto" w:fill="auto"/>
            <w:noWrap/>
            <w:vAlign w:val="center"/>
            <w:hideMark/>
          </w:tcPr>
          <w:p w14:paraId="54FA5BBC" w14:textId="77777777" w:rsidR="005C3F88" w:rsidRPr="00A9392F" w:rsidRDefault="005C3F88" w:rsidP="0058079D">
            <w:pPr>
              <w:pStyle w:val="ListParagraph"/>
              <w:numPr>
                <w:ilvl w:val="0"/>
                <w:numId w:val="4"/>
              </w:numPr>
              <w:snapToGrid w:val="0"/>
              <w:ind w:leftChars="0" w:left="612"/>
              <w:rPr>
                <w:rFonts w:ascii="Garamond" w:eastAsia="Times New Roman" w:hAnsi="Garamond" w:cs="Times New Roman"/>
                <w:color w:val="000000"/>
              </w:rPr>
            </w:pPr>
            <w:r w:rsidRPr="00A9392F">
              <w:rPr>
                <w:rFonts w:ascii="Garamond" w:eastAsia="Times New Roman" w:hAnsi="Garamond" w:cs="Times New Roman"/>
                <w:color w:val="000000"/>
              </w:rPr>
              <w:t>How much can you control disruptive behavior in the classroom?</w:t>
            </w:r>
          </w:p>
        </w:tc>
        <w:tc>
          <w:tcPr>
            <w:tcW w:w="999" w:type="dxa"/>
            <w:shd w:val="clear" w:color="auto" w:fill="auto"/>
            <w:noWrap/>
            <w:vAlign w:val="center"/>
          </w:tcPr>
          <w:p w14:paraId="239E2745" w14:textId="77777777" w:rsidR="005C3F88" w:rsidRPr="00301704" w:rsidRDefault="005C3F88" w:rsidP="0058079D">
            <w:pPr>
              <w:widowControl/>
              <w:snapToGrid w:val="0"/>
              <w:jc w:val="center"/>
              <w:rPr>
                <w:rFonts w:ascii="Garamond" w:eastAsia="Times New Roman" w:hAnsi="Garamond" w:cs="Times New Roman"/>
                <w:kern w:val="0"/>
                <w:szCs w:val="24"/>
              </w:rPr>
            </w:pPr>
            <w:r w:rsidRPr="00301704">
              <w:rPr>
                <w:rFonts w:ascii="Garamond" w:eastAsia="Times New Roman" w:hAnsi="Garamond" w:cs="Times New Roman"/>
                <w:kern w:val="0"/>
                <w:szCs w:val="24"/>
              </w:rPr>
              <w:t>.85</w:t>
            </w:r>
          </w:p>
        </w:tc>
        <w:tc>
          <w:tcPr>
            <w:tcW w:w="748" w:type="dxa"/>
            <w:shd w:val="clear" w:color="auto" w:fill="auto"/>
            <w:noWrap/>
            <w:vAlign w:val="center"/>
          </w:tcPr>
          <w:p w14:paraId="05555218" w14:textId="77777777" w:rsidR="005C3F88" w:rsidRPr="00301704" w:rsidRDefault="005C3F88" w:rsidP="0058079D">
            <w:pPr>
              <w:widowControl/>
              <w:snapToGrid w:val="0"/>
              <w:jc w:val="center"/>
              <w:rPr>
                <w:rFonts w:ascii="Garamond" w:eastAsia="Times New Roman" w:hAnsi="Garamond" w:cs="Times New Roman"/>
                <w:kern w:val="0"/>
                <w:szCs w:val="24"/>
              </w:rPr>
            </w:pPr>
            <w:r w:rsidRPr="00301704">
              <w:rPr>
                <w:rFonts w:ascii="Garamond" w:eastAsia="Times New Roman" w:hAnsi="Garamond" w:cs="Times New Roman"/>
                <w:kern w:val="0"/>
                <w:szCs w:val="24"/>
              </w:rPr>
              <w:t>.84</w:t>
            </w:r>
          </w:p>
        </w:tc>
        <w:tc>
          <w:tcPr>
            <w:tcW w:w="748" w:type="dxa"/>
            <w:shd w:val="clear" w:color="auto" w:fill="auto"/>
            <w:noWrap/>
            <w:vAlign w:val="center"/>
            <w:hideMark/>
          </w:tcPr>
          <w:p w14:paraId="353B15E5" w14:textId="77777777" w:rsidR="005C3F88" w:rsidRPr="006A58F7" w:rsidRDefault="005C3F88" w:rsidP="0058079D">
            <w:pPr>
              <w:widowControl/>
              <w:snapToGrid w:val="0"/>
              <w:jc w:val="center"/>
              <w:rPr>
                <w:rFonts w:ascii="Garamond" w:eastAsia="Times New Roman" w:hAnsi="Garamond" w:cs="Times New Roman"/>
                <w:color w:val="000000"/>
                <w:kern w:val="0"/>
                <w:szCs w:val="24"/>
              </w:rPr>
            </w:pPr>
            <w:r w:rsidRPr="006A58F7">
              <w:rPr>
                <w:rFonts w:ascii="Garamond" w:eastAsia="Times New Roman" w:hAnsi="Garamond" w:cs="Times New Roman"/>
                <w:color w:val="000000"/>
                <w:kern w:val="0"/>
                <w:szCs w:val="24"/>
              </w:rPr>
              <w:t>.92</w:t>
            </w:r>
          </w:p>
        </w:tc>
      </w:tr>
      <w:tr w:rsidR="005C3F88" w:rsidRPr="006A58F7" w14:paraId="5447D282" w14:textId="77777777" w:rsidTr="0058079D">
        <w:trPr>
          <w:trHeight w:val="360"/>
        </w:trPr>
        <w:tc>
          <w:tcPr>
            <w:tcW w:w="6768" w:type="dxa"/>
            <w:shd w:val="clear" w:color="auto" w:fill="auto"/>
            <w:noWrap/>
            <w:vAlign w:val="center"/>
            <w:hideMark/>
          </w:tcPr>
          <w:p w14:paraId="10D03C92" w14:textId="77777777" w:rsidR="005C3F88" w:rsidRPr="00A9392F" w:rsidRDefault="005C3F88" w:rsidP="0058079D">
            <w:pPr>
              <w:pStyle w:val="ListParagraph"/>
              <w:numPr>
                <w:ilvl w:val="0"/>
                <w:numId w:val="4"/>
              </w:numPr>
              <w:snapToGrid w:val="0"/>
              <w:ind w:leftChars="0" w:left="612"/>
              <w:rPr>
                <w:rFonts w:ascii="Garamond" w:eastAsia="Times New Roman" w:hAnsi="Garamond" w:cs="Times New Roman"/>
                <w:color w:val="000000"/>
              </w:rPr>
            </w:pPr>
            <w:r w:rsidRPr="00A9392F">
              <w:rPr>
                <w:rFonts w:ascii="Garamond" w:eastAsia="Times New Roman" w:hAnsi="Garamond" w:cs="Times New Roman"/>
                <w:color w:val="000000"/>
              </w:rPr>
              <w:t>How much can you calm a student who is disruptive or noisy?</w:t>
            </w:r>
          </w:p>
        </w:tc>
        <w:tc>
          <w:tcPr>
            <w:tcW w:w="999" w:type="dxa"/>
            <w:shd w:val="clear" w:color="auto" w:fill="auto"/>
            <w:noWrap/>
            <w:vAlign w:val="center"/>
          </w:tcPr>
          <w:p w14:paraId="1FB079C5" w14:textId="77777777" w:rsidR="005C3F88" w:rsidRPr="00301704" w:rsidRDefault="005C3F88" w:rsidP="0058079D">
            <w:pPr>
              <w:widowControl/>
              <w:snapToGrid w:val="0"/>
              <w:jc w:val="center"/>
              <w:rPr>
                <w:rFonts w:ascii="Garamond" w:eastAsia="Times New Roman" w:hAnsi="Garamond" w:cs="Times New Roman"/>
                <w:kern w:val="0"/>
                <w:szCs w:val="24"/>
              </w:rPr>
            </w:pPr>
            <w:r w:rsidRPr="00301704">
              <w:rPr>
                <w:rFonts w:ascii="Garamond" w:eastAsia="Times New Roman" w:hAnsi="Garamond" w:cs="Times New Roman"/>
                <w:kern w:val="0"/>
                <w:szCs w:val="24"/>
              </w:rPr>
              <w:t>.87</w:t>
            </w:r>
          </w:p>
        </w:tc>
        <w:tc>
          <w:tcPr>
            <w:tcW w:w="748" w:type="dxa"/>
            <w:shd w:val="clear" w:color="auto" w:fill="auto"/>
            <w:noWrap/>
            <w:vAlign w:val="center"/>
          </w:tcPr>
          <w:p w14:paraId="503C2E0B" w14:textId="77777777" w:rsidR="005C3F88" w:rsidRPr="00301704" w:rsidRDefault="005C3F88" w:rsidP="0058079D">
            <w:pPr>
              <w:widowControl/>
              <w:snapToGrid w:val="0"/>
              <w:jc w:val="center"/>
              <w:rPr>
                <w:rFonts w:ascii="Garamond" w:eastAsia="Times New Roman" w:hAnsi="Garamond" w:cs="Times New Roman"/>
                <w:kern w:val="0"/>
                <w:szCs w:val="24"/>
              </w:rPr>
            </w:pPr>
            <w:r w:rsidRPr="00301704">
              <w:rPr>
                <w:rFonts w:ascii="Garamond" w:eastAsia="Times New Roman" w:hAnsi="Garamond" w:cs="Times New Roman"/>
                <w:kern w:val="0"/>
                <w:szCs w:val="24"/>
              </w:rPr>
              <w:t>.76</w:t>
            </w:r>
          </w:p>
        </w:tc>
        <w:tc>
          <w:tcPr>
            <w:tcW w:w="748" w:type="dxa"/>
            <w:shd w:val="clear" w:color="auto" w:fill="auto"/>
            <w:noWrap/>
            <w:vAlign w:val="center"/>
            <w:hideMark/>
          </w:tcPr>
          <w:p w14:paraId="2FBF2DAB" w14:textId="77777777" w:rsidR="005C3F88" w:rsidRPr="006A58F7" w:rsidRDefault="005C3F88" w:rsidP="0058079D">
            <w:pPr>
              <w:widowControl/>
              <w:snapToGrid w:val="0"/>
              <w:jc w:val="center"/>
              <w:rPr>
                <w:rFonts w:ascii="Garamond" w:eastAsia="Times New Roman" w:hAnsi="Garamond" w:cs="Times New Roman"/>
                <w:color w:val="000000"/>
                <w:kern w:val="0"/>
                <w:szCs w:val="24"/>
              </w:rPr>
            </w:pPr>
            <w:r w:rsidRPr="006A58F7">
              <w:rPr>
                <w:rFonts w:ascii="Garamond" w:eastAsia="Times New Roman" w:hAnsi="Garamond" w:cs="Times New Roman"/>
                <w:color w:val="000000"/>
                <w:kern w:val="0"/>
                <w:szCs w:val="24"/>
              </w:rPr>
              <w:t>.89</w:t>
            </w:r>
          </w:p>
        </w:tc>
      </w:tr>
      <w:tr w:rsidR="005C3F88" w:rsidRPr="006A58F7" w14:paraId="49955962" w14:textId="77777777" w:rsidTr="0058079D">
        <w:trPr>
          <w:trHeight w:val="360"/>
        </w:trPr>
        <w:tc>
          <w:tcPr>
            <w:tcW w:w="6768" w:type="dxa"/>
            <w:tcBorders>
              <w:bottom w:val="nil"/>
            </w:tcBorders>
            <w:shd w:val="clear" w:color="auto" w:fill="auto"/>
            <w:noWrap/>
            <w:vAlign w:val="center"/>
            <w:hideMark/>
          </w:tcPr>
          <w:p w14:paraId="6263B9D0" w14:textId="77777777" w:rsidR="005C3F88" w:rsidRPr="00A9392F" w:rsidRDefault="005C3F88" w:rsidP="0058079D">
            <w:pPr>
              <w:pStyle w:val="ListParagraph"/>
              <w:numPr>
                <w:ilvl w:val="0"/>
                <w:numId w:val="4"/>
              </w:numPr>
              <w:snapToGrid w:val="0"/>
              <w:ind w:leftChars="0" w:left="612"/>
              <w:rPr>
                <w:rFonts w:ascii="Garamond" w:eastAsia="Times New Roman" w:hAnsi="Garamond" w:cs="Times New Roman"/>
                <w:color w:val="000000"/>
              </w:rPr>
            </w:pPr>
            <w:r w:rsidRPr="00A9392F">
              <w:rPr>
                <w:rFonts w:ascii="Garamond" w:eastAsia="Times New Roman" w:hAnsi="Garamond" w:cs="Times New Roman"/>
                <w:color w:val="000000"/>
              </w:rPr>
              <w:t>How much can you do to get children to follow classroom rules?</w:t>
            </w:r>
          </w:p>
        </w:tc>
        <w:tc>
          <w:tcPr>
            <w:tcW w:w="999" w:type="dxa"/>
            <w:tcBorders>
              <w:bottom w:val="nil"/>
            </w:tcBorders>
            <w:shd w:val="clear" w:color="auto" w:fill="auto"/>
            <w:noWrap/>
            <w:vAlign w:val="center"/>
          </w:tcPr>
          <w:p w14:paraId="26DC52AE" w14:textId="77777777" w:rsidR="005C3F88" w:rsidRPr="00301704" w:rsidRDefault="005C3F88" w:rsidP="0058079D">
            <w:pPr>
              <w:widowControl/>
              <w:snapToGrid w:val="0"/>
              <w:jc w:val="center"/>
              <w:rPr>
                <w:rFonts w:ascii="Garamond" w:eastAsia="Times New Roman" w:hAnsi="Garamond" w:cs="Times New Roman"/>
                <w:kern w:val="0"/>
                <w:szCs w:val="24"/>
              </w:rPr>
            </w:pPr>
            <w:r w:rsidRPr="00301704">
              <w:rPr>
                <w:rFonts w:ascii="Garamond" w:eastAsia="Times New Roman" w:hAnsi="Garamond" w:cs="Times New Roman"/>
                <w:kern w:val="0"/>
                <w:szCs w:val="24"/>
              </w:rPr>
              <w:t>.8</w:t>
            </w:r>
            <w:r w:rsidRPr="00301704">
              <w:rPr>
                <w:rFonts w:asciiTheme="minorEastAsia" w:hAnsiTheme="minorEastAsia" w:cs="Times New Roman" w:hint="eastAsia"/>
                <w:kern w:val="0"/>
                <w:szCs w:val="24"/>
              </w:rPr>
              <w:t>1</w:t>
            </w:r>
          </w:p>
        </w:tc>
        <w:tc>
          <w:tcPr>
            <w:tcW w:w="748" w:type="dxa"/>
            <w:tcBorders>
              <w:bottom w:val="nil"/>
            </w:tcBorders>
            <w:shd w:val="clear" w:color="auto" w:fill="auto"/>
            <w:noWrap/>
            <w:vAlign w:val="center"/>
          </w:tcPr>
          <w:p w14:paraId="6D5CA930" w14:textId="77777777" w:rsidR="005C3F88" w:rsidRPr="00301704" w:rsidRDefault="005C3F88" w:rsidP="0058079D">
            <w:pPr>
              <w:widowControl/>
              <w:snapToGrid w:val="0"/>
              <w:jc w:val="center"/>
              <w:rPr>
                <w:rFonts w:ascii="Garamond" w:eastAsia="Times New Roman" w:hAnsi="Garamond" w:cs="Times New Roman"/>
                <w:kern w:val="0"/>
                <w:szCs w:val="24"/>
              </w:rPr>
            </w:pPr>
            <w:r w:rsidRPr="00301704">
              <w:rPr>
                <w:rFonts w:ascii="Garamond" w:eastAsia="Times New Roman" w:hAnsi="Garamond" w:cs="Times New Roman"/>
                <w:kern w:val="0"/>
                <w:szCs w:val="24"/>
              </w:rPr>
              <w:t>.74</w:t>
            </w:r>
          </w:p>
        </w:tc>
        <w:tc>
          <w:tcPr>
            <w:tcW w:w="748" w:type="dxa"/>
            <w:tcBorders>
              <w:bottom w:val="nil"/>
            </w:tcBorders>
            <w:shd w:val="clear" w:color="auto" w:fill="auto"/>
            <w:noWrap/>
            <w:vAlign w:val="center"/>
            <w:hideMark/>
          </w:tcPr>
          <w:p w14:paraId="16D37753" w14:textId="77777777" w:rsidR="005C3F88" w:rsidRPr="006A58F7" w:rsidRDefault="005C3F88" w:rsidP="0058079D">
            <w:pPr>
              <w:widowControl/>
              <w:snapToGrid w:val="0"/>
              <w:jc w:val="center"/>
              <w:rPr>
                <w:rFonts w:ascii="Garamond" w:eastAsia="Times New Roman" w:hAnsi="Garamond" w:cs="Times New Roman"/>
                <w:color w:val="000000"/>
                <w:kern w:val="0"/>
                <w:szCs w:val="24"/>
              </w:rPr>
            </w:pPr>
            <w:r w:rsidRPr="006A58F7">
              <w:rPr>
                <w:rFonts w:ascii="Garamond" w:eastAsia="Times New Roman" w:hAnsi="Garamond" w:cs="Times New Roman"/>
                <w:color w:val="000000"/>
                <w:kern w:val="0"/>
                <w:szCs w:val="24"/>
              </w:rPr>
              <w:t>.88</w:t>
            </w:r>
          </w:p>
        </w:tc>
      </w:tr>
      <w:tr w:rsidR="005C3F88" w:rsidRPr="006A58F7" w14:paraId="16552CB1" w14:textId="77777777" w:rsidTr="0058079D">
        <w:trPr>
          <w:trHeight w:val="360"/>
        </w:trPr>
        <w:tc>
          <w:tcPr>
            <w:tcW w:w="6768" w:type="dxa"/>
            <w:tcBorders>
              <w:top w:val="nil"/>
              <w:bottom w:val="nil"/>
            </w:tcBorders>
            <w:shd w:val="clear" w:color="auto" w:fill="auto"/>
            <w:noWrap/>
            <w:vAlign w:val="center"/>
            <w:hideMark/>
          </w:tcPr>
          <w:p w14:paraId="0192E138" w14:textId="77777777" w:rsidR="005C3F88" w:rsidRPr="00A9392F" w:rsidRDefault="005C3F88" w:rsidP="0058079D">
            <w:pPr>
              <w:pStyle w:val="ListParagraph"/>
              <w:numPr>
                <w:ilvl w:val="0"/>
                <w:numId w:val="4"/>
              </w:numPr>
              <w:snapToGrid w:val="0"/>
              <w:ind w:leftChars="0" w:left="612"/>
              <w:rPr>
                <w:rFonts w:ascii="Garamond" w:eastAsia="Times New Roman" w:hAnsi="Garamond" w:cs="Times New Roman"/>
                <w:color w:val="000000"/>
              </w:rPr>
            </w:pPr>
            <w:r w:rsidRPr="00A9392F">
              <w:rPr>
                <w:rFonts w:ascii="Garamond" w:eastAsia="Times New Roman" w:hAnsi="Garamond" w:cs="Times New Roman"/>
                <w:color w:val="000000"/>
              </w:rPr>
              <w:t>How well can you establish a classroom management system with each group of students?</w:t>
            </w:r>
          </w:p>
        </w:tc>
        <w:tc>
          <w:tcPr>
            <w:tcW w:w="999" w:type="dxa"/>
            <w:tcBorders>
              <w:top w:val="nil"/>
              <w:bottom w:val="nil"/>
            </w:tcBorders>
            <w:shd w:val="clear" w:color="auto" w:fill="auto"/>
            <w:noWrap/>
            <w:vAlign w:val="center"/>
          </w:tcPr>
          <w:p w14:paraId="7AD6C1EF" w14:textId="77777777" w:rsidR="005C3F88" w:rsidRPr="00301704" w:rsidRDefault="005C3F88" w:rsidP="0058079D">
            <w:pPr>
              <w:widowControl/>
              <w:snapToGrid w:val="0"/>
              <w:jc w:val="center"/>
              <w:rPr>
                <w:rFonts w:ascii="Garamond" w:eastAsia="Times New Roman" w:hAnsi="Garamond" w:cs="Times New Roman"/>
                <w:kern w:val="0"/>
                <w:szCs w:val="24"/>
              </w:rPr>
            </w:pPr>
            <w:r w:rsidRPr="00301704">
              <w:rPr>
                <w:rFonts w:ascii="Garamond" w:eastAsia="Times New Roman" w:hAnsi="Garamond" w:cs="Times New Roman"/>
                <w:kern w:val="0"/>
                <w:szCs w:val="24"/>
              </w:rPr>
              <w:t>.92</w:t>
            </w:r>
          </w:p>
        </w:tc>
        <w:tc>
          <w:tcPr>
            <w:tcW w:w="748" w:type="dxa"/>
            <w:tcBorders>
              <w:top w:val="nil"/>
              <w:bottom w:val="nil"/>
            </w:tcBorders>
            <w:shd w:val="clear" w:color="auto" w:fill="auto"/>
            <w:noWrap/>
            <w:vAlign w:val="center"/>
          </w:tcPr>
          <w:p w14:paraId="1BDAEE8E" w14:textId="77777777" w:rsidR="005C3F88" w:rsidRPr="00301704" w:rsidRDefault="005C3F88" w:rsidP="0058079D">
            <w:pPr>
              <w:widowControl/>
              <w:snapToGrid w:val="0"/>
              <w:jc w:val="center"/>
              <w:rPr>
                <w:rFonts w:ascii="Garamond" w:eastAsia="Times New Roman" w:hAnsi="Garamond" w:cs="Times New Roman"/>
                <w:kern w:val="0"/>
                <w:szCs w:val="24"/>
              </w:rPr>
            </w:pPr>
            <w:r w:rsidRPr="00301704">
              <w:rPr>
                <w:rFonts w:ascii="Garamond" w:eastAsia="Times New Roman" w:hAnsi="Garamond" w:cs="Times New Roman"/>
                <w:kern w:val="0"/>
                <w:szCs w:val="24"/>
              </w:rPr>
              <w:t>.72</w:t>
            </w:r>
          </w:p>
        </w:tc>
        <w:tc>
          <w:tcPr>
            <w:tcW w:w="748" w:type="dxa"/>
            <w:tcBorders>
              <w:top w:val="nil"/>
              <w:bottom w:val="nil"/>
            </w:tcBorders>
            <w:shd w:val="clear" w:color="auto" w:fill="auto"/>
            <w:noWrap/>
            <w:vAlign w:val="center"/>
            <w:hideMark/>
          </w:tcPr>
          <w:p w14:paraId="38FE7ED9" w14:textId="77777777" w:rsidR="005C3F88" w:rsidRPr="006A58F7" w:rsidRDefault="005C3F88" w:rsidP="0058079D">
            <w:pPr>
              <w:widowControl/>
              <w:snapToGrid w:val="0"/>
              <w:jc w:val="center"/>
              <w:rPr>
                <w:rFonts w:ascii="Garamond" w:eastAsia="Times New Roman" w:hAnsi="Garamond" w:cs="Times New Roman"/>
                <w:color w:val="000000"/>
                <w:kern w:val="0"/>
                <w:szCs w:val="24"/>
              </w:rPr>
            </w:pPr>
            <w:r w:rsidRPr="006A58F7">
              <w:rPr>
                <w:rFonts w:ascii="Garamond" w:eastAsia="Times New Roman" w:hAnsi="Garamond" w:cs="Times New Roman"/>
                <w:color w:val="000000"/>
                <w:kern w:val="0"/>
                <w:szCs w:val="24"/>
              </w:rPr>
              <w:t>.88</w:t>
            </w:r>
          </w:p>
        </w:tc>
      </w:tr>
      <w:tr w:rsidR="005C3F88" w:rsidRPr="006A58F7" w14:paraId="6CC32F60" w14:textId="77777777" w:rsidTr="0058079D">
        <w:trPr>
          <w:trHeight w:val="360"/>
        </w:trPr>
        <w:tc>
          <w:tcPr>
            <w:tcW w:w="6768" w:type="dxa"/>
            <w:tcBorders>
              <w:top w:val="nil"/>
              <w:bottom w:val="nil"/>
            </w:tcBorders>
            <w:shd w:val="clear" w:color="auto" w:fill="auto"/>
            <w:noWrap/>
            <w:vAlign w:val="center"/>
            <w:hideMark/>
          </w:tcPr>
          <w:p w14:paraId="5CA03E51" w14:textId="77777777" w:rsidR="005C3F88" w:rsidRPr="00A9392F" w:rsidRDefault="005C3F88" w:rsidP="0058079D">
            <w:pPr>
              <w:pStyle w:val="ListParagraph"/>
              <w:numPr>
                <w:ilvl w:val="0"/>
                <w:numId w:val="4"/>
              </w:numPr>
              <w:snapToGrid w:val="0"/>
              <w:ind w:leftChars="0" w:left="612"/>
              <w:rPr>
                <w:rFonts w:ascii="Garamond" w:eastAsia="Times New Roman" w:hAnsi="Garamond" w:cs="Times New Roman"/>
                <w:color w:val="000000"/>
              </w:rPr>
            </w:pPr>
            <w:r w:rsidRPr="00A9392F">
              <w:rPr>
                <w:rFonts w:ascii="Garamond" w:eastAsia="Times New Roman" w:hAnsi="Garamond" w:cs="Times New Roman"/>
                <w:color w:val="000000"/>
              </w:rPr>
              <w:t>To what extent can you use a variety of assessment strategies?</w:t>
            </w:r>
          </w:p>
        </w:tc>
        <w:tc>
          <w:tcPr>
            <w:tcW w:w="999" w:type="dxa"/>
            <w:tcBorders>
              <w:top w:val="nil"/>
              <w:bottom w:val="nil"/>
            </w:tcBorders>
            <w:shd w:val="clear" w:color="auto" w:fill="auto"/>
            <w:noWrap/>
            <w:vAlign w:val="center"/>
          </w:tcPr>
          <w:p w14:paraId="0A83963A" w14:textId="77777777" w:rsidR="005C3F88" w:rsidRPr="00301704" w:rsidRDefault="005C3F88" w:rsidP="0058079D">
            <w:pPr>
              <w:widowControl/>
              <w:snapToGrid w:val="0"/>
              <w:jc w:val="center"/>
              <w:rPr>
                <w:rFonts w:ascii="Garamond" w:eastAsia="Times New Roman" w:hAnsi="Garamond" w:cs="Times New Roman"/>
                <w:kern w:val="0"/>
                <w:szCs w:val="24"/>
              </w:rPr>
            </w:pPr>
            <w:r w:rsidRPr="00301704">
              <w:rPr>
                <w:rFonts w:ascii="Garamond" w:eastAsia="Times New Roman" w:hAnsi="Garamond" w:cs="Times New Roman"/>
                <w:kern w:val="0"/>
                <w:szCs w:val="24"/>
              </w:rPr>
              <w:t>.71</w:t>
            </w:r>
          </w:p>
        </w:tc>
        <w:tc>
          <w:tcPr>
            <w:tcW w:w="748" w:type="dxa"/>
            <w:tcBorders>
              <w:top w:val="nil"/>
              <w:bottom w:val="nil"/>
            </w:tcBorders>
            <w:shd w:val="clear" w:color="auto" w:fill="auto"/>
            <w:noWrap/>
            <w:vAlign w:val="center"/>
          </w:tcPr>
          <w:p w14:paraId="7526D8A7" w14:textId="77777777" w:rsidR="005C3F88" w:rsidRPr="00301704" w:rsidRDefault="005C3F88" w:rsidP="0058079D">
            <w:pPr>
              <w:widowControl/>
              <w:snapToGrid w:val="0"/>
              <w:jc w:val="center"/>
              <w:rPr>
                <w:rFonts w:ascii="Garamond" w:eastAsia="Times New Roman" w:hAnsi="Garamond" w:cs="Times New Roman"/>
                <w:kern w:val="0"/>
                <w:szCs w:val="24"/>
              </w:rPr>
            </w:pPr>
            <w:r w:rsidRPr="00301704">
              <w:rPr>
                <w:rFonts w:ascii="Garamond" w:eastAsia="Times New Roman" w:hAnsi="Garamond" w:cs="Times New Roman"/>
                <w:kern w:val="0"/>
                <w:szCs w:val="24"/>
              </w:rPr>
              <w:t>.51</w:t>
            </w:r>
          </w:p>
        </w:tc>
        <w:tc>
          <w:tcPr>
            <w:tcW w:w="748" w:type="dxa"/>
            <w:tcBorders>
              <w:top w:val="nil"/>
              <w:bottom w:val="nil"/>
            </w:tcBorders>
            <w:shd w:val="clear" w:color="auto" w:fill="auto"/>
            <w:noWrap/>
            <w:vAlign w:val="center"/>
            <w:hideMark/>
          </w:tcPr>
          <w:p w14:paraId="6E52779A" w14:textId="77777777" w:rsidR="005C3F88" w:rsidRPr="006A58F7" w:rsidRDefault="005C3F88" w:rsidP="0058079D">
            <w:pPr>
              <w:widowControl/>
              <w:snapToGrid w:val="0"/>
              <w:jc w:val="center"/>
              <w:rPr>
                <w:rFonts w:ascii="Garamond" w:eastAsia="Times New Roman" w:hAnsi="Garamond" w:cs="Times New Roman"/>
                <w:color w:val="000000"/>
                <w:kern w:val="0"/>
                <w:szCs w:val="24"/>
              </w:rPr>
            </w:pPr>
            <w:r w:rsidRPr="006A58F7">
              <w:rPr>
                <w:rFonts w:ascii="Garamond" w:eastAsia="Times New Roman" w:hAnsi="Garamond" w:cs="Times New Roman"/>
                <w:color w:val="000000"/>
                <w:kern w:val="0"/>
                <w:szCs w:val="24"/>
              </w:rPr>
              <w:t>.81</w:t>
            </w:r>
          </w:p>
        </w:tc>
      </w:tr>
      <w:tr w:rsidR="005C3F88" w:rsidRPr="006A58F7" w14:paraId="0EAE7A6E" w14:textId="77777777" w:rsidTr="0058079D">
        <w:trPr>
          <w:trHeight w:val="360"/>
        </w:trPr>
        <w:tc>
          <w:tcPr>
            <w:tcW w:w="6768" w:type="dxa"/>
            <w:tcBorders>
              <w:top w:val="nil"/>
            </w:tcBorders>
            <w:shd w:val="clear" w:color="auto" w:fill="auto"/>
            <w:noWrap/>
            <w:vAlign w:val="center"/>
            <w:hideMark/>
          </w:tcPr>
          <w:p w14:paraId="16FD6D63" w14:textId="77777777" w:rsidR="005C3F88" w:rsidRPr="006A58F7" w:rsidRDefault="005C3F88" w:rsidP="0058079D">
            <w:pPr>
              <w:widowControl/>
              <w:snapToGrid w:val="0"/>
              <w:rPr>
                <w:rFonts w:ascii="Garamond" w:eastAsia="Times New Roman" w:hAnsi="Garamond" w:cs="Times New Roman"/>
                <w:b/>
                <w:bCs/>
                <w:color w:val="000000"/>
                <w:kern w:val="0"/>
                <w:szCs w:val="24"/>
              </w:rPr>
            </w:pPr>
            <w:r>
              <w:rPr>
                <w:rFonts w:ascii="Garamond" w:eastAsia="Times New Roman" w:hAnsi="Garamond" w:cs="Times New Roman"/>
                <w:b/>
                <w:bCs/>
                <w:color w:val="000000"/>
                <w:kern w:val="0"/>
                <w:szCs w:val="24"/>
              </w:rPr>
              <w:t>Peer trust</w:t>
            </w:r>
          </w:p>
        </w:tc>
        <w:tc>
          <w:tcPr>
            <w:tcW w:w="999" w:type="dxa"/>
            <w:tcBorders>
              <w:top w:val="nil"/>
            </w:tcBorders>
            <w:shd w:val="clear" w:color="auto" w:fill="auto"/>
            <w:noWrap/>
            <w:vAlign w:val="center"/>
          </w:tcPr>
          <w:p w14:paraId="135A3E04" w14:textId="77777777" w:rsidR="005C3F88" w:rsidRPr="00301704" w:rsidRDefault="005C3F88" w:rsidP="0058079D">
            <w:pPr>
              <w:widowControl/>
              <w:snapToGrid w:val="0"/>
              <w:jc w:val="center"/>
              <w:rPr>
                <w:rFonts w:ascii="Garamond" w:eastAsia="Times New Roman" w:hAnsi="Garamond" w:cs="Times New Roman"/>
                <w:kern w:val="0"/>
                <w:szCs w:val="24"/>
              </w:rPr>
            </w:pPr>
            <w:r w:rsidRPr="00301704">
              <w:rPr>
                <w:rFonts w:ascii="Garamond" w:eastAsia="Times New Roman" w:hAnsi="Garamond" w:cs="Times New Roman"/>
                <w:kern w:val="0"/>
                <w:szCs w:val="24"/>
              </w:rPr>
              <w:t>(.97)</w:t>
            </w:r>
          </w:p>
        </w:tc>
        <w:tc>
          <w:tcPr>
            <w:tcW w:w="748" w:type="dxa"/>
            <w:tcBorders>
              <w:top w:val="nil"/>
            </w:tcBorders>
            <w:shd w:val="clear" w:color="auto" w:fill="auto"/>
            <w:noWrap/>
            <w:vAlign w:val="center"/>
          </w:tcPr>
          <w:p w14:paraId="0809EB22" w14:textId="77777777" w:rsidR="005C3F88" w:rsidRPr="00301704" w:rsidRDefault="005C3F88" w:rsidP="0058079D">
            <w:pPr>
              <w:widowControl/>
              <w:snapToGrid w:val="0"/>
              <w:jc w:val="center"/>
              <w:rPr>
                <w:rFonts w:ascii="Garamond" w:eastAsia="Times New Roman" w:hAnsi="Garamond" w:cs="Times New Roman"/>
                <w:kern w:val="0"/>
                <w:szCs w:val="24"/>
              </w:rPr>
            </w:pPr>
            <w:r w:rsidRPr="00301704">
              <w:rPr>
                <w:rFonts w:ascii="Garamond" w:eastAsia="Times New Roman" w:hAnsi="Garamond" w:cs="Times New Roman"/>
                <w:kern w:val="0"/>
                <w:szCs w:val="24"/>
              </w:rPr>
              <w:t>(.89)</w:t>
            </w:r>
          </w:p>
        </w:tc>
        <w:tc>
          <w:tcPr>
            <w:tcW w:w="748" w:type="dxa"/>
            <w:tcBorders>
              <w:top w:val="nil"/>
            </w:tcBorders>
            <w:shd w:val="clear" w:color="auto" w:fill="auto"/>
            <w:noWrap/>
            <w:vAlign w:val="center"/>
            <w:hideMark/>
          </w:tcPr>
          <w:p w14:paraId="7F8E3C5B" w14:textId="77777777" w:rsidR="005C3F88" w:rsidRPr="006A58F7" w:rsidRDefault="005C3F88" w:rsidP="0058079D">
            <w:pPr>
              <w:widowControl/>
              <w:snapToGrid w:val="0"/>
              <w:jc w:val="center"/>
              <w:rPr>
                <w:rFonts w:ascii="Garamond" w:eastAsia="Times New Roman" w:hAnsi="Garamond" w:cs="Times New Roman"/>
                <w:color w:val="000000"/>
                <w:kern w:val="0"/>
                <w:szCs w:val="24"/>
              </w:rPr>
            </w:pPr>
            <w:r>
              <w:rPr>
                <w:rFonts w:ascii="Garamond" w:eastAsia="Times New Roman" w:hAnsi="Garamond" w:cs="Times New Roman"/>
                <w:color w:val="000000"/>
                <w:kern w:val="0"/>
                <w:szCs w:val="24"/>
              </w:rPr>
              <w:t>(</w:t>
            </w:r>
            <w:r w:rsidRPr="006A58F7">
              <w:rPr>
                <w:rFonts w:ascii="Garamond" w:eastAsia="Times New Roman" w:hAnsi="Garamond" w:cs="Times New Roman"/>
                <w:color w:val="000000"/>
                <w:kern w:val="0"/>
                <w:szCs w:val="24"/>
              </w:rPr>
              <w:t>.92</w:t>
            </w:r>
            <w:r>
              <w:rPr>
                <w:rFonts w:ascii="Garamond" w:eastAsia="Times New Roman" w:hAnsi="Garamond" w:cs="Times New Roman"/>
                <w:color w:val="000000"/>
                <w:kern w:val="0"/>
                <w:szCs w:val="24"/>
              </w:rPr>
              <w:t>)</w:t>
            </w:r>
          </w:p>
        </w:tc>
      </w:tr>
      <w:tr w:rsidR="005C3F88" w:rsidRPr="006A58F7" w14:paraId="549D1B17" w14:textId="77777777" w:rsidTr="0058079D">
        <w:trPr>
          <w:trHeight w:val="360"/>
        </w:trPr>
        <w:tc>
          <w:tcPr>
            <w:tcW w:w="6768" w:type="dxa"/>
            <w:tcBorders>
              <w:top w:val="nil"/>
            </w:tcBorders>
            <w:shd w:val="clear" w:color="auto" w:fill="auto"/>
            <w:noWrap/>
            <w:hideMark/>
          </w:tcPr>
          <w:p w14:paraId="569B7BBE" w14:textId="77777777" w:rsidR="005C3F88" w:rsidRPr="00A9392F" w:rsidRDefault="005C3F88" w:rsidP="005C3F88">
            <w:pPr>
              <w:pStyle w:val="ListParagraph"/>
              <w:numPr>
                <w:ilvl w:val="0"/>
                <w:numId w:val="8"/>
              </w:numPr>
              <w:snapToGrid w:val="0"/>
              <w:ind w:leftChars="0" w:left="612"/>
              <w:rPr>
                <w:rFonts w:ascii="Garamond" w:eastAsia="Times New Roman" w:hAnsi="Garamond" w:cs="Times New Roman"/>
                <w:color w:val="000000"/>
              </w:rPr>
            </w:pPr>
            <w:r w:rsidRPr="00E84845">
              <w:rPr>
                <w:rFonts w:ascii="Garamond" w:eastAsia="Times New Roman" w:hAnsi="Garamond" w:cs="Times New Roman"/>
                <w:color w:val="000000"/>
              </w:rPr>
              <w:t>Even in difficult situations, I can depend on my classmates.</w:t>
            </w:r>
          </w:p>
        </w:tc>
        <w:tc>
          <w:tcPr>
            <w:tcW w:w="999" w:type="dxa"/>
            <w:tcBorders>
              <w:top w:val="nil"/>
            </w:tcBorders>
            <w:shd w:val="clear" w:color="auto" w:fill="auto"/>
            <w:noWrap/>
            <w:vAlign w:val="center"/>
          </w:tcPr>
          <w:p w14:paraId="25E70131" w14:textId="77777777" w:rsidR="005C3F88" w:rsidRPr="00301704" w:rsidRDefault="005C3F88" w:rsidP="0058079D">
            <w:pPr>
              <w:widowControl/>
              <w:snapToGrid w:val="0"/>
              <w:jc w:val="center"/>
              <w:rPr>
                <w:rFonts w:ascii="Garamond" w:eastAsia="Times New Roman" w:hAnsi="Garamond" w:cs="Times New Roman"/>
                <w:kern w:val="0"/>
                <w:szCs w:val="24"/>
              </w:rPr>
            </w:pPr>
            <w:r w:rsidRPr="00301704">
              <w:rPr>
                <w:rFonts w:ascii="Garamond" w:eastAsia="Times New Roman" w:hAnsi="Garamond" w:cs="Times New Roman"/>
                <w:kern w:val="0"/>
                <w:szCs w:val="24"/>
              </w:rPr>
              <w:t>.95</w:t>
            </w:r>
          </w:p>
        </w:tc>
        <w:tc>
          <w:tcPr>
            <w:tcW w:w="748" w:type="dxa"/>
            <w:tcBorders>
              <w:top w:val="nil"/>
            </w:tcBorders>
            <w:shd w:val="clear" w:color="auto" w:fill="auto"/>
            <w:noWrap/>
            <w:vAlign w:val="center"/>
          </w:tcPr>
          <w:p w14:paraId="2A256E1F" w14:textId="77777777" w:rsidR="005C3F88" w:rsidRPr="00301704" w:rsidRDefault="005C3F88" w:rsidP="0058079D">
            <w:pPr>
              <w:widowControl/>
              <w:snapToGrid w:val="0"/>
              <w:jc w:val="center"/>
              <w:rPr>
                <w:rFonts w:ascii="Garamond" w:eastAsia="Times New Roman" w:hAnsi="Garamond" w:cs="Times New Roman"/>
                <w:kern w:val="0"/>
                <w:szCs w:val="24"/>
              </w:rPr>
            </w:pPr>
            <w:r w:rsidRPr="00301704">
              <w:rPr>
                <w:rFonts w:ascii="Garamond" w:eastAsia="Times New Roman" w:hAnsi="Garamond" w:cs="Times New Roman"/>
                <w:kern w:val="0"/>
                <w:szCs w:val="24"/>
              </w:rPr>
              <w:t>.91</w:t>
            </w:r>
          </w:p>
        </w:tc>
        <w:tc>
          <w:tcPr>
            <w:tcW w:w="748" w:type="dxa"/>
            <w:tcBorders>
              <w:top w:val="nil"/>
            </w:tcBorders>
            <w:shd w:val="clear" w:color="auto" w:fill="auto"/>
            <w:noWrap/>
            <w:vAlign w:val="center"/>
            <w:hideMark/>
          </w:tcPr>
          <w:p w14:paraId="78FE7360" w14:textId="77777777" w:rsidR="005C3F88" w:rsidRPr="006A58F7" w:rsidRDefault="005C3F88" w:rsidP="0058079D">
            <w:pPr>
              <w:widowControl/>
              <w:snapToGrid w:val="0"/>
              <w:jc w:val="center"/>
              <w:rPr>
                <w:rFonts w:ascii="Garamond" w:eastAsia="Times New Roman" w:hAnsi="Garamond" w:cs="Times New Roman"/>
                <w:color w:val="000000"/>
                <w:kern w:val="0"/>
                <w:szCs w:val="24"/>
              </w:rPr>
            </w:pPr>
            <w:r w:rsidRPr="001944DF">
              <w:rPr>
                <w:rFonts w:ascii="Garamond" w:hAnsi="Garamond"/>
              </w:rPr>
              <w:t>.92</w:t>
            </w:r>
          </w:p>
        </w:tc>
      </w:tr>
      <w:tr w:rsidR="005C3F88" w:rsidRPr="006A58F7" w14:paraId="421A0B79" w14:textId="77777777" w:rsidTr="0058079D">
        <w:trPr>
          <w:trHeight w:val="360"/>
        </w:trPr>
        <w:tc>
          <w:tcPr>
            <w:tcW w:w="6768" w:type="dxa"/>
            <w:shd w:val="clear" w:color="auto" w:fill="auto"/>
            <w:noWrap/>
            <w:hideMark/>
          </w:tcPr>
          <w:p w14:paraId="2A252CE1" w14:textId="77777777" w:rsidR="005C3F88" w:rsidRPr="00A9392F" w:rsidRDefault="005C3F88" w:rsidP="005C3F88">
            <w:pPr>
              <w:pStyle w:val="ListParagraph"/>
              <w:numPr>
                <w:ilvl w:val="0"/>
                <w:numId w:val="8"/>
              </w:numPr>
              <w:snapToGrid w:val="0"/>
              <w:ind w:leftChars="0" w:left="612"/>
              <w:rPr>
                <w:rFonts w:ascii="Garamond" w:eastAsia="Times New Roman" w:hAnsi="Garamond" w:cs="Times New Roman"/>
                <w:color w:val="000000"/>
              </w:rPr>
            </w:pPr>
            <w:r w:rsidRPr="00E84845">
              <w:rPr>
                <w:rFonts w:ascii="Garamond" w:eastAsia="Times New Roman" w:hAnsi="Garamond" w:cs="Times New Roman"/>
                <w:color w:val="000000"/>
              </w:rPr>
              <w:t>I can always count on my classmates.</w:t>
            </w:r>
          </w:p>
        </w:tc>
        <w:tc>
          <w:tcPr>
            <w:tcW w:w="999" w:type="dxa"/>
            <w:shd w:val="clear" w:color="auto" w:fill="auto"/>
            <w:noWrap/>
            <w:vAlign w:val="center"/>
          </w:tcPr>
          <w:p w14:paraId="6F378050" w14:textId="77777777" w:rsidR="005C3F88" w:rsidRPr="00301704" w:rsidRDefault="005C3F88" w:rsidP="0058079D">
            <w:pPr>
              <w:widowControl/>
              <w:snapToGrid w:val="0"/>
              <w:jc w:val="center"/>
              <w:rPr>
                <w:rFonts w:ascii="Garamond" w:eastAsia="Times New Roman" w:hAnsi="Garamond" w:cs="Times New Roman"/>
                <w:kern w:val="0"/>
                <w:szCs w:val="24"/>
              </w:rPr>
            </w:pPr>
            <w:r w:rsidRPr="00301704">
              <w:rPr>
                <w:rFonts w:ascii="Garamond" w:eastAsia="Times New Roman" w:hAnsi="Garamond" w:cs="Times New Roman"/>
                <w:kern w:val="0"/>
                <w:szCs w:val="24"/>
              </w:rPr>
              <w:t>.95</w:t>
            </w:r>
          </w:p>
        </w:tc>
        <w:tc>
          <w:tcPr>
            <w:tcW w:w="748" w:type="dxa"/>
            <w:shd w:val="clear" w:color="auto" w:fill="auto"/>
            <w:noWrap/>
            <w:vAlign w:val="center"/>
          </w:tcPr>
          <w:p w14:paraId="3F426F54" w14:textId="77777777" w:rsidR="005C3F88" w:rsidRPr="00301704" w:rsidRDefault="005C3F88" w:rsidP="0058079D">
            <w:pPr>
              <w:widowControl/>
              <w:snapToGrid w:val="0"/>
              <w:jc w:val="center"/>
              <w:rPr>
                <w:rFonts w:ascii="Garamond" w:eastAsia="Times New Roman" w:hAnsi="Garamond" w:cs="Times New Roman"/>
                <w:kern w:val="0"/>
                <w:szCs w:val="24"/>
              </w:rPr>
            </w:pPr>
            <w:r w:rsidRPr="00301704">
              <w:rPr>
                <w:rFonts w:ascii="Garamond" w:eastAsia="Times New Roman" w:hAnsi="Garamond" w:cs="Times New Roman"/>
                <w:kern w:val="0"/>
                <w:szCs w:val="24"/>
              </w:rPr>
              <w:t>.87</w:t>
            </w:r>
          </w:p>
        </w:tc>
        <w:tc>
          <w:tcPr>
            <w:tcW w:w="748" w:type="dxa"/>
            <w:shd w:val="clear" w:color="auto" w:fill="auto"/>
            <w:noWrap/>
            <w:vAlign w:val="center"/>
            <w:hideMark/>
          </w:tcPr>
          <w:p w14:paraId="72B5C380" w14:textId="77777777" w:rsidR="005C3F88" w:rsidRPr="006A58F7" w:rsidRDefault="005C3F88" w:rsidP="0058079D">
            <w:pPr>
              <w:widowControl/>
              <w:snapToGrid w:val="0"/>
              <w:jc w:val="center"/>
              <w:rPr>
                <w:rFonts w:ascii="Garamond" w:eastAsia="Times New Roman" w:hAnsi="Garamond" w:cs="Times New Roman"/>
                <w:color w:val="000000"/>
                <w:kern w:val="0"/>
                <w:szCs w:val="24"/>
              </w:rPr>
            </w:pPr>
            <w:r w:rsidRPr="001944DF">
              <w:rPr>
                <w:rFonts w:ascii="Garamond" w:hAnsi="Garamond"/>
              </w:rPr>
              <w:t>.90</w:t>
            </w:r>
          </w:p>
        </w:tc>
      </w:tr>
      <w:tr w:rsidR="005C3F88" w:rsidRPr="006A58F7" w14:paraId="634A6038" w14:textId="77777777" w:rsidTr="0058079D">
        <w:trPr>
          <w:trHeight w:val="360"/>
        </w:trPr>
        <w:tc>
          <w:tcPr>
            <w:tcW w:w="6768" w:type="dxa"/>
            <w:shd w:val="clear" w:color="auto" w:fill="auto"/>
            <w:noWrap/>
            <w:hideMark/>
          </w:tcPr>
          <w:p w14:paraId="7C36F21A" w14:textId="77777777" w:rsidR="005C3F88" w:rsidRPr="00A9392F" w:rsidRDefault="005C3F88" w:rsidP="005C3F88">
            <w:pPr>
              <w:pStyle w:val="ListParagraph"/>
              <w:numPr>
                <w:ilvl w:val="0"/>
                <w:numId w:val="8"/>
              </w:numPr>
              <w:snapToGrid w:val="0"/>
              <w:ind w:leftChars="0" w:left="612"/>
              <w:rPr>
                <w:rFonts w:ascii="Garamond" w:eastAsia="Times New Roman" w:hAnsi="Garamond" w:cs="Times New Roman"/>
                <w:color w:val="000000"/>
              </w:rPr>
            </w:pPr>
            <w:r w:rsidRPr="00E84845">
              <w:rPr>
                <w:rFonts w:ascii="Garamond" w:eastAsia="Times New Roman" w:hAnsi="Garamond" w:cs="Times New Roman"/>
                <w:color w:val="000000"/>
              </w:rPr>
              <w:t>I trust my classmates.</w:t>
            </w:r>
          </w:p>
        </w:tc>
        <w:tc>
          <w:tcPr>
            <w:tcW w:w="999" w:type="dxa"/>
            <w:shd w:val="clear" w:color="auto" w:fill="auto"/>
            <w:noWrap/>
            <w:vAlign w:val="center"/>
          </w:tcPr>
          <w:p w14:paraId="62F2C4C8" w14:textId="77777777" w:rsidR="005C3F88" w:rsidRPr="00301704" w:rsidRDefault="005C3F88" w:rsidP="0058079D">
            <w:pPr>
              <w:widowControl/>
              <w:snapToGrid w:val="0"/>
              <w:jc w:val="center"/>
              <w:rPr>
                <w:rFonts w:ascii="Garamond" w:eastAsia="Times New Roman" w:hAnsi="Garamond" w:cs="Times New Roman"/>
                <w:kern w:val="0"/>
                <w:szCs w:val="24"/>
              </w:rPr>
            </w:pPr>
            <w:r w:rsidRPr="00301704">
              <w:rPr>
                <w:rFonts w:ascii="Garamond" w:eastAsia="Times New Roman" w:hAnsi="Garamond" w:cs="Times New Roman"/>
                <w:kern w:val="0"/>
                <w:szCs w:val="24"/>
              </w:rPr>
              <w:t>.94</w:t>
            </w:r>
          </w:p>
        </w:tc>
        <w:tc>
          <w:tcPr>
            <w:tcW w:w="748" w:type="dxa"/>
            <w:shd w:val="clear" w:color="auto" w:fill="auto"/>
            <w:noWrap/>
            <w:vAlign w:val="center"/>
          </w:tcPr>
          <w:p w14:paraId="167417E2" w14:textId="77777777" w:rsidR="005C3F88" w:rsidRPr="00301704" w:rsidRDefault="005C3F88" w:rsidP="0058079D">
            <w:pPr>
              <w:widowControl/>
              <w:snapToGrid w:val="0"/>
              <w:jc w:val="center"/>
              <w:rPr>
                <w:rFonts w:ascii="Garamond" w:eastAsia="Times New Roman" w:hAnsi="Garamond" w:cs="Times New Roman"/>
                <w:kern w:val="0"/>
                <w:szCs w:val="24"/>
              </w:rPr>
            </w:pPr>
            <w:r w:rsidRPr="00301704">
              <w:rPr>
                <w:rFonts w:ascii="Garamond" w:eastAsia="Times New Roman" w:hAnsi="Garamond" w:cs="Times New Roman"/>
                <w:kern w:val="0"/>
                <w:szCs w:val="24"/>
              </w:rPr>
              <w:t>.87</w:t>
            </w:r>
          </w:p>
        </w:tc>
        <w:tc>
          <w:tcPr>
            <w:tcW w:w="748" w:type="dxa"/>
            <w:shd w:val="clear" w:color="auto" w:fill="auto"/>
            <w:noWrap/>
            <w:vAlign w:val="center"/>
            <w:hideMark/>
          </w:tcPr>
          <w:p w14:paraId="7EC4E9CD" w14:textId="77777777" w:rsidR="005C3F88" w:rsidRPr="006A58F7" w:rsidRDefault="005C3F88" w:rsidP="0058079D">
            <w:pPr>
              <w:widowControl/>
              <w:snapToGrid w:val="0"/>
              <w:jc w:val="center"/>
              <w:rPr>
                <w:rFonts w:ascii="Garamond" w:eastAsia="Times New Roman" w:hAnsi="Garamond" w:cs="Times New Roman"/>
                <w:color w:val="000000"/>
                <w:kern w:val="0"/>
                <w:szCs w:val="24"/>
              </w:rPr>
            </w:pPr>
            <w:r w:rsidRPr="001944DF">
              <w:rPr>
                <w:rFonts w:ascii="Garamond" w:hAnsi="Garamond"/>
              </w:rPr>
              <w:t>.88</w:t>
            </w:r>
          </w:p>
        </w:tc>
      </w:tr>
      <w:tr w:rsidR="005C3F88" w:rsidRPr="006A58F7" w14:paraId="22CB745B" w14:textId="77777777" w:rsidTr="0058079D">
        <w:trPr>
          <w:trHeight w:val="360"/>
        </w:trPr>
        <w:tc>
          <w:tcPr>
            <w:tcW w:w="6768" w:type="dxa"/>
            <w:shd w:val="clear" w:color="auto" w:fill="auto"/>
            <w:noWrap/>
            <w:hideMark/>
          </w:tcPr>
          <w:p w14:paraId="375A4333" w14:textId="77777777" w:rsidR="005C3F88" w:rsidRPr="00A9392F" w:rsidRDefault="005C3F88" w:rsidP="005C3F88">
            <w:pPr>
              <w:pStyle w:val="ListParagraph"/>
              <w:numPr>
                <w:ilvl w:val="0"/>
                <w:numId w:val="8"/>
              </w:numPr>
              <w:snapToGrid w:val="0"/>
              <w:ind w:leftChars="0" w:left="612"/>
              <w:rPr>
                <w:rFonts w:ascii="Garamond" w:eastAsia="Times New Roman" w:hAnsi="Garamond" w:cs="Times New Roman"/>
                <w:color w:val="000000"/>
              </w:rPr>
            </w:pPr>
            <w:r w:rsidRPr="00E84845">
              <w:rPr>
                <w:rFonts w:ascii="Garamond" w:eastAsia="Times New Roman" w:hAnsi="Garamond" w:cs="Times New Roman"/>
                <w:color w:val="000000"/>
              </w:rPr>
              <w:t>I find that my classmates are open to me.</w:t>
            </w:r>
          </w:p>
        </w:tc>
        <w:tc>
          <w:tcPr>
            <w:tcW w:w="999" w:type="dxa"/>
            <w:shd w:val="clear" w:color="auto" w:fill="auto"/>
            <w:noWrap/>
            <w:vAlign w:val="center"/>
          </w:tcPr>
          <w:p w14:paraId="1CD0C2DD" w14:textId="77777777" w:rsidR="005C3F88" w:rsidRPr="00301704" w:rsidRDefault="005C3F88" w:rsidP="0058079D">
            <w:pPr>
              <w:widowControl/>
              <w:snapToGrid w:val="0"/>
              <w:jc w:val="center"/>
              <w:rPr>
                <w:rFonts w:ascii="Garamond" w:eastAsia="Times New Roman" w:hAnsi="Garamond" w:cs="Times New Roman"/>
                <w:kern w:val="0"/>
                <w:szCs w:val="24"/>
              </w:rPr>
            </w:pPr>
            <w:r w:rsidRPr="00301704">
              <w:rPr>
                <w:rFonts w:ascii="Garamond" w:eastAsia="Times New Roman" w:hAnsi="Garamond" w:cs="Times New Roman"/>
                <w:kern w:val="0"/>
                <w:szCs w:val="24"/>
              </w:rPr>
              <w:t>.89</w:t>
            </w:r>
          </w:p>
        </w:tc>
        <w:tc>
          <w:tcPr>
            <w:tcW w:w="748" w:type="dxa"/>
            <w:shd w:val="clear" w:color="auto" w:fill="auto"/>
            <w:noWrap/>
            <w:vAlign w:val="center"/>
          </w:tcPr>
          <w:p w14:paraId="0FD048C4" w14:textId="77777777" w:rsidR="005C3F88" w:rsidRPr="00301704" w:rsidRDefault="005C3F88" w:rsidP="0058079D">
            <w:pPr>
              <w:widowControl/>
              <w:snapToGrid w:val="0"/>
              <w:jc w:val="center"/>
              <w:rPr>
                <w:rFonts w:ascii="Garamond" w:eastAsia="Times New Roman" w:hAnsi="Garamond" w:cs="Times New Roman"/>
                <w:kern w:val="0"/>
                <w:szCs w:val="24"/>
              </w:rPr>
            </w:pPr>
            <w:r w:rsidRPr="00301704">
              <w:rPr>
                <w:rFonts w:ascii="Garamond" w:eastAsia="Times New Roman" w:hAnsi="Garamond" w:cs="Times New Roman"/>
                <w:kern w:val="0"/>
                <w:szCs w:val="24"/>
              </w:rPr>
              <w:t>.84</w:t>
            </w:r>
          </w:p>
        </w:tc>
        <w:tc>
          <w:tcPr>
            <w:tcW w:w="748" w:type="dxa"/>
            <w:shd w:val="clear" w:color="auto" w:fill="auto"/>
            <w:noWrap/>
            <w:vAlign w:val="center"/>
            <w:hideMark/>
          </w:tcPr>
          <w:p w14:paraId="44844EAF" w14:textId="77777777" w:rsidR="005C3F88" w:rsidRPr="006A58F7" w:rsidRDefault="005C3F88" w:rsidP="0058079D">
            <w:pPr>
              <w:widowControl/>
              <w:snapToGrid w:val="0"/>
              <w:jc w:val="center"/>
              <w:rPr>
                <w:rFonts w:ascii="Garamond" w:eastAsia="Times New Roman" w:hAnsi="Garamond" w:cs="Times New Roman"/>
                <w:color w:val="000000"/>
                <w:kern w:val="0"/>
                <w:szCs w:val="24"/>
              </w:rPr>
            </w:pPr>
            <w:r w:rsidRPr="001944DF">
              <w:rPr>
                <w:rFonts w:ascii="Garamond" w:hAnsi="Garamond"/>
              </w:rPr>
              <w:t>.84</w:t>
            </w:r>
          </w:p>
        </w:tc>
      </w:tr>
      <w:tr w:rsidR="005C3F88" w:rsidRPr="006A58F7" w14:paraId="3DBDD63D" w14:textId="77777777" w:rsidTr="0058079D">
        <w:trPr>
          <w:trHeight w:val="360"/>
        </w:trPr>
        <w:tc>
          <w:tcPr>
            <w:tcW w:w="6768" w:type="dxa"/>
            <w:tcBorders>
              <w:bottom w:val="nil"/>
            </w:tcBorders>
            <w:shd w:val="clear" w:color="auto" w:fill="auto"/>
            <w:noWrap/>
            <w:hideMark/>
          </w:tcPr>
          <w:p w14:paraId="723B864C" w14:textId="77777777" w:rsidR="005C3F88" w:rsidRPr="00A9392F" w:rsidRDefault="005C3F88" w:rsidP="005C3F88">
            <w:pPr>
              <w:pStyle w:val="ListParagraph"/>
              <w:numPr>
                <w:ilvl w:val="0"/>
                <w:numId w:val="8"/>
              </w:numPr>
              <w:snapToGrid w:val="0"/>
              <w:ind w:leftChars="0" w:left="612"/>
              <w:rPr>
                <w:rFonts w:ascii="Garamond" w:eastAsia="Times New Roman" w:hAnsi="Garamond" w:cs="Times New Roman"/>
                <w:color w:val="000000"/>
              </w:rPr>
            </w:pPr>
            <w:r w:rsidRPr="00E84845">
              <w:rPr>
                <w:rFonts w:ascii="Garamond" w:eastAsia="Times New Roman" w:hAnsi="Garamond" w:cs="Times New Roman"/>
                <w:color w:val="000000"/>
              </w:rPr>
              <w:t>I really care about my classmates.</w:t>
            </w:r>
          </w:p>
        </w:tc>
        <w:tc>
          <w:tcPr>
            <w:tcW w:w="999" w:type="dxa"/>
            <w:tcBorders>
              <w:bottom w:val="nil"/>
            </w:tcBorders>
            <w:shd w:val="clear" w:color="auto" w:fill="auto"/>
            <w:noWrap/>
            <w:vAlign w:val="center"/>
          </w:tcPr>
          <w:p w14:paraId="709BF722" w14:textId="77777777" w:rsidR="005C3F88" w:rsidRPr="00301704" w:rsidRDefault="005C3F88" w:rsidP="0058079D">
            <w:pPr>
              <w:widowControl/>
              <w:snapToGrid w:val="0"/>
              <w:jc w:val="center"/>
              <w:rPr>
                <w:rFonts w:ascii="Garamond" w:eastAsia="Times New Roman" w:hAnsi="Garamond" w:cs="Times New Roman"/>
                <w:kern w:val="0"/>
                <w:szCs w:val="24"/>
              </w:rPr>
            </w:pPr>
            <w:r w:rsidRPr="00301704">
              <w:rPr>
                <w:rFonts w:ascii="Garamond" w:eastAsia="Times New Roman" w:hAnsi="Garamond" w:cs="Times New Roman"/>
                <w:kern w:val="0"/>
                <w:szCs w:val="24"/>
              </w:rPr>
              <w:t>.91</w:t>
            </w:r>
          </w:p>
        </w:tc>
        <w:tc>
          <w:tcPr>
            <w:tcW w:w="748" w:type="dxa"/>
            <w:tcBorders>
              <w:bottom w:val="nil"/>
            </w:tcBorders>
            <w:shd w:val="clear" w:color="auto" w:fill="auto"/>
            <w:noWrap/>
            <w:vAlign w:val="center"/>
          </w:tcPr>
          <w:p w14:paraId="2A64D85A" w14:textId="77777777" w:rsidR="005C3F88" w:rsidRPr="00301704" w:rsidRDefault="005C3F88" w:rsidP="0058079D">
            <w:pPr>
              <w:widowControl/>
              <w:snapToGrid w:val="0"/>
              <w:jc w:val="center"/>
              <w:rPr>
                <w:rFonts w:ascii="Garamond" w:eastAsia="Times New Roman" w:hAnsi="Garamond" w:cs="Times New Roman"/>
                <w:kern w:val="0"/>
                <w:szCs w:val="24"/>
              </w:rPr>
            </w:pPr>
            <w:r w:rsidRPr="00301704">
              <w:rPr>
                <w:rFonts w:ascii="Garamond" w:eastAsia="Times New Roman" w:hAnsi="Garamond" w:cs="Times New Roman"/>
                <w:kern w:val="0"/>
                <w:szCs w:val="24"/>
              </w:rPr>
              <w:t>.79</w:t>
            </w:r>
          </w:p>
        </w:tc>
        <w:tc>
          <w:tcPr>
            <w:tcW w:w="748" w:type="dxa"/>
            <w:tcBorders>
              <w:bottom w:val="nil"/>
            </w:tcBorders>
            <w:shd w:val="clear" w:color="auto" w:fill="auto"/>
            <w:noWrap/>
            <w:vAlign w:val="center"/>
            <w:hideMark/>
          </w:tcPr>
          <w:p w14:paraId="79CCB80D" w14:textId="77777777" w:rsidR="005C3F88" w:rsidRPr="006A58F7" w:rsidRDefault="005C3F88" w:rsidP="0058079D">
            <w:pPr>
              <w:widowControl/>
              <w:snapToGrid w:val="0"/>
              <w:jc w:val="center"/>
              <w:rPr>
                <w:rFonts w:ascii="Garamond" w:eastAsia="Times New Roman" w:hAnsi="Garamond" w:cs="Times New Roman"/>
                <w:color w:val="000000"/>
                <w:kern w:val="0"/>
                <w:szCs w:val="24"/>
              </w:rPr>
            </w:pPr>
            <w:r w:rsidRPr="001944DF">
              <w:rPr>
                <w:rFonts w:ascii="Garamond" w:hAnsi="Garamond"/>
              </w:rPr>
              <w:t>.81</w:t>
            </w:r>
          </w:p>
        </w:tc>
      </w:tr>
      <w:tr w:rsidR="005C3F88" w:rsidRPr="006A58F7" w14:paraId="42C01B1A" w14:textId="77777777" w:rsidTr="0058079D">
        <w:trPr>
          <w:trHeight w:val="360"/>
        </w:trPr>
        <w:tc>
          <w:tcPr>
            <w:tcW w:w="6768" w:type="dxa"/>
            <w:tcBorders>
              <w:top w:val="nil"/>
              <w:bottom w:val="single" w:sz="4" w:space="0" w:color="auto"/>
            </w:tcBorders>
            <w:shd w:val="clear" w:color="auto" w:fill="auto"/>
            <w:noWrap/>
            <w:hideMark/>
          </w:tcPr>
          <w:p w14:paraId="36D0C464" w14:textId="77777777" w:rsidR="005C3F88" w:rsidRPr="00A9392F" w:rsidRDefault="005C3F88" w:rsidP="005C3F88">
            <w:pPr>
              <w:pStyle w:val="ListParagraph"/>
              <w:numPr>
                <w:ilvl w:val="0"/>
                <w:numId w:val="8"/>
              </w:numPr>
              <w:snapToGrid w:val="0"/>
              <w:ind w:leftChars="0" w:left="612"/>
              <w:rPr>
                <w:rFonts w:ascii="Garamond" w:eastAsia="Times New Roman" w:hAnsi="Garamond" w:cs="Times New Roman"/>
                <w:color w:val="000000"/>
              </w:rPr>
            </w:pPr>
            <w:r w:rsidRPr="00E84845">
              <w:rPr>
                <w:rFonts w:ascii="Garamond" w:eastAsia="Times New Roman" w:hAnsi="Garamond" w:cs="Times New Roman"/>
                <w:color w:val="000000"/>
              </w:rPr>
              <w:t>I also share personal information with my classmates.</w:t>
            </w:r>
          </w:p>
        </w:tc>
        <w:tc>
          <w:tcPr>
            <w:tcW w:w="999" w:type="dxa"/>
            <w:tcBorders>
              <w:top w:val="nil"/>
              <w:bottom w:val="single" w:sz="4" w:space="0" w:color="auto"/>
            </w:tcBorders>
            <w:shd w:val="clear" w:color="auto" w:fill="auto"/>
            <w:noWrap/>
            <w:vAlign w:val="center"/>
          </w:tcPr>
          <w:p w14:paraId="020B0F31" w14:textId="77777777" w:rsidR="005C3F88" w:rsidRPr="00301704" w:rsidRDefault="005C3F88" w:rsidP="0058079D">
            <w:pPr>
              <w:widowControl/>
              <w:snapToGrid w:val="0"/>
              <w:jc w:val="center"/>
              <w:rPr>
                <w:rFonts w:ascii="Garamond" w:eastAsia="Times New Roman" w:hAnsi="Garamond" w:cs="Times New Roman"/>
                <w:kern w:val="0"/>
                <w:szCs w:val="24"/>
              </w:rPr>
            </w:pPr>
            <w:r w:rsidRPr="00301704">
              <w:rPr>
                <w:rFonts w:ascii="Garamond" w:eastAsia="Times New Roman" w:hAnsi="Garamond" w:cs="Times New Roman"/>
                <w:kern w:val="0"/>
                <w:szCs w:val="24"/>
              </w:rPr>
              <w:t>.94</w:t>
            </w:r>
          </w:p>
        </w:tc>
        <w:tc>
          <w:tcPr>
            <w:tcW w:w="748" w:type="dxa"/>
            <w:tcBorders>
              <w:top w:val="nil"/>
              <w:bottom w:val="single" w:sz="4" w:space="0" w:color="auto"/>
            </w:tcBorders>
            <w:shd w:val="clear" w:color="auto" w:fill="auto"/>
            <w:noWrap/>
            <w:vAlign w:val="center"/>
          </w:tcPr>
          <w:p w14:paraId="7D527CA0" w14:textId="77777777" w:rsidR="005C3F88" w:rsidRPr="00301704" w:rsidRDefault="005C3F88" w:rsidP="0058079D">
            <w:pPr>
              <w:widowControl/>
              <w:snapToGrid w:val="0"/>
              <w:jc w:val="center"/>
              <w:rPr>
                <w:rFonts w:ascii="Garamond" w:eastAsia="Times New Roman" w:hAnsi="Garamond" w:cs="Times New Roman"/>
                <w:kern w:val="0"/>
                <w:szCs w:val="24"/>
              </w:rPr>
            </w:pPr>
            <w:r w:rsidRPr="00301704">
              <w:rPr>
                <w:rFonts w:ascii="Garamond" w:eastAsia="Times New Roman" w:hAnsi="Garamond" w:cs="Times New Roman"/>
                <w:kern w:val="0"/>
                <w:szCs w:val="24"/>
              </w:rPr>
              <w:t>.49</w:t>
            </w:r>
          </w:p>
        </w:tc>
        <w:tc>
          <w:tcPr>
            <w:tcW w:w="748" w:type="dxa"/>
            <w:tcBorders>
              <w:top w:val="nil"/>
              <w:bottom w:val="single" w:sz="4" w:space="0" w:color="auto"/>
            </w:tcBorders>
            <w:shd w:val="clear" w:color="auto" w:fill="auto"/>
            <w:noWrap/>
            <w:vAlign w:val="center"/>
            <w:hideMark/>
          </w:tcPr>
          <w:p w14:paraId="6083FE50" w14:textId="77777777" w:rsidR="005C3F88" w:rsidRPr="006A58F7" w:rsidRDefault="005C3F88" w:rsidP="0058079D">
            <w:pPr>
              <w:widowControl/>
              <w:snapToGrid w:val="0"/>
              <w:jc w:val="center"/>
              <w:rPr>
                <w:rFonts w:ascii="Garamond" w:eastAsia="Times New Roman" w:hAnsi="Garamond" w:cs="Times New Roman"/>
                <w:color w:val="000000"/>
                <w:kern w:val="0"/>
                <w:szCs w:val="24"/>
              </w:rPr>
            </w:pPr>
            <w:r w:rsidRPr="001944DF">
              <w:rPr>
                <w:rFonts w:ascii="Garamond" w:hAnsi="Garamond"/>
              </w:rPr>
              <w:t>.78</w:t>
            </w:r>
          </w:p>
        </w:tc>
      </w:tr>
    </w:tbl>
    <w:p w14:paraId="5EDC9EB1" w14:textId="77777777" w:rsidR="005C3F88" w:rsidRDefault="005C3F88" w:rsidP="005C3F88">
      <w:pPr>
        <w:widowControl/>
        <w:snapToGrid w:val="0"/>
        <w:rPr>
          <w:rFonts w:ascii="Garamond" w:hAnsi="Garamond"/>
        </w:rPr>
      </w:pPr>
      <w:r w:rsidRPr="001944DF">
        <w:rPr>
          <w:rFonts w:ascii="Garamond" w:hAnsi="Garamond"/>
          <w:i/>
        </w:rPr>
        <w:t>Note</w:t>
      </w:r>
      <w:r w:rsidRPr="001944DF">
        <w:rPr>
          <w:rFonts w:ascii="Garamond" w:hAnsi="Garamond"/>
        </w:rPr>
        <w:t xml:space="preserve">: </w:t>
      </w:r>
      <w:r>
        <w:rPr>
          <w:rFonts w:ascii="Garamond" w:hAnsi="Garamond"/>
        </w:rPr>
        <w:t xml:space="preserve">Value in parenthesis represents reliability Cronbach’s alpha (α). </w:t>
      </w:r>
    </w:p>
    <w:p w14:paraId="50C0DBDE" w14:textId="77777777" w:rsidR="005C3F88" w:rsidRDefault="005C3F88" w:rsidP="005C3F88">
      <w:pPr>
        <w:snapToGrid w:val="0"/>
        <w:spacing w:line="480" w:lineRule="auto"/>
        <w:rPr>
          <w:rFonts w:ascii="Garamond" w:hAnsi="Garamond"/>
          <w:szCs w:val="24"/>
        </w:rPr>
      </w:pPr>
    </w:p>
    <w:p w14:paraId="11BFBF40" w14:textId="77777777" w:rsidR="005C3F88" w:rsidRDefault="005C3F88" w:rsidP="005C3F88">
      <w:pPr>
        <w:snapToGrid w:val="0"/>
        <w:spacing w:line="480" w:lineRule="auto"/>
        <w:rPr>
          <w:rFonts w:ascii="Garamond" w:hAnsi="Garamond"/>
          <w:szCs w:val="24"/>
        </w:rPr>
      </w:pPr>
    </w:p>
    <w:p w14:paraId="0418A770" w14:textId="77777777" w:rsidR="005C3F88" w:rsidRDefault="005C3F88" w:rsidP="005C3F88">
      <w:pPr>
        <w:widowControl/>
        <w:spacing w:after="160" w:line="259" w:lineRule="auto"/>
        <w:rPr>
          <w:rFonts w:ascii="Garamond" w:hAnsi="Garamond"/>
          <w:szCs w:val="24"/>
        </w:rPr>
      </w:pPr>
      <w:r>
        <w:rPr>
          <w:rFonts w:ascii="Garamond" w:hAnsi="Garamond"/>
          <w:szCs w:val="24"/>
        </w:rPr>
        <w:br w:type="page"/>
      </w:r>
    </w:p>
    <w:p w14:paraId="40DC151B" w14:textId="77777777" w:rsidR="005C3F88" w:rsidRDefault="005C3F88" w:rsidP="005C3F88">
      <w:pPr>
        <w:snapToGrid w:val="0"/>
        <w:spacing w:line="480" w:lineRule="auto"/>
        <w:rPr>
          <w:rFonts w:ascii="Garamond" w:hAnsi="Garamond"/>
          <w:szCs w:val="24"/>
        </w:rPr>
      </w:pPr>
      <w:r>
        <w:rPr>
          <w:rFonts w:ascii="Garamond" w:hAnsi="Garamond"/>
          <w:szCs w:val="24"/>
        </w:rPr>
        <w:lastRenderedPageBreak/>
        <w:t>Table 2: Descriptive Statistics of Study Variables</w:t>
      </w:r>
    </w:p>
    <w:tbl>
      <w:tblPr>
        <w:tblW w:w="7849" w:type="dxa"/>
        <w:tblBorders>
          <w:top w:val="single" w:sz="4" w:space="0" w:color="auto"/>
          <w:bottom w:val="single" w:sz="4" w:space="0" w:color="auto"/>
        </w:tblBorders>
        <w:tblLayout w:type="fixed"/>
        <w:tblLook w:val="04A0" w:firstRow="1" w:lastRow="0" w:firstColumn="1" w:lastColumn="0" w:noHBand="0" w:noVBand="1"/>
      </w:tblPr>
      <w:tblGrid>
        <w:gridCol w:w="3529"/>
        <w:gridCol w:w="1440"/>
        <w:gridCol w:w="1440"/>
        <w:gridCol w:w="1440"/>
      </w:tblGrid>
      <w:tr w:rsidR="005C3F88" w:rsidRPr="00D1380F" w14:paraId="36361270" w14:textId="77777777" w:rsidTr="0058079D">
        <w:trPr>
          <w:trHeight w:val="317"/>
        </w:trPr>
        <w:tc>
          <w:tcPr>
            <w:tcW w:w="3529" w:type="dxa"/>
            <w:tcBorders>
              <w:top w:val="single" w:sz="4" w:space="0" w:color="auto"/>
              <w:bottom w:val="single" w:sz="4" w:space="0" w:color="auto"/>
            </w:tcBorders>
            <w:shd w:val="clear" w:color="auto" w:fill="auto"/>
            <w:noWrap/>
            <w:vAlign w:val="center"/>
            <w:hideMark/>
          </w:tcPr>
          <w:p w14:paraId="56228719" w14:textId="77777777" w:rsidR="005C3F88" w:rsidRPr="00D1380F" w:rsidRDefault="005C3F88" w:rsidP="0058079D">
            <w:pPr>
              <w:widowControl/>
              <w:rPr>
                <w:rFonts w:ascii="Garamond" w:eastAsia="Times New Roman" w:hAnsi="Garamond" w:cs="Times New Roman"/>
                <w:kern w:val="0"/>
                <w:szCs w:val="24"/>
              </w:rPr>
            </w:pPr>
          </w:p>
        </w:tc>
        <w:tc>
          <w:tcPr>
            <w:tcW w:w="1440" w:type="dxa"/>
            <w:tcBorders>
              <w:top w:val="single" w:sz="4" w:space="0" w:color="auto"/>
              <w:bottom w:val="single" w:sz="4" w:space="0" w:color="auto"/>
            </w:tcBorders>
            <w:shd w:val="clear" w:color="auto" w:fill="auto"/>
            <w:noWrap/>
            <w:vAlign w:val="center"/>
            <w:hideMark/>
          </w:tcPr>
          <w:p w14:paraId="05A59F34" w14:textId="77777777" w:rsidR="005C3F88" w:rsidRPr="00D1380F" w:rsidRDefault="005C3F88" w:rsidP="0058079D">
            <w:pPr>
              <w:widowControl/>
              <w:jc w:val="right"/>
              <w:rPr>
                <w:rFonts w:ascii="Garamond" w:eastAsia="Times New Roman" w:hAnsi="Garamond" w:cs="Calibri"/>
                <w:color w:val="000000"/>
                <w:kern w:val="0"/>
                <w:szCs w:val="24"/>
              </w:rPr>
            </w:pPr>
            <w:r w:rsidRPr="00D1380F">
              <w:rPr>
                <w:rFonts w:ascii="Garamond" w:eastAsia="Times New Roman" w:hAnsi="Garamond" w:cs="Calibri"/>
                <w:color w:val="000000"/>
                <w:kern w:val="0"/>
                <w:szCs w:val="24"/>
              </w:rPr>
              <w:t>England</w:t>
            </w:r>
          </w:p>
        </w:tc>
        <w:tc>
          <w:tcPr>
            <w:tcW w:w="1440" w:type="dxa"/>
            <w:tcBorders>
              <w:top w:val="single" w:sz="4" w:space="0" w:color="auto"/>
              <w:bottom w:val="single" w:sz="4" w:space="0" w:color="auto"/>
            </w:tcBorders>
            <w:shd w:val="clear" w:color="auto" w:fill="auto"/>
            <w:noWrap/>
            <w:vAlign w:val="center"/>
            <w:hideMark/>
          </w:tcPr>
          <w:p w14:paraId="3DD94E8E" w14:textId="77777777" w:rsidR="005C3F88" w:rsidRPr="00D1380F" w:rsidRDefault="005C3F88" w:rsidP="0058079D">
            <w:pPr>
              <w:widowControl/>
              <w:jc w:val="right"/>
              <w:rPr>
                <w:rFonts w:ascii="Garamond" w:eastAsia="Times New Roman" w:hAnsi="Garamond" w:cs="Calibri"/>
                <w:color w:val="000000"/>
                <w:kern w:val="0"/>
                <w:szCs w:val="24"/>
              </w:rPr>
            </w:pPr>
            <w:r w:rsidRPr="00D1380F">
              <w:rPr>
                <w:rFonts w:ascii="Garamond" w:eastAsia="Times New Roman" w:hAnsi="Garamond" w:cs="Calibri"/>
                <w:color w:val="000000"/>
                <w:kern w:val="0"/>
                <w:szCs w:val="24"/>
              </w:rPr>
              <w:t>Spain</w:t>
            </w:r>
          </w:p>
        </w:tc>
        <w:tc>
          <w:tcPr>
            <w:tcW w:w="1440" w:type="dxa"/>
            <w:tcBorders>
              <w:top w:val="single" w:sz="4" w:space="0" w:color="auto"/>
              <w:bottom w:val="single" w:sz="4" w:space="0" w:color="auto"/>
            </w:tcBorders>
            <w:shd w:val="clear" w:color="auto" w:fill="auto"/>
            <w:noWrap/>
            <w:vAlign w:val="center"/>
            <w:hideMark/>
          </w:tcPr>
          <w:p w14:paraId="54A76E0F" w14:textId="77777777" w:rsidR="005C3F88" w:rsidRPr="00D1380F" w:rsidRDefault="005C3F88" w:rsidP="0058079D">
            <w:pPr>
              <w:widowControl/>
              <w:jc w:val="right"/>
              <w:rPr>
                <w:rFonts w:ascii="Garamond" w:eastAsia="Times New Roman" w:hAnsi="Garamond" w:cs="Calibri"/>
                <w:color w:val="000000"/>
                <w:kern w:val="0"/>
                <w:szCs w:val="24"/>
              </w:rPr>
            </w:pPr>
            <w:r w:rsidRPr="00D1380F">
              <w:rPr>
                <w:rFonts w:ascii="Garamond" w:eastAsia="Times New Roman" w:hAnsi="Garamond" w:cs="Calibri"/>
                <w:color w:val="000000"/>
                <w:kern w:val="0"/>
                <w:szCs w:val="24"/>
              </w:rPr>
              <w:t>US</w:t>
            </w:r>
          </w:p>
        </w:tc>
      </w:tr>
      <w:tr w:rsidR="005C3F88" w:rsidRPr="00D1380F" w14:paraId="4FB56E95" w14:textId="77777777" w:rsidTr="0058079D">
        <w:trPr>
          <w:trHeight w:val="317"/>
        </w:trPr>
        <w:tc>
          <w:tcPr>
            <w:tcW w:w="3529" w:type="dxa"/>
            <w:tcBorders>
              <w:top w:val="single" w:sz="4" w:space="0" w:color="auto"/>
            </w:tcBorders>
            <w:shd w:val="clear" w:color="auto" w:fill="auto"/>
            <w:noWrap/>
            <w:vAlign w:val="center"/>
            <w:hideMark/>
          </w:tcPr>
          <w:p w14:paraId="536E161F" w14:textId="77777777" w:rsidR="005C3F88" w:rsidRPr="00D1380F" w:rsidRDefault="005C3F88" w:rsidP="0058079D">
            <w:pPr>
              <w:widowControl/>
              <w:rPr>
                <w:rFonts w:ascii="Garamond" w:eastAsia="Times New Roman" w:hAnsi="Garamond" w:cs="Calibri"/>
                <w:color w:val="000000"/>
                <w:kern w:val="0"/>
                <w:szCs w:val="24"/>
              </w:rPr>
            </w:pPr>
            <w:r w:rsidRPr="00D1380F">
              <w:rPr>
                <w:rFonts w:ascii="Garamond" w:eastAsia="Times New Roman" w:hAnsi="Garamond" w:cs="Calibri"/>
                <w:color w:val="000000"/>
                <w:kern w:val="0"/>
                <w:szCs w:val="24"/>
              </w:rPr>
              <w:t>Individual perceptions</w:t>
            </w:r>
          </w:p>
        </w:tc>
        <w:tc>
          <w:tcPr>
            <w:tcW w:w="1440" w:type="dxa"/>
            <w:tcBorders>
              <w:top w:val="single" w:sz="4" w:space="0" w:color="auto"/>
            </w:tcBorders>
            <w:shd w:val="clear" w:color="auto" w:fill="auto"/>
            <w:noWrap/>
            <w:vAlign w:val="center"/>
            <w:hideMark/>
          </w:tcPr>
          <w:p w14:paraId="41538F62" w14:textId="77777777" w:rsidR="005C3F88" w:rsidRPr="00D1380F" w:rsidRDefault="005C3F88" w:rsidP="0058079D">
            <w:pPr>
              <w:widowControl/>
              <w:jc w:val="right"/>
              <w:rPr>
                <w:rFonts w:ascii="Garamond" w:eastAsia="Times New Roman" w:hAnsi="Garamond" w:cs="Calibri"/>
                <w:color w:val="000000"/>
                <w:kern w:val="0"/>
                <w:szCs w:val="24"/>
              </w:rPr>
            </w:pPr>
          </w:p>
        </w:tc>
        <w:tc>
          <w:tcPr>
            <w:tcW w:w="1440" w:type="dxa"/>
            <w:tcBorders>
              <w:top w:val="single" w:sz="4" w:space="0" w:color="auto"/>
            </w:tcBorders>
            <w:shd w:val="clear" w:color="auto" w:fill="auto"/>
            <w:noWrap/>
            <w:vAlign w:val="center"/>
            <w:hideMark/>
          </w:tcPr>
          <w:p w14:paraId="3DB08090" w14:textId="77777777" w:rsidR="005C3F88" w:rsidRPr="00D1380F" w:rsidRDefault="005C3F88" w:rsidP="0058079D">
            <w:pPr>
              <w:widowControl/>
              <w:jc w:val="right"/>
              <w:rPr>
                <w:rFonts w:ascii="Garamond" w:eastAsia="Times New Roman" w:hAnsi="Garamond" w:cs="Times New Roman"/>
                <w:kern w:val="0"/>
                <w:szCs w:val="24"/>
              </w:rPr>
            </w:pPr>
          </w:p>
        </w:tc>
        <w:tc>
          <w:tcPr>
            <w:tcW w:w="1440" w:type="dxa"/>
            <w:tcBorders>
              <w:top w:val="single" w:sz="4" w:space="0" w:color="auto"/>
            </w:tcBorders>
            <w:shd w:val="clear" w:color="auto" w:fill="auto"/>
            <w:noWrap/>
            <w:vAlign w:val="center"/>
            <w:hideMark/>
          </w:tcPr>
          <w:p w14:paraId="3740E59C" w14:textId="77777777" w:rsidR="005C3F88" w:rsidRPr="00D1380F" w:rsidRDefault="005C3F88" w:rsidP="0058079D">
            <w:pPr>
              <w:widowControl/>
              <w:jc w:val="right"/>
              <w:rPr>
                <w:rFonts w:ascii="Garamond" w:eastAsia="Times New Roman" w:hAnsi="Garamond" w:cs="Times New Roman"/>
                <w:kern w:val="0"/>
                <w:szCs w:val="24"/>
              </w:rPr>
            </w:pPr>
          </w:p>
        </w:tc>
      </w:tr>
      <w:tr w:rsidR="005C3F88" w:rsidRPr="00D1380F" w14:paraId="2E3C3C3B" w14:textId="77777777" w:rsidTr="0058079D">
        <w:trPr>
          <w:trHeight w:val="317"/>
        </w:trPr>
        <w:tc>
          <w:tcPr>
            <w:tcW w:w="3529" w:type="dxa"/>
            <w:shd w:val="clear" w:color="auto" w:fill="auto"/>
            <w:noWrap/>
            <w:vAlign w:val="center"/>
            <w:hideMark/>
          </w:tcPr>
          <w:p w14:paraId="7E602CF5" w14:textId="77777777" w:rsidR="005C3F88" w:rsidRPr="00D1380F" w:rsidRDefault="005C3F88" w:rsidP="0058079D">
            <w:pPr>
              <w:widowControl/>
              <w:ind w:firstLineChars="100" w:firstLine="240"/>
              <w:rPr>
                <w:rFonts w:ascii="Garamond" w:eastAsia="Times New Roman" w:hAnsi="Garamond" w:cs="Calibri"/>
                <w:color w:val="000000"/>
                <w:kern w:val="0"/>
                <w:szCs w:val="24"/>
              </w:rPr>
            </w:pPr>
            <w:r w:rsidRPr="00D1380F">
              <w:rPr>
                <w:rFonts w:ascii="Garamond" w:eastAsia="Times New Roman" w:hAnsi="Garamond" w:cs="Calibri"/>
                <w:color w:val="000000"/>
                <w:kern w:val="0"/>
                <w:szCs w:val="24"/>
              </w:rPr>
              <w:t>Self-efficacy</w:t>
            </w:r>
          </w:p>
        </w:tc>
        <w:tc>
          <w:tcPr>
            <w:tcW w:w="1440" w:type="dxa"/>
            <w:shd w:val="clear" w:color="auto" w:fill="auto"/>
            <w:noWrap/>
            <w:vAlign w:val="center"/>
            <w:hideMark/>
          </w:tcPr>
          <w:p w14:paraId="4AA9A33F" w14:textId="77777777" w:rsidR="005C3F88" w:rsidRPr="00D1380F" w:rsidRDefault="005C3F88" w:rsidP="0058079D">
            <w:pPr>
              <w:widowControl/>
              <w:jc w:val="right"/>
              <w:rPr>
                <w:rFonts w:ascii="Garamond" w:eastAsia="Times New Roman" w:hAnsi="Garamond" w:cs="Calibri"/>
                <w:color w:val="000000"/>
                <w:kern w:val="0"/>
                <w:szCs w:val="24"/>
              </w:rPr>
            </w:pPr>
            <w:r w:rsidRPr="00D1380F">
              <w:rPr>
                <w:rFonts w:ascii="Garamond" w:eastAsia="Times New Roman" w:hAnsi="Garamond" w:cs="Calibri"/>
                <w:color w:val="000000"/>
                <w:kern w:val="0"/>
                <w:szCs w:val="24"/>
              </w:rPr>
              <w:t>7.05(0.62)</w:t>
            </w:r>
          </w:p>
        </w:tc>
        <w:tc>
          <w:tcPr>
            <w:tcW w:w="1440" w:type="dxa"/>
            <w:shd w:val="clear" w:color="auto" w:fill="auto"/>
            <w:noWrap/>
            <w:vAlign w:val="center"/>
            <w:hideMark/>
          </w:tcPr>
          <w:p w14:paraId="68E8859F" w14:textId="77777777" w:rsidR="005C3F88" w:rsidRPr="00D1380F" w:rsidRDefault="005C3F88" w:rsidP="0058079D">
            <w:pPr>
              <w:widowControl/>
              <w:jc w:val="right"/>
              <w:rPr>
                <w:rFonts w:ascii="Garamond" w:eastAsia="Times New Roman" w:hAnsi="Garamond" w:cs="Calibri"/>
                <w:color w:val="000000"/>
                <w:kern w:val="0"/>
                <w:szCs w:val="24"/>
              </w:rPr>
            </w:pPr>
            <w:r w:rsidRPr="00D1380F">
              <w:rPr>
                <w:rFonts w:ascii="Garamond" w:eastAsia="Times New Roman" w:hAnsi="Garamond" w:cs="Calibri"/>
                <w:color w:val="000000"/>
                <w:kern w:val="0"/>
                <w:szCs w:val="24"/>
              </w:rPr>
              <w:t>6.84(0.77)</w:t>
            </w:r>
          </w:p>
        </w:tc>
        <w:tc>
          <w:tcPr>
            <w:tcW w:w="1440" w:type="dxa"/>
            <w:shd w:val="clear" w:color="auto" w:fill="auto"/>
            <w:noWrap/>
            <w:vAlign w:val="center"/>
            <w:hideMark/>
          </w:tcPr>
          <w:p w14:paraId="3B5B0785" w14:textId="77777777" w:rsidR="005C3F88" w:rsidRPr="00D1380F" w:rsidRDefault="005C3F88" w:rsidP="0058079D">
            <w:pPr>
              <w:widowControl/>
              <w:jc w:val="right"/>
              <w:rPr>
                <w:rFonts w:ascii="Garamond" w:eastAsia="Times New Roman" w:hAnsi="Garamond" w:cs="Calibri"/>
                <w:color w:val="000000"/>
                <w:kern w:val="0"/>
                <w:szCs w:val="24"/>
              </w:rPr>
            </w:pPr>
            <w:r w:rsidRPr="00D1380F">
              <w:rPr>
                <w:rFonts w:ascii="Garamond" w:eastAsia="Times New Roman" w:hAnsi="Garamond" w:cs="Calibri"/>
                <w:color w:val="000000"/>
                <w:kern w:val="0"/>
                <w:szCs w:val="24"/>
              </w:rPr>
              <w:t>6.45(1.00)</w:t>
            </w:r>
          </w:p>
        </w:tc>
      </w:tr>
      <w:tr w:rsidR="005C3F88" w:rsidRPr="00D1380F" w14:paraId="1B3A57AB" w14:textId="77777777" w:rsidTr="0058079D">
        <w:trPr>
          <w:trHeight w:val="317"/>
        </w:trPr>
        <w:tc>
          <w:tcPr>
            <w:tcW w:w="3529" w:type="dxa"/>
            <w:shd w:val="clear" w:color="auto" w:fill="auto"/>
            <w:noWrap/>
            <w:vAlign w:val="center"/>
            <w:hideMark/>
          </w:tcPr>
          <w:p w14:paraId="57DF5EC7" w14:textId="77777777" w:rsidR="005C3F88" w:rsidRPr="00D1380F" w:rsidRDefault="005C3F88" w:rsidP="0058079D">
            <w:pPr>
              <w:widowControl/>
              <w:ind w:firstLineChars="100" w:firstLine="240"/>
              <w:rPr>
                <w:rFonts w:ascii="Garamond" w:eastAsia="Times New Roman" w:hAnsi="Garamond" w:cs="Calibri"/>
                <w:color w:val="000000"/>
                <w:kern w:val="0"/>
                <w:szCs w:val="24"/>
              </w:rPr>
            </w:pPr>
            <w:r w:rsidRPr="00D1380F">
              <w:rPr>
                <w:rFonts w:ascii="Garamond" w:eastAsia="Times New Roman" w:hAnsi="Garamond" w:cs="Calibri"/>
                <w:color w:val="000000"/>
                <w:kern w:val="0"/>
                <w:szCs w:val="24"/>
              </w:rPr>
              <w:t>Peer trust</w:t>
            </w:r>
          </w:p>
        </w:tc>
        <w:tc>
          <w:tcPr>
            <w:tcW w:w="1440" w:type="dxa"/>
            <w:shd w:val="clear" w:color="auto" w:fill="auto"/>
            <w:noWrap/>
            <w:vAlign w:val="center"/>
            <w:hideMark/>
          </w:tcPr>
          <w:p w14:paraId="2F43CCBD" w14:textId="77777777" w:rsidR="005C3F88" w:rsidRPr="00D1380F" w:rsidRDefault="005C3F88" w:rsidP="0058079D">
            <w:pPr>
              <w:widowControl/>
              <w:jc w:val="right"/>
              <w:rPr>
                <w:rFonts w:ascii="Garamond" w:eastAsia="Times New Roman" w:hAnsi="Garamond" w:cs="Calibri"/>
                <w:color w:val="000000"/>
                <w:kern w:val="0"/>
                <w:szCs w:val="24"/>
              </w:rPr>
            </w:pPr>
            <w:r w:rsidRPr="00D1380F">
              <w:rPr>
                <w:rFonts w:ascii="Garamond" w:eastAsia="Times New Roman" w:hAnsi="Garamond" w:cs="Calibri"/>
                <w:color w:val="000000"/>
                <w:kern w:val="0"/>
                <w:szCs w:val="24"/>
              </w:rPr>
              <w:t>7.13(1.45)</w:t>
            </w:r>
          </w:p>
        </w:tc>
        <w:tc>
          <w:tcPr>
            <w:tcW w:w="1440" w:type="dxa"/>
            <w:shd w:val="clear" w:color="auto" w:fill="auto"/>
            <w:noWrap/>
            <w:vAlign w:val="center"/>
            <w:hideMark/>
          </w:tcPr>
          <w:p w14:paraId="57123D55" w14:textId="77777777" w:rsidR="005C3F88" w:rsidRPr="00D1380F" w:rsidRDefault="005C3F88" w:rsidP="0058079D">
            <w:pPr>
              <w:widowControl/>
              <w:jc w:val="right"/>
              <w:rPr>
                <w:rFonts w:ascii="Garamond" w:eastAsia="Times New Roman" w:hAnsi="Garamond" w:cs="Calibri"/>
                <w:color w:val="000000"/>
                <w:kern w:val="0"/>
                <w:szCs w:val="24"/>
              </w:rPr>
            </w:pPr>
            <w:r w:rsidRPr="00D1380F">
              <w:rPr>
                <w:rFonts w:ascii="Garamond" w:eastAsia="Times New Roman" w:hAnsi="Garamond" w:cs="Calibri"/>
                <w:color w:val="000000"/>
                <w:kern w:val="0"/>
                <w:szCs w:val="24"/>
              </w:rPr>
              <w:t>6.87(0.74)</w:t>
            </w:r>
          </w:p>
        </w:tc>
        <w:tc>
          <w:tcPr>
            <w:tcW w:w="1440" w:type="dxa"/>
            <w:shd w:val="clear" w:color="auto" w:fill="auto"/>
            <w:noWrap/>
            <w:vAlign w:val="center"/>
            <w:hideMark/>
          </w:tcPr>
          <w:p w14:paraId="71C7DB70" w14:textId="77777777" w:rsidR="005C3F88" w:rsidRPr="00D1380F" w:rsidRDefault="005C3F88" w:rsidP="0058079D">
            <w:pPr>
              <w:widowControl/>
              <w:jc w:val="right"/>
              <w:rPr>
                <w:rFonts w:ascii="Garamond" w:eastAsia="Times New Roman" w:hAnsi="Garamond" w:cs="Calibri"/>
                <w:color w:val="000000"/>
                <w:kern w:val="0"/>
                <w:szCs w:val="24"/>
              </w:rPr>
            </w:pPr>
            <w:r w:rsidRPr="00D1380F">
              <w:rPr>
                <w:rFonts w:ascii="Garamond" w:eastAsia="Times New Roman" w:hAnsi="Garamond" w:cs="Calibri"/>
                <w:color w:val="000000"/>
                <w:kern w:val="0"/>
                <w:szCs w:val="24"/>
              </w:rPr>
              <w:t>6.77(0.91)</w:t>
            </w:r>
          </w:p>
        </w:tc>
      </w:tr>
      <w:tr w:rsidR="005C3F88" w:rsidRPr="00D1380F" w14:paraId="32AFFA5D" w14:textId="77777777" w:rsidTr="0058079D">
        <w:trPr>
          <w:trHeight w:val="317"/>
        </w:trPr>
        <w:tc>
          <w:tcPr>
            <w:tcW w:w="3529" w:type="dxa"/>
            <w:shd w:val="clear" w:color="auto" w:fill="auto"/>
            <w:noWrap/>
            <w:vAlign w:val="center"/>
            <w:hideMark/>
          </w:tcPr>
          <w:p w14:paraId="2841F7E4" w14:textId="77777777" w:rsidR="005C3F88" w:rsidRPr="00D1380F" w:rsidRDefault="005C3F88" w:rsidP="0058079D">
            <w:pPr>
              <w:widowControl/>
              <w:rPr>
                <w:rFonts w:ascii="Garamond" w:eastAsia="Times New Roman" w:hAnsi="Garamond" w:cs="Calibri"/>
                <w:color w:val="000000"/>
                <w:kern w:val="0"/>
                <w:szCs w:val="24"/>
              </w:rPr>
            </w:pPr>
          </w:p>
        </w:tc>
        <w:tc>
          <w:tcPr>
            <w:tcW w:w="1440" w:type="dxa"/>
            <w:shd w:val="clear" w:color="auto" w:fill="auto"/>
            <w:noWrap/>
            <w:vAlign w:val="center"/>
            <w:hideMark/>
          </w:tcPr>
          <w:p w14:paraId="05CFA539" w14:textId="77777777" w:rsidR="005C3F88" w:rsidRPr="00D1380F" w:rsidRDefault="005C3F88" w:rsidP="0058079D">
            <w:pPr>
              <w:widowControl/>
              <w:jc w:val="right"/>
              <w:rPr>
                <w:rFonts w:ascii="Garamond" w:eastAsia="Times New Roman" w:hAnsi="Garamond" w:cs="Times New Roman"/>
                <w:kern w:val="0"/>
                <w:szCs w:val="24"/>
              </w:rPr>
            </w:pPr>
          </w:p>
        </w:tc>
        <w:tc>
          <w:tcPr>
            <w:tcW w:w="1440" w:type="dxa"/>
            <w:shd w:val="clear" w:color="auto" w:fill="auto"/>
            <w:noWrap/>
            <w:vAlign w:val="center"/>
            <w:hideMark/>
          </w:tcPr>
          <w:p w14:paraId="0A022273" w14:textId="77777777" w:rsidR="005C3F88" w:rsidRPr="00D1380F" w:rsidRDefault="005C3F88" w:rsidP="0058079D">
            <w:pPr>
              <w:widowControl/>
              <w:jc w:val="right"/>
              <w:rPr>
                <w:rFonts w:ascii="Garamond" w:eastAsia="Times New Roman" w:hAnsi="Garamond" w:cs="Times New Roman"/>
                <w:kern w:val="0"/>
                <w:szCs w:val="24"/>
              </w:rPr>
            </w:pPr>
          </w:p>
        </w:tc>
        <w:tc>
          <w:tcPr>
            <w:tcW w:w="1440" w:type="dxa"/>
            <w:shd w:val="clear" w:color="auto" w:fill="auto"/>
            <w:noWrap/>
            <w:vAlign w:val="center"/>
            <w:hideMark/>
          </w:tcPr>
          <w:p w14:paraId="0EF045BC" w14:textId="77777777" w:rsidR="005C3F88" w:rsidRPr="00D1380F" w:rsidRDefault="005C3F88" w:rsidP="0058079D">
            <w:pPr>
              <w:widowControl/>
              <w:jc w:val="right"/>
              <w:rPr>
                <w:rFonts w:ascii="Garamond" w:eastAsia="Times New Roman" w:hAnsi="Garamond" w:cs="Times New Roman"/>
                <w:kern w:val="0"/>
                <w:szCs w:val="24"/>
              </w:rPr>
            </w:pPr>
          </w:p>
        </w:tc>
      </w:tr>
      <w:tr w:rsidR="005C3F88" w:rsidRPr="00D1380F" w14:paraId="1EC4B856" w14:textId="77777777" w:rsidTr="0058079D">
        <w:trPr>
          <w:trHeight w:val="317"/>
        </w:trPr>
        <w:tc>
          <w:tcPr>
            <w:tcW w:w="3529" w:type="dxa"/>
            <w:shd w:val="clear" w:color="auto" w:fill="auto"/>
            <w:noWrap/>
            <w:vAlign w:val="center"/>
            <w:hideMark/>
          </w:tcPr>
          <w:p w14:paraId="24249D0D" w14:textId="77777777" w:rsidR="005C3F88" w:rsidRPr="00D1380F" w:rsidRDefault="005C3F88" w:rsidP="0058079D">
            <w:pPr>
              <w:widowControl/>
              <w:rPr>
                <w:rFonts w:ascii="Garamond" w:eastAsia="Times New Roman" w:hAnsi="Garamond" w:cs="Calibri"/>
                <w:color w:val="000000"/>
                <w:kern w:val="0"/>
                <w:szCs w:val="24"/>
              </w:rPr>
            </w:pPr>
            <w:r w:rsidRPr="00D1380F">
              <w:rPr>
                <w:rFonts w:ascii="Garamond" w:eastAsia="Times New Roman" w:hAnsi="Garamond" w:cs="Calibri"/>
                <w:color w:val="000000"/>
                <w:kern w:val="0"/>
                <w:szCs w:val="24"/>
              </w:rPr>
              <w:t>Social networks</w:t>
            </w:r>
          </w:p>
        </w:tc>
        <w:tc>
          <w:tcPr>
            <w:tcW w:w="1440" w:type="dxa"/>
            <w:shd w:val="clear" w:color="auto" w:fill="auto"/>
            <w:noWrap/>
            <w:vAlign w:val="center"/>
            <w:hideMark/>
          </w:tcPr>
          <w:p w14:paraId="2BA9B857" w14:textId="77777777" w:rsidR="005C3F88" w:rsidRPr="00D1380F" w:rsidRDefault="005C3F88" w:rsidP="0058079D">
            <w:pPr>
              <w:widowControl/>
              <w:jc w:val="right"/>
              <w:rPr>
                <w:rFonts w:ascii="Garamond" w:eastAsia="Times New Roman" w:hAnsi="Garamond" w:cs="Calibri"/>
                <w:color w:val="000000"/>
                <w:kern w:val="0"/>
                <w:szCs w:val="24"/>
              </w:rPr>
            </w:pPr>
          </w:p>
        </w:tc>
        <w:tc>
          <w:tcPr>
            <w:tcW w:w="1440" w:type="dxa"/>
            <w:shd w:val="clear" w:color="auto" w:fill="auto"/>
            <w:noWrap/>
            <w:vAlign w:val="center"/>
            <w:hideMark/>
          </w:tcPr>
          <w:p w14:paraId="2911B96C" w14:textId="77777777" w:rsidR="005C3F88" w:rsidRPr="00D1380F" w:rsidRDefault="005C3F88" w:rsidP="0058079D">
            <w:pPr>
              <w:widowControl/>
              <w:jc w:val="right"/>
              <w:rPr>
                <w:rFonts w:ascii="Garamond" w:eastAsia="Times New Roman" w:hAnsi="Garamond" w:cs="Times New Roman"/>
                <w:kern w:val="0"/>
                <w:szCs w:val="24"/>
              </w:rPr>
            </w:pPr>
          </w:p>
        </w:tc>
        <w:tc>
          <w:tcPr>
            <w:tcW w:w="1440" w:type="dxa"/>
            <w:shd w:val="clear" w:color="auto" w:fill="auto"/>
            <w:noWrap/>
            <w:vAlign w:val="center"/>
            <w:hideMark/>
          </w:tcPr>
          <w:p w14:paraId="28033994" w14:textId="77777777" w:rsidR="005C3F88" w:rsidRPr="00D1380F" w:rsidRDefault="005C3F88" w:rsidP="0058079D">
            <w:pPr>
              <w:widowControl/>
              <w:jc w:val="right"/>
              <w:rPr>
                <w:rFonts w:ascii="Garamond" w:eastAsia="Times New Roman" w:hAnsi="Garamond" w:cs="Times New Roman"/>
                <w:kern w:val="0"/>
                <w:szCs w:val="24"/>
              </w:rPr>
            </w:pPr>
          </w:p>
        </w:tc>
      </w:tr>
      <w:tr w:rsidR="005C3F88" w:rsidRPr="00D1380F" w14:paraId="41985EB4" w14:textId="77777777" w:rsidTr="0058079D">
        <w:trPr>
          <w:trHeight w:val="317"/>
        </w:trPr>
        <w:tc>
          <w:tcPr>
            <w:tcW w:w="3529" w:type="dxa"/>
            <w:shd w:val="clear" w:color="auto" w:fill="auto"/>
            <w:noWrap/>
            <w:vAlign w:val="center"/>
            <w:hideMark/>
          </w:tcPr>
          <w:p w14:paraId="7BE07F59" w14:textId="77777777" w:rsidR="005C3F88" w:rsidRPr="00D1380F" w:rsidRDefault="005C3F88" w:rsidP="0058079D">
            <w:pPr>
              <w:widowControl/>
              <w:ind w:firstLineChars="100" w:firstLine="240"/>
              <w:rPr>
                <w:rFonts w:ascii="Garamond" w:eastAsia="Times New Roman" w:hAnsi="Garamond" w:cs="Calibri"/>
                <w:color w:val="000000"/>
                <w:kern w:val="0"/>
                <w:szCs w:val="24"/>
              </w:rPr>
            </w:pPr>
            <w:r w:rsidRPr="00D1380F">
              <w:rPr>
                <w:rFonts w:ascii="Garamond" w:eastAsia="Times New Roman" w:hAnsi="Garamond" w:cs="Calibri"/>
                <w:color w:val="000000"/>
                <w:kern w:val="0"/>
                <w:szCs w:val="24"/>
              </w:rPr>
              <w:t>Instructional materials</w:t>
            </w:r>
            <w:r>
              <w:rPr>
                <w:rFonts w:ascii="Garamond" w:eastAsia="Times New Roman" w:hAnsi="Garamond" w:cs="Calibri"/>
                <w:color w:val="000000"/>
                <w:kern w:val="0"/>
                <w:szCs w:val="24"/>
              </w:rPr>
              <w:t xml:space="preserve"> (IMs)</w:t>
            </w:r>
          </w:p>
        </w:tc>
        <w:tc>
          <w:tcPr>
            <w:tcW w:w="1440" w:type="dxa"/>
            <w:shd w:val="clear" w:color="auto" w:fill="auto"/>
            <w:noWrap/>
            <w:vAlign w:val="center"/>
            <w:hideMark/>
          </w:tcPr>
          <w:p w14:paraId="6E827DCD" w14:textId="77777777" w:rsidR="005C3F88" w:rsidRPr="00D1380F" w:rsidRDefault="005C3F88" w:rsidP="0058079D">
            <w:pPr>
              <w:widowControl/>
              <w:ind w:firstLineChars="100" w:firstLine="240"/>
              <w:jc w:val="right"/>
              <w:rPr>
                <w:rFonts w:ascii="Garamond" w:eastAsia="Times New Roman" w:hAnsi="Garamond" w:cs="Calibri"/>
                <w:color w:val="000000"/>
                <w:kern w:val="0"/>
                <w:szCs w:val="24"/>
              </w:rPr>
            </w:pPr>
          </w:p>
        </w:tc>
        <w:tc>
          <w:tcPr>
            <w:tcW w:w="1440" w:type="dxa"/>
            <w:shd w:val="clear" w:color="auto" w:fill="auto"/>
            <w:noWrap/>
            <w:vAlign w:val="center"/>
            <w:hideMark/>
          </w:tcPr>
          <w:p w14:paraId="1F212712" w14:textId="77777777" w:rsidR="005C3F88" w:rsidRPr="00D1380F" w:rsidRDefault="005C3F88" w:rsidP="0058079D">
            <w:pPr>
              <w:widowControl/>
              <w:jc w:val="right"/>
              <w:rPr>
                <w:rFonts w:ascii="Garamond" w:eastAsia="Times New Roman" w:hAnsi="Garamond" w:cs="Times New Roman"/>
                <w:kern w:val="0"/>
                <w:szCs w:val="24"/>
              </w:rPr>
            </w:pPr>
          </w:p>
        </w:tc>
        <w:tc>
          <w:tcPr>
            <w:tcW w:w="1440" w:type="dxa"/>
            <w:shd w:val="clear" w:color="auto" w:fill="auto"/>
            <w:noWrap/>
            <w:vAlign w:val="center"/>
            <w:hideMark/>
          </w:tcPr>
          <w:p w14:paraId="55E4B248" w14:textId="77777777" w:rsidR="005C3F88" w:rsidRPr="00D1380F" w:rsidRDefault="005C3F88" w:rsidP="0058079D">
            <w:pPr>
              <w:widowControl/>
              <w:jc w:val="right"/>
              <w:rPr>
                <w:rFonts w:ascii="Garamond" w:eastAsia="Times New Roman" w:hAnsi="Garamond" w:cs="Times New Roman"/>
                <w:kern w:val="0"/>
                <w:szCs w:val="24"/>
              </w:rPr>
            </w:pPr>
          </w:p>
        </w:tc>
      </w:tr>
      <w:tr w:rsidR="005C3F88" w:rsidRPr="00D1380F" w14:paraId="4409B637" w14:textId="77777777" w:rsidTr="0058079D">
        <w:trPr>
          <w:trHeight w:val="317"/>
        </w:trPr>
        <w:tc>
          <w:tcPr>
            <w:tcW w:w="3529" w:type="dxa"/>
            <w:shd w:val="clear" w:color="auto" w:fill="auto"/>
            <w:noWrap/>
            <w:vAlign w:val="center"/>
          </w:tcPr>
          <w:p w14:paraId="0D760479" w14:textId="77777777" w:rsidR="005C3F88" w:rsidRPr="00D1380F" w:rsidRDefault="005C3F88" w:rsidP="0058079D">
            <w:pPr>
              <w:widowControl/>
              <w:ind w:firstLineChars="200" w:firstLine="480"/>
              <w:rPr>
                <w:rFonts w:ascii="Garamond" w:eastAsia="Times New Roman" w:hAnsi="Garamond" w:cs="Calibri"/>
                <w:color w:val="000000"/>
                <w:kern w:val="0"/>
                <w:szCs w:val="24"/>
              </w:rPr>
            </w:pPr>
            <w:r w:rsidRPr="00F5046E">
              <w:rPr>
                <w:rFonts w:ascii="Garamond" w:eastAsia="Times New Roman" w:hAnsi="Garamond" w:cs="Calibri"/>
                <w:color w:val="000000"/>
                <w:kern w:val="0"/>
                <w:szCs w:val="24"/>
              </w:rPr>
              <w:t>Network density</w:t>
            </w:r>
          </w:p>
        </w:tc>
        <w:tc>
          <w:tcPr>
            <w:tcW w:w="1440" w:type="dxa"/>
            <w:shd w:val="clear" w:color="auto" w:fill="auto"/>
            <w:noWrap/>
            <w:vAlign w:val="center"/>
          </w:tcPr>
          <w:p w14:paraId="03964AB6" w14:textId="77777777" w:rsidR="005C3F88" w:rsidRPr="00D1380F" w:rsidRDefault="005C3F88" w:rsidP="0058079D">
            <w:pPr>
              <w:widowControl/>
              <w:jc w:val="right"/>
              <w:rPr>
                <w:rFonts w:ascii="Garamond" w:eastAsia="Times New Roman" w:hAnsi="Garamond" w:cs="Calibri"/>
                <w:color w:val="000000"/>
                <w:kern w:val="0"/>
                <w:szCs w:val="24"/>
              </w:rPr>
            </w:pPr>
            <w:r w:rsidRPr="00F5046E">
              <w:rPr>
                <w:rFonts w:ascii="Garamond" w:eastAsia="Times New Roman" w:hAnsi="Garamond" w:cs="Calibri"/>
                <w:color w:val="000000"/>
                <w:kern w:val="0"/>
                <w:szCs w:val="24"/>
              </w:rPr>
              <w:t>0.02</w:t>
            </w:r>
          </w:p>
        </w:tc>
        <w:tc>
          <w:tcPr>
            <w:tcW w:w="1440" w:type="dxa"/>
            <w:shd w:val="clear" w:color="auto" w:fill="auto"/>
            <w:noWrap/>
            <w:vAlign w:val="center"/>
          </w:tcPr>
          <w:p w14:paraId="37BCD6CC" w14:textId="77777777" w:rsidR="005C3F88" w:rsidRPr="00F5046E" w:rsidRDefault="005C3F88" w:rsidP="0058079D">
            <w:pPr>
              <w:widowControl/>
              <w:jc w:val="right"/>
              <w:rPr>
                <w:rFonts w:ascii="Garamond" w:eastAsia="Times New Roman" w:hAnsi="Garamond" w:cs="Calibri"/>
                <w:color w:val="000000"/>
                <w:kern w:val="0"/>
                <w:szCs w:val="24"/>
              </w:rPr>
            </w:pPr>
            <w:r w:rsidRPr="00F5046E">
              <w:rPr>
                <w:rFonts w:ascii="Garamond" w:eastAsia="Times New Roman" w:hAnsi="Garamond" w:cs="Calibri"/>
                <w:color w:val="000000"/>
                <w:kern w:val="0"/>
                <w:szCs w:val="24"/>
              </w:rPr>
              <w:t>0.05</w:t>
            </w:r>
          </w:p>
        </w:tc>
        <w:tc>
          <w:tcPr>
            <w:tcW w:w="1440" w:type="dxa"/>
            <w:shd w:val="clear" w:color="auto" w:fill="auto"/>
            <w:noWrap/>
            <w:vAlign w:val="center"/>
          </w:tcPr>
          <w:p w14:paraId="6289302A" w14:textId="77777777" w:rsidR="005C3F88" w:rsidRPr="00F5046E" w:rsidRDefault="005C3F88" w:rsidP="0058079D">
            <w:pPr>
              <w:widowControl/>
              <w:jc w:val="right"/>
              <w:rPr>
                <w:rFonts w:ascii="Garamond" w:eastAsia="Times New Roman" w:hAnsi="Garamond" w:cs="Calibri"/>
                <w:color w:val="000000"/>
                <w:kern w:val="0"/>
                <w:szCs w:val="24"/>
              </w:rPr>
            </w:pPr>
            <w:r w:rsidRPr="00F5046E">
              <w:rPr>
                <w:rFonts w:ascii="Garamond" w:eastAsia="Times New Roman" w:hAnsi="Garamond" w:cs="Calibri"/>
                <w:color w:val="000000"/>
                <w:kern w:val="0"/>
                <w:szCs w:val="24"/>
              </w:rPr>
              <w:t>0.02</w:t>
            </w:r>
          </w:p>
        </w:tc>
      </w:tr>
      <w:tr w:rsidR="005C3F88" w:rsidRPr="00D1380F" w14:paraId="144C9D8A" w14:textId="77777777" w:rsidTr="0058079D">
        <w:trPr>
          <w:trHeight w:val="317"/>
        </w:trPr>
        <w:tc>
          <w:tcPr>
            <w:tcW w:w="3529" w:type="dxa"/>
            <w:shd w:val="clear" w:color="auto" w:fill="auto"/>
            <w:noWrap/>
            <w:vAlign w:val="center"/>
          </w:tcPr>
          <w:p w14:paraId="43A03898" w14:textId="77777777" w:rsidR="005C3F88" w:rsidRPr="00D1380F" w:rsidRDefault="005C3F88" w:rsidP="0058079D">
            <w:pPr>
              <w:widowControl/>
              <w:ind w:firstLineChars="200" w:firstLine="480"/>
              <w:rPr>
                <w:rFonts w:ascii="Garamond" w:eastAsia="Times New Roman" w:hAnsi="Garamond" w:cs="Calibri"/>
                <w:color w:val="000000"/>
                <w:kern w:val="0"/>
                <w:szCs w:val="24"/>
              </w:rPr>
            </w:pPr>
            <w:r w:rsidRPr="00F5046E">
              <w:rPr>
                <w:rFonts w:ascii="Garamond" w:eastAsia="Times New Roman" w:hAnsi="Garamond" w:cs="Calibri"/>
                <w:color w:val="000000"/>
                <w:kern w:val="0"/>
                <w:szCs w:val="24"/>
              </w:rPr>
              <w:t>Network reciprocity</w:t>
            </w:r>
          </w:p>
        </w:tc>
        <w:tc>
          <w:tcPr>
            <w:tcW w:w="1440" w:type="dxa"/>
            <w:shd w:val="clear" w:color="auto" w:fill="auto"/>
            <w:noWrap/>
            <w:vAlign w:val="center"/>
          </w:tcPr>
          <w:p w14:paraId="74A7E62C" w14:textId="77777777" w:rsidR="005C3F88" w:rsidRPr="00D1380F" w:rsidRDefault="005C3F88" w:rsidP="0058079D">
            <w:pPr>
              <w:widowControl/>
              <w:jc w:val="right"/>
              <w:rPr>
                <w:rFonts w:ascii="Garamond" w:eastAsia="Times New Roman" w:hAnsi="Garamond" w:cs="Calibri"/>
                <w:color w:val="000000"/>
                <w:kern w:val="0"/>
                <w:szCs w:val="24"/>
              </w:rPr>
            </w:pPr>
            <w:r w:rsidRPr="00F5046E">
              <w:rPr>
                <w:rFonts w:ascii="Garamond" w:eastAsia="Times New Roman" w:hAnsi="Garamond" w:cs="Calibri"/>
                <w:color w:val="000000"/>
                <w:kern w:val="0"/>
                <w:szCs w:val="24"/>
              </w:rPr>
              <w:t>0.19</w:t>
            </w:r>
          </w:p>
        </w:tc>
        <w:tc>
          <w:tcPr>
            <w:tcW w:w="1440" w:type="dxa"/>
            <w:shd w:val="clear" w:color="auto" w:fill="auto"/>
            <w:noWrap/>
            <w:vAlign w:val="center"/>
          </w:tcPr>
          <w:p w14:paraId="683626B6" w14:textId="77777777" w:rsidR="005C3F88" w:rsidRPr="00F5046E" w:rsidRDefault="005C3F88" w:rsidP="0058079D">
            <w:pPr>
              <w:widowControl/>
              <w:jc w:val="right"/>
              <w:rPr>
                <w:rFonts w:ascii="Garamond" w:eastAsia="Times New Roman" w:hAnsi="Garamond" w:cs="Calibri"/>
                <w:color w:val="000000"/>
                <w:kern w:val="0"/>
                <w:szCs w:val="24"/>
              </w:rPr>
            </w:pPr>
            <w:r w:rsidRPr="00F5046E">
              <w:rPr>
                <w:rFonts w:ascii="Garamond" w:eastAsia="Times New Roman" w:hAnsi="Garamond" w:cs="Calibri"/>
                <w:color w:val="000000"/>
                <w:kern w:val="0"/>
                <w:szCs w:val="24"/>
              </w:rPr>
              <w:t>0.14</w:t>
            </w:r>
          </w:p>
        </w:tc>
        <w:tc>
          <w:tcPr>
            <w:tcW w:w="1440" w:type="dxa"/>
            <w:shd w:val="clear" w:color="auto" w:fill="auto"/>
            <w:noWrap/>
            <w:vAlign w:val="center"/>
          </w:tcPr>
          <w:p w14:paraId="0077F05C" w14:textId="77777777" w:rsidR="005C3F88" w:rsidRPr="00F5046E" w:rsidRDefault="005C3F88" w:rsidP="0058079D">
            <w:pPr>
              <w:widowControl/>
              <w:jc w:val="right"/>
              <w:rPr>
                <w:rFonts w:ascii="Garamond" w:eastAsia="Times New Roman" w:hAnsi="Garamond" w:cs="Calibri"/>
                <w:color w:val="000000"/>
                <w:kern w:val="0"/>
                <w:szCs w:val="24"/>
              </w:rPr>
            </w:pPr>
            <w:r w:rsidRPr="00F5046E">
              <w:rPr>
                <w:rFonts w:ascii="Garamond" w:eastAsia="Times New Roman" w:hAnsi="Garamond" w:cs="Calibri"/>
                <w:color w:val="000000"/>
                <w:kern w:val="0"/>
                <w:szCs w:val="24"/>
              </w:rPr>
              <w:t>0.06</w:t>
            </w:r>
          </w:p>
        </w:tc>
      </w:tr>
      <w:tr w:rsidR="005C3F88" w:rsidRPr="00D1380F" w14:paraId="6AE03C4A" w14:textId="77777777" w:rsidTr="0058079D">
        <w:trPr>
          <w:trHeight w:val="317"/>
        </w:trPr>
        <w:tc>
          <w:tcPr>
            <w:tcW w:w="3529" w:type="dxa"/>
            <w:shd w:val="clear" w:color="auto" w:fill="auto"/>
            <w:noWrap/>
            <w:vAlign w:val="center"/>
            <w:hideMark/>
          </w:tcPr>
          <w:p w14:paraId="5A447FBD" w14:textId="77777777" w:rsidR="005C3F88" w:rsidRPr="00D1380F" w:rsidRDefault="005C3F88" w:rsidP="0058079D">
            <w:pPr>
              <w:widowControl/>
              <w:ind w:firstLineChars="200" w:firstLine="480"/>
              <w:rPr>
                <w:rFonts w:ascii="Garamond" w:eastAsia="Times New Roman" w:hAnsi="Garamond" w:cs="Calibri"/>
                <w:color w:val="000000"/>
                <w:kern w:val="0"/>
                <w:szCs w:val="24"/>
              </w:rPr>
            </w:pPr>
            <w:r>
              <w:rPr>
                <w:rFonts w:ascii="Garamond" w:eastAsia="Times New Roman" w:hAnsi="Garamond" w:cs="Calibri"/>
                <w:color w:val="000000"/>
                <w:kern w:val="0"/>
                <w:szCs w:val="24"/>
              </w:rPr>
              <w:t>Out/indegree</w:t>
            </w:r>
          </w:p>
        </w:tc>
        <w:tc>
          <w:tcPr>
            <w:tcW w:w="1440" w:type="dxa"/>
            <w:shd w:val="clear" w:color="auto" w:fill="auto"/>
            <w:noWrap/>
            <w:vAlign w:val="center"/>
            <w:hideMark/>
          </w:tcPr>
          <w:p w14:paraId="10E55B61" w14:textId="77777777" w:rsidR="005C3F88" w:rsidRPr="00D1380F" w:rsidRDefault="005C3F88" w:rsidP="0058079D">
            <w:pPr>
              <w:widowControl/>
              <w:jc w:val="right"/>
              <w:rPr>
                <w:rFonts w:ascii="Garamond" w:eastAsia="Times New Roman" w:hAnsi="Garamond" w:cs="Calibri"/>
                <w:color w:val="000000"/>
                <w:kern w:val="0"/>
                <w:szCs w:val="24"/>
              </w:rPr>
            </w:pPr>
            <w:r w:rsidRPr="00D1380F">
              <w:rPr>
                <w:rFonts w:ascii="Garamond" w:eastAsia="Times New Roman" w:hAnsi="Garamond" w:cs="Calibri"/>
                <w:color w:val="000000"/>
                <w:kern w:val="0"/>
                <w:szCs w:val="24"/>
              </w:rPr>
              <w:t>2.33(3.33)</w:t>
            </w:r>
          </w:p>
        </w:tc>
        <w:tc>
          <w:tcPr>
            <w:tcW w:w="1440" w:type="dxa"/>
            <w:shd w:val="clear" w:color="auto" w:fill="auto"/>
            <w:noWrap/>
            <w:vAlign w:val="center"/>
            <w:hideMark/>
          </w:tcPr>
          <w:p w14:paraId="49EF4EA3" w14:textId="77777777" w:rsidR="005C3F88" w:rsidRPr="00D1380F" w:rsidRDefault="005C3F88" w:rsidP="0058079D">
            <w:pPr>
              <w:widowControl/>
              <w:jc w:val="right"/>
              <w:rPr>
                <w:rFonts w:ascii="Garamond" w:eastAsia="Times New Roman" w:hAnsi="Garamond" w:cs="Calibri"/>
                <w:color w:val="000000"/>
                <w:kern w:val="0"/>
                <w:szCs w:val="24"/>
              </w:rPr>
            </w:pPr>
            <w:r w:rsidRPr="00D1380F">
              <w:rPr>
                <w:rFonts w:ascii="Garamond" w:eastAsia="Times New Roman" w:hAnsi="Garamond" w:cs="Calibri"/>
                <w:color w:val="000000"/>
                <w:kern w:val="0"/>
                <w:szCs w:val="24"/>
              </w:rPr>
              <w:t>5.20(8.40)</w:t>
            </w:r>
          </w:p>
        </w:tc>
        <w:tc>
          <w:tcPr>
            <w:tcW w:w="1440" w:type="dxa"/>
            <w:shd w:val="clear" w:color="auto" w:fill="auto"/>
            <w:noWrap/>
            <w:vAlign w:val="center"/>
            <w:hideMark/>
          </w:tcPr>
          <w:p w14:paraId="7CA8981B" w14:textId="77777777" w:rsidR="005C3F88" w:rsidRPr="00D1380F" w:rsidRDefault="005C3F88" w:rsidP="0058079D">
            <w:pPr>
              <w:widowControl/>
              <w:jc w:val="right"/>
              <w:rPr>
                <w:rFonts w:ascii="Garamond" w:eastAsia="Times New Roman" w:hAnsi="Garamond" w:cs="Calibri"/>
                <w:color w:val="000000"/>
                <w:kern w:val="0"/>
                <w:szCs w:val="24"/>
              </w:rPr>
            </w:pPr>
            <w:r w:rsidRPr="00D1380F">
              <w:rPr>
                <w:rFonts w:ascii="Garamond" w:eastAsia="Times New Roman" w:hAnsi="Garamond" w:cs="Calibri"/>
                <w:color w:val="000000"/>
                <w:kern w:val="0"/>
                <w:szCs w:val="24"/>
              </w:rPr>
              <w:t>2.31(3.78)</w:t>
            </w:r>
          </w:p>
        </w:tc>
      </w:tr>
      <w:tr w:rsidR="005C3F88" w:rsidRPr="00D1380F" w14:paraId="601E849F" w14:textId="77777777" w:rsidTr="0058079D">
        <w:trPr>
          <w:trHeight w:val="317"/>
        </w:trPr>
        <w:tc>
          <w:tcPr>
            <w:tcW w:w="3529" w:type="dxa"/>
            <w:shd w:val="clear" w:color="auto" w:fill="auto"/>
            <w:noWrap/>
            <w:vAlign w:val="center"/>
            <w:hideMark/>
          </w:tcPr>
          <w:p w14:paraId="3775E615" w14:textId="77777777" w:rsidR="005C3F88" w:rsidRPr="00D1380F" w:rsidRDefault="005C3F88" w:rsidP="0058079D">
            <w:pPr>
              <w:widowControl/>
              <w:ind w:firstLineChars="200" w:firstLine="480"/>
              <w:rPr>
                <w:rFonts w:ascii="Garamond" w:eastAsia="Times New Roman" w:hAnsi="Garamond" w:cs="Calibri"/>
                <w:color w:val="000000"/>
                <w:kern w:val="0"/>
                <w:szCs w:val="24"/>
              </w:rPr>
            </w:pPr>
            <w:r w:rsidRPr="00D1380F">
              <w:rPr>
                <w:rFonts w:ascii="Garamond" w:eastAsia="Times New Roman" w:hAnsi="Garamond" w:cs="Calibri"/>
                <w:color w:val="000000"/>
                <w:kern w:val="0"/>
                <w:szCs w:val="24"/>
              </w:rPr>
              <w:t>Ego-reciprocity</w:t>
            </w:r>
          </w:p>
        </w:tc>
        <w:tc>
          <w:tcPr>
            <w:tcW w:w="1440" w:type="dxa"/>
            <w:shd w:val="clear" w:color="auto" w:fill="auto"/>
            <w:noWrap/>
            <w:vAlign w:val="center"/>
            <w:hideMark/>
          </w:tcPr>
          <w:p w14:paraId="41088F91" w14:textId="77777777" w:rsidR="005C3F88" w:rsidRPr="00D1380F" w:rsidRDefault="005C3F88" w:rsidP="0058079D">
            <w:pPr>
              <w:widowControl/>
              <w:jc w:val="right"/>
              <w:rPr>
                <w:rFonts w:ascii="Garamond" w:eastAsia="Times New Roman" w:hAnsi="Garamond" w:cs="Calibri"/>
                <w:color w:val="000000"/>
                <w:kern w:val="0"/>
                <w:szCs w:val="24"/>
              </w:rPr>
            </w:pPr>
            <w:r w:rsidRPr="00F5046E">
              <w:rPr>
                <w:rFonts w:ascii="Garamond" w:eastAsia="Times New Roman" w:hAnsi="Garamond" w:cs="Calibri"/>
                <w:color w:val="000000"/>
                <w:kern w:val="0"/>
                <w:szCs w:val="24"/>
              </w:rPr>
              <w:t>0.32</w:t>
            </w:r>
          </w:p>
        </w:tc>
        <w:tc>
          <w:tcPr>
            <w:tcW w:w="1440" w:type="dxa"/>
            <w:shd w:val="clear" w:color="auto" w:fill="auto"/>
            <w:noWrap/>
            <w:vAlign w:val="center"/>
            <w:hideMark/>
          </w:tcPr>
          <w:p w14:paraId="007882A6" w14:textId="77777777" w:rsidR="005C3F88" w:rsidRPr="00D1380F" w:rsidRDefault="005C3F88" w:rsidP="0058079D">
            <w:pPr>
              <w:widowControl/>
              <w:jc w:val="right"/>
              <w:rPr>
                <w:rFonts w:ascii="Garamond" w:eastAsia="Times New Roman" w:hAnsi="Garamond" w:cs="Calibri"/>
                <w:color w:val="000000"/>
                <w:kern w:val="0"/>
                <w:szCs w:val="24"/>
              </w:rPr>
            </w:pPr>
            <w:r w:rsidRPr="00F5046E">
              <w:rPr>
                <w:rFonts w:ascii="Garamond" w:eastAsia="Times New Roman" w:hAnsi="Garamond" w:cs="Calibri"/>
                <w:color w:val="000000"/>
                <w:kern w:val="0"/>
                <w:szCs w:val="24"/>
              </w:rPr>
              <w:t>0.25</w:t>
            </w:r>
          </w:p>
        </w:tc>
        <w:tc>
          <w:tcPr>
            <w:tcW w:w="1440" w:type="dxa"/>
            <w:shd w:val="clear" w:color="auto" w:fill="auto"/>
            <w:noWrap/>
            <w:vAlign w:val="center"/>
            <w:hideMark/>
          </w:tcPr>
          <w:p w14:paraId="2A38CD08" w14:textId="77777777" w:rsidR="005C3F88" w:rsidRPr="00D1380F" w:rsidRDefault="005C3F88" w:rsidP="0058079D">
            <w:pPr>
              <w:widowControl/>
              <w:jc w:val="right"/>
              <w:rPr>
                <w:rFonts w:ascii="Garamond" w:eastAsia="Times New Roman" w:hAnsi="Garamond" w:cs="Calibri"/>
                <w:color w:val="000000"/>
                <w:kern w:val="0"/>
                <w:szCs w:val="24"/>
              </w:rPr>
            </w:pPr>
            <w:r w:rsidRPr="00F5046E">
              <w:rPr>
                <w:rFonts w:ascii="Garamond" w:eastAsia="Times New Roman" w:hAnsi="Garamond" w:cs="Calibri"/>
                <w:color w:val="000000"/>
                <w:kern w:val="0"/>
                <w:szCs w:val="24"/>
              </w:rPr>
              <w:t>0.1</w:t>
            </w:r>
            <w:r>
              <w:rPr>
                <w:rFonts w:ascii="Garamond" w:eastAsia="Times New Roman" w:hAnsi="Garamond" w:cs="Calibri"/>
                <w:color w:val="000000"/>
                <w:kern w:val="0"/>
                <w:szCs w:val="24"/>
              </w:rPr>
              <w:t>2</w:t>
            </w:r>
          </w:p>
        </w:tc>
      </w:tr>
      <w:tr w:rsidR="005C3F88" w:rsidRPr="00D1380F" w14:paraId="27C16A7A" w14:textId="77777777" w:rsidTr="0058079D">
        <w:trPr>
          <w:trHeight w:val="317"/>
        </w:trPr>
        <w:tc>
          <w:tcPr>
            <w:tcW w:w="3529" w:type="dxa"/>
            <w:shd w:val="clear" w:color="auto" w:fill="auto"/>
            <w:noWrap/>
            <w:vAlign w:val="center"/>
            <w:hideMark/>
          </w:tcPr>
          <w:p w14:paraId="0DD2AF81" w14:textId="77777777" w:rsidR="005C3F88" w:rsidRPr="00D1380F" w:rsidRDefault="005C3F88" w:rsidP="0058079D">
            <w:pPr>
              <w:widowControl/>
              <w:ind w:firstLineChars="100" w:firstLine="240"/>
              <w:rPr>
                <w:rFonts w:ascii="Garamond" w:eastAsia="Times New Roman" w:hAnsi="Garamond" w:cs="Calibri"/>
                <w:color w:val="000000"/>
                <w:kern w:val="0"/>
                <w:szCs w:val="24"/>
              </w:rPr>
            </w:pPr>
            <w:r w:rsidRPr="00D1380F">
              <w:rPr>
                <w:rFonts w:ascii="Garamond" w:eastAsia="Times New Roman" w:hAnsi="Garamond" w:cs="Calibri"/>
                <w:color w:val="000000"/>
                <w:kern w:val="0"/>
                <w:szCs w:val="24"/>
              </w:rPr>
              <w:t>New ideas about teaching</w:t>
            </w:r>
            <w:r>
              <w:rPr>
                <w:rFonts w:ascii="Garamond" w:eastAsia="Times New Roman" w:hAnsi="Garamond" w:cs="Calibri"/>
                <w:color w:val="000000"/>
                <w:kern w:val="0"/>
                <w:szCs w:val="24"/>
              </w:rPr>
              <w:t xml:space="preserve"> (NIs)</w:t>
            </w:r>
          </w:p>
        </w:tc>
        <w:tc>
          <w:tcPr>
            <w:tcW w:w="1440" w:type="dxa"/>
            <w:shd w:val="clear" w:color="auto" w:fill="auto"/>
            <w:noWrap/>
            <w:vAlign w:val="center"/>
            <w:hideMark/>
          </w:tcPr>
          <w:p w14:paraId="66A39AAA" w14:textId="77777777" w:rsidR="005C3F88" w:rsidRPr="00D1380F" w:rsidRDefault="005C3F88" w:rsidP="0058079D">
            <w:pPr>
              <w:widowControl/>
              <w:jc w:val="right"/>
              <w:rPr>
                <w:rFonts w:ascii="Garamond" w:eastAsia="Times New Roman" w:hAnsi="Garamond" w:cs="Calibri"/>
                <w:color w:val="000000"/>
                <w:kern w:val="0"/>
                <w:szCs w:val="24"/>
              </w:rPr>
            </w:pPr>
          </w:p>
        </w:tc>
        <w:tc>
          <w:tcPr>
            <w:tcW w:w="1440" w:type="dxa"/>
            <w:shd w:val="clear" w:color="auto" w:fill="auto"/>
            <w:noWrap/>
            <w:vAlign w:val="center"/>
            <w:hideMark/>
          </w:tcPr>
          <w:p w14:paraId="2D714B71" w14:textId="77777777" w:rsidR="005C3F88" w:rsidRPr="00F5046E" w:rsidRDefault="005C3F88" w:rsidP="0058079D">
            <w:pPr>
              <w:widowControl/>
              <w:jc w:val="right"/>
              <w:rPr>
                <w:rFonts w:ascii="Garamond" w:eastAsia="Times New Roman" w:hAnsi="Garamond" w:cs="Calibri"/>
                <w:color w:val="000000"/>
                <w:kern w:val="0"/>
                <w:szCs w:val="24"/>
              </w:rPr>
            </w:pPr>
          </w:p>
        </w:tc>
        <w:tc>
          <w:tcPr>
            <w:tcW w:w="1440" w:type="dxa"/>
            <w:shd w:val="clear" w:color="auto" w:fill="auto"/>
            <w:noWrap/>
            <w:vAlign w:val="center"/>
            <w:hideMark/>
          </w:tcPr>
          <w:p w14:paraId="6E68062A" w14:textId="77777777" w:rsidR="005C3F88" w:rsidRPr="00F5046E" w:rsidRDefault="005C3F88" w:rsidP="0058079D">
            <w:pPr>
              <w:widowControl/>
              <w:jc w:val="right"/>
              <w:rPr>
                <w:rFonts w:ascii="Garamond" w:eastAsia="Times New Roman" w:hAnsi="Garamond" w:cs="Calibri"/>
                <w:color w:val="000000"/>
                <w:kern w:val="0"/>
                <w:szCs w:val="24"/>
              </w:rPr>
            </w:pPr>
          </w:p>
        </w:tc>
      </w:tr>
      <w:tr w:rsidR="005C3F88" w:rsidRPr="00D1380F" w14:paraId="3B9CA154" w14:textId="77777777" w:rsidTr="0058079D">
        <w:trPr>
          <w:trHeight w:val="317"/>
        </w:trPr>
        <w:tc>
          <w:tcPr>
            <w:tcW w:w="3529" w:type="dxa"/>
            <w:shd w:val="clear" w:color="auto" w:fill="auto"/>
            <w:noWrap/>
            <w:vAlign w:val="center"/>
          </w:tcPr>
          <w:p w14:paraId="421E8F7B" w14:textId="77777777" w:rsidR="005C3F88" w:rsidRPr="00D1380F" w:rsidRDefault="005C3F88" w:rsidP="0058079D">
            <w:pPr>
              <w:widowControl/>
              <w:ind w:firstLineChars="200" w:firstLine="480"/>
              <w:rPr>
                <w:rFonts w:ascii="Garamond" w:eastAsia="Times New Roman" w:hAnsi="Garamond" w:cs="Calibri"/>
                <w:color w:val="000000"/>
                <w:kern w:val="0"/>
                <w:szCs w:val="24"/>
              </w:rPr>
            </w:pPr>
            <w:r w:rsidRPr="00F5046E">
              <w:rPr>
                <w:rFonts w:ascii="Garamond" w:eastAsia="Times New Roman" w:hAnsi="Garamond" w:cs="Calibri"/>
                <w:color w:val="000000"/>
                <w:kern w:val="0"/>
                <w:szCs w:val="24"/>
              </w:rPr>
              <w:t>Network density</w:t>
            </w:r>
          </w:p>
        </w:tc>
        <w:tc>
          <w:tcPr>
            <w:tcW w:w="1440" w:type="dxa"/>
            <w:shd w:val="clear" w:color="auto" w:fill="auto"/>
            <w:noWrap/>
            <w:vAlign w:val="center"/>
          </w:tcPr>
          <w:p w14:paraId="29732E43" w14:textId="77777777" w:rsidR="005C3F88" w:rsidRPr="00D1380F" w:rsidRDefault="005C3F88" w:rsidP="0058079D">
            <w:pPr>
              <w:widowControl/>
              <w:jc w:val="right"/>
              <w:rPr>
                <w:rFonts w:ascii="Garamond" w:eastAsia="Times New Roman" w:hAnsi="Garamond" w:cs="Calibri"/>
                <w:color w:val="000000"/>
                <w:kern w:val="0"/>
                <w:szCs w:val="24"/>
              </w:rPr>
            </w:pPr>
            <w:r w:rsidRPr="00F5046E">
              <w:rPr>
                <w:rFonts w:ascii="Garamond" w:eastAsia="Times New Roman" w:hAnsi="Garamond" w:cs="Calibri"/>
                <w:color w:val="000000"/>
                <w:kern w:val="0"/>
                <w:szCs w:val="24"/>
              </w:rPr>
              <w:t>0.02</w:t>
            </w:r>
          </w:p>
        </w:tc>
        <w:tc>
          <w:tcPr>
            <w:tcW w:w="1440" w:type="dxa"/>
            <w:shd w:val="clear" w:color="auto" w:fill="auto"/>
            <w:noWrap/>
            <w:vAlign w:val="center"/>
          </w:tcPr>
          <w:p w14:paraId="42C28C3E" w14:textId="77777777" w:rsidR="005C3F88" w:rsidRPr="00F5046E" w:rsidRDefault="005C3F88" w:rsidP="0058079D">
            <w:pPr>
              <w:widowControl/>
              <w:jc w:val="right"/>
              <w:rPr>
                <w:rFonts w:ascii="Garamond" w:eastAsia="Times New Roman" w:hAnsi="Garamond" w:cs="Calibri"/>
                <w:color w:val="000000"/>
                <w:kern w:val="0"/>
                <w:szCs w:val="24"/>
              </w:rPr>
            </w:pPr>
            <w:r w:rsidRPr="00F5046E">
              <w:rPr>
                <w:rFonts w:ascii="Garamond" w:eastAsia="Times New Roman" w:hAnsi="Garamond" w:cs="Calibri"/>
                <w:color w:val="000000"/>
                <w:kern w:val="0"/>
                <w:szCs w:val="24"/>
              </w:rPr>
              <w:t>0.09</w:t>
            </w:r>
          </w:p>
        </w:tc>
        <w:tc>
          <w:tcPr>
            <w:tcW w:w="1440" w:type="dxa"/>
            <w:shd w:val="clear" w:color="auto" w:fill="auto"/>
            <w:noWrap/>
            <w:vAlign w:val="center"/>
          </w:tcPr>
          <w:p w14:paraId="3C8B0070" w14:textId="77777777" w:rsidR="005C3F88" w:rsidRPr="00F5046E" w:rsidRDefault="005C3F88" w:rsidP="0058079D">
            <w:pPr>
              <w:widowControl/>
              <w:jc w:val="right"/>
              <w:rPr>
                <w:rFonts w:ascii="Garamond" w:eastAsia="Times New Roman" w:hAnsi="Garamond" w:cs="Calibri"/>
                <w:color w:val="000000"/>
                <w:kern w:val="0"/>
                <w:szCs w:val="24"/>
              </w:rPr>
            </w:pPr>
            <w:r w:rsidRPr="00F5046E">
              <w:rPr>
                <w:rFonts w:ascii="Garamond" w:eastAsia="Times New Roman" w:hAnsi="Garamond" w:cs="Calibri"/>
                <w:color w:val="000000"/>
                <w:kern w:val="0"/>
                <w:szCs w:val="24"/>
              </w:rPr>
              <w:t>0.07</w:t>
            </w:r>
          </w:p>
        </w:tc>
      </w:tr>
      <w:tr w:rsidR="005C3F88" w:rsidRPr="00D1380F" w14:paraId="5089D9EE" w14:textId="77777777" w:rsidTr="0058079D">
        <w:trPr>
          <w:trHeight w:val="317"/>
        </w:trPr>
        <w:tc>
          <w:tcPr>
            <w:tcW w:w="3529" w:type="dxa"/>
            <w:shd w:val="clear" w:color="auto" w:fill="auto"/>
            <w:noWrap/>
            <w:vAlign w:val="center"/>
          </w:tcPr>
          <w:p w14:paraId="02E5E8CA" w14:textId="77777777" w:rsidR="005C3F88" w:rsidRPr="00D1380F" w:rsidRDefault="005C3F88" w:rsidP="0058079D">
            <w:pPr>
              <w:widowControl/>
              <w:ind w:firstLineChars="200" w:firstLine="480"/>
              <w:rPr>
                <w:rFonts w:ascii="Garamond" w:eastAsia="Times New Roman" w:hAnsi="Garamond" w:cs="Calibri"/>
                <w:color w:val="000000"/>
                <w:kern w:val="0"/>
                <w:szCs w:val="24"/>
              </w:rPr>
            </w:pPr>
            <w:r w:rsidRPr="00F5046E">
              <w:rPr>
                <w:rFonts w:ascii="Garamond" w:eastAsia="Times New Roman" w:hAnsi="Garamond" w:cs="Calibri"/>
                <w:color w:val="000000"/>
                <w:kern w:val="0"/>
                <w:szCs w:val="24"/>
              </w:rPr>
              <w:t>Network reciprocity</w:t>
            </w:r>
          </w:p>
        </w:tc>
        <w:tc>
          <w:tcPr>
            <w:tcW w:w="1440" w:type="dxa"/>
            <w:shd w:val="clear" w:color="auto" w:fill="auto"/>
            <w:noWrap/>
            <w:vAlign w:val="center"/>
          </w:tcPr>
          <w:p w14:paraId="4920359E" w14:textId="77777777" w:rsidR="005C3F88" w:rsidRPr="00D1380F" w:rsidRDefault="005C3F88" w:rsidP="0058079D">
            <w:pPr>
              <w:widowControl/>
              <w:jc w:val="right"/>
              <w:rPr>
                <w:rFonts w:ascii="Garamond" w:eastAsia="Times New Roman" w:hAnsi="Garamond" w:cs="Calibri"/>
                <w:color w:val="000000"/>
                <w:kern w:val="0"/>
                <w:szCs w:val="24"/>
              </w:rPr>
            </w:pPr>
            <w:r w:rsidRPr="00F5046E">
              <w:rPr>
                <w:rFonts w:ascii="Garamond" w:eastAsia="Times New Roman" w:hAnsi="Garamond" w:cs="Calibri"/>
                <w:color w:val="000000"/>
                <w:kern w:val="0"/>
                <w:szCs w:val="24"/>
              </w:rPr>
              <w:t>0.13</w:t>
            </w:r>
          </w:p>
        </w:tc>
        <w:tc>
          <w:tcPr>
            <w:tcW w:w="1440" w:type="dxa"/>
            <w:shd w:val="clear" w:color="auto" w:fill="auto"/>
            <w:noWrap/>
            <w:vAlign w:val="center"/>
          </w:tcPr>
          <w:p w14:paraId="73B5DCFE" w14:textId="77777777" w:rsidR="005C3F88" w:rsidRPr="00F5046E" w:rsidRDefault="005C3F88" w:rsidP="0058079D">
            <w:pPr>
              <w:widowControl/>
              <w:jc w:val="right"/>
              <w:rPr>
                <w:rFonts w:ascii="Garamond" w:eastAsia="Times New Roman" w:hAnsi="Garamond" w:cs="Calibri"/>
                <w:color w:val="000000"/>
                <w:kern w:val="0"/>
                <w:szCs w:val="24"/>
              </w:rPr>
            </w:pPr>
            <w:r w:rsidRPr="00F5046E">
              <w:rPr>
                <w:rFonts w:ascii="Garamond" w:eastAsia="Times New Roman" w:hAnsi="Garamond" w:cs="Calibri"/>
                <w:color w:val="000000"/>
                <w:kern w:val="0"/>
                <w:szCs w:val="24"/>
              </w:rPr>
              <w:t>0.24</w:t>
            </w:r>
          </w:p>
        </w:tc>
        <w:tc>
          <w:tcPr>
            <w:tcW w:w="1440" w:type="dxa"/>
            <w:shd w:val="clear" w:color="auto" w:fill="auto"/>
            <w:noWrap/>
            <w:vAlign w:val="center"/>
          </w:tcPr>
          <w:p w14:paraId="22EBF104" w14:textId="77777777" w:rsidR="005C3F88" w:rsidRPr="00F5046E" w:rsidRDefault="005C3F88" w:rsidP="0058079D">
            <w:pPr>
              <w:widowControl/>
              <w:jc w:val="right"/>
              <w:rPr>
                <w:rFonts w:ascii="Garamond" w:eastAsia="Times New Roman" w:hAnsi="Garamond" w:cs="Calibri"/>
                <w:color w:val="000000"/>
                <w:kern w:val="0"/>
                <w:szCs w:val="24"/>
              </w:rPr>
            </w:pPr>
            <w:r w:rsidRPr="00F5046E">
              <w:rPr>
                <w:rFonts w:ascii="Garamond" w:eastAsia="Times New Roman" w:hAnsi="Garamond" w:cs="Calibri"/>
                <w:color w:val="000000"/>
                <w:kern w:val="0"/>
                <w:szCs w:val="24"/>
              </w:rPr>
              <w:t>0.27</w:t>
            </w:r>
          </w:p>
        </w:tc>
      </w:tr>
      <w:tr w:rsidR="005C3F88" w:rsidRPr="00D1380F" w14:paraId="36C97E57" w14:textId="77777777" w:rsidTr="0058079D">
        <w:trPr>
          <w:trHeight w:val="317"/>
        </w:trPr>
        <w:tc>
          <w:tcPr>
            <w:tcW w:w="3529" w:type="dxa"/>
            <w:shd w:val="clear" w:color="auto" w:fill="auto"/>
            <w:noWrap/>
            <w:vAlign w:val="center"/>
            <w:hideMark/>
          </w:tcPr>
          <w:p w14:paraId="537A5122" w14:textId="77777777" w:rsidR="005C3F88" w:rsidRPr="00D1380F" w:rsidRDefault="005C3F88" w:rsidP="0058079D">
            <w:pPr>
              <w:widowControl/>
              <w:ind w:firstLineChars="200" w:firstLine="480"/>
              <w:rPr>
                <w:rFonts w:ascii="Garamond" w:eastAsia="Times New Roman" w:hAnsi="Garamond" w:cs="Calibri"/>
                <w:color w:val="000000"/>
                <w:kern w:val="0"/>
                <w:szCs w:val="24"/>
              </w:rPr>
            </w:pPr>
            <w:r>
              <w:rPr>
                <w:rFonts w:ascii="Garamond" w:eastAsia="Times New Roman" w:hAnsi="Garamond" w:cs="Calibri"/>
                <w:color w:val="000000"/>
                <w:kern w:val="0"/>
                <w:szCs w:val="24"/>
              </w:rPr>
              <w:t>Out/indegree</w:t>
            </w:r>
          </w:p>
        </w:tc>
        <w:tc>
          <w:tcPr>
            <w:tcW w:w="1440" w:type="dxa"/>
            <w:shd w:val="clear" w:color="auto" w:fill="auto"/>
            <w:noWrap/>
            <w:vAlign w:val="center"/>
            <w:hideMark/>
          </w:tcPr>
          <w:p w14:paraId="16875EBE" w14:textId="77777777" w:rsidR="005C3F88" w:rsidRPr="00D1380F" w:rsidRDefault="005C3F88" w:rsidP="0058079D">
            <w:pPr>
              <w:widowControl/>
              <w:jc w:val="right"/>
              <w:rPr>
                <w:rFonts w:ascii="Garamond" w:eastAsia="Times New Roman" w:hAnsi="Garamond" w:cs="Calibri"/>
                <w:color w:val="000000"/>
                <w:kern w:val="0"/>
                <w:szCs w:val="24"/>
              </w:rPr>
            </w:pPr>
            <w:r w:rsidRPr="00D1380F">
              <w:rPr>
                <w:rFonts w:ascii="Garamond" w:eastAsia="Times New Roman" w:hAnsi="Garamond" w:cs="Calibri"/>
                <w:color w:val="000000"/>
                <w:kern w:val="0"/>
                <w:szCs w:val="24"/>
              </w:rPr>
              <w:t>2.03(3.58)</w:t>
            </w:r>
          </w:p>
        </w:tc>
        <w:tc>
          <w:tcPr>
            <w:tcW w:w="1440" w:type="dxa"/>
            <w:shd w:val="clear" w:color="auto" w:fill="auto"/>
            <w:noWrap/>
            <w:vAlign w:val="center"/>
            <w:hideMark/>
          </w:tcPr>
          <w:p w14:paraId="624A6D3F" w14:textId="77777777" w:rsidR="005C3F88" w:rsidRPr="00D1380F" w:rsidRDefault="005C3F88" w:rsidP="0058079D">
            <w:pPr>
              <w:widowControl/>
              <w:jc w:val="right"/>
              <w:rPr>
                <w:rFonts w:ascii="Garamond" w:eastAsia="Times New Roman" w:hAnsi="Garamond" w:cs="Calibri"/>
                <w:color w:val="000000"/>
                <w:kern w:val="0"/>
                <w:szCs w:val="24"/>
              </w:rPr>
            </w:pPr>
            <w:r w:rsidRPr="00D1380F">
              <w:rPr>
                <w:rFonts w:ascii="Garamond" w:eastAsia="Times New Roman" w:hAnsi="Garamond" w:cs="Calibri"/>
                <w:color w:val="000000"/>
                <w:kern w:val="0"/>
                <w:szCs w:val="24"/>
              </w:rPr>
              <w:t>8.49(10.45)</w:t>
            </w:r>
          </w:p>
        </w:tc>
        <w:tc>
          <w:tcPr>
            <w:tcW w:w="1440" w:type="dxa"/>
            <w:shd w:val="clear" w:color="auto" w:fill="auto"/>
            <w:noWrap/>
            <w:vAlign w:val="center"/>
            <w:hideMark/>
          </w:tcPr>
          <w:p w14:paraId="5C4DFC00" w14:textId="77777777" w:rsidR="005C3F88" w:rsidRPr="00D1380F" w:rsidRDefault="005C3F88" w:rsidP="0058079D">
            <w:pPr>
              <w:widowControl/>
              <w:jc w:val="right"/>
              <w:rPr>
                <w:rFonts w:ascii="Garamond" w:eastAsia="Times New Roman" w:hAnsi="Garamond" w:cs="Calibri"/>
                <w:color w:val="000000"/>
                <w:kern w:val="0"/>
                <w:szCs w:val="24"/>
              </w:rPr>
            </w:pPr>
            <w:r w:rsidRPr="00D1380F">
              <w:rPr>
                <w:rFonts w:ascii="Garamond" w:eastAsia="Times New Roman" w:hAnsi="Garamond" w:cs="Calibri"/>
                <w:color w:val="000000"/>
                <w:kern w:val="0"/>
                <w:szCs w:val="24"/>
              </w:rPr>
              <w:t>7.18(8.04)</w:t>
            </w:r>
          </w:p>
        </w:tc>
      </w:tr>
      <w:tr w:rsidR="005C3F88" w:rsidRPr="00D1380F" w14:paraId="465A979B" w14:textId="77777777" w:rsidTr="0058079D">
        <w:trPr>
          <w:trHeight w:val="317"/>
        </w:trPr>
        <w:tc>
          <w:tcPr>
            <w:tcW w:w="3529" w:type="dxa"/>
            <w:shd w:val="clear" w:color="auto" w:fill="auto"/>
            <w:noWrap/>
            <w:vAlign w:val="center"/>
            <w:hideMark/>
          </w:tcPr>
          <w:p w14:paraId="6B00B07C" w14:textId="77777777" w:rsidR="005C3F88" w:rsidRPr="00D1380F" w:rsidRDefault="005C3F88" w:rsidP="0058079D">
            <w:pPr>
              <w:widowControl/>
              <w:ind w:firstLineChars="200" w:firstLine="480"/>
              <w:rPr>
                <w:rFonts w:ascii="Garamond" w:eastAsia="Times New Roman" w:hAnsi="Garamond" w:cs="Calibri"/>
                <w:color w:val="000000"/>
                <w:kern w:val="0"/>
                <w:szCs w:val="24"/>
              </w:rPr>
            </w:pPr>
            <w:r w:rsidRPr="00D1380F">
              <w:rPr>
                <w:rFonts w:ascii="Garamond" w:eastAsia="Times New Roman" w:hAnsi="Garamond" w:cs="Calibri"/>
                <w:color w:val="000000"/>
                <w:kern w:val="0"/>
                <w:szCs w:val="24"/>
              </w:rPr>
              <w:t>Ego-reciprocity</w:t>
            </w:r>
          </w:p>
        </w:tc>
        <w:tc>
          <w:tcPr>
            <w:tcW w:w="1440" w:type="dxa"/>
            <w:shd w:val="clear" w:color="auto" w:fill="auto"/>
            <w:noWrap/>
            <w:vAlign w:val="center"/>
            <w:hideMark/>
          </w:tcPr>
          <w:p w14:paraId="147F7FEF" w14:textId="77777777" w:rsidR="005C3F88" w:rsidRPr="00D1380F" w:rsidRDefault="005C3F88" w:rsidP="0058079D">
            <w:pPr>
              <w:widowControl/>
              <w:jc w:val="right"/>
              <w:rPr>
                <w:rFonts w:ascii="Garamond" w:eastAsia="Times New Roman" w:hAnsi="Garamond" w:cs="Calibri"/>
                <w:color w:val="000000"/>
                <w:kern w:val="0"/>
                <w:szCs w:val="24"/>
              </w:rPr>
            </w:pPr>
            <w:r w:rsidRPr="00F5046E">
              <w:rPr>
                <w:rFonts w:ascii="Garamond" w:eastAsia="Times New Roman" w:hAnsi="Garamond" w:cs="Calibri"/>
                <w:color w:val="000000"/>
                <w:kern w:val="0"/>
                <w:szCs w:val="24"/>
              </w:rPr>
              <w:t>0.22</w:t>
            </w:r>
          </w:p>
        </w:tc>
        <w:tc>
          <w:tcPr>
            <w:tcW w:w="1440" w:type="dxa"/>
            <w:shd w:val="clear" w:color="auto" w:fill="auto"/>
            <w:noWrap/>
            <w:vAlign w:val="center"/>
            <w:hideMark/>
          </w:tcPr>
          <w:p w14:paraId="7A5BA31A" w14:textId="77777777" w:rsidR="005C3F88" w:rsidRPr="00D1380F" w:rsidRDefault="005C3F88" w:rsidP="0058079D">
            <w:pPr>
              <w:widowControl/>
              <w:jc w:val="right"/>
              <w:rPr>
                <w:rFonts w:ascii="Garamond" w:eastAsia="Times New Roman" w:hAnsi="Garamond" w:cs="Calibri"/>
                <w:color w:val="000000"/>
                <w:kern w:val="0"/>
                <w:szCs w:val="24"/>
              </w:rPr>
            </w:pPr>
            <w:r w:rsidRPr="00F5046E">
              <w:rPr>
                <w:rFonts w:ascii="Garamond" w:eastAsia="Times New Roman" w:hAnsi="Garamond" w:cs="Calibri"/>
                <w:color w:val="000000"/>
                <w:kern w:val="0"/>
                <w:szCs w:val="24"/>
              </w:rPr>
              <w:t>0.38</w:t>
            </w:r>
          </w:p>
        </w:tc>
        <w:tc>
          <w:tcPr>
            <w:tcW w:w="1440" w:type="dxa"/>
            <w:shd w:val="clear" w:color="auto" w:fill="auto"/>
            <w:noWrap/>
            <w:vAlign w:val="center"/>
            <w:hideMark/>
          </w:tcPr>
          <w:p w14:paraId="288D0DE3" w14:textId="77777777" w:rsidR="005C3F88" w:rsidRPr="00D1380F" w:rsidRDefault="005C3F88" w:rsidP="0058079D">
            <w:pPr>
              <w:widowControl/>
              <w:jc w:val="right"/>
              <w:rPr>
                <w:rFonts w:ascii="Garamond" w:eastAsia="Times New Roman" w:hAnsi="Garamond" w:cs="Calibri"/>
                <w:color w:val="000000"/>
                <w:kern w:val="0"/>
                <w:szCs w:val="24"/>
              </w:rPr>
            </w:pPr>
            <w:r w:rsidRPr="00F5046E">
              <w:rPr>
                <w:rFonts w:ascii="Garamond" w:eastAsia="Times New Roman" w:hAnsi="Garamond" w:cs="Calibri"/>
                <w:color w:val="000000"/>
                <w:kern w:val="0"/>
                <w:szCs w:val="24"/>
              </w:rPr>
              <w:t>0.42</w:t>
            </w:r>
          </w:p>
        </w:tc>
      </w:tr>
    </w:tbl>
    <w:p w14:paraId="1C76DC7E" w14:textId="77777777" w:rsidR="005C3F88" w:rsidRDefault="005C3F88" w:rsidP="005C3F88">
      <w:pPr>
        <w:snapToGrid w:val="0"/>
        <w:ind w:right="1530"/>
        <w:rPr>
          <w:rFonts w:ascii="Garamond" w:hAnsi="Garamond"/>
          <w:szCs w:val="24"/>
        </w:rPr>
      </w:pPr>
      <w:r w:rsidRPr="00C001B6">
        <w:rPr>
          <w:rFonts w:ascii="Garamond" w:hAnsi="Garamond"/>
          <w:i/>
          <w:szCs w:val="24"/>
        </w:rPr>
        <w:t>Note</w:t>
      </w:r>
      <w:r>
        <w:rPr>
          <w:rFonts w:ascii="Garamond" w:hAnsi="Garamond"/>
          <w:szCs w:val="24"/>
        </w:rPr>
        <w:t xml:space="preserve">: Values of individual perceptions indicate mean and standard deviation in parenthesis. Values of out/indegree indicates the standardized form of mean and standard deviation.  Values of ego-reciprocity can be interpreted in percentage. </w:t>
      </w:r>
    </w:p>
    <w:p w14:paraId="16F596AE" w14:textId="77777777" w:rsidR="005C3F88" w:rsidRDefault="005C3F88" w:rsidP="005C3F88">
      <w:pPr>
        <w:snapToGrid w:val="0"/>
        <w:spacing w:line="480" w:lineRule="auto"/>
        <w:ind w:right="1530"/>
        <w:rPr>
          <w:rFonts w:ascii="Garamond" w:hAnsi="Garamond"/>
          <w:szCs w:val="24"/>
        </w:rPr>
      </w:pPr>
    </w:p>
    <w:p w14:paraId="66A260EF" w14:textId="77777777" w:rsidR="005C3F88" w:rsidRDefault="005C3F88" w:rsidP="005C3F88">
      <w:pPr>
        <w:widowControl/>
        <w:spacing w:after="160" w:line="259" w:lineRule="auto"/>
        <w:rPr>
          <w:rFonts w:ascii="Garamond" w:hAnsi="Garamond"/>
          <w:szCs w:val="24"/>
        </w:rPr>
      </w:pPr>
      <w:r>
        <w:rPr>
          <w:rFonts w:ascii="Garamond" w:hAnsi="Garamond"/>
          <w:szCs w:val="24"/>
        </w:rPr>
        <w:br w:type="page"/>
      </w:r>
    </w:p>
    <w:p w14:paraId="7E6D94DA" w14:textId="77777777" w:rsidR="005C3F88" w:rsidRDefault="005C3F88" w:rsidP="005C3F88">
      <w:pPr>
        <w:snapToGrid w:val="0"/>
        <w:rPr>
          <w:rFonts w:ascii="Garamond" w:hAnsi="Garamond"/>
          <w:szCs w:val="24"/>
        </w:rPr>
      </w:pPr>
      <w:r w:rsidRPr="00E240AF">
        <w:rPr>
          <w:rFonts w:ascii="Garamond" w:hAnsi="Garamond"/>
          <w:szCs w:val="24"/>
        </w:rPr>
        <w:lastRenderedPageBreak/>
        <w:t xml:space="preserve">Table </w:t>
      </w:r>
      <w:r>
        <w:rPr>
          <w:rFonts w:ascii="Garamond" w:hAnsi="Garamond"/>
          <w:szCs w:val="24"/>
        </w:rPr>
        <w:t>3:</w:t>
      </w:r>
      <w:r w:rsidRPr="00E240AF">
        <w:rPr>
          <w:rFonts w:ascii="Garamond" w:hAnsi="Garamond"/>
          <w:szCs w:val="24"/>
        </w:rPr>
        <w:t xml:space="preserve"> Parameter Estimates of the Multilevel </w:t>
      </w:r>
      <w:r w:rsidRPr="00E240AF">
        <w:rPr>
          <w:rFonts w:ascii="Garamond" w:hAnsi="Garamond"/>
          <w:i/>
          <w:szCs w:val="24"/>
        </w:rPr>
        <w:t>p2</w:t>
      </w:r>
      <w:r w:rsidRPr="00E240AF">
        <w:rPr>
          <w:rFonts w:ascii="Garamond" w:hAnsi="Garamond"/>
          <w:szCs w:val="24"/>
        </w:rPr>
        <w:t xml:space="preserve"> Model: Displaying the Effect of Individual, Demographic, and Dyadic Characteristics on the Probability of Having “Instructional Materials” Relationship at the</w:t>
      </w:r>
      <w:r>
        <w:rPr>
          <w:rFonts w:ascii="Garamond" w:hAnsi="Garamond"/>
          <w:szCs w:val="24"/>
        </w:rPr>
        <w:t xml:space="preserve"> End of the Preparation Program in England, Spain, and US</w:t>
      </w:r>
    </w:p>
    <w:p w14:paraId="4CF45BD7" w14:textId="77777777" w:rsidR="005C3F88" w:rsidRDefault="005C3F88" w:rsidP="005C3F88">
      <w:pPr>
        <w:snapToGrid w:val="0"/>
        <w:rPr>
          <w:rFonts w:ascii="Garamond" w:hAnsi="Garamond"/>
          <w:szCs w:val="24"/>
        </w:rPr>
      </w:pPr>
    </w:p>
    <w:tbl>
      <w:tblPr>
        <w:tblW w:w="5378" w:type="pct"/>
        <w:tblBorders>
          <w:top w:val="single" w:sz="8" w:space="0" w:color="000000"/>
          <w:bottom w:val="single" w:sz="8" w:space="0" w:color="000000"/>
        </w:tblBorders>
        <w:tblLayout w:type="fixed"/>
        <w:tblLook w:val="00A0" w:firstRow="1" w:lastRow="0" w:firstColumn="1" w:lastColumn="0" w:noHBand="0" w:noVBand="0"/>
      </w:tblPr>
      <w:tblGrid>
        <w:gridCol w:w="3147"/>
        <w:gridCol w:w="1333"/>
        <w:gridCol w:w="856"/>
        <w:gridCol w:w="1327"/>
        <w:gridCol w:w="856"/>
        <w:gridCol w:w="1331"/>
        <w:gridCol w:w="1218"/>
      </w:tblGrid>
      <w:tr w:rsidR="005C3F88" w:rsidRPr="00E240AF" w14:paraId="65A7B3ED" w14:textId="77777777" w:rsidTr="0058079D">
        <w:trPr>
          <w:trHeight w:val="288"/>
        </w:trPr>
        <w:tc>
          <w:tcPr>
            <w:tcW w:w="1563" w:type="pct"/>
            <w:tcBorders>
              <w:top w:val="single" w:sz="4" w:space="0" w:color="auto"/>
              <w:bottom w:val="nil"/>
            </w:tcBorders>
            <w:vAlign w:val="center"/>
          </w:tcPr>
          <w:p w14:paraId="55742FA1" w14:textId="77777777" w:rsidR="005C3F88" w:rsidRPr="00E240AF" w:rsidRDefault="005C3F88" w:rsidP="0058079D">
            <w:pPr>
              <w:snapToGrid w:val="0"/>
              <w:jc w:val="center"/>
              <w:rPr>
                <w:rFonts w:ascii="Garamond" w:hAnsi="Garamond"/>
                <w:bCs/>
                <w:szCs w:val="24"/>
              </w:rPr>
            </w:pPr>
          </w:p>
        </w:tc>
        <w:tc>
          <w:tcPr>
            <w:tcW w:w="1087" w:type="pct"/>
            <w:gridSpan w:val="2"/>
            <w:tcBorders>
              <w:top w:val="single" w:sz="4" w:space="0" w:color="auto"/>
              <w:bottom w:val="nil"/>
            </w:tcBorders>
            <w:vAlign w:val="center"/>
          </w:tcPr>
          <w:p w14:paraId="65541C3C" w14:textId="77777777" w:rsidR="005C3F88" w:rsidRPr="003B4B94" w:rsidRDefault="005C3F88" w:rsidP="0058079D">
            <w:pPr>
              <w:snapToGrid w:val="0"/>
              <w:jc w:val="center"/>
              <w:rPr>
                <w:rFonts w:ascii="Garamond" w:hAnsi="Garamond"/>
                <w:szCs w:val="24"/>
                <w:vertAlign w:val="superscript"/>
              </w:rPr>
            </w:pPr>
            <w:r w:rsidRPr="00E240AF">
              <w:rPr>
                <w:rFonts w:ascii="Garamond" w:hAnsi="Garamond"/>
                <w:szCs w:val="24"/>
              </w:rPr>
              <w:t>England</w:t>
            </w:r>
            <w:r>
              <w:rPr>
                <w:rFonts w:ascii="Garamond" w:hAnsi="Garamond"/>
                <w:szCs w:val="24"/>
                <w:vertAlign w:val="superscript"/>
              </w:rPr>
              <w:t>1</w:t>
            </w:r>
          </w:p>
          <w:p w14:paraId="66CC2773" w14:textId="77777777" w:rsidR="005C3F88" w:rsidRPr="00E240AF" w:rsidRDefault="005C3F88" w:rsidP="0058079D">
            <w:pPr>
              <w:snapToGrid w:val="0"/>
              <w:jc w:val="center"/>
              <w:rPr>
                <w:rFonts w:ascii="Garamond" w:hAnsi="Garamond"/>
                <w:szCs w:val="24"/>
              </w:rPr>
            </w:pPr>
            <w:r>
              <w:rPr>
                <w:rFonts w:ascii="Garamond" w:hAnsi="Garamond"/>
                <w:szCs w:val="24"/>
              </w:rPr>
              <w:pict w14:anchorId="3B562DED">
                <v:rect id="_x0000_i1025" style="width:0;height:1.5pt" o:hralign="center" o:hrstd="t" o:hr="t" fillcolor="#a0a0a0" stroked="f"/>
              </w:pict>
            </w:r>
          </w:p>
        </w:tc>
        <w:tc>
          <w:tcPr>
            <w:tcW w:w="1084" w:type="pct"/>
            <w:gridSpan w:val="2"/>
            <w:tcBorders>
              <w:top w:val="single" w:sz="4" w:space="0" w:color="auto"/>
              <w:bottom w:val="nil"/>
            </w:tcBorders>
            <w:vAlign w:val="center"/>
          </w:tcPr>
          <w:p w14:paraId="41125812" w14:textId="77777777" w:rsidR="005C3F88" w:rsidRPr="003B4B94" w:rsidRDefault="005C3F88" w:rsidP="0058079D">
            <w:pPr>
              <w:snapToGrid w:val="0"/>
              <w:jc w:val="center"/>
              <w:rPr>
                <w:rFonts w:ascii="Garamond" w:hAnsi="Garamond"/>
                <w:szCs w:val="24"/>
                <w:vertAlign w:val="superscript"/>
              </w:rPr>
            </w:pPr>
            <w:r w:rsidRPr="00E240AF">
              <w:rPr>
                <w:rFonts w:ascii="Garamond" w:hAnsi="Garamond"/>
                <w:szCs w:val="24"/>
              </w:rPr>
              <w:t>Spain</w:t>
            </w:r>
            <w:r>
              <w:rPr>
                <w:rFonts w:ascii="Garamond" w:hAnsi="Garamond"/>
                <w:szCs w:val="24"/>
                <w:vertAlign w:val="superscript"/>
              </w:rPr>
              <w:t>2</w:t>
            </w:r>
          </w:p>
          <w:p w14:paraId="77C97697" w14:textId="77777777" w:rsidR="005C3F88" w:rsidRPr="00E240AF" w:rsidRDefault="005C3F88" w:rsidP="0058079D">
            <w:pPr>
              <w:snapToGrid w:val="0"/>
              <w:jc w:val="center"/>
              <w:rPr>
                <w:rFonts w:ascii="Garamond" w:hAnsi="Garamond"/>
                <w:szCs w:val="24"/>
              </w:rPr>
            </w:pPr>
            <w:r>
              <w:rPr>
                <w:rFonts w:ascii="Garamond" w:hAnsi="Garamond"/>
                <w:szCs w:val="24"/>
              </w:rPr>
              <w:pict w14:anchorId="742CA999">
                <v:rect id="_x0000_i1026" style="width:0;height:1.5pt" o:hralign="center" o:hrstd="t" o:hr="t" fillcolor="#a0a0a0" stroked="f"/>
              </w:pict>
            </w:r>
          </w:p>
        </w:tc>
        <w:tc>
          <w:tcPr>
            <w:tcW w:w="1266" w:type="pct"/>
            <w:gridSpan w:val="2"/>
            <w:tcBorders>
              <w:top w:val="single" w:sz="4" w:space="0" w:color="auto"/>
              <w:bottom w:val="nil"/>
            </w:tcBorders>
            <w:vAlign w:val="center"/>
          </w:tcPr>
          <w:p w14:paraId="06D766B6" w14:textId="77777777" w:rsidR="005C3F88" w:rsidRPr="003B4B94" w:rsidRDefault="005C3F88" w:rsidP="0058079D">
            <w:pPr>
              <w:snapToGrid w:val="0"/>
              <w:jc w:val="center"/>
              <w:rPr>
                <w:rFonts w:ascii="Garamond" w:hAnsi="Garamond"/>
                <w:szCs w:val="24"/>
              </w:rPr>
            </w:pPr>
            <w:r w:rsidRPr="00E240AF">
              <w:rPr>
                <w:rFonts w:ascii="Garamond" w:hAnsi="Garamond"/>
                <w:szCs w:val="24"/>
              </w:rPr>
              <w:t>US</w:t>
            </w:r>
            <w:r>
              <w:rPr>
                <w:rFonts w:ascii="Garamond" w:hAnsi="Garamond"/>
                <w:szCs w:val="24"/>
                <w:vertAlign w:val="superscript"/>
              </w:rPr>
              <w:t>3</w:t>
            </w:r>
          </w:p>
          <w:p w14:paraId="108BFE4E" w14:textId="77777777" w:rsidR="005C3F88" w:rsidRPr="00E240AF" w:rsidRDefault="005C3F88" w:rsidP="0058079D">
            <w:pPr>
              <w:snapToGrid w:val="0"/>
              <w:jc w:val="center"/>
              <w:rPr>
                <w:rFonts w:ascii="Garamond" w:hAnsi="Garamond"/>
                <w:szCs w:val="24"/>
              </w:rPr>
            </w:pPr>
            <w:r>
              <w:rPr>
                <w:rFonts w:ascii="Garamond" w:hAnsi="Garamond"/>
                <w:szCs w:val="24"/>
              </w:rPr>
              <w:pict w14:anchorId="70733DE0">
                <v:rect id="_x0000_i1027" style="width:0;height:1.5pt" o:hralign="center" o:hrstd="t" o:hr="t" fillcolor="#a0a0a0" stroked="f"/>
              </w:pict>
            </w:r>
          </w:p>
        </w:tc>
      </w:tr>
      <w:tr w:rsidR="005C3F88" w:rsidRPr="00E240AF" w14:paraId="132B703F" w14:textId="77777777" w:rsidTr="0058079D">
        <w:trPr>
          <w:trHeight w:val="20"/>
        </w:trPr>
        <w:tc>
          <w:tcPr>
            <w:tcW w:w="1563" w:type="pct"/>
            <w:tcBorders>
              <w:top w:val="nil"/>
              <w:bottom w:val="single" w:sz="4" w:space="0" w:color="auto"/>
            </w:tcBorders>
            <w:vAlign w:val="center"/>
          </w:tcPr>
          <w:p w14:paraId="6DAE70C6" w14:textId="77777777" w:rsidR="005C3F88" w:rsidRPr="00E240AF" w:rsidRDefault="005C3F88" w:rsidP="0058079D">
            <w:pPr>
              <w:snapToGrid w:val="0"/>
              <w:rPr>
                <w:rFonts w:ascii="Garamond" w:hAnsi="Garamond"/>
                <w:bCs/>
                <w:szCs w:val="24"/>
              </w:rPr>
            </w:pPr>
          </w:p>
        </w:tc>
        <w:tc>
          <w:tcPr>
            <w:tcW w:w="662" w:type="pct"/>
            <w:tcBorders>
              <w:top w:val="nil"/>
              <w:bottom w:val="single" w:sz="4" w:space="0" w:color="auto"/>
            </w:tcBorders>
            <w:vAlign w:val="center"/>
          </w:tcPr>
          <w:p w14:paraId="5829486D" w14:textId="77777777" w:rsidR="005C3F88" w:rsidRPr="00E240AF" w:rsidRDefault="005C3F88" w:rsidP="0058079D">
            <w:pPr>
              <w:snapToGrid w:val="0"/>
              <w:jc w:val="center"/>
              <w:rPr>
                <w:rFonts w:ascii="Garamond" w:hAnsi="Garamond"/>
                <w:szCs w:val="24"/>
              </w:rPr>
            </w:pPr>
            <w:r w:rsidRPr="00E240AF">
              <w:rPr>
                <w:rFonts w:ascii="Garamond" w:hAnsi="Garamond"/>
                <w:szCs w:val="24"/>
              </w:rPr>
              <w:t xml:space="preserve">Parameter </w:t>
            </w:r>
          </w:p>
          <w:p w14:paraId="42CC5809" w14:textId="77777777" w:rsidR="005C3F88" w:rsidRPr="00E240AF" w:rsidRDefault="005C3F88" w:rsidP="0058079D">
            <w:pPr>
              <w:snapToGrid w:val="0"/>
              <w:jc w:val="center"/>
              <w:rPr>
                <w:rFonts w:ascii="Garamond" w:hAnsi="Garamond"/>
                <w:szCs w:val="24"/>
              </w:rPr>
            </w:pPr>
            <w:r w:rsidRPr="00E240AF">
              <w:rPr>
                <w:rFonts w:ascii="Garamond" w:hAnsi="Garamond"/>
                <w:szCs w:val="24"/>
              </w:rPr>
              <w:t>estimate</w:t>
            </w:r>
          </w:p>
        </w:tc>
        <w:tc>
          <w:tcPr>
            <w:tcW w:w="425" w:type="pct"/>
            <w:tcBorders>
              <w:top w:val="nil"/>
              <w:bottom w:val="single" w:sz="4" w:space="0" w:color="auto"/>
            </w:tcBorders>
            <w:vAlign w:val="center"/>
          </w:tcPr>
          <w:p w14:paraId="345A3453" w14:textId="77777777" w:rsidR="005C3F88" w:rsidRPr="00E240AF" w:rsidRDefault="005C3F88" w:rsidP="0058079D">
            <w:pPr>
              <w:snapToGrid w:val="0"/>
              <w:jc w:val="center"/>
              <w:rPr>
                <w:rFonts w:ascii="Garamond" w:hAnsi="Garamond"/>
                <w:szCs w:val="24"/>
              </w:rPr>
            </w:pPr>
            <w:r w:rsidRPr="00E240AF">
              <w:rPr>
                <w:rFonts w:ascii="Garamond" w:hAnsi="Garamond"/>
                <w:szCs w:val="24"/>
              </w:rPr>
              <w:t>SE</w:t>
            </w:r>
          </w:p>
        </w:tc>
        <w:tc>
          <w:tcPr>
            <w:tcW w:w="659" w:type="pct"/>
            <w:tcBorders>
              <w:top w:val="nil"/>
              <w:bottom w:val="single" w:sz="4" w:space="0" w:color="auto"/>
            </w:tcBorders>
            <w:vAlign w:val="center"/>
          </w:tcPr>
          <w:p w14:paraId="039632F1" w14:textId="77777777" w:rsidR="005C3F88" w:rsidRPr="00E240AF" w:rsidRDefault="005C3F88" w:rsidP="0058079D">
            <w:pPr>
              <w:snapToGrid w:val="0"/>
              <w:jc w:val="center"/>
              <w:rPr>
                <w:rFonts w:ascii="Garamond" w:hAnsi="Garamond"/>
                <w:szCs w:val="24"/>
              </w:rPr>
            </w:pPr>
            <w:r w:rsidRPr="00E240AF">
              <w:rPr>
                <w:rFonts w:ascii="Garamond" w:hAnsi="Garamond"/>
                <w:szCs w:val="24"/>
              </w:rPr>
              <w:t xml:space="preserve">Parameter </w:t>
            </w:r>
          </w:p>
          <w:p w14:paraId="342CF269" w14:textId="77777777" w:rsidR="005C3F88" w:rsidRPr="00E240AF" w:rsidRDefault="005C3F88" w:rsidP="0058079D">
            <w:pPr>
              <w:snapToGrid w:val="0"/>
              <w:jc w:val="center"/>
              <w:rPr>
                <w:rFonts w:ascii="Garamond" w:hAnsi="Garamond"/>
                <w:szCs w:val="24"/>
              </w:rPr>
            </w:pPr>
            <w:r w:rsidRPr="00E240AF">
              <w:rPr>
                <w:rFonts w:ascii="Garamond" w:hAnsi="Garamond"/>
                <w:szCs w:val="24"/>
              </w:rPr>
              <w:t>estimate</w:t>
            </w:r>
          </w:p>
        </w:tc>
        <w:tc>
          <w:tcPr>
            <w:tcW w:w="425" w:type="pct"/>
            <w:tcBorders>
              <w:top w:val="nil"/>
              <w:bottom w:val="single" w:sz="4" w:space="0" w:color="auto"/>
            </w:tcBorders>
            <w:vAlign w:val="center"/>
          </w:tcPr>
          <w:p w14:paraId="3B5C7C17" w14:textId="77777777" w:rsidR="005C3F88" w:rsidRPr="00E240AF" w:rsidRDefault="005C3F88" w:rsidP="0058079D">
            <w:pPr>
              <w:snapToGrid w:val="0"/>
              <w:jc w:val="center"/>
              <w:rPr>
                <w:rFonts w:ascii="Garamond" w:hAnsi="Garamond"/>
                <w:szCs w:val="24"/>
              </w:rPr>
            </w:pPr>
            <w:r w:rsidRPr="00E240AF">
              <w:rPr>
                <w:rFonts w:ascii="Garamond" w:hAnsi="Garamond"/>
                <w:szCs w:val="24"/>
              </w:rPr>
              <w:t>SE</w:t>
            </w:r>
          </w:p>
        </w:tc>
        <w:tc>
          <w:tcPr>
            <w:tcW w:w="661" w:type="pct"/>
            <w:tcBorders>
              <w:top w:val="nil"/>
              <w:bottom w:val="single" w:sz="4" w:space="0" w:color="auto"/>
            </w:tcBorders>
            <w:vAlign w:val="center"/>
          </w:tcPr>
          <w:p w14:paraId="66113EF1" w14:textId="77777777" w:rsidR="005C3F88" w:rsidRPr="00E240AF" w:rsidRDefault="005C3F88" w:rsidP="0058079D">
            <w:pPr>
              <w:snapToGrid w:val="0"/>
              <w:jc w:val="center"/>
              <w:rPr>
                <w:rFonts w:ascii="Garamond" w:hAnsi="Garamond"/>
                <w:szCs w:val="24"/>
              </w:rPr>
            </w:pPr>
            <w:r w:rsidRPr="00E240AF">
              <w:rPr>
                <w:rFonts w:ascii="Garamond" w:hAnsi="Garamond"/>
                <w:szCs w:val="24"/>
              </w:rPr>
              <w:t xml:space="preserve">Parameter </w:t>
            </w:r>
          </w:p>
          <w:p w14:paraId="3EA8936B" w14:textId="77777777" w:rsidR="005C3F88" w:rsidRPr="00E240AF" w:rsidRDefault="005C3F88" w:rsidP="0058079D">
            <w:pPr>
              <w:snapToGrid w:val="0"/>
              <w:jc w:val="center"/>
              <w:rPr>
                <w:rFonts w:ascii="Garamond" w:hAnsi="Garamond"/>
                <w:szCs w:val="24"/>
              </w:rPr>
            </w:pPr>
            <w:r w:rsidRPr="00E240AF">
              <w:rPr>
                <w:rFonts w:ascii="Garamond" w:hAnsi="Garamond"/>
                <w:szCs w:val="24"/>
              </w:rPr>
              <w:t>estimate</w:t>
            </w:r>
          </w:p>
        </w:tc>
        <w:tc>
          <w:tcPr>
            <w:tcW w:w="605" w:type="pct"/>
            <w:tcBorders>
              <w:top w:val="nil"/>
              <w:bottom w:val="single" w:sz="4" w:space="0" w:color="auto"/>
            </w:tcBorders>
            <w:vAlign w:val="center"/>
          </w:tcPr>
          <w:p w14:paraId="642C50FA" w14:textId="77777777" w:rsidR="005C3F88" w:rsidRPr="00E240AF" w:rsidRDefault="005C3F88" w:rsidP="0058079D">
            <w:pPr>
              <w:snapToGrid w:val="0"/>
              <w:jc w:val="center"/>
              <w:rPr>
                <w:rFonts w:ascii="Garamond" w:hAnsi="Garamond"/>
                <w:szCs w:val="24"/>
              </w:rPr>
            </w:pPr>
            <w:r w:rsidRPr="00E240AF">
              <w:rPr>
                <w:rFonts w:ascii="Garamond" w:hAnsi="Garamond"/>
                <w:szCs w:val="24"/>
              </w:rPr>
              <w:t>SE</w:t>
            </w:r>
          </w:p>
        </w:tc>
      </w:tr>
      <w:tr w:rsidR="005C3F88" w:rsidRPr="00E240AF" w14:paraId="731CDCA8" w14:textId="77777777" w:rsidTr="0058079D">
        <w:trPr>
          <w:trHeight w:val="20"/>
        </w:trPr>
        <w:tc>
          <w:tcPr>
            <w:tcW w:w="1563" w:type="pct"/>
            <w:tcBorders>
              <w:top w:val="single" w:sz="4" w:space="0" w:color="auto"/>
            </w:tcBorders>
            <w:vAlign w:val="center"/>
          </w:tcPr>
          <w:p w14:paraId="047DEA2C" w14:textId="77777777" w:rsidR="005C3F88" w:rsidRPr="00E240AF" w:rsidRDefault="005C3F88" w:rsidP="0058079D">
            <w:pPr>
              <w:pStyle w:val="DarkList-Accent51"/>
              <w:snapToGrid w:val="0"/>
              <w:ind w:left="0"/>
              <w:contextualSpacing w:val="0"/>
              <w:rPr>
                <w:rFonts w:ascii="Garamond" w:hAnsi="Garamond"/>
                <w:bCs/>
              </w:rPr>
            </w:pPr>
            <w:r w:rsidRPr="00E240AF">
              <w:rPr>
                <w:rFonts w:ascii="Garamond" w:hAnsi="Garamond"/>
                <w:bCs/>
              </w:rPr>
              <w:t>Overall mean</w:t>
            </w:r>
          </w:p>
        </w:tc>
        <w:tc>
          <w:tcPr>
            <w:tcW w:w="662" w:type="pct"/>
            <w:tcBorders>
              <w:top w:val="single" w:sz="4" w:space="0" w:color="auto"/>
            </w:tcBorders>
            <w:vAlign w:val="center"/>
          </w:tcPr>
          <w:p w14:paraId="6D8D3FD2" w14:textId="77777777" w:rsidR="005C3F88" w:rsidRPr="00E240AF" w:rsidRDefault="005C3F88" w:rsidP="0058079D">
            <w:pPr>
              <w:snapToGrid w:val="0"/>
              <w:rPr>
                <w:rFonts w:ascii="Garamond" w:hAnsi="Garamond"/>
                <w:szCs w:val="24"/>
              </w:rPr>
            </w:pPr>
          </w:p>
        </w:tc>
        <w:tc>
          <w:tcPr>
            <w:tcW w:w="425" w:type="pct"/>
            <w:tcBorders>
              <w:top w:val="single" w:sz="4" w:space="0" w:color="auto"/>
            </w:tcBorders>
            <w:vAlign w:val="center"/>
          </w:tcPr>
          <w:p w14:paraId="5ED65113" w14:textId="77777777" w:rsidR="005C3F88" w:rsidRPr="00E240AF" w:rsidRDefault="005C3F88" w:rsidP="0058079D">
            <w:pPr>
              <w:snapToGrid w:val="0"/>
              <w:jc w:val="center"/>
              <w:rPr>
                <w:rFonts w:ascii="Garamond" w:hAnsi="Garamond"/>
                <w:szCs w:val="24"/>
              </w:rPr>
            </w:pPr>
          </w:p>
        </w:tc>
        <w:tc>
          <w:tcPr>
            <w:tcW w:w="659" w:type="pct"/>
            <w:tcBorders>
              <w:top w:val="single" w:sz="4" w:space="0" w:color="auto"/>
            </w:tcBorders>
          </w:tcPr>
          <w:p w14:paraId="5EF1346C" w14:textId="77777777" w:rsidR="005C3F88" w:rsidRPr="00E240AF" w:rsidRDefault="005C3F88" w:rsidP="0058079D">
            <w:pPr>
              <w:snapToGrid w:val="0"/>
              <w:jc w:val="center"/>
              <w:rPr>
                <w:rFonts w:ascii="Garamond" w:hAnsi="Garamond"/>
                <w:szCs w:val="24"/>
              </w:rPr>
            </w:pPr>
          </w:p>
        </w:tc>
        <w:tc>
          <w:tcPr>
            <w:tcW w:w="425" w:type="pct"/>
            <w:tcBorders>
              <w:top w:val="single" w:sz="4" w:space="0" w:color="auto"/>
            </w:tcBorders>
          </w:tcPr>
          <w:p w14:paraId="6674EA00" w14:textId="77777777" w:rsidR="005C3F88" w:rsidRPr="00E240AF" w:rsidRDefault="005C3F88" w:rsidP="0058079D">
            <w:pPr>
              <w:snapToGrid w:val="0"/>
              <w:jc w:val="center"/>
              <w:rPr>
                <w:rFonts w:ascii="Garamond" w:hAnsi="Garamond"/>
                <w:szCs w:val="24"/>
              </w:rPr>
            </w:pPr>
          </w:p>
        </w:tc>
        <w:tc>
          <w:tcPr>
            <w:tcW w:w="661" w:type="pct"/>
            <w:tcBorders>
              <w:top w:val="single" w:sz="4" w:space="0" w:color="auto"/>
            </w:tcBorders>
          </w:tcPr>
          <w:p w14:paraId="2E41E8E1" w14:textId="77777777" w:rsidR="005C3F88" w:rsidRPr="00E240AF" w:rsidRDefault="005C3F88" w:rsidP="0058079D">
            <w:pPr>
              <w:snapToGrid w:val="0"/>
              <w:jc w:val="center"/>
              <w:rPr>
                <w:rFonts w:ascii="Garamond" w:hAnsi="Garamond"/>
                <w:szCs w:val="24"/>
              </w:rPr>
            </w:pPr>
          </w:p>
        </w:tc>
        <w:tc>
          <w:tcPr>
            <w:tcW w:w="605" w:type="pct"/>
            <w:tcBorders>
              <w:top w:val="single" w:sz="4" w:space="0" w:color="auto"/>
            </w:tcBorders>
          </w:tcPr>
          <w:p w14:paraId="318FC247" w14:textId="77777777" w:rsidR="005C3F88" w:rsidRPr="00E240AF" w:rsidRDefault="005C3F88" w:rsidP="0058079D">
            <w:pPr>
              <w:snapToGrid w:val="0"/>
              <w:jc w:val="center"/>
              <w:rPr>
                <w:rFonts w:ascii="Garamond" w:hAnsi="Garamond"/>
                <w:szCs w:val="24"/>
              </w:rPr>
            </w:pPr>
          </w:p>
        </w:tc>
      </w:tr>
      <w:tr w:rsidR="005C3F88" w:rsidRPr="00E240AF" w14:paraId="3A4D3923" w14:textId="77777777" w:rsidTr="0058079D">
        <w:trPr>
          <w:trHeight w:val="20"/>
        </w:trPr>
        <w:tc>
          <w:tcPr>
            <w:tcW w:w="1563" w:type="pct"/>
            <w:vAlign w:val="center"/>
          </w:tcPr>
          <w:p w14:paraId="354A0215" w14:textId="77777777" w:rsidR="005C3F88" w:rsidRPr="00E240AF" w:rsidRDefault="005C3F88" w:rsidP="0058079D">
            <w:pPr>
              <w:snapToGrid w:val="0"/>
              <w:ind w:left="270"/>
              <w:rPr>
                <w:rFonts w:ascii="Garamond" w:hAnsi="Garamond"/>
                <w:color w:val="000000"/>
                <w:szCs w:val="24"/>
              </w:rPr>
            </w:pPr>
            <w:r w:rsidRPr="00E240AF">
              <w:rPr>
                <w:rFonts w:ascii="Garamond" w:hAnsi="Garamond"/>
                <w:color w:val="000000"/>
                <w:szCs w:val="24"/>
              </w:rPr>
              <w:t>Density</w:t>
            </w:r>
          </w:p>
        </w:tc>
        <w:tc>
          <w:tcPr>
            <w:tcW w:w="662" w:type="pct"/>
            <w:shd w:val="clear" w:color="auto" w:fill="auto"/>
            <w:vAlign w:val="center"/>
          </w:tcPr>
          <w:p w14:paraId="733EAC94" w14:textId="77777777" w:rsidR="005C3F88" w:rsidRPr="00E240AF" w:rsidRDefault="005C3F88" w:rsidP="0058079D">
            <w:pPr>
              <w:widowControl/>
              <w:ind w:left="288"/>
              <w:rPr>
                <w:rFonts w:ascii="Garamond" w:hAnsi="Garamond"/>
                <w:color w:val="000000"/>
                <w:kern w:val="0"/>
                <w:szCs w:val="24"/>
              </w:rPr>
            </w:pPr>
            <w:r w:rsidRPr="00E240AF">
              <w:rPr>
                <w:rFonts w:ascii="Garamond" w:hAnsi="Garamond"/>
                <w:color w:val="000000"/>
                <w:szCs w:val="24"/>
              </w:rPr>
              <w:t>-8.964</w:t>
            </w:r>
            <w:r>
              <w:rPr>
                <w:rFonts w:ascii="Garamond" w:hAnsi="Garamond"/>
                <w:color w:val="000000"/>
                <w:szCs w:val="24"/>
              </w:rPr>
              <w:t>*</w:t>
            </w:r>
          </w:p>
        </w:tc>
        <w:tc>
          <w:tcPr>
            <w:tcW w:w="425" w:type="pct"/>
            <w:shd w:val="clear" w:color="auto" w:fill="auto"/>
            <w:vAlign w:val="center"/>
          </w:tcPr>
          <w:p w14:paraId="466F9882" w14:textId="77777777" w:rsidR="005C3F88" w:rsidRPr="00E240AF" w:rsidRDefault="005C3F88" w:rsidP="0058079D">
            <w:pPr>
              <w:jc w:val="center"/>
              <w:rPr>
                <w:rFonts w:ascii="Garamond" w:hAnsi="Garamond"/>
                <w:color w:val="000000"/>
                <w:szCs w:val="24"/>
              </w:rPr>
            </w:pPr>
            <w:r w:rsidRPr="00E240AF">
              <w:rPr>
                <w:rFonts w:ascii="Garamond" w:hAnsi="Garamond"/>
                <w:color w:val="000000"/>
                <w:szCs w:val="24"/>
              </w:rPr>
              <w:t>3.147</w:t>
            </w:r>
          </w:p>
        </w:tc>
        <w:tc>
          <w:tcPr>
            <w:tcW w:w="659" w:type="pct"/>
            <w:shd w:val="clear" w:color="auto" w:fill="auto"/>
            <w:vAlign w:val="bottom"/>
          </w:tcPr>
          <w:p w14:paraId="423A9F0C" w14:textId="77777777" w:rsidR="005C3F88" w:rsidRPr="00E240AF" w:rsidRDefault="005C3F88" w:rsidP="0058079D">
            <w:pPr>
              <w:widowControl/>
              <w:ind w:left="288"/>
              <w:rPr>
                <w:rFonts w:ascii="Garamond" w:hAnsi="Garamond"/>
                <w:color w:val="000000"/>
                <w:kern w:val="0"/>
                <w:szCs w:val="24"/>
              </w:rPr>
            </w:pPr>
            <w:r w:rsidRPr="00E240AF">
              <w:rPr>
                <w:rFonts w:ascii="Garamond" w:hAnsi="Garamond"/>
                <w:color w:val="000000"/>
                <w:szCs w:val="24"/>
              </w:rPr>
              <w:t>-6.659</w:t>
            </w:r>
            <w:r>
              <w:rPr>
                <w:rFonts w:ascii="Garamond" w:hAnsi="Garamond"/>
                <w:color w:val="000000"/>
                <w:szCs w:val="24"/>
              </w:rPr>
              <w:t>*</w:t>
            </w:r>
          </w:p>
        </w:tc>
        <w:tc>
          <w:tcPr>
            <w:tcW w:w="425" w:type="pct"/>
            <w:shd w:val="clear" w:color="auto" w:fill="auto"/>
            <w:vAlign w:val="center"/>
          </w:tcPr>
          <w:p w14:paraId="5DF477CF" w14:textId="77777777" w:rsidR="005C3F88" w:rsidRPr="00E240AF" w:rsidRDefault="005C3F88" w:rsidP="0058079D">
            <w:pPr>
              <w:jc w:val="center"/>
              <w:rPr>
                <w:rFonts w:ascii="Garamond" w:hAnsi="Garamond"/>
                <w:color w:val="000000"/>
                <w:szCs w:val="24"/>
              </w:rPr>
            </w:pPr>
            <w:r w:rsidRPr="00E240AF">
              <w:rPr>
                <w:rFonts w:ascii="Garamond" w:hAnsi="Garamond"/>
                <w:color w:val="000000"/>
                <w:szCs w:val="24"/>
              </w:rPr>
              <w:t>1.554</w:t>
            </w:r>
          </w:p>
        </w:tc>
        <w:tc>
          <w:tcPr>
            <w:tcW w:w="661" w:type="pct"/>
            <w:shd w:val="clear" w:color="auto" w:fill="auto"/>
            <w:vAlign w:val="bottom"/>
          </w:tcPr>
          <w:p w14:paraId="06A521FC" w14:textId="77777777" w:rsidR="005C3F88" w:rsidRPr="005772F1" w:rsidRDefault="005C3F88" w:rsidP="0058079D">
            <w:pPr>
              <w:widowControl/>
              <w:ind w:left="288"/>
              <w:rPr>
                <w:rFonts w:ascii="Garamond" w:hAnsi="Garamond"/>
                <w:color w:val="000000"/>
                <w:szCs w:val="24"/>
              </w:rPr>
            </w:pPr>
            <w:r w:rsidRPr="005772F1">
              <w:rPr>
                <w:rFonts w:ascii="Garamond" w:hAnsi="Garamond"/>
                <w:color w:val="000000"/>
                <w:szCs w:val="24"/>
              </w:rPr>
              <w:t>-0.931</w:t>
            </w:r>
          </w:p>
        </w:tc>
        <w:tc>
          <w:tcPr>
            <w:tcW w:w="605" w:type="pct"/>
            <w:shd w:val="clear" w:color="auto" w:fill="auto"/>
            <w:vAlign w:val="bottom"/>
          </w:tcPr>
          <w:p w14:paraId="0815759A" w14:textId="77777777" w:rsidR="005C3F88" w:rsidRPr="005772F1" w:rsidRDefault="005C3F88" w:rsidP="0058079D">
            <w:pPr>
              <w:jc w:val="center"/>
              <w:rPr>
                <w:rFonts w:ascii="Garamond" w:hAnsi="Garamond"/>
                <w:color w:val="000000"/>
                <w:szCs w:val="24"/>
              </w:rPr>
            </w:pPr>
            <w:r w:rsidRPr="005772F1">
              <w:rPr>
                <w:rFonts w:ascii="Garamond" w:hAnsi="Garamond"/>
                <w:color w:val="000000"/>
                <w:szCs w:val="24"/>
              </w:rPr>
              <w:t>3.566</w:t>
            </w:r>
          </w:p>
        </w:tc>
      </w:tr>
      <w:tr w:rsidR="005C3F88" w:rsidRPr="00E240AF" w14:paraId="16D80BAF" w14:textId="77777777" w:rsidTr="0058079D">
        <w:trPr>
          <w:trHeight w:val="20"/>
        </w:trPr>
        <w:tc>
          <w:tcPr>
            <w:tcW w:w="1563" w:type="pct"/>
            <w:vAlign w:val="center"/>
          </w:tcPr>
          <w:p w14:paraId="3F95C34A" w14:textId="77777777" w:rsidR="005C3F88" w:rsidRPr="00E240AF" w:rsidRDefault="005C3F88" w:rsidP="0058079D">
            <w:pPr>
              <w:snapToGrid w:val="0"/>
              <w:ind w:left="270"/>
              <w:rPr>
                <w:rFonts w:ascii="Garamond" w:hAnsi="Garamond"/>
                <w:color w:val="000000"/>
                <w:szCs w:val="24"/>
              </w:rPr>
            </w:pPr>
            <w:r w:rsidRPr="00E240AF">
              <w:rPr>
                <w:rFonts w:ascii="Garamond" w:hAnsi="Garamond"/>
                <w:color w:val="000000"/>
                <w:szCs w:val="24"/>
              </w:rPr>
              <w:t>Reciprocity</w:t>
            </w:r>
          </w:p>
        </w:tc>
        <w:tc>
          <w:tcPr>
            <w:tcW w:w="662" w:type="pct"/>
            <w:shd w:val="clear" w:color="auto" w:fill="auto"/>
            <w:vAlign w:val="center"/>
          </w:tcPr>
          <w:p w14:paraId="6F71C3F9" w14:textId="77777777" w:rsidR="005C3F88" w:rsidRPr="00E240AF" w:rsidRDefault="005C3F88" w:rsidP="0058079D">
            <w:pPr>
              <w:ind w:left="360"/>
              <w:rPr>
                <w:rFonts w:ascii="Garamond" w:hAnsi="Garamond"/>
                <w:color w:val="000000"/>
                <w:szCs w:val="24"/>
              </w:rPr>
            </w:pPr>
            <w:r w:rsidRPr="00E240AF">
              <w:rPr>
                <w:rFonts w:ascii="Garamond" w:hAnsi="Garamond"/>
                <w:color w:val="000000"/>
                <w:szCs w:val="24"/>
              </w:rPr>
              <w:t>2.602</w:t>
            </w:r>
            <w:r>
              <w:rPr>
                <w:rFonts w:ascii="Garamond" w:hAnsi="Garamond"/>
                <w:color w:val="000000"/>
                <w:szCs w:val="24"/>
              </w:rPr>
              <w:t>*</w:t>
            </w:r>
          </w:p>
        </w:tc>
        <w:tc>
          <w:tcPr>
            <w:tcW w:w="425" w:type="pct"/>
            <w:shd w:val="clear" w:color="auto" w:fill="auto"/>
            <w:vAlign w:val="center"/>
          </w:tcPr>
          <w:p w14:paraId="7A781C58" w14:textId="77777777" w:rsidR="005C3F88" w:rsidRPr="00E240AF" w:rsidRDefault="005C3F88" w:rsidP="0058079D">
            <w:pPr>
              <w:jc w:val="center"/>
              <w:rPr>
                <w:rFonts w:ascii="Garamond" w:hAnsi="Garamond"/>
                <w:color w:val="000000"/>
                <w:szCs w:val="24"/>
              </w:rPr>
            </w:pPr>
            <w:r w:rsidRPr="00E240AF">
              <w:rPr>
                <w:rFonts w:ascii="Garamond" w:hAnsi="Garamond"/>
                <w:color w:val="000000"/>
                <w:szCs w:val="24"/>
              </w:rPr>
              <w:t>1.228</w:t>
            </w:r>
          </w:p>
        </w:tc>
        <w:tc>
          <w:tcPr>
            <w:tcW w:w="659" w:type="pct"/>
            <w:shd w:val="clear" w:color="auto" w:fill="auto"/>
            <w:vAlign w:val="bottom"/>
          </w:tcPr>
          <w:p w14:paraId="6CE44398" w14:textId="77777777" w:rsidR="005C3F88" w:rsidRPr="00E240AF" w:rsidRDefault="005C3F88" w:rsidP="0058079D">
            <w:pPr>
              <w:ind w:left="360"/>
              <w:rPr>
                <w:rFonts w:ascii="Garamond" w:hAnsi="Garamond"/>
                <w:color w:val="000000"/>
                <w:szCs w:val="24"/>
              </w:rPr>
            </w:pPr>
            <w:r w:rsidRPr="00E240AF">
              <w:rPr>
                <w:rFonts w:ascii="Garamond" w:hAnsi="Garamond"/>
                <w:color w:val="000000"/>
                <w:szCs w:val="24"/>
              </w:rPr>
              <w:t>3.478</w:t>
            </w:r>
            <w:r>
              <w:rPr>
                <w:rFonts w:ascii="Garamond" w:hAnsi="Garamond"/>
                <w:color w:val="000000"/>
                <w:szCs w:val="24"/>
              </w:rPr>
              <w:t>*</w:t>
            </w:r>
          </w:p>
        </w:tc>
        <w:tc>
          <w:tcPr>
            <w:tcW w:w="425" w:type="pct"/>
            <w:shd w:val="clear" w:color="auto" w:fill="auto"/>
            <w:vAlign w:val="center"/>
          </w:tcPr>
          <w:p w14:paraId="0C020027" w14:textId="77777777" w:rsidR="005C3F88" w:rsidRPr="00E240AF" w:rsidRDefault="005C3F88" w:rsidP="0058079D">
            <w:pPr>
              <w:jc w:val="center"/>
              <w:rPr>
                <w:rFonts w:ascii="Garamond" w:hAnsi="Garamond"/>
                <w:color w:val="000000"/>
                <w:szCs w:val="24"/>
              </w:rPr>
            </w:pPr>
            <w:r w:rsidRPr="00E240AF">
              <w:rPr>
                <w:rFonts w:ascii="Garamond" w:hAnsi="Garamond"/>
                <w:color w:val="000000"/>
                <w:szCs w:val="24"/>
              </w:rPr>
              <w:t>0.836</w:t>
            </w:r>
          </w:p>
        </w:tc>
        <w:tc>
          <w:tcPr>
            <w:tcW w:w="661" w:type="pct"/>
            <w:shd w:val="clear" w:color="auto" w:fill="auto"/>
            <w:vAlign w:val="bottom"/>
          </w:tcPr>
          <w:p w14:paraId="43CC9B3B" w14:textId="77777777" w:rsidR="005C3F88" w:rsidRPr="005772F1" w:rsidRDefault="005C3F88" w:rsidP="0058079D">
            <w:pPr>
              <w:widowControl/>
              <w:ind w:left="288"/>
              <w:rPr>
                <w:rFonts w:ascii="Garamond" w:hAnsi="Garamond"/>
                <w:color w:val="000000"/>
                <w:szCs w:val="24"/>
              </w:rPr>
            </w:pPr>
            <w:r w:rsidRPr="005772F1">
              <w:rPr>
                <w:rFonts w:ascii="Garamond" w:hAnsi="Garamond"/>
                <w:color w:val="000000"/>
                <w:szCs w:val="24"/>
              </w:rPr>
              <w:t>-1.874</w:t>
            </w:r>
          </w:p>
        </w:tc>
        <w:tc>
          <w:tcPr>
            <w:tcW w:w="605" w:type="pct"/>
            <w:shd w:val="clear" w:color="auto" w:fill="auto"/>
            <w:vAlign w:val="bottom"/>
          </w:tcPr>
          <w:p w14:paraId="1B6BEFB7" w14:textId="77777777" w:rsidR="005C3F88" w:rsidRPr="005772F1" w:rsidRDefault="005C3F88" w:rsidP="0058079D">
            <w:pPr>
              <w:jc w:val="center"/>
              <w:rPr>
                <w:rFonts w:ascii="Garamond" w:hAnsi="Garamond"/>
                <w:color w:val="000000"/>
                <w:szCs w:val="24"/>
              </w:rPr>
            </w:pPr>
            <w:r w:rsidRPr="005772F1">
              <w:rPr>
                <w:rFonts w:ascii="Garamond" w:hAnsi="Garamond"/>
                <w:color w:val="000000"/>
                <w:szCs w:val="24"/>
              </w:rPr>
              <w:t>2.520</w:t>
            </w:r>
          </w:p>
        </w:tc>
      </w:tr>
      <w:tr w:rsidR="005C3F88" w:rsidRPr="00E240AF" w14:paraId="04C751F5" w14:textId="77777777" w:rsidTr="0058079D">
        <w:trPr>
          <w:trHeight w:val="20"/>
        </w:trPr>
        <w:tc>
          <w:tcPr>
            <w:tcW w:w="1563" w:type="pct"/>
            <w:vAlign w:val="center"/>
          </w:tcPr>
          <w:p w14:paraId="794507FF" w14:textId="77777777" w:rsidR="005C3F88" w:rsidRDefault="005C3F88" w:rsidP="0058079D">
            <w:pPr>
              <w:pStyle w:val="DarkList-Accent51"/>
              <w:snapToGrid w:val="0"/>
              <w:ind w:left="0"/>
              <w:contextualSpacing w:val="0"/>
              <w:rPr>
                <w:rFonts w:ascii="Garamond" w:hAnsi="Garamond"/>
                <w:bCs/>
              </w:rPr>
            </w:pPr>
            <w:r w:rsidRPr="00E240AF">
              <w:rPr>
                <w:rFonts w:ascii="Garamond" w:hAnsi="Garamond"/>
                <w:bCs/>
              </w:rPr>
              <w:t xml:space="preserve">Sender covariates </w:t>
            </w:r>
          </w:p>
          <w:p w14:paraId="6850B027" w14:textId="77777777" w:rsidR="005C3F88" w:rsidRPr="00E240AF" w:rsidRDefault="005C3F88" w:rsidP="0058079D">
            <w:pPr>
              <w:pStyle w:val="DarkList-Accent51"/>
              <w:snapToGrid w:val="0"/>
              <w:ind w:left="0"/>
              <w:contextualSpacing w:val="0"/>
              <w:rPr>
                <w:rFonts w:ascii="Garamond" w:hAnsi="Garamond"/>
                <w:bCs/>
              </w:rPr>
            </w:pPr>
            <w:r w:rsidRPr="00E240AF">
              <w:rPr>
                <w:rFonts w:ascii="Garamond" w:hAnsi="Garamond"/>
                <w:bCs/>
              </w:rPr>
              <w:t>(seeking materials)</w:t>
            </w:r>
          </w:p>
        </w:tc>
        <w:tc>
          <w:tcPr>
            <w:tcW w:w="662" w:type="pct"/>
            <w:shd w:val="clear" w:color="auto" w:fill="auto"/>
            <w:vAlign w:val="center"/>
          </w:tcPr>
          <w:p w14:paraId="7A82C55F" w14:textId="77777777" w:rsidR="005C3F88" w:rsidRPr="00E240AF" w:rsidRDefault="005C3F88" w:rsidP="0058079D">
            <w:pPr>
              <w:snapToGrid w:val="0"/>
              <w:rPr>
                <w:rFonts w:ascii="Garamond" w:hAnsi="Garamond"/>
                <w:szCs w:val="24"/>
                <w:u w:val="single"/>
              </w:rPr>
            </w:pPr>
          </w:p>
        </w:tc>
        <w:tc>
          <w:tcPr>
            <w:tcW w:w="425" w:type="pct"/>
            <w:shd w:val="clear" w:color="auto" w:fill="auto"/>
            <w:vAlign w:val="center"/>
          </w:tcPr>
          <w:p w14:paraId="05DABB5C" w14:textId="77777777" w:rsidR="005C3F88" w:rsidRPr="00E240AF" w:rsidRDefault="005C3F88" w:rsidP="0058079D">
            <w:pPr>
              <w:snapToGrid w:val="0"/>
              <w:jc w:val="center"/>
              <w:rPr>
                <w:rFonts w:ascii="Garamond" w:hAnsi="Garamond"/>
                <w:szCs w:val="24"/>
                <w:u w:val="single"/>
              </w:rPr>
            </w:pPr>
          </w:p>
        </w:tc>
        <w:tc>
          <w:tcPr>
            <w:tcW w:w="659" w:type="pct"/>
            <w:shd w:val="clear" w:color="auto" w:fill="auto"/>
            <w:vAlign w:val="center"/>
          </w:tcPr>
          <w:p w14:paraId="335276FD" w14:textId="77777777" w:rsidR="005C3F88" w:rsidRPr="00E240AF" w:rsidRDefault="005C3F88" w:rsidP="0058079D">
            <w:pPr>
              <w:ind w:left="504"/>
              <w:rPr>
                <w:rFonts w:ascii="Garamond" w:hAnsi="Garamond"/>
                <w:color w:val="000000"/>
                <w:szCs w:val="24"/>
              </w:rPr>
            </w:pPr>
          </w:p>
        </w:tc>
        <w:tc>
          <w:tcPr>
            <w:tcW w:w="425" w:type="pct"/>
            <w:shd w:val="clear" w:color="auto" w:fill="auto"/>
            <w:vAlign w:val="center"/>
          </w:tcPr>
          <w:p w14:paraId="7DAB9515" w14:textId="77777777" w:rsidR="005C3F88" w:rsidRPr="00E240AF" w:rsidRDefault="005C3F88" w:rsidP="0058079D">
            <w:pPr>
              <w:snapToGrid w:val="0"/>
              <w:jc w:val="center"/>
              <w:rPr>
                <w:rFonts w:ascii="Garamond" w:hAnsi="Garamond"/>
                <w:szCs w:val="24"/>
                <w:u w:val="single"/>
              </w:rPr>
            </w:pPr>
          </w:p>
        </w:tc>
        <w:tc>
          <w:tcPr>
            <w:tcW w:w="661" w:type="pct"/>
            <w:shd w:val="clear" w:color="auto" w:fill="auto"/>
            <w:vAlign w:val="center"/>
          </w:tcPr>
          <w:p w14:paraId="3A834A47" w14:textId="77777777" w:rsidR="005C3F88" w:rsidRPr="005772F1" w:rsidRDefault="005C3F88" w:rsidP="0058079D">
            <w:pPr>
              <w:snapToGrid w:val="0"/>
              <w:jc w:val="center"/>
              <w:rPr>
                <w:rFonts w:ascii="Garamond" w:hAnsi="Garamond"/>
                <w:szCs w:val="24"/>
                <w:u w:val="single"/>
              </w:rPr>
            </w:pPr>
          </w:p>
        </w:tc>
        <w:tc>
          <w:tcPr>
            <w:tcW w:w="605" w:type="pct"/>
            <w:tcBorders>
              <w:bottom w:val="nil"/>
            </w:tcBorders>
            <w:shd w:val="clear" w:color="auto" w:fill="auto"/>
            <w:vAlign w:val="center"/>
          </w:tcPr>
          <w:p w14:paraId="59C5652D" w14:textId="77777777" w:rsidR="005C3F88" w:rsidRPr="005772F1" w:rsidRDefault="005C3F88" w:rsidP="0058079D">
            <w:pPr>
              <w:jc w:val="center"/>
              <w:rPr>
                <w:rFonts w:ascii="Garamond" w:hAnsi="Garamond"/>
                <w:color w:val="000000"/>
                <w:szCs w:val="24"/>
              </w:rPr>
            </w:pPr>
          </w:p>
        </w:tc>
      </w:tr>
      <w:tr w:rsidR="005C3F88" w:rsidRPr="00E240AF" w14:paraId="785841A8" w14:textId="77777777" w:rsidTr="0058079D">
        <w:trPr>
          <w:trHeight w:val="20"/>
        </w:trPr>
        <w:tc>
          <w:tcPr>
            <w:tcW w:w="1563" w:type="pct"/>
            <w:vAlign w:val="center"/>
          </w:tcPr>
          <w:p w14:paraId="6D9FD8FA" w14:textId="77777777" w:rsidR="005C3F88" w:rsidRPr="00E240AF" w:rsidRDefault="005C3F88" w:rsidP="0058079D">
            <w:pPr>
              <w:snapToGrid w:val="0"/>
              <w:ind w:left="270"/>
              <w:rPr>
                <w:rFonts w:ascii="Garamond" w:hAnsi="Garamond"/>
                <w:color w:val="000000"/>
                <w:szCs w:val="24"/>
              </w:rPr>
            </w:pPr>
            <w:r w:rsidRPr="00E240AF">
              <w:rPr>
                <w:rFonts w:ascii="Garamond" w:hAnsi="Garamond"/>
                <w:color w:val="000000"/>
                <w:szCs w:val="24"/>
              </w:rPr>
              <w:t>Gender</w:t>
            </w:r>
          </w:p>
        </w:tc>
        <w:tc>
          <w:tcPr>
            <w:tcW w:w="662" w:type="pct"/>
            <w:shd w:val="clear" w:color="auto" w:fill="auto"/>
            <w:vAlign w:val="center"/>
          </w:tcPr>
          <w:p w14:paraId="2853D8C5" w14:textId="77777777" w:rsidR="005C3F88" w:rsidRPr="00E240AF" w:rsidRDefault="005C3F88" w:rsidP="0058079D">
            <w:pPr>
              <w:widowControl/>
              <w:ind w:left="288"/>
              <w:rPr>
                <w:rFonts w:ascii="Garamond" w:hAnsi="Garamond"/>
                <w:color w:val="000000"/>
                <w:kern w:val="0"/>
                <w:szCs w:val="24"/>
              </w:rPr>
            </w:pPr>
            <w:r w:rsidRPr="00E240AF">
              <w:rPr>
                <w:rFonts w:ascii="Garamond" w:hAnsi="Garamond"/>
                <w:color w:val="000000"/>
                <w:szCs w:val="24"/>
              </w:rPr>
              <w:t>-0.201</w:t>
            </w:r>
          </w:p>
        </w:tc>
        <w:tc>
          <w:tcPr>
            <w:tcW w:w="425" w:type="pct"/>
            <w:shd w:val="clear" w:color="auto" w:fill="auto"/>
            <w:vAlign w:val="center"/>
          </w:tcPr>
          <w:p w14:paraId="33AFD16A" w14:textId="77777777" w:rsidR="005C3F88" w:rsidRPr="00E240AF" w:rsidRDefault="005C3F88" w:rsidP="0058079D">
            <w:pPr>
              <w:jc w:val="center"/>
              <w:rPr>
                <w:rFonts w:ascii="Garamond" w:hAnsi="Garamond"/>
                <w:color w:val="000000"/>
                <w:szCs w:val="24"/>
              </w:rPr>
            </w:pPr>
            <w:r w:rsidRPr="00E240AF">
              <w:rPr>
                <w:rFonts w:ascii="Garamond" w:hAnsi="Garamond"/>
                <w:color w:val="000000"/>
                <w:szCs w:val="24"/>
              </w:rPr>
              <w:t>0.478</w:t>
            </w:r>
          </w:p>
        </w:tc>
        <w:tc>
          <w:tcPr>
            <w:tcW w:w="659" w:type="pct"/>
            <w:shd w:val="clear" w:color="auto" w:fill="auto"/>
            <w:vAlign w:val="bottom"/>
          </w:tcPr>
          <w:p w14:paraId="7B018CCC" w14:textId="77777777" w:rsidR="005C3F88" w:rsidRPr="00E240AF" w:rsidRDefault="005C3F88" w:rsidP="0058079D">
            <w:pPr>
              <w:ind w:left="360"/>
              <w:rPr>
                <w:rFonts w:ascii="Garamond" w:hAnsi="Garamond"/>
                <w:color w:val="000000"/>
                <w:szCs w:val="24"/>
              </w:rPr>
            </w:pPr>
            <w:r w:rsidRPr="00E240AF">
              <w:rPr>
                <w:rFonts w:ascii="Garamond" w:hAnsi="Garamond"/>
                <w:color w:val="000000"/>
                <w:szCs w:val="24"/>
              </w:rPr>
              <w:t>1.333*</w:t>
            </w:r>
          </w:p>
        </w:tc>
        <w:tc>
          <w:tcPr>
            <w:tcW w:w="425" w:type="pct"/>
            <w:shd w:val="clear" w:color="auto" w:fill="auto"/>
            <w:vAlign w:val="center"/>
          </w:tcPr>
          <w:p w14:paraId="05835E48" w14:textId="77777777" w:rsidR="005C3F88" w:rsidRPr="00E240AF" w:rsidRDefault="005C3F88" w:rsidP="0058079D">
            <w:pPr>
              <w:jc w:val="center"/>
              <w:rPr>
                <w:rFonts w:ascii="Garamond" w:hAnsi="Garamond"/>
                <w:color w:val="000000"/>
                <w:szCs w:val="24"/>
              </w:rPr>
            </w:pPr>
            <w:r w:rsidRPr="00E240AF">
              <w:rPr>
                <w:rFonts w:ascii="Garamond" w:hAnsi="Garamond"/>
                <w:color w:val="000000"/>
                <w:szCs w:val="24"/>
              </w:rPr>
              <w:t>0.577</w:t>
            </w:r>
          </w:p>
        </w:tc>
        <w:tc>
          <w:tcPr>
            <w:tcW w:w="661" w:type="pct"/>
            <w:shd w:val="clear" w:color="auto" w:fill="auto"/>
            <w:vAlign w:val="bottom"/>
          </w:tcPr>
          <w:p w14:paraId="1BC4A07D" w14:textId="77777777" w:rsidR="005C3F88" w:rsidRPr="005772F1" w:rsidRDefault="005C3F88" w:rsidP="0058079D">
            <w:pPr>
              <w:widowControl/>
              <w:ind w:left="288"/>
              <w:rPr>
                <w:rFonts w:ascii="Garamond" w:hAnsi="Garamond"/>
                <w:color w:val="000000"/>
                <w:kern w:val="0"/>
                <w:szCs w:val="24"/>
              </w:rPr>
            </w:pPr>
            <w:r w:rsidRPr="005772F1">
              <w:rPr>
                <w:rFonts w:ascii="Garamond" w:hAnsi="Garamond"/>
                <w:color w:val="000000"/>
                <w:szCs w:val="24"/>
              </w:rPr>
              <w:t>-1.137</w:t>
            </w:r>
          </w:p>
        </w:tc>
        <w:tc>
          <w:tcPr>
            <w:tcW w:w="605" w:type="pct"/>
            <w:tcBorders>
              <w:top w:val="nil"/>
              <w:bottom w:val="nil"/>
            </w:tcBorders>
            <w:shd w:val="clear" w:color="auto" w:fill="auto"/>
            <w:vAlign w:val="bottom"/>
          </w:tcPr>
          <w:p w14:paraId="614D94F4" w14:textId="77777777" w:rsidR="005C3F88" w:rsidRPr="005772F1" w:rsidRDefault="005C3F88" w:rsidP="0058079D">
            <w:pPr>
              <w:jc w:val="center"/>
              <w:rPr>
                <w:rFonts w:ascii="Garamond" w:hAnsi="Garamond"/>
                <w:color w:val="000000"/>
                <w:szCs w:val="24"/>
              </w:rPr>
            </w:pPr>
            <w:r w:rsidRPr="005772F1">
              <w:rPr>
                <w:rFonts w:ascii="Garamond" w:hAnsi="Garamond"/>
                <w:color w:val="000000"/>
                <w:szCs w:val="24"/>
              </w:rPr>
              <w:t>1.268</w:t>
            </w:r>
          </w:p>
        </w:tc>
      </w:tr>
      <w:tr w:rsidR="005C3F88" w:rsidRPr="00E240AF" w14:paraId="22CF618A" w14:textId="77777777" w:rsidTr="0058079D">
        <w:trPr>
          <w:trHeight w:val="20"/>
        </w:trPr>
        <w:tc>
          <w:tcPr>
            <w:tcW w:w="1563" w:type="pct"/>
            <w:vAlign w:val="center"/>
          </w:tcPr>
          <w:p w14:paraId="6CDBD53F" w14:textId="77777777" w:rsidR="005C3F88" w:rsidRPr="00E240AF" w:rsidRDefault="005C3F88" w:rsidP="0058079D">
            <w:pPr>
              <w:snapToGrid w:val="0"/>
              <w:ind w:left="270"/>
              <w:rPr>
                <w:rFonts w:ascii="Garamond" w:hAnsi="Garamond"/>
                <w:color w:val="000000"/>
                <w:szCs w:val="24"/>
              </w:rPr>
            </w:pPr>
            <w:r w:rsidRPr="00E240AF">
              <w:rPr>
                <w:rFonts w:ascii="Garamond" w:hAnsi="Garamond"/>
                <w:color w:val="000000"/>
                <w:szCs w:val="24"/>
              </w:rPr>
              <w:t>Self-efficacy</w:t>
            </w:r>
          </w:p>
        </w:tc>
        <w:tc>
          <w:tcPr>
            <w:tcW w:w="662" w:type="pct"/>
            <w:shd w:val="clear" w:color="auto" w:fill="auto"/>
            <w:vAlign w:val="center"/>
          </w:tcPr>
          <w:p w14:paraId="4890BE9C" w14:textId="77777777" w:rsidR="005C3F88" w:rsidRPr="00E240AF" w:rsidRDefault="005C3F88" w:rsidP="0058079D">
            <w:pPr>
              <w:ind w:left="360"/>
              <w:rPr>
                <w:rFonts w:ascii="Garamond" w:hAnsi="Garamond"/>
                <w:color w:val="000000"/>
                <w:szCs w:val="24"/>
              </w:rPr>
            </w:pPr>
            <w:r w:rsidRPr="00E240AF">
              <w:rPr>
                <w:rFonts w:ascii="Garamond" w:hAnsi="Garamond"/>
                <w:color w:val="000000"/>
                <w:szCs w:val="24"/>
              </w:rPr>
              <w:t>0.570*</w:t>
            </w:r>
          </w:p>
        </w:tc>
        <w:tc>
          <w:tcPr>
            <w:tcW w:w="425" w:type="pct"/>
            <w:shd w:val="clear" w:color="auto" w:fill="auto"/>
            <w:vAlign w:val="center"/>
          </w:tcPr>
          <w:p w14:paraId="73ED2FB9" w14:textId="77777777" w:rsidR="005C3F88" w:rsidRPr="00E240AF" w:rsidRDefault="005C3F88" w:rsidP="0058079D">
            <w:pPr>
              <w:jc w:val="center"/>
              <w:rPr>
                <w:rFonts w:ascii="Garamond" w:hAnsi="Garamond"/>
                <w:color w:val="000000"/>
                <w:szCs w:val="24"/>
              </w:rPr>
            </w:pPr>
            <w:r w:rsidRPr="00E240AF">
              <w:rPr>
                <w:rFonts w:ascii="Garamond" w:hAnsi="Garamond"/>
                <w:color w:val="000000"/>
                <w:szCs w:val="24"/>
              </w:rPr>
              <w:t>0.248</w:t>
            </w:r>
          </w:p>
        </w:tc>
        <w:tc>
          <w:tcPr>
            <w:tcW w:w="659" w:type="pct"/>
            <w:shd w:val="clear" w:color="auto" w:fill="auto"/>
            <w:vAlign w:val="bottom"/>
          </w:tcPr>
          <w:p w14:paraId="6D4CD03A" w14:textId="77777777" w:rsidR="005C3F88" w:rsidRPr="00E240AF" w:rsidRDefault="005C3F88" w:rsidP="0058079D">
            <w:pPr>
              <w:ind w:left="360"/>
              <w:rPr>
                <w:rFonts w:ascii="Garamond" w:hAnsi="Garamond"/>
                <w:color w:val="000000"/>
                <w:szCs w:val="24"/>
              </w:rPr>
            </w:pPr>
            <w:r w:rsidRPr="00E240AF">
              <w:rPr>
                <w:rFonts w:ascii="Garamond" w:hAnsi="Garamond"/>
                <w:color w:val="000000"/>
                <w:szCs w:val="24"/>
              </w:rPr>
              <w:t>0.370*</w:t>
            </w:r>
          </w:p>
        </w:tc>
        <w:tc>
          <w:tcPr>
            <w:tcW w:w="425" w:type="pct"/>
            <w:shd w:val="clear" w:color="auto" w:fill="auto"/>
            <w:vAlign w:val="center"/>
          </w:tcPr>
          <w:p w14:paraId="36DD435F" w14:textId="77777777" w:rsidR="005C3F88" w:rsidRPr="00E240AF" w:rsidRDefault="005C3F88" w:rsidP="0058079D">
            <w:pPr>
              <w:jc w:val="center"/>
              <w:rPr>
                <w:rFonts w:ascii="Garamond" w:hAnsi="Garamond"/>
                <w:color w:val="000000"/>
                <w:szCs w:val="24"/>
              </w:rPr>
            </w:pPr>
            <w:r w:rsidRPr="00E240AF">
              <w:rPr>
                <w:rFonts w:ascii="Garamond" w:hAnsi="Garamond"/>
                <w:color w:val="000000"/>
                <w:szCs w:val="24"/>
              </w:rPr>
              <w:t>0.169</w:t>
            </w:r>
          </w:p>
        </w:tc>
        <w:tc>
          <w:tcPr>
            <w:tcW w:w="661" w:type="pct"/>
            <w:shd w:val="clear" w:color="auto" w:fill="auto"/>
            <w:vAlign w:val="bottom"/>
          </w:tcPr>
          <w:p w14:paraId="616E688E" w14:textId="77777777" w:rsidR="005C3F88" w:rsidRPr="005772F1" w:rsidRDefault="005C3F88" w:rsidP="0058079D">
            <w:pPr>
              <w:ind w:left="360"/>
              <w:rPr>
                <w:rFonts w:ascii="Garamond" w:hAnsi="Garamond"/>
                <w:color w:val="000000"/>
                <w:szCs w:val="24"/>
              </w:rPr>
            </w:pPr>
            <w:r w:rsidRPr="005772F1">
              <w:rPr>
                <w:rFonts w:ascii="Garamond" w:hAnsi="Garamond"/>
                <w:color w:val="000000"/>
                <w:szCs w:val="24"/>
              </w:rPr>
              <w:t>1.119*</w:t>
            </w:r>
          </w:p>
        </w:tc>
        <w:tc>
          <w:tcPr>
            <w:tcW w:w="605" w:type="pct"/>
            <w:tcBorders>
              <w:top w:val="nil"/>
              <w:bottom w:val="nil"/>
            </w:tcBorders>
            <w:shd w:val="clear" w:color="auto" w:fill="auto"/>
            <w:vAlign w:val="bottom"/>
          </w:tcPr>
          <w:p w14:paraId="63ADEFA4" w14:textId="77777777" w:rsidR="005C3F88" w:rsidRPr="005772F1" w:rsidRDefault="005C3F88" w:rsidP="0058079D">
            <w:pPr>
              <w:jc w:val="center"/>
              <w:rPr>
                <w:rFonts w:ascii="Garamond" w:hAnsi="Garamond"/>
                <w:color w:val="000000"/>
                <w:szCs w:val="24"/>
              </w:rPr>
            </w:pPr>
            <w:r w:rsidRPr="005772F1">
              <w:rPr>
                <w:rFonts w:ascii="Garamond" w:hAnsi="Garamond"/>
                <w:color w:val="000000"/>
                <w:szCs w:val="24"/>
              </w:rPr>
              <w:t>0.5</w:t>
            </w:r>
            <w:r>
              <w:rPr>
                <w:rFonts w:ascii="Garamond" w:hAnsi="Garamond"/>
                <w:color w:val="000000"/>
                <w:szCs w:val="24"/>
              </w:rPr>
              <w:t>5</w:t>
            </w:r>
            <w:r w:rsidRPr="005772F1">
              <w:rPr>
                <w:rFonts w:ascii="Garamond" w:hAnsi="Garamond"/>
                <w:color w:val="000000"/>
                <w:szCs w:val="24"/>
              </w:rPr>
              <w:t>6</w:t>
            </w:r>
          </w:p>
        </w:tc>
      </w:tr>
      <w:tr w:rsidR="005C3F88" w:rsidRPr="00E240AF" w14:paraId="1B54525C" w14:textId="77777777" w:rsidTr="0058079D">
        <w:trPr>
          <w:trHeight w:val="20"/>
        </w:trPr>
        <w:tc>
          <w:tcPr>
            <w:tcW w:w="1563" w:type="pct"/>
            <w:vAlign w:val="center"/>
          </w:tcPr>
          <w:p w14:paraId="08DDA162" w14:textId="77777777" w:rsidR="005C3F88" w:rsidRPr="00E240AF" w:rsidRDefault="005C3F88" w:rsidP="0058079D">
            <w:pPr>
              <w:snapToGrid w:val="0"/>
              <w:ind w:left="270"/>
              <w:rPr>
                <w:rFonts w:ascii="Garamond" w:hAnsi="Garamond"/>
                <w:color w:val="000000"/>
                <w:szCs w:val="24"/>
              </w:rPr>
            </w:pPr>
            <w:r w:rsidRPr="00E240AF">
              <w:rPr>
                <w:rFonts w:ascii="Garamond" w:hAnsi="Garamond"/>
                <w:color w:val="000000"/>
                <w:szCs w:val="24"/>
              </w:rPr>
              <w:t>Peer trust</w:t>
            </w:r>
          </w:p>
        </w:tc>
        <w:tc>
          <w:tcPr>
            <w:tcW w:w="662" w:type="pct"/>
            <w:shd w:val="clear" w:color="auto" w:fill="auto"/>
            <w:vAlign w:val="center"/>
          </w:tcPr>
          <w:p w14:paraId="3984F38F" w14:textId="77777777" w:rsidR="005C3F88" w:rsidRPr="00E240AF" w:rsidRDefault="005C3F88" w:rsidP="0058079D">
            <w:pPr>
              <w:ind w:left="360"/>
              <w:rPr>
                <w:rFonts w:ascii="Garamond" w:hAnsi="Garamond"/>
                <w:color w:val="000000"/>
                <w:szCs w:val="24"/>
              </w:rPr>
            </w:pPr>
            <w:r w:rsidRPr="00E240AF">
              <w:rPr>
                <w:rFonts w:ascii="Garamond" w:hAnsi="Garamond"/>
                <w:color w:val="000000"/>
                <w:szCs w:val="24"/>
              </w:rPr>
              <w:t>0.383*</w:t>
            </w:r>
          </w:p>
        </w:tc>
        <w:tc>
          <w:tcPr>
            <w:tcW w:w="425" w:type="pct"/>
            <w:shd w:val="clear" w:color="auto" w:fill="auto"/>
            <w:vAlign w:val="center"/>
          </w:tcPr>
          <w:p w14:paraId="3C808F50" w14:textId="77777777" w:rsidR="005C3F88" w:rsidRPr="00E240AF" w:rsidRDefault="005C3F88" w:rsidP="0058079D">
            <w:pPr>
              <w:jc w:val="center"/>
              <w:rPr>
                <w:rFonts w:ascii="Garamond" w:hAnsi="Garamond"/>
                <w:color w:val="000000"/>
                <w:szCs w:val="24"/>
              </w:rPr>
            </w:pPr>
            <w:r w:rsidRPr="00E240AF">
              <w:rPr>
                <w:rFonts w:ascii="Garamond" w:hAnsi="Garamond"/>
                <w:color w:val="000000"/>
                <w:szCs w:val="24"/>
              </w:rPr>
              <w:t>0.197</w:t>
            </w:r>
          </w:p>
        </w:tc>
        <w:tc>
          <w:tcPr>
            <w:tcW w:w="659" w:type="pct"/>
            <w:shd w:val="clear" w:color="auto" w:fill="auto"/>
            <w:vAlign w:val="bottom"/>
          </w:tcPr>
          <w:p w14:paraId="2B06CC27" w14:textId="77777777" w:rsidR="005C3F88" w:rsidRPr="00E240AF" w:rsidRDefault="005C3F88" w:rsidP="0058079D">
            <w:pPr>
              <w:widowControl/>
              <w:ind w:left="288"/>
              <w:rPr>
                <w:rFonts w:ascii="Garamond" w:hAnsi="Garamond"/>
                <w:color w:val="000000"/>
                <w:szCs w:val="24"/>
              </w:rPr>
            </w:pPr>
            <w:r w:rsidRPr="00E240AF">
              <w:rPr>
                <w:rFonts w:ascii="Garamond" w:hAnsi="Garamond"/>
                <w:color w:val="000000"/>
                <w:szCs w:val="24"/>
              </w:rPr>
              <w:t>-0.038</w:t>
            </w:r>
          </w:p>
        </w:tc>
        <w:tc>
          <w:tcPr>
            <w:tcW w:w="425" w:type="pct"/>
            <w:shd w:val="clear" w:color="auto" w:fill="auto"/>
            <w:vAlign w:val="center"/>
          </w:tcPr>
          <w:p w14:paraId="3ED2B0B6" w14:textId="77777777" w:rsidR="005C3F88" w:rsidRPr="00E240AF" w:rsidRDefault="005C3F88" w:rsidP="0058079D">
            <w:pPr>
              <w:jc w:val="center"/>
              <w:rPr>
                <w:rFonts w:ascii="Garamond" w:hAnsi="Garamond"/>
                <w:color w:val="000000"/>
                <w:szCs w:val="24"/>
              </w:rPr>
            </w:pPr>
            <w:r w:rsidRPr="00E240AF">
              <w:rPr>
                <w:rFonts w:ascii="Garamond" w:hAnsi="Garamond"/>
                <w:color w:val="000000"/>
                <w:szCs w:val="24"/>
              </w:rPr>
              <w:t>0.191</w:t>
            </w:r>
          </w:p>
        </w:tc>
        <w:tc>
          <w:tcPr>
            <w:tcW w:w="661" w:type="pct"/>
            <w:shd w:val="clear" w:color="auto" w:fill="auto"/>
            <w:vAlign w:val="bottom"/>
          </w:tcPr>
          <w:p w14:paraId="33D206F7" w14:textId="77777777" w:rsidR="005C3F88" w:rsidRPr="005772F1" w:rsidRDefault="005C3F88" w:rsidP="0058079D">
            <w:pPr>
              <w:widowControl/>
              <w:ind w:left="288"/>
              <w:rPr>
                <w:rFonts w:ascii="Garamond" w:hAnsi="Garamond"/>
                <w:color w:val="000000"/>
                <w:szCs w:val="24"/>
              </w:rPr>
            </w:pPr>
            <w:r w:rsidRPr="005772F1">
              <w:rPr>
                <w:rFonts w:ascii="Garamond" w:hAnsi="Garamond"/>
                <w:color w:val="000000"/>
                <w:szCs w:val="24"/>
              </w:rPr>
              <w:t>-0.769</w:t>
            </w:r>
          </w:p>
        </w:tc>
        <w:tc>
          <w:tcPr>
            <w:tcW w:w="605" w:type="pct"/>
            <w:tcBorders>
              <w:top w:val="nil"/>
              <w:bottom w:val="nil"/>
            </w:tcBorders>
            <w:shd w:val="clear" w:color="auto" w:fill="auto"/>
            <w:vAlign w:val="bottom"/>
          </w:tcPr>
          <w:p w14:paraId="1B620B33" w14:textId="77777777" w:rsidR="005C3F88" w:rsidRPr="005772F1" w:rsidRDefault="005C3F88" w:rsidP="0058079D">
            <w:pPr>
              <w:jc w:val="center"/>
              <w:rPr>
                <w:rFonts w:ascii="Garamond" w:hAnsi="Garamond"/>
                <w:color w:val="000000"/>
                <w:szCs w:val="24"/>
              </w:rPr>
            </w:pPr>
            <w:r w:rsidRPr="005772F1">
              <w:rPr>
                <w:rFonts w:ascii="Garamond" w:hAnsi="Garamond"/>
                <w:color w:val="000000"/>
                <w:szCs w:val="24"/>
              </w:rPr>
              <w:t>0.460</w:t>
            </w:r>
          </w:p>
        </w:tc>
      </w:tr>
      <w:tr w:rsidR="005C3F88" w:rsidRPr="00E240AF" w14:paraId="0FCB4C95" w14:textId="77777777" w:rsidTr="0058079D">
        <w:trPr>
          <w:trHeight w:val="20"/>
        </w:trPr>
        <w:tc>
          <w:tcPr>
            <w:tcW w:w="1563" w:type="pct"/>
            <w:vAlign w:val="center"/>
          </w:tcPr>
          <w:p w14:paraId="0CE85B0F" w14:textId="77777777" w:rsidR="005C3F88" w:rsidRDefault="005C3F88" w:rsidP="0058079D">
            <w:pPr>
              <w:pStyle w:val="DarkList-Accent51"/>
              <w:snapToGrid w:val="0"/>
              <w:ind w:left="0"/>
              <w:contextualSpacing w:val="0"/>
              <w:rPr>
                <w:rFonts w:ascii="Garamond" w:hAnsi="Garamond"/>
                <w:bCs/>
              </w:rPr>
            </w:pPr>
            <w:r w:rsidRPr="00E240AF">
              <w:rPr>
                <w:rFonts w:ascii="Garamond" w:hAnsi="Garamond"/>
                <w:bCs/>
              </w:rPr>
              <w:t xml:space="preserve">Receiver covariates </w:t>
            </w:r>
          </w:p>
          <w:p w14:paraId="48F9F470" w14:textId="77777777" w:rsidR="005C3F88" w:rsidRPr="00E240AF" w:rsidRDefault="005C3F88" w:rsidP="0058079D">
            <w:pPr>
              <w:pStyle w:val="DarkList-Accent51"/>
              <w:snapToGrid w:val="0"/>
              <w:ind w:left="0"/>
              <w:contextualSpacing w:val="0"/>
              <w:rPr>
                <w:rFonts w:ascii="Garamond" w:hAnsi="Garamond"/>
                <w:bCs/>
              </w:rPr>
            </w:pPr>
            <w:r w:rsidRPr="00E240AF">
              <w:rPr>
                <w:rFonts w:ascii="Garamond" w:hAnsi="Garamond"/>
                <w:bCs/>
              </w:rPr>
              <w:t>(providing materials)</w:t>
            </w:r>
          </w:p>
        </w:tc>
        <w:tc>
          <w:tcPr>
            <w:tcW w:w="662" w:type="pct"/>
            <w:shd w:val="clear" w:color="auto" w:fill="auto"/>
            <w:vAlign w:val="center"/>
          </w:tcPr>
          <w:p w14:paraId="38234A0D" w14:textId="77777777" w:rsidR="005C3F88" w:rsidRPr="00E240AF" w:rsidRDefault="005C3F88" w:rsidP="0058079D">
            <w:pPr>
              <w:snapToGrid w:val="0"/>
              <w:rPr>
                <w:rFonts w:ascii="Garamond" w:hAnsi="Garamond"/>
                <w:szCs w:val="24"/>
                <w:u w:val="single"/>
              </w:rPr>
            </w:pPr>
          </w:p>
        </w:tc>
        <w:tc>
          <w:tcPr>
            <w:tcW w:w="425" w:type="pct"/>
            <w:shd w:val="clear" w:color="auto" w:fill="auto"/>
            <w:vAlign w:val="center"/>
          </w:tcPr>
          <w:p w14:paraId="3CDC94A3" w14:textId="77777777" w:rsidR="005C3F88" w:rsidRPr="00E240AF" w:rsidRDefault="005C3F88" w:rsidP="0058079D">
            <w:pPr>
              <w:snapToGrid w:val="0"/>
              <w:jc w:val="center"/>
              <w:rPr>
                <w:rFonts w:ascii="Garamond" w:hAnsi="Garamond"/>
                <w:szCs w:val="24"/>
                <w:u w:val="single"/>
              </w:rPr>
            </w:pPr>
          </w:p>
        </w:tc>
        <w:tc>
          <w:tcPr>
            <w:tcW w:w="659" w:type="pct"/>
            <w:shd w:val="clear" w:color="auto" w:fill="auto"/>
            <w:vAlign w:val="center"/>
          </w:tcPr>
          <w:p w14:paraId="753F08BA" w14:textId="77777777" w:rsidR="005C3F88" w:rsidRPr="00E240AF" w:rsidRDefault="005C3F88" w:rsidP="0058079D">
            <w:pPr>
              <w:snapToGrid w:val="0"/>
              <w:jc w:val="center"/>
              <w:rPr>
                <w:rFonts w:ascii="Garamond" w:hAnsi="Garamond"/>
                <w:b/>
                <w:bCs/>
                <w:szCs w:val="24"/>
              </w:rPr>
            </w:pPr>
          </w:p>
        </w:tc>
        <w:tc>
          <w:tcPr>
            <w:tcW w:w="425" w:type="pct"/>
            <w:shd w:val="clear" w:color="auto" w:fill="auto"/>
            <w:vAlign w:val="center"/>
          </w:tcPr>
          <w:p w14:paraId="0E3ECDC5" w14:textId="77777777" w:rsidR="005C3F88" w:rsidRPr="00E240AF" w:rsidRDefault="005C3F88" w:rsidP="0058079D">
            <w:pPr>
              <w:snapToGrid w:val="0"/>
              <w:jc w:val="center"/>
              <w:rPr>
                <w:rFonts w:ascii="Garamond" w:hAnsi="Garamond"/>
                <w:szCs w:val="24"/>
              </w:rPr>
            </w:pPr>
          </w:p>
        </w:tc>
        <w:tc>
          <w:tcPr>
            <w:tcW w:w="661" w:type="pct"/>
            <w:shd w:val="clear" w:color="auto" w:fill="auto"/>
            <w:vAlign w:val="center"/>
          </w:tcPr>
          <w:p w14:paraId="1A68BE55" w14:textId="77777777" w:rsidR="005C3F88" w:rsidRPr="005772F1" w:rsidRDefault="005C3F88" w:rsidP="0058079D">
            <w:pPr>
              <w:snapToGrid w:val="0"/>
              <w:jc w:val="center"/>
              <w:rPr>
                <w:rFonts w:ascii="Garamond" w:hAnsi="Garamond"/>
                <w:b/>
                <w:bCs/>
                <w:szCs w:val="24"/>
              </w:rPr>
            </w:pPr>
          </w:p>
        </w:tc>
        <w:tc>
          <w:tcPr>
            <w:tcW w:w="605" w:type="pct"/>
            <w:tcBorders>
              <w:top w:val="nil"/>
              <w:bottom w:val="nil"/>
            </w:tcBorders>
            <w:shd w:val="clear" w:color="auto" w:fill="auto"/>
            <w:vAlign w:val="center"/>
          </w:tcPr>
          <w:p w14:paraId="3F5A8C75" w14:textId="77777777" w:rsidR="005C3F88" w:rsidRPr="005772F1" w:rsidRDefault="005C3F88" w:rsidP="0058079D">
            <w:pPr>
              <w:jc w:val="center"/>
              <w:rPr>
                <w:rFonts w:ascii="Garamond" w:hAnsi="Garamond"/>
                <w:color w:val="000000"/>
                <w:szCs w:val="24"/>
              </w:rPr>
            </w:pPr>
          </w:p>
        </w:tc>
      </w:tr>
      <w:tr w:rsidR="005C3F88" w:rsidRPr="00E240AF" w14:paraId="4301C75B" w14:textId="77777777" w:rsidTr="0058079D">
        <w:trPr>
          <w:trHeight w:val="20"/>
        </w:trPr>
        <w:tc>
          <w:tcPr>
            <w:tcW w:w="1563" w:type="pct"/>
            <w:vAlign w:val="center"/>
          </w:tcPr>
          <w:p w14:paraId="0545AF13" w14:textId="77777777" w:rsidR="005C3F88" w:rsidRPr="00E240AF" w:rsidRDefault="005C3F88" w:rsidP="0058079D">
            <w:pPr>
              <w:snapToGrid w:val="0"/>
              <w:ind w:left="270"/>
              <w:rPr>
                <w:rFonts w:ascii="Garamond" w:hAnsi="Garamond"/>
                <w:color w:val="000000"/>
                <w:szCs w:val="24"/>
              </w:rPr>
            </w:pPr>
            <w:r w:rsidRPr="00E240AF">
              <w:rPr>
                <w:rFonts w:ascii="Garamond" w:hAnsi="Garamond"/>
                <w:color w:val="000000"/>
                <w:szCs w:val="24"/>
              </w:rPr>
              <w:t>Gender</w:t>
            </w:r>
          </w:p>
        </w:tc>
        <w:tc>
          <w:tcPr>
            <w:tcW w:w="662" w:type="pct"/>
            <w:shd w:val="clear" w:color="auto" w:fill="auto"/>
            <w:vAlign w:val="center"/>
          </w:tcPr>
          <w:p w14:paraId="5D5A0F31" w14:textId="77777777" w:rsidR="005C3F88" w:rsidRPr="00E240AF" w:rsidRDefault="005C3F88" w:rsidP="0058079D">
            <w:pPr>
              <w:widowControl/>
              <w:ind w:left="288"/>
              <w:rPr>
                <w:rFonts w:ascii="Garamond" w:hAnsi="Garamond"/>
                <w:color w:val="000000"/>
                <w:kern w:val="0"/>
                <w:szCs w:val="24"/>
              </w:rPr>
            </w:pPr>
            <w:r w:rsidRPr="00E240AF">
              <w:rPr>
                <w:rFonts w:ascii="Garamond" w:hAnsi="Garamond"/>
                <w:color w:val="000000"/>
                <w:szCs w:val="24"/>
              </w:rPr>
              <w:t>-0.525</w:t>
            </w:r>
          </w:p>
        </w:tc>
        <w:tc>
          <w:tcPr>
            <w:tcW w:w="425" w:type="pct"/>
            <w:shd w:val="clear" w:color="auto" w:fill="auto"/>
            <w:vAlign w:val="center"/>
          </w:tcPr>
          <w:p w14:paraId="6305B9D8" w14:textId="77777777" w:rsidR="005C3F88" w:rsidRPr="00E240AF" w:rsidRDefault="005C3F88" w:rsidP="0058079D">
            <w:pPr>
              <w:jc w:val="center"/>
              <w:rPr>
                <w:rFonts w:ascii="Garamond" w:hAnsi="Garamond"/>
                <w:color w:val="000000"/>
                <w:szCs w:val="24"/>
              </w:rPr>
            </w:pPr>
            <w:r w:rsidRPr="00E240AF">
              <w:rPr>
                <w:rFonts w:ascii="Garamond" w:hAnsi="Garamond"/>
                <w:color w:val="000000"/>
                <w:szCs w:val="24"/>
              </w:rPr>
              <w:t>0.525</w:t>
            </w:r>
          </w:p>
        </w:tc>
        <w:tc>
          <w:tcPr>
            <w:tcW w:w="659" w:type="pct"/>
            <w:shd w:val="clear" w:color="auto" w:fill="auto"/>
            <w:vAlign w:val="bottom"/>
          </w:tcPr>
          <w:p w14:paraId="6DB774A6" w14:textId="77777777" w:rsidR="005C3F88" w:rsidRPr="00E240AF" w:rsidRDefault="005C3F88" w:rsidP="0058079D">
            <w:pPr>
              <w:widowControl/>
              <w:ind w:left="288"/>
              <w:rPr>
                <w:rFonts w:ascii="Garamond" w:hAnsi="Garamond"/>
                <w:color w:val="000000"/>
                <w:szCs w:val="24"/>
              </w:rPr>
            </w:pPr>
            <w:r w:rsidRPr="00E240AF">
              <w:rPr>
                <w:rFonts w:ascii="Garamond" w:hAnsi="Garamond"/>
                <w:color w:val="000000"/>
                <w:szCs w:val="24"/>
              </w:rPr>
              <w:t>-0.539</w:t>
            </w:r>
          </w:p>
        </w:tc>
        <w:tc>
          <w:tcPr>
            <w:tcW w:w="425" w:type="pct"/>
            <w:shd w:val="clear" w:color="auto" w:fill="auto"/>
            <w:vAlign w:val="center"/>
          </w:tcPr>
          <w:p w14:paraId="3202F4B3" w14:textId="77777777" w:rsidR="005C3F88" w:rsidRPr="00E240AF" w:rsidRDefault="005C3F88" w:rsidP="0058079D">
            <w:pPr>
              <w:jc w:val="center"/>
              <w:rPr>
                <w:rFonts w:ascii="Garamond" w:hAnsi="Garamond"/>
                <w:color w:val="000000"/>
                <w:szCs w:val="24"/>
              </w:rPr>
            </w:pPr>
            <w:r w:rsidRPr="00E240AF">
              <w:rPr>
                <w:rFonts w:ascii="Garamond" w:hAnsi="Garamond"/>
                <w:color w:val="000000"/>
                <w:szCs w:val="24"/>
              </w:rPr>
              <w:t>0.344</w:t>
            </w:r>
          </w:p>
        </w:tc>
        <w:tc>
          <w:tcPr>
            <w:tcW w:w="661" w:type="pct"/>
            <w:shd w:val="clear" w:color="auto" w:fill="auto"/>
            <w:vAlign w:val="bottom"/>
          </w:tcPr>
          <w:p w14:paraId="36723C30" w14:textId="77777777" w:rsidR="005C3F88" w:rsidRPr="005772F1" w:rsidRDefault="005C3F88" w:rsidP="0058079D">
            <w:pPr>
              <w:widowControl/>
              <w:ind w:left="288"/>
              <w:rPr>
                <w:rFonts w:ascii="Garamond" w:hAnsi="Garamond"/>
                <w:color w:val="000000"/>
                <w:szCs w:val="24"/>
              </w:rPr>
            </w:pPr>
            <w:r w:rsidRPr="005772F1">
              <w:rPr>
                <w:rFonts w:ascii="Garamond" w:hAnsi="Garamond"/>
                <w:color w:val="000000"/>
                <w:szCs w:val="24"/>
              </w:rPr>
              <w:t>-1.701</w:t>
            </w:r>
          </w:p>
        </w:tc>
        <w:tc>
          <w:tcPr>
            <w:tcW w:w="605" w:type="pct"/>
            <w:tcBorders>
              <w:top w:val="nil"/>
              <w:bottom w:val="nil"/>
            </w:tcBorders>
            <w:shd w:val="clear" w:color="auto" w:fill="auto"/>
            <w:vAlign w:val="bottom"/>
          </w:tcPr>
          <w:p w14:paraId="577BCA03" w14:textId="77777777" w:rsidR="005C3F88" w:rsidRPr="005772F1" w:rsidRDefault="005C3F88" w:rsidP="0058079D">
            <w:pPr>
              <w:jc w:val="center"/>
              <w:rPr>
                <w:rFonts w:ascii="Garamond" w:hAnsi="Garamond"/>
                <w:color w:val="000000"/>
                <w:szCs w:val="24"/>
              </w:rPr>
            </w:pPr>
            <w:r w:rsidRPr="005772F1">
              <w:rPr>
                <w:rFonts w:ascii="Garamond" w:hAnsi="Garamond"/>
                <w:color w:val="000000"/>
                <w:szCs w:val="24"/>
              </w:rPr>
              <w:t>1.240</w:t>
            </w:r>
          </w:p>
        </w:tc>
      </w:tr>
      <w:tr w:rsidR="005C3F88" w:rsidRPr="00E240AF" w14:paraId="2A098A67" w14:textId="77777777" w:rsidTr="0058079D">
        <w:trPr>
          <w:trHeight w:val="20"/>
        </w:trPr>
        <w:tc>
          <w:tcPr>
            <w:tcW w:w="1563" w:type="pct"/>
            <w:vAlign w:val="center"/>
          </w:tcPr>
          <w:p w14:paraId="3649C7F9" w14:textId="77777777" w:rsidR="005C3F88" w:rsidRPr="00E240AF" w:rsidRDefault="005C3F88" w:rsidP="0058079D">
            <w:pPr>
              <w:snapToGrid w:val="0"/>
              <w:ind w:left="270"/>
              <w:rPr>
                <w:rFonts w:ascii="Garamond" w:hAnsi="Garamond"/>
                <w:color w:val="000000"/>
                <w:szCs w:val="24"/>
              </w:rPr>
            </w:pPr>
            <w:r w:rsidRPr="00E240AF">
              <w:rPr>
                <w:rFonts w:ascii="Garamond" w:hAnsi="Garamond"/>
                <w:color w:val="000000"/>
                <w:szCs w:val="24"/>
              </w:rPr>
              <w:t>Self-efficacy</w:t>
            </w:r>
          </w:p>
        </w:tc>
        <w:tc>
          <w:tcPr>
            <w:tcW w:w="662" w:type="pct"/>
            <w:shd w:val="clear" w:color="auto" w:fill="auto"/>
            <w:vAlign w:val="center"/>
          </w:tcPr>
          <w:p w14:paraId="47897419" w14:textId="77777777" w:rsidR="005C3F88" w:rsidRPr="00E240AF" w:rsidRDefault="005C3F88" w:rsidP="0058079D">
            <w:pPr>
              <w:ind w:left="360"/>
              <w:rPr>
                <w:rFonts w:ascii="Garamond" w:hAnsi="Garamond"/>
                <w:color w:val="000000"/>
                <w:szCs w:val="24"/>
              </w:rPr>
            </w:pPr>
            <w:r w:rsidRPr="00E240AF">
              <w:rPr>
                <w:rFonts w:ascii="Garamond" w:hAnsi="Garamond"/>
                <w:color w:val="000000"/>
                <w:szCs w:val="24"/>
              </w:rPr>
              <w:t>0.009</w:t>
            </w:r>
          </w:p>
        </w:tc>
        <w:tc>
          <w:tcPr>
            <w:tcW w:w="425" w:type="pct"/>
            <w:shd w:val="clear" w:color="auto" w:fill="auto"/>
            <w:vAlign w:val="center"/>
          </w:tcPr>
          <w:p w14:paraId="7F37B859" w14:textId="77777777" w:rsidR="005C3F88" w:rsidRPr="00E240AF" w:rsidRDefault="005C3F88" w:rsidP="0058079D">
            <w:pPr>
              <w:jc w:val="center"/>
              <w:rPr>
                <w:rFonts w:ascii="Garamond" w:hAnsi="Garamond"/>
                <w:color w:val="000000"/>
                <w:szCs w:val="24"/>
              </w:rPr>
            </w:pPr>
            <w:r w:rsidRPr="00E240AF">
              <w:rPr>
                <w:rFonts w:ascii="Garamond" w:hAnsi="Garamond"/>
                <w:color w:val="000000"/>
                <w:szCs w:val="24"/>
              </w:rPr>
              <w:t>0.253</w:t>
            </w:r>
          </w:p>
        </w:tc>
        <w:tc>
          <w:tcPr>
            <w:tcW w:w="659" w:type="pct"/>
            <w:shd w:val="clear" w:color="auto" w:fill="auto"/>
            <w:vAlign w:val="bottom"/>
          </w:tcPr>
          <w:p w14:paraId="17A8234C" w14:textId="77777777" w:rsidR="005C3F88" w:rsidRPr="00E240AF" w:rsidRDefault="005C3F88" w:rsidP="0058079D">
            <w:pPr>
              <w:widowControl/>
              <w:ind w:left="288"/>
              <w:rPr>
                <w:rFonts w:ascii="Garamond" w:hAnsi="Garamond"/>
                <w:color w:val="000000"/>
                <w:szCs w:val="24"/>
              </w:rPr>
            </w:pPr>
            <w:r w:rsidRPr="00E240AF">
              <w:rPr>
                <w:rFonts w:ascii="Garamond" w:hAnsi="Garamond"/>
                <w:color w:val="000000"/>
                <w:szCs w:val="24"/>
              </w:rPr>
              <w:t>-0.101</w:t>
            </w:r>
          </w:p>
        </w:tc>
        <w:tc>
          <w:tcPr>
            <w:tcW w:w="425" w:type="pct"/>
            <w:shd w:val="clear" w:color="auto" w:fill="auto"/>
            <w:vAlign w:val="center"/>
          </w:tcPr>
          <w:p w14:paraId="285EE2EB" w14:textId="77777777" w:rsidR="005C3F88" w:rsidRPr="00E240AF" w:rsidRDefault="005C3F88" w:rsidP="0058079D">
            <w:pPr>
              <w:jc w:val="center"/>
              <w:rPr>
                <w:rFonts w:ascii="Garamond" w:hAnsi="Garamond"/>
                <w:color w:val="000000"/>
                <w:szCs w:val="24"/>
              </w:rPr>
            </w:pPr>
            <w:r w:rsidRPr="00E240AF">
              <w:rPr>
                <w:rFonts w:ascii="Garamond" w:hAnsi="Garamond"/>
                <w:color w:val="000000"/>
                <w:szCs w:val="24"/>
              </w:rPr>
              <w:t>0.128</w:t>
            </w:r>
          </w:p>
        </w:tc>
        <w:tc>
          <w:tcPr>
            <w:tcW w:w="661" w:type="pct"/>
            <w:shd w:val="clear" w:color="auto" w:fill="auto"/>
            <w:vAlign w:val="bottom"/>
          </w:tcPr>
          <w:p w14:paraId="5B340FB6" w14:textId="77777777" w:rsidR="005C3F88" w:rsidRPr="005772F1" w:rsidRDefault="005C3F88" w:rsidP="0058079D">
            <w:pPr>
              <w:widowControl/>
              <w:ind w:left="288"/>
              <w:rPr>
                <w:rFonts w:ascii="Garamond" w:hAnsi="Garamond"/>
                <w:color w:val="000000"/>
                <w:szCs w:val="24"/>
              </w:rPr>
            </w:pPr>
            <w:r w:rsidRPr="005772F1">
              <w:rPr>
                <w:rFonts w:ascii="Garamond" w:hAnsi="Garamond"/>
                <w:color w:val="000000"/>
                <w:szCs w:val="24"/>
              </w:rPr>
              <w:t>-0.428</w:t>
            </w:r>
          </w:p>
        </w:tc>
        <w:tc>
          <w:tcPr>
            <w:tcW w:w="605" w:type="pct"/>
            <w:tcBorders>
              <w:top w:val="nil"/>
              <w:bottom w:val="nil"/>
            </w:tcBorders>
            <w:shd w:val="clear" w:color="auto" w:fill="auto"/>
            <w:vAlign w:val="bottom"/>
          </w:tcPr>
          <w:p w14:paraId="774B97C0" w14:textId="77777777" w:rsidR="005C3F88" w:rsidRPr="005772F1" w:rsidRDefault="005C3F88" w:rsidP="0058079D">
            <w:pPr>
              <w:jc w:val="center"/>
              <w:rPr>
                <w:rFonts w:ascii="Garamond" w:hAnsi="Garamond"/>
                <w:color w:val="000000"/>
                <w:szCs w:val="24"/>
              </w:rPr>
            </w:pPr>
            <w:r w:rsidRPr="005772F1">
              <w:rPr>
                <w:rFonts w:ascii="Garamond" w:hAnsi="Garamond"/>
                <w:color w:val="000000"/>
                <w:szCs w:val="24"/>
              </w:rPr>
              <w:t>0.260</w:t>
            </w:r>
          </w:p>
        </w:tc>
      </w:tr>
      <w:tr w:rsidR="005C3F88" w:rsidRPr="00E240AF" w14:paraId="6FA00694" w14:textId="77777777" w:rsidTr="0058079D">
        <w:trPr>
          <w:trHeight w:val="20"/>
        </w:trPr>
        <w:tc>
          <w:tcPr>
            <w:tcW w:w="1563" w:type="pct"/>
            <w:vAlign w:val="center"/>
          </w:tcPr>
          <w:p w14:paraId="4B0F4964" w14:textId="77777777" w:rsidR="005C3F88" w:rsidRPr="00E240AF" w:rsidRDefault="005C3F88" w:rsidP="0058079D">
            <w:pPr>
              <w:snapToGrid w:val="0"/>
              <w:ind w:left="270"/>
              <w:rPr>
                <w:rFonts w:ascii="Garamond" w:hAnsi="Garamond"/>
                <w:color w:val="000000"/>
                <w:szCs w:val="24"/>
              </w:rPr>
            </w:pPr>
            <w:r w:rsidRPr="00E240AF">
              <w:rPr>
                <w:rFonts w:ascii="Garamond" w:hAnsi="Garamond"/>
                <w:color w:val="000000"/>
                <w:szCs w:val="24"/>
              </w:rPr>
              <w:t>Peer trust</w:t>
            </w:r>
          </w:p>
        </w:tc>
        <w:tc>
          <w:tcPr>
            <w:tcW w:w="662" w:type="pct"/>
            <w:shd w:val="clear" w:color="auto" w:fill="auto"/>
            <w:vAlign w:val="center"/>
          </w:tcPr>
          <w:p w14:paraId="247F4F1B" w14:textId="77777777" w:rsidR="005C3F88" w:rsidRPr="00E240AF" w:rsidRDefault="005C3F88" w:rsidP="0058079D">
            <w:pPr>
              <w:widowControl/>
              <w:ind w:left="288"/>
              <w:rPr>
                <w:rFonts w:ascii="Garamond" w:hAnsi="Garamond"/>
                <w:color w:val="000000"/>
                <w:szCs w:val="24"/>
              </w:rPr>
            </w:pPr>
            <w:r w:rsidRPr="00E240AF">
              <w:rPr>
                <w:rFonts w:ascii="Garamond" w:hAnsi="Garamond"/>
                <w:color w:val="000000"/>
                <w:szCs w:val="24"/>
              </w:rPr>
              <w:t>-0.145</w:t>
            </w:r>
          </w:p>
        </w:tc>
        <w:tc>
          <w:tcPr>
            <w:tcW w:w="425" w:type="pct"/>
            <w:shd w:val="clear" w:color="auto" w:fill="auto"/>
            <w:vAlign w:val="center"/>
          </w:tcPr>
          <w:p w14:paraId="430A871D" w14:textId="77777777" w:rsidR="005C3F88" w:rsidRPr="00E240AF" w:rsidRDefault="005C3F88" w:rsidP="0058079D">
            <w:pPr>
              <w:jc w:val="center"/>
              <w:rPr>
                <w:rFonts w:ascii="Garamond" w:hAnsi="Garamond"/>
                <w:color w:val="000000"/>
                <w:szCs w:val="24"/>
              </w:rPr>
            </w:pPr>
            <w:r w:rsidRPr="00E240AF">
              <w:rPr>
                <w:rFonts w:ascii="Garamond" w:hAnsi="Garamond"/>
                <w:color w:val="000000"/>
                <w:szCs w:val="24"/>
              </w:rPr>
              <w:t>0.234</w:t>
            </w:r>
          </w:p>
        </w:tc>
        <w:tc>
          <w:tcPr>
            <w:tcW w:w="659" w:type="pct"/>
            <w:shd w:val="clear" w:color="auto" w:fill="auto"/>
            <w:vAlign w:val="bottom"/>
          </w:tcPr>
          <w:p w14:paraId="05EE483E" w14:textId="77777777" w:rsidR="005C3F88" w:rsidRPr="00E240AF" w:rsidRDefault="005C3F88" w:rsidP="0058079D">
            <w:pPr>
              <w:ind w:left="360"/>
              <w:rPr>
                <w:rFonts w:ascii="Garamond" w:hAnsi="Garamond"/>
                <w:color w:val="000000"/>
                <w:szCs w:val="24"/>
              </w:rPr>
            </w:pPr>
            <w:r w:rsidRPr="00E240AF">
              <w:rPr>
                <w:rFonts w:ascii="Garamond" w:hAnsi="Garamond"/>
                <w:color w:val="000000"/>
                <w:szCs w:val="24"/>
              </w:rPr>
              <w:t>0.010</w:t>
            </w:r>
          </w:p>
        </w:tc>
        <w:tc>
          <w:tcPr>
            <w:tcW w:w="425" w:type="pct"/>
            <w:shd w:val="clear" w:color="auto" w:fill="auto"/>
            <w:vAlign w:val="center"/>
          </w:tcPr>
          <w:p w14:paraId="21562ACC" w14:textId="77777777" w:rsidR="005C3F88" w:rsidRPr="00E240AF" w:rsidRDefault="005C3F88" w:rsidP="0058079D">
            <w:pPr>
              <w:jc w:val="center"/>
              <w:rPr>
                <w:rFonts w:ascii="Garamond" w:hAnsi="Garamond"/>
                <w:color w:val="000000"/>
                <w:szCs w:val="24"/>
              </w:rPr>
            </w:pPr>
            <w:r w:rsidRPr="00E240AF">
              <w:rPr>
                <w:rFonts w:ascii="Garamond" w:hAnsi="Garamond"/>
                <w:color w:val="000000"/>
                <w:szCs w:val="24"/>
              </w:rPr>
              <w:t>0.116</w:t>
            </w:r>
          </w:p>
        </w:tc>
        <w:tc>
          <w:tcPr>
            <w:tcW w:w="661" w:type="pct"/>
            <w:shd w:val="clear" w:color="auto" w:fill="auto"/>
            <w:vAlign w:val="bottom"/>
          </w:tcPr>
          <w:p w14:paraId="01B49766" w14:textId="77777777" w:rsidR="005C3F88" w:rsidRPr="005772F1" w:rsidRDefault="005C3F88" w:rsidP="0058079D">
            <w:pPr>
              <w:widowControl/>
              <w:ind w:left="288"/>
              <w:rPr>
                <w:rFonts w:ascii="Garamond" w:hAnsi="Garamond"/>
                <w:color w:val="000000"/>
                <w:szCs w:val="24"/>
              </w:rPr>
            </w:pPr>
            <w:r w:rsidRPr="005772F1">
              <w:rPr>
                <w:rFonts w:ascii="Garamond" w:hAnsi="Garamond"/>
                <w:color w:val="000000"/>
                <w:szCs w:val="24"/>
              </w:rPr>
              <w:t>-0.260</w:t>
            </w:r>
          </w:p>
        </w:tc>
        <w:tc>
          <w:tcPr>
            <w:tcW w:w="605" w:type="pct"/>
            <w:tcBorders>
              <w:top w:val="nil"/>
              <w:bottom w:val="nil"/>
            </w:tcBorders>
            <w:shd w:val="clear" w:color="auto" w:fill="auto"/>
            <w:vAlign w:val="bottom"/>
          </w:tcPr>
          <w:p w14:paraId="0820DBE1" w14:textId="77777777" w:rsidR="005C3F88" w:rsidRPr="005772F1" w:rsidRDefault="005C3F88" w:rsidP="0058079D">
            <w:pPr>
              <w:jc w:val="center"/>
              <w:rPr>
                <w:rFonts w:ascii="Garamond" w:hAnsi="Garamond"/>
                <w:color w:val="000000"/>
                <w:szCs w:val="24"/>
              </w:rPr>
            </w:pPr>
            <w:r w:rsidRPr="005772F1">
              <w:rPr>
                <w:rFonts w:ascii="Garamond" w:hAnsi="Garamond"/>
                <w:color w:val="000000"/>
                <w:szCs w:val="24"/>
              </w:rPr>
              <w:t>0.261</w:t>
            </w:r>
          </w:p>
        </w:tc>
      </w:tr>
      <w:tr w:rsidR="005C3F88" w:rsidRPr="00E240AF" w14:paraId="1672766D" w14:textId="77777777" w:rsidTr="0058079D">
        <w:trPr>
          <w:trHeight w:val="20"/>
        </w:trPr>
        <w:tc>
          <w:tcPr>
            <w:tcW w:w="1563" w:type="pct"/>
            <w:vAlign w:val="center"/>
          </w:tcPr>
          <w:p w14:paraId="6929434E" w14:textId="77777777" w:rsidR="005C3F88" w:rsidRPr="00E240AF" w:rsidRDefault="005C3F88" w:rsidP="0058079D">
            <w:pPr>
              <w:pStyle w:val="DarkList-Accent51"/>
              <w:snapToGrid w:val="0"/>
              <w:ind w:left="0"/>
              <w:contextualSpacing w:val="0"/>
              <w:rPr>
                <w:rFonts w:ascii="Garamond" w:hAnsi="Garamond"/>
                <w:bCs/>
              </w:rPr>
            </w:pPr>
            <w:r w:rsidRPr="00E240AF">
              <w:rPr>
                <w:rFonts w:ascii="Garamond" w:hAnsi="Garamond"/>
                <w:bCs/>
              </w:rPr>
              <w:t>Relationship covariates</w:t>
            </w:r>
          </w:p>
        </w:tc>
        <w:tc>
          <w:tcPr>
            <w:tcW w:w="662" w:type="pct"/>
            <w:shd w:val="clear" w:color="auto" w:fill="auto"/>
            <w:vAlign w:val="center"/>
          </w:tcPr>
          <w:p w14:paraId="6F07F973" w14:textId="77777777" w:rsidR="005C3F88" w:rsidRPr="00E240AF" w:rsidRDefault="005C3F88" w:rsidP="0058079D">
            <w:pPr>
              <w:snapToGrid w:val="0"/>
              <w:rPr>
                <w:rFonts w:ascii="Garamond" w:hAnsi="Garamond"/>
                <w:szCs w:val="24"/>
                <w:u w:val="single"/>
              </w:rPr>
            </w:pPr>
          </w:p>
        </w:tc>
        <w:tc>
          <w:tcPr>
            <w:tcW w:w="425" w:type="pct"/>
            <w:shd w:val="clear" w:color="auto" w:fill="auto"/>
            <w:vAlign w:val="center"/>
          </w:tcPr>
          <w:p w14:paraId="1FF9A31F" w14:textId="77777777" w:rsidR="005C3F88" w:rsidRPr="00E240AF" w:rsidRDefault="005C3F88" w:rsidP="0058079D">
            <w:pPr>
              <w:snapToGrid w:val="0"/>
              <w:jc w:val="center"/>
              <w:rPr>
                <w:rFonts w:ascii="Garamond" w:hAnsi="Garamond"/>
                <w:szCs w:val="24"/>
                <w:u w:val="single"/>
              </w:rPr>
            </w:pPr>
          </w:p>
        </w:tc>
        <w:tc>
          <w:tcPr>
            <w:tcW w:w="659" w:type="pct"/>
            <w:shd w:val="clear" w:color="auto" w:fill="auto"/>
            <w:vAlign w:val="center"/>
          </w:tcPr>
          <w:p w14:paraId="46F396EE" w14:textId="77777777" w:rsidR="005C3F88" w:rsidRPr="00E240AF" w:rsidRDefault="005C3F88" w:rsidP="0058079D">
            <w:pPr>
              <w:snapToGrid w:val="0"/>
              <w:jc w:val="center"/>
              <w:rPr>
                <w:rFonts w:ascii="Garamond" w:hAnsi="Garamond"/>
                <w:szCs w:val="24"/>
              </w:rPr>
            </w:pPr>
          </w:p>
        </w:tc>
        <w:tc>
          <w:tcPr>
            <w:tcW w:w="425" w:type="pct"/>
            <w:shd w:val="clear" w:color="auto" w:fill="auto"/>
            <w:vAlign w:val="center"/>
          </w:tcPr>
          <w:p w14:paraId="09F20AEC" w14:textId="77777777" w:rsidR="005C3F88" w:rsidRPr="00E240AF" w:rsidRDefault="005C3F88" w:rsidP="0058079D">
            <w:pPr>
              <w:snapToGrid w:val="0"/>
              <w:jc w:val="center"/>
              <w:rPr>
                <w:rFonts w:ascii="Garamond" w:hAnsi="Garamond"/>
                <w:szCs w:val="24"/>
              </w:rPr>
            </w:pPr>
          </w:p>
        </w:tc>
        <w:tc>
          <w:tcPr>
            <w:tcW w:w="661" w:type="pct"/>
            <w:shd w:val="clear" w:color="auto" w:fill="auto"/>
            <w:vAlign w:val="center"/>
          </w:tcPr>
          <w:p w14:paraId="2599A6C6" w14:textId="77777777" w:rsidR="005C3F88" w:rsidRPr="005772F1" w:rsidRDefault="005C3F88" w:rsidP="0058079D">
            <w:pPr>
              <w:snapToGrid w:val="0"/>
              <w:jc w:val="center"/>
              <w:rPr>
                <w:rFonts w:ascii="Garamond" w:hAnsi="Garamond"/>
                <w:szCs w:val="24"/>
              </w:rPr>
            </w:pPr>
          </w:p>
        </w:tc>
        <w:tc>
          <w:tcPr>
            <w:tcW w:w="605" w:type="pct"/>
            <w:tcBorders>
              <w:top w:val="nil"/>
              <w:bottom w:val="nil"/>
            </w:tcBorders>
            <w:shd w:val="clear" w:color="auto" w:fill="auto"/>
            <w:vAlign w:val="center"/>
          </w:tcPr>
          <w:p w14:paraId="129FC5C3" w14:textId="77777777" w:rsidR="005C3F88" w:rsidRPr="005772F1" w:rsidRDefault="005C3F88" w:rsidP="0058079D">
            <w:pPr>
              <w:jc w:val="center"/>
              <w:rPr>
                <w:rFonts w:ascii="Garamond" w:hAnsi="Garamond"/>
                <w:color w:val="000000"/>
                <w:szCs w:val="24"/>
              </w:rPr>
            </w:pPr>
          </w:p>
        </w:tc>
      </w:tr>
      <w:tr w:rsidR="005C3F88" w:rsidRPr="00E240AF" w14:paraId="449136D6" w14:textId="77777777" w:rsidTr="0058079D">
        <w:trPr>
          <w:trHeight w:val="20"/>
        </w:trPr>
        <w:tc>
          <w:tcPr>
            <w:tcW w:w="1563" w:type="pct"/>
            <w:vAlign w:val="center"/>
          </w:tcPr>
          <w:p w14:paraId="4035E9FF" w14:textId="77777777" w:rsidR="005C3F88" w:rsidRPr="00E240AF" w:rsidRDefault="005C3F88" w:rsidP="0058079D">
            <w:pPr>
              <w:snapToGrid w:val="0"/>
              <w:ind w:left="270"/>
              <w:rPr>
                <w:rFonts w:ascii="Garamond" w:hAnsi="Garamond"/>
                <w:color w:val="000000"/>
                <w:szCs w:val="24"/>
              </w:rPr>
            </w:pPr>
            <w:r>
              <w:rPr>
                <w:rFonts w:ascii="Garamond" w:hAnsi="Garamond"/>
                <w:color w:val="000000"/>
                <w:szCs w:val="24"/>
              </w:rPr>
              <w:t>Different gender</w:t>
            </w:r>
          </w:p>
        </w:tc>
        <w:tc>
          <w:tcPr>
            <w:tcW w:w="662" w:type="pct"/>
            <w:shd w:val="clear" w:color="auto" w:fill="auto"/>
            <w:vAlign w:val="center"/>
          </w:tcPr>
          <w:p w14:paraId="6F5EB087" w14:textId="77777777" w:rsidR="005C3F88" w:rsidRPr="00E240AF" w:rsidRDefault="005C3F88" w:rsidP="0058079D">
            <w:pPr>
              <w:widowControl/>
              <w:ind w:left="288"/>
              <w:rPr>
                <w:rFonts w:ascii="Garamond" w:hAnsi="Garamond"/>
                <w:color w:val="000000"/>
                <w:szCs w:val="24"/>
              </w:rPr>
            </w:pPr>
            <w:r w:rsidRPr="00E240AF">
              <w:rPr>
                <w:rFonts w:ascii="Garamond" w:hAnsi="Garamond"/>
                <w:color w:val="000000"/>
                <w:szCs w:val="24"/>
              </w:rPr>
              <w:t>-0.780</w:t>
            </w:r>
          </w:p>
        </w:tc>
        <w:tc>
          <w:tcPr>
            <w:tcW w:w="425" w:type="pct"/>
            <w:shd w:val="clear" w:color="auto" w:fill="auto"/>
            <w:vAlign w:val="center"/>
          </w:tcPr>
          <w:p w14:paraId="1EA72388" w14:textId="77777777" w:rsidR="005C3F88" w:rsidRPr="00E240AF" w:rsidRDefault="005C3F88" w:rsidP="0058079D">
            <w:pPr>
              <w:jc w:val="center"/>
              <w:rPr>
                <w:rFonts w:ascii="Garamond" w:hAnsi="Garamond"/>
                <w:color w:val="000000"/>
                <w:szCs w:val="24"/>
              </w:rPr>
            </w:pPr>
            <w:r w:rsidRPr="00E240AF">
              <w:rPr>
                <w:rFonts w:ascii="Garamond" w:hAnsi="Garamond"/>
                <w:color w:val="000000"/>
                <w:szCs w:val="24"/>
              </w:rPr>
              <w:t>0.458</w:t>
            </w:r>
          </w:p>
        </w:tc>
        <w:tc>
          <w:tcPr>
            <w:tcW w:w="659" w:type="pct"/>
            <w:shd w:val="clear" w:color="auto" w:fill="auto"/>
            <w:vAlign w:val="bottom"/>
          </w:tcPr>
          <w:p w14:paraId="0D0ACEE2" w14:textId="77777777" w:rsidR="005C3F88" w:rsidRPr="00E240AF" w:rsidRDefault="005C3F88" w:rsidP="0058079D">
            <w:pPr>
              <w:widowControl/>
              <w:ind w:left="288"/>
              <w:rPr>
                <w:rFonts w:ascii="Garamond" w:hAnsi="Garamond"/>
                <w:color w:val="000000"/>
                <w:kern w:val="0"/>
                <w:szCs w:val="24"/>
              </w:rPr>
            </w:pPr>
            <w:r w:rsidRPr="00E240AF">
              <w:rPr>
                <w:rFonts w:ascii="Garamond" w:hAnsi="Garamond"/>
                <w:color w:val="000000"/>
                <w:szCs w:val="24"/>
              </w:rPr>
              <w:t>-0.250</w:t>
            </w:r>
          </w:p>
        </w:tc>
        <w:tc>
          <w:tcPr>
            <w:tcW w:w="425" w:type="pct"/>
            <w:shd w:val="clear" w:color="auto" w:fill="auto"/>
            <w:vAlign w:val="center"/>
          </w:tcPr>
          <w:p w14:paraId="72AF6999" w14:textId="77777777" w:rsidR="005C3F88" w:rsidRPr="00E240AF" w:rsidRDefault="005C3F88" w:rsidP="0058079D">
            <w:pPr>
              <w:jc w:val="center"/>
              <w:rPr>
                <w:rFonts w:ascii="Garamond" w:hAnsi="Garamond"/>
                <w:color w:val="000000"/>
                <w:szCs w:val="24"/>
              </w:rPr>
            </w:pPr>
            <w:r w:rsidRPr="00E240AF">
              <w:rPr>
                <w:rFonts w:ascii="Garamond" w:hAnsi="Garamond"/>
                <w:color w:val="000000"/>
                <w:szCs w:val="24"/>
              </w:rPr>
              <w:t>0.345</w:t>
            </w:r>
          </w:p>
        </w:tc>
        <w:tc>
          <w:tcPr>
            <w:tcW w:w="661" w:type="pct"/>
            <w:shd w:val="clear" w:color="auto" w:fill="auto"/>
            <w:vAlign w:val="bottom"/>
          </w:tcPr>
          <w:p w14:paraId="4E7306F2" w14:textId="77777777" w:rsidR="005C3F88" w:rsidRPr="005772F1" w:rsidRDefault="005C3F88" w:rsidP="0058079D">
            <w:pPr>
              <w:ind w:left="360"/>
              <w:rPr>
                <w:rFonts w:ascii="Garamond" w:hAnsi="Garamond"/>
                <w:color w:val="000000"/>
                <w:kern w:val="0"/>
                <w:szCs w:val="24"/>
              </w:rPr>
            </w:pPr>
            <w:r w:rsidRPr="005772F1">
              <w:rPr>
                <w:rFonts w:ascii="Garamond" w:hAnsi="Garamond"/>
                <w:color w:val="000000"/>
                <w:szCs w:val="24"/>
              </w:rPr>
              <w:t>1.338</w:t>
            </w:r>
          </w:p>
        </w:tc>
        <w:tc>
          <w:tcPr>
            <w:tcW w:w="605" w:type="pct"/>
            <w:tcBorders>
              <w:top w:val="nil"/>
              <w:bottom w:val="nil"/>
            </w:tcBorders>
            <w:shd w:val="clear" w:color="auto" w:fill="auto"/>
            <w:vAlign w:val="bottom"/>
          </w:tcPr>
          <w:p w14:paraId="2DDE4F34" w14:textId="77777777" w:rsidR="005C3F88" w:rsidRPr="005772F1" w:rsidRDefault="005C3F88" w:rsidP="0058079D">
            <w:pPr>
              <w:jc w:val="center"/>
              <w:rPr>
                <w:rFonts w:ascii="Garamond" w:hAnsi="Garamond"/>
                <w:color w:val="000000"/>
                <w:szCs w:val="24"/>
              </w:rPr>
            </w:pPr>
            <w:r w:rsidRPr="005772F1">
              <w:rPr>
                <w:rFonts w:ascii="Garamond" w:hAnsi="Garamond"/>
                <w:color w:val="000000"/>
                <w:szCs w:val="24"/>
              </w:rPr>
              <w:t>1.065</w:t>
            </w:r>
          </w:p>
        </w:tc>
      </w:tr>
      <w:tr w:rsidR="005C3F88" w:rsidRPr="00E240AF" w14:paraId="13CE7F4E" w14:textId="77777777" w:rsidTr="0058079D">
        <w:trPr>
          <w:trHeight w:val="20"/>
        </w:trPr>
        <w:tc>
          <w:tcPr>
            <w:tcW w:w="1563" w:type="pct"/>
            <w:vAlign w:val="center"/>
          </w:tcPr>
          <w:p w14:paraId="11F18B62" w14:textId="77777777" w:rsidR="005C3F88" w:rsidRPr="00E240AF" w:rsidRDefault="005C3F88" w:rsidP="0058079D">
            <w:pPr>
              <w:snapToGrid w:val="0"/>
              <w:ind w:left="270"/>
              <w:rPr>
                <w:rFonts w:ascii="Garamond" w:hAnsi="Garamond"/>
                <w:color w:val="000000"/>
                <w:szCs w:val="24"/>
              </w:rPr>
            </w:pPr>
            <w:r w:rsidRPr="00E240AF">
              <w:rPr>
                <w:rFonts w:ascii="Garamond" w:hAnsi="Garamond"/>
                <w:color w:val="000000"/>
                <w:szCs w:val="24"/>
              </w:rPr>
              <w:t>Different self-efficacy</w:t>
            </w:r>
          </w:p>
        </w:tc>
        <w:tc>
          <w:tcPr>
            <w:tcW w:w="662" w:type="pct"/>
            <w:shd w:val="clear" w:color="auto" w:fill="auto"/>
            <w:vAlign w:val="center"/>
          </w:tcPr>
          <w:p w14:paraId="7A7CE7B2" w14:textId="77777777" w:rsidR="005C3F88" w:rsidRPr="00E240AF" w:rsidRDefault="005C3F88" w:rsidP="0058079D">
            <w:pPr>
              <w:widowControl/>
              <w:ind w:left="288"/>
              <w:rPr>
                <w:rFonts w:ascii="Garamond" w:hAnsi="Garamond"/>
                <w:color w:val="000000"/>
                <w:szCs w:val="24"/>
              </w:rPr>
            </w:pPr>
            <w:r w:rsidRPr="00E240AF">
              <w:rPr>
                <w:rFonts w:ascii="Garamond" w:hAnsi="Garamond"/>
                <w:color w:val="000000"/>
                <w:szCs w:val="24"/>
              </w:rPr>
              <w:t>-0.380</w:t>
            </w:r>
          </w:p>
        </w:tc>
        <w:tc>
          <w:tcPr>
            <w:tcW w:w="425" w:type="pct"/>
            <w:shd w:val="clear" w:color="auto" w:fill="auto"/>
            <w:vAlign w:val="center"/>
          </w:tcPr>
          <w:p w14:paraId="24D1813D" w14:textId="77777777" w:rsidR="005C3F88" w:rsidRPr="00E240AF" w:rsidRDefault="005C3F88" w:rsidP="0058079D">
            <w:pPr>
              <w:jc w:val="center"/>
              <w:rPr>
                <w:rFonts w:ascii="Garamond" w:hAnsi="Garamond"/>
                <w:color w:val="000000"/>
                <w:szCs w:val="24"/>
              </w:rPr>
            </w:pPr>
            <w:r w:rsidRPr="00E240AF">
              <w:rPr>
                <w:rFonts w:ascii="Garamond" w:hAnsi="Garamond"/>
                <w:color w:val="000000"/>
                <w:szCs w:val="24"/>
              </w:rPr>
              <w:t>0.294</w:t>
            </w:r>
          </w:p>
        </w:tc>
        <w:tc>
          <w:tcPr>
            <w:tcW w:w="659" w:type="pct"/>
            <w:shd w:val="clear" w:color="auto" w:fill="auto"/>
            <w:vAlign w:val="bottom"/>
          </w:tcPr>
          <w:p w14:paraId="1457D874" w14:textId="77777777" w:rsidR="005C3F88" w:rsidRPr="00E240AF" w:rsidRDefault="005C3F88" w:rsidP="0058079D">
            <w:pPr>
              <w:ind w:left="360"/>
              <w:rPr>
                <w:rFonts w:ascii="Garamond" w:hAnsi="Garamond"/>
                <w:color w:val="000000"/>
                <w:szCs w:val="24"/>
              </w:rPr>
            </w:pPr>
            <w:r w:rsidRPr="00E240AF">
              <w:rPr>
                <w:rFonts w:ascii="Garamond" w:hAnsi="Garamond"/>
                <w:color w:val="000000"/>
                <w:szCs w:val="24"/>
              </w:rPr>
              <w:t>0.086</w:t>
            </w:r>
          </w:p>
        </w:tc>
        <w:tc>
          <w:tcPr>
            <w:tcW w:w="425" w:type="pct"/>
            <w:shd w:val="clear" w:color="auto" w:fill="auto"/>
            <w:vAlign w:val="center"/>
          </w:tcPr>
          <w:p w14:paraId="0917A513" w14:textId="77777777" w:rsidR="005C3F88" w:rsidRPr="00E240AF" w:rsidRDefault="005C3F88" w:rsidP="0058079D">
            <w:pPr>
              <w:jc w:val="center"/>
              <w:rPr>
                <w:rFonts w:ascii="Garamond" w:hAnsi="Garamond"/>
                <w:color w:val="000000"/>
                <w:szCs w:val="24"/>
              </w:rPr>
            </w:pPr>
            <w:r w:rsidRPr="00E240AF">
              <w:rPr>
                <w:rFonts w:ascii="Garamond" w:hAnsi="Garamond"/>
                <w:color w:val="000000"/>
                <w:szCs w:val="24"/>
              </w:rPr>
              <w:t>0.147</w:t>
            </w:r>
          </w:p>
        </w:tc>
        <w:tc>
          <w:tcPr>
            <w:tcW w:w="661" w:type="pct"/>
            <w:shd w:val="clear" w:color="auto" w:fill="auto"/>
            <w:vAlign w:val="bottom"/>
          </w:tcPr>
          <w:p w14:paraId="6B246F97" w14:textId="77777777" w:rsidR="005C3F88" w:rsidRPr="005772F1" w:rsidRDefault="005C3F88" w:rsidP="0058079D">
            <w:pPr>
              <w:widowControl/>
              <w:ind w:left="288"/>
              <w:rPr>
                <w:rFonts w:ascii="Garamond" w:hAnsi="Garamond"/>
                <w:color w:val="000000"/>
                <w:szCs w:val="24"/>
              </w:rPr>
            </w:pPr>
            <w:r w:rsidRPr="005772F1">
              <w:rPr>
                <w:rFonts w:ascii="Garamond" w:hAnsi="Garamond"/>
                <w:color w:val="000000"/>
                <w:szCs w:val="24"/>
              </w:rPr>
              <w:t>-0.324</w:t>
            </w:r>
          </w:p>
        </w:tc>
        <w:tc>
          <w:tcPr>
            <w:tcW w:w="605" w:type="pct"/>
            <w:tcBorders>
              <w:top w:val="nil"/>
              <w:bottom w:val="nil"/>
            </w:tcBorders>
            <w:shd w:val="clear" w:color="auto" w:fill="auto"/>
            <w:vAlign w:val="bottom"/>
          </w:tcPr>
          <w:p w14:paraId="6FD9DBB4" w14:textId="77777777" w:rsidR="005C3F88" w:rsidRPr="005772F1" w:rsidRDefault="005C3F88" w:rsidP="0058079D">
            <w:pPr>
              <w:jc w:val="center"/>
              <w:rPr>
                <w:rFonts w:ascii="Garamond" w:hAnsi="Garamond"/>
                <w:color w:val="000000"/>
                <w:szCs w:val="24"/>
              </w:rPr>
            </w:pPr>
            <w:r w:rsidRPr="005772F1">
              <w:rPr>
                <w:rFonts w:ascii="Garamond" w:hAnsi="Garamond"/>
                <w:color w:val="000000"/>
                <w:szCs w:val="24"/>
              </w:rPr>
              <w:t>0.257</w:t>
            </w:r>
          </w:p>
        </w:tc>
      </w:tr>
      <w:tr w:rsidR="005C3F88" w:rsidRPr="00E240AF" w14:paraId="19E3CFD3" w14:textId="77777777" w:rsidTr="0058079D">
        <w:trPr>
          <w:trHeight w:val="20"/>
        </w:trPr>
        <w:tc>
          <w:tcPr>
            <w:tcW w:w="1563" w:type="pct"/>
            <w:vAlign w:val="center"/>
          </w:tcPr>
          <w:p w14:paraId="73F69100" w14:textId="77777777" w:rsidR="005C3F88" w:rsidRPr="00E240AF" w:rsidRDefault="005C3F88" w:rsidP="0058079D">
            <w:pPr>
              <w:snapToGrid w:val="0"/>
              <w:ind w:left="270"/>
              <w:rPr>
                <w:rFonts w:ascii="Garamond" w:hAnsi="Garamond"/>
                <w:color w:val="000000"/>
                <w:szCs w:val="24"/>
              </w:rPr>
            </w:pPr>
            <w:r w:rsidRPr="00E240AF">
              <w:rPr>
                <w:rFonts w:ascii="Garamond" w:hAnsi="Garamond"/>
                <w:color w:val="000000"/>
                <w:szCs w:val="24"/>
              </w:rPr>
              <w:t>Different peer trust</w:t>
            </w:r>
          </w:p>
        </w:tc>
        <w:tc>
          <w:tcPr>
            <w:tcW w:w="662" w:type="pct"/>
            <w:shd w:val="clear" w:color="auto" w:fill="auto"/>
            <w:vAlign w:val="center"/>
          </w:tcPr>
          <w:p w14:paraId="552599A5" w14:textId="77777777" w:rsidR="005C3F88" w:rsidRPr="00E240AF" w:rsidRDefault="005C3F88" w:rsidP="0058079D">
            <w:pPr>
              <w:widowControl/>
              <w:ind w:left="288"/>
              <w:rPr>
                <w:rFonts w:ascii="Garamond" w:hAnsi="Garamond"/>
                <w:color w:val="000000"/>
                <w:szCs w:val="24"/>
              </w:rPr>
            </w:pPr>
            <w:r w:rsidRPr="00E240AF">
              <w:rPr>
                <w:rFonts w:ascii="Garamond" w:hAnsi="Garamond"/>
                <w:color w:val="000000"/>
                <w:szCs w:val="24"/>
              </w:rPr>
              <w:t>-0.410</w:t>
            </w:r>
          </w:p>
        </w:tc>
        <w:tc>
          <w:tcPr>
            <w:tcW w:w="425" w:type="pct"/>
            <w:shd w:val="clear" w:color="auto" w:fill="auto"/>
            <w:vAlign w:val="center"/>
          </w:tcPr>
          <w:p w14:paraId="1E843778" w14:textId="77777777" w:rsidR="005C3F88" w:rsidRPr="00E240AF" w:rsidRDefault="005C3F88" w:rsidP="0058079D">
            <w:pPr>
              <w:jc w:val="center"/>
              <w:rPr>
                <w:rFonts w:ascii="Garamond" w:hAnsi="Garamond"/>
                <w:color w:val="000000"/>
                <w:szCs w:val="24"/>
              </w:rPr>
            </w:pPr>
            <w:r w:rsidRPr="00E240AF">
              <w:rPr>
                <w:rFonts w:ascii="Garamond" w:hAnsi="Garamond"/>
                <w:color w:val="000000"/>
                <w:szCs w:val="24"/>
              </w:rPr>
              <w:t>0.249</w:t>
            </w:r>
          </w:p>
        </w:tc>
        <w:tc>
          <w:tcPr>
            <w:tcW w:w="659" w:type="pct"/>
            <w:shd w:val="clear" w:color="auto" w:fill="auto"/>
            <w:vAlign w:val="bottom"/>
          </w:tcPr>
          <w:p w14:paraId="5150B8FB" w14:textId="77777777" w:rsidR="005C3F88" w:rsidRPr="00E240AF" w:rsidRDefault="005C3F88" w:rsidP="0058079D">
            <w:pPr>
              <w:widowControl/>
              <w:ind w:left="288"/>
              <w:rPr>
                <w:rFonts w:ascii="Garamond" w:hAnsi="Garamond"/>
                <w:color w:val="000000"/>
                <w:szCs w:val="24"/>
              </w:rPr>
            </w:pPr>
            <w:r w:rsidRPr="00E240AF">
              <w:rPr>
                <w:rFonts w:ascii="Garamond" w:hAnsi="Garamond"/>
                <w:color w:val="000000"/>
                <w:szCs w:val="24"/>
              </w:rPr>
              <w:t>-0.032</w:t>
            </w:r>
          </w:p>
        </w:tc>
        <w:tc>
          <w:tcPr>
            <w:tcW w:w="425" w:type="pct"/>
            <w:shd w:val="clear" w:color="auto" w:fill="auto"/>
            <w:vAlign w:val="center"/>
          </w:tcPr>
          <w:p w14:paraId="20D54C7A" w14:textId="77777777" w:rsidR="005C3F88" w:rsidRPr="00E240AF" w:rsidRDefault="005C3F88" w:rsidP="0058079D">
            <w:pPr>
              <w:jc w:val="center"/>
              <w:rPr>
                <w:rFonts w:ascii="Garamond" w:hAnsi="Garamond"/>
                <w:color w:val="000000"/>
                <w:szCs w:val="24"/>
              </w:rPr>
            </w:pPr>
            <w:r w:rsidRPr="00E240AF">
              <w:rPr>
                <w:rFonts w:ascii="Garamond" w:hAnsi="Garamond"/>
                <w:color w:val="000000"/>
                <w:szCs w:val="24"/>
              </w:rPr>
              <w:t>0.158</w:t>
            </w:r>
          </w:p>
        </w:tc>
        <w:tc>
          <w:tcPr>
            <w:tcW w:w="661" w:type="pct"/>
            <w:shd w:val="clear" w:color="auto" w:fill="auto"/>
            <w:vAlign w:val="bottom"/>
          </w:tcPr>
          <w:p w14:paraId="31E3AF40" w14:textId="77777777" w:rsidR="005C3F88" w:rsidRPr="005772F1" w:rsidRDefault="005C3F88" w:rsidP="0058079D">
            <w:pPr>
              <w:widowControl/>
              <w:ind w:left="288"/>
              <w:rPr>
                <w:rFonts w:ascii="Garamond" w:hAnsi="Garamond"/>
                <w:color w:val="000000"/>
                <w:szCs w:val="24"/>
              </w:rPr>
            </w:pPr>
            <w:r w:rsidRPr="005772F1">
              <w:rPr>
                <w:rFonts w:ascii="Garamond" w:hAnsi="Garamond"/>
                <w:color w:val="000000"/>
                <w:szCs w:val="24"/>
              </w:rPr>
              <w:t>-0.513</w:t>
            </w:r>
          </w:p>
        </w:tc>
        <w:tc>
          <w:tcPr>
            <w:tcW w:w="605" w:type="pct"/>
            <w:tcBorders>
              <w:top w:val="nil"/>
              <w:bottom w:val="nil"/>
            </w:tcBorders>
            <w:shd w:val="clear" w:color="auto" w:fill="auto"/>
            <w:vAlign w:val="bottom"/>
          </w:tcPr>
          <w:p w14:paraId="06C6F64E" w14:textId="77777777" w:rsidR="005C3F88" w:rsidRPr="005772F1" w:rsidRDefault="005C3F88" w:rsidP="0058079D">
            <w:pPr>
              <w:jc w:val="center"/>
              <w:rPr>
                <w:rFonts w:ascii="Garamond" w:hAnsi="Garamond"/>
                <w:color w:val="000000"/>
                <w:szCs w:val="24"/>
              </w:rPr>
            </w:pPr>
            <w:r w:rsidRPr="005772F1">
              <w:rPr>
                <w:rFonts w:ascii="Garamond" w:hAnsi="Garamond"/>
                <w:color w:val="000000"/>
                <w:szCs w:val="24"/>
              </w:rPr>
              <w:t>0.348</w:t>
            </w:r>
          </w:p>
        </w:tc>
      </w:tr>
      <w:tr w:rsidR="005C3F88" w:rsidRPr="00E240AF" w14:paraId="3EFB046E" w14:textId="77777777" w:rsidTr="0058079D">
        <w:trPr>
          <w:trHeight w:val="20"/>
        </w:trPr>
        <w:tc>
          <w:tcPr>
            <w:tcW w:w="1563" w:type="pct"/>
            <w:vAlign w:val="center"/>
          </w:tcPr>
          <w:p w14:paraId="53A8A20D" w14:textId="77777777" w:rsidR="005C3F88" w:rsidRPr="00E240AF" w:rsidRDefault="005C3F88" w:rsidP="0058079D">
            <w:pPr>
              <w:snapToGrid w:val="0"/>
              <w:ind w:left="270"/>
              <w:rPr>
                <w:rFonts w:ascii="Garamond" w:hAnsi="Garamond"/>
                <w:color w:val="000000"/>
                <w:szCs w:val="24"/>
              </w:rPr>
            </w:pPr>
            <w:r w:rsidRPr="00E240AF">
              <w:rPr>
                <w:rFonts w:ascii="Garamond" w:hAnsi="Garamond"/>
                <w:color w:val="000000"/>
                <w:szCs w:val="24"/>
              </w:rPr>
              <w:t>Exchange new ideas</w:t>
            </w:r>
          </w:p>
        </w:tc>
        <w:tc>
          <w:tcPr>
            <w:tcW w:w="662" w:type="pct"/>
            <w:shd w:val="clear" w:color="auto" w:fill="auto"/>
            <w:vAlign w:val="center"/>
          </w:tcPr>
          <w:p w14:paraId="075DA2BE" w14:textId="77777777" w:rsidR="005C3F88" w:rsidRPr="00E240AF" w:rsidRDefault="005C3F88" w:rsidP="0058079D">
            <w:pPr>
              <w:ind w:left="360"/>
              <w:rPr>
                <w:rFonts w:ascii="Garamond" w:hAnsi="Garamond"/>
                <w:color w:val="000000"/>
                <w:szCs w:val="24"/>
              </w:rPr>
            </w:pPr>
            <w:r w:rsidRPr="00E240AF">
              <w:rPr>
                <w:rFonts w:ascii="Garamond" w:hAnsi="Garamond"/>
                <w:color w:val="000000"/>
                <w:szCs w:val="24"/>
              </w:rPr>
              <w:t>5.614*</w:t>
            </w:r>
          </w:p>
        </w:tc>
        <w:tc>
          <w:tcPr>
            <w:tcW w:w="425" w:type="pct"/>
            <w:shd w:val="clear" w:color="auto" w:fill="auto"/>
            <w:vAlign w:val="center"/>
          </w:tcPr>
          <w:p w14:paraId="2E391A95" w14:textId="77777777" w:rsidR="005C3F88" w:rsidRPr="00E240AF" w:rsidRDefault="005C3F88" w:rsidP="0058079D">
            <w:pPr>
              <w:jc w:val="center"/>
              <w:rPr>
                <w:rFonts w:ascii="Garamond" w:hAnsi="Garamond"/>
                <w:color w:val="000000"/>
                <w:szCs w:val="24"/>
              </w:rPr>
            </w:pPr>
            <w:r w:rsidRPr="00E240AF">
              <w:rPr>
                <w:rFonts w:ascii="Garamond" w:hAnsi="Garamond"/>
                <w:color w:val="000000"/>
                <w:szCs w:val="24"/>
              </w:rPr>
              <w:t>0.824</w:t>
            </w:r>
          </w:p>
        </w:tc>
        <w:tc>
          <w:tcPr>
            <w:tcW w:w="659" w:type="pct"/>
            <w:shd w:val="clear" w:color="auto" w:fill="auto"/>
            <w:vAlign w:val="bottom"/>
          </w:tcPr>
          <w:p w14:paraId="5FBD8B83" w14:textId="77777777" w:rsidR="005C3F88" w:rsidRPr="00E240AF" w:rsidRDefault="005C3F88" w:rsidP="0058079D">
            <w:pPr>
              <w:ind w:left="360"/>
              <w:rPr>
                <w:rFonts w:ascii="Garamond" w:hAnsi="Garamond"/>
                <w:color w:val="000000"/>
                <w:szCs w:val="24"/>
              </w:rPr>
            </w:pPr>
            <w:r w:rsidRPr="00E240AF">
              <w:rPr>
                <w:rFonts w:ascii="Garamond" w:hAnsi="Garamond"/>
                <w:color w:val="000000"/>
                <w:szCs w:val="24"/>
              </w:rPr>
              <w:t>4.230*</w:t>
            </w:r>
          </w:p>
        </w:tc>
        <w:tc>
          <w:tcPr>
            <w:tcW w:w="425" w:type="pct"/>
            <w:shd w:val="clear" w:color="auto" w:fill="auto"/>
            <w:vAlign w:val="center"/>
          </w:tcPr>
          <w:p w14:paraId="059E0213" w14:textId="77777777" w:rsidR="005C3F88" w:rsidRPr="00E240AF" w:rsidRDefault="005C3F88" w:rsidP="0058079D">
            <w:pPr>
              <w:jc w:val="center"/>
              <w:rPr>
                <w:rFonts w:ascii="Garamond" w:hAnsi="Garamond"/>
                <w:color w:val="000000"/>
                <w:szCs w:val="24"/>
              </w:rPr>
            </w:pPr>
            <w:r w:rsidRPr="00E240AF">
              <w:rPr>
                <w:rFonts w:ascii="Garamond" w:hAnsi="Garamond"/>
                <w:color w:val="000000"/>
                <w:szCs w:val="24"/>
              </w:rPr>
              <w:t>0.519</w:t>
            </w:r>
          </w:p>
        </w:tc>
        <w:tc>
          <w:tcPr>
            <w:tcW w:w="661" w:type="pct"/>
            <w:shd w:val="clear" w:color="auto" w:fill="auto"/>
            <w:vAlign w:val="bottom"/>
          </w:tcPr>
          <w:p w14:paraId="19C25272" w14:textId="77777777" w:rsidR="005C3F88" w:rsidRPr="005772F1" w:rsidRDefault="005C3F88" w:rsidP="0058079D">
            <w:pPr>
              <w:ind w:left="360"/>
              <w:rPr>
                <w:rFonts w:ascii="Garamond" w:hAnsi="Garamond"/>
                <w:color w:val="000000"/>
                <w:szCs w:val="24"/>
              </w:rPr>
            </w:pPr>
            <w:r w:rsidRPr="005772F1">
              <w:rPr>
                <w:rFonts w:ascii="Garamond" w:hAnsi="Garamond"/>
                <w:color w:val="000000"/>
                <w:szCs w:val="24"/>
              </w:rPr>
              <w:t>5.395*</w:t>
            </w:r>
          </w:p>
        </w:tc>
        <w:tc>
          <w:tcPr>
            <w:tcW w:w="605" w:type="pct"/>
            <w:tcBorders>
              <w:top w:val="nil"/>
              <w:bottom w:val="nil"/>
            </w:tcBorders>
            <w:shd w:val="clear" w:color="auto" w:fill="auto"/>
            <w:vAlign w:val="bottom"/>
          </w:tcPr>
          <w:p w14:paraId="4EE19417" w14:textId="77777777" w:rsidR="005C3F88" w:rsidRPr="005772F1" w:rsidRDefault="005C3F88" w:rsidP="0058079D">
            <w:pPr>
              <w:jc w:val="center"/>
              <w:rPr>
                <w:rFonts w:ascii="Garamond" w:hAnsi="Garamond"/>
                <w:color w:val="000000"/>
                <w:szCs w:val="24"/>
              </w:rPr>
            </w:pPr>
            <w:r w:rsidRPr="005772F1">
              <w:rPr>
                <w:rFonts w:ascii="Garamond" w:hAnsi="Garamond"/>
                <w:color w:val="000000"/>
                <w:szCs w:val="24"/>
              </w:rPr>
              <w:t>0.519</w:t>
            </w:r>
          </w:p>
        </w:tc>
      </w:tr>
      <w:tr w:rsidR="005C3F88" w:rsidRPr="00E240AF" w14:paraId="1E03359D" w14:textId="77777777" w:rsidTr="0058079D">
        <w:trPr>
          <w:trHeight w:val="20"/>
        </w:trPr>
        <w:tc>
          <w:tcPr>
            <w:tcW w:w="1563" w:type="pct"/>
          </w:tcPr>
          <w:p w14:paraId="3EE5D424" w14:textId="77777777" w:rsidR="005C3F88" w:rsidRPr="00E240AF" w:rsidRDefault="005C3F88" w:rsidP="0058079D">
            <w:pPr>
              <w:pStyle w:val="DarkList-Accent51"/>
              <w:snapToGrid w:val="0"/>
              <w:ind w:left="0"/>
              <w:contextualSpacing w:val="0"/>
              <w:rPr>
                <w:rFonts w:ascii="Garamond" w:hAnsi="Garamond"/>
                <w:bCs/>
              </w:rPr>
            </w:pPr>
            <w:r w:rsidRPr="00E240AF">
              <w:rPr>
                <w:rFonts w:ascii="Garamond" w:hAnsi="Garamond"/>
                <w:bCs/>
              </w:rPr>
              <w:t>Reciprocity covariates</w:t>
            </w:r>
          </w:p>
        </w:tc>
        <w:tc>
          <w:tcPr>
            <w:tcW w:w="662" w:type="pct"/>
            <w:shd w:val="clear" w:color="auto" w:fill="auto"/>
            <w:vAlign w:val="center"/>
          </w:tcPr>
          <w:p w14:paraId="12083D4D" w14:textId="77777777" w:rsidR="005C3F88" w:rsidRPr="00E240AF" w:rsidRDefault="005C3F88" w:rsidP="0058079D">
            <w:pPr>
              <w:snapToGrid w:val="0"/>
              <w:rPr>
                <w:rFonts w:ascii="Garamond" w:hAnsi="Garamond"/>
                <w:szCs w:val="24"/>
              </w:rPr>
            </w:pPr>
          </w:p>
        </w:tc>
        <w:tc>
          <w:tcPr>
            <w:tcW w:w="425" w:type="pct"/>
            <w:shd w:val="clear" w:color="auto" w:fill="auto"/>
            <w:vAlign w:val="center"/>
          </w:tcPr>
          <w:p w14:paraId="61246CBE" w14:textId="77777777" w:rsidR="005C3F88" w:rsidRPr="00E240AF" w:rsidRDefault="005C3F88" w:rsidP="0058079D">
            <w:pPr>
              <w:snapToGrid w:val="0"/>
              <w:jc w:val="center"/>
              <w:rPr>
                <w:rFonts w:ascii="Garamond" w:hAnsi="Garamond"/>
                <w:szCs w:val="24"/>
              </w:rPr>
            </w:pPr>
          </w:p>
        </w:tc>
        <w:tc>
          <w:tcPr>
            <w:tcW w:w="659" w:type="pct"/>
            <w:shd w:val="clear" w:color="auto" w:fill="auto"/>
            <w:vAlign w:val="center"/>
          </w:tcPr>
          <w:p w14:paraId="4D6C9096" w14:textId="77777777" w:rsidR="005C3F88" w:rsidRPr="00E240AF" w:rsidRDefault="005C3F88" w:rsidP="0058079D">
            <w:pPr>
              <w:snapToGrid w:val="0"/>
              <w:jc w:val="center"/>
              <w:rPr>
                <w:rFonts w:ascii="Garamond" w:hAnsi="Garamond"/>
                <w:szCs w:val="24"/>
              </w:rPr>
            </w:pPr>
          </w:p>
        </w:tc>
        <w:tc>
          <w:tcPr>
            <w:tcW w:w="425" w:type="pct"/>
            <w:shd w:val="clear" w:color="auto" w:fill="auto"/>
            <w:vAlign w:val="center"/>
          </w:tcPr>
          <w:p w14:paraId="58F3A2FB" w14:textId="77777777" w:rsidR="005C3F88" w:rsidRPr="00E240AF" w:rsidRDefault="005C3F88" w:rsidP="0058079D">
            <w:pPr>
              <w:snapToGrid w:val="0"/>
              <w:jc w:val="center"/>
              <w:rPr>
                <w:rFonts w:ascii="Garamond" w:hAnsi="Garamond"/>
                <w:szCs w:val="24"/>
              </w:rPr>
            </w:pPr>
          </w:p>
        </w:tc>
        <w:tc>
          <w:tcPr>
            <w:tcW w:w="661" w:type="pct"/>
            <w:shd w:val="clear" w:color="auto" w:fill="auto"/>
            <w:vAlign w:val="center"/>
          </w:tcPr>
          <w:p w14:paraId="15C064E2" w14:textId="77777777" w:rsidR="005C3F88" w:rsidRPr="005772F1" w:rsidRDefault="005C3F88" w:rsidP="0058079D">
            <w:pPr>
              <w:snapToGrid w:val="0"/>
              <w:jc w:val="center"/>
              <w:rPr>
                <w:rFonts w:ascii="Garamond" w:hAnsi="Garamond"/>
                <w:szCs w:val="24"/>
              </w:rPr>
            </w:pPr>
          </w:p>
        </w:tc>
        <w:tc>
          <w:tcPr>
            <w:tcW w:w="605" w:type="pct"/>
            <w:tcBorders>
              <w:top w:val="nil"/>
              <w:bottom w:val="nil"/>
            </w:tcBorders>
            <w:shd w:val="clear" w:color="auto" w:fill="auto"/>
            <w:vAlign w:val="center"/>
          </w:tcPr>
          <w:p w14:paraId="10EAE295" w14:textId="77777777" w:rsidR="005C3F88" w:rsidRPr="005772F1" w:rsidRDefault="005C3F88" w:rsidP="0058079D">
            <w:pPr>
              <w:jc w:val="center"/>
              <w:rPr>
                <w:rFonts w:ascii="Garamond" w:hAnsi="Garamond"/>
                <w:color w:val="000000"/>
                <w:szCs w:val="24"/>
              </w:rPr>
            </w:pPr>
          </w:p>
        </w:tc>
      </w:tr>
      <w:tr w:rsidR="005C3F88" w:rsidRPr="00E240AF" w14:paraId="4F245B00" w14:textId="77777777" w:rsidTr="0058079D">
        <w:trPr>
          <w:trHeight w:val="20"/>
        </w:trPr>
        <w:tc>
          <w:tcPr>
            <w:tcW w:w="1563" w:type="pct"/>
          </w:tcPr>
          <w:p w14:paraId="7C2C8672" w14:textId="77777777" w:rsidR="005C3F88" w:rsidRPr="00E240AF" w:rsidRDefault="005C3F88" w:rsidP="0058079D">
            <w:pPr>
              <w:snapToGrid w:val="0"/>
              <w:ind w:left="270"/>
              <w:rPr>
                <w:rFonts w:ascii="Garamond" w:hAnsi="Garamond"/>
                <w:color w:val="000000"/>
                <w:szCs w:val="24"/>
              </w:rPr>
            </w:pPr>
            <w:r w:rsidRPr="00E240AF">
              <w:rPr>
                <w:rFonts w:ascii="Garamond" w:hAnsi="Garamond"/>
                <w:color w:val="000000"/>
                <w:szCs w:val="24"/>
              </w:rPr>
              <w:t>Different gender</w:t>
            </w:r>
          </w:p>
        </w:tc>
        <w:tc>
          <w:tcPr>
            <w:tcW w:w="662" w:type="pct"/>
            <w:shd w:val="clear" w:color="auto" w:fill="auto"/>
            <w:vAlign w:val="center"/>
          </w:tcPr>
          <w:p w14:paraId="532ECF61" w14:textId="77777777" w:rsidR="005C3F88" w:rsidRPr="00E240AF" w:rsidRDefault="005C3F88" w:rsidP="0058079D">
            <w:pPr>
              <w:ind w:left="360"/>
              <w:rPr>
                <w:rFonts w:ascii="Garamond" w:hAnsi="Garamond"/>
                <w:color w:val="000000"/>
                <w:szCs w:val="24"/>
              </w:rPr>
            </w:pPr>
            <w:r w:rsidRPr="00E240AF">
              <w:rPr>
                <w:rFonts w:ascii="Garamond" w:hAnsi="Garamond"/>
                <w:color w:val="000000"/>
                <w:szCs w:val="24"/>
              </w:rPr>
              <w:t>0.814</w:t>
            </w:r>
          </w:p>
        </w:tc>
        <w:tc>
          <w:tcPr>
            <w:tcW w:w="425" w:type="pct"/>
            <w:shd w:val="clear" w:color="auto" w:fill="auto"/>
            <w:vAlign w:val="center"/>
          </w:tcPr>
          <w:p w14:paraId="45D6A1C4" w14:textId="77777777" w:rsidR="005C3F88" w:rsidRPr="00E240AF" w:rsidRDefault="005C3F88" w:rsidP="0058079D">
            <w:pPr>
              <w:jc w:val="center"/>
              <w:rPr>
                <w:rFonts w:ascii="Garamond" w:hAnsi="Garamond"/>
                <w:color w:val="000000"/>
                <w:szCs w:val="24"/>
              </w:rPr>
            </w:pPr>
            <w:r w:rsidRPr="00E240AF">
              <w:rPr>
                <w:rFonts w:ascii="Garamond" w:hAnsi="Garamond"/>
                <w:color w:val="000000"/>
                <w:szCs w:val="24"/>
              </w:rPr>
              <w:t>1.058</w:t>
            </w:r>
          </w:p>
        </w:tc>
        <w:tc>
          <w:tcPr>
            <w:tcW w:w="659" w:type="pct"/>
            <w:shd w:val="clear" w:color="auto" w:fill="auto"/>
            <w:vAlign w:val="bottom"/>
          </w:tcPr>
          <w:p w14:paraId="5608BAC3" w14:textId="77777777" w:rsidR="005C3F88" w:rsidRPr="00E240AF" w:rsidRDefault="005C3F88" w:rsidP="0058079D">
            <w:pPr>
              <w:ind w:left="360"/>
              <w:rPr>
                <w:rFonts w:ascii="Garamond" w:hAnsi="Garamond"/>
                <w:color w:val="000000"/>
                <w:kern w:val="0"/>
                <w:szCs w:val="24"/>
              </w:rPr>
            </w:pPr>
            <w:r w:rsidRPr="00E240AF">
              <w:rPr>
                <w:rFonts w:ascii="Garamond" w:hAnsi="Garamond"/>
                <w:color w:val="000000"/>
                <w:szCs w:val="24"/>
              </w:rPr>
              <w:t>0.123</w:t>
            </w:r>
          </w:p>
        </w:tc>
        <w:tc>
          <w:tcPr>
            <w:tcW w:w="425" w:type="pct"/>
            <w:shd w:val="clear" w:color="auto" w:fill="auto"/>
            <w:vAlign w:val="center"/>
          </w:tcPr>
          <w:p w14:paraId="27F1AD86" w14:textId="77777777" w:rsidR="005C3F88" w:rsidRPr="00E240AF" w:rsidRDefault="005C3F88" w:rsidP="0058079D">
            <w:pPr>
              <w:jc w:val="center"/>
              <w:rPr>
                <w:rFonts w:ascii="Garamond" w:hAnsi="Garamond"/>
                <w:color w:val="000000"/>
                <w:szCs w:val="24"/>
              </w:rPr>
            </w:pPr>
            <w:r w:rsidRPr="00E240AF">
              <w:rPr>
                <w:rFonts w:ascii="Garamond" w:hAnsi="Garamond"/>
                <w:color w:val="000000"/>
                <w:szCs w:val="24"/>
              </w:rPr>
              <w:t>0.799</w:t>
            </w:r>
          </w:p>
        </w:tc>
        <w:tc>
          <w:tcPr>
            <w:tcW w:w="661" w:type="pct"/>
            <w:shd w:val="clear" w:color="auto" w:fill="auto"/>
            <w:vAlign w:val="bottom"/>
          </w:tcPr>
          <w:p w14:paraId="7D9AA99E" w14:textId="77777777" w:rsidR="005C3F88" w:rsidRPr="005772F1" w:rsidRDefault="005C3F88" w:rsidP="0058079D">
            <w:pPr>
              <w:widowControl/>
              <w:ind w:left="288"/>
              <w:rPr>
                <w:rFonts w:ascii="Garamond" w:hAnsi="Garamond"/>
                <w:color w:val="000000"/>
                <w:szCs w:val="24"/>
              </w:rPr>
            </w:pPr>
            <w:r w:rsidRPr="005772F1">
              <w:rPr>
                <w:rFonts w:ascii="Garamond" w:hAnsi="Garamond"/>
                <w:color w:val="000000"/>
                <w:szCs w:val="24"/>
              </w:rPr>
              <w:t>-6.164*</w:t>
            </w:r>
          </w:p>
        </w:tc>
        <w:tc>
          <w:tcPr>
            <w:tcW w:w="605" w:type="pct"/>
            <w:tcBorders>
              <w:top w:val="nil"/>
              <w:bottom w:val="nil"/>
            </w:tcBorders>
            <w:shd w:val="clear" w:color="auto" w:fill="auto"/>
            <w:vAlign w:val="bottom"/>
          </w:tcPr>
          <w:p w14:paraId="316A1E97" w14:textId="77777777" w:rsidR="005C3F88" w:rsidRPr="005772F1" w:rsidRDefault="005C3F88" w:rsidP="0058079D">
            <w:pPr>
              <w:jc w:val="center"/>
              <w:rPr>
                <w:rFonts w:ascii="Garamond" w:hAnsi="Garamond"/>
                <w:color w:val="000000"/>
                <w:szCs w:val="24"/>
              </w:rPr>
            </w:pPr>
            <w:r w:rsidRPr="005772F1">
              <w:rPr>
                <w:rFonts w:ascii="Garamond" w:hAnsi="Garamond"/>
                <w:color w:val="000000"/>
                <w:szCs w:val="24"/>
              </w:rPr>
              <w:t>2.818</w:t>
            </w:r>
          </w:p>
        </w:tc>
      </w:tr>
      <w:tr w:rsidR="005C3F88" w:rsidRPr="00E240AF" w14:paraId="55CF8BBC" w14:textId="77777777" w:rsidTr="0058079D">
        <w:trPr>
          <w:trHeight w:val="20"/>
        </w:trPr>
        <w:tc>
          <w:tcPr>
            <w:tcW w:w="1563" w:type="pct"/>
          </w:tcPr>
          <w:p w14:paraId="40C3E82A" w14:textId="77777777" w:rsidR="005C3F88" w:rsidRPr="00E240AF" w:rsidRDefault="005C3F88" w:rsidP="0058079D">
            <w:pPr>
              <w:snapToGrid w:val="0"/>
              <w:ind w:left="270"/>
              <w:rPr>
                <w:rFonts w:ascii="Garamond" w:hAnsi="Garamond"/>
                <w:color w:val="000000"/>
                <w:szCs w:val="24"/>
              </w:rPr>
            </w:pPr>
            <w:r w:rsidRPr="00E240AF">
              <w:rPr>
                <w:rFonts w:ascii="Garamond" w:hAnsi="Garamond"/>
                <w:color w:val="000000"/>
                <w:szCs w:val="24"/>
              </w:rPr>
              <w:t xml:space="preserve">Different </w:t>
            </w:r>
            <w:r>
              <w:rPr>
                <w:rFonts w:ascii="Garamond" w:hAnsi="Garamond"/>
                <w:color w:val="000000"/>
                <w:szCs w:val="24"/>
              </w:rPr>
              <w:t>self-</w:t>
            </w:r>
            <w:r w:rsidRPr="00E240AF">
              <w:rPr>
                <w:rFonts w:ascii="Garamond" w:hAnsi="Garamond"/>
                <w:color w:val="000000"/>
                <w:szCs w:val="24"/>
              </w:rPr>
              <w:t>efficacy</w:t>
            </w:r>
          </w:p>
        </w:tc>
        <w:tc>
          <w:tcPr>
            <w:tcW w:w="662" w:type="pct"/>
            <w:shd w:val="clear" w:color="auto" w:fill="auto"/>
            <w:vAlign w:val="center"/>
          </w:tcPr>
          <w:p w14:paraId="36AE72F1" w14:textId="77777777" w:rsidR="005C3F88" w:rsidRPr="00E240AF" w:rsidRDefault="005C3F88" w:rsidP="0058079D">
            <w:pPr>
              <w:ind w:left="360"/>
              <w:rPr>
                <w:rFonts w:ascii="Garamond" w:hAnsi="Garamond"/>
                <w:color w:val="000000"/>
                <w:szCs w:val="24"/>
              </w:rPr>
            </w:pPr>
            <w:r w:rsidRPr="00E240AF">
              <w:rPr>
                <w:rFonts w:ascii="Garamond" w:hAnsi="Garamond"/>
                <w:color w:val="000000"/>
                <w:szCs w:val="24"/>
              </w:rPr>
              <w:t>0.098</w:t>
            </w:r>
          </w:p>
        </w:tc>
        <w:tc>
          <w:tcPr>
            <w:tcW w:w="425" w:type="pct"/>
            <w:shd w:val="clear" w:color="auto" w:fill="auto"/>
            <w:vAlign w:val="center"/>
          </w:tcPr>
          <w:p w14:paraId="5D7C5FAA" w14:textId="77777777" w:rsidR="005C3F88" w:rsidRPr="00E240AF" w:rsidRDefault="005C3F88" w:rsidP="0058079D">
            <w:pPr>
              <w:jc w:val="center"/>
              <w:rPr>
                <w:rFonts w:ascii="Garamond" w:hAnsi="Garamond"/>
                <w:color w:val="000000"/>
                <w:szCs w:val="24"/>
              </w:rPr>
            </w:pPr>
            <w:r w:rsidRPr="00E240AF">
              <w:rPr>
                <w:rFonts w:ascii="Garamond" w:hAnsi="Garamond"/>
                <w:color w:val="000000"/>
                <w:szCs w:val="24"/>
              </w:rPr>
              <w:t>0.737</w:t>
            </w:r>
          </w:p>
        </w:tc>
        <w:tc>
          <w:tcPr>
            <w:tcW w:w="659" w:type="pct"/>
            <w:shd w:val="clear" w:color="auto" w:fill="auto"/>
            <w:vAlign w:val="bottom"/>
          </w:tcPr>
          <w:p w14:paraId="076EEDFA" w14:textId="77777777" w:rsidR="005C3F88" w:rsidRPr="00E240AF" w:rsidRDefault="005C3F88" w:rsidP="0058079D">
            <w:pPr>
              <w:widowControl/>
              <w:ind w:left="288"/>
              <w:rPr>
                <w:rFonts w:ascii="Garamond" w:hAnsi="Garamond"/>
                <w:color w:val="000000"/>
                <w:szCs w:val="24"/>
              </w:rPr>
            </w:pPr>
            <w:r w:rsidRPr="00E240AF">
              <w:rPr>
                <w:rFonts w:ascii="Garamond" w:hAnsi="Garamond"/>
                <w:color w:val="000000"/>
                <w:szCs w:val="24"/>
              </w:rPr>
              <w:t>-0.371</w:t>
            </w:r>
          </w:p>
        </w:tc>
        <w:tc>
          <w:tcPr>
            <w:tcW w:w="425" w:type="pct"/>
            <w:shd w:val="clear" w:color="auto" w:fill="auto"/>
            <w:vAlign w:val="center"/>
          </w:tcPr>
          <w:p w14:paraId="45AC54E7" w14:textId="77777777" w:rsidR="005C3F88" w:rsidRPr="00E240AF" w:rsidRDefault="005C3F88" w:rsidP="0058079D">
            <w:pPr>
              <w:jc w:val="center"/>
              <w:rPr>
                <w:rFonts w:ascii="Garamond" w:hAnsi="Garamond"/>
                <w:color w:val="000000"/>
                <w:szCs w:val="24"/>
              </w:rPr>
            </w:pPr>
            <w:r w:rsidRPr="00E240AF">
              <w:rPr>
                <w:rFonts w:ascii="Garamond" w:hAnsi="Garamond"/>
                <w:color w:val="000000"/>
                <w:szCs w:val="24"/>
              </w:rPr>
              <w:t>0.321</w:t>
            </w:r>
          </w:p>
        </w:tc>
        <w:tc>
          <w:tcPr>
            <w:tcW w:w="661" w:type="pct"/>
            <w:shd w:val="clear" w:color="auto" w:fill="auto"/>
            <w:vAlign w:val="bottom"/>
          </w:tcPr>
          <w:p w14:paraId="7F420DE3" w14:textId="77777777" w:rsidR="005C3F88" w:rsidRPr="005772F1" w:rsidRDefault="005C3F88" w:rsidP="0058079D">
            <w:pPr>
              <w:ind w:left="360"/>
              <w:rPr>
                <w:rFonts w:ascii="Garamond" w:hAnsi="Garamond"/>
                <w:color w:val="000000"/>
                <w:szCs w:val="24"/>
              </w:rPr>
            </w:pPr>
            <w:r w:rsidRPr="005772F1">
              <w:rPr>
                <w:rFonts w:ascii="Garamond" w:hAnsi="Garamond"/>
                <w:color w:val="000000"/>
                <w:szCs w:val="24"/>
              </w:rPr>
              <w:t>2.221*</w:t>
            </w:r>
          </w:p>
        </w:tc>
        <w:tc>
          <w:tcPr>
            <w:tcW w:w="605" w:type="pct"/>
            <w:tcBorders>
              <w:top w:val="nil"/>
              <w:bottom w:val="nil"/>
            </w:tcBorders>
            <w:shd w:val="clear" w:color="auto" w:fill="auto"/>
            <w:vAlign w:val="bottom"/>
          </w:tcPr>
          <w:p w14:paraId="241BB3DB" w14:textId="77777777" w:rsidR="005C3F88" w:rsidRPr="005772F1" w:rsidRDefault="005C3F88" w:rsidP="0058079D">
            <w:pPr>
              <w:jc w:val="center"/>
              <w:rPr>
                <w:rFonts w:ascii="Garamond" w:hAnsi="Garamond"/>
                <w:color w:val="000000"/>
                <w:szCs w:val="24"/>
              </w:rPr>
            </w:pPr>
            <w:r w:rsidRPr="005772F1">
              <w:rPr>
                <w:rFonts w:ascii="Garamond" w:hAnsi="Garamond"/>
                <w:color w:val="000000"/>
                <w:szCs w:val="24"/>
              </w:rPr>
              <w:t>0.942</w:t>
            </w:r>
          </w:p>
        </w:tc>
      </w:tr>
      <w:tr w:rsidR="005C3F88" w:rsidRPr="00E240AF" w14:paraId="59F990FC" w14:textId="77777777" w:rsidTr="0058079D">
        <w:trPr>
          <w:trHeight w:val="20"/>
        </w:trPr>
        <w:tc>
          <w:tcPr>
            <w:tcW w:w="1563" w:type="pct"/>
          </w:tcPr>
          <w:p w14:paraId="16308776" w14:textId="77777777" w:rsidR="005C3F88" w:rsidRPr="00E240AF" w:rsidRDefault="005C3F88" w:rsidP="0058079D">
            <w:pPr>
              <w:snapToGrid w:val="0"/>
              <w:ind w:left="270"/>
              <w:rPr>
                <w:rFonts w:ascii="Garamond" w:hAnsi="Garamond"/>
                <w:color w:val="000000"/>
                <w:szCs w:val="24"/>
              </w:rPr>
            </w:pPr>
            <w:r w:rsidRPr="00E240AF">
              <w:rPr>
                <w:rFonts w:ascii="Garamond" w:hAnsi="Garamond"/>
                <w:color w:val="000000"/>
                <w:szCs w:val="24"/>
              </w:rPr>
              <w:t>Different</w:t>
            </w:r>
            <w:r>
              <w:rPr>
                <w:rFonts w:ascii="Garamond" w:hAnsi="Garamond"/>
                <w:color w:val="000000"/>
                <w:szCs w:val="24"/>
              </w:rPr>
              <w:t xml:space="preserve"> peer</w:t>
            </w:r>
            <w:r w:rsidRPr="00E240AF">
              <w:rPr>
                <w:rFonts w:ascii="Garamond" w:hAnsi="Garamond"/>
                <w:color w:val="000000"/>
                <w:szCs w:val="24"/>
              </w:rPr>
              <w:t xml:space="preserve"> trust</w:t>
            </w:r>
          </w:p>
        </w:tc>
        <w:tc>
          <w:tcPr>
            <w:tcW w:w="662" w:type="pct"/>
            <w:shd w:val="clear" w:color="auto" w:fill="auto"/>
            <w:vAlign w:val="center"/>
          </w:tcPr>
          <w:p w14:paraId="5EC97D60" w14:textId="77777777" w:rsidR="005C3F88" w:rsidRPr="00E240AF" w:rsidRDefault="005C3F88" w:rsidP="0058079D">
            <w:pPr>
              <w:ind w:left="360"/>
              <w:rPr>
                <w:rFonts w:ascii="Garamond" w:hAnsi="Garamond"/>
                <w:color w:val="000000"/>
                <w:szCs w:val="24"/>
              </w:rPr>
            </w:pPr>
            <w:r w:rsidRPr="00E240AF">
              <w:rPr>
                <w:rFonts w:ascii="Garamond" w:hAnsi="Garamond"/>
                <w:color w:val="000000"/>
                <w:szCs w:val="24"/>
              </w:rPr>
              <w:t>0.843*</w:t>
            </w:r>
          </w:p>
        </w:tc>
        <w:tc>
          <w:tcPr>
            <w:tcW w:w="425" w:type="pct"/>
            <w:shd w:val="clear" w:color="auto" w:fill="auto"/>
            <w:vAlign w:val="center"/>
          </w:tcPr>
          <w:p w14:paraId="72DBBEF6" w14:textId="77777777" w:rsidR="005C3F88" w:rsidRPr="00E240AF" w:rsidRDefault="005C3F88" w:rsidP="0058079D">
            <w:pPr>
              <w:jc w:val="center"/>
              <w:rPr>
                <w:rFonts w:ascii="Garamond" w:hAnsi="Garamond"/>
                <w:color w:val="000000"/>
                <w:szCs w:val="24"/>
              </w:rPr>
            </w:pPr>
            <w:r w:rsidRPr="00E240AF">
              <w:rPr>
                <w:rFonts w:ascii="Garamond" w:hAnsi="Garamond"/>
                <w:color w:val="000000"/>
                <w:szCs w:val="24"/>
              </w:rPr>
              <w:t>0.421</w:t>
            </w:r>
          </w:p>
        </w:tc>
        <w:tc>
          <w:tcPr>
            <w:tcW w:w="659" w:type="pct"/>
            <w:shd w:val="clear" w:color="auto" w:fill="auto"/>
            <w:vAlign w:val="bottom"/>
          </w:tcPr>
          <w:p w14:paraId="7339E391" w14:textId="77777777" w:rsidR="005C3F88" w:rsidRPr="00E240AF" w:rsidRDefault="005C3F88" w:rsidP="0058079D">
            <w:pPr>
              <w:widowControl/>
              <w:ind w:left="288"/>
              <w:rPr>
                <w:rFonts w:ascii="Garamond" w:hAnsi="Garamond"/>
                <w:color w:val="000000"/>
                <w:szCs w:val="24"/>
              </w:rPr>
            </w:pPr>
            <w:r w:rsidRPr="00E240AF">
              <w:rPr>
                <w:rFonts w:ascii="Garamond" w:hAnsi="Garamond"/>
                <w:color w:val="000000"/>
                <w:szCs w:val="24"/>
              </w:rPr>
              <w:t>-0.023</w:t>
            </w:r>
          </w:p>
        </w:tc>
        <w:tc>
          <w:tcPr>
            <w:tcW w:w="425" w:type="pct"/>
            <w:shd w:val="clear" w:color="auto" w:fill="auto"/>
            <w:vAlign w:val="center"/>
          </w:tcPr>
          <w:p w14:paraId="0EDC29CA" w14:textId="77777777" w:rsidR="005C3F88" w:rsidRPr="00E240AF" w:rsidRDefault="005C3F88" w:rsidP="0058079D">
            <w:pPr>
              <w:jc w:val="center"/>
              <w:rPr>
                <w:rFonts w:ascii="Garamond" w:hAnsi="Garamond"/>
                <w:color w:val="000000"/>
                <w:szCs w:val="24"/>
              </w:rPr>
            </w:pPr>
            <w:r w:rsidRPr="00E240AF">
              <w:rPr>
                <w:rFonts w:ascii="Garamond" w:hAnsi="Garamond"/>
                <w:color w:val="000000"/>
                <w:szCs w:val="24"/>
              </w:rPr>
              <w:t>0.334</w:t>
            </w:r>
          </w:p>
        </w:tc>
        <w:tc>
          <w:tcPr>
            <w:tcW w:w="661" w:type="pct"/>
            <w:shd w:val="clear" w:color="auto" w:fill="auto"/>
            <w:vAlign w:val="bottom"/>
          </w:tcPr>
          <w:p w14:paraId="2F3BE474" w14:textId="77777777" w:rsidR="005C3F88" w:rsidRPr="005772F1" w:rsidRDefault="005C3F88" w:rsidP="0058079D">
            <w:pPr>
              <w:ind w:left="360"/>
              <w:rPr>
                <w:rFonts w:ascii="Garamond" w:hAnsi="Garamond"/>
                <w:color w:val="000000"/>
                <w:szCs w:val="24"/>
              </w:rPr>
            </w:pPr>
            <w:r w:rsidRPr="005772F1">
              <w:rPr>
                <w:rFonts w:ascii="Garamond" w:hAnsi="Garamond"/>
                <w:color w:val="000000"/>
                <w:szCs w:val="24"/>
              </w:rPr>
              <w:t>0.861</w:t>
            </w:r>
          </w:p>
        </w:tc>
        <w:tc>
          <w:tcPr>
            <w:tcW w:w="605" w:type="pct"/>
            <w:tcBorders>
              <w:top w:val="nil"/>
              <w:bottom w:val="nil"/>
            </w:tcBorders>
            <w:shd w:val="clear" w:color="auto" w:fill="auto"/>
            <w:vAlign w:val="bottom"/>
          </w:tcPr>
          <w:p w14:paraId="27B80737" w14:textId="77777777" w:rsidR="005C3F88" w:rsidRPr="005772F1" w:rsidRDefault="005C3F88" w:rsidP="0058079D">
            <w:pPr>
              <w:jc w:val="center"/>
              <w:rPr>
                <w:rFonts w:ascii="Garamond" w:hAnsi="Garamond"/>
                <w:color w:val="000000"/>
                <w:szCs w:val="24"/>
              </w:rPr>
            </w:pPr>
            <w:r w:rsidRPr="005772F1">
              <w:rPr>
                <w:rFonts w:ascii="Garamond" w:hAnsi="Garamond"/>
                <w:color w:val="000000"/>
                <w:szCs w:val="24"/>
              </w:rPr>
              <w:t>1.114</w:t>
            </w:r>
          </w:p>
        </w:tc>
      </w:tr>
      <w:tr w:rsidR="005C3F88" w:rsidRPr="00E240AF" w14:paraId="080FB69D" w14:textId="77777777" w:rsidTr="0058079D">
        <w:trPr>
          <w:trHeight w:val="20"/>
        </w:trPr>
        <w:tc>
          <w:tcPr>
            <w:tcW w:w="1563" w:type="pct"/>
          </w:tcPr>
          <w:p w14:paraId="563C02BD" w14:textId="77777777" w:rsidR="005C3F88" w:rsidRPr="00E240AF" w:rsidRDefault="005C3F88" w:rsidP="0058079D">
            <w:pPr>
              <w:snapToGrid w:val="0"/>
              <w:ind w:left="270"/>
              <w:rPr>
                <w:rFonts w:ascii="Garamond" w:hAnsi="Garamond"/>
                <w:color w:val="000000"/>
                <w:szCs w:val="24"/>
              </w:rPr>
            </w:pPr>
            <w:r w:rsidRPr="00E240AF">
              <w:rPr>
                <w:rFonts w:ascii="Garamond" w:hAnsi="Garamond"/>
                <w:color w:val="000000"/>
                <w:szCs w:val="24"/>
              </w:rPr>
              <w:t>Exchange new ideas</w:t>
            </w:r>
          </w:p>
        </w:tc>
        <w:tc>
          <w:tcPr>
            <w:tcW w:w="662" w:type="pct"/>
            <w:shd w:val="clear" w:color="auto" w:fill="auto"/>
            <w:vAlign w:val="center"/>
          </w:tcPr>
          <w:p w14:paraId="5741FBC7" w14:textId="77777777" w:rsidR="005C3F88" w:rsidRPr="00E240AF" w:rsidRDefault="005C3F88" w:rsidP="0058079D">
            <w:pPr>
              <w:widowControl/>
              <w:ind w:left="288"/>
              <w:rPr>
                <w:rFonts w:ascii="Garamond" w:hAnsi="Garamond"/>
                <w:color w:val="000000"/>
                <w:szCs w:val="24"/>
              </w:rPr>
            </w:pPr>
            <w:r w:rsidRPr="00E240AF">
              <w:rPr>
                <w:rFonts w:ascii="Garamond" w:hAnsi="Garamond"/>
                <w:color w:val="000000"/>
                <w:szCs w:val="24"/>
              </w:rPr>
              <w:t>-2.041</w:t>
            </w:r>
          </w:p>
        </w:tc>
        <w:tc>
          <w:tcPr>
            <w:tcW w:w="425" w:type="pct"/>
            <w:shd w:val="clear" w:color="auto" w:fill="auto"/>
            <w:vAlign w:val="center"/>
          </w:tcPr>
          <w:p w14:paraId="1964E972" w14:textId="77777777" w:rsidR="005C3F88" w:rsidRPr="00E240AF" w:rsidRDefault="005C3F88" w:rsidP="0058079D">
            <w:pPr>
              <w:jc w:val="center"/>
              <w:rPr>
                <w:rFonts w:ascii="Garamond" w:hAnsi="Garamond"/>
                <w:color w:val="000000"/>
                <w:szCs w:val="24"/>
              </w:rPr>
            </w:pPr>
            <w:r w:rsidRPr="00E240AF">
              <w:rPr>
                <w:rFonts w:ascii="Garamond" w:hAnsi="Garamond"/>
                <w:color w:val="000000"/>
                <w:szCs w:val="24"/>
              </w:rPr>
              <w:t>1.971</w:t>
            </w:r>
          </w:p>
        </w:tc>
        <w:tc>
          <w:tcPr>
            <w:tcW w:w="659" w:type="pct"/>
            <w:shd w:val="clear" w:color="auto" w:fill="auto"/>
            <w:vAlign w:val="bottom"/>
          </w:tcPr>
          <w:p w14:paraId="4F5C8052" w14:textId="77777777" w:rsidR="005C3F88" w:rsidRPr="00E240AF" w:rsidRDefault="005C3F88" w:rsidP="0058079D">
            <w:pPr>
              <w:widowControl/>
              <w:ind w:left="288"/>
              <w:rPr>
                <w:rFonts w:ascii="Garamond" w:hAnsi="Garamond"/>
                <w:color w:val="000000"/>
                <w:szCs w:val="24"/>
              </w:rPr>
            </w:pPr>
            <w:r w:rsidRPr="00E240AF">
              <w:rPr>
                <w:rFonts w:ascii="Garamond" w:hAnsi="Garamond"/>
                <w:color w:val="000000"/>
                <w:szCs w:val="24"/>
              </w:rPr>
              <w:t>-0.116</w:t>
            </w:r>
          </w:p>
        </w:tc>
        <w:tc>
          <w:tcPr>
            <w:tcW w:w="425" w:type="pct"/>
            <w:shd w:val="clear" w:color="auto" w:fill="auto"/>
            <w:vAlign w:val="center"/>
          </w:tcPr>
          <w:p w14:paraId="2AB3B5B0" w14:textId="77777777" w:rsidR="005C3F88" w:rsidRPr="00E240AF" w:rsidRDefault="005C3F88" w:rsidP="0058079D">
            <w:pPr>
              <w:jc w:val="center"/>
              <w:rPr>
                <w:rFonts w:ascii="Garamond" w:hAnsi="Garamond"/>
                <w:color w:val="000000"/>
                <w:szCs w:val="24"/>
              </w:rPr>
            </w:pPr>
            <w:r w:rsidRPr="00E240AF">
              <w:rPr>
                <w:rFonts w:ascii="Garamond" w:hAnsi="Garamond"/>
                <w:color w:val="000000"/>
                <w:szCs w:val="24"/>
              </w:rPr>
              <w:t>0.844</w:t>
            </w:r>
          </w:p>
        </w:tc>
        <w:tc>
          <w:tcPr>
            <w:tcW w:w="661" w:type="pct"/>
            <w:shd w:val="clear" w:color="auto" w:fill="auto"/>
            <w:vAlign w:val="bottom"/>
          </w:tcPr>
          <w:p w14:paraId="4B4DE9FE" w14:textId="77777777" w:rsidR="005C3F88" w:rsidRPr="005772F1" w:rsidRDefault="005C3F88" w:rsidP="0058079D">
            <w:pPr>
              <w:widowControl/>
              <w:ind w:left="288"/>
              <w:rPr>
                <w:rFonts w:ascii="Garamond" w:hAnsi="Garamond"/>
                <w:color w:val="000000"/>
                <w:szCs w:val="24"/>
              </w:rPr>
            </w:pPr>
            <w:r w:rsidRPr="005772F1">
              <w:rPr>
                <w:rFonts w:ascii="Garamond" w:hAnsi="Garamond"/>
                <w:color w:val="000000"/>
                <w:szCs w:val="24"/>
              </w:rPr>
              <w:t>-1.962</w:t>
            </w:r>
          </w:p>
        </w:tc>
        <w:tc>
          <w:tcPr>
            <w:tcW w:w="605" w:type="pct"/>
            <w:tcBorders>
              <w:top w:val="nil"/>
              <w:bottom w:val="nil"/>
            </w:tcBorders>
            <w:shd w:val="clear" w:color="auto" w:fill="auto"/>
            <w:vAlign w:val="bottom"/>
          </w:tcPr>
          <w:p w14:paraId="071692F0" w14:textId="77777777" w:rsidR="005C3F88" w:rsidRPr="005772F1" w:rsidRDefault="005C3F88" w:rsidP="0058079D">
            <w:pPr>
              <w:jc w:val="center"/>
              <w:rPr>
                <w:rFonts w:ascii="Garamond" w:hAnsi="Garamond"/>
                <w:color w:val="000000"/>
                <w:szCs w:val="24"/>
              </w:rPr>
            </w:pPr>
            <w:r w:rsidRPr="005772F1">
              <w:rPr>
                <w:rFonts w:ascii="Garamond" w:hAnsi="Garamond"/>
                <w:color w:val="000000"/>
                <w:szCs w:val="24"/>
              </w:rPr>
              <w:t>1.833</w:t>
            </w:r>
          </w:p>
        </w:tc>
      </w:tr>
      <w:tr w:rsidR="005C3F88" w:rsidRPr="00D63A74" w14:paraId="22307A49" w14:textId="77777777" w:rsidTr="0058079D">
        <w:trPr>
          <w:trHeight w:val="20"/>
        </w:trPr>
        <w:tc>
          <w:tcPr>
            <w:tcW w:w="1563" w:type="pct"/>
            <w:vAlign w:val="center"/>
          </w:tcPr>
          <w:p w14:paraId="5DDD6C11" w14:textId="77777777" w:rsidR="005C3F88" w:rsidRPr="00D63A74" w:rsidRDefault="005C3F88" w:rsidP="0058079D">
            <w:pPr>
              <w:pStyle w:val="DarkList-Accent51"/>
              <w:snapToGrid w:val="0"/>
              <w:ind w:left="0"/>
              <w:contextualSpacing w:val="0"/>
              <w:rPr>
                <w:rFonts w:ascii="Garamond" w:hAnsi="Garamond"/>
                <w:bCs/>
              </w:rPr>
            </w:pPr>
            <w:r w:rsidRPr="00E240AF">
              <w:rPr>
                <w:rFonts w:ascii="Garamond" w:hAnsi="Garamond"/>
                <w:bCs/>
              </w:rPr>
              <w:t>Random effects</w:t>
            </w:r>
          </w:p>
        </w:tc>
        <w:tc>
          <w:tcPr>
            <w:tcW w:w="662" w:type="pct"/>
            <w:shd w:val="clear" w:color="auto" w:fill="auto"/>
            <w:vAlign w:val="center"/>
          </w:tcPr>
          <w:p w14:paraId="1287A983" w14:textId="77777777" w:rsidR="005C3F88" w:rsidRPr="00D63A74" w:rsidRDefault="005C3F88" w:rsidP="0058079D">
            <w:pPr>
              <w:snapToGrid w:val="0"/>
              <w:rPr>
                <w:rFonts w:ascii="Garamond" w:hAnsi="Garamond"/>
                <w:szCs w:val="24"/>
                <w:u w:val="single"/>
              </w:rPr>
            </w:pPr>
          </w:p>
        </w:tc>
        <w:tc>
          <w:tcPr>
            <w:tcW w:w="425" w:type="pct"/>
            <w:shd w:val="clear" w:color="auto" w:fill="auto"/>
            <w:vAlign w:val="center"/>
          </w:tcPr>
          <w:p w14:paraId="797EB830" w14:textId="77777777" w:rsidR="005C3F88" w:rsidRPr="00D63A74" w:rsidRDefault="005C3F88" w:rsidP="0058079D">
            <w:pPr>
              <w:snapToGrid w:val="0"/>
              <w:jc w:val="center"/>
              <w:rPr>
                <w:rFonts w:ascii="Garamond" w:hAnsi="Garamond"/>
                <w:szCs w:val="24"/>
                <w:u w:val="single"/>
              </w:rPr>
            </w:pPr>
          </w:p>
        </w:tc>
        <w:tc>
          <w:tcPr>
            <w:tcW w:w="659" w:type="pct"/>
            <w:shd w:val="clear" w:color="auto" w:fill="auto"/>
            <w:vAlign w:val="center"/>
          </w:tcPr>
          <w:p w14:paraId="0D6D1316" w14:textId="77777777" w:rsidR="005C3F88" w:rsidRPr="00D63A74" w:rsidRDefault="005C3F88" w:rsidP="0058079D">
            <w:pPr>
              <w:snapToGrid w:val="0"/>
              <w:jc w:val="center"/>
              <w:rPr>
                <w:rFonts w:ascii="Garamond" w:hAnsi="Garamond"/>
                <w:szCs w:val="24"/>
              </w:rPr>
            </w:pPr>
          </w:p>
        </w:tc>
        <w:tc>
          <w:tcPr>
            <w:tcW w:w="425" w:type="pct"/>
            <w:shd w:val="clear" w:color="auto" w:fill="auto"/>
            <w:vAlign w:val="center"/>
          </w:tcPr>
          <w:p w14:paraId="2C81DA08" w14:textId="77777777" w:rsidR="005C3F88" w:rsidRPr="00E240AF" w:rsidRDefault="005C3F88" w:rsidP="0058079D">
            <w:pPr>
              <w:snapToGrid w:val="0"/>
              <w:jc w:val="center"/>
              <w:rPr>
                <w:rFonts w:ascii="Garamond" w:hAnsi="Garamond"/>
                <w:szCs w:val="24"/>
              </w:rPr>
            </w:pPr>
          </w:p>
        </w:tc>
        <w:tc>
          <w:tcPr>
            <w:tcW w:w="661" w:type="pct"/>
            <w:shd w:val="clear" w:color="auto" w:fill="auto"/>
            <w:vAlign w:val="center"/>
          </w:tcPr>
          <w:p w14:paraId="0C9630BD" w14:textId="77777777" w:rsidR="005C3F88" w:rsidRPr="005772F1" w:rsidRDefault="005C3F88" w:rsidP="0058079D">
            <w:pPr>
              <w:snapToGrid w:val="0"/>
              <w:jc w:val="center"/>
              <w:rPr>
                <w:rFonts w:ascii="Garamond" w:hAnsi="Garamond"/>
                <w:szCs w:val="24"/>
              </w:rPr>
            </w:pPr>
          </w:p>
        </w:tc>
        <w:tc>
          <w:tcPr>
            <w:tcW w:w="605" w:type="pct"/>
            <w:tcBorders>
              <w:top w:val="nil"/>
            </w:tcBorders>
            <w:shd w:val="clear" w:color="auto" w:fill="auto"/>
            <w:vAlign w:val="center"/>
          </w:tcPr>
          <w:p w14:paraId="78D86F3D" w14:textId="77777777" w:rsidR="005C3F88" w:rsidRPr="005772F1" w:rsidRDefault="005C3F88" w:rsidP="0058079D">
            <w:pPr>
              <w:jc w:val="center"/>
              <w:rPr>
                <w:rFonts w:ascii="Garamond" w:hAnsi="Garamond"/>
                <w:color w:val="000000"/>
                <w:szCs w:val="24"/>
              </w:rPr>
            </w:pPr>
          </w:p>
        </w:tc>
      </w:tr>
      <w:tr w:rsidR="005C3F88" w:rsidRPr="00D63A74" w14:paraId="61DD699D" w14:textId="77777777" w:rsidTr="0058079D">
        <w:trPr>
          <w:trHeight w:val="20"/>
        </w:trPr>
        <w:tc>
          <w:tcPr>
            <w:tcW w:w="1563" w:type="pct"/>
            <w:vAlign w:val="center"/>
          </w:tcPr>
          <w:p w14:paraId="38D01790" w14:textId="77777777" w:rsidR="005C3F88" w:rsidRPr="00D63A74" w:rsidRDefault="005C3F88" w:rsidP="0058079D">
            <w:pPr>
              <w:snapToGrid w:val="0"/>
              <w:ind w:left="270"/>
              <w:rPr>
                <w:rFonts w:ascii="Garamond" w:hAnsi="Garamond"/>
                <w:color w:val="000000"/>
                <w:szCs w:val="24"/>
              </w:rPr>
            </w:pPr>
            <w:r w:rsidRPr="00D63A74">
              <w:rPr>
                <w:rFonts w:ascii="Garamond" w:hAnsi="Garamond"/>
                <w:color w:val="000000"/>
                <w:szCs w:val="24"/>
              </w:rPr>
              <w:t>Sender variance</w:t>
            </w:r>
          </w:p>
        </w:tc>
        <w:tc>
          <w:tcPr>
            <w:tcW w:w="662" w:type="pct"/>
            <w:shd w:val="clear" w:color="auto" w:fill="auto"/>
            <w:vAlign w:val="center"/>
          </w:tcPr>
          <w:p w14:paraId="2224CF5F" w14:textId="77777777" w:rsidR="005C3F88" w:rsidRPr="000D16A6" w:rsidRDefault="005C3F88" w:rsidP="0058079D">
            <w:pPr>
              <w:ind w:left="360"/>
              <w:rPr>
                <w:rFonts w:ascii="Garamond" w:hAnsi="Garamond"/>
                <w:color w:val="000000"/>
                <w:szCs w:val="24"/>
              </w:rPr>
            </w:pPr>
            <w:r w:rsidRPr="00D63A74">
              <w:rPr>
                <w:rFonts w:ascii="Garamond" w:hAnsi="Garamond"/>
                <w:color w:val="000000"/>
                <w:szCs w:val="24"/>
              </w:rPr>
              <w:t>0.603</w:t>
            </w:r>
          </w:p>
        </w:tc>
        <w:tc>
          <w:tcPr>
            <w:tcW w:w="425" w:type="pct"/>
            <w:shd w:val="clear" w:color="auto" w:fill="auto"/>
            <w:vAlign w:val="center"/>
          </w:tcPr>
          <w:p w14:paraId="7934441A" w14:textId="77777777" w:rsidR="005C3F88" w:rsidRPr="00E240AF" w:rsidRDefault="005C3F88" w:rsidP="0058079D">
            <w:pPr>
              <w:jc w:val="center"/>
              <w:rPr>
                <w:rFonts w:ascii="Garamond" w:hAnsi="Garamond"/>
                <w:color w:val="000000"/>
                <w:szCs w:val="24"/>
              </w:rPr>
            </w:pPr>
            <w:r w:rsidRPr="00E240AF">
              <w:rPr>
                <w:rFonts w:ascii="Garamond" w:hAnsi="Garamond"/>
                <w:color w:val="000000"/>
                <w:szCs w:val="24"/>
              </w:rPr>
              <w:t>0.430</w:t>
            </w:r>
          </w:p>
        </w:tc>
        <w:tc>
          <w:tcPr>
            <w:tcW w:w="659" w:type="pct"/>
            <w:shd w:val="clear" w:color="auto" w:fill="auto"/>
            <w:vAlign w:val="bottom"/>
          </w:tcPr>
          <w:p w14:paraId="65259C6B" w14:textId="77777777" w:rsidR="005C3F88" w:rsidRPr="00E240AF" w:rsidRDefault="005C3F88" w:rsidP="0058079D">
            <w:pPr>
              <w:ind w:left="360"/>
              <w:rPr>
                <w:rFonts w:ascii="Garamond" w:hAnsi="Garamond"/>
                <w:color w:val="000000"/>
                <w:szCs w:val="24"/>
              </w:rPr>
            </w:pPr>
            <w:r w:rsidRPr="00E240AF">
              <w:rPr>
                <w:rFonts w:ascii="Garamond" w:hAnsi="Garamond"/>
                <w:color w:val="000000"/>
                <w:szCs w:val="24"/>
              </w:rPr>
              <w:t>2.063</w:t>
            </w:r>
            <w:r>
              <w:rPr>
                <w:rFonts w:ascii="Garamond" w:hAnsi="Garamond"/>
                <w:color w:val="000000"/>
                <w:szCs w:val="24"/>
              </w:rPr>
              <w:t>*</w:t>
            </w:r>
          </w:p>
        </w:tc>
        <w:tc>
          <w:tcPr>
            <w:tcW w:w="425" w:type="pct"/>
            <w:shd w:val="clear" w:color="auto" w:fill="auto"/>
            <w:vAlign w:val="center"/>
          </w:tcPr>
          <w:p w14:paraId="6EEEA230" w14:textId="77777777" w:rsidR="005C3F88" w:rsidRPr="00E240AF" w:rsidRDefault="005C3F88" w:rsidP="0058079D">
            <w:pPr>
              <w:jc w:val="center"/>
              <w:rPr>
                <w:rFonts w:ascii="Garamond" w:hAnsi="Garamond"/>
                <w:color w:val="000000"/>
                <w:szCs w:val="24"/>
              </w:rPr>
            </w:pPr>
            <w:r w:rsidRPr="00E240AF">
              <w:rPr>
                <w:rFonts w:ascii="Garamond" w:hAnsi="Garamond"/>
                <w:color w:val="000000"/>
                <w:szCs w:val="24"/>
              </w:rPr>
              <w:t>0.711</w:t>
            </w:r>
          </w:p>
        </w:tc>
        <w:tc>
          <w:tcPr>
            <w:tcW w:w="661" w:type="pct"/>
            <w:shd w:val="clear" w:color="auto" w:fill="auto"/>
            <w:vAlign w:val="bottom"/>
          </w:tcPr>
          <w:p w14:paraId="53D10C2A" w14:textId="77777777" w:rsidR="005C3F88" w:rsidRPr="005772F1" w:rsidRDefault="005C3F88" w:rsidP="0058079D">
            <w:pPr>
              <w:ind w:left="360"/>
              <w:rPr>
                <w:rFonts w:ascii="Garamond" w:hAnsi="Garamond"/>
                <w:color w:val="000000"/>
                <w:szCs w:val="24"/>
              </w:rPr>
            </w:pPr>
            <w:r w:rsidRPr="005772F1">
              <w:rPr>
                <w:rFonts w:ascii="Garamond" w:hAnsi="Garamond"/>
                <w:color w:val="000000"/>
                <w:szCs w:val="24"/>
              </w:rPr>
              <w:t>3.204</w:t>
            </w:r>
            <w:r>
              <w:rPr>
                <w:rFonts w:ascii="Garamond" w:hAnsi="Garamond"/>
                <w:color w:val="000000"/>
                <w:szCs w:val="24"/>
              </w:rPr>
              <w:t>*</w:t>
            </w:r>
          </w:p>
        </w:tc>
        <w:tc>
          <w:tcPr>
            <w:tcW w:w="605" w:type="pct"/>
            <w:shd w:val="clear" w:color="auto" w:fill="auto"/>
            <w:vAlign w:val="bottom"/>
          </w:tcPr>
          <w:p w14:paraId="15CC837F" w14:textId="77777777" w:rsidR="005C3F88" w:rsidRPr="005772F1" w:rsidRDefault="005C3F88" w:rsidP="0058079D">
            <w:pPr>
              <w:jc w:val="center"/>
              <w:rPr>
                <w:rFonts w:ascii="Garamond" w:hAnsi="Garamond"/>
                <w:color w:val="000000"/>
                <w:szCs w:val="24"/>
              </w:rPr>
            </w:pPr>
            <w:r w:rsidRPr="005772F1">
              <w:rPr>
                <w:rFonts w:ascii="Garamond" w:hAnsi="Garamond"/>
                <w:color w:val="000000"/>
                <w:szCs w:val="24"/>
              </w:rPr>
              <w:t>1.625</w:t>
            </w:r>
          </w:p>
        </w:tc>
      </w:tr>
      <w:tr w:rsidR="005C3F88" w:rsidRPr="00D63A74" w14:paraId="2AECC519" w14:textId="77777777" w:rsidTr="0058079D">
        <w:trPr>
          <w:trHeight w:val="20"/>
        </w:trPr>
        <w:tc>
          <w:tcPr>
            <w:tcW w:w="1563" w:type="pct"/>
            <w:vAlign w:val="center"/>
          </w:tcPr>
          <w:p w14:paraId="06299B02" w14:textId="77777777" w:rsidR="005C3F88" w:rsidRPr="00D63A74" w:rsidRDefault="005C3F88" w:rsidP="0058079D">
            <w:pPr>
              <w:snapToGrid w:val="0"/>
              <w:ind w:left="270"/>
              <w:rPr>
                <w:rFonts w:ascii="Garamond" w:hAnsi="Garamond"/>
                <w:color w:val="000000"/>
                <w:szCs w:val="24"/>
              </w:rPr>
            </w:pPr>
            <w:r w:rsidRPr="00D63A74">
              <w:rPr>
                <w:rFonts w:ascii="Garamond" w:hAnsi="Garamond"/>
                <w:color w:val="000000"/>
                <w:szCs w:val="24"/>
              </w:rPr>
              <w:t>Receiver variance</w:t>
            </w:r>
          </w:p>
        </w:tc>
        <w:tc>
          <w:tcPr>
            <w:tcW w:w="662" w:type="pct"/>
            <w:vAlign w:val="center"/>
          </w:tcPr>
          <w:p w14:paraId="052C4F95" w14:textId="77777777" w:rsidR="005C3F88" w:rsidRPr="00D63A74" w:rsidRDefault="005C3F88" w:rsidP="0058079D">
            <w:pPr>
              <w:ind w:left="360"/>
              <w:rPr>
                <w:rFonts w:ascii="Garamond" w:hAnsi="Garamond"/>
                <w:color w:val="000000"/>
                <w:szCs w:val="24"/>
              </w:rPr>
            </w:pPr>
            <w:r w:rsidRPr="00D63A74">
              <w:rPr>
                <w:rFonts w:ascii="Garamond" w:hAnsi="Garamond"/>
                <w:color w:val="000000"/>
                <w:szCs w:val="24"/>
              </w:rPr>
              <w:t>0.489</w:t>
            </w:r>
          </w:p>
        </w:tc>
        <w:tc>
          <w:tcPr>
            <w:tcW w:w="425" w:type="pct"/>
            <w:vAlign w:val="center"/>
          </w:tcPr>
          <w:p w14:paraId="0FF5AEEB" w14:textId="77777777" w:rsidR="005C3F88" w:rsidRPr="00E240AF" w:rsidRDefault="005C3F88" w:rsidP="0058079D">
            <w:pPr>
              <w:jc w:val="center"/>
              <w:rPr>
                <w:rFonts w:ascii="Garamond" w:hAnsi="Garamond"/>
                <w:color w:val="000000"/>
                <w:szCs w:val="24"/>
              </w:rPr>
            </w:pPr>
            <w:r w:rsidRPr="00E240AF">
              <w:rPr>
                <w:rFonts w:ascii="Garamond" w:hAnsi="Garamond"/>
                <w:color w:val="000000"/>
                <w:szCs w:val="24"/>
              </w:rPr>
              <w:t>0.396</w:t>
            </w:r>
          </w:p>
        </w:tc>
        <w:tc>
          <w:tcPr>
            <w:tcW w:w="659" w:type="pct"/>
            <w:vAlign w:val="bottom"/>
          </w:tcPr>
          <w:p w14:paraId="5F443227" w14:textId="77777777" w:rsidR="005C3F88" w:rsidRPr="00E240AF" w:rsidRDefault="005C3F88" w:rsidP="0058079D">
            <w:pPr>
              <w:ind w:left="360"/>
              <w:rPr>
                <w:rFonts w:ascii="Garamond" w:hAnsi="Garamond"/>
                <w:color w:val="000000"/>
                <w:szCs w:val="24"/>
              </w:rPr>
            </w:pPr>
            <w:r w:rsidRPr="00E240AF">
              <w:rPr>
                <w:rFonts w:ascii="Garamond" w:hAnsi="Garamond"/>
                <w:color w:val="000000"/>
                <w:szCs w:val="24"/>
              </w:rPr>
              <w:t>0.205</w:t>
            </w:r>
            <w:r>
              <w:rPr>
                <w:rFonts w:ascii="Garamond" w:hAnsi="Garamond"/>
                <w:color w:val="000000"/>
                <w:szCs w:val="24"/>
              </w:rPr>
              <w:t>^</w:t>
            </w:r>
          </w:p>
        </w:tc>
        <w:tc>
          <w:tcPr>
            <w:tcW w:w="425" w:type="pct"/>
            <w:vAlign w:val="center"/>
          </w:tcPr>
          <w:p w14:paraId="5644F8A1" w14:textId="77777777" w:rsidR="005C3F88" w:rsidRPr="00E240AF" w:rsidRDefault="005C3F88" w:rsidP="0058079D">
            <w:pPr>
              <w:jc w:val="center"/>
              <w:rPr>
                <w:rFonts w:ascii="Garamond" w:hAnsi="Garamond"/>
                <w:color w:val="000000"/>
                <w:szCs w:val="24"/>
              </w:rPr>
            </w:pPr>
            <w:r w:rsidRPr="00E240AF">
              <w:rPr>
                <w:rFonts w:ascii="Garamond" w:hAnsi="Garamond"/>
                <w:color w:val="000000"/>
                <w:szCs w:val="24"/>
              </w:rPr>
              <w:t>0.100</w:t>
            </w:r>
          </w:p>
        </w:tc>
        <w:tc>
          <w:tcPr>
            <w:tcW w:w="661" w:type="pct"/>
            <w:vAlign w:val="bottom"/>
          </w:tcPr>
          <w:p w14:paraId="2F0318FF" w14:textId="77777777" w:rsidR="005C3F88" w:rsidRPr="005772F1" w:rsidRDefault="005C3F88" w:rsidP="0058079D">
            <w:pPr>
              <w:ind w:left="360"/>
              <w:rPr>
                <w:rFonts w:ascii="Garamond" w:hAnsi="Garamond"/>
                <w:color w:val="000000"/>
                <w:szCs w:val="24"/>
              </w:rPr>
            </w:pPr>
            <w:r w:rsidRPr="005772F1">
              <w:rPr>
                <w:rFonts w:ascii="Garamond" w:hAnsi="Garamond"/>
                <w:color w:val="000000"/>
                <w:szCs w:val="24"/>
              </w:rPr>
              <w:t>0.390</w:t>
            </w:r>
          </w:p>
        </w:tc>
        <w:tc>
          <w:tcPr>
            <w:tcW w:w="605" w:type="pct"/>
            <w:vAlign w:val="bottom"/>
          </w:tcPr>
          <w:p w14:paraId="24E2C6AE" w14:textId="77777777" w:rsidR="005C3F88" w:rsidRPr="005772F1" w:rsidRDefault="005C3F88" w:rsidP="0058079D">
            <w:pPr>
              <w:jc w:val="center"/>
              <w:rPr>
                <w:rFonts w:ascii="Garamond" w:hAnsi="Garamond"/>
                <w:color w:val="000000"/>
                <w:szCs w:val="24"/>
              </w:rPr>
            </w:pPr>
            <w:r w:rsidRPr="005772F1">
              <w:rPr>
                <w:rFonts w:ascii="Garamond" w:hAnsi="Garamond"/>
                <w:color w:val="000000"/>
                <w:szCs w:val="24"/>
              </w:rPr>
              <w:t>0.282</w:t>
            </w:r>
          </w:p>
        </w:tc>
      </w:tr>
      <w:tr w:rsidR="005C3F88" w:rsidRPr="00D63A74" w14:paraId="2177F523" w14:textId="77777777" w:rsidTr="0058079D">
        <w:trPr>
          <w:trHeight w:val="20"/>
        </w:trPr>
        <w:tc>
          <w:tcPr>
            <w:tcW w:w="1563" w:type="pct"/>
            <w:vAlign w:val="center"/>
          </w:tcPr>
          <w:p w14:paraId="58521949" w14:textId="77777777" w:rsidR="005C3F88" w:rsidRPr="00D63A74" w:rsidRDefault="005C3F88" w:rsidP="0058079D">
            <w:pPr>
              <w:snapToGrid w:val="0"/>
              <w:ind w:left="270"/>
              <w:rPr>
                <w:rFonts w:ascii="Garamond" w:hAnsi="Garamond"/>
                <w:color w:val="000000"/>
                <w:szCs w:val="24"/>
              </w:rPr>
            </w:pPr>
            <w:r w:rsidRPr="00D63A74">
              <w:rPr>
                <w:rFonts w:ascii="Garamond" w:hAnsi="Garamond"/>
                <w:color w:val="000000"/>
                <w:szCs w:val="24"/>
              </w:rPr>
              <w:t>Sender-receiver covariance</w:t>
            </w:r>
          </w:p>
        </w:tc>
        <w:tc>
          <w:tcPr>
            <w:tcW w:w="662" w:type="pct"/>
            <w:vAlign w:val="center"/>
          </w:tcPr>
          <w:p w14:paraId="60A0F11D" w14:textId="77777777" w:rsidR="005C3F88" w:rsidRPr="00D63A74" w:rsidRDefault="005C3F88" w:rsidP="0058079D">
            <w:pPr>
              <w:ind w:left="360"/>
              <w:rPr>
                <w:rFonts w:ascii="Garamond" w:hAnsi="Garamond"/>
                <w:color w:val="000000"/>
                <w:szCs w:val="24"/>
              </w:rPr>
            </w:pPr>
            <w:r w:rsidRPr="00D63A74">
              <w:rPr>
                <w:rFonts w:ascii="Garamond" w:hAnsi="Garamond"/>
                <w:color w:val="000000"/>
                <w:szCs w:val="24"/>
              </w:rPr>
              <w:t>0.109</w:t>
            </w:r>
          </w:p>
        </w:tc>
        <w:tc>
          <w:tcPr>
            <w:tcW w:w="425" w:type="pct"/>
            <w:vAlign w:val="center"/>
          </w:tcPr>
          <w:p w14:paraId="194EDF72" w14:textId="77777777" w:rsidR="005C3F88" w:rsidRPr="00D63A74" w:rsidRDefault="005C3F88" w:rsidP="0058079D">
            <w:pPr>
              <w:jc w:val="center"/>
              <w:rPr>
                <w:rFonts w:ascii="Garamond" w:hAnsi="Garamond"/>
                <w:color w:val="000000"/>
                <w:szCs w:val="24"/>
              </w:rPr>
            </w:pPr>
            <w:r w:rsidRPr="00D63A74">
              <w:rPr>
                <w:rFonts w:ascii="Garamond" w:hAnsi="Garamond"/>
                <w:color w:val="000000"/>
                <w:szCs w:val="24"/>
              </w:rPr>
              <w:t>0.297</w:t>
            </w:r>
          </w:p>
        </w:tc>
        <w:tc>
          <w:tcPr>
            <w:tcW w:w="659" w:type="pct"/>
            <w:vAlign w:val="bottom"/>
          </w:tcPr>
          <w:p w14:paraId="01DEE033" w14:textId="77777777" w:rsidR="005C3F88" w:rsidRPr="00D63A74" w:rsidRDefault="005C3F88" w:rsidP="0058079D">
            <w:pPr>
              <w:widowControl/>
              <w:ind w:left="288"/>
              <w:rPr>
                <w:rFonts w:ascii="Garamond" w:hAnsi="Garamond"/>
                <w:color w:val="000000"/>
                <w:szCs w:val="24"/>
              </w:rPr>
            </w:pPr>
            <w:r w:rsidRPr="00D63A74">
              <w:rPr>
                <w:rFonts w:ascii="Garamond" w:hAnsi="Garamond"/>
                <w:color w:val="000000"/>
                <w:szCs w:val="24"/>
              </w:rPr>
              <w:t>-0.310</w:t>
            </w:r>
          </w:p>
        </w:tc>
        <w:tc>
          <w:tcPr>
            <w:tcW w:w="425" w:type="pct"/>
            <w:vAlign w:val="center"/>
          </w:tcPr>
          <w:p w14:paraId="5E4BB873" w14:textId="77777777" w:rsidR="005C3F88" w:rsidRPr="00D63A74" w:rsidRDefault="005C3F88" w:rsidP="0058079D">
            <w:pPr>
              <w:jc w:val="center"/>
              <w:rPr>
                <w:rFonts w:ascii="Garamond" w:hAnsi="Garamond"/>
                <w:color w:val="000000"/>
                <w:szCs w:val="24"/>
              </w:rPr>
            </w:pPr>
            <w:r w:rsidRPr="00D63A74">
              <w:rPr>
                <w:rFonts w:ascii="Garamond" w:hAnsi="Garamond"/>
                <w:color w:val="000000"/>
                <w:szCs w:val="24"/>
              </w:rPr>
              <w:t>0.228</w:t>
            </w:r>
          </w:p>
        </w:tc>
        <w:tc>
          <w:tcPr>
            <w:tcW w:w="661" w:type="pct"/>
            <w:vAlign w:val="bottom"/>
          </w:tcPr>
          <w:p w14:paraId="19F00F44" w14:textId="77777777" w:rsidR="005C3F88" w:rsidRPr="005772F1" w:rsidRDefault="005C3F88" w:rsidP="0058079D">
            <w:pPr>
              <w:widowControl/>
              <w:ind w:left="288"/>
              <w:rPr>
                <w:rFonts w:ascii="Garamond" w:hAnsi="Garamond"/>
                <w:color w:val="000000"/>
                <w:szCs w:val="24"/>
              </w:rPr>
            </w:pPr>
            <w:r w:rsidRPr="005772F1">
              <w:rPr>
                <w:rFonts w:ascii="Garamond" w:hAnsi="Garamond"/>
                <w:color w:val="000000"/>
                <w:szCs w:val="24"/>
              </w:rPr>
              <w:t>-0.543</w:t>
            </w:r>
          </w:p>
        </w:tc>
        <w:tc>
          <w:tcPr>
            <w:tcW w:w="605" w:type="pct"/>
            <w:vAlign w:val="bottom"/>
          </w:tcPr>
          <w:p w14:paraId="29865502" w14:textId="77777777" w:rsidR="005C3F88" w:rsidRPr="005772F1" w:rsidRDefault="005C3F88" w:rsidP="0058079D">
            <w:pPr>
              <w:jc w:val="center"/>
              <w:rPr>
                <w:rFonts w:ascii="Garamond" w:hAnsi="Garamond"/>
                <w:color w:val="000000"/>
                <w:szCs w:val="24"/>
              </w:rPr>
            </w:pPr>
            <w:r w:rsidRPr="005772F1">
              <w:rPr>
                <w:rFonts w:ascii="Garamond" w:hAnsi="Garamond"/>
                <w:color w:val="000000"/>
                <w:szCs w:val="24"/>
              </w:rPr>
              <w:t>0.610</w:t>
            </w:r>
          </w:p>
        </w:tc>
      </w:tr>
    </w:tbl>
    <w:p w14:paraId="1203F72A" w14:textId="77777777" w:rsidR="005C3F88" w:rsidRDefault="005C3F88" w:rsidP="005C3F88">
      <w:pPr>
        <w:widowControl/>
        <w:snapToGrid w:val="0"/>
        <w:rPr>
          <w:rFonts w:ascii="Garamond" w:hAnsi="Garamond"/>
        </w:rPr>
      </w:pPr>
      <w:r w:rsidRPr="007E1A8B">
        <w:rPr>
          <w:rFonts w:ascii="Garamond" w:hAnsi="Garamond"/>
          <w:i/>
        </w:rPr>
        <w:t>Notes</w:t>
      </w:r>
      <w:r w:rsidRPr="007E1A8B">
        <w:rPr>
          <w:rFonts w:ascii="Garamond" w:hAnsi="Garamond"/>
        </w:rPr>
        <w:t xml:space="preserve">: </w:t>
      </w:r>
      <w:r>
        <w:rPr>
          <w:rFonts w:ascii="Garamond" w:hAnsi="Garamond"/>
          <w:vertAlign w:val="superscript"/>
        </w:rPr>
        <w:t>1</w:t>
      </w:r>
      <w:r>
        <w:rPr>
          <w:rFonts w:ascii="Garamond" w:hAnsi="Garamond"/>
        </w:rPr>
        <w:t>Examination of</w:t>
      </w:r>
      <w:r w:rsidRPr="003B4B94">
        <w:rPr>
          <w:rFonts w:ascii="Garamond" w:hAnsi="Garamond"/>
        </w:rPr>
        <w:t xml:space="preserve"> </w:t>
      </w:r>
      <w:r>
        <w:rPr>
          <w:rFonts w:ascii="Garamond" w:hAnsi="Garamond"/>
        </w:rPr>
        <w:t>812</w:t>
      </w:r>
      <w:r w:rsidRPr="003B4B94">
        <w:rPr>
          <w:rFonts w:ascii="Garamond" w:hAnsi="Garamond"/>
        </w:rPr>
        <w:t xml:space="preserve"> potential dyadic relations from </w:t>
      </w:r>
      <w:r>
        <w:rPr>
          <w:rFonts w:ascii="Garamond" w:hAnsi="Garamond"/>
        </w:rPr>
        <w:t xml:space="preserve">37 pre-service teachers. </w:t>
      </w:r>
      <w:r>
        <w:rPr>
          <w:rFonts w:ascii="Garamond" w:hAnsi="Garamond"/>
          <w:vertAlign w:val="superscript"/>
        </w:rPr>
        <w:t>2</w:t>
      </w:r>
      <w:r w:rsidRPr="003B4B94">
        <w:rPr>
          <w:rFonts w:ascii="Garamond" w:hAnsi="Garamond"/>
        </w:rPr>
        <w:t xml:space="preserve"> </w:t>
      </w:r>
      <w:r>
        <w:rPr>
          <w:rFonts w:ascii="Garamond" w:hAnsi="Garamond"/>
        </w:rPr>
        <w:t>Examination of</w:t>
      </w:r>
      <w:r w:rsidRPr="003B4B94">
        <w:rPr>
          <w:rFonts w:ascii="Garamond" w:hAnsi="Garamond"/>
        </w:rPr>
        <w:t xml:space="preserve"> </w:t>
      </w:r>
      <w:r>
        <w:rPr>
          <w:rFonts w:ascii="Garamond" w:hAnsi="Garamond"/>
        </w:rPr>
        <w:t>1,980</w:t>
      </w:r>
      <w:r w:rsidRPr="003B4B94">
        <w:rPr>
          <w:rFonts w:ascii="Garamond" w:hAnsi="Garamond"/>
        </w:rPr>
        <w:t xml:space="preserve"> potential dyadic relations from </w:t>
      </w:r>
      <w:r>
        <w:rPr>
          <w:rFonts w:ascii="Garamond" w:hAnsi="Garamond"/>
        </w:rPr>
        <w:t xml:space="preserve">45 pre-service teachers. </w:t>
      </w:r>
      <w:r>
        <w:rPr>
          <w:rFonts w:ascii="Garamond" w:hAnsi="Garamond"/>
          <w:vertAlign w:val="superscript"/>
        </w:rPr>
        <w:t>3</w:t>
      </w:r>
      <w:r>
        <w:rPr>
          <w:rFonts w:ascii="Garamond" w:hAnsi="Garamond"/>
        </w:rPr>
        <w:t>Examination of</w:t>
      </w:r>
      <w:r w:rsidRPr="003B4B94">
        <w:rPr>
          <w:rFonts w:ascii="Garamond" w:hAnsi="Garamond"/>
        </w:rPr>
        <w:t xml:space="preserve"> </w:t>
      </w:r>
      <w:r>
        <w:rPr>
          <w:rFonts w:ascii="Garamond" w:hAnsi="Garamond"/>
        </w:rPr>
        <w:t>2,256</w:t>
      </w:r>
      <w:r w:rsidRPr="003B4B94">
        <w:rPr>
          <w:rFonts w:ascii="Garamond" w:hAnsi="Garamond"/>
        </w:rPr>
        <w:t xml:space="preserve"> potential dyadic relations from </w:t>
      </w:r>
      <w:r>
        <w:rPr>
          <w:rFonts w:ascii="Garamond" w:hAnsi="Garamond"/>
        </w:rPr>
        <w:t xml:space="preserve">48 pre-service teachers </w:t>
      </w:r>
      <w:r w:rsidRPr="007E1A8B">
        <w:rPr>
          <w:rFonts w:ascii="Garamond" w:hAnsi="Garamond"/>
        </w:rPr>
        <w:t xml:space="preserve">*p &lt; .05. </w:t>
      </w:r>
    </w:p>
    <w:p w14:paraId="3D2DC99E" w14:textId="77777777" w:rsidR="005C3F88" w:rsidRDefault="005C3F88" w:rsidP="005C3F88">
      <w:pPr>
        <w:widowControl/>
        <w:snapToGrid w:val="0"/>
        <w:spacing w:line="480" w:lineRule="auto"/>
        <w:rPr>
          <w:rFonts w:ascii="Garamond" w:hAnsi="Garamond"/>
        </w:rPr>
      </w:pPr>
    </w:p>
    <w:p w14:paraId="209C978E" w14:textId="77777777" w:rsidR="005C3F88" w:rsidRDefault="005C3F88" w:rsidP="005C3F88">
      <w:pPr>
        <w:widowControl/>
        <w:spacing w:after="160" w:line="259" w:lineRule="auto"/>
        <w:rPr>
          <w:rFonts w:ascii="Garamond" w:hAnsi="Garamond"/>
        </w:rPr>
      </w:pPr>
      <w:r>
        <w:rPr>
          <w:rFonts w:ascii="Garamond" w:hAnsi="Garamond"/>
        </w:rPr>
        <w:br w:type="page"/>
      </w:r>
    </w:p>
    <w:p w14:paraId="326EDE4E" w14:textId="77777777" w:rsidR="005C3F88" w:rsidRDefault="005C3F88" w:rsidP="005C3F88">
      <w:pPr>
        <w:snapToGrid w:val="0"/>
        <w:spacing w:line="480" w:lineRule="auto"/>
        <w:rPr>
          <w:rFonts w:ascii="Garamond" w:hAnsi="Garamond"/>
          <w:szCs w:val="24"/>
        </w:rPr>
      </w:pPr>
      <w:r>
        <w:rPr>
          <w:rFonts w:ascii="Garamond" w:hAnsi="Garamond"/>
          <w:szCs w:val="24"/>
        </w:rPr>
        <w:lastRenderedPageBreak/>
        <w:t>Table 4: Summary of Study Hypotheses and Findings</w:t>
      </w:r>
    </w:p>
    <w:tbl>
      <w:tblPr>
        <w:tblStyle w:val="TableGrid"/>
        <w:tblW w:w="954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4"/>
        <w:gridCol w:w="1191"/>
        <w:gridCol w:w="3805"/>
      </w:tblGrid>
      <w:tr w:rsidR="005C3F88" w14:paraId="080E0C5B" w14:textId="77777777" w:rsidTr="0058079D">
        <w:trPr>
          <w:trHeight w:val="20"/>
          <w:tblHeader/>
        </w:trPr>
        <w:tc>
          <w:tcPr>
            <w:tcW w:w="4544" w:type="dxa"/>
            <w:tcBorders>
              <w:top w:val="single" w:sz="4" w:space="0" w:color="auto"/>
              <w:bottom w:val="single" w:sz="4" w:space="0" w:color="auto"/>
            </w:tcBorders>
            <w:vAlign w:val="center"/>
          </w:tcPr>
          <w:p w14:paraId="62532742" w14:textId="77777777" w:rsidR="005C3F88" w:rsidRDefault="005C3F88" w:rsidP="0058079D">
            <w:pPr>
              <w:widowControl/>
              <w:snapToGrid w:val="0"/>
              <w:jc w:val="center"/>
              <w:rPr>
                <w:rFonts w:ascii="Garamond" w:hAnsi="Garamond"/>
                <w:szCs w:val="24"/>
              </w:rPr>
            </w:pPr>
            <w:r>
              <w:rPr>
                <w:rFonts w:ascii="Garamond" w:hAnsi="Garamond"/>
                <w:szCs w:val="24"/>
              </w:rPr>
              <w:t>Hypothesis</w:t>
            </w:r>
          </w:p>
        </w:tc>
        <w:tc>
          <w:tcPr>
            <w:tcW w:w="1191" w:type="dxa"/>
            <w:tcBorders>
              <w:top w:val="single" w:sz="4" w:space="0" w:color="auto"/>
              <w:bottom w:val="single" w:sz="4" w:space="0" w:color="auto"/>
            </w:tcBorders>
            <w:vAlign w:val="center"/>
          </w:tcPr>
          <w:p w14:paraId="2B15EF69" w14:textId="77777777" w:rsidR="005C3F88" w:rsidRDefault="005C3F88" w:rsidP="0058079D">
            <w:pPr>
              <w:widowControl/>
              <w:snapToGrid w:val="0"/>
              <w:jc w:val="center"/>
              <w:rPr>
                <w:rFonts w:ascii="Garamond" w:hAnsi="Garamond"/>
                <w:szCs w:val="24"/>
              </w:rPr>
            </w:pPr>
            <w:r>
              <w:rPr>
                <w:rFonts w:ascii="Garamond" w:hAnsi="Garamond"/>
                <w:szCs w:val="24"/>
              </w:rPr>
              <w:t>Result</w:t>
            </w:r>
          </w:p>
        </w:tc>
        <w:tc>
          <w:tcPr>
            <w:tcW w:w="3805" w:type="dxa"/>
            <w:tcBorders>
              <w:top w:val="single" w:sz="4" w:space="0" w:color="auto"/>
              <w:bottom w:val="single" w:sz="4" w:space="0" w:color="auto"/>
            </w:tcBorders>
            <w:vAlign w:val="center"/>
          </w:tcPr>
          <w:p w14:paraId="038E6039" w14:textId="77777777" w:rsidR="005C3F88" w:rsidRDefault="005C3F88" w:rsidP="0058079D">
            <w:pPr>
              <w:widowControl/>
              <w:snapToGrid w:val="0"/>
              <w:jc w:val="center"/>
              <w:rPr>
                <w:rFonts w:ascii="Garamond" w:hAnsi="Garamond"/>
                <w:szCs w:val="24"/>
              </w:rPr>
            </w:pPr>
            <w:r>
              <w:rPr>
                <w:rFonts w:ascii="Garamond" w:hAnsi="Garamond"/>
                <w:szCs w:val="24"/>
              </w:rPr>
              <w:t>Finding</w:t>
            </w:r>
          </w:p>
        </w:tc>
      </w:tr>
      <w:tr w:rsidR="005C3F88" w14:paraId="7DD7A265" w14:textId="77777777" w:rsidTr="0058079D">
        <w:trPr>
          <w:trHeight w:val="20"/>
        </w:trPr>
        <w:tc>
          <w:tcPr>
            <w:tcW w:w="4544" w:type="dxa"/>
            <w:tcBorders>
              <w:top w:val="single" w:sz="4" w:space="0" w:color="auto"/>
              <w:bottom w:val="nil"/>
            </w:tcBorders>
          </w:tcPr>
          <w:p w14:paraId="1DFCA187" w14:textId="77777777" w:rsidR="005C3F88" w:rsidRDefault="005C3F88" w:rsidP="0058079D">
            <w:pPr>
              <w:widowControl/>
              <w:snapToGrid w:val="0"/>
              <w:rPr>
                <w:rFonts w:ascii="Garamond" w:hAnsi="Garamond"/>
              </w:rPr>
            </w:pPr>
            <w:r>
              <w:rPr>
                <w:rFonts w:ascii="Garamond" w:hAnsi="Garamond"/>
              </w:rPr>
              <w:t>H1: T</w:t>
            </w:r>
            <w:r w:rsidRPr="00ED28CB">
              <w:rPr>
                <w:rFonts w:ascii="Garamond" w:hAnsi="Garamond"/>
              </w:rPr>
              <w:t xml:space="preserve">he network of pre-service teachers for sharing instructional materials will be made up of few ties, as such represent a </w:t>
            </w:r>
            <w:r w:rsidRPr="00E045C4">
              <w:rPr>
                <w:rFonts w:ascii="Garamond" w:hAnsi="Garamond"/>
                <w:b/>
              </w:rPr>
              <w:t>sparse network</w:t>
            </w:r>
            <w:r>
              <w:rPr>
                <w:rFonts w:ascii="Garamond" w:hAnsi="Garamond"/>
              </w:rPr>
              <w:t>.</w:t>
            </w:r>
          </w:p>
        </w:tc>
        <w:tc>
          <w:tcPr>
            <w:tcW w:w="1191" w:type="dxa"/>
            <w:tcBorders>
              <w:top w:val="single" w:sz="4" w:space="0" w:color="auto"/>
              <w:bottom w:val="nil"/>
            </w:tcBorders>
          </w:tcPr>
          <w:p w14:paraId="7FCD80CB" w14:textId="77777777" w:rsidR="005C3F88" w:rsidRDefault="005C3F88" w:rsidP="0058079D">
            <w:pPr>
              <w:widowControl/>
              <w:snapToGrid w:val="0"/>
              <w:rPr>
                <w:rFonts w:ascii="Garamond" w:hAnsi="Garamond"/>
                <w:szCs w:val="24"/>
              </w:rPr>
            </w:pPr>
            <w:r>
              <w:rPr>
                <w:rFonts w:ascii="Garamond" w:hAnsi="Garamond"/>
                <w:szCs w:val="24"/>
              </w:rPr>
              <w:t>Supported</w:t>
            </w:r>
          </w:p>
        </w:tc>
        <w:tc>
          <w:tcPr>
            <w:tcW w:w="3805" w:type="dxa"/>
            <w:tcBorders>
              <w:top w:val="single" w:sz="4" w:space="0" w:color="auto"/>
              <w:bottom w:val="nil"/>
            </w:tcBorders>
          </w:tcPr>
          <w:p w14:paraId="09D2FA43" w14:textId="77777777" w:rsidR="005C3F88" w:rsidRDefault="005C3F88" w:rsidP="0058079D">
            <w:pPr>
              <w:widowControl/>
              <w:snapToGrid w:val="0"/>
              <w:rPr>
                <w:rFonts w:ascii="Garamond" w:hAnsi="Garamond"/>
                <w:szCs w:val="24"/>
              </w:rPr>
            </w:pPr>
            <w:r>
              <w:rPr>
                <w:rFonts w:ascii="Garamond" w:hAnsi="Garamond"/>
                <w:szCs w:val="24"/>
              </w:rPr>
              <w:t xml:space="preserve">The IMs network structures across three cohorts tend to be sparsely connected. </w:t>
            </w:r>
          </w:p>
        </w:tc>
      </w:tr>
      <w:tr w:rsidR="005C3F88" w14:paraId="5B2B46C4" w14:textId="77777777" w:rsidTr="0058079D">
        <w:trPr>
          <w:trHeight w:val="20"/>
        </w:trPr>
        <w:tc>
          <w:tcPr>
            <w:tcW w:w="4544" w:type="dxa"/>
            <w:tcBorders>
              <w:top w:val="nil"/>
              <w:bottom w:val="nil"/>
            </w:tcBorders>
          </w:tcPr>
          <w:p w14:paraId="547DF686" w14:textId="77777777" w:rsidR="005C3F88" w:rsidRDefault="005C3F88" w:rsidP="0058079D">
            <w:pPr>
              <w:widowControl/>
              <w:snapToGrid w:val="0"/>
              <w:rPr>
                <w:rFonts w:ascii="Garamond" w:hAnsi="Garamond"/>
                <w:szCs w:val="24"/>
              </w:rPr>
            </w:pPr>
            <w:r>
              <w:rPr>
                <w:rFonts w:ascii="Garamond" w:hAnsi="Garamond"/>
              </w:rPr>
              <w:t>H2: R</w:t>
            </w:r>
            <w:r w:rsidRPr="00ED28CB">
              <w:rPr>
                <w:rFonts w:ascii="Garamond" w:hAnsi="Garamond"/>
              </w:rPr>
              <w:t xml:space="preserve">elationships of exchanging instructional materials among pre-service teachers are likely to be </w:t>
            </w:r>
            <w:r w:rsidRPr="00E045C4">
              <w:rPr>
                <w:rFonts w:ascii="Garamond" w:hAnsi="Garamond"/>
                <w:b/>
              </w:rPr>
              <w:t>reciprocated</w:t>
            </w:r>
            <w:r>
              <w:rPr>
                <w:rFonts w:ascii="Garamond" w:hAnsi="Garamond"/>
                <w:szCs w:val="24"/>
              </w:rPr>
              <w:t>.</w:t>
            </w:r>
          </w:p>
        </w:tc>
        <w:tc>
          <w:tcPr>
            <w:tcW w:w="1191" w:type="dxa"/>
            <w:tcBorders>
              <w:top w:val="nil"/>
              <w:bottom w:val="nil"/>
            </w:tcBorders>
          </w:tcPr>
          <w:p w14:paraId="7F675A01" w14:textId="77777777" w:rsidR="005C3F88" w:rsidRDefault="005C3F88" w:rsidP="0058079D">
            <w:pPr>
              <w:widowControl/>
              <w:snapToGrid w:val="0"/>
              <w:rPr>
                <w:rFonts w:ascii="Garamond" w:hAnsi="Garamond"/>
                <w:szCs w:val="24"/>
              </w:rPr>
            </w:pPr>
            <w:r>
              <w:rPr>
                <w:rFonts w:ascii="Garamond" w:hAnsi="Garamond"/>
                <w:szCs w:val="24"/>
              </w:rPr>
              <w:t xml:space="preserve">Supported </w:t>
            </w:r>
          </w:p>
        </w:tc>
        <w:tc>
          <w:tcPr>
            <w:tcW w:w="3805" w:type="dxa"/>
            <w:tcBorders>
              <w:top w:val="nil"/>
              <w:bottom w:val="nil"/>
            </w:tcBorders>
          </w:tcPr>
          <w:p w14:paraId="3AF4C4B6" w14:textId="77777777" w:rsidR="005C3F88" w:rsidRDefault="005C3F88" w:rsidP="0058079D">
            <w:pPr>
              <w:widowControl/>
              <w:snapToGrid w:val="0"/>
              <w:rPr>
                <w:rFonts w:ascii="Garamond" w:hAnsi="Garamond"/>
                <w:szCs w:val="24"/>
              </w:rPr>
            </w:pPr>
            <w:r>
              <w:rPr>
                <w:rFonts w:ascii="Garamond" w:hAnsi="Garamond"/>
                <w:szCs w:val="24"/>
              </w:rPr>
              <w:t xml:space="preserve">The IMs network structures across three cohorts tend to be reciprocated.  </w:t>
            </w:r>
          </w:p>
        </w:tc>
      </w:tr>
      <w:tr w:rsidR="005C3F88" w14:paraId="60075BC6" w14:textId="77777777" w:rsidTr="0058079D">
        <w:trPr>
          <w:trHeight w:val="20"/>
        </w:trPr>
        <w:tc>
          <w:tcPr>
            <w:tcW w:w="4544" w:type="dxa"/>
            <w:tcBorders>
              <w:top w:val="nil"/>
            </w:tcBorders>
          </w:tcPr>
          <w:p w14:paraId="2646C670" w14:textId="77777777" w:rsidR="005C3F88" w:rsidRDefault="005C3F88" w:rsidP="0058079D">
            <w:pPr>
              <w:widowControl/>
              <w:snapToGrid w:val="0"/>
              <w:rPr>
                <w:rFonts w:ascii="Garamond" w:hAnsi="Garamond"/>
                <w:szCs w:val="24"/>
              </w:rPr>
            </w:pPr>
            <w:r>
              <w:rPr>
                <w:rFonts w:ascii="Garamond" w:hAnsi="Garamond"/>
              </w:rPr>
              <w:t>H3: P</w:t>
            </w:r>
            <w:r w:rsidRPr="00ED28CB">
              <w:rPr>
                <w:rFonts w:ascii="Garamond" w:hAnsi="Garamond"/>
              </w:rPr>
              <w:t xml:space="preserve">re-service teachers who report being more </w:t>
            </w:r>
            <w:r w:rsidRPr="00E045C4">
              <w:rPr>
                <w:rFonts w:ascii="Garamond" w:hAnsi="Garamond"/>
                <w:b/>
              </w:rPr>
              <w:t>efficacious</w:t>
            </w:r>
            <w:r w:rsidRPr="00ED28CB">
              <w:rPr>
                <w:rFonts w:ascii="Garamond" w:hAnsi="Garamond"/>
              </w:rPr>
              <w:t xml:space="preserve"> in their ability to teach will be more likely to be involved in (seek/be sought for) the exchange of instructional materials</w:t>
            </w:r>
            <w:r>
              <w:rPr>
                <w:rFonts w:ascii="Garamond" w:hAnsi="Garamond"/>
              </w:rPr>
              <w:t xml:space="preserve">. </w:t>
            </w:r>
          </w:p>
        </w:tc>
        <w:tc>
          <w:tcPr>
            <w:tcW w:w="1191" w:type="dxa"/>
            <w:tcBorders>
              <w:top w:val="nil"/>
            </w:tcBorders>
          </w:tcPr>
          <w:p w14:paraId="04378C7C" w14:textId="77777777" w:rsidR="005C3F88" w:rsidRDefault="005C3F88" w:rsidP="0058079D">
            <w:pPr>
              <w:widowControl/>
              <w:snapToGrid w:val="0"/>
              <w:rPr>
                <w:rFonts w:ascii="Garamond" w:hAnsi="Garamond"/>
                <w:szCs w:val="24"/>
              </w:rPr>
            </w:pPr>
            <w:r>
              <w:rPr>
                <w:rFonts w:ascii="Garamond" w:hAnsi="Garamond"/>
                <w:szCs w:val="24"/>
              </w:rPr>
              <w:t xml:space="preserve">Supported </w:t>
            </w:r>
          </w:p>
        </w:tc>
        <w:tc>
          <w:tcPr>
            <w:tcW w:w="3805" w:type="dxa"/>
            <w:tcBorders>
              <w:top w:val="nil"/>
            </w:tcBorders>
          </w:tcPr>
          <w:p w14:paraId="621523B2" w14:textId="77777777" w:rsidR="005C3F88" w:rsidRDefault="005C3F88" w:rsidP="0058079D">
            <w:pPr>
              <w:widowControl/>
              <w:snapToGrid w:val="0"/>
              <w:rPr>
                <w:rFonts w:ascii="Garamond" w:hAnsi="Garamond"/>
                <w:szCs w:val="24"/>
              </w:rPr>
            </w:pPr>
            <w:r>
              <w:rPr>
                <w:rFonts w:ascii="Garamond" w:hAnsi="Garamond"/>
                <w:szCs w:val="24"/>
              </w:rPr>
              <w:t xml:space="preserve">Across three cohorts, self-efficacy is positively associated with the likelihood of seeking instructional materials. </w:t>
            </w:r>
          </w:p>
        </w:tc>
      </w:tr>
      <w:tr w:rsidR="005C3F88" w14:paraId="6E704D17" w14:textId="77777777" w:rsidTr="0058079D">
        <w:trPr>
          <w:trHeight w:val="20"/>
        </w:trPr>
        <w:tc>
          <w:tcPr>
            <w:tcW w:w="4544" w:type="dxa"/>
          </w:tcPr>
          <w:p w14:paraId="15589B4A" w14:textId="77777777" w:rsidR="005C3F88" w:rsidRDefault="005C3F88" w:rsidP="0058079D">
            <w:pPr>
              <w:widowControl/>
              <w:snapToGrid w:val="0"/>
              <w:rPr>
                <w:rFonts w:ascii="Garamond" w:hAnsi="Garamond"/>
                <w:szCs w:val="24"/>
              </w:rPr>
            </w:pPr>
            <w:r>
              <w:rPr>
                <w:rFonts w:ascii="Garamond" w:hAnsi="Garamond"/>
              </w:rPr>
              <w:t>H4: P</w:t>
            </w:r>
            <w:r w:rsidRPr="00ED28CB">
              <w:rPr>
                <w:rFonts w:ascii="Garamond" w:hAnsi="Garamond"/>
              </w:rPr>
              <w:t xml:space="preserve">re-service teachers will be more likely to be involved in (seek/be sought for) the exchange of instructional materials with others who share </w:t>
            </w:r>
            <w:r w:rsidRPr="00E045C4">
              <w:rPr>
                <w:rFonts w:ascii="Garamond" w:hAnsi="Garamond"/>
                <w:b/>
              </w:rPr>
              <w:t>a similar level of efficacy</w:t>
            </w:r>
            <w:r>
              <w:rPr>
                <w:rFonts w:ascii="Garamond" w:hAnsi="Garamond"/>
                <w:szCs w:val="24"/>
              </w:rPr>
              <w:t>.</w:t>
            </w:r>
          </w:p>
        </w:tc>
        <w:tc>
          <w:tcPr>
            <w:tcW w:w="1191" w:type="dxa"/>
          </w:tcPr>
          <w:p w14:paraId="034A2FFE" w14:textId="77777777" w:rsidR="005C3F88" w:rsidRDefault="005C3F88" w:rsidP="0058079D">
            <w:pPr>
              <w:widowControl/>
              <w:snapToGrid w:val="0"/>
              <w:rPr>
                <w:rFonts w:ascii="Garamond" w:hAnsi="Garamond"/>
                <w:szCs w:val="24"/>
              </w:rPr>
            </w:pPr>
            <w:r>
              <w:rPr>
                <w:rFonts w:ascii="Garamond" w:hAnsi="Garamond"/>
                <w:szCs w:val="24"/>
              </w:rPr>
              <w:t>Not supported</w:t>
            </w:r>
          </w:p>
        </w:tc>
        <w:tc>
          <w:tcPr>
            <w:tcW w:w="3805" w:type="dxa"/>
          </w:tcPr>
          <w:p w14:paraId="501FC909" w14:textId="77777777" w:rsidR="005C3F88" w:rsidRDefault="005C3F88" w:rsidP="0058079D">
            <w:pPr>
              <w:widowControl/>
              <w:snapToGrid w:val="0"/>
              <w:rPr>
                <w:rFonts w:ascii="Garamond" w:hAnsi="Garamond"/>
                <w:szCs w:val="24"/>
              </w:rPr>
            </w:pPr>
            <w:r>
              <w:rPr>
                <w:rFonts w:ascii="Garamond" w:hAnsi="Garamond"/>
                <w:szCs w:val="24"/>
              </w:rPr>
              <w:t xml:space="preserve">Dyadic effect is only significant in the US cohort, indicating that different levels of perceived self-efficacy are associated with forming mutual connections. </w:t>
            </w:r>
          </w:p>
        </w:tc>
      </w:tr>
      <w:tr w:rsidR="005C3F88" w14:paraId="44BB8904" w14:textId="77777777" w:rsidTr="0058079D">
        <w:trPr>
          <w:trHeight w:val="20"/>
        </w:trPr>
        <w:tc>
          <w:tcPr>
            <w:tcW w:w="4544" w:type="dxa"/>
          </w:tcPr>
          <w:p w14:paraId="654A4EA2" w14:textId="77777777" w:rsidR="005C3F88" w:rsidRDefault="005C3F88" w:rsidP="0058079D">
            <w:pPr>
              <w:widowControl/>
              <w:snapToGrid w:val="0"/>
              <w:rPr>
                <w:rFonts w:ascii="Garamond" w:hAnsi="Garamond"/>
                <w:szCs w:val="24"/>
              </w:rPr>
            </w:pPr>
            <w:r>
              <w:rPr>
                <w:rFonts w:ascii="Garamond" w:hAnsi="Garamond"/>
                <w:szCs w:val="24"/>
              </w:rPr>
              <w:t>H5: P</w:t>
            </w:r>
            <w:r w:rsidRPr="00ED28CB">
              <w:rPr>
                <w:rFonts w:ascii="Garamond" w:hAnsi="Garamond"/>
              </w:rPr>
              <w:t xml:space="preserve">re-service teachers who perceive greater </w:t>
            </w:r>
            <w:r w:rsidRPr="00E045C4">
              <w:rPr>
                <w:rFonts w:ascii="Garamond" w:hAnsi="Garamond"/>
                <w:b/>
              </w:rPr>
              <w:t>peer trust</w:t>
            </w:r>
            <w:r w:rsidRPr="00ED28CB">
              <w:rPr>
                <w:rFonts w:ascii="Garamond" w:hAnsi="Garamond"/>
              </w:rPr>
              <w:t xml:space="preserve"> will be more likely to be involved in (seek/be sought for) the exchange of instructional materials</w:t>
            </w:r>
            <w:r>
              <w:rPr>
                <w:rFonts w:ascii="Garamond" w:hAnsi="Garamond"/>
                <w:szCs w:val="24"/>
              </w:rPr>
              <w:t xml:space="preserve">. </w:t>
            </w:r>
          </w:p>
        </w:tc>
        <w:tc>
          <w:tcPr>
            <w:tcW w:w="1191" w:type="dxa"/>
          </w:tcPr>
          <w:p w14:paraId="6EB7909D" w14:textId="77777777" w:rsidR="005C3F88" w:rsidRDefault="005C3F88" w:rsidP="0058079D">
            <w:pPr>
              <w:widowControl/>
              <w:snapToGrid w:val="0"/>
              <w:rPr>
                <w:rFonts w:ascii="Garamond" w:hAnsi="Garamond"/>
                <w:szCs w:val="24"/>
              </w:rPr>
            </w:pPr>
            <w:r>
              <w:rPr>
                <w:rFonts w:ascii="Garamond" w:hAnsi="Garamond"/>
                <w:szCs w:val="24"/>
              </w:rPr>
              <w:t>Supported</w:t>
            </w:r>
          </w:p>
        </w:tc>
        <w:tc>
          <w:tcPr>
            <w:tcW w:w="3805" w:type="dxa"/>
          </w:tcPr>
          <w:p w14:paraId="1333C93B" w14:textId="77777777" w:rsidR="005C3F88" w:rsidRDefault="005C3F88" w:rsidP="0058079D">
            <w:pPr>
              <w:widowControl/>
              <w:snapToGrid w:val="0"/>
              <w:rPr>
                <w:rFonts w:ascii="Garamond" w:hAnsi="Garamond"/>
                <w:szCs w:val="24"/>
              </w:rPr>
            </w:pPr>
            <w:r>
              <w:rPr>
                <w:rFonts w:ascii="Garamond" w:hAnsi="Garamond"/>
                <w:szCs w:val="24"/>
              </w:rPr>
              <w:t xml:space="preserve">Peer trust is only significant as a sender effect for the English cohort, indicating that peer trust is positively related to the likelihood of seeking instructional materials. </w:t>
            </w:r>
          </w:p>
        </w:tc>
      </w:tr>
      <w:tr w:rsidR="005C3F88" w14:paraId="1C2E24FA" w14:textId="77777777" w:rsidTr="0058079D">
        <w:trPr>
          <w:trHeight w:val="20"/>
        </w:trPr>
        <w:tc>
          <w:tcPr>
            <w:tcW w:w="4544" w:type="dxa"/>
          </w:tcPr>
          <w:p w14:paraId="69843B36" w14:textId="77777777" w:rsidR="005C3F88" w:rsidRDefault="005C3F88" w:rsidP="0058079D">
            <w:pPr>
              <w:widowControl/>
              <w:snapToGrid w:val="0"/>
              <w:rPr>
                <w:rFonts w:ascii="Garamond" w:hAnsi="Garamond"/>
                <w:szCs w:val="24"/>
              </w:rPr>
            </w:pPr>
            <w:r>
              <w:rPr>
                <w:rFonts w:ascii="Garamond" w:hAnsi="Garamond"/>
                <w:szCs w:val="24"/>
              </w:rPr>
              <w:t>H6: P</w:t>
            </w:r>
            <w:r w:rsidRPr="00ED28CB">
              <w:rPr>
                <w:rFonts w:ascii="Garamond" w:hAnsi="Garamond"/>
                <w:szCs w:val="24"/>
              </w:rPr>
              <w:t xml:space="preserve">re-service teachers will be more likely to be involved in (seek/be sought for) the exchange of instructional materials with others who share </w:t>
            </w:r>
            <w:r w:rsidRPr="00E045C4">
              <w:rPr>
                <w:rFonts w:ascii="Garamond" w:hAnsi="Garamond"/>
                <w:b/>
                <w:szCs w:val="24"/>
              </w:rPr>
              <w:t>a similar level of peer trust</w:t>
            </w:r>
            <w:r>
              <w:rPr>
                <w:rFonts w:ascii="Garamond" w:hAnsi="Garamond"/>
                <w:szCs w:val="24"/>
              </w:rPr>
              <w:t xml:space="preserve">. </w:t>
            </w:r>
          </w:p>
        </w:tc>
        <w:tc>
          <w:tcPr>
            <w:tcW w:w="1191" w:type="dxa"/>
          </w:tcPr>
          <w:p w14:paraId="10E081E1" w14:textId="77777777" w:rsidR="005C3F88" w:rsidRDefault="005C3F88" w:rsidP="0058079D">
            <w:pPr>
              <w:widowControl/>
              <w:snapToGrid w:val="0"/>
              <w:rPr>
                <w:rFonts w:ascii="Garamond" w:hAnsi="Garamond"/>
                <w:szCs w:val="24"/>
              </w:rPr>
            </w:pPr>
            <w:r>
              <w:rPr>
                <w:rFonts w:ascii="Garamond" w:hAnsi="Garamond"/>
                <w:szCs w:val="24"/>
              </w:rPr>
              <w:t>Not supported</w:t>
            </w:r>
          </w:p>
        </w:tc>
        <w:tc>
          <w:tcPr>
            <w:tcW w:w="3805" w:type="dxa"/>
          </w:tcPr>
          <w:p w14:paraId="0FE34080" w14:textId="77777777" w:rsidR="005C3F88" w:rsidRDefault="005C3F88" w:rsidP="0058079D">
            <w:pPr>
              <w:widowControl/>
              <w:snapToGrid w:val="0"/>
              <w:rPr>
                <w:rFonts w:ascii="Garamond" w:hAnsi="Garamond"/>
                <w:szCs w:val="24"/>
              </w:rPr>
            </w:pPr>
            <w:r>
              <w:rPr>
                <w:rFonts w:ascii="Garamond" w:hAnsi="Garamond"/>
                <w:szCs w:val="24"/>
              </w:rPr>
              <w:t xml:space="preserve">Dyadic effect is only significant in the English cohort, indicating that pre-service teachers with different perceived levels of peer trust are more likely to establish mutual ties. </w:t>
            </w:r>
          </w:p>
        </w:tc>
      </w:tr>
      <w:tr w:rsidR="005C3F88" w14:paraId="36EB75B5" w14:textId="77777777" w:rsidTr="0058079D">
        <w:trPr>
          <w:trHeight w:val="20"/>
        </w:trPr>
        <w:tc>
          <w:tcPr>
            <w:tcW w:w="4544" w:type="dxa"/>
          </w:tcPr>
          <w:p w14:paraId="314D4052" w14:textId="77777777" w:rsidR="005C3F88" w:rsidRDefault="005C3F88" w:rsidP="0058079D">
            <w:pPr>
              <w:widowControl/>
              <w:snapToGrid w:val="0"/>
              <w:rPr>
                <w:rFonts w:ascii="Garamond" w:hAnsi="Garamond"/>
                <w:szCs w:val="24"/>
              </w:rPr>
            </w:pPr>
            <w:r>
              <w:rPr>
                <w:rFonts w:ascii="Garamond" w:hAnsi="Garamond"/>
                <w:szCs w:val="24"/>
              </w:rPr>
              <w:t>H7: P</w:t>
            </w:r>
            <w:r w:rsidRPr="00ED28CB">
              <w:rPr>
                <w:rFonts w:ascii="Garamond" w:hAnsi="Garamond"/>
                <w:szCs w:val="24"/>
              </w:rPr>
              <w:t xml:space="preserve">re-service teachers who </w:t>
            </w:r>
            <w:r w:rsidRPr="00E045C4">
              <w:rPr>
                <w:rFonts w:ascii="Garamond" w:hAnsi="Garamond"/>
                <w:b/>
                <w:szCs w:val="24"/>
              </w:rPr>
              <w:t>share innovative ideas</w:t>
            </w:r>
            <w:r w:rsidRPr="00ED28CB">
              <w:rPr>
                <w:rFonts w:ascii="Garamond" w:hAnsi="Garamond"/>
                <w:szCs w:val="24"/>
              </w:rPr>
              <w:t xml:space="preserve"> with peers will be more likely to be involved in (seek/be sought for) the exchange of instructional materials</w:t>
            </w:r>
            <w:r>
              <w:rPr>
                <w:rFonts w:ascii="Garamond" w:hAnsi="Garamond"/>
                <w:szCs w:val="24"/>
              </w:rPr>
              <w:t xml:space="preserve">. </w:t>
            </w:r>
          </w:p>
          <w:p w14:paraId="7BA957C9" w14:textId="77777777" w:rsidR="005C3F88" w:rsidRDefault="005C3F88" w:rsidP="0058079D">
            <w:pPr>
              <w:widowControl/>
              <w:snapToGrid w:val="0"/>
              <w:rPr>
                <w:rFonts w:ascii="Garamond" w:hAnsi="Garamond"/>
                <w:szCs w:val="24"/>
              </w:rPr>
            </w:pPr>
          </w:p>
        </w:tc>
        <w:tc>
          <w:tcPr>
            <w:tcW w:w="1191" w:type="dxa"/>
          </w:tcPr>
          <w:p w14:paraId="2A99BD98" w14:textId="77777777" w:rsidR="005C3F88" w:rsidRDefault="005C3F88" w:rsidP="0058079D">
            <w:pPr>
              <w:widowControl/>
              <w:snapToGrid w:val="0"/>
              <w:rPr>
                <w:rFonts w:ascii="Garamond" w:hAnsi="Garamond"/>
                <w:szCs w:val="24"/>
              </w:rPr>
            </w:pPr>
            <w:r>
              <w:rPr>
                <w:rFonts w:ascii="Garamond" w:hAnsi="Garamond"/>
                <w:szCs w:val="24"/>
              </w:rPr>
              <w:t>Supported</w:t>
            </w:r>
          </w:p>
        </w:tc>
        <w:tc>
          <w:tcPr>
            <w:tcW w:w="3805" w:type="dxa"/>
          </w:tcPr>
          <w:p w14:paraId="670B488F" w14:textId="77777777" w:rsidR="005C3F88" w:rsidRDefault="005C3F88" w:rsidP="0058079D">
            <w:pPr>
              <w:widowControl/>
              <w:snapToGrid w:val="0"/>
              <w:rPr>
                <w:rFonts w:ascii="Garamond" w:hAnsi="Garamond"/>
                <w:szCs w:val="24"/>
              </w:rPr>
            </w:pPr>
            <w:r>
              <w:rPr>
                <w:rFonts w:ascii="Garamond" w:hAnsi="Garamond"/>
                <w:szCs w:val="24"/>
              </w:rPr>
              <w:t xml:space="preserve">Across three cohorts, exchanging new ideas about teaching is positively associated with having a tie for exchanging instructional materials. </w:t>
            </w:r>
          </w:p>
        </w:tc>
      </w:tr>
      <w:tr w:rsidR="005C3F88" w14:paraId="0A6765C5" w14:textId="77777777" w:rsidTr="0058079D">
        <w:trPr>
          <w:trHeight w:val="20"/>
        </w:trPr>
        <w:tc>
          <w:tcPr>
            <w:tcW w:w="4544" w:type="dxa"/>
          </w:tcPr>
          <w:p w14:paraId="020F7FD8" w14:textId="77777777" w:rsidR="005C3F88" w:rsidRDefault="005C3F88" w:rsidP="0058079D">
            <w:pPr>
              <w:widowControl/>
              <w:snapToGrid w:val="0"/>
              <w:rPr>
                <w:rFonts w:ascii="Garamond" w:hAnsi="Garamond"/>
                <w:szCs w:val="24"/>
              </w:rPr>
            </w:pPr>
            <w:r>
              <w:rPr>
                <w:rFonts w:ascii="Garamond" w:hAnsi="Garamond"/>
                <w:szCs w:val="24"/>
              </w:rPr>
              <w:t xml:space="preserve">H8: </w:t>
            </w:r>
            <w:r>
              <w:rPr>
                <w:rFonts w:ascii="Garamond" w:hAnsi="Garamond"/>
                <w:b/>
                <w:szCs w:val="24"/>
              </w:rPr>
              <w:t>F</w:t>
            </w:r>
            <w:r w:rsidRPr="00E045C4">
              <w:rPr>
                <w:rFonts w:ascii="Garamond" w:hAnsi="Garamond"/>
                <w:b/>
                <w:szCs w:val="24"/>
              </w:rPr>
              <w:t>emale</w:t>
            </w:r>
            <w:r w:rsidRPr="00ED28CB">
              <w:rPr>
                <w:rFonts w:ascii="Garamond" w:hAnsi="Garamond"/>
                <w:szCs w:val="24"/>
              </w:rPr>
              <w:t xml:space="preserve"> pre-service teachers are more likely to be involved in (seek/be sought for) the exchange of instructional materials</w:t>
            </w:r>
            <w:r>
              <w:rPr>
                <w:rFonts w:ascii="Garamond" w:hAnsi="Garamond"/>
                <w:szCs w:val="24"/>
              </w:rPr>
              <w:t xml:space="preserve">. </w:t>
            </w:r>
          </w:p>
        </w:tc>
        <w:tc>
          <w:tcPr>
            <w:tcW w:w="1191" w:type="dxa"/>
          </w:tcPr>
          <w:p w14:paraId="27A821D7" w14:textId="77777777" w:rsidR="005C3F88" w:rsidRDefault="005C3F88" w:rsidP="0058079D">
            <w:pPr>
              <w:widowControl/>
              <w:snapToGrid w:val="0"/>
              <w:rPr>
                <w:rFonts w:ascii="Garamond" w:hAnsi="Garamond"/>
                <w:szCs w:val="24"/>
              </w:rPr>
            </w:pPr>
            <w:r>
              <w:rPr>
                <w:rFonts w:ascii="Garamond" w:hAnsi="Garamond"/>
                <w:szCs w:val="24"/>
              </w:rPr>
              <w:t>Not supported</w:t>
            </w:r>
          </w:p>
        </w:tc>
        <w:tc>
          <w:tcPr>
            <w:tcW w:w="3805" w:type="dxa"/>
          </w:tcPr>
          <w:p w14:paraId="7826FA90" w14:textId="77777777" w:rsidR="005C3F88" w:rsidRDefault="005C3F88" w:rsidP="0058079D">
            <w:pPr>
              <w:widowControl/>
              <w:snapToGrid w:val="0"/>
              <w:rPr>
                <w:rFonts w:ascii="Garamond" w:hAnsi="Garamond"/>
                <w:szCs w:val="24"/>
              </w:rPr>
            </w:pPr>
            <w:r>
              <w:rPr>
                <w:rFonts w:ascii="Garamond" w:hAnsi="Garamond"/>
                <w:szCs w:val="24"/>
              </w:rPr>
              <w:t xml:space="preserve">Gender is significant as a sender effect only for the Spanish cohort, indicating that male pre-service teachers are more likely to seek instructional materials. </w:t>
            </w:r>
          </w:p>
        </w:tc>
      </w:tr>
      <w:tr w:rsidR="005C3F88" w14:paraId="52B90783" w14:textId="77777777" w:rsidTr="0058079D">
        <w:trPr>
          <w:trHeight w:val="20"/>
        </w:trPr>
        <w:tc>
          <w:tcPr>
            <w:tcW w:w="4544" w:type="dxa"/>
          </w:tcPr>
          <w:p w14:paraId="3BB7E8FE" w14:textId="77777777" w:rsidR="005C3F88" w:rsidRDefault="005C3F88" w:rsidP="0058079D">
            <w:pPr>
              <w:widowControl/>
              <w:snapToGrid w:val="0"/>
              <w:rPr>
                <w:rFonts w:ascii="Garamond" w:hAnsi="Garamond"/>
                <w:szCs w:val="24"/>
              </w:rPr>
            </w:pPr>
            <w:r>
              <w:rPr>
                <w:rFonts w:ascii="Garamond" w:hAnsi="Garamond"/>
                <w:szCs w:val="24"/>
              </w:rPr>
              <w:t>H9: P</w:t>
            </w:r>
            <w:r w:rsidRPr="00ED28CB">
              <w:rPr>
                <w:rFonts w:ascii="Garamond" w:hAnsi="Garamond"/>
                <w:szCs w:val="24"/>
              </w:rPr>
              <w:t xml:space="preserve">re-service teachers are more likely to exchange instructional materials with </w:t>
            </w:r>
            <w:r w:rsidRPr="00E045C4">
              <w:rPr>
                <w:rFonts w:ascii="Garamond" w:hAnsi="Garamond"/>
                <w:b/>
                <w:szCs w:val="24"/>
              </w:rPr>
              <w:t>same-gender peers</w:t>
            </w:r>
            <w:r w:rsidRPr="00ED28CB">
              <w:rPr>
                <w:rFonts w:ascii="Garamond" w:hAnsi="Garamond"/>
                <w:szCs w:val="24"/>
              </w:rPr>
              <w:t xml:space="preserve"> than with different-gender peers</w:t>
            </w:r>
            <w:r>
              <w:rPr>
                <w:rFonts w:ascii="Garamond" w:hAnsi="Garamond"/>
                <w:szCs w:val="24"/>
              </w:rPr>
              <w:t xml:space="preserve">. </w:t>
            </w:r>
          </w:p>
        </w:tc>
        <w:tc>
          <w:tcPr>
            <w:tcW w:w="1191" w:type="dxa"/>
          </w:tcPr>
          <w:p w14:paraId="19723B7B" w14:textId="77777777" w:rsidR="005C3F88" w:rsidRDefault="005C3F88" w:rsidP="0058079D">
            <w:pPr>
              <w:widowControl/>
              <w:snapToGrid w:val="0"/>
              <w:rPr>
                <w:rFonts w:ascii="Garamond" w:hAnsi="Garamond"/>
                <w:szCs w:val="24"/>
              </w:rPr>
            </w:pPr>
            <w:r>
              <w:rPr>
                <w:rFonts w:ascii="Garamond" w:hAnsi="Garamond"/>
                <w:szCs w:val="24"/>
              </w:rPr>
              <w:t>Supported</w:t>
            </w:r>
          </w:p>
        </w:tc>
        <w:tc>
          <w:tcPr>
            <w:tcW w:w="3805" w:type="dxa"/>
          </w:tcPr>
          <w:p w14:paraId="4E60A40A" w14:textId="77777777" w:rsidR="005C3F88" w:rsidRDefault="005C3F88" w:rsidP="0058079D">
            <w:pPr>
              <w:widowControl/>
              <w:snapToGrid w:val="0"/>
              <w:rPr>
                <w:rFonts w:ascii="Garamond" w:hAnsi="Garamond"/>
                <w:szCs w:val="24"/>
              </w:rPr>
            </w:pPr>
            <w:r>
              <w:rPr>
                <w:rFonts w:ascii="Garamond" w:hAnsi="Garamond"/>
                <w:szCs w:val="24"/>
              </w:rPr>
              <w:t xml:space="preserve">Gender </w:t>
            </w:r>
            <w:proofErr w:type="spellStart"/>
            <w:r>
              <w:rPr>
                <w:rFonts w:ascii="Garamond" w:hAnsi="Garamond"/>
                <w:szCs w:val="24"/>
              </w:rPr>
              <w:t>homophily</w:t>
            </w:r>
            <w:proofErr w:type="spellEnd"/>
            <w:r>
              <w:rPr>
                <w:rFonts w:ascii="Garamond" w:hAnsi="Garamond"/>
                <w:szCs w:val="24"/>
              </w:rPr>
              <w:t xml:space="preserve"> is significant as a dyadic effect only for the US cohort, indicating that pre-service teachers are more likely to share instructional materials with same gender peers. </w:t>
            </w:r>
          </w:p>
          <w:p w14:paraId="6C8202F9" w14:textId="77777777" w:rsidR="005C3F88" w:rsidRDefault="005C3F88" w:rsidP="0058079D">
            <w:pPr>
              <w:widowControl/>
              <w:snapToGrid w:val="0"/>
              <w:rPr>
                <w:rFonts w:ascii="Garamond" w:hAnsi="Garamond"/>
                <w:szCs w:val="24"/>
              </w:rPr>
            </w:pPr>
          </w:p>
        </w:tc>
      </w:tr>
    </w:tbl>
    <w:p w14:paraId="1F620C93" w14:textId="77777777" w:rsidR="005C3F88" w:rsidRPr="00B257D7" w:rsidRDefault="005C3F88" w:rsidP="005C3F88">
      <w:pPr>
        <w:widowControl/>
        <w:snapToGrid w:val="0"/>
        <w:spacing w:line="480" w:lineRule="auto"/>
        <w:rPr>
          <w:rFonts w:ascii="Garamond" w:hAnsi="Garamond"/>
        </w:rPr>
      </w:pPr>
    </w:p>
    <w:p w14:paraId="536CF7DA" w14:textId="77777777" w:rsidR="005C3F88" w:rsidRPr="00D5423A" w:rsidRDefault="005C3F88" w:rsidP="005C3F88">
      <w:pPr>
        <w:snapToGrid w:val="0"/>
        <w:spacing w:line="480" w:lineRule="auto"/>
        <w:ind w:left="720" w:hanging="720"/>
        <w:rPr>
          <w:rFonts w:ascii="Garamond" w:hAnsi="Garamond"/>
        </w:rPr>
      </w:pPr>
      <w:bookmarkStart w:id="0" w:name="_GoBack"/>
      <w:bookmarkEnd w:id="0"/>
    </w:p>
    <w:sectPr w:rsidR="005C3F88" w:rsidRPr="00D5423A" w:rsidSect="001D366A">
      <w:headerReference w:type="default" r:id="rId13"/>
      <w:endnotePr>
        <w:numFmt w:val="decimal"/>
      </w:endnotePr>
      <w:pgSz w:w="12240" w:h="15840" w:code="1"/>
      <w:pgMar w:top="1440" w:right="1440" w:bottom="1440" w:left="144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54FBA9" w16cid:durableId="2182215D"/>
  <w16cid:commentId w16cid:paraId="76EB4D22" w16cid:durableId="21822174"/>
  <w16cid:commentId w16cid:paraId="1788700F" w16cid:durableId="218222F5"/>
  <w16cid:commentId w16cid:paraId="4C87EDD9" w16cid:durableId="2182231A"/>
  <w16cid:commentId w16cid:paraId="6A440AEA" w16cid:durableId="21823CB8"/>
  <w16cid:commentId w16cid:paraId="074F20FE" w16cid:durableId="21823D86"/>
  <w16cid:commentId w16cid:paraId="75C6C896" w16cid:durableId="21823E63"/>
  <w16cid:commentId w16cid:paraId="69CA6BF3" w16cid:durableId="21823EF0"/>
  <w16cid:commentId w16cid:paraId="762129C2" w16cid:durableId="21824010"/>
  <w16cid:commentId w16cid:paraId="331CC774" w16cid:durableId="21824060"/>
  <w16cid:commentId w16cid:paraId="6E6AF393" w16cid:durableId="218220B6"/>
  <w16cid:commentId w16cid:paraId="578D70FD" w16cid:durableId="218220D9"/>
  <w16cid:commentId w16cid:paraId="54151D86" w16cid:durableId="21824842"/>
  <w16cid:commentId w16cid:paraId="60D3A791" w16cid:durableId="21824C98"/>
  <w16cid:commentId w16cid:paraId="30A95D69" w16cid:durableId="21824D70"/>
  <w16cid:commentId w16cid:paraId="336D56F9" w16cid:durableId="21824E0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ADD80" w14:textId="77777777" w:rsidR="00DC16A5" w:rsidRDefault="00DC16A5" w:rsidP="00233A8E">
      <w:r>
        <w:separator/>
      </w:r>
    </w:p>
  </w:endnote>
  <w:endnote w:type="continuationSeparator" w:id="0">
    <w:p w14:paraId="35B4B312" w14:textId="77777777" w:rsidR="00DC16A5" w:rsidRDefault="00DC16A5" w:rsidP="00233A8E">
      <w:r>
        <w:continuationSeparator/>
      </w:r>
    </w:p>
  </w:endnote>
  <w:endnote w:id="1">
    <w:p w14:paraId="18DF1616" w14:textId="5CD775B3" w:rsidR="00181877" w:rsidRPr="00A251F5" w:rsidRDefault="00181877" w:rsidP="00A251F5">
      <w:pPr>
        <w:pStyle w:val="EndnoteText"/>
        <w:rPr>
          <w:rFonts w:ascii="Garamond" w:hAnsi="Garamond"/>
          <w:sz w:val="24"/>
          <w:szCs w:val="24"/>
        </w:rPr>
      </w:pPr>
      <w:r w:rsidRPr="00A251F5">
        <w:rPr>
          <w:rStyle w:val="EndnoteReference"/>
          <w:rFonts w:ascii="Garamond" w:hAnsi="Garamond"/>
          <w:sz w:val="24"/>
          <w:szCs w:val="24"/>
        </w:rPr>
        <w:endnoteRef/>
      </w:r>
      <w:r w:rsidRPr="00A251F5">
        <w:rPr>
          <w:rFonts w:ascii="Garamond" w:hAnsi="Garamond"/>
          <w:sz w:val="24"/>
          <w:szCs w:val="24"/>
        </w:rPr>
        <w:t xml:space="preserve"> Key differences between the two main categories are in the way pre-service teachers are recruited and managed on the </w:t>
      </w:r>
      <w:r>
        <w:rPr>
          <w:rFonts w:ascii="Garamond" w:hAnsi="Garamond"/>
          <w:sz w:val="24"/>
          <w:szCs w:val="24"/>
        </w:rPr>
        <w:t>program.</w:t>
      </w:r>
      <w:r w:rsidRPr="00A251F5">
        <w:rPr>
          <w:rFonts w:ascii="Garamond" w:hAnsi="Garamond"/>
          <w:sz w:val="24"/>
          <w:szCs w:val="24"/>
        </w:rPr>
        <w:t xml:space="preserve">  Both categories of initial teacher education require the same minimum time spent in schools on teaching placements (120 days) and that trainee teachers should gain experience in at least 2 different schools during the </w:t>
      </w:r>
      <w:r>
        <w:rPr>
          <w:rFonts w:ascii="Garamond" w:hAnsi="Garamond"/>
          <w:sz w:val="24"/>
          <w:szCs w:val="24"/>
        </w:rPr>
        <w:t>program.</w:t>
      </w:r>
    </w:p>
  </w:endnote>
  <w:endnote w:id="2">
    <w:p w14:paraId="73326418" w14:textId="2F0F241F" w:rsidR="00181877" w:rsidRPr="00A251F5" w:rsidRDefault="00181877" w:rsidP="009844B7">
      <w:pPr>
        <w:pStyle w:val="EndnoteText"/>
        <w:rPr>
          <w:rFonts w:ascii="Garamond" w:hAnsi="Garamond"/>
          <w:sz w:val="24"/>
          <w:szCs w:val="24"/>
        </w:rPr>
      </w:pPr>
      <w:r w:rsidRPr="00A251F5">
        <w:rPr>
          <w:rStyle w:val="EndnoteReference"/>
          <w:rFonts w:ascii="Garamond" w:hAnsi="Garamond"/>
          <w:sz w:val="24"/>
          <w:szCs w:val="24"/>
        </w:rPr>
        <w:endnoteRef/>
      </w:r>
      <w:r w:rsidRPr="00A251F5">
        <w:rPr>
          <w:rFonts w:ascii="Garamond" w:hAnsi="Garamond"/>
          <w:sz w:val="24"/>
          <w:szCs w:val="24"/>
        </w:rPr>
        <w:t xml:space="preserve"> The parameter estimates in p2 models can be interpreted in the following way.  The main parameters of interest concern the sender effects and receiver effects, meaning effects that signify the probability of sending or receiving IMs nomination(s).  A positive parameter estimate thus signifies a positive effect on the probability of an IMs relationship (</w:t>
      </w:r>
      <w:proofErr w:type="spellStart"/>
      <w:r w:rsidRPr="00A251F5">
        <w:rPr>
          <w:rFonts w:ascii="Garamond" w:hAnsi="Garamond"/>
          <w:sz w:val="24"/>
          <w:szCs w:val="24"/>
        </w:rPr>
        <w:t>Veenstra</w:t>
      </w:r>
      <w:proofErr w:type="spellEnd"/>
      <w:r w:rsidRPr="00A251F5">
        <w:rPr>
          <w:rFonts w:ascii="Garamond" w:hAnsi="Garamond"/>
          <w:sz w:val="24"/>
          <w:szCs w:val="24"/>
        </w:rPr>
        <w:t xml:space="preserve"> et al., 2007).  For example, a positive sender effect of gender (dummy coding; ref/male) would indicate that male pre-service teachers would have a higher probability of seeking IMs ties than female pre-service teachers.  Another main parameter of interest is the </w:t>
      </w:r>
      <w:proofErr w:type="spellStart"/>
      <w:r w:rsidRPr="00A251F5">
        <w:rPr>
          <w:rFonts w:ascii="Garamond" w:hAnsi="Garamond"/>
          <w:sz w:val="24"/>
          <w:szCs w:val="24"/>
        </w:rPr>
        <w:t>homophily</w:t>
      </w:r>
      <w:proofErr w:type="spellEnd"/>
      <w:r w:rsidRPr="00A251F5">
        <w:rPr>
          <w:rFonts w:ascii="Garamond" w:hAnsi="Garamond"/>
          <w:sz w:val="24"/>
          <w:szCs w:val="24"/>
        </w:rPr>
        <w:t xml:space="preserve"> effects of the relational covariates such as gender, perceived level of efficacy and peer trust.  For these relationship covariates, the p2 software constructs dyadic matrices based on the (absolute) difference between two respondents.  For example, the relationship between two female pre-service teachers would be coded as a relationship between pre-service teachers who are the same gender.  To facilitate the interpretation of the model, we labeled the dyadic parameters “different gender,” “different self-efficacy,” “different peer trust.”  A negative parameter </w:t>
      </w:r>
      <w:proofErr w:type="gramStart"/>
      <w:r w:rsidRPr="00A251F5">
        <w:rPr>
          <w:rFonts w:ascii="Garamond" w:hAnsi="Garamond"/>
          <w:sz w:val="24"/>
          <w:szCs w:val="24"/>
        </w:rPr>
        <w:t>estimate</w:t>
      </w:r>
      <w:proofErr w:type="gramEnd"/>
      <w:r w:rsidRPr="00A251F5">
        <w:rPr>
          <w:rFonts w:ascii="Garamond" w:hAnsi="Garamond"/>
          <w:sz w:val="24"/>
          <w:szCs w:val="24"/>
        </w:rPr>
        <w:t xml:space="preserve"> for “different gender,” for instance, would thus indicate that a difference in gender is negatively associated with the probability of having an IMs relationship.  Meaning, pre-service teachers would be less likely to report having an IMs relationship with peers who are different gender, and conversely, the IMs ties would be more likely present among same-gender pre-service teachers.  As such, negative parameters would provide evidence of the hypothesized </w:t>
      </w:r>
      <w:proofErr w:type="spellStart"/>
      <w:r w:rsidRPr="00A251F5">
        <w:rPr>
          <w:rFonts w:ascii="Garamond" w:hAnsi="Garamond"/>
          <w:sz w:val="24"/>
          <w:szCs w:val="24"/>
        </w:rPr>
        <w:t>homophily</w:t>
      </w:r>
      <w:proofErr w:type="spellEnd"/>
      <w:r w:rsidRPr="00A251F5">
        <w:rPr>
          <w:rFonts w:ascii="Garamond" w:hAnsi="Garamond"/>
          <w:sz w:val="24"/>
          <w:szCs w:val="24"/>
        </w:rPr>
        <w:t xml:space="preserve"> effects.</w:t>
      </w:r>
    </w:p>
    <w:p w14:paraId="6F36E281" w14:textId="77777777" w:rsidR="00181877" w:rsidRPr="00A251F5" w:rsidRDefault="00181877" w:rsidP="009844B7">
      <w:pPr>
        <w:pStyle w:val="EndnoteText"/>
        <w:rPr>
          <w:rFonts w:ascii="Garamond" w:hAnsi="Garamond"/>
          <w:sz w:val="24"/>
          <w:szCs w:val="24"/>
        </w:rPr>
      </w:pPr>
      <w:r w:rsidRPr="00A251F5">
        <w:rPr>
          <w:rFonts w:ascii="Garamond" w:hAnsi="Garamond"/>
          <w:sz w:val="24"/>
          <w:szCs w:val="24"/>
        </w:rPr>
        <w:t xml:space="preserve">In p2 models, two parameters are by default included as they “control” for network effects.  The first default parameter is the overall mean density effect.  A positive estimate for the density effect indicates that in general, the sample networks are rather dense, while a negative density effect reflects that the networks are rather sparse.  The second default parameter is the overall mean reciprocity effect.  A positive estimate for the reciprocity effect suggests that symmetric relationships are more likely to occur than asymmetric relationships, and vice versa.  </w:t>
      </w:r>
    </w:p>
    <w:p w14:paraId="142D6D76" w14:textId="279C5D62" w:rsidR="00181877" w:rsidRPr="00A251F5" w:rsidRDefault="00181877" w:rsidP="009844B7">
      <w:pPr>
        <w:pStyle w:val="EndnoteText"/>
        <w:rPr>
          <w:rFonts w:ascii="Garamond" w:hAnsi="Garamond"/>
          <w:sz w:val="24"/>
          <w:szCs w:val="24"/>
        </w:rPr>
      </w:pPr>
      <w:r w:rsidRPr="00A251F5">
        <w:rPr>
          <w:rFonts w:ascii="Garamond" w:hAnsi="Garamond"/>
          <w:sz w:val="24"/>
          <w:szCs w:val="24"/>
        </w:rPr>
        <w:t>As suggested (Long, 1997), we used the Wald statistic that is then compared to the χ2 distribution with one degree of freedom to calculate the significance of the effects.  In addition, to aid interpretation of statistical significance we report quantiles from the distributions of estimation samples, which provide the Bayesian analogue to a confidence interval.  The estimate will be statistically significant (p &lt; .05) if the quantiles between 2.5 and 97.5 do not include “zero.”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orbel">
    <w:panose1 w:val="020B0503020204020204"/>
    <w:charset w:val="00"/>
    <w:family w:val="swiss"/>
    <w:pitch w:val="variable"/>
    <w:sig w:usb0="A00002EF" w:usb1="4000A44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AdvOT863180fb">
    <w:panose1 w:val="00000000000000000000"/>
    <w:charset w:val="00"/>
    <w:family w:val="swiss"/>
    <w:notTrueType/>
    <w:pitch w:val="default"/>
    <w:sig w:usb0="00000003" w:usb1="00000000" w:usb2="00000000" w:usb3="00000000" w:csb0="00000001" w:csb1="00000000"/>
  </w:font>
  <w:font w:name="Times-Roman">
    <w:altName w:val="Times"/>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3644C" w14:textId="77777777" w:rsidR="00DC16A5" w:rsidRDefault="00DC16A5" w:rsidP="00233A8E">
      <w:r>
        <w:separator/>
      </w:r>
    </w:p>
  </w:footnote>
  <w:footnote w:type="continuationSeparator" w:id="0">
    <w:p w14:paraId="61C5C708" w14:textId="77777777" w:rsidR="00DC16A5" w:rsidRDefault="00DC16A5" w:rsidP="00233A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szCs w:val="24"/>
      </w:rPr>
      <w:id w:val="-1832526598"/>
      <w:docPartObj>
        <w:docPartGallery w:val="Page Numbers (Top of Page)"/>
        <w:docPartUnique/>
      </w:docPartObj>
    </w:sdtPr>
    <w:sdtEndPr>
      <w:rPr>
        <w:noProof/>
      </w:rPr>
    </w:sdtEndPr>
    <w:sdtContent>
      <w:p w14:paraId="76CC9FD1" w14:textId="41334A33" w:rsidR="00181877" w:rsidRPr="00233A8E" w:rsidRDefault="00181877">
        <w:pPr>
          <w:pStyle w:val="Header"/>
          <w:jc w:val="right"/>
          <w:rPr>
            <w:rFonts w:ascii="Garamond" w:hAnsi="Garamond"/>
            <w:szCs w:val="24"/>
          </w:rPr>
        </w:pPr>
        <w:r w:rsidRPr="00233A8E">
          <w:rPr>
            <w:rFonts w:ascii="Garamond" w:hAnsi="Garamond"/>
            <w:szCs w:val="24"/>
          </w:rPr>
          <w:t>EFFICACY, EXPLORE, AND EXCHANGE</w:t>
        </w:r>
        <w:r>
          <w:rPr>
            <w:rFonts w:ascii="Garamond" w:hAnsi="Garamond"/>
            <w:szCs w:val="24"/>
          </w:rPr>
          <w:t xml:space="preserve"> </w:t>
        </w:r>
        <w:r w:rsidRPr="00233A8E">
          <w:rPr>
            <w:rFonts w:ascii="Garamond" w:hAnsi="Garamond"/>
            <w:szCs w:val="24"/>
          </w:rPr>
          <w:t xml:space="preserve"> </w:t>
        </w:r>
        <w:r w:rsidRPr="00233A8E">
          <w:rPr>
            <w:rFonts w:ascii="Garamond" w:hAnsi="Garamond"/>
            <w:szCs w:val="24"/>
          </w:rPr>
          <w:fldChar w:fldCharType="begin"/>
        </w:r>
        <w:r w:rsidRPr="00233A8E">
          <w:rPr>
            <w:rFonts w:ascii="Garamond" w:hAnsi="Garamond"/>
            <w:szCs w:val="24"/>
          </w:rPr>
          <w:instrText xml:space="preserve"> PAGE   \* MERGEFORMAT </w:instrText>
        </w:r>
        <w:r w:rsidRPr="00233A8E">
          <w:rPr>
            <w:rFonts w:ascii="Garamond" w:hAnsi="Garamond"/>
            <w:szCs w:val="24"/>
          </w:rPr>
          <w:fldChar w:fldCharType="separate"/>
        </w:r>
        <w:r w:rsidR="005C3F88">
          <w:rPr>
            <w:rFonts w:ascii="Garamond" w:hAnsi="Garamond"/>
            <w:noProof/>
            <w:szCs w:val="24"/>
          </w:rPr>
          <w:t>4</w:t>
        </w:r>
        <w:r w:rsidRPr="00233A8E">
          <w:rPr>
            <w:rFonts w:ascii="Garamond" w:hAnsi="Garamond"/>
            <w:noProof/>
            <w:szCs w:val="24"/>
          </w:rPr>
          <w:fldChar w:fldCharType="end"/>
        </w:r>
      </w:p>
    </w:sdtContent>
  </w:sdt>
  <w:p w14:paraId="7B351F67" w14:textId="77777777" w:rsidR="00181877" w:rsidRPr="00233A8E" w:rsidRDefault="00181877">
    <w:pPr>
      <w:pStyle w:val="Header"/>
      <w:rPr>
        <w:rFonts w:ascii="Garamond" w:hAnsi="Garamond"/>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F3A44"/>
    <w:multiLevelType w:val="hybridMultilevel"/>
    <w:tmpl w:val="F550A6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361F4D"/>
    <w:multiLevelType w:val="hybridMultilevel"/>
    <w:tmpl w:val="1E061AE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488547D9"/>
    <w:multiLevelType w:val="hybridMultilevel"/>
    <w:tmpl w:val="0FE2B25A"/>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 w15:restartNumberingAfterBreak="0">
    <w:nsid w:val="4C8A10EA"/>
    <w:multiLevelType w:val="hybridMultilevel"/>
    <w:tmpl w:val="0FE2B25A"/>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4" w15:restartNumberingAfterBreak="0">
    <w:nsid w:val="50755CC1"/>
    <w:multiLevelType w:val="hybridMultilevel"/>
    <w:tmpl w:val="1E061AE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576F1451"/>
    <w:multiLevelType w:val="hybridMultilevel"/>
    <w:tmpl w:val="1F984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EB28F8"/>
    <w:multiLevelType w:val="hybridMultilevel"/>
    <w:tmpl w:val="0FE2B25A"/>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7" w15:restartNumberingAfterBreak="0">
    <w:nsid w:val="7E433178"/>
    <w:multiLevelType w:val="hybridMultilevel"/>
    <w:tmpl w:val="1E061AE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4"/>
  </w:num>
  <w:num w:numId="3">
    <w:abstractNumId w:val="7"/>
  </w:num>
  <w:num w:numId="4">
    <w:abstractNumId w:val="6"/>
  </w:num>
  <w:num w:numId="5">
    <w:abstractNumId w:val="2"/>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055"/>
    <w:rsid w:val="000010CC"/>
    <w:rsid w:val="000179CF"/>
    <w:rsid w:val="00027B56"/>
    <w:rsid w:val="00027CE3"/>
    <w:rsid w:val="0003222E"/>
    <w:rsid w:val="000353BA"/>
    <w:rsid w:val="000412AD"/>
    <w:rsid w:val="00044B4F"/>
    <w:rsid w:val="000453E3"/>
    <w:rsid w:val="00047444"/>
    <w:rsid w:val="0005025A"/>
    <w:rsid w:val="00052592"/>
    <w:rsid w:val="0005373C"/>
    <w:rsid w:val="00054D2C"/>
    <w:rsid w:val="000575F9"/>
    <w:rsid w:val="00057F78"/>
    <w:rsid w:val="00060830"/>
    <w:rsid w:val="00075D4A"/>
    <w:rsid w:val="00086F27"/>
    <w:rsid w:val="00092C63"/>
    <w:rsid w:val="00094AE8"/>
    <w:rsid w:val="000A1271"/>
    <w:rsid w:val="000A23A7"/>
    <w:rsid w:val="000A57F3"/>
    <w:rsid w:val="000B0F07"/>
    <w:rsid w:val="000B106C"/>
    <w:rsid w:val="000C5335"/>
    <w:rsid w:val="000D0AA6"/>
    <w:rsid w:val="000D16A6"/>
    <w:rsid w:val="000D4336"/>
    <w:rsid w:val="000D7832"/>
    <w:rsid w:val="000E0660"/>
    <w:rsid w:val="000E3787"/>
    <w:rsid w:val="000F0464"/>
    <w:rsid w:val="000F0B16"/>
    <w:rsid w:val="00101E0B"/>
    <w:rsid w:val="001133A5"/>
    <w:rsid w:val="001326B9"/>
    <w:rsid w:val="00137F66"/>
    <w:rsid w:val="00140BAF"/>
    <w:rsid w:val="00143663"/>
    <w:rsid w:val="00147164"/>
    <w:rsid w:val="0015388E"/>
    <w:rsid w:val="0016707B"/>
    <w:rsid w:val="00176BC9"/>
    <w:rsid w:val="00180D35"/>
    <w:rsid w:val="00181877"/>
    <w:rsid w:val="00181E9A"/>
    <w:rsid w:val="001836FC"/>
    <w:rsid w:val="001865CE"/>
    <w:rsid w:val="00193A4B"/>
    <w:rsid w:val="00194927"/>
    <w:rsid w:val="00195481"/>
    <w:rsid w:val="001A146B"/>
    <w:rsid w:val="001A3841"/>
    <w:rsid w:val="001A7C27"/>
    <w:rsid w:val="001B773A"/>
    <w:rsid w:val="001C22B5"/>
    <w:rsid w:val="001C349D"/>
    <w:rsid w:val="001C4700"/>
    <w:rsid w:val="001C50E1"/>
    <w:rsid w:val="001C74AB"/>
    <w:rsid w:val="001D0571"/>
    <w:rsid w:val="001D0AD2"/>
    <w:rsid w:val="001D0E41"/>
    <w:rsid w:val="001D366A"/>
    <w:rsid w:val="001D38B5"/>
    <w:rsid w:val="001D59FA"/>
    <w:rsid w:val="001E0C8F"/>
    <w:rsid w:val="001E6BB0"/>
    <w:rsid w:val="001E74CB"/>
    <w:rsid w:val="001F4059"/>
    <w:rsid w:val="00203A56"/>
    <w:rsid w:val="002064AA"/>
    <w:rsid w:val="002137D4"/>
    <w:rsid w:val="00213F68"/>
    <w:rsid w:val="00231F6B"/>
    <w:rsid w:val="00233A8E"/>
    <w:rsid w:val="00234766"/>
    <w:rsid w:val="00247F4A"/>
    <w:rsid w:val="00252601"/>
    <w:rsid w:val="00255A04"/>
    <w:rsid w:val="002678BA"/>
    <w:rsid w:val="00272B40"/>
    <w:rsid w:val="00275FCA"/>
    <w:rsid w:val="00282C33"/>
    <w:rsid w:val="00283E47"/>
    <w:rsid w:val="00285E76"/>
    <w:rsid w:val="002934FE"/>
    <w:rsid w:val="0029496C"/>
    <w:rsid w:val="002A2E54"/>
    <w:rsid w:val="002A6D8E"/>
    <w:rsid w:val="002A6F5C"/>
    <w:rsid w:val="002B1989"/>
    <w:rsid w:val="002B343F"/>
    <w:rsid w:val="002B79AB"/>
    <w:rsid w:val="002C25F4"/>
    <w:rsid w:val="002C4768"/>
    <w:rsid w:val="002C4A63"/>
    <w:rsid w:val="002C4C98"/>
    <w:rsid w:val="002C58CE"/>
    <w:rsid w:val="002C6FB7"/>
    <w:rsid w:val="002D258C"/>
    <w:rsid w:val="002D378A"/>
    <w:rsid w:val="002F39B1"/>
    <w:rsid w:val="002F524F"/>
    <w:rsid w:val="002F7756"/>
    <w:rsid w:val="00301F58"/>
    <w:rsid w:val="00301F64"/>
    <w:rsid w:val="00306A21"/>
    <w:rsid w:val="00307B4B"/>
    <w:rsid w:val="00313DEE"/>
    <w:rsid w:val="00315024"/>
    <w:rsid w:val="00321ECD"/>
    <w:rsid w:val="003312EC"/>
    <w:rsid w:val="003349D7"/>
    <w:rsid w:val="00336861"/>
    <w:rsid w:val="003409EB"/>
    <w:rsid w:val="00341D57"/>
    <w:rsid w:val="00347790"/>
    <w:rsid w:val="0036601A"/>
    <w:rsid w:val="00366629"/>
    <w:rsid w:val="003717BC"/>
    <w:rsid w:val="003777AD"/>
    <w:rsid w:val="00381F63"/>
    <w:rsid w:val="00381F93"/>
    <w:rsid w:val="00384B08"/>
    <w:rsid w:val="003922D5"/>
    <w:rsid w:val="00394559"/>
    <w:rsid w:val="00396CB9"/>
    <w:rsid w:val="003979B2"/>
    <w:rsid w:val="003A06E4"/>
    <w:rsid w:val="003A0AAD"/>
    <w:rsid w:val="003A45F7"/>
    <w:rsid w:val="003A6B7B"/>
    <w:rsid w:val="003A7AFF"/>
    <w:rsid w:val="003B200C"/>
    <w:rsid w:val="003D7AA1"/>
    <w:rsid w:val="003E2F82"/>
    <w:rsid w:val="003E4C6C"/>
    <w:rsid w:val="003E538C"/>
    <w:rsid w:val="003E5BB3"/>
    <w:rsid w:val="003E6712"/>
    <w:rsid w:val="003F1936"/>
    <w:rsid w:val="003F2472"/>
    <w:rsid w:val="003F4F01"/>
    <w:rsid w:val="003F518C"/>
    <w:rsid w:val="003F5D16"/>
    <w:rsid w:val="004002F0"/>
    <w:rsid w:val="00400E78"/>
    <w:rsid w:val="0040279C"/>
    <w:rsid w:val="004029B9"/>
    <w:rsid w:val="00402A94"/>
    <w:rsid w:val="0040372B"/>
    <w:rsid w:val="00412E26"/>
    <w:rsid w:val="00413615"/>
    <w:rsid w:val="00417ECD"/>
    <w:rsid w:val="004269F9"/>
    <w:rsid w:val="00426D5D"/>
    <w:rsid w:val="0042792B"/>
    <w:rsid w:val="00435E4F"/>
    <w:rsid w:val="0044017B"/>
    <w:rsid w:val="0044239E"/>
    <w:rsid w:val="004426CE"/>
    <w:rsid w:val="00444E16"/>
    <w:rsid w:val="00450247"/>
    <w:rsid w:val="004518B2"/>
    <w:rsid w:val="00452119"/>
    <w:rsid w:val="0045503F"/>
    <w:rsid w:val="00455462"/>
    <w:rsid w:val="0046030B"/>
    <w:rsid w:val="004604D3"/>
    <w:rsid w:val="004633DF"/>
    <w:rsid w:val="0046450D"/>
    <w:rsid w:val="0046517A"/>
    <w:rsid w:val="004664A4"/>
    <w:rsid w:val="00466F3A"/>
    <w:rsid w:val="00477218"/>
    <w:rsid w:val="0047760A"/>
    <w:rsid w:val="00481B26"/>
    <w:rsid w:val="00483196"/>
    <w:rsid w:val="00485734"/>
    <w:rsid w:val="00490946"/>
    <w:rsid w:val="00490A58"/>
    <w:rsid w:val="00491C6E"/>
    <w:rsid w:val="00493A0E"/>
    <w:rsid w:val="004A0CBD"/>
    <w:rsid w:val="004A1C70"/>
    <w:rsid w:val="004A1F49"/>
    <w:rsid w:val="004A6B31"/>
    <w:rsid w:val="004B03B1"/>
    <w:rsid w:val="004B7BFC"/>
    <w:rsid w:val="004C0058"/>
    <w:rsid w:val="004C4D58"/>
    <w:rsid w:val="004C5E8E"/>
    <w:rsid w:val="004D015C"/>
    <w:rsid w:val="004E4884"/>
    <w:rsid w:val="004E62DB"/>
    <w:rsid w:val="004E6F20"/>
    <w:rsid w:val="004E70C1"/>
    <w:rsid w:val="004F1479"/>
    <w:rsid w:val="004F4458"/>
    <w:rsid w:val="004F6DF6"/>
    <w:rsid w:val="005001BA"/>
    <w:rsid w:val="005038DD"/>
    <w:rsid w:val="005141DC"/>
    <w:rsid w:val="00515E6B"/>
    <w:rsid w:val="005172BE"/>
    <w:rsid w:val="00521184"/>
    <w:rsid w:val="00521296"/>
    <w:rsid w:val="0052560A"/>
    <w:rsid w:val="00526295"/>
    <w:rsid w:val="00526D38"/>
    <w:rsid w:val="0053266D"/>
    <w:rsid w:val="00533196"/>
    <w:rsid w:val="00533735"/>
    <w:rsid w:val="00534318"/>
    <w:rsid w:val="005354BA"/>
    <w:rsid w:val="00536AA2"/>
    <w:rsid w:val="005373C7"/>
    <w:rsid w:val="00542719"/>
    <w:rsid w:val="00543D79"/>
    <w:rsid w:val="0055359F"/>
    <w:rsid w:val="00557D25"/>
    <w:rsid w:val="00565EEA"/>
    <w:rsid w:val="005772F1"/>
    <w:rsid w:val="00583BA0"/>
    <w:rsid w:val="0058480A"/>
    <w:rsid w:val="0059286F"/>
    <w:rsid w:val="0059402F"/>
    <w:rsid w:val="00596530"/>
    <w:rsid w:val="005C0092"/>
    <w:rsid w:val="005C3F88"/>
    <w:rsid w:val="005C5802"/>
    <w:rsid w:val="005C6B20"/>
    <w:rsid w:val="005C7B9F"/>
    <w:rsid w:val="005D157C"/>
    <w:rsid w:val="005E6577"/>
    <w:rsid w:val="005E6C0F"/>
    <w:rsid w:val="005F15F8"/>
    <w:rsid w:val="005F68BE"/>
    <w:rsid w:val="006024FD"/>
    <w:rsid w:val="00610145"/>
    <w:rsid w:val="00611410"/>
    <w:rsid w:val="00611C4F"/>
    <w:rsid w:val="00615855"/>
    <w:rsid w:val="00616C7E"/>
    <w:rsid w:val="00623B52"/>
    <w:rsid w:val="0062617B"/>
    <w:rsid w:val="00626721"/>
    <w:rsid w:val="00626CA6"/>
    <w:rsid w:val="006271C2"/>
    <w:rsid w:val="006307F5"/>
    <w:rsid w:val="0063332A"/>
    <w:rsid w:val="00636BF4"/>
    <w:rsid w:val="00642433"/>
    <w:rsid w:val="00642B96"/>
    <w:rsid w:val="00645A39"/>
    <w:rsid w:val="00652EC1"/>
    <w:rsid w:val="00657130"/>
    <w:rsid w:val="00661A52"/>
    <w:rsid w:val="006654EB"/>
    <w:rsid w:val="00666A44"/>
    <w:rsid w:val="0067388A"/>
    <w:rsid w:val="00674CB3"/>
    <w:rsid w:val="006757B3"/>
    <w:rsid w:val="00680D59"/>
    <w:rsid w:val="006815CC"/>
    <w:rsid w:val="006852F2"/>
    <w:rsid w:val="006952B1"/>
    <w:rsid w:val="0069674C"/>
    <w:rsid w:val="00696E63"/>
    <w:rsid w:val="006A3BDA"/>
    <w:rsid w:val="006A58F7"/>
    <w:rsid w:val="006A745D"/>
    <w:rsid w:val="006A7D4C"/>
    <w:rsid w:val="006B2774"/>
    <w:rsid w:val="006B41ED"/>
    <w:rsid w:val="006B77C1"/>
    <w:rsid w:val="006C249F"/>
    <w:rsid w:val="006C50E6"/>
    <w:rsid w:val="006D02FF"/>
    <w:rsid w:val="006D3025"/>
    <w:rsid w:val="006D54AE"/>
    <w:rsid w:val="006E0CB2"/>
    <w:rsid w:val="006E2545"/>
    <w:rsid w:val="006E3FB4"/>
    <w:rsid w:val="006E71AF"/>
    <w:rsid w:val="006F2850"/>
    <w:rsid w:val="006F37B3"/>
    <w:rsid w:val="006F3E3F"/>
    <w:rsid w:val="006F4B79"/>
    <w:rsid w:val="006F4BD9"/>
    <w:rsid w:val="00712005"/>
    <w:rsid w:val="00712A7A"/>
    <w:rsid w:val="007173B2"/>
    <w:rsid w:val="00720514"/>
    <w:rsid w:val="0072300B"/>
    <w:rsid w:val="00723DB6"/>
    <w:rsid w:val="007240D0"/>
    <w:rsid w:val="00724821"/>
    <w:rsid w:val="00724EF1"/>
    <w:rsid w:val="00727300"/>
    <w:rsid w:val="0073331C"/>
    <w:rsid w:val="007437AF"/>
    <w:rsid w:val="007461D8"/>
    <w:rsid w:val="007505BC"/>
    <w:rsid w:val="00750EA0"/>
    <w:rsid w:val="0075122C"/>
    <w:rsid w:val="0075571F"/>
    <w:rsid w:val="00755A12"/>
    <w:rsid w:val="00757102"/>
    <w:rsid w:val="007602D5"/>
    <w:rsid w:val="00760B0B"/>
    <w:rsid w:val="0076146A"/>
    <w:rsid w:val="007643DF"/>
    <w:rsid w:val="0077221E"/>
    <w:rsid w:val="00783437"/>
    <w:rsid w:val="00785F6A"/>
    <w:rsid w:val="00786192"/>
    <w:rsid w:val="00791145"/>
    <w:rsid w:val="00794B69"/>
    <w:rsid w:val="00795768"/>
    <w:rsid w:val="00797C06"/>
    <w:rsid w:val="007B14A5"/>
    <w:rsid w:val="007B1D9A"/>
    <w:rsid w:val="007B3C9D"/>
    <w:rsid w:val="007C52DB"/>
    <w:rsid w:val="007C564D"/>
    <w:rsid w:val="007D4806"/>
    <w:rsid w:val="007E09BA"/>
    <w:rsid w:val="007E26AB"/>
    <w:rsid w:val="00800A7F"/>
    <w:rsid w:val="00804F14"/>
    <w:rsid w:val="00810E3F"/>
    <w:rsid w:val="0081187B"/>
    <w:rsid w:val="00815581"/>
    <w:rsid w:val="00821518"/>
    <w:rsid w:val="00826ED9"/>
    <w:rsid w:val="008325A4"/>
    <w:rsid w:val="008362ED"/>
    <w:rsid w:val="0084224E"/>
    <w:rsid w:val="00842E10"/>
    <w:rsid w:val="008453EA"/>
    <w:rsid w:val="00845443"/>
    <w:rsid w:val="00847173"/>
    <w:rsid w:val="008505BF"/>
    <w:rsid w:val="00855FF0"/>
    <w:rsid w:val="00857E41"/>
    <w:rsid w:val="0087141A"/>
    <w:rsid w:val="00872877"/>
    <w:rsid w:val="00876321"/>
    <w:rsid w:val="008774B7"/>
    <w:rsid w:val="00883C65"/>
    <w:rsid w:val="008851E3"/>
    <w:rsid w:val="008909D9"/>
    <w:rsid w:val="00891E8E"/>
    <w:rsid w:val="00895850"/>
    <w:rsid w:val="008967C4"/>
    <w:rsid w:val="008A0944"/>
    <w:rsid w:val="008A3C86"/>
    <w:rsid w:val="008A466A"/>
    <w:rsid w:val="008B4EEA"/>
    <w:rsid w:val="008B7077"/>
    <w:rsid w:val="008B7DBB"/>
    <w:rsid w:val="008B7E22"/>
    <w:rsid w:val="008C3055"/>
    <w:rsid w:val="008C35A1"/>
    <w:rsid w:val="008C499A"/>
    <w:rsid w:val="008D2084"/>
    <w:rsid w:val="008D4B35"/>
    <w:rsid w:val="008E7820"/>
    <w:rsid w:val="008F0804"/>
    <w:rsid w:val="008F7D95"/>
    <w:rsid w:val="0091042B"/>
    <w:rsid w:val="00911886"/>
    <w:rsid w:val="00912077"/>
    <w:rsid w:val="009131AE"/>
    <w:rsid w:val="00913962"/>
    <w:rsid w:val="009176B3"/>
    <w:rsid w:val="00920FD6"/>
    <w:rsid w:val="009266D6"/>
    <w:rsid w:val="00944156"/>
    <w:rsid w:val="00947553"/>
    <w:rsid w:val="00953832"/>
    <w:rsid w:val="00954680"/>
    <w:rsid w:val="00960589"/>
    <w:rsid w:val="00961F6E"/>
    <w:rsid w:val="009647D8"/>
    <w:rsid w:val="0096505E"/>
    <w:rsid w:val="009655C9"/>
    <w:rsid w:val="009711F4"/>
    <w:rsid w:val="0097740E"/>
    <w:rsid w:val="009816D8"/>
    <w:rsid w:val="00981A8B"/>
    <w:rsid w:val="009827DD"/>
    <w:rsid w:val="009844B7"/>
    <w:rsid w:val="0098479A"/>
    <w:rsid w:val="009856BA"/>
    <w:rsid w:val="00994079"/>
    <w:rsid w:val="009A1D56"/>
    <w:rsid w:val="009A48D4"/>
    <w:rsid w:val="009A4C98"/>
    <w:rsid w:val="009A54E6"/>
    <w:rsid w:val="009A6D34"/>
    <w:rsid w:val="009B1447"/>
    <w:rsid w:val="009B32F1"/>
    <w:rsid w:val="009B5F90"/>
    <w:rsid w:val="009B6A68"/>
    <w:rsid w:val="009C0087"/>
    <w:rsid w:val="009C6DCA"/>
    <w:rsid w:val="009D2D43"/>
    <w:rsid w:val="009D3649"/>
    <w:rsid w:val="009D444A"/>
    <w:rsid w:val="009D4A6B"/>
    <w:rsid w:val="009D5D33"/>
    <w:rsid w:val="009E1BA4"/>
    <w:rsid w:val="009E5110"/>
    <w:rsid w:val="009E636C"/>
    <w:rsid w:val="009F00C9"/>
    <w:rsid w:val="009F0977"/>
    <w:rsid w:val="009F123A"/>
    <w:rsid w:val="009F5779"/>
    <w:rsid w:val="00A079E8"/>
    <w:rsid w:val="00A10449"/>
    <w:rsid w:val="00A156AD"/>
    <w:rsid w:val="00A23443"/>
    <w:rsid w:val="00A239C3"/>
    <w:rsid w:val="00A251F5"/>
    <w:rsid w:val="00A32C26"/>
    <w:rsid w:val="00A34A5A"/>
    <w:rsid w:val="00A34C00"/>
    <w:rsid w:val="00A359A7"/>
    <w:rsid w:val="00A40CEA"/>
    <w:rsid w:val="00A50E8B"/>
    <w:rsid w:val="00A607BB"/>
    <w:rsid w:val="00A623CB"/>
    <w:rsid w:val="00A67BE8"/>
    <w:rsid w:val="00A71B9A"/>
    <w:rsid w:val="00A76B4B"/>
    <w:rsid w:val="00A814DC"/>
    <w:rsid w:val="00A85671"/>
    <w:rsid w:val="00A9392F"/>
    <w:rsid w:val="00A959CC"/>
    <w:rsid w:val="00AA069E"/>
    <w:rsid w:val="00AA2144"/>
    <w:rsid w:val="00AA4D75"/>
    <w:rsid w:val="00AA646D"/>
    <w:rsid w:val="00AB01D9"/>
    <w:rsid w:val="00AB2E09"/>
    <w:rsid w:val="00AB3ED4"/>
    <w:rsid w:val="00AB6696"/>
    <w:rsid w:val="00AB7BF3"/>
    <w:rsid w:val="00AC096A"/>
    <w:rsid w:val="00AC2549"/>
    <w:rsid w:val="00AC6A97"/>
    <w:rsid w:val="00AC7346"/>
    <w:rsid w:val="00AD692F"/>
    <w:rsid w:val="00AE0EBC"/>
    <w:rsid w:val="00AE2C95"/>
    <w:rsid w:val="00AE382F"/>
    <w:rsid w:val="00AE62A1"/>
    <w:rsid w:val="00AE66E0"/>
    <w:rsid w:val="00AF5766"/>
    <w:rsid w:val="00AF7470"/>
    <w:rsid w:val="00B00A7C"/>
    <w:rsid w:val="00B01DAC"/>
    <w:rsid w:val="00B05525"/>
    <w:rsid w:val="00B058B8"/>
    <w:rsid w:val="00B1225A"/>
    <w:rsid w:val="00B12833"/>
    <w:rsid w:val="00B20D95"/>
    <w:rsid w:val="00B228A0"/>
    <w:rsid w:val="00B25EEE"/>
    <w:rsid w:val="00B276AF"/>
    <w:rsid w:val="00B42A48"/>
    <w:rsid w:val="00B51419"/>
    <w:rsid w:val="00B51E74"/>
    <w:rsid w:val="00B70C52"/>
    <w:rsid w:val="00B71270"/>
    <w:rsid w:val="00B72579"/>
    <w:rsid w:val="00B736FC"/>
    <w:rsid w:val="00B73B1C"/>
    <w:rsid w:val="00B75507"/>
    <w:rsid w:val="00B75C62"/>
    <w:rsid w:val="00B77C57"/>
    <w:rsid w:val="00B90F59"/>
    <w:rsid w:val="00B96C5F"/>
    <w:rsid w:val="00B97083"/>
    <w:rsid w:val="00BA064A"/>
    <w:rsid w:val="00BA1FFC"/>
    <w:rsid w:val="00BA3BF3"/>
    <w:rsid w:val="00BA48ED"/>
    <w:rsid w:val="00BB2A9E"/>
    <w:rsid w:val="00BB4B34"/>
    <w:rsid w:val="00BC030A"/>
    <w:rsid w:val="00BC1142"/>
    <w:rsid w:val="00BC6216"/>
    <w:rsid w:val="00BC775B"/>
    <w:rsid w:val="00BD0663"/>
    <w:rsid w:val="00BD14F6"/>
    <w:rsid w:val="00BD4EBF"/>
    <w:rsid w:val="00BD5A0C"/>
    <w:rsid w:val="00BD5CE4"/>
    <w:rsid w:val="00BF27D6"/>
    <w:rsid w:val="00BF7E8D"/>
    <w:rsid w:val="00C0489E"/>
    <w:rsid w:val="00C04D66"/>
    <w:rsid w:val="00C052DF"/>
    <w:rsid w:val="00C0713D"/>
    <w:rsid w:val="00C10E59"/>
    <w:rsid w:val="00C143ED"/>
    <w:rsid w:val="00C163AE"/>
    <w:rsid w:val="00C17A10"/>
    <w:rsid w:val="00C31CA6"/>
    <w:rsid w:val="00C34122"/>
    <w:rsid w:val="00C429A1"/>
    <w:rsid w:val="00C4466D"/>
    <w:rsid w:val="00C56E02"/>
    <w:rsid w:val="00C57B10"/>
    <w:rsid w:val="00C619F6"/>
    <w:rsid w:val="00C61ACE"/>
    <w:rsid w:val="00C620E8"/>
    <w:rsid w:val="00C65432"/>
    <w:rsid w:val="00C66D30"/>
    <w:rsid w:val="00C754CA"/>
    <w:rsid w:val="00C75774"/>
    <w:rsid w:val="00C758C1"/>
    <w:rsid w:val="00C7636F"/>
    <w:rsid w:val="00C83AE6"/>
    <w:rsid w:val="00C86BB1"/>
    <w:rsid w:val="00C91A2A"/>
    <w:rsid w:val="00C922D1"/>
    <w:rsid w:val="00C92AB9"/>
    <w:rsid w:val="00CA2D4A"/>
    <w:rsid w:val="00CB1AEF"/>
    <w:rsid w:val="00CB3AD8"/>
    <w:rsid w:val="00CB580E"/>
    <w:rsid w:val="00CC15DF"/>
    <w:rsid w:val="00CC3A0F"/>
    <w:rsid w:val="00CC3AF0"/>
    <w:rsid w:val="00CC6F59"/>
    <w:rsid w:val="00CD125E"/>
    <w:rsid w:val="00CD22CD"/>
    <w:rsid w:val="00CD5FE0"/>
    <w:rsid w:val="00CD74A3"/>
    <w:rsid w:val="00CE5DA7"/>
    <w:rsid w:val="00CE7897"/>
    <w:rsid w:val="00CF0334"/>
    <w:rsid w:val="00CF272B"/>
    <w:rsid w:val="00D068BB"/>
    <w:rsid w:val="00D17E4E"/>
    <w:rsid w:val="00D223BB"/>
    <w:rsid w:val="00D30B2A"/>
    <w:rsid w:val="00D36022"/>
    <w:rsid w:val="00D426FE"/>
    <w:rsid w:val="00D46D95"/>
    <w:rsid w:val="00D5423A"/>
    <w:rsid w:val="00D62B25"/>
    <w:rsid w:val="00D63A74"/>
    <w:rsid w:val="00D64394"/>
    <w:rsid w:val="00D649B5"/>
    <w:rsid w:val="00D665DC"/>
    <w:rsid w:val="00D70475"/>
    <w:rsid w:val="00D721D0"/>
    <w:rsid w:val="00D725D9"/>
    <w:rsid w:val="00D83A0D"/>
    <w:rsid w:val="00D9050B"/>
    <w:rsid w:val="00D90E5F"/>
    <w:rsid w:val="00D9133D"/>
    <w:rsid w:val="00D92953"/>
    <w:rsid w:val="00D974A5"/>
    <w:rsid w:val="00DA272C"/>
    <w:rsid w:val="00DA777D"/>
    <w:rsid w:val="00DB41A6"/>
    <w:rsid w:val="00DC16A5"/>
    <w:rsid w:val="00DC261A"/>
    <w:rsid w:val="00DC6A2C"/>
    <w:rsid w:val="00DC7404"/>
    <w:rsid w:val="00DD1066"/>
    <w:rsid w:val="00DD4A65"/>
    <w:rsid w:val="00DE2B04"/>
    <w:rsid w:val="00DE31C9"/>
    <w:rsid w:val="00DF6696"/>
    <w:rsid w:val="00E00F1B"/>
    <w:rsid w:val="00E05D54"/>
    <w:rsid w:val="00E077F4"/>
    <w:rsid w:val="00E13D7C"/>
    <w:rsid w:val="00E20EC8"/>
    <w:rsid w:val="00E2339B"/>
    <w:rsid w:val="00E23BEA"/>
    <w:rsid w:val="00E240AF"/>
    <w:rsid w:val="00E2697F"/>
    <w:rsid w:val="00E30AA4"/>
    <w:rsid w:val="00E312BA"/>
    <w:rsid w:val="00E36648"/>
    <w:rsid w:val="00E42DA7"/>
    <w:rsid w:val="00E50345"/>
    <w:rsid w:val="00E5141F"/>
    <w:rsid w:val="00E576CC"/>
    <w:rsid w:val="00E7114A"/>
    <w:rsid w:val="00E74856"/>
    <w:rsid w:val="00E74AD5"/>
    <w:rsid w:val="00E74D4E"/>
    <w:rsid w:val="00E76176"/>
    <w:rsid w:val="00E76209"/>
    <w:rsid w:val="00E84284"/>
    <w:rsid w:val="00E870F9"/>
    <w:rsid w:val="00E90053"/>
    <w:rsid w:val="00EA0A75"/>
    <w:rsid w:val="00EA6AA2"/>
    <w:rsid w:val="00EB4B6E"/>
    <w:rsid w:val="00EC2E8E"/>
    <w:rsid w:val="00EC7A70"/>
    <w:rsid w:val="00ED0C78"/>
    <w:rsid w:val="00ED5AB7"/>
    <w:rsid w:val="00ED752B"/>
    <w:rsid w:val="00EE37E6"/>
    <w:rsid w:val="00EE3B13"/>
    <w:rsid w:val="00EF1042"/>
    <w:rsid w:val="00EF3AC6"/>
    <w:rsid w:val="00EF3D2A"/>
    <w:rsid w:val="00EF73E6"/>
    <w:rsid w:val="00F03FF9"/>
    <w:rsid w:val="00F0636B"/>
    <w:rsid w:val="00F066B6"/>
    <w:rsid w:val="00F07123"/>
    <w:rsid w:val="00F10EF5"/>
    <w:rsid w:val="00F1729A"/>
    <w:rsid w:val="00F17863"/>
    <w:rsid w:val="00F223E3"/>
    <w:rsid w:val="00F27A9E"/>
    <w:rsid w:val="00F43836"/>
    <w:rsid w:val="00F52A11"/>
    <w:rsid w:val="00F53AD8"/>
    <w:rsid w:val="00F5440B"/>
    <w:rsid w:val="00F63BC9"/>
    <w:rsid w:val="00F674EE"/>
    <w:rsid w:val="00F732AA"/>
    <w:rsid w:val="00F73F12"/>
    <w:rsid w:val="00F75821"/>
    <w:rsid w:val="00F80123"/>
    <w:rsid w:val="00F85F6A"/>
    <w:rsid w:val="00FA061D"/>
    <w:rsid w:val="00FB197E"/>
    <w:rsid w:val="00FB2605"/>
    <w:rsid w:val="00FB3CA7"/>
    <w:rsid w:val="00FC3B6B"/>
    <w:rsid w:val="00FD2DF5"/>
    <w:rsid w:val="00FD5A95"/>
    <w:rsid w:val="00FE3F50"/>
    <w:rsid w:val="00FE60C1"/>
    <w:rsid w:val="00FE7114"/>
    <w:rsid w:val="00FF0F56"/>
    <w:rsid w:val="00FF1A8F"/>
    <w:rsid w:val="00FF4AE0"/>
    <w:rsid w:val="00FF71D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FBEBE"/>
  <w15:chartTrackingRefBased/>
  <w15:docId w15:val="{6247FB5A-D9B1-46F3-A14C-43FC176E2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271"/>
    <w:pPr>
      <w:widowControl w:val="0"/>
      <w:spacing w:after="0" w:line="240" w:lineRule="auto"/>
    </w:pPr>
    <w:rPr>
      <w:kern w:val="2"/>
      <w:sz w:val="24"/>
    </w:rPr>
  </w:style>
  <w:style w:type="paragraph" w:styleId="Heading1">
    <w:name w:val="heading 1"/>
    <w:basedOn w:val="Normal"/>
    <w:next w:val="Normal"/>
    <w:link w:val="Heading1Char"/>
    <w:autoRedefine/>
    <w:uiPriority w:val="9"/>
    <w:qFormat/>
    <w:rsid w:val="00797C06"/>
    <w:pPr>
      <w:keepNext/>
      <w:keepLines/>
      <w:widowControl/>
      <w:snapToGrid w:val="0"/>
      <w:spacing w:before="240"/>
      <w:jc w:val="center"/>
      <w:outlineLvl w:val="0"/>
    </w:pPr>
    <w:rPr>
      <w:rFonts w:ascii="Garamond" w:eastAsiaTheme="majorEastAsia" w:hAnsi="Garamond" w:cstheme="majorBidi"/>
      <w:b/>
      <w:kern w:val="0"/>
      <w:szCs w:val="32"/>
    </w:rPr>
  </w:style>
  <w:style w:type="paragraph" w:styleId="Heading2">
    <w:name w:val="heading 2"/>
    <w:basedOn w:val="Normal"/>
    <w:next w:val="Normal"/>
    <w:link w:val="Heading2Char"/>
    <w:autoRedefine/>
    <w:uiPriority w:val="9"/>
    <w:unhideWhenUsed/>
    <w:qFormat/>
    <w:rsid w:val="00797C06"/>
    <w:pPr>
      <w:keepNext/>
      <w:keepLines/>
      <w:widowControl/>
      <w:snapToGrid w:val="0"/>
      <w:spacing w:before="40"/>
      <w:outlineLvl w:val="1"/>
    </w:pPr>
    <w:rPr>
      <w:rFonts w:ascii="Garamond" w:eastAsiaTheme="majorEastAsia" w:hAnsi="Garamond" w:cstheme="majorBidi"/>
      <w:b/>
      <w:kern w:val="0"/>
      <w:szCs w:val="26"/>
    </w:rPr>
  </w:style>
  <w:style w:type="paragraph" w:styleId="Heading3">
    <w:name w:val="heading 3"/>
    <w:basedOn w:val="Normal"/>
    <w:next w:val="Normal"/>
    <w:link w:val="Heading3Char"/>
    <w:uiPriority w:val="9"/>
    <w:semiHidden/>
    <w:unhideWhenUsed/>
    <w:qFormat/>
    <w:rsid w:val="003312EC"/>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rsid w:val="004426CE"/>
    <w:pPr>
      <w:snapToGrid w:val="0"/>
    </w:pPr>
    <w:rPr>
      <w:rFonts w:ascii="Candara" w:eastAsiaTheme="majorEastAsia" w:hAnsi="Candara" w:cstheme="majorBidi"/>
      <w:kern w:val="0"/>
      <w:sz w:val="18"/>
      <w:szCs w:val="18"/>
    </w:rPr>
  </w:style>
  <w:style w:type="character" w:customStyle="1" w:styleId="BalloonTextChar">
    <w:name w:val="Balloon Text Char"/>
    <w:basedOn w:val="DefaultParagraphFont"/>
    <w:link w:val="BalloonText"/>
    <w:uiPriority w:val="99"/>
    <w:semiHidden/>
    <w:rsid w:val="004426CE"/>
    <w:rPr>
      <w:rFonts w:ascii="Candara" w:eastAsiaTheme="majorEastAsia" w:hAnsi="Candara" w:cstheme="majorBidi"/>
      <w:sz w:val="18"/>
      <w:szCs w:val="18"/>
    </w:rPr>
  </w:style>
  <w:style w:type="paragraph" w:styleId="CommentText">
    <w:name w:val="annotation text"/>
    <w:basedOn w:val="Normal"/>
    <w:link w:val="CommentTextChar"/>
    <w:autoRedefine/>
    <w:uiPriority w:val="99"/>
    <w:unhideWhenUsed/>
    <w:qFormat/>
    <w:rsid w:val="000A1271"/>
    <w:pPr>
      <w:snapToGrid w:val="0"/>
    </w:pPr>
    <w:rPr>
      <w:rFonts w:ascii="Corbel" w:hAnsi="Corbel"/>
      <w:kern w:val="0"/>
      <w:szCs w:val="20"/>
    </w:rPr>
  </w:style>
  <w:style w:type="character" w:customStyle="1" w:styleId="CommentTextChar">
    <w:name w:val="Comment Text Char"/>
    <w:basedOn w:val="DefaultParagraphFont"/>
    <w:link w:val="CommentText"/>
    <w:uiPriority w:val="99"/>
    <w:rsid w:val="000A1271"/>
    <w:rPr>
      <w:rFonts w:ascii="Corbel" w:hAnsi="Corbel"/>
      <w:sz w:val="24"/>
      <w:szCs w:val="20"/>
    </w:rPr>
  </w:style>
  <w:style w:type="character" w:customStyle="1" w:styleId="Heading1Char">
    <w:name w:val="Heading 1 Char"/>
    <w:basedOn w:val="DefaultParagraphFont"/>
    <w:link w:val="Heading1"/>
    <w:uiPriority w:val="9"/>
    <w:rsid w:val="00797C06"/>
    <w:rPr>
      <w:rFonts w:ascii="Garamond" w:eastAsiaTheme="majorEastAsia" w:hAnsi="Garamond" w:cstheme="majorBidi"/>
      <w:b/>
      <w:sz w:val="24"/>
      <w:szCs w:val="32"/>
    </w:rPr>
  </w:style>
  <w:style w:type="character" w:customStyle="1" w:styleId="Heading2Char">
    <w:name w:val="Heading 2 Char"/>
    <w:basedOn w:val="DefaultParagraphFont"/>
    <w:link w:val="Heading2"/>
    <w:uiPriority w:val="9"/>
    <w:rsid w:val="00797C06"/>
    <w:rPr>
      <w:rFonts w:ascii="Garamond" w:eastAsiaTheme="majorEastAsia" w:hAnsi="Garamond" w:cstheme="majorBidi"/>
      <w:b/>
      <w:sz w:val="24"/>
      <w:szCs w:val="26"/>
    </w:rPr>
  </w:style>
  <w:style w:type="table" w:styleId="TableGrid">
    <w:name w:val="Table Grid"/>
    <w:basedOn w:val="TableNormal"/>
    <w:uiPriority w:val="59"/>
    <w:rsid w:val="00490A58"/>
    <w:pPr>
      <w:spacing w:after="0" w:line="240" w:lineRule="auto"/>
    </w:pPr>
    <w:rPr>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3D2A"/>
    <w:pPr>
      <w:widowControl/>
      <w:ind w:leftChars="200" w:left="480"/>
    </w:pPr>
    <w:rPr>
      <w:rFonts w:ascii="新細明體" w:eastAsia="新細明體" w:hAnsi="新細明體" w:cs="新細明體"/>
      <w:kern w:val="0"/>
      <w:szCs w:val="24"/>
    </w:rPr>
  </w:style>
  <w:style w:type="paragraph" w:customStyle="1" w:styleId="DarkList-Accent51">
    <w:name w:val="Dark List - Accent 51"/>
    <w:basedOn w:val="Normal"/>
    <w:qFormat/>
    <w:rsid w:val="0067388A"/>
    <w:pPr>
      <w:widowControl/>
      <w:ind w:left="720"/>
      <w:contextualSpacing/>
    </w:pPr>
    <w:rPr>
      <w:rFonts w:ascii="Gill Sans MT" w:eastAsia="Times New Roman" w:hAnsi="Gill Sans MT" w:cs="Times New Roman"/>
      <w:kern w:val="0"/>
      <w:szCs w:val="24"/>
      <w:lang w:eastAsia="en-US" w:bidi="en-US"/>
    </w:rPr>
  </w:style>
  <w:style w:type="character" w:styleId="CommentReference">
    <w:name w:val="annotation reference"/>
    <w:basedOn w:val="DefaultParagraphFont"/>
    <w:uiPriority w:val="99"/>
    <w:semiHidden/>
    <w:unhideWhenUsed/>
    <w:rsid w:val="000A1271"/>
    <w:rPr>
      <w:sz w:val="16"/>
      <w:szCs w:val="16"/>
    </w:rPr>
  </w:style>
  <w:style w:type="paragraph" w:styleId="CommentSubject">
    <w:name w:val="annotation subject"/>
    <w:basedOn w:val="CommentText"/>
    <w:next w:val="CommentText"/>
    <w:link w:val="CommentSubjectChar"/>
    <w:uiPriority w:val="99"/>
    <w:semiHidden/>
    <w:unhideWhenUsed/>
    <w:rsid w:val="000A1271"/>
    <w:pPr>
      <w:snapToGrid/>
    </w:pPr>
    <w:rPr>
      <w:rFonts w:asciiTheme="minorHAnsi" w:hAnsiTheme="minorHAnsi"/>
      <w:b/>
      <w:bCs/>
      <w:kern w:val="2"/>
      <w:sz w:val="20"/>
    </w:rPr>
  </w:style>
  <w:style w:type="character" w:customStyle="1" w:styleId="CommentSubjectChar">
    <w:name w:val="Comment Subject Char"/>
    <w:basedOn w:val="CommentTextChar"/>
    <w:link w:val="CommentSubject"/>
    <w:uiPriority w:val="99"/>
    <w:semiHidden/>
    <w:rsid w:val="000A1271"/>
    <w:rPr>
      <w:rFonts w:ascii="Corbel" w:hAnsi="Corbel"/>
      <w:b/>
      <w:bCs/>
      <w:kern w:val="2"/>
      <w:sz w:val="20"/>
      <w:szCs w:val="20"/>
    </w:rPr>
  </w:style>
  <w:style w:type="character" w:styleId="Hyperlink">
    <w:name w:val="Hyperlink"/>
    <w:basedOn w:val="DefaultParagraphFont"/>
    <w:uiPriority w:val="99"/>
    <w:unhideWhenUsed/>
    <w:rsid w:val="0063332A"/>
    <w:rPr>
      <w:color w:val="0563C1" w:themeColor="hyperlink"/>
      <w:u w:val="single"/>
    </w:rPr>
  </w:style>
  <w:style w:type="paragraph" w:styleId="NormalWeb">
    <w:name w:val="Normal (Web)"/>
    <w:basedOn w:val="Normal"/>
    <w:uiPriority w:val="99"/>
    <w:rsid w:val="00252601"/>
    <w:pPr>
      <w:widowControl/>
      <w:spacing w:after="100"/>
    </w:pPr>
    <w:rPr>
      <w:rFonts w:ascii="Times New Roman" w:eastAsia="Times New Roman" w:hAnsi="Times New Roman" w:cs="Times New Roman"/>
      <w:color w:val="555555"/>
      <w:kern w:val="0"/>
      <w:szCs w:val="24"/>
      <w:lang w:eastAsia="en-US"/>
    </w:rPr>
  </w:style>
  <w:style w:type="character" w:styleId="Strong">
    <w:name w:val="Strong"/>
    <w:qFormat/>
    <w:rsid w:val="00252601"/>
    <w:rPr>
      <w:b/>
      <w:bCs/>
    </w:rPr>
  </w:style>
  <w:style w:type="character" w:customStyle="1" w:styleId="Heading3Char">
    <w:name w:val="Heading 3 Char"/>
    <w:basedOn w:val="DefaultParagraphFont"/>
    <w:link w:val="Heading3"/>
    <w:rsid w:val="003312EC"/>
    <w:rPr>
      <w:rFonts w:asciiTheme="majorHAnsi" w:eastAsiaTheme="majorEastAsia" w:hAnsiTheme="majorHAnsi" w:cstheme="majorBidi"/>
      <w:color w:val="1F4D78" w:themeColor="accent1" w:themeShade="7F"/>
      <w:kern w:val="2"/>
      <w:sz w:val="24"/>
      <w:szCs w:val="24"/>
    </w:rPr>
  </w:style>
  <w:style w:type="paragraph" w:styleId="Header">
    <w:name w:val="header"/>
    <w:basedOn w:val="Normal"/>
    <w:link w:val="HeaderChar"/>
    <w:uiPriority w:val="99"/>
    <w:unhideWhenUsed/>
    <w:rsid w:val="00233A8E"/>
    <w:pPr>
      <w:tabs>
        <w:tab w:val="center" w:pos="4320"/>
        <w:tab w:val="right" w:pos="8640"/>
      </w:tabs>
    </w:pPr>
  </w:style>
  <w:style w:type="character" w:customStyle="1" w:styleId="HeaderChar">
    <w:name w:val="Header Char"/>
    <w:basedOn w:val="DefaultParagraphFont"/>
    <w:link w:val="Header"/>
    <w:uiPriority w:val="99"/>
    <w:rsid w:val="00233A8E"/>
    <w:rPr>
      <w:kern w:val="2"/>
      <w:sz w:val="24"/>
    </w:rPr>
  </w:style>
  <w:style w:type="paragraph" w:styleId="Footer">
    <w:name w:val="footer"/>
    <w:basedOn w:val="Normal"/>
    <w:link w:val="FooterChar"/>
    <w:uiPriority w:val="99"/>
    <w:unhideWhenUsed/>
    <w:rsid w:val="00233A8E"/>
    <w:pPr>
      <w:tabs>
        <w:tab w:val="center" w:pos="4320"/>
        <w:tab w:val="right" w:pos="8640"/>
      </w:tabs>
    </w:pPr>
  </w:style>
  <w:style w:type="character" w:customStyle="1" w:styleId="FooterChar">
    <w:name w:val="Footer Char"/>
    <w:basedOn w:val="DefaultParagraphFont"/>
    <w:link w:val="Footer"/>
    <w:uiPriority w:val="99"/>
    <w:rsid w:val="00233A8E"/>
    <w:rPr>
      <w:kern w:val="2"/>
      <w:sz w:val="24"/>
    </w:rPr>
  </w:style>
  <w:style w:type="paragraph" w:styleId="EndnoteText">
    <w:name w:val="endnote text"/>
    <w:basedOn w:val="Normal"/>
    <w:link w:val="EndnoteTextChar"/>
    <w:uiPriority w:val="99"/>
    <w:semiHidden/>
    <w:unhideWhenUsed/>
    <w:rsid w:val="009844B7"/>
    <w:rPr>
      <w:sz w:val="20"/>
      <w:szCs w:val="20"/>
    </w:rPr>
  </w:style>
  <w:style w:type="character" w:customStyle="1" w:styleId="EndnoteTextChar">
    <w:name w:val="Endnote Text Char"/>
    <w:basedOn w:val="DefaultParagraphFont"/>
    <w:link w:val="EndnoteText"/>
    <w:uiPriority w:val="99"/>
    <w:semiHidden/>
    <w:rsid w:val="009844B7"/>
    <w:rPr>
      <w:kern w:val="2"/>
      <w:sz w:val="20"/>
      <w:szCs w:val="20"/>
    </w:rPr>
  </w:style>
  <w:style w:type="character" w:styleId="EndnoteReference">
    <w:name w:val="endnote reference"/>
    <w:basedOn w:val="DefaultParagraphFont"/>
    <w:uiPriority w:val="99"/>
    <w:semiHidden/>
    <w:unhideWhenUsed/>
    <w:rsid w:val="009844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1873">
      <w:bodyDiv w:val="1"/>
      <w:marLeft w:val="0"/>
      <w:marRight w:val="0"/>
      <w:marTop w:val="0"/>
      <w:marBottom w:val="0"/>
      <w:divBdr>
        <w:top w:val="none" w:sz="0" w:space="0" w:color="auto"/>
        <w:left w:val="none" w:sz="0" w:space="0" w:color="auto"/>
        <w:bottom w:val="none" w:sz="0" w:space="0" w:color="auto"/>
        <w:right w:val="none" w:sz="0" w:space="0" w:color="auto"/>
      </w:divBdr>
      <w:divsChild>
        <w:div w:id="1670987350">
          <w:marLeft w:val="0"/>
          <w:marRight w:val="0"/>
          <w:marTop w:val="0"/>
          <w:marBottom w:val="0"/>
          <w:divBdr>
            <w:top w:val="none" w:sz="0" w:space="0" w:color="auto"/>
            <w:left w:val="none" w:sz="0" w:space="0" w:color="auto"/>
            <w:bottom w:val="none" w:sz="0" w:space="0" w:color="auto"/>
            <w:right w:val="none" w:sz="0" w:space="0" w:color="auto"/>
          </w:divBdr>
        </w:div>
      </w:divsChild>
    </w:div>
    <w:div w:id="266619967">
      <w:bodyDiv w:val="1"/>
      <w:marLeft w:val="0"/>
      <w:marRight w:val="0"/>
      <w:marTop w:val="0"/>
      <w:marBottom w:val="0"/>
      <w:divBdr>
        <w:top w:val="none" w:sz="0" w:space="0" w:color="auto"/>
        <w:left w:val="none" w:sz="0" w:space="0" w:color="auto"/>
        <w:bottom w:val="none" w:sz="0" w:space="0" w:color="auto"/>
        <w:right w:val="none" w:sz="0" w:space="0" w:color="auto"/>
      </w:divBdr>
    </w:div>
    <w:div w:id="807551784">
      <w:bodyDiv w:val="1"/>
      <w:marLeft w:val="0"/>
      <w:marRight w:val="0"/>
      <w:marTop w:val="0"/>
      <w:marBottom w:val="0"/>
      <w:divBdr>
        <w:top w:val="none" w:sz="0" w:space="0" w:color="auto"/>
        <w:left w:val="none" w:sz="0" w:space="0" w:color="auto"/>
        <w:bottom w:val="none" w:sz="0" w:space="0" w:color="auto"/>
        <w:right w:val="none" w:sz="0" w:space="0" w:color="auto"/>
      </w:divBdr>
      <w:divsChild>
        <w:div w:id="1307706096">
          <w:marLeft w:val="0"/>
          <w:marRight w:val="0"/>
          <w:marTop w:val="0"/>
          <w:marBottom w:val="0"/>
          <w:divBdr>
            <w:top w:val="none" w:sz="0" w:space="0" w:color="auto"/>
            <w:left w:val="none" w:sz="0" w:space="0" w:color="auto"/>
            <w:bottom w:val="none" w:sz="0" w:space="0" w:color="auto"/>
            <w:right w:val="none" w:sz="0" w:space="0" w:color="auto"/>
          </w:divBdr>
        </w:div>
      </w:divsChild>
    </w:div>
    <w:div w:id="905915557">
      <w:bodyDiv w:val="1"/>
      <w:marLeft w:val="0"/>
      <w:marRight w:val="0"/>
      <w:marTop w:val="0"/>
      <w:marBottom w:val="0"/>
      <w:divBdr>
        <w:top w:val="none" w:sz="0" w:space="0" w:color="auto"/>
        <w:left w:val="none" w:sz="0" w:space="0" w:color="auto"/>
        <w:bottom w:val="none" w:sz="0" w:space="0" w:color="auto"/>
        <w:right w:val="none" w:sz="0" w:space="0" w:color="auto"/>
      </w:divBdr>
    </w:div>
    <w:div w:id="1245336856">
      <w:bodyDiv w:val="1"/>
      <w:marLeft w:val="0"/>
      <w:marRight w:val="0"/>
      <w:marTop w:val="0"/>
      <w:marBottom w:val="0"/>
      <w:divBdr>
        <w:top w:val="none" w:sz="0" w:space="0" w:color="auto"/>
        <w:left w:val="none" w:sz="0" w:space="0" w:color="auto"/>
        <w:bottom w:val="none" w:sz="0" w:space="0" w:color="auto"/>
        <w:right w:val="none" w:sz="0" w:space="0" w:color="auto"/>
      </w:divBdr>
    </w:div>
    <w:div w:id="1506167326">
      <w:bodyDiv w:val="1"/>
      <w:marLeft w:val="0"/>
      <w:marRight w:val="0"/>
      <w:marTop w:val="0"/>
      <w:marBottom w:val="0"/>
      <w:divBdr>
        <w:top w:val="none" w:sz="0" w:space="0" w:color="auto"/>
        <w:left w:val="none" w:sz="0" w:space="0" w:color="auto"/>
        <w:bottom w:val="none" w:sz="0" w:space="0" w:color="auto"/>
        <w:right w:val="none" w:sz="0" w:space="0" w:color="auto"/>
      </w:divBdr>
    </w:div>
    <w:div w:id="1545364210">
      <w:bodyDiv w:val="1"/>
      <w:marLeft w:val="0"/>
      <w:marRight w:val="0"/>
      <w:marTop w:val="0"/>
      <w:marBottom w:val="0"/>
      <w:divBdr>
        <w:top w:val="none" w:sz="0" w:space="0" w:color="auto"/>
        <w:left w:val="none" w:sz="0" w:space="0" w:color="auto"/>
        <w:bottom w:val="none" w:sz="0" w:space="0" w:color="auto"/>
        <w:right w:val="none" w:sz="0" w:space="0" w:color="auto"/>
      </w:divBdr>
      <w:divsChild>
        <w:div w:id="576137321">
          <w:marLeft w:val="0"/>
          <w:marRight w:val="0"/>
          <w:marTop w:val="0"/>
          <w:marBottom w:val="0"/>
          <w:divBdr>
            <w:top w:val="none" w:sz="0" w:space="0" w:color="auto"/>
            <w:left w:val="none" w:sz="0" w:space="0" w:color="auto"/>
            <w:bottom w:val="none" w:sz="0" w:space="0" w:color="auto"/>
            <w:right w:val="none" w:sz="0" w:space="0" w:color="auto"/>
          </w:divBdr>
        </w:div>
      </w:divsChild>
    </w:div>
    <w:div w:id="1560507197">
      <w:bodyDiv w:val="1"/>
      <w:marLeft w:val="0"/>
      <w:marRight w:val="0"/>
      <w:marTop w:val="0"/>
      <w:marBottom w:val="0"/>
      <w:divBdr>
        <w:top w:val="none" w:sz="0" w:space="0" w:color="auto"/>
        <w:left w:val="none" w:sz="0" w:space="0" w:color="auto"/>
        <w:bottom w:val="none" w:sz="0" w:space="0" w:color="auto"/>
        <w:right w:val="none" w:sz="0" w:space="0" w:color="auto"/>
      </w:divBdr>
      <w:divsChild>
        <w:div w:id="1618294560">
          <w:marLeft w:val="0"/>
          <w:marRight w:val="0"/>
          <w:marTop w:val="0"/>
          <w:marBottom w:val="0"/>
          <w:divBdr>
            <w:top w:val="none" w:sz="0" w:space="0" w:color="auto"/>
            <w:left w:val="none" w:sz="0" w:space="0" w:color="auto"/>
            <w:bottom w:val="none" w:sz="0" w:space="0" w:color="auto"/>
            <w:right w:val="none" w:sz="0" w:space="0" w:color="auto"/>
          </w:divBdr>
        </w:div>
      </w:divsChild>
    </w:div>
    <w:div w:id="1755736793">
      <w:bodyDiv w:val="1"/>
      <w:marLeft w:val="0"/>
      <w:marRight w:val="0"/>
      <w:marTop w:val="0"/>
      <w:marBottom w:val="0"/>
      <w:divBdr>
        <w:top w:val="none" w:sz="0" w:space="0" w:color="auto"/>
        <w:left w:val="none" w:sz="0" w:space="0" w:color="auto"/>
        <w:bottom w:val="none" w:sz="0" w:space="0" w:color="auto"/>
        <w:right w:val="none" w:sz="0" w:space="0" w:color="auto"/>
      </w:divBdr>
      <w:divsChild>
        <w:div w:id="324672690">
          <w:marLeft w:val="0"/>
          <w:marRight w:val="0"/>
          <w:marTop w:val="0"/>
          <w:marBottom w:val="0"/>
          <w:divBdr>
            <w:top w:val="none" w:sz="0" w:space="0" w:color="auto"/>
            <w:left w:val="none" w:sz="0" w:space="0" w:color="auto"/>
            <w:bottom w:val="none" w:sz="0" w:space="0" w:color="auto"/>
            <w:right w:val="none" w:sz="0" w:space="0" w:color="auto"/>
          </w:divBdr>
        </w:div>
      </w:divsChild>
    </w:div>
    <w:div w:id="2073192144">
      <w:bodyDiv w:val="1"/>
      <w:marLeft w:val="0"/>
      <w:marRight w:val="0"/>
      <w:marTop w:val="0"/>
      <w:marBottom w:val="0"/>
      <w:divBdr>
        <w:top w:val="none" w:sz="0" w:space="0" w:color="auto"/>
        <w:left w:val="none" w:sz="0" w:space="0" w:color="auto"/>
        <w:bottom w:val="none" w:sz="0" w:space="0" w:color="auto"/>
        <w:right w:val="none" w:sz="0" w:space="0" w:color="auto"/>
      </w:divBdr>
      <w:divsChild>
        <w:div w:id="612786036">
          <w:marLeft w:val="0"/>
          <w:marRight w:val="0"/>
          <w:marTop w:val="0"/>
          <w:marBottom w:val="0"/>
          <w:divBdr>
            <w:top w:val="none" w:sz="0" w:space="0" w:color="auto"/>
            <w:left w:val="none" w:sz="0" w:space="0" w:color="auto"/>
            <w:bottom w:val="none" w:sz="0" w:space="0" w:color="auto"/>
            <w:right w:val="none" w:sz="0" w:space="0" w:color="auto"/>
          </w:divBdr>
        </w:div>
      </w:divsChild>
    </w:div>
    <w:div w:id="210884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bookType xmlns="db45c72d-a743-4cd8-8b5e-1c263601775e" xsi:nil="true"/>
    <Invited_Teachers xmlns="db45c72d-a743-4cd8-8b5e-1c263601775e" xsi:nil="true"/>
    <Owner xmlns="db45c72d-a743-4cd8-8b5e-1c263601775e">
      <UserInfo>
        <DisplayName/>
        <AccountId xsi:nil="true"/>
        <AccountType/>
      </UserInfo>
    </Owner>
    <FolderType xmlns="db45c72d-a743-4cd8-8b5e-1c263601775e" xsi:nil="true"/>
    <AppVersion xmlns="db45c72d-a743-4cd8-8b5e-1c263601775e" xsi:nil="true"/>
    <Invited_Students xmlns="db45c72d-a743-4cd8-8b5e-1c263601775e" xsi:nil="true"/>
    <Teachers xmlns="db45c72d-a743-4cd8-8b5e-1c263601775e">
      <UserInfo>
        <DisplayName/>
        <AccountId xsi:nil="true"/>
        <AccountType/>
      </UserInfo>
    </Teachers>
    <Student_Groups xmlns="db45c72d-a743-4cd8-8b5e-1c263601775e">
      <UserInfo>
        <DisplayName/>
        <AccountId xsi:nil="true"/>
        <AccountType/>
      </UserInfo>
    </Student_Groups>
    <DefaultSectionNames xmlns="db45c72d-a743-4cd8-8b5e-1c263601775e" xsi:nil="true"/>
    <Students xmlns="db45c72d-a743-4cd8-8b5e-1c263601775e">
      <UserInfo>
        <DisplayName/>
        <AccountId xsi:nil="true"/>
        <AccountType/>
      </UserInfo>
    </Student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398D4BD015A9478DB50BD97AB23AEE" ma:contentTypeVersion="21" ma:contentTypeDescription="Create a new document." ma:contentTypeScope="" ma:versionID="bf1c74fd143543ff49ecf1e5064ee7f1">
  <xsd:schema xmlns:xsd="http://www.w3.org/2001/XMLSchema" xmlns:xs="http://www.w3.org/2001/XMLSchema" xmlns:p="http://schemas.microsoft.com/office/2006/metadata/properties" xmlns:ns3="db45c72d-a743-4cd8-8b5e-1c263601775e" xmlns:ns4="0f8786d0-9bb3-4d28-9399-d1db850352de" targetNamespace="http://schemas.microsoft.com/office/2006/metadata/properties" ma:root="true" ma:fieldsID="6740e794a0ee5d3286c365c90fbe024d" ns3:_="" ns4:_="">
    <xsd:import namespace="db45c72d-a743-4cd8-8b5e-1c263601775e"/>
    <xsd:import namespace="0f8786d0-9bb3-4d28-9399-d1db850352de"/>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AppVersion" minOccurs="0"/>
                <xsd:element ref="ns3:Teachers" minOccurs="0"/>
                <xsd:element ref="ns3:Students" minOccurs="0"/>
                <xsd:element ref="ns3:Student_Groups" minOccurs="0"/>
                <xsd:element ref="ns3:Invited_Teachers" minOccurs="0"/>
                <xsd:element ref="ns3:Invited_Students"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EventHashCode" minOccurs="0"/>
                <xsd:element ref="ns3:MediaServiceGenerationTim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5c72d-a743-4cd8-8b5e-1c263601775e" elementFormDefault="qualified">
    <xsd:import namespace="http://schemas.microsoft.com/office/2006/documentManagement/types"/>
    <xsd:import namespace="http://schemas.microsoft.com/office/infopath/2007/PartnerControls"/>
    <xsd:element name="NotebookType" ma:index="8" nillable="true" ma:displayName="Notebook Type" ma:indexed="tru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AppVersion" ma:index="12" nillable="true" ma:displayName="App Version" ma:internalName="AppVersion">
      <xsd:simpleType>
        <xsd:restriction base="dms:Text"/>
      </xsd:simpleType>
    </xsd:element>
    <xsd:element name="Teachers" ma:index="1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6" nillable="true" ma:displayName="Invited Teachers" ma:internalName="Invited_Teachers">
      <xsd:simpleType>
        <xsd:restriction base="dms:Note">
          <xsd:maxLength value="255"/>
        </xsd:restriction>
      </xsd:simpleType>
    </xsd:element>
    <xsd:element name="Invited_Students" ma:index="17" nillable="true" ma:displayName="Invited Students" ma:internalName="Invited_Students">
      <xsd:simpleType>
        <xsd:restriction base="dms:Note">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Tags" ma:index="23" nillable="true" ma:displayName="MediaServiceAutoTags" ma:internalName="MediaServiceAutoTags"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8786d0-9bb3-4d28-9399-d1db850352de"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description="" ma:internalName="SharedWithDetails" ma:readOnly="true">
      <xsd:simpleType>
        <xsd:restriction base="dms:Note">
          <xsd:maxLength value="255"/>
        </xsd:restriction>
      </xsd:simpleType>
    </xsd:element>
    <xsd:element name="SharingHintHash" ma:index="20"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EE1BC-2FE0-445C-B0B6-815411A7DC2E}">
  <ds:schemaRefs>
    <ds:schemaRef ds:uri="http://schemas.microsoft.com/office/2006/metadata/properties"/>
    <ds:schemaRef ds:uri="http://schemas.microsoft.com/office/infopath/2007/PartnerControls"/>
    <ds:schemaRef ds:uri="db45c72d-a743-4cd8-8b5e-1c263601775e"/>
  </ds:schemaRefs>
</ds:datastoreItem>
</file>

<file path=customXml/itemProps2.xml><?xml version="1.0" encoding="utf-8"?>
<ds:datastoreItem xmlns:ds="http://schemas.openxmlformats.org/officeDocument/2006/customXml" ds:itemID="{C04F5860-FDEE-4542-A3ED-B602E7932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5c72d-a743-4cd8-8b5e-1c263601775e"/>
    <ds:schemaRef ds:uri="0f8786d0-9bb3-4d28-9399-d1db85035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172DF6-9089-4D40-944C-15EBD29CB91B}">
  <ds:schemaRefs>
    <ds:schemaRef ds:uri="http://schemas.microsoft.com/sharepoint/v3/contenttype/forms"/>
  </ds:schemaRefs>
</ds:datastoreItem>
</file>

<file path=customXml/itemProps4.xml><?xml version="1.0" encoding="utf-8"?>
<ds:datastoreItem xmlns:ds="http://schemas.openxmlformats.org/officeDocument/2006/customXml" ds:itemID="{3EB81D27-2E89-4924-BDE5-5C437C586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11520</Words>
  <Characters>65665</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Yi-Hwa Liou</dc:creator>
  <cp:keywords/>
  <dc:description/>
  <cp:lastModifiedBy>Yi-Hwa Liou</cp:lastModifiedBy>
  <cp:revision>3</cp:revision>
  <dcterms:created xsi:type="dcterms:W3CDTF">2019-12-19T02:55:00Z</dcterms:created>
  <dcterms:modified xsi:type="dcterms:W3CDTF">2019-12-19T02:55:00Z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0x0101003C398D4BD015A9478DB50BD97AB23AEE</vt:lpwstr>
  </property>
</Properties>
</file>