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CDAF8" w14:textId="77777777" w:rsidR="00181374" w:rsidRPr="00601CE0" w:rsidRDefault="00181374" w:rsidP="00531603">
      <w:pPr>
        <w:jc w:val="center"/>
        <w:rPr>
          <w:b/>
        </w:rPr>
      </w:pPr>
    </w:p>
    <w:p w14:paraId="082A2474" w14:textId="6A8762B1" w:rsidR="00B54D62" w:rsidRDefault="000E27C2" w:rsidP="00531603">
      <w:pPr>
        <w:jc w:val="center"/>
        <w:rPr>
          <w:b/>
        </w:rPr>
      </w:pPr>
      <w:r w:rsidRPr="008442CC">
        <w:rPr>
          <w:b/>
        </w:rPr>
        <w:t xml:space="preserve">EU </w:t>
      </w:r>
      <w:r w:rsidR="00887FF5" w:rsidRPr="008442CC">
        <w:rPr>
          <w:b/>
        </w:rPr>
        <w:t>N</w:t>
      </w:r>
      <w:r w:rsidRPr="008442CC">
        <w:rPr>
          <w:b/>
        </w:rPr>
        <w:t xml:space="preserve">ationals’ </w:t>
      </w:r>
      <w:r w:rsidR="00887FF5" w:rsidRPr="008442CC">
        <w:rPr>
          <w:b/>
        </w:rPr>
        <w:t>V</w:t>
      </w:r>
      <w:r w:rsidRPr="008442CC">
        <w:rPr>
          <w:b/>
        </w:rPr>
        <w:t xml:space="preserve">ulnerability in the </w:t>
      </w:r>
      <w:r w:rsidR="00887FF5" w:rsidRPr="008442CC">
        <w:rPr>
          <w:b/>
        </w:rPr>
        <w:t>C</w:t>
      </w:r>
      <w:r w:rsidRPr="008442CC">
        <w:rPr>
          <w:b/>
        </w:rPr>
        <w:t xml:space="preserve">ontext of Brexit: </w:t>
      </w:r>
      <w:r w:rsidR="000960D8" w:rsidRPr="008442CC">
        <w:rPr>
          <w:b/>
        </w:rPr>
        <w:t>The</w:t>
      </w:r>
      <w:r w:rsidRPr="008442CC">
        <w:rPr>
          <w:b/>
        </w:rPr>
        <w:t xml:space="preserve"> </w:t>
      </w:r>
      <w:r w:rsidR="00887FF5" w:rsidRPr="008442CC">
        <w:rPr>
          <w:b/>
        </w:rPr>
        <w:t>C</w:t>
      </w:r>
      <w:r w:rsidRPr="008442CC">
        <w:rPr>
          <w:b/>
        </w:rPr>
        <w:t>ase of</w:t>
      </w:r>
      <w:r w:rsidR="00531603" w:rsidRPr="008442CC">
        <w:rPr>
          <w:b/>
        </w:rPr>
        <w:t xml:space="preserve"> Polish </w:t>
      </w:r>
      <w:r w:rsidR="00887FF5" w:rsidRPr="008442CC">
        <w:rPr>
          <w:b/>
        </w:rPr>
        <w:t>N</w:t>
      </w:r>
      <w:r w:rsidR="00531603" w:rsidRPr="008442CC">
        <w:rPr>
          <w:b/>
        </w:rPr>
        <w:t>ationals</w:t>
      </w:r>
    </w:p>
    <w:p w14:paraId="66E20E98" w14:textId="2406E23E" w:rsidR="007511C1" w:rsidRPr="008442CC" w:rsidRDefault="007511C1" w:rsidP="00531603">
      <w:pPr>
        <w:jc w:val="center"/>
        <w:rPr>
          <w:b/>
        </w:rPr>
      </w:pPr>
      <w:r>
        <w:rPr>
          <w:b/>
        </w:rPr>
        <w:t>Sara Benedi Lahuerta and Ingi Iusmen</w:t>
      </w:r>
    </w:p>
    <w:p w14:paraId="62213659" w14:textId="2F2EE0E8" w:rsidR="00531603" w:rsidRPr="008442CC" w:rsidRDefault="00531603" w:rsidP="00531603">
      <w:pPr>
        <w:jc w:val="center"/>
      </w:pPr>
    </w:p>
    <w:p w14:paraId="1ED68542" w14:textId="3EA173C6" w:rsidR="00230FBC" w:rsidRPr="008442CC" w:rsidRDefault="00230FBC" w:rsidP="00A35D04">
      <w:pPr>
        <w:jc w:val="both"/>
        <w:rPr>
          <w:b/>
          <w:bCs/>
          <w:lang w:val="en-US"/>
        </w:rPr>
      </w:pPr>
    </w:p>
    <w:p w14:paraId="52E33BC2" w14:textId="77777777" w:rsidR="001068D3" w:rsidRPr="008442CC" w:rsidRDefault="001068D3" w:rsidP="00A35D04">
      <w:pPr>
        <w:jc w:val="both"/>
        <w:rPr>
          <w:b/>
          <w:bCs/>
          <w:lang w:val="en-US"/>
        </w:rPr>
      </w:pPr>
    </w:p>
    <w:p w14:paraId="26C309DF" w14:textId="77777777" w:rsidR="00230FBC" w:rsidRPr="008442CC" w:rsidRDefault="00230FBC" w:rsidP="00A35D04">
      <w:pPr>
        <w:jc w:val="both"/>
        <w:rPr>
          <w:b/>
          <w:bCs/>
        </w:rPr>
      </w:pPr>
      <w:r w:rsidRPr="008442CC">
        <w:rPr>
          <w:b/>
          <w:bCs/>
        </w:rPr>
        <w:t>Abstract</w:t>
      </w:r>
    </w:p>
    <w:p w14:paraId="7BB32F2F" w14:textId="77777777" w:rsidR="00230FBC" w:rsidRPr="008442CC" w:rsidRDefault="00230FBC" w:rsidP="00A35D04">
      <w:pPr>
        <w:jc w:val="both"/>
        <w:rPr>
          <w:b/>
          <w:bCs/>
        </w:rPr>
      </w:pPr>
    </w:p>
    <w:p w14:paraId="3574A34D" w14:textId="0EB6B599" w:rsidR="00531603" w:rsidRPr="008442CC" w:rsidRDefault="00531603" w:rsidP="00230FBC">
      <w:pPr>
        <w:jc w:val="both"/>
      </w:pPr>
      <w:bookmarkStart w:id="0" w:name="_GoBack"/>
      <w:r w:rsidRPr="008442CC">
        <w:t xml:space="preserve">Since </w:t>
      </w:r>
      <w:r w:rsidR="00B903EF" w:rsidRPr="008442CC">
        <w:t xml:space="preserve">the </w:t>
      </w:r>
      <w:r w:rsidRPr="008442CC">
        <w:t>late 1990s, populist discourse based on anti-immigration sentiments ha</w:t>
      </w:r>
      <w:r w:rsidR="008531A6" w:rsidRPr="008442CC">
        <w:t>s</w:t>
      </w:r>
      <w:r w:rsidRPr="008442CC">
        <w:t xml:space="preserve"> been on the rise in Britain</w:t>
      </w:r>
      <w:r w:rsidR="009C51E2" w:rsidRPr="008442CC">
        <w:t>. T</w:t>
      </w:r>
      <w:r w:rsidRPr="008442CC">
        <w:t xml:space="preserve">his phenomenon reached a peak during the </w:t>
      </w:r>
      <w:r w:rsidR="004E0676" w:rsidRPr="008442CC">
        <w:t xml:space="preserve">EU </w:t>
      </w:r>
      <w:r w:rsidRPr="008442CC">
        <w:t xml:space="preserve">Referendum </w:t>
      </w:r>
      <w:r w:rsidR="009C51E2" w:rsidRPr="008442CC">
        <w:t>(</w:t>
      </w:r>
      <w:r w:rsidR="004E0676" w:rsidRPr="008442CC">
        <w:t>E</w:t>
      </w:r>
      <w:r w:rsidR="009C51E2" w:rsidRPr="008442CC">
        <w:t>R) c</w:t>
      </w:r>
      <w:r w:rsidRPr="008442CC">
        <w:t xml:space="preserve">ampaign and shortly thereafter. The </w:t>
      </w:r>
      <w:r w:rsidR="004E0676" w:rsidRPr="008442CC">
        <w:t>E</w:t>
      </w:r>
      <w:r w:rsidR="00887FF5" w:rsidRPr="008442CC">
        <w:t>R</w:t>
      </w:r>
      <w:r w:rsidRPr="008442CC">
        <w:t xml:space="preserve"> has been linked </w:t>
      </w:r>
      <w:r w:rsidR="0013706B" w:rsidRPr="008442CC">
        <w:t>to</w:t>
      </w:r>
      <w:r w:rsidRPr="008442CC">
        <w:t xml:space="preserve"> the upsurge in racially and religiously aggravated offences recorded </w:t>
      </w:r>
      <w:r w:rsidR="00887FF5" w:rsidRPr="008442CC">
        <w:t>post-</w:t>
      </w:r>
      <w:r w:rsidRPr="008442CC">
        <w:t xml:space="preserve">July 2016. Polish nationals, who </w:t>
      </w:r>
      <w:r w:rsidR="00A35D04" w:rsidRPr="008442CC">
        <w:t>constitute</w:t>
      </w:r>
      <w:r w:rsidR="0016765A" w:rsidRPr="008442CC">
        <w:t xml:space="preserve"> </w:t>
      </w:r>
      <w:r w:rsidRPr="008442CC">
        <w:t xml:space="preserve">the largest group of EU nationals in the UK, were targeted by many </w:t>
      </w:r>
      <w:r w:rsidR="00887FF5" w:rsidRPr="008442CC">
        <w:t>of these</w:t>
      </w:r>
      <w:r w:rsidRPr="008442CC">
        <w:t xml:space="preserve"> incidents. </w:t>
      </w:r>
      <w:r w:rsidR="00887FF5" w:rsidRPr="008442CC">
        <w:t>I</w:t>
      </w:r>
      <w:r w:rsidRPr="008442CC">
        <w:t xml:space="preserve">t could </w:t>
      </w:r>
      <w:r w:rsidR="00887FF5" w:rsidRPr="008442CC">
        <w:t xml:space="preserve">therefore </w:t>
      </w:r>
      <w:r w:rsidRPr="008442CC">
        <w:t xml:space="preserve">be argued that, in the last years, and particularly, since the </w:t>
      </w:r>
      <w:r w:rsidR="004E0676" w:rsidRPr="008442CC">
        <w:t>E</w:t>
      </w:r>
      <w:r w:rsidR="009C51E2" w:rsidRPr="008442CC">
        <w:t>R</w:t>
      </w:r>
      <w:r w:rsidRPr="008442CC">
        <w:t xml:space="preserve">, EU nationals living in the UK have become more </w:t>
      </w:r>
      <w:r w:rsidR="00E21643" w:rsidRPr="008442CC">
        <w:t>“</w:t>
      </w:r>
      <w:r w:rsidRPr="008442CC">
        <w:t>vulnerable</w:t>
      </w:r>
      <w:r w:rsidR="00E21643" w:rsidRPr="008442CC">
        <w:t>”</w:t>
      </w:r>
      <w:r w:rsidR="00D4311D" w:rsidRPr="008442CC">
        <w:t xml:space="preserve">. </w:t>
      </w:r>
      <w:r w:rsidR="00FD295C" w:rsidRPr="008442CC">
        <w:t>To test this hypothesis,</w:t>
      </w:r>
      <w:r w:rsidRPr="008442CC">
        <w:t xml:space="preserve"> </w:t>
      </w:r>
      <w:r w:rsidR="00FD295C" w:rsidRPr="008442CC">
        <w:t>t</w:t>
      </w:r>
      <w:r w:rsidRPr="008442CC">
        <w:t xml:space="preserve">his contribution is based on an interdisciplinary </w:t>
      </w:r>
      <w:r w:rsidR="009C51E2" w:rsidRPr="008442CC">
        <w:t>p</w:t>
      </w:r>
      <w:r w:rsidRPr="008442CC">
        <w:t xml:space="preserve">roject that collected socio-legal evidence </w:t>
      </w:r>
      <w:r w:rsidR="009C51E2" w:rsidRPr="008442CC">
        <w:t xml:space="preserve">to compare </w:t>
      </w:r>
      <w:r w:rsidR="00FD295C" w:rsidRPr="008442CC">
        <w:t>th</w:t>
      </w:r>
      <w:r w:rsidRPr="008442CC">
        <w:t>e</w:t>
      </w:r>
      <w:r w:rsidR="00FD295C" w:rsidRPr="008442CC">
        <w:t xml:space="preserve"> vulnerability of the</w:t>
      </w:r>
      <w:r w:rsidRPr="008442CC">
        <w:t xml:space="preserve"> Polish community in Southampton</w:t>
      </w:r>
      <w:r w:rsidR="00FD295C" w:rsidRPr="008442CC">
        <w:t xml:space="preserve"> before and after the </w:t>
      </w:r>
      <w:r w:rsidR="004E0676" w:rsidRPr="008442CC">
        <w:t>E</w:t>
      </w:r>
      <w:r w:rsidR="009C51E2" w:rsidRPr="008442CC">
        <w:t>R</w:t>
      </w:r>
      <w:r w:rsidRPr="008442CC">
        <w:t xml:space="preserve">. </w:t>
      </w:r>
      <w:r w:rsidR="00D4311D" w:rsidRPr="008442CC">
        <w:t xml:space="preserve">The paper draws on vulnerability and psychology literature to differentiate between </w:t>
      </w:r>
      <w:r w:rsidR="00E21643" w:rsidRPr="008442CC">
        <w:t>“</w:t>
      </w:r>
      <w:r w:rsidR="00D4311D" w:rsidRPr="008442CC">
        <w:t>objective</w:t>
      </w:r>
      <w:r w:rsidR="00E21643" w:rsidRPr="008442CC">
        <w:t>”</w:t>
      </w:r>
      <w:r w:rsidR="00D4311D" w:rsidRPr="008442CC">
        <w:t xml:space="preserve"> and </w:t>
      </w:r>
      <w:r w:rsidR="00E21643" w:rsidRPr="008442CC">
        <w:t>“</w:t>
      </w:r>
      <w:r w:rsidR="00D4311D" w:rsidRPr="008442CC">
        <w:t>subjective</w:t>
      </w:r>
      <w:r w:rsidR="00E21643" w:rsidRPr="008442CC">
        <w:t>”</w:t>
      </w:r>
      <w:r w:rsidR="00D4311D" w:rsidRPr="008442CC">
        <w:t xml:space="preserve"> vulnerability. </w:t>
      </w:r>
      <w:r w:rsidR="002574EC" w:rsidRPr="008442CC">
        <w:t xml:space="preserve">Our study deploys </w:t>
      </w:r>
      <w:r w:rsidR="00230FBC" w:rsidRPr="008442CC">
        <w:t xml:space="preserve">mixed methods </w:t>
      </w:r>
      <w:r w:rsidR="0000364A" w:rsidRPr="008442CC">
        <w:t xml:space="preserve">(qualitative and quantitative) </w:t>
      </w:r>
      <w:r w:rsidR="009C51E2" w:rsidRPr="008442CC">
        <w:t>to test changes in objective and subjective vulnerability among Southampton</w:t>
      </w:r>
      <w:r w:rsidR="00887FF5" w:rsidRPr="008442CC">
        <w:t>-based Poles</w:t>
      </w:r>
      <w:r w:rsidR="009C51E2" w:rsidRPr="008442CC">
        <w:t xml:space="preserve"> before and after the </w:t>
      </w:r>
      <w:r w:rsidR="004E0676" w:rsidRPr="008442CC">
        <w:t>E</w:t>
      </w:r>
      <w:r w:rsidR="009C51E2" w:rsidRPr="008442CC">
        <w:t xml:space="preserve">R. Our </w:t>
      </w:r>
      <w:r w:rsidR="00230FBC" w:rsidRPr="008442CC">
        <w:t xml:space="preserve">findings </w:t>
      </w:r>
      <w:r w:rsidR="00887FF5" w:rsidRPr="008442CC">
        <w:t>suggest</w:t>
      </w:r>
      <w:r w:rsidR="00230FBC" w:rsidRPr="008442CC">
        <w:t xml:space="preserve"> </w:t>
      </w:r>
      <w:r w:rsidR="009C51E2" w:rsidRPr="008442CC">
        <w:t>that</w:t>
      </w:r>
      <w:r w:rsidR="00887FF5" w:rsidRPr="008442CC">
        <w:t>,</w:t>
      </w:r>
      <w:r w:rsidRPr="008442CC">
        <w:t xml:space="preserve"> </w:t>
      </w:r>
      <w:r w:rsidR="00887FF5" w:rsidRPr="008442CC">
        <w:t xml:space="preserve">following the </w:t>
      </w:r>
      <w:r w:rsidR="004E0676" w:rsidRPr="008442CC">
        <w:t>E</w:t>
      </w:r>
      <w:r w:rsidR="00230FBC" w:rsidRPr="008442CC">
        <w:t>R</w:t>
      </w:r>
      <w:r w:rsidR="00887FF5" w:rsidRPr="008442CC">
        <w:t>,</w:t>
      </w:r>
      <w:r w:rsidR="00230FBC" w:rsidRPr="008442CC">
        <w:t xml:space="preserve"> </w:t>
      </w:r>
      <w:r w:rsidR="00887FF5" w:rsidRPr="008442CC">
        <w:t>Poles</w:t>
      </w:r>
      <w:r w:rsidR="0026767E" w:rsidRPr="008442CC">
        <w:t xml:space="preserve"> </w:t>
      </w:r>
      <w:r w:rsidR="00887FF5" w:rsidRPr="008442CC">
        <w:t xml:space="preserve">felt </w:t>
      </w:r>
      <w:r w:rsidR="0026767E" w:rsidRPr="008442CC">
        <w:t xml:space="preserve">significantly </w:t>
      </w:r>
      <w:r w:rsidR="00D4311D" w:rsidRPr="008442CC">
        <w:t>more</w:t>
      </w:r>
      <w:r w:rsidR="00887FF5" w:rsidRPr="008442CC">
        <w:t xml:space="preserve"> vulnerable, especially in terms of </w:t>
      </w:r>
      <w:r w:rsidR="009C51E2" w:rsidRPr="008442CC">
        <w:t xml:space="preserve">subjective vulnerability, even </w:t>
      </w:r>
      <w:r w:rsidR="00887FF5" w:rsidRPr="008442CC">
        <w:t>if they</w:t>
      </w:r>
      <w:r w:rsidR="009C51E2" w:rsidRPr="008442CC">
        <w:t xml:space="preserve"> had never experienced overt hate incidents or discrimination (objective vulnerability) </w:t>
      </w:r>
      <w:r w:rsidR="00887FF5" w:rsidRPr="008442CC">
        <w:t>before</w:t>
      </w:r>
      <w:r w:rsidR="009C51E2" w:rsidRPr="008442CC">
        <w:t>.</w:t>
      </w:r>
    </w:p>
    <w:bookmarkEnd w:id="0"/>
    <w:p w14:paraId="43E935C9" w14:textId="64C12686" w:rsidR="00531603" w:rsidRPr="008442CC" w:rsidRDefault="00531603" w:rsidP="00531603">
      <w:pPr>
        <w:jc w:val="both"/>
      </w:pPr>
    </w:p>
    <w:p w14:paraId="60EFDFF5" w14:textId="4D24FAB0" w:rsidR="00531603" w:rsidRPr="008442CC" w:rsidRDefault="00531603" w:rsidP="00531603">
      <w:pPr>
        <w:jc w:val="both"/>
      </w:pPr>
      <w:r w:rsidRPr="008442CC">
        <w:rPr>
          <w:b/>
        </w:rPr>
        <w:t>Key words</w:t>
      </w:r>
      <w:r w:rsidR="008B44BA" w:rsidRPr="008442CC">
        <w:rPr>
          <w:b/>
        </w:rPr>
        <w:t>:</w:t>
      </w:r>
      <w:r w:rsidR="008B44BA" w:rsidRPr="008442CC">
        <w:t xml:space="preserve"> </w:t>
      </w:r>
      <w:r w:rsidR="00DD729F" w:rsidRPr="008442CC">
        <w:t xml:space="preserve">vulnerability, discrimination, </w:t>
      </w:r>
      <w:r w:rsidR="008B44BA" w:rsidRPr="008442CC">
        <w:t xml:space="preserve">hate crime, </w:t>
      </w:r>
      <w:r w:rsidR="00DD729F" w:rsidRPr="008442CC">
        <w:t>Brexit, EU nationals</w:t>
      </w:r>
    </w:p>
    <w:p w14:paraId="4CFBAFB9" w14:textId="77777777" w:rsidR="000850D8" w:rsidRPr="008442CC" w:rsidRDefault="000850D8" w:rsidP="00531603">
      <w:pPr>
        <w:jc w:val="both"/>
      </w:pPr>
    </w:p>
    <w:p w14:paraId="77F4717B" w14:textId="77B277E9" w:rsidR="00531603" w:rsidRPr="008442CC" w:rsidRDefault="00531603" w:rsidP="00531603">
      <w:pPr>
        <w:jc w:val="both"/>
      </w:pPr>
    </w:p>
    <w:p w14:paraId="14AF2C25" w14:textId="0AD0C598" w:rsidR="00531603" w:rsidRPr="008442CC" w:rsidRDefault="00230FBC" w:rsidP="00230FBC">
      <w:pPr>
        <w:jc w:val="both"/>
        <w:rPr>
          <w:b/>
        </w:rPr>
      </w:pPr>
      <w:r w:rsidRPr="008442CC">
        <w:rPr>
          <w:b/>
        </w:rPr>
        <w:t>1. Introduction</w:t>
      </w:r>
    </w:p>
    <w:p w14:paraId="475423CC" w14:textId="1188B121" w:rsidR="000850D8" w:rsidRPr="008442CC" w:rsidRDefault="000850D8" w:rsidP="000850D8">
      <w:pPr>
        <w:jc w:val="both"/>
        <w:rPr>
          <w:b/>
        </w:rPr>
      </w:pPr>
    </w:p>
    <w:p w14:paraId="1A5F1648" w14:textId="58B5EC8B" w:rsidR="00645972" w:rsidRPr="008442CC" w:rsidRDefault="000850D8" w:rsidP="00123FEE">
      <w:pPr>
        <w:spacing w:after="120" w:line="360" w:lineRule="auto"/>
        <w:jc w:val="both"/>
      </w:pPr>
      <w:r w:rsidRPr="008442CC">
        <w:t xml:space="preserve">Since the late 1990s, populist discourse based on anti-immigration sentiments has been on the rise in the UK, with such feelings being increasingly expressed among the establishment (McLaren and Johnson 2004). </w:t>
      </w:r>
      <w:r w:rsidR="00014482" w:rsidRPr="008442CC">
        <w:t>T</w:t>
      </w:r>
      <w:r w:rsidRPr="008442CC">
        <w:t xml:space="preserve">his phenomenon reached a peak during the </w:t>
      </w:r>
      <w:r w:rsidR="004E0676" w:rsidRPr="008442CC">
        <w:t>EU</w:t>
      </w:r>
      <w:r w:rsidR="00123FEE" w:rsidRPr="008442CC">
        <w:t xml:space="preserve"> </w:t>
      </w:r>
      <w:r w:rsidRPr="008442CC">
        <w:t xml:space="preserve">Referendum </w:t>
      </w:r>
      <w:r w:rsidR="00123FEE" w:rsidRPr="008442CC">
        <w:t>(</w:t>
      </w:r>
      <w:r w:rsidR="004E0676" w:rsidRPr="008442CC">
        <w:t>E</w:t>
      </w:r>
      <w:r w:rsidR="00123FEE" w:rsidRPr="008442CC">
        <w:t>R) c</w:t>
      </w:r>
      <w:r w:rsidRPr="008442CC">
        <w:t>ampaign and shortly thereafter</w:t>
      </w:r>
      <w:r w:rsidR="00135306" w:rsidRPr="008442CC">
        <w:t xml:space="preserve">. Indeed, </w:t>
      </w:r>
      <w:r w:rsidR="00B95575" w:rsidRPr="008442CC">
        <w:t xml:space="preserve">in </w:t>
      </w:r>
      <w:r w:rsidRPr="008442CC">
        <w:t>July 2016</w:t>
      </w:r>
      <w:r w:rsidR="00B95575" w:rsidRPr="008442CC">
        <w:t>,</w:t>
      </w:r>
      <w:r w:rsidR="00A53887" w:rsidRPr="008442CC">
        <w:t xml:space="preserve"> </w:t>
      </w:r>
      <w:r w:rsidR="00B21F90" w:rsidRPr="008442CC">
        <w:t xml:space="preserve">following the </w:t>
      </w:r>
      <w:r w:rsidR="004E0676" w:rsidRPr="008442CC">
        <w:t>ER</w:t>
      </w:r>
      <w:r w:rsidR="00B21F90" w:rsidRPr="008442CC">
        <w:t>, there was a 29% increase in the hate crimes recorded in England and Wales, 78% of them were racially motivated whereas 7% were religiously motivated</w:t>
      </w:r>
      <w:r w:rsidRPr="008442CC">
        <w:t xml:space="preserve"> (Home Office 201</w:t>
      </w:r>
      <w:r w:rsidR="005C5D6F" w:rsidRPr="008442CC">
        <w:t>6</w:t>
      </w:r>
      <w:r w:rsidRPr="008442CC">
        <w:t>).</w:t>
      </w:r>
      <w:r w:rsidR="00645972" w:rsidRPr="008442CC">
        <w:t xml:space="preserve"> Polish nationals, who constitute the largest group of EU nationals,</w:t>
      </w:r>
      <w:r w:rsidR="00645972" w:rsidRPr="008442CC">
        <w:rPr>
          <w:rStyle w:val="EndnoteReference"/>
        </w:rPr>
        <w:endnoteReference w:id="1"/>
      </w:r>
      <w:r w:rsidR="00645972" w:rsidRPr="008442CC">
        <w:t xml:space="preserve"> were targeted by many of the post-</w:t>
      </w:r>
      <w:r w:rsidR="004E0676" w:rsidRPr="008442CC">
        <w:t xml:space="preserve">ER </w:t>
      </w:r>
      <w:r w:rsidR="00645972" w:rsidRPr="008442CC">
        <w:t>hate crimes (ONS 2016).</w:t>
      </w:r>
    </w:p>
    <w:p w14:paraId="43FFF802" w14:textId="2A95FCB8" w:rsidR="00645972" w:rsidRPr="008442CC" w:rsidRDefault="00645972" w:rsidP="00123FEE">
      <w:pPr>
        <w:spacing w:after="120" w:line="360" w:lineRule="auto"/>
        <w:jc w:val="both"/>
      </w:pPr>
      <w:r w:rsidRPr="008442CC">
        <w:t xml:space="preserve">Besides the post-referendum </w:t>
      </w:r>
      <w:r w:rsidRPr="008442CC">
        <w:rPr>
          <w:i/>
        </w:rPr>
        <w:t>objective</w:t>
      </w:r>
      <w:r w:rsidRPr="008442CC">
        <w:t xml:space="preserve"> increase in recorded racist hate crime, the politi</w:t>
      </w:r>
      <w:r w:rsidR="001F2639" w:rsidRPr="008442CC">
        <w:t>ciz</w:t>
      </w:r>
      <w:r w:rsidRPr="008442CC">
        <w:t>ation of Englishness (</w:t>
      </w:r>
      <w:proofErr w:type="spellStart"/>
      <w:r w:rsidRPr="008442CC">
        <w:t>Virdee</w:t>
      </w:r>
      <w:proofErr w:type="spellEnd"/>
      <w:r w:rsidRPr="008442CC">
        <w:t xml:space="preserve"> and </w:t>
      </w:r>
      <w:proofErr w:type="spellStart"/>
      <w:r w:rsidRPr="008442CC">
        <w:t>McGeever</w:t>
      </w:r>
      <w:proofErr w:type="spellEnd"/>
      <w:r w:rsidRPr="008442CC">
        <w:t xml:space="preserve"> 2018) has also </w:t>
      </w:r>
      <w:r w:rsidR="00B903EF" w:rsidRPr="008442CC">
        <w:t>“</w:t>
      </w:r>
      <w:r w:rsidRPr="008442CC">
        <w:t>othered</w:t>
      </w:r>
      <w:r w:rsidR="00B903EF" w:rsidRPr="008442CC">
        <w:t>”</w:t>
      </w:r>
      <w:r w:rsidRPr="008442CC">
        <w:t xml:space="preserve"> EU nationals (Cohen and Page 2018), who increasingly </w:t>
      </w:r>
      <w:r w:rsidRPr="008442CC">
        <w:rPr>
          <w:i/>
        </w:rPr>
        <w:t>feel</w:t>
      </w:r>
      <w:r w:rsidRPr="008442CC">
        <w:t xml:space="preserve"> that they do not belong in the </w:t>
      </w:r>
      <w:r w:rsidRPr="008442CC">
        <w:lastRenderedPageBreak/>
        <w:t>UK</w:t>
      </w:r>
      <w:r w:rsidR="00525648" w:rsidRPr="008442CC">
        <w:t>.</w:t>
      </w:r>
      <w:r w:rsidRPr="008442CC">
        <w:t xml:space="preserve"> </w:t>
      </w:r>
      <w:r w:rsidR="00525648" w:rsidRPr="008442CC">
        <w:t>W</w:t>
      </w:r>
      <w:r w:rsidRPr="008442CC">
        <w:t>hilst the manifestation of racism post-</w:t>
      </w:r>
      <w:r w:rsidR="004E0676" w:rsidRPr="008442CC">
        <w:t xml:space="preserve">ER </w:t>
      </w:r>
      <w:r w:rsidRPr="008442CC">
        <w:t xml:space="preserve">has taken many shapes (including hate incidents), it has also created a more nebulous -yet tangible- </w:t>
      </w:r>
      <w:r w:rsidR="00B903EF" w:rsidRPr="008442CC">
        <w:t>“</w:t>
      </w:r>
      <w:r w:rsidRPr="008442CC">
        <w:t>hostile environment</w:t>
      </w:r>
      <w:r w:rsidR="00B903EF" w:rsidRPr="008442CC">
        <w:t>”</w:t>
      </w:r>
      <w:r w:rsidRPr="008442CC">
        <w:t xml:space="preserve"> </w:t>
      </w:r>
      <w:r w:rsidR="00E21643" w:rsidRPr="008442CC">
        <w:t xml:space="preserve">(Travis 2013) </w:t>
      </w:r>
      <w:r w:rsidRPr="008442CC">
        <w:t>where many Britons seem to feel more entitled to express xenophobic views</w:t>
      </w:r>
      <w:r w:rsidR="006F67DC" w:rsidRPr="008442CC">
        <w:t xml:space="preserve"> (UN Special Rapporteur </w:t>
      </w:r>
      <w:r w:rsidR="00F434D6" w:rsidRPr="008442CC">
        <w:rPr>
          <w:rFonts w:eastAsia="Times New Roman" w:cstheme="minorHAnsi"/>
          <w:shd w:val="clear" w:color="auto" w:fill="FFFFFF"/>
          <w:lang w:val="en-US" w:eastAsia="en-GB"/>
        </w:rPr>
        <w:t>on Contemporary Forms of Racism, Racial Discrimination, Xenophobia and Related Intolerance</w:t>
      </w:r>
      <w:r w:rsidR="00F434D6" w:rsidRPr="008442CC">
        <w:rPr>
          <w:rFonts w:ascii="Segoe UI" w:eastAsia="Times New Roman" w:hAnsi="Segoe UI" w:cs="Segoe UI"/>
          <w:b/>
          <w:bCs/>
          <w:sz w:val="22"/>
          <w:szCs w:val="22"/>
          <w:shd w:val="clear" w:color="auto" w:fill="FFFFFF"/>
          <w:lang w:val="en-US" w:eastAsia="en-GB"/>
        </w:rPr>
        <w:t xml:space="preserve"> </w:t>
      </w:r>
      <w:r w:rsidR="006F67DC" w:rsidRPr="008442CC">
        <w:t>201</w:t>
      </w:r>
      <w:r w:rsidR="003D720F" w:rsidRPr="008442CC">
        <w:t>8</w:t>
      </w:r>
      <w:r w:rsidR="006F67DC" w:rsidRPr="008442CC">
        <w:t>)</w:t>
      </w:r>
      <w:r w:rsidRPr="008442CC">
        <w:t xml:space="preserve">, leading </w:t>
      </w:r>
      <w:r w:rsidR="006F67DC" w:rsidRPr="008442CC">
        <w:t xml:space="preserve">those </w:t>
      </w:r>
      <w:r w:rsidR="00B95575" w:rsidRPr="008442CC">
        <w:t>foreig</w:t>
      </w:r>
      <w:r w:rsidR="006F67DC" w:rsidRPr="008442CC">
        <w:t>n-born</w:t>
      </w:r>
      <w:r w:rsidRPr="008442CC">
        <w:t xml:space="preserve"> to </w:t>
      </w:r>
      <w:r w:rsidRPr="008442CC">
        <w:rPr>
          <w:i/>
        </w:rPr>
        <w:t>subjectively</w:t>
      </w:r>
      <w:r w:rsidRPr="008442CC">
        <w:t xml:space="preserve"> </w:t>
      </w:r>
      <w:r w:rsidR="00B903EF" w:rsidRPr="008442CC">
        <w:t>“</w:t>
      </w:r>
      <w:r w:rsidRPr="008442CC">
        <w:t>feel unwelcome</w:t>
      </w:r>
      <w:r w:rsidR="00B903EF" w:rsidRPr="008442CC">
        <w:t>”</w:t>
      </w:r>
      <w:r w:rsidRPr="008442CC">
        <w:t xml:space="preserve"> and to perceive that their nationality may </w:t>
      </w:r>
      <w:r w:rsidRPr="008442CC">
        <w:rPr>
          <w:i/>
        </w:rPr>
        <w:t>now</w:t>
      </w:r>
      <w:r w:rsidRPr="008442CC">
        <w:t xml:space="preserve"> start to be an aggravating problem</w:t>
      </w:r>
      <w:r w:rsidR="00B95575" w:rsidRPr="008442CC">
        <w:t>.</w:t>
      </w:r>
    </w:p>
    <w:p w14:paraId="75F37807" w14:textId="1754D879" w:rsidR="00645972" w:rsidRPr="008442CC" w:rsidRDefault="00645972" w:rsidP="00E047F2">
      <w:pPr>
        <w:spacing w:after="120" w:line="360" w:lineRule="auto"/>
        <w:jc w:val="both"/>
        <w:rPr>
          <w:bCs/>
        </w:rPr>
      </w:pPr>
      <w:r w:rsidRPr="008442CC">
        <w:t xml:space="preserve">We draw on the notion of </w:t>
      </w:r>
      <w:r w:rsidR="00B903EF" w:rsidRPr="008442CC">
        <w:t>“</w:t>
      </w:r>
      <w:r w:rsidRPr="008442CC">
        <w:t>vulnerability</w:t>
      </w:r>
      <w:r w:rsidR="00B903EF" w:rsidRPr="008442CC">
        <w:t>”</w:t>
      </w:r>
      <w:r w:rsidRPr="008442CC">
        <w:t xml:space="preserve"> developed by Fineman (2008) and psychology literature to build a theoretical framework that distinguishes between </w:t>
      </w:r>
      <w:r w:rsidRPr="008442CC">
        <w:rPr>
          <w:i/>
        </w:rPr>
        <w:t>objective</w:t>
      </w:r>
      <w:r w:rsidRPr="008442CC">
        <w:t xml:space="preserve"> and </w:t>
      </w:r>
      <w:r w:rsidRPr="008442CC">
        <w:rPr>
          <w:i/>
        </w:rPr>
        <w:t xml:space="preserve">subjective </w:t>
      </w:r>
      <w:r w:rsidRPr="008442CC">
        <w:t xml:space="preserve">vulnerability. We apply those concepts to the experiences and perceptions of Southampton-based Polish nationals </w:t>
      </w:r>
      <w:r w:rsidRPr="008442CC">
        <w:rPr>
          <w:i/>
        </w:rPr>
        <w:t>before and after</w:t>
      </w:r>
      <w:r w:rsidRPr="008442CC">
        <w:t xml:space="preserve"> the </w:t>
      </w:r>
      <w:r w:rsidR="004E0676" w:rsidRPr="008442CC">
        <w:t>ER</w:t>
      </w:r>
      <w:r w:rsidRPr="008442CC">
        <w:t>.</w:t>
      </w:r>
      <w:r w:rsidRPr="008442CC">
        <w:rPr>
          <w:rStyle w:val="EndnoteReference"/>
          <w:bCs/>
        </w:rPr>
        <w:endnoteReference w:id="2"/>
      </w:r>
      <w:r w:rsidRPr="008442CC">
        <w:rPr>
          <w:bCs/>
        </w:rPr>
        <w:t xml:space="preserve"> On this basis, our key research question </w:t>
      </w:r>
      <w:r w:rsidR="00CB1E0B" w:rsidRPr="008442CC">
        <w:rPr>
          <w:bCs/>
        </w:rPr>
        <w:t>is</w:t>
      </w:r>
      <w:r w:rsidRPr="008442CC">
        <w:rPr>
          <w:bCs/>
        </w:rPr>
        <w:t xml:space="preserve">: How has the </w:t>
      </w:r>
      <w:r w:rsidR="004E0676" w:rsidRPr="008442CC">
        <w:rPr>
          <w:bCs/>
        </w:rPr>
        <w:t>ER</w:t>
      </w:r>
      <w:r w:rsidRPr="008442CC">
        <w:rPr>
          <w:bCs/>
        </w:rPr>
        <w:t xml:space="preserve"> campaign and vote impacted on the Objective Vulnerability (OV) </w:t>
      </w:r>
      <w:r w:rsidR="00CB1E0B" w:rsidRPr="008442CC">
        <w:rPr>
          <w:bCs/>
        </w:rPr>
        <w:t>and</w:t>
      </w:r>
      <w:r w:rsidRPr="008442CC">
        <w:rPr>
          <w:bCs/>
        </w:rPr>
        <w:t xml:space="preserve"> Subjective Vulnerability (SV) experienced by Poles in Southampton?</w:t>
      </w:r>
    </w:p>
    <w:p w14:paraId="18849E67" w14:textId="76290970" w:rsidR="00645972" w:rsidRPr="008442CC" w:rsidRDefault="00D16B33" w:rsidP="00E047F2">
      <w:pPr>
        <w:spacing w:after="120" w:line="360" w:lineRule="auto"/>
        <w:jc w:val="both"/>
      </w:pPr>
      <w:r w:rsidRPr="008442CC">
        <w:t xml:space="preserve">Based on evidence from </w:t>
      </w:r>
      <w:r w:rsidR="00645972" w:rsidRPr="008442CC">
        <w:t xml:space="preserve">this theoretical framework and the analysis of data collected via mixed methods (survey, focus groups and interviews) among Southampton-based Poles between April and July 2018, the paper makes </w:t>
      </w:r>
      <w:r w:rsidR="00E21643" w:rsidRPr="008442CC">
        <w:t xml:space="preserve">original </w:t>
      </w:r>
      <w:r w:rsidR="00645972" w:rsidRPr="008442CC">
        <w:t xml:space="preserve">analytical and empirical contributions to the emerging literature on Brexit and the </w:t>
      </w:r>
      <w:r w:rsidR="00E21643" w:rsidRPr="008442CC">
        <w:t xml:space="preserve">vulnerability </w:t>
      </w:r>
      <w:r w:rsidR="00270DEA" w:rsidRPr="008442CC">
        <w:t xml:space="preserve">of </w:t>
      </w:r>
      <w:r w:rsidR="00645972" w:rsidRPr="008442CC">
        <w:t xml:space="preserve">EU nationals. </w:t>
      </w:r>
      <w:r w:rsidR="00645972" w:rsidRPr="008442CC">
        <w:rPr>
          <w:i/>
        </w:rPr>
        <w:t>Analytically</w:t>
      </w:r>
      <w:r w:rsidR="00645972" w:rsidRPr="008442CC">
        <w:t>, it provides a new conceptuali</w:t>
      </w:r>
      <w:r w:rsidR="00B903EF" w:rsidRPr="008442CC">
        <w:t>s</w:t>
      </w:r>
      <w:r w:rsidR="00645972" w:rsidRPr="008442CC">
        <w:t xml:space="preserve">ation of </w:t>
      </w:r>
      <w:r w:rsidR="00B903EF" w:rsidRPr="008442CC">
        <w:t>“</w:t>
      </w:r>
      <w:r w:rsidR="00645972" w:rsidRPr="008442CC">
        <w:t>vulnerability</w:t>
      </w:r>
      <w:r w:rsidR="00B903EF" w:rsidRPr="008442CC">
        <w:t>”</w:t>
      </w:r>
      <w:r w:rsidR="00525648" w:rsidRPr="008442CC">
        <w:t xml:space="preserve"> </w:t>
      </w:r>
      <w:r w:rsidR="00F10601" w:rsidRPr="008442CC">
        <w:t>(</w:t>
      </w:r>
      <w:r w:rsidR="00525648" w:rsidRPr="008442CC">
        <w:t>the</w:t>
      </w:r>
      <w:r w:rsidR="00645972" w:rsidRPr="008442CC">
        <w:t xml:space="preserve"> </w:t>
      </w:r>
      <w:r w:rsidR="00F10601" w:rsidRPr="008442CC">
        <w:t>distinction between OV and SV),</w:t>
      </w:r>
      <w:r w:rsidR="00525648" w:rsidRPr="008442CC">
        <w:t xml:space="preserve"> which sheds light on </w:t>
      </w:r>
      <w:r w:rsidR="00645972" w:rsidRPr="008442CC">
        <w:t xml:space="preserve">the type of experiences that Polish (and EU nationals) have been facing since the </w:t>
      </w:r>
      <w:r w:rsidR="004E0676" w:rsidRPr="008442CC">
        <w:t>ER</w:t>
      </w:r>
      <w:r w:rsidR="00645972" w:rsidRPr="008442CC">
        <w:t xml:space="preserve"> campaign. </w:t>
      </w:r>
      <w:r w:rsidR="00645972" w:rsidRPr="008442CC">
        <w:rPr>
          <w:i/>
        </w:rPr>
        <w:t>Empirically</w:t>
      </w:r>
      <w:r w:rsidR="00645972" w:rsidRPr="008442CC">
        <w:t xml:space="preserve">, the paper provides new evidence of how Polish migrants perceive the new realities generated by the </w:t>
      </w:r>
      <w:r w:rsidR="004E0676" w:rsidRPr="008442CC">
        <w:t xml:space="preserve">ER </w:t>
      </w:r>
      <w:r w:rsidR="00645972" w:rsidRPr="008442CC">
        <w:t>vote, such as uncertainty about their legal status and discriminatory incidents.</w:t>
      </w:r>
    </w:p>
    <w:p w14:paraId="3ACC0942" w14:textId="292ED9EB" w:rsidR="00645972" w:rsidRPr="008442CC" w:rsidRDefault="00645972" w:rsidP="00E047F2">
      <w:pPr>
        <w:spacing w:after="120" w:line="360" w:lineRule="auto"/>
        <w:jc w:val="both"/>
      </w:pPr>
      <w:r w:rsidRPr="008442CC">
        <w:t xml:space="preserve">We start by developing the theoretical framework, based on the distinction between OV and SV (section 2) and </w:t>
      </w:r>
      <w:r w:rsidR="00F10601" w:rsidRPr="008442CC">
        <w:t xml:space="preserve">we discuss whether EU nationals were already vulnerable before the </w:t>
      </w:r>
      <w:r w:rsidR="004E0676" w:rsidRPr="008442CC">
        <w:t>ER</w:t>
      </w:r>
      <w:r w:rsidR="00F10601" w:rsidRPr="008442CC">
        <w:t xml:space="preserve"> </w:t>
      </w:r>
      <w:r w:rsidRPr="008442CC">
        <w:t xml:space="preserve">(section 3). We then </w:t>
      </w:r>
      <w:r w:rsidR="00F10601" w:rsidRPr="008442CC">
        <w:t xml:space="preserve">introduce the key features of our methodological approach </w:t>
      </w:r>
      <w:r w:rsidRPr="008442CC">
        <w:t xml:space="preserve">(section 4). Finally, on the basis of our data, we analyse how the </w:t>
      </w:r>
      <w:r w:rsidR="004E0676" w:rsidRPr="008442CC">
        <w:t>ER</w:t>
      </w:r>
      <w:r w:rsidRPr="008442CC">
        <w:t xml:space="preserve"> campaign and vote have affected Poles’ vulnerability (section 5) and we conclude (section 6).</w:t>
      </w:r>
    </w:p>
    <w:p w14:paraId="57C08BB4" w14:textId="72787098" w:rsidR="00E80589" w:rsidRPr="008442CC" w:rsidRDefault="00E80589" w:rsidP="007E2A08">
      <w:pPr>
        <w:spacing w:after="120" w:line="360" w:lineRule="auto"/>
        <w:jc w:val="both"/>
      </w:pPr>
    </w:p>
    <w:p w14:paraId="11845F5F" w14:textId="1E4B8592" w:rsidR="001068D3" w:rsidRPr="008442CC" w:rsidRDefault="001068D3" w:rsidP="007E2A08">
      <w:pPr>
        <w:spacing w:after="120" w:line="360" w:lineRule="auto"/>
        <w:jc w:val="both"/>
      </w:pPr>
    </w:p>
    <w:p w14:paraId="52500582" w14:textId="77777777" w:rsidR="001068D3" w:rsidRPr="008442CC" w:rsidRDefault="001068D3" w:rsidP="007E2A08">
      <w:pPr>
        <w:spacing w:after="120" w:line="360" w:lineRule="auto"/>
        <w:jc w:val="both"/>
      </w:pPr>
    </w:p>
    <w:p w14:paraId="593D30CC" w14:textId="584F8347" w:rsidR="00645972" w:rsidRPr="008442CC" w:rsidRDefault="00645972" w:rsidP="00531603">
      <w:pPr>
        <w:jc w:val="both"/>
        <w:rPr>
          <w:b/>
        </w:rPr>
      </w:pPr>
      <w:r w:rsidRPr="008442CC">
        <w:rPr>
          <w:b/>
        </w:rPr>
        <w:t>2. Vulnerability: an objective and subjective concept</w:t>
      </w:r>
    </w:p>
    <w:p w14:paraId="4375D9A3" w14:textId="4FB4BE00" w:rsidR="00645972" w:rsidRPr="008442CC" w:rsidRDefault="00645972" w:rsidP="00531603">
      <w:pPr>
        <w:jc w:val="both"/>
        <w:rPr>
          <w:b/>
        </w:rPr>
      </w:pPr>
    </w:p>
    <w:p w14:paraId="63E9DF50" w14:textId="50B7C455" w:rsidR="00645972" w:rsidRPr="008442CC" w:rsidRDefault="00645972" w:rsidP="00C55A2F">
      <w:pPr>
        <w:spacing w:after="120" w:line="360" w:lineRule="auto"/>
        <w:jc w:val="both"/>
      </w:pPr>
      <w:r w:rsidRPr="008442CC">
        <w:t xml:space="preserve">Our theoretical framework revolves around the idea of </w:t>
      </w:r>
      <w:r w:rsidR="00B903EF" w:rsidRPr="008442CC">
        <w:t>“</w:t>
      </w:r>
      <w:r w:rsidRPr="008442CC">
        <w:t>vulnerability</w:t>
      </w:r>
      <w:r w:rsidR="00B903EF" w:rsidRPr="008442CC">
        <w:t>”</w:t>
      </w:r>
      <w:r w:rsidR="00A96453" w:rsidRPr="008442CC">
        <w:t xml:space="preserve">. </w:t>
      </w:r>
      <w:r w:rsidRPr="008442CC">
        <w:t xml:space="preserve">This section considers the most relevant uses of </w:t>
      </w:r>
      <w:r w:rsidR="00525648" w:rsidRPr="008442CC">
        <w:t xml:space="preserve">“vulnerability” </w:t>
      </w:r>
      <w:r w:rsidRPr="008442CC">
        <w:t>in socio-legal and psychological studies and clarifies how it is used in this work.</w:t>
      </w:r>
    </w:p>
    <w:p w14:paraId="671A4F41" w14:textId="543E6C18" w:rsidR="00645972" w:rsidRPr="008442CC" w:rsidRDefault="00B95575" w:rsidP="006F52A2">
      <w:pPr>
        <w:spacing w:after="120" w:line="360" w:lineRule="auto"/>
        <w:jc w:val="both"/>
      </w:pPr>
      <w:r w:rsidRPr="008442CC">
        <w:t>Fineman (2008)</w:t>
      </w:r>
      <w:r w:rsidR="00645972" w:rsidRPr="008442CC">
        <w:t xml:space="preserve"> claim</w:t>
      </w:r>
      <w:r w:rsidRPr="008442CC">
        <w:t>s</w:t>
      </w:r>
      <w:r w:rsidR="00645972" w:rsidRPr="008442CC">
        <w:t xml:space="preserve"> that everybody is vulnerable because we are all susceptible of being harmed or dependent on others; </w:t>
      </w:r>
      <w:r w:rsidR="00B903EF" w:rsidRPr="008442CC">
        <w:t>“</w:t>
      </w:r>
      <w:r w:rsidR="00645972" w:rsidRPr="008442CC">
        <w:t>susceptibility is an ontological condition of our h</w:t>
      </w:r>
      <w:r w:rsidR="008531A6" w:rsidRPr="008442CC">
        <w:t>umanity</w:t>
      </w:r>
      <w:r w:rsidR="00B903EF" w:rsidRPr="008442CC">
        <w:t>”</w:t>
      </w:r>
      <w:r w:rsidR="008531A6" w:rsidRPr="008442CC">
        <w:t xml:space="preserve"> (Mackenzie et al</w:t>
      </w:r>
      <w:r w:rsidR="00A96453" w:rsidRPr="008442CC">
        <w:t>.</w:t>
      </w:r>
      <w:r w:rsidR="008531A6" w:rsidRPr="008442CC">
        <w:t xml:space="preserve"> 2014</w:t>
      </w:r>
      <w:r w:rsidRPr="008442CC">
        <w:t>:</w:t>
      </w:r>
      <w:r w:rsidR="00645972" w:rsidRPr="008442CC">
        <w:t xml:space="preserve">4). Thus, despite the </w:t>
      </w:r>
      <w:r w:rsidR="00645972" w:rsidRPr="008442CC">
        <w:rPr>
          <w:i/>
        </w:rPr>
        <w:t xml:space="preserve">universal </w:t>
      </w:r>
      <w:r w:rsidR="00645972" w:rsidRPr="008442CC">
        <w:t xml:space="preserve">character of human vulnerability, the concept may also be used to describe the relationship between the </w:t>
      </w:r>
      <w:r w:rsidR="00645972" w:rsidRPr="008442CC">
        <w:rPr>
          <w:i/>
        </w:rPr>
        <w:t xml:space="preserve">individual </w:t>
      </w:r>
      <w:r w:rsidR="00645972" w:rsidRPr="008442CC">
        <w:t xml:space="preserve">and </w:t>
      </w:r>
      <w:r w:rsidR="00645972" w:rsidRPr="008442CC">
        <w:rPr>
          <w:i/>
        </w:rPr>
        <w:t>objective</w:t>
      </w:r>
      <w:r w:rsidR="00645972" w:rsidRPr="008442CC">
        <w:t xml:space="preserve"> factors outside his/her control. Indeed, most international and national institutions that have relied on this concept for policy or legal interventions have done so on the basis of the </w:t>
      </w:r>
      <w:r w:rsidR="00645972" w:rsidRPr="008442CC">
        <w:rPr>
          <w:i/>
        </w:rPr>
        <w:t>objective</w:t>
      </w:r>
      <w:r w:rsidR="00645972" w:rsidRPr="008442CC">
        <w:t xml:space="preserve"> characteristics of specific groups. For instance, the UN Convention on the Rights of Persons with Disabilities suggests that girls and women with disabilities are more vulnerable than other groups because they are </w:t>
      </w:r>
      <w:r w:rsidR="00B903EF" w:rsidRPr="008442CC">
        <w:t>“</w:t>
      </w:r>
      <w:r w:rsidR="00645972" w:rsidRPr="008442CC">
        <w:t>at greater risk of violence, abuse or exploitation</w:t>
      </w:r>
      <w:r w:rsidR="00B903EF" w:rsidRPr="008442CC">
        <w:t>”</w:t>
      </w:r>
      <w:r w:rsidR="00645972" w:rsidRPr="008442CC">
        <w:t>.</w:t>
      </w:r>
      <w:r w:rsidR="00645972" w:rsidRPr="008442CC">
        <w:rPr>
          <w:rStyle w:val="EndnoteReference"/>
        </w:rPr>
        <w:endnoteReference w:id="3"/>
      </w:r>
      <w:r w:rsidR="00645972" w:rsidRPr="008442CC">
        <w:t xml:space="preserve"> Similarly, the European Court of Human Rights (ECtHR) has relied on the higher vulnerability of certain groups according, mainly, to </w:t>
      </w:r>
      <w:r w:rsidR="00645972" w:rsidRPr="008442CC">
        <w:rPr>
          <w:i/>
        </w:rPr>
        <w:t>objective</w:t>
      </w:r>
      <w:r w:rsidR="00645972" w:rsidRPr="008442CC">
        <w:t xml:space="preserve"> factors. For example, it has referred to the </w:t>
      </w:r>
      <w:r w:rsidR="00B903EF" w:rsidRPr="008442CC">
        <w:t>“</w:t>
      </w:r>
      <w:r w:rsidR="00645972" w:rsidRPr="008442CC">
        <w:t>vulnerable position of Gypsies as a minority</w:t>
      </w:r>
      <w:r w:rsidR="00B903EF" w:rsidRPr="008442CC">
        <w:t>”</w:t>
      </w:r>
      <w:r w:rsidR="00645972" w:rsidRPr="008442CC">
        <w:t xml:space="preserve"> due to </w:t>
      </w:r>
      <w:r w:rsidR="00B903EF" w:rsidRPr="008442CC">
        <w:t>“</w:t>
      </w:r>
      <w:r w:rsidR="00645972" w:rsidRPr="008442CC">
        <w:t>their different lifestyle</w:t>
      </w:r>
      <w:r w:rsidR="00B903EF" w:rsidRPr="008442CC">
        <w:t>”</w:t>
      </w:r>
      <w:r w:rsidR="00645972" w:rsidRPr="008442CC">
        <w:rPr>
          <w:rStyle w:val="EndnoteReference"/>
        </w:rPr>
        <w:endnoteReference w:id="4"/>
      </w:r>
      <w:r w:rsidR="00645972" w:rsidRPr="008442CC">
        <w:t xml:space="preserve"> compared to the m</w:t>
      </w:r>
      <w:r w:rsidR="008531A6" w:rsidRPr="008442CC">
        <w:t>ajority (Peroni and Timmer 2013</w:t>
      </w:r>
      <w:r w:rsidR="00B903EF" w:rsidRPr="008442CC">
        <w:t>:</w:t>
      </w:r>
      <w:r w:rsidR="00645972" w:rsidRPr="008442CC">
        <w:t>1063).</w:t>
      </w:r>
      <w:r w:rsidR="00645972" w:rsidRPr="008442CC">
        <w:rPr>
          <w:rStyle w:val="EndnoteReference"/>
        </w:rPr>
        <w:endnoteReference w:id="5"/>
      </w:r>
    </w:p>
    <w:p w14:paraId="1FAD19F4" w14:textId="7E6F3F10" w:rsidR="00645972" w:rsidRPr="008442CC" w:rsidRDefault="00645972" w:rsidP="00C24641">
      <w:pPr>
        <w:spacing w:after="120" w:line="360" w:lineRule="auto"/>
        <w:jc w:val="both"/>
      </w:pPr>
      <w:r w:rsidRPr="008442CC">
        <w:t xml:space="preserve">However, the concept of vulnerability can equally be defined and applied according to the </w:t>
      </w:r>
      <w:r w:rsidRPr="008442CC">
        <w:rPr>
          <w:i/>
        </w:rPr>
        <w:t xml:space="preserve">subjective </w:t>
      </w:r>
      <w:r w:rsidRPr="008442CC">
        <w:t xml:space="preserve">perceptions of the relevant groups. </w:t>
      </w:r>
      <w:r w:rsidR="00B95575" w:rsidRPr="008442CC">
        <w:t>This</w:t>
      </w:r>
      <w:r w:rsidRPr="008442CC">
        <w:t xml:space="preserve"> dimension of vulnerability relates to how </w:t>
      </w:r>
      <w:r w:rsidRPr="008442CC">
        <w:rPr>
          <w:i/>
        </w:rPr>
        <w:t>we comprehend</w:t>
      </w:r>
      <w:r w:rsidRPr="008442CC">
        <w:t xml:space="preserve"> our relations with</w:t>
      </w:r>
      <w:r w:rsidRPr="008442CC">
        <w:rPr>
          <w:i/>
        </w:rPr>
        <w:t xml:space="preserve"> others</w:t>
      </w:r>
      <w:r w:rsidRPr="008442CC">
        <w:t xml:space="preserve">. The ECtHR itself has acknowledged the relevance of </w:t>
      </w:r>
      <w:r w:rsidRPr="008442CC">
        <w:rPr>
          <w:i/>
        </w:rPr>
        <w:t>individuals’ feelings</w:t>
      </w:r>
      <w:r w:rsidRPr="008442CC">
        <w:t xml:space="preserve"> in relation to the vulnerability of women victims of domestic violence or subject to precarious reproductive health situations. In these contexts, the ECtHR refers</w:t>
      </w:r>
      <w:r w:rsidR="00B95575" w:rsidRPr="008442CC">
        <w:t xml:space="preserve"> not only</w:t>
      </w:r>
      <w:r w:rsidRPr="008442CC">
        <w:t xml:space="preserve"> to objective factors (e.g. </w:t>
      </w:r>
      <w:r w:rsidR="00B95575" w:rsidRPr="008442CC">
        <w:t>abuse history</w:t>
      </w:r>
      <w:r w:rsidRPr="008442CC">
        <w:t xml:space="preserve">), </w:t>
      </w:r>
      <w:r w:rsidR="00270DEA" w:rsidRPr="008442CC">
        <w:t>but also</w:t>
      </w:r>
      <w:r w:rsidRPr="008442CC">
        <w:t xml:space="preserve"> to the woman’s </w:t>
      </w:r>
      <w:r w:rsidR="00B903EF" w:rsidRPr="008442CC">
        <w:t>“</w:t>
      </w:r>
      <w:r w:rsidRPr="008442CC">
        <w:rPr>
          <w:i/>
        </w:rPr>
        <w:t xml:space="preserve">fear </w:t>
      </w:r>
      <w:r w:rsidRPr="008442CC">
        <w:t>of further violence</w:t>
      </w:r>
      <w:r w:rsidR="00B903EF" w:rsidRPr="008442CC">
        <w:t>”</w:t>
      </w:r>
      <w:r w:rsidRPr="008442CC">
        <w:rPr>
          <w:rStyle w:val="EndnoteReference"/>
        </w:rPr>
        <w:endnoteReference w:id="6"/>
      </w:r>
      <w:r w:rsidRPr="008442CC">
        <w:t xml:space="preserve"> or </w:t>
      </w:r>
      <w:r w:rsidR="00B903EF" w:rsidRPr="008442CC">
        <w:t>“</w:t>
      </w:r>
      <w:r w:rsidRPr="008442CC">
        <w:t>distress</w:t>
      </w:r>
      <w:r w:rsidR="00B903EF" w:rsidRPr="008442CC">
        <w:t>”</w:t>
      </w:r>
      <w:r w:rsidRPr="008442CC">
        <w:t>.</w:t>
      </w:r>
      <w:r w:rsidRPr="008442CC">
        <w:rPr>
          <w:rStyle w:val="EndnoteReference"/>
        </w:rPr>
        <w:endnoteReference w:id="7"/>
      </w:r>
      <w:r w:rsidRPr="008442CC">
        <w:t xml:space="preserve"> In some national jurisdictions, the </w:t>
      </w:r>
      <w:r w:rsidRPr="008442CC">
        <w:rPr>
          <w:i/>
        </w:rPr>
        <w:t>subjective</w:t>
      </w:r>
      <w:r w:rsidRPr="008442CC">
        <w:t xml:space="preserve"> vulnerability of certain claimants is also considered legally relevant. For instance, the UK concept of harassment requires consideration of both the </w:t>
      </w:r>
      <w:r w:rsidRPr="008442CC">
        <w:rPr>
          <w:i/>
        </w:rPr>
        <w:t>subjective</w:t>
      </w:r>
      <w:r w:rsidRPr="008442CC">
        <w:t xml:space="preserve"> perception of the claimant (i.e. </w:t>
      </w:r>
      <w:r w:rsidR="00B95575" w:rsidRPr="008442CC">
        <w:t>“</w:t>
      </w:r>
      <w:r w:rsidRPr="008442CC">
        <w:t xml:space="preserve">whether the person </w:t>
      </w:r>
      <w:r w:rsidRPr="008442CC">
        <w:rPr>
          <w:i/>
        </w:rPr>
        <w:t>feels</w:t>
      </w:r>
      <w:r w:rsidRPr="008442CC">
        <w:t xml:space="preserve"> that his dignity has been violated</w:t>
      </w:r>
      <w:r w:rsidR="00B95575" w:rsidRPr="008442CC">
        <w:t>”</w:t>
      </w:r>
      <w:r w:rsidRPr="008442CC">
        <w:t xml:space="preserve">) and whether it was </w:t>
      </w:r>
      <w:r w:rsidRPr="008442CC">
        <w:rPr>
          <w:i/>
        </w:rPr>
        <w:t>objectively</w:t>
      </w:r>
      <w:r w:rsidRPr="008442CC">
        <w:t xml:space="preserve"> reasonable for the claimant to take offence (Equality A</w:t>
      </w:r>
      <w:r w:rsidR="008531A6" w:rsidRPr="008442CC">
        <w:t>ct 2010, s 26(4)</w:t>
      </w:r>
      <w:r w:rsidRPr="008442CC">
        <w:t>).</w:t>
      </w:r>
    </w:p>
    <w:p w14:paraId="08F9E084" w14:textId="2358053A" w:rsidR="00253618" w:rsidRPr="008442CC" w:rsidRDefault="00645972" w:rsidP="00CB1E0B">
      <w:pPr>
        <w:spacing w:after="120" w:line="360" w:lineRule="auto"/>
        <w:jc w:val="both"/>
      </w:pPr>
      <w:r w:rsidRPr="008442CC">
        <w:lastRenderedPageBreak/>
        <w:t xml:space="preserve">The idea of </w:t>
      </w:r>
      <w:r w:rsidR="00E21643" w:rsidRPr="008442CC">
        <w:t>“</w:t>
      </w:r>
      <w:r w:rsidRPr="008442CC">
        <w:t>SV</w:t>
      </w:r>
      <w:r w:rsidR="00E21643" w:rsidRPr="008442CC">
        <w:t>”</w:t>
      </w:r>
      <w:r w:rsidRPr="008442CC">
        <w:t xml:space="preserve"> has primarily </w:t>
      </w:r>
      <w:r w:rsidR="00B95575" w:rsidRPr="008442CC">
        <w:t xml:space="preserve">been </w:t>
      </w:r>
      <w:r w:rsidRPr="008442CC">
        <w:t xml:space="preserve">used in socio-psychological research </w:t>
      </w:r>
      <w:r w:rsidR="00B95575" w:rsidRPr="008442CC">
        <w:t>to</w:t>
      </w:r>
      <w:r w:rsidRPr="008442CC">
        <w:t xml:space="preserve"> describe a belief that one is </w:t>
      </w:r>
      <w:r w:rsidR="00B903EF" w:rsidRPr="008442CC">
        <w:t>“</w:t>
      </w:r>
      <w:r w:rsidRPr="008442CC">
        <w:t>unprotected from danger</w:t>
      </w:r>
      <w:r w:rsidR="00B903EF" w:rsidRPr="008442CC">
        <w:t>”</w:t>
      </w:r>
      <w:r w:rsidRPr="008442CC">
        <w:t>, e.g. due to feelings of potential personal fragility, economic insecurity, or stre</w:t>
      </w:r>
      <w:r w:rsidR="008531A6" w:rsidRPr="008442CC">
        <w:t>ssful life events (Perloff 1983</w:t>
      </w:r>
      <w:r w:rsidR="00B95575" w:rsidRPr="008442CC">
        <w:t>:</w:t>
      </w:r>
      <w:r w:rsidRPr="008442CC">
        <w:t>43). SV can, therefore, be described as feelings of anxiety, fear and apprehension in anticipation of uncertainty and threat (Loewenstein et al 2001), or concern in response to the possibility of victimi</w:t>
      </w:r>
      <w:r w:rsidR="00B903EF" w:rsidRPr="008442CC">
        <w:t>s</w:t>
      </w:r>
      <w:r w:rsidRPr="008442CC">
        <w:t xml:space="preserve">ation (Weinstein et al 2007) linked to past or potential incidents </w:t>
      </w:r>
      <w:r w:rsidR="00CB1E0B" w:rsidRPr="008442CC">
        <w:t xml:space="preserve">of </w:t>
      </w:r>
      <w:r w:rsidRPr="008442CC">
        <w:t xml:space="preserve">hostile treatment. </w:t>
      </w:r>
      <w:r w:rsidR="00C5496B" w:rsidRPr="008442CC">
        <w:t xml:space="preserve">Some psychologists linked SV to </w:t>
      </w:r>
      <w:r w:rsidR="00CB1E0B" w:rsidRPr="008442CC">
        <w:t>perceptions of anxiety</w:t>
      </w:r>
      <w:r w:rsidR="00C5496B" w:rsidRPr="008442CC">
        <w:t xml:space="preserve"> (</w:t>
      </w:r>
      <w:proofErr w:type="spellStart"/>
      <w:r w:rsidR="00C5496B" w:rsidRPr="008442CC">
        <w:t>Riskind</w:t>
      </w:r>
      <w:proofErr w:type="spellEnd"/>
      <w:r w:rsidR="00C5496B" w:rsidRPr="008442CC">
        <w:t xml:space="preserve"> 1997)</w:t>
      </w:r>
      <w:r w:rsidR="00CB1E0B" w:rsidRPr="008442CC">
        <w:t xml:space="preserve">: </w:t>
      </w:r>
      <w:r w:rsidR="00C5496B" w:rsidRPr="008442CC">
        <w:t>a person who experiences threats as rapidly growing “has a painful sense of looming vulnerability to harm and becomes more anxious and threatened as a result” (</w:t>
      </w:r>
      <w:proofErr w:type="spellStart"/>
      <w:r w:rsidR="00C5496B" w:rsidRPr="008442CC">
        <w:t>Riskind</w:t>
      </w:r>
      <w:proofErr w:type="spellEnd"/>
      <w:r w:rsidR="00C5496B" w:rsidRPr="008442CC">
        <w:t xml:space="preserve"> 1997:688).</w:t>
      </w:r>
      <w:r w:rsidR="00A96453" w:rsidRPr="008442CC">
        <w:t xml:space="preserve"> </w:t>
      </w:r>
      <w:r w:rsidRPr="008442CC">
        <w:rPr>
          <w:rFonts w:cs="Gill Sans"/>
          <w:lang w:eastAsia="en-GB"/>
        </w:rPr>
        <w:t>T</w:t>
      </w:r>
      <w:r w:rsidRPr="008442CC">
        <w:t xml:space="preserve">he mere possibility of </w:t>
      </w:r>
      <w:r w:rsidR="00C5496B" w:rsidRPr="008442CC">
        <w:t xml:space="preserve">perceived threat and </w:t>
      </w:r>
      <w:r w:rsidRPr="008442CC">
        <w:t xml:space="preserve">discrimination, or cumulative experiences of </w:t>
      </w:r>
      <w:r w:rsidR="00B903EF" w:rsidRPr="008442CC">
        <w:t>“</w:t>
      </w:r>
      <w:r w:rsidRPr="008442CC">
        <w:t>everyday indignit</w:t>
      </w:r>
      <w:r w:rsidR="008531A6" w:rsidRPr="008442CC">
        <w:t>ies</w:t>
      </w:r>
      <w:r w:rsidR="00B903EF" w:rsidRPr="008442CC">
        <w:t>”</w:t>
      </w:r>
      <w:r w:rsidR="008531A6" w:rsidRPr="008442CC">
        <w:t xml:space="preserve"> (Beckford and Gilliat 1998</w:t>
      </w:r>
      <w:r w:rsidR="00B903EF" w:rsidRPr="008442CC">
        <w:t>:</w:t>
      </w:r>
      <w:r w:rsidRPr="008442CC">
        <w:t xml:space="preserve">84) may have negative effects on one’s mental and social well-being, which, in practice, entail feeling </w:t>
      </w:r>
      <w:r w:rsidRPr="008442CC">
        <w:rPr>
          <w:i/>
        </w:rPr>
        <w:t>subjectively vulnerable</w:t>
      </w:r>
      <w:r w:rsidR="00B95575" w:rsidRPr="008442CC">
        <w:t>.</w:t>
      </w:r>
    </w:p>
    <w:p w14:paraId="0AD20255" w14:textId="39D3AF53" w:rsidR="00645972" w:rsidRPr="008442CC" w:rsidRDefault="00CB1E0B" w:rsidP="00601CE0">
      <w:pPr>
        <w:spacing w:after="120" w:line="360" w:lineRule="auto"/>
        <w:jc w:val="both"/>
      </w:pPr>
      <w:r w:rsidRPr="008442CC">
        <w:t>SV is also linked to ontological insecurity. Indeed, “ontological security” and “existential threat” are key concepts in Giddens’ (1991) theory of human existence. In brief, ontological security describes a “person’s fundamental sense of safety in the world and includes a basic trust of other people. Obtaining such trust becomes necessary in order for a person to maintain a sense of psychological well-being” (Giddens 1991:38-9). Ontological security is linked to agency: individuals need to feel secure in who they are as identities, which can be threatened by uncertainty linked to one’s cognitive environment, i.e. what to expect (</w:t>
      </w:r>
      <w:proofErr w:type="spellStart"/>
      <w:r w:rsidRPr="008442CC">
        <w:t>Mitzen</w:t>
      </w:r>
      <w:proofErr w:type="spellEnd"/>
      <w:r w:rsidRPr="008442CC">
        <w:t xml:space="preserve"> 2006:342).</w:t>
      </w:r>
    </w:p>
    <w:p w14:paraId="76CAC3F4" w14:textId="16AE6079" w:rsidR="00645972" w:rsidRPr="008442CC" w:rsidRDefault="00B95575" w:rsidP="00C24641">
      <w:pPr>
        <w:spacing w:after="120" w:line="360" w:lineRule="auto"/>
        <w:jc w:val="both"/>
      </w:pPr>
      <w:r w:rsidRPr="008442CC">
        <w:t>We argue that the idea of SV can also be applied in socio-legal contexts. T</w:t>
      </w:r>
      <w:r w:rsidR="00645972" w:rsidRPr="008442CC">
        <w:t xml:space="preserve">he concept of </w:t>
      </w:r>
      <w:r w:rsidR="00B903EF" w:rsidRPr="008442CC">
        <w:t>“</w:t>
      </w:r>
      <w:r w:rsidR="00645972" w:rsidRPr="008442CC">
        <w:t>vulnerability</w:t>
      </w:r>
      <w:r w:rsidR="00B903EF" w:rsidRPr="008442CC">
        <w:t>”</w:t>
      </w:r>
      <w:r w:rsidR="00645972" w:rsidRPr="008442CC">
        <w:t xml:space="preserve"> </w:t>
      </w:r>
      <w:r w:rsidRPr="008442CC">
        <w:t>can thus be understood as having</w:t>
      </w:r>
      <w:r w:rsidR="00645972" w:rsidRPr="008442CC">
        <w:t xml:space="preserve"> an </w:t>
      </w:r>
      <w:r w:rsidR="00645972" w:rsidRPr="008442CC">
        <w:rPr>
          <w:i/>
        </w:rPr>
        <w:t>objective</w:t>
      </w:r>
      <w:r w:rsidR="00645972" w:rsidRPr="008442CC">
        <w:t xml:space="preserve"> dimension</w:t>
      </w:r>
      <w:r w:rsidRPr="008442CC">
        <w:t>,</w:t>
      </w:r>
      <w:r w:rsidR="00645972" w:rsidRPr="008442CC">
        <w:t xml:space="preserve"> based on attributes</w:t>
      </w:r>
      <w:r w:rsidR="00645972" w:rsidRPr="008442CC">
        <w:rPr>
          <w:i/>
        </w:rPr>
        <w:t xml:space="preserve"> </w:t>
      </w:r>
      <w:r w:rsidR="00645972" w:rsidRPr="008442CC">
        <w:t>characterising a certain group (e.g. their foreign look), often leading to one-off</w:t>
      </w:r>
      <w:r w:rsidR="00645972" w:rsidRPr="008442CC">
        <w:rPr>
          <w:i/>
        </w:rPr>
        <w:t xml:space="preserve"> incidents</w:t>
      </w:r>
      <w:r w:rsidR="00645972" w:rsidRPr="008442CC">
        <w:t xml:space="preserve"> experienced by its members, and a </w:t>
      </w:r>
      <w:r w:rsidR="00645972" w:rsidRPr="008442CC">
        <w:rPr>
          <w:i/>
        </w:rPr>
        <w:t>subjective</w:t>
      </w:r>
      <w:r w:rsidR="00645972" w:rsidRPr="008442CC">
        <w:t xml:space="preserve"> one, which focuses on the individual’s</w:t>
      </w:r>
      <w:r w:rsidR="00645972" w:rsidRPr="008442CC">
        <w:rPr>
          <w:i/>
        </w:rPr>
        <w:t xml:space="preserve"> feelings</w:t>
      </w:r>
      <w:r w:rsidR="00645972" w:rsidRPr="008442CC">
        <w:t xml:space="preserve"> (which may be linked to external events directly </w:t>
      </w:r>
      <w:r w:rsidR="00CB1E0B" w:rsidRPr="008442CC">
        <w:t xml:space="preserve">suffered </w:t>
      </w:r>
      <w:r w:rsidR="00645972" w:rsidRPr="008442CC">
        <w:t xml:space="preserve">by </w:t>
      </w:r>
      <w:r w:rsidRPr="008442CC">
        <w:t>them</w:t>
      </w:r>
      <w:r w:rsidR="00645972" w:rsidRPr="008442CC">
        <w:t xml:space="preserve"> </w:t>
      </w:r>
      <w:r w:rsidRPr="008442CC">
        <w:t>and/or</w:t>
      </w:r>
      <w:r w:rsidR="00645972" w:rsidRPr="008442CC">
        <w:t xml:space="preserve"> to wider social trends and debates).</w:t>
      </w:r>
      <w:r w:rsidR="00645972" w:rsidRPr="008442CC">
        <w:rPr>
          <w:rStyle w:val="EndnoteReference"/>
        </w:rPr>
        <w:endnoteReference w:id="8"/>
      </w:r>
    </w:p>
    <w:p w14:paraId="69F5F093" w14:textId="2A5D4568" w:rsidR="00645972" w:rsidRPr="008442CC" w:rsidRDefault="009C1016" w:rsidP="0013706B">
      <w:pPr>
        <w:spacing w:after="240" w:line="360" w:lineRule="auto"/>
        <w:jc w:val="both"/>
      </w:pPr>
      <w:r w:rsidRPr="008442CC">
        <w:rPr>
          <w:i/>
        </w:rPr>
        <w:t>B</w:t>
      </w:r>
      <w:r w:rsidR="00645972" w:rsidRPr="008442CC">
        <w:rPr>
          <w:i/>
        </w:rPr>
        <w:t>oth</w:t>
      </w:r>
      <w:r w:rsidR="00645972" w:rsidRPr="008442CC">
        <w:t xml:space="preserve"> </w:t>
      </w:r>
      <w:r w:rsidR="00B95575" w:rsidRPr="008442CC">
        <w:t>OV and SV</w:t>
      </w:r>
      <w:r w:rsidR="00645972" w:rsidRPr="008442CC">
        <w:t xml:space="preserve"> are based on </w:t>
      </w:r>
      <w:r w:rsidR="00D16B33" w:rsidRPr="008442CC">
        <w:t xml:space="preserve">people’s </w:t>
      </w:r>
      <w:r w:rsidR="00645972" w:rsidRPr="008442CC">
        <w:rPr>
          <w:i/>
        </w:rPr>
        <w:t>individuals perceptions</w:t>
      </w:r>
      <w:r w:rsidR="00645972" w:rsidRPr="008442CC">
        <w:t xml:space="preserve"> because measuring exposure to racial discrimination</w:t>
      </w:r>
      <w:r w:rsidR="00B95575" w:rsidRPr="008442CC">
        <w:t xml:space="preserve"> or hate</w:t>
      </w:r>
      <w:r w:rsidR="00645972" w:rsidRPr="008442CC">
        <w:t xml:space="preserve"> </w:t>
      </w:r>
      <w:r w:rsidR="00B903EF" w:rsidRPr="008442CC">
        <w:t>“</w:t>
      </w:r>
      <w:r w:rsidR="00645972" w:rsidRPr="008442CC">
        <w:t>requires making at</w:t>
      </w:r>
      <w:r w:rsidR="008531A6" w:rsidRPr="008442CC">
        <w:t>tributions about another person</w:t>
      </w:r>
      <w:r w:rsidR="00645972" w:rsidRPr="008442CC">
        <w:t>’</w:t>
      </w:r>
      <w:r w:rsidR="008531A6" w:rsidRPr="008442CC">
        <w:t>s</w:t>
      </w:r>
      <w:r w:rsidR="00645972" w:rsidRPr="008442CC">
        <w:t xml:space="preserve"> motivation</w:t>
      </w:r>
      <w:r w:rsidR="00B903EF" w:rsidRPr="008442CC">
        <w:t>”</w:t>
      </w:r>
      <w:r w:rsidR="00645972" w:rsidRPr="008442CC">
        <w:t xml:space="preserve"> in a specific situation (Brondolo et al 2005</w:t>
      </w:r>
      <w:r w:rsidR="00B95575" w:rsidRPr="008442CC">
        <w:t>:</w:t>
      </w:r>
      <w:r w:rsidR="00645972" w:rsidRPr="008442CC">
        <w:t xml:space="preserve">361). While occasionally hate incidents may </w:t>
      </w:r>
      <w:r w:rsidR="00645972" w:rsidRPr="008442CC">
        <w:rPr>
          <w:i/>
        </w:rPr>
        <w:t>overtly</w:t>
      </w:r>
      <w:r w:rsidR="00645972" w:rsidRPr="008442CC">
        <w:t xml:space="preserve"> refer to the attributes </w:t>
      </w:r>
      <w:r w:rsidR="008531A6" w:rsidRPr="008442CC">
        <w:t xml:space="preserve">of </w:t>
      </w:r>
      <w:r w:rsidR="00645972" w:rsidRPr="008442CC">
        <w:t xml:space="preserve">a certain minority group (e.g. the </w:t>
      </w:r>
      <w:r w:rsidR="00645972" w:rsidRPr="008442CC">
        <w:lastRenderedPageBreak/>
        <w:t xml:space="preserve">national origin), this is often not the case. </w:t>
      </w:r>
      <w:r w:rsidR="00B95575" w:rsidRPr="008442CC">
        <w:t>In fact</w:t>
      </w:r>
      <w:r w:rsidR="00645972" w:rsidRPr="008442CC">
        <w:t xml:space="preserve">, even the official recording of hate crimes and incidents by the UK police (which falls under our concept of </w:t>
      </w:r>
      <w:r w:rsidR="00B95575" w:rsidRPr="008442CC">
        <w:rPr>
          <w:i/>
        </w:rPr>
        <w:t>OV</w:t>
      </w:r>
      <w:r w:rsidR="00645972" w:rsidRPr="008442CC">
        <w:t xml:space="preserve">) is based on </w:t>
      </w:r>
      <w:r w:rsidR="00B903EF" w:rsidRPr="008442CC">
        <w:t>“</w:t>
      </w:r>
      <w:r w:rsidR="00645972" w:rsidRPr="008442CC">
        <w:t xml:space="preserve">the </w:t>
      </w:r>
      <w:r w:rsidR="00645972" w:rsidRPr="008442CC">
        <w:rPr>
          <w:i/>
        </w:rPr>
        <w:t xml:space="preserve">perception </w:t>
      </w:r>
      <w:r w:rsidR="00645972" w:rsidRPr="008442CC">
        <w:t>of the victim, or any other person</w:t>
      </w:r>
      <w:r w:rsidR="00B903EF" w:rsidRPr="008442CC">
        <w:t>”</w:t>
      </w:r>
      <w:r w:rsidR="00645972" w:rsidRPr="008442CC">
        <w:t>.</w:t>
      </w:r>
      <w:r w:rsidR="00645972" w:rsidRPr="008442CC">
        <w:rPr>
          <w:rStyle w:val="EndnoteReference"/>
        </w:rPr>
        <w:endnoteReference w:id="9"/>
      </w:r>
    </w:p>
    <w:p w14:paraId="30E420AD" w14:textId="573C7754" w:rsidR="00645972" w:rsidRPr="008442CC" w:rsidRDefault="00645972" w:rsidP="009C51E2">
      <w:pPr>
        <w:spacing w:after="240" w:line="360" w:lineRule="auto"/>
        <w:jc w:val="both"/>
      </w:pPr>
      <w:r w:rsidRPr="008442CC">
        <w:t xml:space="preserve">In the following sections, we argue that the political debate and institutional attitude towards migrants, the media discourse and consequent changes in social </w:t>
      </w:r>
      <w:r w:rsidR="00B903EF" w:rsidRPr="008442CC">
        <w:t>behaviour</w:t>
      </w:r>
      <w:r w:rsidRPr="008442CC">
        <w:t xml:space="preserve"> linked to the </w:t>
      </w:r>
      <w:r w:rsidR="004E0676" w:rsidRPr="008442CC">
        <w:t>ER</w:t>
      </w:r>
      <w:r w:rsidRPr="008442CC">
        <w:t xml:space="preserve"> have led not only to changes in </w:t>
      </w:r>
      <w:r w:rsidR="00B95575" w:rsidRPr="008442CC">
        <w:rPr>
          <w:i/>
        </w:rPr>
        <w:t>OV</w:t>
      </w:r>
      <w:r w:rsidRPr="008442CC">
        <w:t xml:space="preserve"> (xenophobic incidents experienced by national/ethnic minorities living in the UK) but also to changes in </w:t>
      </w:r>
      <w:r w:rsidR="00B95575" w:rsidRPr="008442CC">
        <w:rPr>
          <w:i/>
        </w:rPr>
        <w:t>SV</w:t>
      </w:r>
      <w:r w:rsidR="00270DEA" w:rsidRPr="008442CC">
        <w:t xml:space="preserve">, including ontological security, </w:t>
      </w:r>
      <w:r w:rsidRPr="008442CC">
        <w:t>that we illustrate with our case study based on the Polish community in Southampton.</w:t>
      </w:r>
      <w:r w:rsidRPr="008442CC">
        <w:rPr>
          <w:rStyle w:val="EndnoteReference"/>
        </w:rPr>
        <w:endnoteReference w:id="10"/>
      </w:r>
    </w:p>
    <w:p w14:paraId="3E246BC9" w14:textId="77777777" w:rsidR="00645972" w:rsidRPr="008442CC" w:rsidRDefault="00645972" w:rsidP="002B0AF2">
      <w:pPr>
        <w:spacing w:after="120" w:line="360" w:lineRule="auto"/>
        <w:jc w:val="both"/>
        <w:rPr>
          <w:bCs/>
        </w:rPr>
      </w:pPr>
    </w:p>
    <w:p w14:paraId="36E1D8DA" w14:textId="45BAB578" w:rsidR="00645972" w:rsidRPr="008442CC" w:rsidRDefault="00D84C98" w:rsidP="001F1307">
      <w:pPr>
        <w:jc w:val="both"/>
      </w:pPr>
      <w:r w:rsidRPr="008442CC">
        <w:rPr>
          <w:b/>
        </w:rPr>
        <w:t>3</w:t>
      </w:r>
      <w:r w:rsidR="00645972" w:rsidRPr="008442CC">
        <w:rPr>
          <w:b/>
        </w:rPr>
        <w:t xml:space="preserve">. EU nationals’ vulnerability before the </w:t>
      </w:r>
      <w:r w:rsidR="004E0676" w:rsidRPr="008442CC">
        <w:rPr>
          <w:b/>
        </w:rPr>
        <w:t xml:space="preserve">EU </w:t>
      </w:r>
      <w:r w:rsidR="00645972" w:rsidRPr="008442CC">
        <w:rPr>
          <w:b/>
        </w:rPr>
        <w:t>Referendum</w:t>
      </w:r>
    </w:p>
    <w:p w14:paraId="1148F6AB" w14:textId="77777777" w:rsidR="00645972" w:rsidRPr="008442CC" w:rsidRDefault="00645972" w:rsidP="001F1307">
      <w:pPr>
        <w:jc w:val="both"/>
        <w:rPr>
          <w:b/>
        </w:rPr>
      </w:pPr>
    </w:p>
    <w:p w14:paraId="145D938B" w14:textId="26735319" w:rsidR="00645972" w:rsidRPr="008442CC" w:rsidRDefault="00253618" w:rsidP="001F1307">
      <w:pPr>
        <w:spacing w:after="120" w:line="360" w:lineRule="auto"/>
        <w:jc w:val="both"/>
      </w:pPr>
      <w:r w:rsidRPr="008442CC">
        <w:t>E</w:t>
      </w:r>
      <w:r w:rsidR="00645972" w:rsidRPr="008442CC">
        <w:t xml:space="preserve">ven before the </w:t>
      </w:r>
      <w:r w:rsidR="004E0676" w:rsidRPr="008442CC">
        <w:t>ER</w:t>
      </w:r>
      <w:r w:rsidR="00645972" w:rsidRPr="008442CC">
        <w:t xml:space="preserve">, UK-based EU nationals were vulnerable due to institutional discrimination and barriers to enjoy their free movement and social rights (O’Brien 2017). There are studies focusing on the vulnerability of certain groups before the </w:t>
      </w:r>
      <w:r w:rsidR="004E0676" w:rsidRPr="008442CC">
        <w:t>ER</w:t>
      </w:r>
      <w:r w:rsidR="00BB3955" w:rsidRPr="008442CC">
        <w:t xml:space="preserve">, particularly since 2005, when </w:t>
      </w:r>
      <w:r w:rsidRPr="008442CC">
        <w:t xml:space="preserve">the </w:t>
      </w:r>
      <w:r w:rsidR="00BB3955" w:rsidRPr="008442CC">
        <w:t xml:space="preserve">public opinion </w:t>
      </w:r>
      <w:r w:rsidRPr="008442CC">
        <w:t xml:space="preserve">started to be </w:t>
      </w:r>
      <w:r w:rsidR="00BB3955" w:rsidRPr="008442CC">
        <w:t>increasingly negative about immigration (Migration Observatory 2018)</w:t>
      </w:r>
      <w:r w:rsidR="00645972" w:rsidRPr="008442CC">
        <w:t xml:space="preserve">. </w:t>
      </w:r>
      <w:r w:rsidRPr="008442CC">
        <w:t>According to existing literature</w:t>
      </w:r>
      <w:r w:rsidR="00BB3955" w:rsidRPr="008442CC">
        <w:t>, t</w:t>
      </w:r>
      <w:r w:rsidR="00645972" w:rsidRPr="008442CC">
        <w:t xml:space="preserve">he vulnerability experienced by EU nationals before the </w:t>
      </w:r>
      <w:r w:rsidR="004E0676" w:rsidRPr="008442CC">
        <w:t>ER</w:t>
      </w:r>
      <w:r w:rsidR="00645972" w:rsidRPr="008442CC">
        <w:t xml:space="preserve"> can be easily identified in at least three areas</w:t>
      </w:r>
      <w:r w:rsidRPr="008442CC">
        <w:t>:</w:t>
      </w:r>
      <w:r w:rsidR="00645972" w:rsidRPr="008442CC">
        <w:t xml:space="preserve"> (a) institutional discrimination, (b) negative media coverage and hostile political discourse</w:t>
      </w:r>
      <w:r w:rsidRPr="008442CC">
        <w:t>,</w:t>
      </w:r>
      <w:r w:rsidR="00645972" w:rsidRPr="008442CC">
        <w:t xml:space="preserve"> and (c) discriminatory and hate incidents at grass-roots level.</w:t>
      </w:r>
    </w:p>
    <w:p w14:paraId="64F1FFAE" w14:textId="1A352B01" w:rsidR="00645972" w:rsidRPr="008442CC" w:rsidRDefault="00645972" w:rsidP="007E0D23">
      <w:pPr>
        <w:spacing w:after="120" w:line="360" w:lineRule="auto"/>
        <w:jc w:val="both"/>
        <w:rPr>
          <w:b/>
          <w:i/>
        </w:rPr>
      </w:pPr>
      <w:r w:rsidRPr="008442CC">
        <w:rPr>
          <w:b/>
          <w:i/>
        </w:rPr>
        <w:t>a. Institutional discrimination</w:t>
      </w:r>
    </w:p>
    <w:p w14:paraId="32EA9B4A" w14:textId="02696664" w:rsidR="00645972" w:rsidRPr="008442CC" w:rsidRDefault="00645972" w:rsidP="001F1307">
      <w:pPr>
        <w:spacing w:after="120" w:line="360" w:lineRule="auto"/>
        <w:jc w:val="both"/>
        <w:rPr>
          <w:sz w:val="20"/>
          <w:szCs w:val="20"/>
        </w:rPr>
      </w:pPr>
      <w:r w:rsidRPr="008442CC">
        <w:t xml:space="preserve">EU migrants arriving in the UK </w:t>
      </w:r>
      <w:r w:rsidR="00A96453" w:rsidRPr="008442CC">
        <w:t xml:space="preserve">from 2005 onwards </w:t>
      </w:r>
      <w:r w:rsidRPr="008442CC">
        <w:t xml:space="preserve">have been </w:t>
      </w:r>
      <w:r w:rsidR="00B903EF" w:rsidRPr="008442CC">
        <w:t>“</w:t>
      </w:r>
      <w:r w:rsidRPr="008442CC">
        <w:t>racial</w:t>
      </w:r>
      <w:r w:rsidR="00B903EF" w:rsidRPr="008442CC">
        <w:t>ised”</w:t>
      </w:r>
      <w:r w:rsidRPr="008442CC">
        <w:t xml:space="preserve">, not due to their </w:t>
      </w:r>
      <w:r w:rsidR="00B903EF" w:rsidRPr="008442CC">
        <w:t>“</w:t>
      </w:r>
      <w:r w:rsidRPr="008442CC">
        <w:t>biological difference</w:t>
      </w:r>
      <w:r w:rsidR="00B903EF" w:rsidRPr="008442CC">
        <w:t>”</w:t>
      </w:r>
      <w:r w:rsidRPr="008442CC">
        <w:t xml:space="preserve"> but rather due to </w:t>
      </w:r>
      <w:r w:rsidR="00B903EF" w:rsidRPr="008442CC">
        <w:t>“</w:t>
      </w:r>
      <w:r w:rsidRPr="008442CC">
        <w:t>socially constructed […]</w:t>
      </w:r>
      <w:r w:rsidR="00B903EF" w:rsidRPr="008442CC">
        <w:t xml:space="preserve"> </w:t>
      </w:r>
      <w:r w:rsidRPr="008442CC">
        <w:t>practice</w:t>
      </w:r>
      <w:r w:rsidR="008531A6" w:rsidRPr="008442CC">
        <w:t>s of exclusion</w:t>
      </w:r>
      <w:r w:rsidR="00B903EF" w:rsidRPr="008442CC">
        <w:t>”</w:t>
      </w:r>
      <w:r w:rsidR="008531A6" w:rsidRPr="008442CC">
        <w:t xml:space="preserve"> (Fox et al 2012</w:t>
      </w:r>
      <w:r w:rsidR="00B903EF" w:rsidRPr="008442CC">
        <w:t>:</w:t>
      </w:r>
      <w:r w:rsidRPr="008442CC">
        <w:t xml:space="preserve">681). For instance, in the 2000s, the Home Office migration policies differentiated between various groups of EU nationals according to their alleged desirability, which produced </w:t>
      </w:r>
      <w:r w:rsidR="00E21643" w:rsidRPr="008442CC">
        <w:t>“</w:t>
      </w:r>
      <w:r w:rsidRPr="008442CC">
        <w:t>racial</w:t>
      </w:r>
      <w:r w:rsidR="00B903EF" w:rsidRPr="008442CC">
        <w:t>ised</w:t>
      </w:r>
      <w:r w:rsidRPr="008442CC">
        <w:t xml:space="preserve"> effects</w:t>
      </w:r>
      <w:r w:rsidR="00E21643" w:rsidRPr="008442CC">
        <w:t>”</w:t>
      </w:r>
      <w:r w:rsidRPr="008442CC">
        <w:t xml:space="preserve">: </w:t>
      </w:r>
      <w:r w:rsidR="00B95575" w:rsidRPr="008442CC">
        <w:t>e</w:t>
      </w:r>
      <w:r w:rsidRPr="008442CC">
        <w:t>.</w:t>
      </w:r>
      <w:r w:rsidR="00B95575" w:rsidRPr="008442CC">
        <w:t>g</w:t>
      </w:r>
      <w:r w:rsidRPr="008442CC">
        <w:t>. A2 nationals (Romanians and Bulgarians) were subject to stricter migr</w:t>
      </w:r>
      <w:r w:rsidR="008531A6" w:rsidRPr="008442CC">
        <w:t xml:space="preserve">ation controls </w:t>
      </w:r>
      <w:r w:rsidR="00B95575" w:rsidRPr="008442CC">
        <w:t xml:space="preserve">than A8 migrants </w:t>
      </w:r>
      <w:r w:rsidR="008531A6" w:rsidRPr="008442CC">
        <w:t>(Fox et al. 2012</w:t>
      </w:r>
      <w:r w:rsidR="00B903EF" w:rsidRPr="008442CC">
        <w:t>:</w:t>
      </w:r>
      <w:r w:rsidRPr="008442CC">
        <w:t>685). O’Brien (2017) has also found recurrent policies of institutional discrimination</w:t>
      </w:r>
      <w:r w:rsidR="00BB3955" w:rsidRPr="008442CC">
        <w:t>.</w:t>
      </w:r>
      <w:r w:rsidRPr="008442CC">
        <w:rPr>
          <w:rStyle w:val="EndnoteReference"/>
        </w:rPr>
        <w:endnoteReference w:id="11"/>
      </w:r>
      <w:r w:rsidRPr="008442CC">
        <w:t xml:space="preserve"> She reveals, </w:t>
      </w:r>
      <w:r w:rsidRPr="008442CC">
        <w:rPr>
          <w:i/>
        </w:rPr>
        <w:t>inter alia</w:t>
      </w:r>
      <w:r w:rsidRPr="008442CC">
        <w:t xml:space="preserve">, that UK decision-makers </w:t>
      </w:r>
      <w:r w:rsidR="00B95575" w:rsidRPr="008442CC">
        <w:t>considering</w:t>
      </w:r>
      <w:r w:rsidRPr="008442CC">
        <w:t xml:space="preserve"> EU residence and welfare </w:t>
      </w:r>
      <w:r w:rsidR="00B95575" w:rsidRPr="008442CC">
        <w:t xml:space="preserve">claims </w:t>
      </w:r>
      <w:r w:rsidR="00E21643" w:rsidRPr="008442CC">
        <w:t>“</w:t>
      </w:r>
      <w:r w:rsidRPr="008442CC">
        <w:t xml:space="preserve">don’t look at [EU] </w:t>
      </w:r>
      <w:r w:rsidRPr="008442CC">
        <w:rPr>
          <w:i/>
        </w:rPr>
        <w:t>law</w:t>
      </w:r>
      <w:r w:rsidRPr="008442CC">
        <w:t xml:space="preserve">. Just [at the UK] </w:t>
      </w:r>
      <w:r w:rsidRPr="008442CC">
        <w:rPr>
          <w:i/>
        </w:rPr>
        <w:t>guidance</w:t>
      </w:r>
      <w:r w:rsidR="00E21643" w:rsidRPr="008442CC">
        <w:t>”</w:t>
      </w:r>
      <w:r w:rsidR="008531A6" w:rsidRPr="008442CC">
        <w:t xml:space="preserve"> </w:t>
      </w:r>
      <w:r w:rsidR="008531A6" w:rsidRPr="008442CC">
        <w:lastRenderedPageBreak/>
        <w:t>(2017</w:t>
      </w:r>
      <w:r w:rsidR="00B903EF" w:rsidRPr="008442CC">
        <w:t>:</w:t>
      </w:r>
      <w:r w:rsidRPr="008442CC">
        <w:t>201, 207-209) and systematically dismiss cases without having sought enough evidence.</w:t>
      </w:r>
      <w:r w:rsidRPr="008442CC">
        <w:rPr>
          <w:rStyle w:val="EndnoteReference"/>
        </w:rPr>
        <w:endnoteReference w:id="12"/>
      </w:r>
      <w:r w:rsidRPr="008442CC">
        <w:t xml:space="preserve"> </w:t>
      </w:r>
      <w:r w:rsidR="00B95575" w:rsidRPr="008442CC">
        <w:t xml:space="preserve">Other </w:t>
      </w:r>
      <w:r w:rsidRPr="008442CC">
        <w:t>stud</w:t>
      </w:r>
      <w:r w:rsidR="00B95575" w:rsidRPr="008442CC">
        <w:t>ies</w:t>
      </w:r>
      <w:r w:rsidRPr="008442CC">
        <w:t xml:space="preserve"> recount difficulties and delays to obtain residence documents, particularly for non-EU family members </w:t>
      </w:r>
      <w:r w:rsidR="008531A6" w:rsidRPr="008442CC">
        <w:t>(</w:t>
      </w:r>
      <w:r w:rsidR="00B95575" w:rsidRPr="008442CC">
        <w:t xml:space="preserve">see e.g. </w:t>
      </w:r>
      <w:proofErr w:type="spellStart"/>
      <w:r w:rsidR="008531A6" w:rsidRPr="008442CC">
        <w:t>Nicolau</w:t>
      </w:r>
      <w:proofErr w:type="spellEnd"/>
      <w:r w:rsidR="008531A6" w:rsidRPr="008442CC">
        <w:t xml:space="preserve"> 2018</w:t>
      </w:r>
      <w:r w:rsidR="00B903EF" w:rsidRPr="008442CC">
        <w:t>:</w:t>
      </w:r>
      <w:r w:rsidRPr="008442CC">
        <w:t>7</w:t>
      </w:r>
      <w:r w:rsidR="00B95575" w:rsidRPr="008442CC">
        <w:t>-</w:t>
      </w:r>
      <w:r w:rsidRPr="008442CC">
        <w:t>9, 16, 23).</w:t>
      </w:r>
    </w:p>
    <w:p w14:paraId="6D5440FE" w14:textId="2D3943B6" w:rsidR="00645972" w:rsidRPr="008442CC" w:rsidRDefault="00645972" w:rsidP="007E0D23">
      <w:pPr>
        <w:spacing w:after="120" w:line="360" w:lineRule="auto"/>
        <w:jc w:val="both"/>
        <w:rPr>
          <w:b/>
          <w:i/>
        </w:rPr>
      </w:pPr>
      <w:r w:rsidRPr="008442CC">
        <w:rPr>
          <w:b/>
          <w:i/>
        </w:rPr>
        <w:t>b. Negative media coverage and political discourse</w:t>
      </w:r>
    </w:p>
    <w:p w14:paraId="544E4BAE" w14:textId="3147AEB0" w:rsidR="00645972" w:rsidRPr="008442CC" w:rsidRDefault="00645972" w:rsidP="001F1307">
      <w:pPr>
        <w:spacing w:line="360" w:lineRule="auto"/>
        <w:jc w:val="both"/>
        <w:rPr>
          <w:iCs/>
        </w:rPr>
      </w:pPr>
      <w:r w:rsidRPr="008442CC">
        <w:t xml:space="preserve">The so-called </w:t>
      </w:r>
      <w:r w:rsidR="00E21643" w:rsidRPr="008442CC">
        <w:t>“</w:t>
      </w:r>
      <w:r w:rsidRPr="008442CC">
        <w:t>politics of othering</w:t>
      </w:r>
      <w:r w:rsidR="00E21643" w:rsidRPr="008442CC">
        <w:t>”</w:t>
      </w:r>
      <w:r w:rsidRPr="008442CC">
        <w:t xml:space="preserve"> (Looney 2017) was also gaining significant media coverage before the </w:t>
      </w:r>
      <w:r w:rsidR="004E0676" w:rsidRPr="008442CC">
        <w:t>ER</w:t>
      </w:r>
      <w:r w:rsidRPr="008442CC">
        <w:t>.</w:t>
      </w:r>
      <w:r w:rsidRPr="008442CC">
        <w:rPr>
          <w:b/>
        </w:rPr>
        <w:t xml:space="preserve"> </w:t>
      </w:r>
      <w:r w:rsidRPr="008442CC">
        <w:t>From the mid-2000s, the media discourse blamed EU migrants for socio-economic problems. For example, Al</w:t>
      </w:r>
      <w:r w:rsidR="008531A6" w:rsidRPr="008442CC">
        <w:t>len (2016</w:t>
      </w:r>
      <w:r w:rsidR="00B95575" w:rsidRPr="008442CC">
        <w:t>:</w:t>
      </w:r>
      <w:r w:rsidRPr="008442CC">
        <w:t xml:space="preserve">2) found that, between 2006-15, </w:t>
      </w:r>
      <w:r w:rsidR="00B95575" w:rsidRPr="008442CC">
        <w:t>“</w:t>
      </w:r>
      <w:r w:rsidRPr="008442CC">
        <w:t>[e]conomic arguments dominated the discussion of problems related to both EU and illegality</w:t>
      </w:r>
      <w:r w:rsidR="00B95575" w:rsidRPr="008442CC">
        <w:t>”</w:t>
      </w:r>
      <w:r w:rsidRPr="008442CC">
        <w:t xml:space="preserve"> in tabloid, midmarket and broadsheet press</w:t>
      </w:r>
      <w:r w:rsidRPr="008442CC">
        <w:rPr>
          <w:rStyle w:val="CommentReference"/>
        </w:rPr>
        <w:t>.</w:t>
      </w:r>
      <w:r w:rsidRPr="008442CC">
        <w:t xml:space="preserve"> The higher than expected influx of Eastern Europeans led tabloid media to depict negatively such arrivals as </w:t>
      </w:r>
      <w:r w:rsidR="00E21643" w:rsidRPr="008442CC">
        <w:t>“</w:t>
      </w:r>
      <w:r w:rsidRPr="008442CC">
        <w:t>floods</w:t>
      </w:r>
      <w:r w:rsidR="00E21643" w:rsidRPr="008442CC">
        <w:t xml:space="preserve">” </w:t>
      </w:r>
      <w:r w:rsidRPr="008442CC">
        <w:t>(Allen and Bli</w:t>
      </w:r>
      <w:r w:rsidR="008531A6" w:rsidRPr="008442CC">
        <w:t>nder 2013</w:t>
      </w:r>
      <w:r w:rsidRPr="008442CC">
        <w:t>).</w:t>
      </w:r>
      <w:r w:rsidRPr="008442CC">
        <w:rPr>
          <w:rStyle w:val="EndnoteReference"/>
        </w:rPr>
        <w:endnoteReference w:id="13"/>
      </w:r>
      <w:r w:rsidRPr="008442CC">
        <w:t xml:space="preserve"> The negative media rhetoric </w:t>
      </w:r>
      <w:r w:rsidR="00A96453" w:rsidRPr="008442CC">
        <w:t xml:space="preserve">also </w:t>
      </w:r>
      <w:r w:rsidRPr="008442CC">
        <w:t xml:space="preserve">portrayed migrants as responsible for higher </w:t>
      </w:r>
      <w:r w:rsidR="008531A6" w:rsidRPr="008442CC">
        <w:t>levels of crime (Fox et al 2012</w:t>
      </w:r>
      <w:r w:rsidR="00B903EF" w:rsidRPr="008442CC">
        <w:t>:</w:t>
      </w:r>
      <w:r w:rsidRPr="008442CC">
        <w:t>687-688),</w:t>
      </w:r>
      <w:r w:rsidRPr="008442CC">
        <w:rPr>
          <w:rStyle w:val="EndnoteReference"/>
        </w:rPr>
        <w:endnoteReference w:id="14"/>
      </w:r>
      <w:r w:rsidRPr="008442CC">
        <w:t xml:space="preserve"> a</w:t>
      </w:r>
      <w:r w:rsidR="00BB3955" w:rsidRPr="008442CC">
        <w:t>s a</w:t>
      </w:r>
      <w:r w:rsidRPr="008442CC">
        <w:t xml:space="preserve"> social and economic threat (</w:t>
      </w:r>
      <w:proofErr w:type="spellStart"/>
      <w:r w:rsidRPr="008442CC">
        <w:t>Hoffner</w:t>
      </w:r>
      <w:proofErr w:type="spellEnd"/>
      <w:r w:rsidRPr="008442CC">
        <w:t xml:space="preserve"> and Cohen 2013), </w:t>
      </w:r>
      <w:r w:rsidR="00BB3955" w:rsidRPr="008442CC">
        <w:t xml:space="preserve">as </w:t>
      </w:r>
      <w:r w:rsidRPr="008442CC">
        <w:t>the cause of unemployment and housing shortage,</w:t>
      </w:r>
      <w:r w:rsidRPr="008442CC">
        <w:rPr>
          <w:rStyle w:val="EndnoteReference"/>
        </w:rPr>
        <w:endnoteReference w:id="15"/>
      </w:r>
      <w:r w:rsidRPr="008442CC">
        <w:t xml:space="preserve"> and as a strain on public services.</w:t>
      </w:r>
      <w:r w:rsidRPr="008442CC">
        <w:rPr>
          <w:rStyle w:val="EndnoteReference"/>
        </w:rPr>
        <w:endnoteReference w:id="16"/>
      </w:r>
    </w:p>
    <w:p w14:paraId="5ABA3258" w14:textId="23165348" w:rsidR="00645972" w:rsidRPr="008442CC" w:rsidRDefault="00645972" w:rsidP="001F1307">
      <w:pPr>
        <w:spacing w:line="360" w:lineRule="auto"/>
        <w:jc w:val="both"/>
        <w:rPr>
          <w:b/>
          <w:iCs/>
        </w:rPr>
      </w:pPr>
      <w:r w:rsidRPr="008442CC">
        <w:t>This discourse was embraced by far-right parties</w:t>
      </w:r>
      <w:r w:rsidR="008531A6" w:rsidRPr="008442CC">
        <w:t>,</w:t>
      </w:r>
      <w:r w:rsidRPr="008442CC">
        <w:t xml:space="preserve"> such </w:t>
      </w:r>
      <w:r w:rsidR="008531A6" w:rsidRPr="008442CC">
        <w:t xml:space="preserve">as </w:t>
      </w:r>
      <w:r w:rsidRPr="008442CC">
        <w:t xml:space="preserve">the UKIP, which took advantage of the 2008 recession and public concern over immigration to gain supporters. UKIP’s strategy was based on </w:t>
      </w:r>
      <w:r w:rsidR="00B95575" w:rsidRPr="008442CC">
        <w:t>“</w:t>
      </w:r>
      <w:r w:rsidRPr="008442CC">
        <w:t>a moral</w:t>
      </w:r>
      <w:r w:rsidRPr="008442CC">
        <w:rPr>
          <w:i/>
        </w:rPr>
        <w:t xml:space="preserve"> panic</w:t>
      </w:r>
      <w:r w:rsidRPr="008442CC">
        <w:t xml:space="preserve"> narrative framed around negative stereotypes of foreigners</w:t>
      </w:r>
      <w:r w:rsidR="00B95575" w:rsidRPr="008442CC">
        <w:t>”</w:t>
      </w:r>
      <w:r w:rsidRPr="008442CC">
        <w:t xml:space="preserve"> (Morrison 2016)</w:t>
      </w:r>
      <w:r w:rsidR="00B95575" w:rsidRPr="008442CC">
        <w:t>, who were</w:t>
      </w:r>
      <w:r w:rsidRPr="008442CC">
        <w:t xml:space="preserve"> presented as scapegoats for increasing pressure on struggling public services (Tucket 2017). Similarly, the BNP’s success was largely built on </w:t>
      </w:r>
      <w:r w:rsidRPr="008442CC">
        <w:rPr>
          <w:i/>
        </w:rPr>
        <w:t>anxiety</w:t>
      </w:r>
      <w:r w:rsidRPr="008442CC">
        <w:t xml:space="preserve"> and </w:t>
      </w:r>
      <w:r w:rsidRPr="008442CC">
        <w:rPr>
          <w:i/>
        </w:rPr>
        <w:t>alarm</w:t>
      </w:r>
      <w:r w:rsidRPr="008442CC">
        <w:t xml:space="preserve"> about the volume of migration and its alleged (negative) cultural and economic consequences.</w:t>
      </w:r>
      <w:r w:rsidRPr="008442CC">
        <w:rPr>
          <w:rStyle w:val="EndnoteReference"/>
        </w:rPr>
        <w:endnoteReference w:id="17"/>
      </w:r>
    </w:p>
    <w:p w14:paraId="342A3588" w14:textId="62F03367" w:rsidR="00645972" w:rsidRPr="008442CC" w:rsidRDefault="00645972" w:rsidP="001F1307">
      <w:pPr>
        <w:spacing w:after="120" w:line="360" w:lineRule="auto"/>
        <w:jc w:val="both"/>
        <w:rPr>
          <w:iCs/>
        </w:rPr>
      </w:pPr>
      <w:r w:rsidRPr="008442CC">
        <w:rPr>
          <w:iCs/>
        </w:rPr>
        <w:t>This anti-EU and anti-migration narrative was also endorsed by mainstream parties.</w:t>
      </w:r>
      <w:r w:rsidRPr="008442CC">
        <w:rPr>
          <w:rStyle w:val="EndnoteReference"/>
          <w:iCs/>
        </w:rPr>
        <w:endnoteReference w:id="18"/>
      </w:r>
      <w:r w:rsidRPr="008442CC">
        <w:rPr>
          <w:iCs/>
        </w:rPr>
        <w:t xml:space="preserve"> For instance, PM Cameron’s</w:t>
      </w:r>
      <w:r w:rsidRPr="008442CC">
        <w:rPr>
          <w:b/>
          <w:iCs/>
        </w:rPr>
        <w:t xml:space="preserve"> </w:t>
      </w:r>
      <w:r w:rsidRPr="008442CC">
        <w:rPr>
          <w:iCs/>
        </w:rPr>
        <w:t xml:space="preserve">Bloomberg speech in </w:t>
      </w:r>
      <w:r w:rsidR="00B95575" w:rsidRPr="008442CC">
        <w:rPr>
          <w:iCs/>
        </w:rPr>
        <w:t>“</w:t>
      </w:r>
      <w:r w:rsidRPr="008442CC">
        <w:rPr>
          <w:iCs/>
        </w:rPr>
        <w:t>full of radical rhetoric for renegotiating the UK’s relationship with the EU</w:t>
      </w:r>
      <w:r w:rsidR="00B95575" w:rsidRPr="008442CC">
        <w:rPr>
          <w:iCs/>
        </w:rPr>
        <w:t>”</w:t>
      </w:r>
      <w:r w:rsidRPr="008442CC">
        <w:rPr>
          <w:iCs/>
        </w:rPr>
        <w:t xml:space="preserve"> (Emerson 2014)</w:t>
      </w:r>
      <w:r w:rsidR="00B95575" w:rsidRPr="008442CC">
        <w:rPr>
          <w:iCs/>
        </w:rPr>
        <w:t xml:space="preserve"> to end “</w:t>
      </w:r>
      <w:r w:rsidRPr="008442CC">
        <w:rPr>
          <w:iCs/>
        </w:rPr>
        <w:t>what he termed abuse of the right to free movement</w:t>
      </w:r>
      <w:r w:rsidR="00B95575" w:rsidRPr="008442CC">
        <w:rPr>
          <w:iCs/>
        </w:rPr>
        <w:t>”</w:t>
      </w:r>
      <w:r w:rsidRPr="008442CC">
        <w:rPr>
          <w:iCs/>
        </w:rPr>
        <w:t xml:space="preserve"> and </w:t>
      </w:r>
      <w:r w:rsidR="00B95575" w:rsidRPr="008442CC">
        <w:rPr>
          <w:iCs/>
        </w:rPr>
        <w:t xml:space="preserve">“gain </w:t>
      </w:r>
      <w:r w:rsidRPr="008442CC">
        <w:rPr>
          <w:iCs/>
        </w:rPr>
        <w:t>greater cont</w:t>
      </w:r>
      <w:r w:rsidR="008531A6" w:rsidRPr="008442CC">
        <w:rPr>
          <w:iCs/>
        </w:rPr>
        <w:t>rol over migration</w:t>
      </w:r>
      <w:r w:rsidR="00B95575" w:rsidRPr="008442CC">
        <w:rPr>
          <w:iCs/>
        </w:rPr>
        <w:t>”</w:t>
      </w:r>
      <w:r w:rsidR="008531A6" w:rsidRPr="008442CC">
        <w:rPr>
          <w:iCs/>
        </w:rPr>
        <w:t xml:space="preserve"> (Craig 2016</w:t>
      </w:r>
      <w:r w:rsidR="00B903EF" w:rsidRPr="008442CC">
        <w:rPr>
          <w:iCs/>
        </w:rPr>
        <w:t>:</w:t>
      </w:r>
      <w:r w:rsidRPr="008442CC">
        <w:rPr>
          <w:iCs/>
        </w:rPr>
        <w:t>102). These claims legitim</w:t>
      </w:r>
      <w:r w:rsidR="00B903EF" w:rsidRPr="008442CC">
        <w:rPr>
          <w:iCs/>
        </w:rPr>
        <w:t>ised</w:t>
      </w:r>
      <w:r w:rsidRPr="008442CC">
        <w:rPr>
          <w:iCs/>
        </w:rPr>
        <w:t xml:space="preserve"> public opinions against (EU) migrants and led to a </w:t>
      </w:r>
      <w:r w:rsidR="00B95575" w:rsidRPr="008442CC">
        <w:rPr>
          <w:iCs/>
        </w:rPr>
        <w:t>“</w:t>
      </w:r>
      <w:r w:rsidRPr="008442CC">
        <w:rPr>
          <w:iCs/>
        </w:rPr>
        <w:t>nasty rhetoric from elite pro-Brexit campaigners’ based on racism, xenophobia and Islamophobia</w:t>
      </w:r>
      <w:r w:rsidR="00B95575" w:rsidRPr="008442CC">
        <w:rPr>
          <w:iCs/>
        </w:rPr>
        <w:t>”</w:t>
      </w:r>
      <w:r w:rsidRPr="008442CC">
        <w:rPr>
          <w:iCs/>
        </w:rPr>
        <w:t xml:space="preserve"> (</w:t>
      </w:r>
      <w:proofErr w:type="spellStart"/>
      <w:r w:rsidR="00A7277C" w:rsidRPr="008442CC">
        <w:rPr>
          <w:iCs/>
        </w:rPr>
        <w:t>Outhwaite</w:t>
      </w:r>
      <w:proofErr w:type="spellEnd"/>
      <w:r w:rsidR="00A7277C" w:rsidRPr="008442CC">
        <w:rPr>
          <w:iCs/>
        </w:rPr>
        <w:t xml:space="preserve"> 2017</w:t>
      </w:r>
      <w:r w:rsidR="00B903EF" w:rsidRPr="008442CC">
        <w:rPr>
          <w:iCs/>
        </w:rPr>
        <w:t>:</w:t>
      </w:r>
      <w:r w:rsidRPr="008442CC">
        <w:rPr>
          <w:iCs/>
        </w:rPr>
        <w:t>62).</w:t>
      </w:r>
    </w:p>
    <w:p w14:paraId="33F0D4D4" w14:textId="77777777" w:rsidR="001068D3" w:rsidRPr="008442CC" w:rsidRDefault="001068D3" w:rsidP="001F1307">
      <w:pPr>
        <w:spacing w:after="120" w:line="360" w:lineRule="auto"/>
        <w:jc w:val="both"/>
        <w:rPr>
          <w:iCs/>
        </w:rPr>
      </w:pPr>
    </w:p>
    <w:p w14:paraId="52547AE5" w14:textId="5D7AA978" w:rsidR="00645972" w:rsidRPr="008442CC" w:rsidRDefault="00645972" w:rsidP="007E0D23">
      <w:pPr>
        <w:spacing w:after="120" w:line="360" w:lineRule="auto"/>
        <w:jc w:val="both"/>
        <w:rPr>
          <w:b/>
          <w:i/>
          <w:iCs/>
        </w:rPr>
      </w:pPr>
      <w:r w:rsidRPr="008442CC">
        <w:rPr>
          <w:b/>
          <w:i/>
          <w:iCs/>
        </w:rPr>
        <w:t>c. Discrimination and hate incidents</w:t>
      </w:r>
    </w:p>
    <w:p w14:paraId="0DFB90E4" w14:textId="26057027" w:rsidR="00645972" w:rsidRPr="008442CC" w:rsidRDefault="00645972" w:rsidP="001F1307">
      <w:pPr>
        <w:spacing w:after="120" w:line="360" w:lineRule="auto"/>
        <w:jc w:val="both"/>
        <w:rPr>
          <w:iCs/>
        </w:rPr>
      </w:pPr>
      <w:r w:rsidRPr="008442CC">
        <w:rPr>
          <w:iCs/>
        </w:rPr>
        <w:lastRenderedPageBreak/>
        <w:t xml:space="preserve">These developments paved the way for discriminatory and hate incidents </w:t>
      </w:r>
      <w:r w:rsidR="00BB3955" w:rsidRPr="008442CC">
        <w:rPr>
          <w:iCs/>
        </w:rPr>
        <w:t xml:space="preserve">even </w:t>
      </w:r>
      <w:r w:rsidRPr="008442CC">
        <w:rPr>
          <w:iCs/>
        </w:rPr>
        <w:t xml:space="preserve">before the </w:t>
      </w:r>
      <w:r w:rsidR="004E0676" w:rsidRPr="008442CC">
        <w:rPr>
          <w:iCs/>
        </w:rPr>
        <w:t>ER</w:t>
      </w:r>
      <w:r w:rsidRPr="008442CC">
        <w:rPr>
          <w:iCs/>
        </w:rPr>
        <w:t xml:space="preserve">. Already in 2011, Polish migrants in the UK perceived both a negative </w:t>
      </w:r>
      <w:r w:rsidR="00B95575" w:rsidRPr="008442CC">
        <w:rPr>
          <w:iCs/>
        </w:rPr>
        <w:t>“</w:t>
      </w:r>
      <w:r w:rsidRPr="008442CC">
        <w:rPr>
          <w:iCs/>
        </w:rPr>
        <w:t>attitudinal climate</w:t>
      </w:r>
      <w:r w:rsidR="00B95575" w:rsidRPr="008442CC">
        <w:rPr>
          <w:iCs/>
        </w:rPr>
        <w:t>”</w:t>
      </w:r>
      <w:r w:rsidRPr="008442CC">
        <w:rPr>
          <w:iCs/>
        </w:rPr>
        <w:t xml:space="preserve"> and </w:t>
      </w:r>
      <w:r w:rsidR="00B95575" w:rsidRPr="008442CC">
        <w:rPr>
          <w:iCs/>
        </w:rPr>
        <w:t>“</w:t>
      </w:r>
      <w:r w:rsidRPr="008442CC">
        <w:rPr>
          <w:iCs/>
        </w:rPr>
        <w:t>receiving context</w:t>
      </w:r>
      <w:r w:rsidR="00B95575" w:rsidRPr="008442CC">
        <w:rPr>
          <w:iCs/>
        </w:rPr>
        <w:t>”</w:t>
      </w:r>
      <w:r w:rsidRPr="008442CC">
        <w:rPr>
          <w:iCs/>
        </w:rPr>
        <w:t xml:space="preserve">, particularly </w:t>
      </w:r>
      <w:r w:rsidR="00B95575" w:rsidRPr="008442CC">
        <w:rPr>
          <w:iCs/>
        </w:rPr>
        <w:t>“</w:t>
      </w:r>
      <w:r w:rsidRPr="008442CC">
        <w:rPr>
          <w:iCs/>
        </w:rPr>
        <w:t>towards the new immigrant groups from Eastern Europe</w:t>
      </w:r>
      <w:r w:rsidR="00B95575" w:rsidRPr="008442CC">
        <w:rPr>
          <w:iCs/>
        </w:rPr>
        <w:t>”</w:t>
      </w:r>
      <w:r w:rsidRPr="008442CC">
        <w:rPr>
          <w:iCs/>
        </w:rPr>
        <w:t xml:space="preserve">, which was </w:t>
      </w:r>
      <w:r w:rsidR="00B95575" w:rsidRPr="008442CC">
        <w:rPr>
          <w:iCs/>
        </w:rPr>
        <w:t>“</w:t>
      </w:r>
      <w:r w:rsidR="00E21643" w:rsidRPr="008442CC">
        <w:rPr>
          <w:iCs/>
        </w:rPr>
        <w:t>fuelled</w:t>
      </w:r>
      <w:r w:rsidRPr="008442CC">
        <w:rPr>
          <w:iCs/>
        </w:rPr>
        <w:t xml:space="preserve"> by the radical right-wing parties […] [and] group-specific stereotypes articulated in public debates</w:t>
      </w:r>
      <w:r w:rsidR="00B95575" w:rsidRPr="008442CC">
        <w:rPr>
          <w:iCs/>
        </w:rPr>
        <w:t>”</w:t>
      </w:r>
      <w:r w:rsidRPr="008442CC">
        <w:rPr>
          <w:iCs/>
        </w:rPr>
        <w:t xml:space="preserve"> (McGinnity and Gijsberts 2015:21). </w:t>
      </w:r>
      <w:r w:rsidR="00B95575" w:rsidRPr="008442CC">
        <w:rPr>
          <w:iCs/>
        </w:rPr>
        <w:t xml:space="preserve">Despite being nominally </w:t>
      </w:r>
      <w:r w:rsidR="00E21643" w:rsidRPr="008442CC">
        <w:rPr>
          <w:iCs/>
        </w:rPr>
        <w:t>“</w:t>
      </w:r>
      <w:r w:rsidR="00B95575" w:rsidRPr="008442CC">
        <w:rPr>
          <w:iCs/>
        </w:rPr>
        <w:t>white</w:t>
      </w:r>
      <w:r w:rsidR="00E21643" w:rsidRPr="008442CC">
        <w:rPr>
          <w:iCs/>
        </w:rPr>
        <w:t>”</w:t>
      </w:r>
      <w:r w:rsidR="00B95575" w:rsidRPr="008442CC">
        <w:rPr>
          <w:iCs/>
        </w:rPr>
        <w:t xml:space="preserve">, </w:t>
      </w:r>
      <w:r w:rsidRPr="008442CC">
        <w:rPr>
          <w:iCs/>
        </w:rPr>
        <w:t xml:space="preserve">Eastern European migrants who arrived </w:t>
      </w:r>
      <w:r w:rsidR="00B95575" w:rsidRPr="008442CC">
        <w:rPr>
          <w:iCs/>
        </w:rPr>
        <w:t>in</w:t>
      </w:r>
      <w:r w:rsidRPr="008442CC">
        <w:rPr>
          <w:iCs/>
        </w:rPr>
        <w:t xml:space="preserve"> the UK post-2004 were </w:t>
      </w:r>
      <w:r w:rsidR="00B95575" w:rsidRPr="008442CC">
        <w:rPr>
          <w:iCs/>
        </w:rPr>
        <w:t>“</w:t>
      </w:r>
      <w:r w:rsidRPr="008442CC">
        <w:rPr>
          <w:iCs/>
        </w:rPr>
        <w:t>racial</w:t>
      </w:r>
      <w:r w:rsidR="00B903EF" w:rsidRPr="008442CC">
        <w:rPr>
          <w:iCs/>
        </w:rPr>
        <w:t>ised</w:t>
      </w:r>
      <w:r w:rsidRPr="008442CC">
        <w:rPr>
          <w:iCs/>
        </w:rPr>
        <w:t xml:space="preserve"> as different</w:t>
      </w:r>
      <w:r w:rsidR="00B95575" w:rsidRPr="008442CC">
        <w:rPr>
          <w:iCs/>
        </w:rPr>
        <w:t>”</w:t>
      </w:r>
      <w:r w:rsidRPr="008442CC">
        <w:rPr>
          <w:iCs/>
        </w:rPr>
        <w:t xml:space="preserve"> (Fox 2013; Dawney 2008) according to attributes such as having foreign registration plates, foreign TV satellite dishes, speaking foreign languages or having a foreign ac</w:t>
      </w:r>
      <w:r w:rsidR="00A7277C" w:rsidRPr="008442CC">
        <w:rPr>
          <w:iCs/>
        </w:rPr>
        <w:t>cent or look (Rzepnikowska 2018</w:t>
      </w:r>
      <w:r w:rsidR="00B903EF" w:rsidRPr="008442CC">
        <w:rPr>
          <w:iCs/>
        </w:rPr>
        <w:t>:</w:t>
      </w:r>
      <w:r w:rsidRPr="008442CC">
        <w:rPr>
          <w:iCs/>
        </w:rPr>
        <w:t xml:space="preserve">10). </w:t>
      </w:r>
    </w:p>
    <w:p w14:paraId="06F22B4F" w14:textId="715CBB76" w:rsidR="00645972" w:rsidRPr="008442CC" w:rsidRDefault="00645972" w:rsidP="001F1307">
      <w:pPr>
        <w:spacing w:after="120" w:line="360" w:lineRule="auto"/>
        <w:jc w:val="both"/>
        <w:rPr>
          <w:iCs/>
        </w:rPr>
      </w:pPr>
      <w:r w:rsidRPr="008442CC">
        <w:rPr>
          <w:iCs/>
        </w:rPr>
        <w:t>The labour market is one of the areas where being identified as Eastern European could have more significant consequences. Indeed,</w:t>
      </w:r>
      <w:r w:rsidRPr="008442CC">
        <w:rPr>
          <w:b/>
          <w:iCs/>
        </w:rPr>
        <w:t xml:space="preserve"> </w:t>
      </w:r>
      <w:r w:rsidRPr="008442CC">
        <w:rPr>
          <w:iCs/>
        </w:rPr>
        <w:t xml:space="preserve">70% of UK-resident Polish respondents </w:t>
      </w:r>
      <w:r w:rsidR="00BB3955" w:rsidRPr="008442CC">
        <w:rPr>
          <w:iCs/>
        </w:rPr>
        <w:t xml:space="preserve">to a FRA survey (2010) </w:t>
      </w:r>
      <w:r w:rsidRPr="008442CC">
        <w:rPr>
          <w:iCs/>
        </w:rPr>
        <w:t xml:space="preserve">considered that being </w:t>
      </w:r>
      <w:r w:rsidR="00253618" w:rsidRPr="008442CC">
        <w:rPr>
          <w:iCs/>
        </w:rPr>
        <w:t xml:space="preserve">of </w:t>
      </w:r>
      <w:r w:rsidR="00E21643" w:rsidRPr="008442CC">
        <w:rPr>
          <w:iCs/>
        </w:rPr>
        <w:t>“</w:t>
      </w:r>
      <w:r w:rsidRPr="008442CC">
        <w:rPr>
          <w:iCs/>
        </w:rPr>
        <w:t>a minority background was a burden in the labour market</w:t>
      </w:r>
      <w:r w:rsidR="00E21643" w:rsidRPr="008442CC">
        <w:rPr>
          <w:iCs/>
        </w:rPr>
        <w:t>”</w:t>
      </w:r>
      <w:r w:rsidRPr="008442CC">
        <w:rPr>
          <w:iCs/>
        </w:rPr>
        <w:t>.</w:t>
      </w:r>
      <w:r w:rsidR="00B95575" w:rsidRPr="008442CC">
        <w:rPr>
          <w:rStyle w:val="EndnoteReference"/>
          <w:iCs/>
        </w:rPr>
        <w:endnoteReference w:id="19"/>
      </w:r>
      <w:r w:rsidRPr="008442CC">
        <w:rPr>
          <w:iCs/>
        </w:rPr>
        <w:t xml:space="preserve"> For instance, </w:t>
      </w:r>
      <w:proofErr w:type="spellStart"/>
      <w:r w:rsidRPr="008442CC">
        <w:rPr>
          <w:iCs/>
        </w:rPr>
        <w:t>Acik</w:t>
      </w:r>
      <w:proofErr w:type="spellEnd"/>
      <w:r w:rsidRPr="008442CC">
        <w:rPr>
          <w:iCs/>
        </w:rPr>
        <w:t xml:space="preserve"> et al (2014) note that A8 migrants tend to suffer </w:t>
      </w:r>
      <w:r w:rsidR="00E21643" w:rsidRPr="008442CC">
        <w:rPr>
          <w:iCs/>
        </w:rPr>
        <w:t>“</w:t>
      </w:r>
      <w:r w:rsidRPr="008442CC">
        <w:rPr>
          <w:iCs/>
        </w:rPr>
        <w:t>ethnic penalties</w:t>
      </w:r>
      <w:r w:rsidR="00E21643" w:rsidRPr="008442CC">
        <w:rPr>
          <w:iCs/>
        </w:rPr>
        <w:t>”</w:t>
      </w:r>
      <w:r w:rsidRPr="008442CC">
        <w:rPr>
          <w:iCs/>
        </w:rPr>
        <w:t xml:space="preserve"> in the high-end labour market, and they are likely to be overqualified and underpaid in the elementary occupations they tend to be employed at.</w:t>
      </w:r>
      <w:r w:rsidR="00BB3955" w:rsidRPr="008442CC">
        <w:rPr>
          <w:rStyle w:val="EndnoteReference"/>
          <w:iCs/>
        </w:rPr>
        <w:endnoteReference w:id="20"/>
      </w:r>
    </w:p>
    <w:p w14:paraId="6D5BF27D" w14:textId="56A677DE" w:rsidR="00645972" w:rsidRPr="008442CC" w:rsidRDefault="00B95575" w:rsidP="007E0D23">
      <w:pPr>
        <w:spacing w:after="120" w:line="360" w:lineRule="auto"/>
        <w:jc w:val="both"/>
        <w:rPr>
          <w:iCs/>
        </w:rPr>
      </w:pPr>
      <w:r w:rsidRPr="008442CC">
        <w:rPr>
          <w:iCs/>
        </w:rPr>
        <w:t>Eastern Europeans have also experienced a rise in xenophobic hate crime</w:t>
      </w:r>
      <w:r w:rsidRPr="008442CC">
        <w:t>: in 2013</w:t>
      </w:r>
      <w:r w:rsidRPr="008442CC">
        <w:rPr>
          <w:bCs/>
        </w:rPr>
        <w:t>,</w:t>
      </w:r>
      <w:r w:rsidRPr="008442CC">
        <w:t xml:space="preserve"> 585 people were arrested for hate crimes (e.g. violent assault, vandalism) against Poles, which constitutes a tenfold increase from 2004 (McDevitt 2014).</w:t>
      </w:r>
      <w:r w:rsidRPr="008442CC">
        <w:rPr>
          <w:iCs/>
        </w:rPr>
        <w:t xml:space="preserve"> </w:t>
      </w:r>
      <w:proofErr w:type="spellStart"/>
      <w:r w:rsidR="0054259E" w:rsidRPr="008442CC">
        <w:rPr>
          <w:iCs/>
        </w:rPr>
        <w:t>Rzepnikowska</w:t>
      </w:r>
      <w:proofErr w:type="spellEnd"/>
      <w:r w:rsidR="0054259E" w:rsidRPr="008442CC">
        <w:rPr>
          <w:iCs/>
        </w:rPr>
        <w:t xml:space="preserve"> (2018</w:t>
      </w:r>
      <w:r w:rsidR="00B903EF" w:rsidRPr="008442CC">
        <w:rPr>
          <w:iCs/>
        </w:rPr>
        <w:t>:</w:t>
      </w:r>
      <w:r w:rsidR="00645972" w:rsidRPr="008442CC">
        <w:rPr>
          <w:iCs/>
        </w:rPr>
        <w:t xml:space="preserve">8-10) </w:t>
      </w:r>
      <w:r w:rsidR="00BB3955" w:rsidRPr="008442CC">
        <w:rPr>
          <w:iCs/>
        </w:rPr>
        <w:t xml:space="preserve">also </w:t>
      </w:r>
      <w:r w:rsidR="00645972" w:rsidRPr="008442CC">
        <w:rPr>
          <w:iCs/>
        </w:rPr>
        <w:t xml:space="preserve">reports how her </w:t>
      </w:r>
      <w:r w:rsidRPr="008442CC">
        <w:rPr>
          <w:iCs/>
        </w:rPr>
        <w:t xml:space="preserve">Polish </w:t>
      </w:r>
      <w:r w:rsidR="00645972" w:rsidRPr="008442CC">
        <w:rPr>
          <w:iCs/>
        </w:rPr>
        <w:t xml:space="preserve">interviewees lived </w:t>
      </w:r>
      <w:r w:rsidR="00E21643" w:rsidRPr="008442CC">
        <w:rPr>
          <w:iCs/>
        </w:rPr>
        <w:t>“</w:t>
      </w:r>
      <w:r w:rsidR="00645972" w:rsidRPr="008442CC">
        <w:rPr>
          <w:iCs/>
        </w:rPr>
        <w:t>in fear</w:t>
      </w:r>
      <w:r w:rsidR="00E21643" w:rsidRPr="008442CC">
        <w:rPr>
          <w:iCs/>
        </w:rPr>
        <w:t>”</w:t>
      </w:r>
      <w:r w:rsidRPr="008442CC">
        <w:rPr>
          <w:iCs/>
        </w:rPr>
        <w:t xml:space="preserve"> and </w:t>
      </w:r>
      <w:r w:rsidR="00645972" w:rsidRPr="008442CC">
        <w:rPr>
          <w:iCs/>
        </w:rPr>
        <w:t xml:space="preserve">experienced </w:t>
      </w:r>
      <w:r w:rsidR="00E21643" w:rsidRPr="008442CC">
        <w:rPr>
          <w:iCs/>
        </w:rPr>
        <w:t>“</w:t>
      </w:r>
      <w:r w:rsidR="00645972" w:rsidRPr="008442CC">
        <w:rPr>
          <w:iCs/>
        </w:rPr>
        <w:t>general hostility</w:t>
      </w:r>
      <w:r w:rsidR="00E21643" w:rsidRPr="008442CC">
        <w:rPr>
          <w:iCs/>
        </w:rPr>
        <w:t>”</w:t>
      </w:r>
      <w:r w:rsidRPr="008442CC">
        <w:rPr>
          <w:iCs/>
        </w:rPr>
        <w:t xml:space="preserve"> </w:t>
      </w:r>
      <w:r w:rsidR="00645972" w:rsidRPr="008442CC">
        <w:rPr>
          <w:iCs/>
        </w:rPr>
        <w:t>by British neighbours, including damage to property.</w:t>
      </w:r>
      <w:r w:rsidR="00645972" w:rsidRPr="008442CC">
        <w:rPr>
          <w:rStyle w:val="EndnoteReference"/>
          <w:iCs/>
        </w:rPr>
        <w:endnoteReference w:id="21"/>
      </w:r>
      <w:r w:rsidR="00645972" w:rsidRPr="008442CC">
        <w:rPr>
          <w:iCs/>
        </w:rPr>
        <w:t xml:space="preserve"> </w:t>
      </w:r>
    </w:p>
    <w:p w14:paraId="7B728B02" w14:textId="23784C93" w:rsidR="00645972" w:rsidRPr="008442CC" w:rsidRDefault="00645972" w:rsidP="001F1307">
      <w:pPr>
        <w:spacing w:line="360" w:lineRule="auto"/>
        <w:jc w:val="both"/>
        <w:rPr>
          <w:bCs/>
        </w:rPr>
      </w:pPr>
      <w:r w:rsidRPr="008442CC">
        <w:rPr>
          <w:bCs/>
        </w:rPr>
        <w:t>This section has shown that EU nationals (especially, Eastern Europeans) had already been experiencing some levels of vulnerability</w:t>
      </w:r>
      <w:r w:rsidR="00B95575" w:rsidRPr="008442CC">
        <w:rPr>
          <w:bCs/>
        </w:rPr>
        <w:t xml:space="preserve"> before the </w:t>
      </w:r>
      <w:r w:rsidR="004E0676" w:rsidRPr="008442CC">
        <w:rPr>
          <w:bCs/>
        </w:rPr>
        <w:t>ER</w:t>
      </w:r>
      <w:r w:rsidRPr="008442CC">
        <w:rPr>
          <w:bCs/>
        </w:rPr>
        <w:t xml:space="preserve">. However, the grass-roots level incidents had often not reached the overtness and frequency they did in the months preceding the Referendum and afterwards. Additionally, these phenomena arguably had relatively limited subjective repercussions on those whom they targeted. </w:t>
      </w:r>
      <w:r w:rsidR="00B95575" w:rsidRPr="008442CC">
        <w:rPr>
          <w:bCs/>
        </w:rPr>
        <w:t>P</w:t>
      </w:r>
      <w:r w:rsidRPr="008442CC">
        <w:rPr>
          <w:bCs/>
        </w:rPr>
        <w:t xml:space="preserve">ublicly available information and our own data show that the </w:t>
      </w:r>
      <w:r w:rsidR="004E0676" w:rsidRPr="008442CC">
        <w:rPr>
          <w:bCs/>
        </w:rPr>
        <w:t>ER</w:t>
      </w:r>
      <w:r w:rsidRPr="008442CC">
        <w:rPr>
          <w:bCs/>
        </w:rPr>
        <w:t xml:space="preserve"> led to an increase not only in OV of EU nationals but also in their SV (section 5).</w:t>
      </w:r>
    </w:p>
    <w:p w14:paraId="05C8C81E" w14:textId="77777777" w:rsidR="001068D3" w:rsidRPr="008442CC" w:rsidRDefault="001068D3" w:rsidP="001F1307">
      <w:pPr>
        <w:jc w:val="both"/>
        <w:rPr>
          <w:bCs/>
        </w:rPr>
      </w:pPr>
    </w:p>
    <w:p w14:paraId="67802520" w14:textId="52BAADC8" w:rsidR="00506871" w:rsidRPr="008442CC" w:rsidRDefault="00506871" w:rsidP="001F1307">
      <w:pPr>
        <w:jc w:val="both"/>
        <w:rPr>
          <w:b/>
        </w:rPr>
      </w:pPr>
      <w:r w:rsidRPr="008442CC">
        <w:rPr>
          <w:b/>
        </w:rPr>
        <w:t>4. Methodology</w:t>
      </w:r>
    </w:p>
    <w:p w14:paraId="5EA9A13B" w14:textId="2C9B2A87" w:rsidR="00506871" w:rsidRPr="008442CC" w:rsidRDefault="00506871" w:rsidP="001F1307">
      <w:pPr>
        <w:jc w:val="both"/>
        <w:rPr>
          <w:b/>
        </w:rPr>
      </w:pPr>
    </w:p>
    <w:p w14:paraId="1362F751" w14:textId="0041D603" w:rsidR="00506871" w:rsidRPr="008442CC" w:rsidRDefault="00506871" w:rsidP="00506871">
      <w:pPr>
        <w:spacing w:after="120" w:line="360" w:lineRule="auto"/>
        <w:jc w:val="both"/>
        <w:rPr>
          <w:bCs/>
        </w:rPr>
      </w:pPr>
      <w:r w:rsidRPr="008442CC">
        <w:t xml:space="preserve">The key arguments developed in this contribution draw on mixed methods and different data sources. Whereas the literature relies on either qualitative methods based on </w:t>
      </w:r>
      <w:r w:rsidRPr="008442CC">
        <w:lastRenderedPageBreak/>
        <w:t>interviews and/or focus groups (</w:t>
      </w:r>
      <w:proofErr w:type="spellStart"/>
      <w:r w:rsidRPr="008442CC">
        <w:t>Rzepnikowska</w:t>
      </w:r>
      <w:proofErr w:type="spellEnd"/>
      <w:r w:rsidRPr="008442CC">
        <w:t xml:space="preserve"> 2018) or quantitative strategies based on the application of statistical methods to surveys (McGhee et al. 2017), here we combine</w:t>
      </w:r>
      <w:r w:rsidR="00253618" w:rsidRPr="008442CC">
        <w:t>d</w:t>
      </w:r>
      <w:r w:rsidRPr="008442CC">
        <w:t xml:space="preserve"> both qualitative and quantitative approaches</w:t>
      </w:r>
      <w:r w:rsidRPr="008442CC">
        <w:rPr>
          <w:bCs/>
        </w:rPr>
        <w:t xml:space="preserve"> to investigate whether Poles who had lived in Southampton since at least 2014 experienced changes in their OV and SV in connection with the </w:t>
      </w:r>
      <w:r w:rsidR="004E0676" w:rsidRPr="008442CC">
        <w:rPr>
          <w:bCs/>
        </w:rPr>
        <w:t>ER</w:t>
      </w:r>
      <w:r w:rsidRPr="008442CC">
        <w:rPr>
          <w:bCs/>
        </w:rPr>
        <w:t>.</w:t>
      </w:r>
    </w:p>
    <w:p w14:paraId="56B695DF" w14:textId="77777777" w:rsidR="00506871" w:rsidRPr="008442CC" w:rsidRDefault="00506871" w:rsidP="00506871">
      <w:pPr>
        <w:pStyle w:val="ListParagraph"/>
        <w:numPr>
          <w:ilvl w:val="0"/>
          <w:numId w:val="18"/>
        </w:numPr>
        <w:spacing w:after="120" w:line="360" w:lineRule="auto"/>
        <w:ind w:left="426" w:hanging="426"/>
        <w:jc w:val="both"/>
        <w:rPr>
          <w:b/>
          <w:i/>
          <w:iCs/>
        </w:rPr>
      </w:pPr>
      <w:r w:rsidRPr="008442CC">
        <w:rPr>
          <w:b/>
          <w:i/>
          <w:iCs/>
        </w:rPr>
        <w:t>Data collection design</w:t>
      </w:r>
    </w:p>
    <w:p w14:paraId="35A075BD" w14:textId="6C83A848" w:rsidR="00506871" w:rsidRPr="008442CC" w:rsidRDefault="00506871" w:rsidP="00506871">
      <w:pPr>
        <w:spacing w:after="120" w:line="360" w:lineRule="auto"/>
        <w:jc w:val="both"/>
      </w:pPr>
      <w:r w:rsidRPr="008442CC">
        <w:t>This study was based on a ‘convergent parallel mixed methods’ design (</w:t>
      </w:r>
      <w:proofErr w:type="spellStart"/>
      <w:r w:rsidRPr="008442CC">
        <w:t>Cresswell</w:t>
      </w:r>
      <w:proofErr w:type="spellEnd"/>
      <w:r w:rsidRPr="008442CC">
        <w:t xml:space="preserve"> 20</w:t>
      </w:r>
      <w:r w:rsidR="00F10601" w:rsidRPr="008442CC">
        <w:t>14</w:t>
      </w:r>
      <w:r w:rsidRPr="008442CC">
        <w:t>:219), i.e. collecting qualitative and quantitative data in parallel and analysing them separately to understand how the findings relate or compare to each other. This design was chosen to (a) gain an in-depth understanding of the key issues at stake through the qualitative data and (b) to verify whether those findings could be extended to the Polish population based in Southampton through the quantitative data</w:t>
      </w:r>
      <w:r w:rsidR="001068D3" w:rsidRPr="008442CC">
        <w:t>.</w:t>
      </w:r>
    </w:p>
    <w:p w14:paraId="67D19273" w14:textId="78BBE2C4" w:rsidR="00506871" w:rsidRPr="008442CC" w:rsidRDefault="00506871" w:rsidP="00506871">
      <w:pPr>
        <w:spacing w:after="120" w:line="360" w:lineRule="auto"/>
        <w:jc w:val="both"/>
      </w:pPr>
      <w:r w:rsidRPr="008442CC">
        <w:t>Our qualitative approach consisted in four focus groups with Polish nationals</w:t>
      </w:r>
      <w:r w:rsidRPr="008442CC">
        <w:rPr>
          <w:rStyle w:val="EndnoteReference"/>
        </w:rPr>
        <w:endnoteReference w:id="22"/>
      </w:r>
      <w:r w:rsidRPr="008442CC">
        <w:t xml:space="preserve"> and </w:t>
      </w:r>
      <w:r w:rsidRPr="008442CC">
        <w:rPr>
          <w:bCs/>
        </w:rPr>
        <w:t xml:space="preserve">seven semi-structured interviews with local “contact points” for the Polish community. </w:t>
      </w:r>
      <w:r w:rsidRPr="008442CC">
        <w:t>The purpose of the focus groups was to better understand the narratives of different demographic and socio-economic groups of Poles in relation to the research question, and whether their vulnerability experiences varied according to these factors.</w:t>
      </w:r>
      <w:r w:rsidRPr="008442CC">
        <w:rPr>
          <w:rStyle w:val="EndnoteReference"/>
        </w:rPr>
        <w:endnoteReference w:id="23"/>
      </w:r>
      <w:r w:rsidRPr="008442CC">
        <w:t xml:space="preserve"> </w:t>
      </w:r>
      <w:r w:rsidR="004E0676" w:rsidRPr="008442CC">
        <w:t>We had 21 focus groups participants, 76% of which had been in the UK for more than five years. While the sample was quite diverse, most of them were students or employees aged 45 years or less.</w:t>
      </w:r>
      <w:r w:rsidR="004E0676" w:rsidRPr="008442CC">
        <w:rPr>
          <w:rStyle w:val="EndnoteReference"/>
        </w:rPr>
        <w:endnoteReference w:id="24"/>
      </w:r>
      <w:r w:rsidR="00510FFC" w:rsidRPr="008442CC">
        <w:t xml:space="preserve"> </w:t>
      </w:r>
      <w:r w:rsidRPr="008442CC">
        <w:t>On the other hand, through the semi-structured interviews with professionals who have regular contact with a large amount of Southampton-based Poles,</w:t>
      </w:r>
      <w:r w:rsidRPr="008442CC">
        <w:rPr>
          <w:rStyle w:val="EndnoteReference"/>
        </w:rPr>
        <w:endnoteReference w:id="25"/>
      </w:r>
      <w:r w:rsidRPr="008442CC">
        <w:t xml:space="preserve"> we sought to find out what might be the key trends linked to our research questions and whether, through their contact with Poles, they could perceive certain vulnerability issues that might not have been so obvious to identify at individual level.</w:t>
      </w:r>
    </w:p>
    <w:p w14:paraId="6DEC27DB" w14:textId="5FAF30BB" w:rsidR="00506871" w:rsidRPr="008442CC" w:rsidRDefault="00506871" w:rsidP="00506871">
      <w:pPr>
        <w:spacing w:after="120" w:line="360" w:lineRule="auto"/>
        <w:jc w:val="both"/>
        <w:rPr>
          <w:rFonts w:cs="AdvOT46dcae81"/>
        </w:rPr>
      </w:pPr>
      <w:r w:rsidRPr="008442CC">
        <w:t xml:space="preserve">For the quantitative approach, we designed a survey to assess whether Polish nationals experienced changes in OV and SV due to the </w:t>
      </w:r>
      <w:r w:rsidR="004E0676" w:rsidRPr="008442CC">
        <w:t>ER</w:t>
      </w:r>
      <w:r w:rsidRPr="008442CC">
        <w:t xml:space="preserve"> campaign and results. The questionnaire was adapted from the “Perceived Ethnic Discrimination Questionnaire” (PEDQ) from </w:t>
      </w:r>
      <w:proofErr w:type="spellStart"/>
      <w:r w:rsidRPr="008442CC">
        <w:t>Contrada</w:t>
      </w:r>
      <w:proofErr w:type="spellEnd"/>
      <w:r w:rsidRPr="008442CC">
        <w:t xml:space="preserve"> et al (2001), which has been widely used to measure several subdimensions of racism, which are closely linked to our concepts of </w:t>
      </w:r>
      <w:r w:rsidR="008F5CC2" w:rsidRPr="008442CC">
        <w:t>OV</w:t>
      </w:r>
      <w:r w:rsidRPr="008442CC">
        <w:t xml:space="preserve"> and </w:t>
      </w:r>
      <w:r w:rsidR="008F5CC2" w:rsidRPr="008442CC">
        <w:t>SV</w:t>
      </w:r>
      <w:r w:rsidRPr="008442CC">
        <w:t xml:space="preserve">. We replaced references to ‘ethnicity’ by ‘national origin’. We also introduced questions specifically relevant to the </w:t>
      </w:r>
      <w:r w:rsidR="00510FFC" w:rsidRPr="008442CC">
        <w:t>SV</w:t>
      </w:r>
      <w:r w:rsidRPr="008442CC">
        <w:t xml:space="preserve"> of the Polish community in Southampton</w:t>
      </w:r>
      <w:r w:rsidR="00E80589" w:rsidRPr="008442CC">
        <w:rPr>
          <w:rStyle w:val="EndnoteReference"/>
        </w:rPr>
        <w:endnoteReference w:id="26"/>
      </w:r>
      <w:r w:rsidRPr="008442CC">
        <w:t xml:space="preserve"> and we </w:t>
      </w:r>
      <w:r w:rsidRPr="008442CC">
        <w:lastRenderedPageBreak/>
        <w:t xml:space="preserve">reorganised questions to start with </w:t>
      </w:r>
      <w:r w:rsidR="008F5CC2" w:rsidRPr="008442CC">
        <w:t xml:space="preserve">respondents’ </w:t>
      </w:r>
      <w:r w:rsidRPr="008442CC">
        <w:t xml:space="preserve">general </w:t>
      </w:r>
      <w:r w:rsidR="008F5CC2" w:rsidRPr="008442CC">
        <w:t>impressions</w:t>
      </w:r>
      <w:r w:rsidRPr="008442CC">
        <w:t xml:space="preserve">, followed by the least serious </w:t>
      </w:r>
      <w:r w:rsidR="008F5CC2" w:rsidRPr="008442CC">
        <w:t xml:space="preserve">discrimination </w:t>
      </w:r>
      <w:r w:rsidRPr="008442CC">
        <w:t xml:space="preserve">incidents gradually increasing to more serious ones. Instead of a seven-point scale, </w:t>
      </w:r>
      <w:r w:rsidR="001068D3" w:rsidRPr="008442CC">
        <w:t xml:space="preserve">a </w:t>
      </w:r>
      <w:r w:rsidRPr="008442CC">
        <w:rPr>
          <w:rFonts w:cs="AdvOT46dcae81"/>
        </w:rPr>
        <w:t>Likert-like 5-point scale from ‘never’ (value 1) to ‘very often’ (value 5) was used to avoid large variances.</w:t>
      </w:r>
      <w:r w:rsidR="00BB3955" w:rsidRPr="008442CC">
        <w:rPr>
          <w:rStyle w:val="EndnoteReference"/>
          <w:rFonts w:cs="AdvOT46dcae81"/>
        </w:rPr>
        <w:endnoteReference w:id="27"/>
      </w:r>
    </w:p>
    <w:p w14:paraId="17C1F3D9" w14:textId="7A5CEC6B" w:rsidR="00506871" w:rsidRPr="008442CC" w:rsidRDefault="00506871" w:rsidP="00506871">
      <w:pPr>
        <w:spacing w:after="120" w:line="360" w:lineRule="auto"/>
        <w:jc w:val="both"/>
      </w:pPr>
      <w:r w:rsidRPr="008442CC">
        <w:rPr>
          <w:rFonts w:cs="AdvOT46dcae81"/>
        </w:rPr>
        <w:t>T</w:t>
      </w:r>
      <w:r w:rsidRPr="008442CC">
        <w:rPr>
          <w:bCs/>
        </w:rPr>
        <w:t xml:space="preserve">o measure changes in perceptions linked to the </w:t>
      </w:r>
      <w:r w:rsidR="004E0676" w:rsidRPr="008442CC">
        <w:rPr>
          <w:bCs/>
        </w:rPr>
        <w:t>ER</w:t>
      </w:r>
      <w:r w:rsidRPr="008442CC">
        <w:rPr>
          <w:bCs/>
        </w:rPr>
        <w:t xml:space="preserve"> campaign and vote, the participants were asked about changes in their own experiences and in the experiences of Poles living in Southampton (according to their knowledge) in two periods:</w:t>
      </w:r>
      <w:r w:rsidRPr="008442CC">
        <w:rPr>
          <w:rStyle w:val="EndnoteReference"/>
          <w:bCs/>
        </w:rPr>
        <w:endnoteReference w:id="28"/>
      </w:r>
      <w:r w:rsidRPr="008442CC">
        <w:rPr>
          <w:bCs/>
        </w:rPr>
        <w:t xml:space="preserve"> 2014-15 (before the </w:t>
      </w:r>
      <w:r w:rsidR="004E0676" w:rsidRPr="008442CC">
        <w:rPr>
          <w:bCs/>
        </w:rPr>
        <w:t>ER</w:t>
      </w:r>
      <w:r w:rsidRPr="008442CC">
        <w:rPr>
          <w:bCs/>
        </w:rPr>
        <w:t xml:space="preserve"> was announced) and 2016-17 (once the </w:t>
      </w:r>
      <w:r w:rsidR="004E0676" w:rsidRPr="008442CC">
        <w:rPr>
          <w:bCs/>
        </w:rPr>
        <w:t>E</w:t>
      </w:r>
      <w:r w:rsidRPr="008442CC">
        <w:rPr>
          <w:bCs/>
        </w:rPr>
        <w:t>R was announced, the campaign and vote took place and Brexit negotiations started). For both periods, participants answered the same set of 22 questions:</w:t>
      </w:r>
      <w:r w:rsidR="008F5CC2" w:rsidRPr="008442CC">
        <w:rPr>
          <w:rStyle w:val="EndnoteReference"/>
          <w:bCs/>
        </w:rPr>
        <w:endnoteReference w:id="29"/>
      </w:r>
      <w:r w:rsidRPr="008442CC">
        <w:rPr>
          <w:bCs/>
        </w:rPr>
        <w:t xml:space="preserve"> </w:t>
      </w:r>
      <w:r w:rsidRPr="008442CC">
        <w:rPr>
          <w:rFonts w:cs="AdvOT46dcae81"/>
        </w:rPr>
        <w:t xml:space="preserve">12 were linked to SV, whereas 10 were linked to OV </w:t>
      </w:r>
      <w:r w:rsidRPr="008442CC">
        <w:t>(see details in Appendix, Tables A4, A5).</w:t>
      </w:r>
    </w:p>
    <w:p w14:paraId="06B485E8" w14:textId="77777777" w:rsidR="00506871" w:rsidRPr="008442CC" w:rsidRDefault="00506871" w:rsidP="00506871">
      <w:pPr>
        <w:pStyle w:val="ListParagraph"/>
        <w:numPr>
          <w:ilvl w:val="0"/>
          <w:numId w:val="18"/>
        </w:numPr>
        <w:spacing w:after="120" w:line="360" w:lineRule="auto"/>
        <w:ind w:left="284" w:hanging="284"/>
        <w:jc w:val="both"/>
        <w:rPr>
          <w:b/>
          <w:bCs/>
          <w:i/>
          <w:iCs/>
        </w:rPr>
      </w:pPr>
      <w:r w:rsidRPr="008442CC">
        <w:rPr>
          <w:b/>
          <w:bCs/>
          <w:i/>
          <w:iCs/>
        </w:rPr>
        <w:t>Participants’ selection and recruitment</w:t>
      </w:r>
    </w:p>
    <w:p w14:paraId="5681BFFD" w14:textId="30BD7862" w:rsidR="00506871" w:rsidRPr="008442CC" w:rsidRDefault="00506871" w:rsidP="00506871">
      <w:pPr>
        <w:spacing w:after="120" w:line="360" w:lineRule="auto"/>
        <w:jc w:val="both"/>
      </w:pPr>
      <w:r w:rsidRPr="008442CC">
        <w:t xml:space="preserve">As discussed, the aim of the semi-structured interviews was to develop an in-depth </w:t>
      </w:r>
      <w:r w:rsidR="00E80589" w:rsidRPr="008442CC">
        <w:t>understanding of changes in OV and SV</w:t>
      </w:r>
      <w:r w:rsidRPr="008442CC">
        <w:rPr>
          <w:lang w:val="en-US"/>
        </w:rPr>
        <w:t>, so we used purposeful sampling strategies (namely, snowball sampling instead of random sampling) to select an appropriate and diverse range of experts who were considered to be ‘information rich’,</w:t>
      </w:r>
      <w:r w:rsidRPr="008442CC">
        <w:t xml:space="preserve"> starting with the EU Welcome independent advisor. The sample intentionally included official advice providers and bodies which have extensive contact with the Polish community, and both Polish and non-Polish interviewees.</w:t>
      </w:r>
      <w:r w:rsidRPr="008442CC">
        <w:rPr>
          <w:rStyle w:val="EndnoteReference"/>
        </w:rPr>
        <w:endnoteReference w:id="30"/>
      </w:r>
    </w:p>
    <w:p w14:paraId="4AAF3B47" w14:textId="59E6AD8B" w:rsidR="00506871" w:rsidRPr="008442CC" w:rsidRDefault="00506871" w:rsidP="00506871">
      <w:pPr>
        <w:spacing w:after="120" w:line="360" w:lineRule="auto"/>
        <w:jc w:val="both"/>
        <w:rPr>
          <w:bCs/>
        </w:rPr>
      </w:pPr>
      <w:r w:rsidRPr="008442CC">
        <w:rPr>
          <w:bCs/>
        </w:rPr>
        <w:t xml:space="preserve">Given the absence of contact details and demographic data of Polish nationals living in Southampton, </w:t>
      </w:r>
      <w:r w:rsidRPr="008442CC">
        <w:t xml:space="preserve">for the survey and the focus groups, </w:t>
      </w:r>
      <w:r w:rsidRPr="008442CC">
        <w:rPr>
          <w:bCs/>
        </w:rPr>
        <w:t>we used snowball and convenience sampling methods. To minimise online survey biases we used “active data collection” strategies (McGhee et al. 2017; Couper 2000), which included approaching Polish participants in “Polish hubs”,</w:t>
      </w:r>
      <w:r w:rsidRPr="008442CC">
        <w:rPr>
          <w:rStyle w:val="EndnoteReference"/>
          <w:bCs/>
        </w:rPr>
        <w:endnoteReference w:id="31"/>
      </w:r>
      <w:r w:rsidRPr="008442CC">
        <w:rPr>
          <w:bCs/>
        </w:rPr>
        <w:t xml:space="preserve"> promoting the survey via the local Polish radio, magazine and social media (i.e. Polish Facebook groups and Twitter), and using a Polish public relations/marketing specialist firm to recruit demographically and socio-economically diverse participants.</w:t>
      </w:r>
      <w:r w:rsidRPr="008442CC">
        <w:rPr>
          <w:rStyle w:val="EndnoteReference"/>
          <w:bCs/>
        </w:rPr>
        <w:endnoteReference w:id="32"/>
      </w:r>
    </w:p>
    <w:p w14:paraId="3F8201FD" w14:textId="77777777" w:rsidR="00506871" w:rsidRPr="008442CC" w:rsidRDefault="00506871" w:rsidP="00506871">
      <w:pPr>
        <w:pStyle w:val="ListParagraph"/>
        <w:numPr>
          <w:ilvl w:val="0"/>
          <w:numId w:val="18"/>
        </w:numPr>
        <w:spacing w:after="120" w:line="360" w:lineRule="auto"/>
        <w:ind w:left="284" w:hanging="284"/>
        <w:jc w:val="both"/>
        <w:rPr>
          <w:b/>
          <w:bCs/>
          <w:i/>
          <w:iCs/>
        </w:rPr>
      </w:pPr>
      <w:r w:rsidRPr="008442CC">
        <w:rPr>
          <w:b/>
          <w:bCs/>
          <w:i/>
          <w:iCs/>
        </w:rPr>
        <w:t>Implementation</w:t>
      </w:r>
    </w:p>
    <w:p w14:paraId="79930FAA" w14:textId="019CA443" w:rsidR="00506871" w:rsidRPr="008442CC" w:rsidRDefault="00510FFC" w:rsidP="00506871">
      <w:pPr>
        <w:spacing w:after="120" w:line="360" w:lineRule="auto"/>
        <w:jc w:val="both"/>
        <w:rPr>
          <w:bCs/>
        </w:rPr>
      </w:pPr>
      <w:r w:rsidRPr="008442CC">
        <w:rPr>
          <w:bCs/>
        </w:rPr>
        <w:lastRenderedPageBreak/>
        <w:t>F</w:t>
      </w:r>
      <w:r w:rsidR="00506871" w:rsidRPr="008442CC">
        <w:rPr>
          <w:bCs/>
        </w:rPr>
        <w:t>ocus groups and interviews were conducted on the basis of guides which contained opened-ended, non-leading questions, which started with an introduction to the project and a warm up question. Both interview and focus groups questions were pilot tested.</w:t>
      </w:r>
    </w:p>
    <w:p w14:paraId="19CCD4E9" w14:textId="71564DFE" w:rsidR="00506871" w:rsidRPr="008442CC" w:rsidRDefault="00506871" w:rsidP="00506871">
      <w:pPr>
        <w:spacing w:after="120" w:line="360" w:lineRule="auto"/>
        <w:jc w:val="both"/>
        <w:rPr>
          <w:bCs/>
        </w:rPr>
      </w:pPr>
      <w:r w:rsidRPr="008442CC">
        <w:rPr>
          <w:bCs/>
        </w:rPr>
        <w:t xml:space="preserve">The focus groups guides were closely linked to the themes and questions of the survey, whereas the interview guides aimed to establish first what was the type and frequency of contact of the experts with the Polish community in Southampton and then gave the expert the opportunity to mention potential </w:t>
      </w:r>
      <w:r w:rsidR="00510FFC" w:rsidRPr="008442CC">
        <w:rPr>
          <w:bCs/>
        </w:rPr>
        <w:t>OV and SV</w:t>
      </w:r>
      <w:r w:rsidRPr="008442CC">
        <w:rPr>
          <w:bCs/>
        </w:rPr>
        <w:t xml:space="preserve"> incidents and trends. Each focus group was led by two researchers, one of whom was always a Polish national. Hence, participants were expressly given the chance to speak either in English or in Polish</w:t>
      </w:r>
      <w:r w:rsidR="00BB3955" w:rsidRPr="008442CC">
        <w:rPr>
          <w:bCs/>
        </w:rPr>
        <w:t xml:space="preserve"> (although the former was always preferred)</w:t>
      </w:r>
      <w:r w:rsidRPr="008442CC">
        <w:rPr>
          <w:bCs/>
        </w:rPr>
        <w:t>.</w:t>
      </w:r>
    </w:p>
    <w:p w14:paraId="6210B4B3" w14:textId="4C884034" w:rsidR="00506871" w:rsidRPr="008442CC" w:rsidRDefault="00506871" w:rsidP="00506871">
      <w:pPr>
        <w:spacing w:after="120" w:line="360" w:lineRule="auto"/>
        <w:jc w:val="both"/>
        <w:rPr>
          <w:bCs/>
        </w:rPr>
      </w:pPr>
      <w:r w:rsidRPr="008442CC">
        <w:rPr>
          <w:bCs/>
        </w:rPr>
        <w:t xml:space="preserve">Most of the interviews were conducted in English by a member of the research team. However, to facilitate empathy, trust and smoother communication with the interviewee, </w:t>
      </w:r>
      <w:r w:rsidR="00270DEA" w:rsidRPr="008442CC">
        <w:rPr>
          <w:bCs/>
        </w:rPr>
        <w:t>o</w:t>
      </w:r>
      <w:r w:rsidRPr="008442CC">
        <w:rPr>
          <w:bCs/>
        </w:rPr>
        <w:t xml:space="preserve">n the two occasions where a Polish national was interviewed, the interviews were conducted in Polish by a Polish research team member. The latter were </w:t>
      </w:r>
      <w:r w:rsidR="00BB3955" w:rsidRPr="008442CC">
        <w:rPr>
          <w:bCs/>
        </w:rPr>
        <w:t xml:space="preserve">then </w:t>
      </w:r>
      <w:r w:rsidRPr="008442CC">
        <w:rPr>
          <w:bCs/>
        </w:rPr>
        <w:t>translated into English by an independent translator. Both interviews and focus groups were transcribed verbatim from the audio recording.</w:t>
      </w:r>
    </w:p>
    <w:p w14:paraId="35F130DD" w14:textId="66E72E8F" w:rsidR="00506871" w:rsidRPr="008442CC" w:rsidRDefault="00506871" w:rsidP="00506871">
      <w:pPr>
        <w:spacing w:after="120" w:line="360" w:lineRule="auto"/>
        <w:jc w:val="both"/>
        <w:rPr>
          <w:bCs/>
        </w:rPr>
      </w:pPr>
      <w:r w:rsidRPr="008442CC">
        <w:rPr>
          <w:bCs/>
        </w:rPr>
        <w:t>The survey was translated into Polish to ensure that the sample was as diverse and representative as possible</w:t>
      </w:r>
      <w:r w:rsidRPr="008442CC">
        <w:rPr>
          <w:rStyle w:val="EndnoteReference"/>
          <w:bCs/>
        </w:rPr>
        <w:endnoteReference w:id="33"/>
      </w:r>
      <w:r w:rsidRPr="008442CC">
        <w:rPr>
          <w:bCs/>
        </w:rPr>
        <w:t xml:space="preserve"> and to avoid language confusion. </w:t>
      </w:r>
      <w:r w:rsidR="008F5CC2" w:rsidRPr="008442CC">
        <w:rPr>
          <w:rFonts w:cs="AdvOT46dcae81"/>
        </w:rPr>
        <w:t>It</w:t>
      </w:r>
      <w:r w:rsidRPr="008442CC">
        <w:rPr>
          <w:rFonts w:cs="AdvOT46dcae81"/>
        </w:rPr>
        <w:t xml:space="preserve"> was opened between the 28</w:t>
      </w:r>
      <w:r w:rsidRPr="008442CC">
        <w:rPr>
          <w:rFonts w:cs="AdvOT46dcae81"/>
          <w:vertAlign w:val="superscript"/>
        </w:rPr>
        <w:t>th</w:t>
      </w:r>
      <w:r w:rsidRPr="008442CC">
        <w:rPr>
          <w:rFonts w:cs="AdvOT46dcae81"/>
        </w:rPr>
        <w:t xml:space="preserve"> of April and the 24</w:t>
      </w:r>
      <w:r w:rsidRPr="008442CC">
        <w:rPr>
          <w:rFonts w:cs="AdvOT46dcae81"/>
          <w:vertAlign w:val="superscript"/>
        </w:rPr>
        <w:t>th</w:t>
      </w:r>
      <w:r w:rsidRPr="008442CC">
        <w:rPr>
          <w:rFonts w:cs="AdvOT46dcae81"/>
        </w:rPr>
        <w:t xml:space="preserve"> of June 2018.</w:t>
      </w:r>
    </w:p>
    <w:p w14:paraId="00EC4F1A" w14:textId="77777777" w:rsidR="00506871" w:rsidRPr="008442CC" w:rsidRDefault="00506871" w:rsidP="00506871">
      <w:pPr>
        <w:pStyle w:val="ListParagraph"/>
        <w:numPr>
          <w:ilvl w:val="0"/>
          <w:numId w:val="18"/>
        </w:numPr>
        <w:spacing w:after="120" w:line="360" w:lineRule="auto"/>
        <w:ind w:left="284" w:hanging="284"/>
        <w:jc w:val="both"/>
        <w:rPr>
          <w:b/>
          <w:bCs/>
          <w:i/>
          <w:iCs/>
        </w:rPr>
      </w:pPr>
      <w:r w:rsidRPr="008442CC">
        <w:rPr>
          <w:b/>
          <w:bCs/>
          <w:i/>
          <w:iCs/>
        </w:rPr>
        <w:t>Analysis</w:t>
      </w:r>
    </w:p>
    <w:p w14:paraId="04A3507F" w14:textId="1A46D684" w:rsidR="00506871" w:rsidRPr="008442CC" w:rsidRDefault="00506871" w:rsidP="00506871">
      <w:pPr>
        <w:spacing w:after="120" w:line="360" w:lineRule="auto"/>
        <w:jc w:val="both"/>
      </w:pPr>
      <w:r w:rsidRPr="008442CC">
        <w:t>The qualitative analysis of the interviews and the focus groups was done manually and separately. Following Creswell (20</w:t>
      </w:r>
      <w:r w:rsidR="00682D66" w:rsidRPr="008442CC">
        <w:t>14</w:t>
      </w:r>
      <w:r w:rsidRPr="008442CC">
        <w:t>), the coding framework was based on three levels of abstraction: (1) at the highest level, the themes were predefined according to the research questions, (2) at the intermediate and lower levels, codes and sub-codes were derived through non-linear iterations from the interviews and focus groups data, respectively. The separate coding and analysis of interviews and focus groups allowed us to compare them and identify potential divergences and/or similitudes in the emerging codes and sub-codes.</w:t>
      </w:r>
    </w:p>
    <w:p w14:paraId="0853C686" w14:textId="77777777" w:rsidR="00506871" w:rsidRPr="008442CC" w:rsidRDefault="00506871" w:rsidP="00506871">
      <w:pPr>
        <w:spacing w:after="120" w:line="360" w:lineRule="auto"/>
        <w:jc w:val="both"/>
        <w:rPr>
          <w:bCs/>
        </w:rPr>
      </w:pPr>
      <w:r w:rsidRPr="008442CC">
        <w:t xml:space="preserve">The quantitative approach involved inferential statistical analysis of data from the tailored online survey, which collected responses from </w:t>
      </w:r>
      <w:r w:rsidRPr="008442CC">
        <w:rPr>
          <w:bCs/>
        </w:rPr>
        <w:t>142</w:t>
      </w:r>
      <w:r w:rsidRPr="008442CC">
        <w:t xml:space="preserve"> participants. </w:t>
      </w:r>
      <w:r w:rsidRPr="008442CC">
        <w:rPr>
          <w:bCs/>
        </w:rPr>
        <w:t xml:space="preserve">We took </w:t>
      </w:r>
      <w:r w:rsidRPr="008442CC">
        <w:rPr>
          <w:bCs/>
        </w:rPr>
        <w:lastRenderedPageBreak/>
        <w:t>precautions to minimise survey participants’ “recollection bias”</w:t>
      </w:r>
      <w:r w:rsidRPr="008442CC">
        <w:rPr>
          <w:rStyle w:val="EndnoteReference"/>
          <w:bCs/>
        </w:rPr>
        <w:endnoteReference w:id="34"/>
      </w:r>
      <w:r w:rsidRPr="008442CC">
        <w:rPr>
          <w:bCs/>
        </w:rPr>
        <w:t xml:space="preserve"> (e.g. </w:t>
      </w:r>
      <w:proofErr w:type="spellStart"/>
      <w:r w:rsidRPr="008442CC">
        <w:rPr>
          <w:bCs/>
        </w:rPr>
        <w:t>Viscusi</w:t>
      </w:r>
      <w:proofErr w:type="spellEnd"/>
      <w:r w:rsidRPr="008442CC">
        <w:rPr>
          <w:bCs/>
        </w:rPr>
        <w:t xml:space="preserve"> and </w:t>
      </w:r>
      <w:proofErr w:type="spellStart"/>
      <w:r w:rsidRPr="008442CC">
        <w:rPr>
          <w:bCs/>
        </w:rPr>
        <w:t>Zeckhauser</w:t>
      </w:r>
      <w:proofErr w:type="spellEnd"/>
      <w:r w:rsidRPr="008442CC">
        <w:rPr>
          <w:bCs/>
        </w:rPr>
        <w:t xml:space="preserve"> 2005) between the two periods considered: 62 participants responded the survey questions starting with the 2014-15 period, while 80 participants started with the 2016-17 period. We found no significant statistical difference between the responses of the two groups.</w:t>
      </w:r>
    </w:p>
    <w:p w14:paraId="6474F197" w14:textId="6DD741CA" w:rsidR="00506871" w:rsidRPr="008442CC" w:rsidRDefault="00506871" w:rsidP="008F5CC2">
      <w:pPr>
        <w:spacing w:after="120" w:line="360" w:lineRule="auto"/>
        <w:jc w:val="both"/>
        <w:rPr>
          <w:bCs/>
        </w:rPr>
      </w:pPr>
      <w:r w:rsidRPr="008442CC">
        <w:rPr>
          <w:bCs/>
        </w:rPr>
        <w:t xml:space="preserve">While it was difficult to test the validity of the survey because there is no ‘gold standard measure’ (Epstein and Martin 2014:57) of vulnerability, following </w:t>
      </w:r>
      <w:proofErr w:type="spellStart"/>
      <w:r w:rsidRPr="008442CC">
        <w:rPr>
          <w:bCs/>
        </w:rPr>
        <w:t>Ekinci</w:t>
      </w:r>
      <w:proofErr w:type="spellEnd"/>
      <w:r w:rsidRPr="008442CC">
        <w:rPr>
          <w:bCs/>
        </w:rPr>
        <w:t xml:space="preserve"> (2015:128-130), the survey was pilot-tested with two potential respondents and two fellow researchers, who confirmed its face validity. To assess the reliability of the survey (internal consistency) we used Cronbach’s alpha reliability test</w:t>
      </w:r>
      <w:r w:rsidR="00BB3955" w:rsidRPr="008442CC">
        <w:rPr>
          <w:bCs/>
        </w:rPr>
        <w:t xml:space="preserve"> (Cronbach 1951)</w:t>
      </w:r>
      <w:r w:rsidRPr="008442CC">
        <w:rPr>
          <w:bCs/>
        </w:rPr>
        <w:t xml:space="preserve">. Specifically, we tested the internal reliability of the 21 quantitative questions for each period (i.e. 2014-15 and 2015-16). We found that the alpha coefficients were, overall, 0.920 and 0.935 for each period, respectively. Moreover, the alpha coefficients for each of the 21 quantitative items were always equal or higher than 0.910 and 0.930 for each period, respectively. These relatively </w:t>
      </w:r>
      <w:r w:rsidR="00BB3955" w:rsidRPr="008442CC">
        <w:rPr>
          <w:bCs/>
        </w:rPr>
        <w:t xml:space="preserve">high </w:t>
      </w:r>
      <w:r w:rsidRPr="008442CC">
        <w:rPr>
          <w:bCs/>
        </w:rPr>
        <w:t>alpha coefficients suggest that the scale used in the survey is reliable (</w:t>
      </w:r>
      <w:r w:rsidRPr="008442CC">
        <w:t>Appendix, Table A</w:t>
      </w:r>
      <w:r w:rsidR="00FF1581" w:rsidRPr="008442CC">
        <w:t>6</w:t>
      </w:r>
      <w:r w:rsidRPr="008442CC">
        <w:rPr>
          <w:bCs/>
        </w:rPr>
        <w:t>).</w:t>
      </w:r>
    </w:p>
    <w:p w14:paraId="7C17CE53" w14:textId="1194AE4C" w:rsidR="00BB3955" w:rsidRPr="008442CC" w:rsidRDefault="00BB3955" w:rsidP="00BB3955">
      <w:pPr>
        <w:spacing w:after="120" w:line="360" w:lineRule="auto"/>
        <w:jc w:val="both"/>
        <w:rPr>
          <w:bCs/>
        </w:rPr>
      </w:pPr>
      <w:r w:rsidRPr="008442CC">
        <w:rPr>
          <w:bCs/>
        </w:rPr>
        <w:t>We used the 21 quantitative survey items to</w:t>
      </w:r>
      <w:r w:rsidR="00506871" w:rsidRPr="008442CC">
        <w:rPr>
          <w:bCs/>
        </w:rPr>
        <w:t xml:space="preserve"> test whether there is a significant statistical difference between the distributions of responses on each statement/question </w:t>
      </w:r>
      <w:r w:rsidR="00506871" w:rsidRPr="008442CC">
        <w:rPr>
          <w:bCs/>
          <w:i/>
        </w:rPr>
        <w:t>before</w:t>
      </w:r>
      <w:r w:rsidR="00506871" w:rsidRPr="008442CC">
        <w:rPr>
          <w:bCs/>
        </w:rPr>
        <w:t xml:space="preserve"> the </w:t>
      </w:r>
      <w:r w:rsidR="004E0676" w:rsidRPr="008442CC">
        <w:rPr>
          <w:bCs/>
        </w:rPr>
        <w:t>ER</w:t>
      </w:r>
      <w:r w:rsidR="00506871" w:rsidRPr="008442CC">
        <w:rPr>
          <w:bCs/>
        </w:rPr>
        <w:t xml:space="preserve"> campaign and vote compared with the distributions of responses on the same statement/question </w:t>
      </w:r>
      <w:r w:rsidR="00506871" w:rsidRPr="008442CC">
        <w:rPr>
          <w:bCs/>
          <w:i/>
        </w:rPr>
        <w:t>after</w:t>
      </w:r>
      <w:r w:rsidR="00506871" w:rsidRPr="008442CC">
        <w:rPr>
          <w:bCs/>
        </w:rPr>
        <w:t xml:space="preserve"> the </w:t>
      </w:r>
      <w:r w:rsidR="004E0676" w:rsidRPr="008442CC">
        <w:rPr>
          <w:bCs/>
        </w:rPr>
        <w:t>ER</w:t>
      </w:r>
      <w:r w:rsidR="00506871" w:rsidRPr="008442CC">
        <w:rPr>
          <w:bCs/>
        </w:rPr>
        <w:t xml:space="preserve"> campaign and vote. For this purpose, we used the parametric t-test and the non-parametric two-sample Wilcoxon signed-rank test because the distributions were skewed in some cases. We then compared the t-test and Wilcoxon signed-rank test for items linked to OV and to SV to identify potential differences.</w:t>
      </w:r>
      <w:r w:rsidRPr="008442CC">
        <w:rPr>
          <w:bCs/>
        </w:rPr>
        <w:t xml:space="preserve"> Table A5 (in the Appendix) reports the means of responses for each statement/question before and after </w:t>
      </w:r>
      <w:r w:rsidR="004E0676" w:rsidRPr="008442CC">
        <w:rPr>
          <w:bCs/>
        </w:rPr>
        <w:t>the ER</w:t>
      </w:r>
      <w:r w:rsidRPr="008442CC">
        <w:rPr>
          <w:bCs/>
        </w:rPr>
        <w:t>, together with the results of testing for the difference between the distributions.</w:t>
      </w:r>
    </w:p>
    <w:p w14:paraId="0B356AE9" w14:textId="0730F840" w:rsidR="00506871" w:rsidRPr="008442CC" w:rsidRDefault="00BB3955" w:rsidP="00BB3955">
      <w:pPr>
        <w:spacing w:after="120" w:line="360" w:lineRule="auto"/>
        <w:jc w:val="both"/>
      </w:pPr>
      <w:r w:rsidRPr="008442CC">
        <w:rPr>
          <w:bCs/>
        </w:rPr>
        <w:t xml:space="preserve">The key results from our qualitative and quantitative data (and their interpretation) are discussed in section 5, where </w:t>
      </w:r>
      <w:r w:rsidRPr="008442CC">
        <w:rPr>
          <w:lang w:val="en-US"/>
        </w:rPr>
        <w:t>official governmental documents, policy reports and studies by key stakeholders</w:t>
      </w:r>
      <w:r w:rsidRPr="008442CC">
        <w:rPr>
          <w:b/>
          <w:bCs/>
          <w:lang w:val="en-US"/>
        </w:rPr>
        <w:t xml:space="preserve"> </w:t>
      </w:r>
      <w:r w:rsidRPr="008442CC">
        <w:rPr>
          <w:lang w:val="en-US"/>
        </w:rPr>
        <w:t>have also been used to provide context for our data and analysis.</w:t>
      </w:r>
      <w:r w:rsidRPr="008442CC">
        <w:t xml:space="preserve"> </w:t>
      </w:r>
    </w:p>
    <w:p w14:paraId="0BF07CCF" w14:textId="77777777" w:rsidR="00BB3955" w:rsidRPr="008442CC" w:rsidRDefault="00BB3955" w:rsidP="008F5CC2">
      <w:pPr>
        <w:spacing w:after="120" w:line="360" w:lineRule="auto"/>
        <w:jc w:val="both"/>
      </w:pPr>
    </w:p>
    <w:p w14:paraId="1C9BA709" w14:textId="0FEF6690" w:rsidR="00645972" w:rsidRPr="008442CC" w:rsidRDefault="00645972" w:rsidP="001F1307">
      <w:pPr>
        <w:jc w:val="both"/>
        <w:rPr>
          <w:rFonts w:ascii="Calibri" w:eastAsia="Calibri" w:hAnsi="Calibri" w:cs="Arial"/>
          <w:b/>
        </w:rPr>
      </w:pPr>
      <w:r w:rsidRPr="008442CC">
        <w:rPr>
          <w:rFonts w:ascii="Calibri" w:eastAsia="Calibri" w:hAnsi="Calibri" w:cs="Arial"/>
          <w:b/>
        </w:rPr>
        <w:lastRenderedPageBreak/>
        <w:t xml:space="preserve">5. Vulnerability after the </w:t>
      </w:r>
      <w:r w:rsidR="004E0676" w:rsidRPr="008442CC">
        <w:rPr>
          <w:rFonts w:ascii="Calibri" w:eastAsia="Calibri" w:hAnsi="Calibri" w:cs="Arial"/>
          <w:b/>
        </w:rPr>
        <w:t xml:space="preserve">EU </w:t>
      </w:r>
      <w:r w:rsidRPr="008442CC">
        <w:rPr>
          <w:rFonts w:ascii="Calibri" w:eastAsia="Calibri" w:hAnsi="Calibri" w:cs="Arial"/>
          <w:b/>
        </w:rPr>
        <w:t>Referendum</w:t>
      </w:r>
    </w:p>
    <w:p w14:paraId="1A63C7A2" w14:textId="77777777" w:rsidR="00645972" w:rsidRPr="008442CC" w:rsidRDefault="00645972" w:rsidP="001F1307">
      <w:pPr>
        <w:jc w:val="both"/>
        <w:rPr>
          <w:rFonts w:ascii="Calibri" w:eastAsia="Calibri" w:hAnsi="Calibri" w:cs="Arial"/>
          <w:b/>
        </w:rPr>
      </w:pPr>
    </w:p>
    <w:p w14:paraId="7D729156" w14:textId="6E3E6AB1" w:rsidR="00F900BE" w:rsidRPr="008442CC" w:rsidRDefault="00F900BE" w:rsidP="007E0D23">
      <w:pPr>
        <w:spacing w:after="120" w:line="360" w:lineRule="auto"/>
        <w:jc w:val="both"/>
        <w:rPr>
          <w:rFonts w:ascii="Calibri" w:eastAsia="Calibri" w:hAnsi="Calibri" w:cs="Arial"/>
          <w:bCs/>
        </w:rPr>
      </w:pPr>
      <w:r w:rsidRPr="008442CC">
        <w:rPr>
          <w:rFonts w:ascii="Calibri" w:eastAsia="Calibri" w:hAnsi="Calibri" w:cs="Arial"/>
          <w:bCs/>
        </w:rPr>
        <w:t xml:space="preserve">Immediately before the </w:t>
      </w:r>
      <w:r w:rsidR="00510FFC" w:rsidRPr="008442CC">
        <w:rPr>
          <w:rFonts w:ascii="Calibri" w:eastAsia="Calibri" w:hAnsi="Calibri" w:cs="Arial"/>
          <w:bCs/>
        </w:rPr>
        <w:t xml:space="preserve">ER, the </w:t>
      </w:r>
      <w:r w:rsidRPr="008442CC">
        <w:rPr>
          <w:rFonts w:ascii="Calibri" w:eastAsia="Calibri" w:hAnsi="Calibri" w:cs="Arial"/>
          <w:bCs/>
        </w:rPr>
        <w:t xml:space="preserve">Leave campaign </w:t>
      </w:r>
      <w:r w:rsidR="00B95575" w:rsidRPr="008442CC">
        <w:rPr>
          <w:rFonts w:ascii="Calibri" w:eastAsia="Calibri" w:hAnsi="Calibri" w:cs="Arial"/>
          <w:bCs/>
        </w:rPr>
        <w:t>instrumentalis</w:t>
      </w:r>
      <w:r w:rsidRPr="008442CC">
        <w:rPr>
          <w:rFonts w:ascii="Calibri" w:eastAsia="Calibri" w:hAnsi="Calibri" w:cs="Arial"/>
          <w:bCs/>
        </w:rPr>
        <w:t xml:space="preserve">ed </w:t>
      </w:r>
      <w:r w:rsidR="00645972" w:rsidRPr="008442CC">
        <w:rPr>
          <w:rFonts w:ascii="Calibri" w:eastAsia="Calibri" w:hAnsi="Calibri" w:cs="Arial"/>
          <w:bCs/>
        </w:rPr>
        <w:t>the immigration debate with arguments like</w:t>
      </w:r>
      <w:r w:rsidR="00B95575" w:rsidRPr="008442CC">
        <w:rPr>
          <w:rFonts w:ascii="Calibri" w:eastAsia="Calibri" w:hAnsi="Calibri" w:cs="Arial"/>
          <w:bCs/>
        </w:rPr>
        <w:t xml:space="preserve"> “</w:t>
      </w:r>
      <w:r w:rsidR="00645972" w:rsidRPr="008442CC">
        <w:rPr>
          <w:rFonts w:ascii="Calibri" w:eastAsia="Calibri" w:hAnsi="Calibri" w:cs="Arial"/>
          <w:bCs/>
        </w:rPr>
        <w:t>we need to leave the EU to stop immigration</w:t>
      </w:r>
      <w:r w:rsidR="00B95575" w:rsidRPr="008442CC">
        <w:rPr>
          <w:rFonts w:ascii="Calibri" w:eastAsia="Calibri" w:hAnsi="Calibri" w:cs="Arial"/>
          <w:bCs/>
        </w:rPr>
        <w:t>”</w:t>
      </w:r>
      <w:r w:rsidRPr="008442CC">
        <w:rPr>
          <w:rFonts w:ascii="Calibri" w:eastAsia="Calibri" w:hAnsi="Calibri" w:cs="Arial"/>
          <w:bCs/>
        </w:rPr>
        <w:t xml:space="preserve">, which generated </w:t>
      </w:r>
      <w:r w:rsidR="00645972" w:rsidRPr="008442CC">
        <w:rPr>
          <w:rFonts w:ascii="Calibri" w:eastAsia="Calibri" w:hAnsi="Calibri" w:cs="Arial"/>
          <w:bCs/>
        </w:rPr>
        <w:t xml:space="preserve">a heightened feeling, among EU nationals, that there was a </w:t>
      </w:r>
      <w:r w:rsidR="00B95575" w:rsidRPr="008442CC">
        <w:rPr>
          <w:rFonts w:ascii="Calibri" w:eastAsia="Calibri" w:hAnsi="Calibri" w:cs="Arial"/>
          <w:bCs/>
        </w:rPr>
        <w:t>“</w:t>
      </w:r>
      <w:r w:rsidR="00645972" w:rsidRPr="008442CC">
        <w:rPr>
          <w:rFonts w:ascii="Calibri" w:eastAsia="Calibri" w:hAnsi="Calibri" w:cs="Arial"/>
          <w:bCs/>
        </w:rPr>
        <w:t>threat in the air</w:t>
      </w:r>
      <w:r w:rsidR="00B95575" w:rsidRPr="008442CC">
        <w:rPr>
          <w:rFonts w:ascii="Calibri" w:eastAsia="Calibri" w:hAnsi="Calibri" w:cs="Arial"/>
          <w:bCs/>
        </w:rPr>
        <w:t>”</w:t>
      </w:r>
      <w:r w:rsidR="00645972" w:rsidRPr="008442CC">
        <w:rPr>
          <w:rFonts w:ascii="Calibri" w:eastAsia="Calibri" w:hAnsi="Calibri" w:cs="Arial"/>
          <w:bCs/>
        </w:rPr>
        <w:t xml:space="preserve"> (</w:t>
      </w:r>
      <w:proofErr w:type="spellStart"/>
      <w:r w:rsidR="00645972" w:rsidRPr="008442CC">
        <w:rPr>
          <w:rFonts w:ascii="Calibri" w:eastAsia="Calibri" w:hAnsi="Calibri" w:cs="Arial"/>
          <w:bCs/>
        </w:rPr>
        <w:t>McGinnity</w:t>
      </w:r>
      <w:proofErr w:type="spellEnd"/>
      <w:r w:rsidR="00645972" w:rsidRPr="008442CC">
        <w:rPr>
          <w:rFonts w:ascii="Calibri" w:eastAsia="Calibri" w:hAnsi="Calibri" w:cs="Arial"/>
          <w:bCs/>
        </w:rPr>
        <w:t xml:space="preserve"> and </w:t>
      </w:r>
      <w:proofErr w:type="spellStart"/>
      <w:r w:rsidR="00645972" w:rsidRPr="008442CC">
        <w:rPr>
          <w:rFonts w:ascii="Calibri" w:eastAsia="Calibri" w:hAnsi="Calibri" w:cs="Arial"/>
          <w:bCs/>
        </w:rPr>
        <w:t>Merove</w:t>
      </w:r>
      <w:proofErr w:type="spellEnd"/>
      <w:r w:rsidR="00645972" w:rsidRPr="008442CC">
        <w:rPr>
          <w:rFonts w:ascii="Calibri" w:eastAsia="Calibri" w:hAnsi="Calibri" w:cs="Arial"/>
          <w:bCs/>
        </w:rPr>
        <w:t xml:space="preserve"> 2015)</w:t>
      </w:r>
      <w:r w:rsidRPr="008442CC">
        <w:rPr>
          <w:rFonts w:ascii="Calibri" w:eastAsia="Calibri" w:hAnsi="Calibri" w:cs="Arial"/>
          <w:bCs/>
        </w:rPr>
        <w:t xml:space="preserve">. This </w:t>
      </w:r>
      <w:r w:rsidR="00645972" w:rsidRPr="008442CC">
        <w:rPr>
          <w:rFonts w:ascii="Calibri" w:eastAsia="Calibri" w:hAnsi="Calibri" w:cs="Arial"/>
          <w:bCs/>
        </w:rPr>
        <w:t xml:space="preserve">has also been boosted by the uncertainty about EU nationals’ status and rights post-Brexit. </w:t>
      </w:r>
      <w:r w:rsidR="00B95575" w:rsidRPr="008442CC">
        <w:rPr>
          <w:rFonts w:ascii="Calibri" w:eastAsia="Calibri" w:hAnsi="Calibri" w:cs="Arial"/>
          <w:bCs/>
        </w:rPr>
        <w:t>Numerous</w:t>
      </w:r>
      <w:r w:rsidR="00645972" w:rsidRPr="008442CC">
        <w:rPr>
          <w:rFonts w:ascii="Calibri" w:eastAsia="Calibri" w:hAnsi="Calibri" w:cs="Arial"/>
          <w:bCs/>
        </w:rPr>
        <w:t xml:space="preserve"> reports have, indeed, warned about a peak in discrimination and hate crime incidents registered immediately before and after the </w:t>
      </w:r>
      <w:r w:rsidR="004E0676" w:rsidRPr="008442CC">
        <w:rPr>
          <w:rFonts w:ascii="Calibri" w:eastAsia="Calibri" w:hAnsi="Calibri" w:cs="Arial"/>
          <w:bCs/>
        </w:rPr>
        <w:t>E</w:t>
      </w:r>
      <w:r w:rsidR="00645972" w:rsidRPr="008442CC">
        <w:rPr>
          <w:rFonts w:ascii="Calibri" w:eastAsia="Calibri" w:hAnsi="Calibri" w:cs="Arial"/>
          <w:bCs/>
        </w:rPr>
        <w:t xml:space="preserve">R which were </w:t>
      </w:r>
      <w:r w:rsidR="00645972" w:rsidRPr="008442CC">
        <w:rPr>
          <w:rFonts w:ascii="Calibri" w:eastAsia="Calibri" w:hAnsi="Calibri" w:cs="Arial"/>
          <w:bCs/>
          <w:i/>
        </w:rPr>
        <w:t>overtly</w:t>
      </w:r>
      <w:r w:rsidR="00645972" w:rsidRPr="008442CC">
        <w:rPr>
          <w:rFonts w:ascii="Calibri" w:eastAsia="Calibri" w:hAnsi="Calibri" w:cs="Arial"/>
          <w:bCs/>
        </w:rPr>
        <w:t xml:space="preserve"> linked to their foreign origin (OV) (see e.g. Burnett 2017).</w:t>
      </w:r>
    </w:p>
    <w:p w14:paraId="66428183" w14:textId="6B90A052" w:rsidR="00645972" w:rsidRPr="008442CC" w:rsidRDefault="00645972" w:rsidP="007E0D23">
      <w:pPr>
        <w:spacing w:after="120" w:line="360" w:lineRule="auto"/>
        <w:jc w:val="both"/>
        <w:rPr>
          <w:rFonts w:ascii="Calibri" w:eastAsia="Calibri" w:hAnsi="Calibri" w:cs="Calibri"/>
          <w:bCs/>
        </w:rPr>
      </w:pPr>
      <w:r w:rsidRPr="008442CC">
        <w:rPr>
          <w:rFonts w:ascii="Calibri" w:eastAsia="Calibri" w:hAnsi="Calibri" w:cs="Arial"/>
          <w:bCs/>
        </w:rPr>
        <w:t xml:space="preserve">We argue that, regardless of whether that perception of </w:t>
      </w:r>
      <w:r w:rsidR="00E21643" w:rsidRPr="008442CC">
        <w:rPr>
          <w:rFonts w:ascii="Calibri" w:eastAsia="Calibri" w:hAnsi="Calibri" w:cs="Arial"/>
          <w:bCs/>
        </w:rPr>
        <w:t>“</w:t>
      </w:r>
      <w:r w:rsidRPr="008442CC">
        <w:rPr>
          <w:rFonts w:ascii="Calibri" w:eastAsia="Calibri" w:hAnsi="Calibri" w:cs="Arial"/>
          <w:bCs/>
        </w:rPr>
        <w:t>threat</w:t>
      </w:r>
      <w:r w:rsidR="00E21643" w:rsidRPr="008442CC">
        <w:rPr>
          <w:rFonts w:ascii="Calibri" w:eastAsia="Calibri" w:hAnsi="Calibri" w:cs="Arial"/>
          <w:bCs/>
        </w:rPr>
        <w:t>”</w:t>
      </w:r>
      <w:r w:rsidRPr="008442CC">
        <w:rPr>
          <w:rFonts w:ascii="Calibri" w:eastAsia="Calibri" w:hAnsi="Calibri" w:cs="Arial"/>
          <w:bCs/>
        </w:rPr>
        <w:t xml:space="preserve"> materialised in </w:t>
      </w:r>
      <w:r w:rsidRPr="008442CC">
        <w:rPr>
          <w:rFonts w:ascii="Calibri" w:eastAsia="Calibri" w:hAnsi="Calibri" w:cs="Arial"/>
          <w:bCs/>
          <w:i/>
        </w:rPr>
        <w:t>OV</w:t>
      </w:r>
      <w:r w:rsidRPr="008442CC">
        <w:rPr>
          <w:rFonts w:ascii="Calibri" w:eastAsia="Calibri" w:hAnsi="Calibri" w:cs="Arial"/>
          <w:bCs/>
        </w:rPr>
        <w:t xml:space="preserve"> incidents or not for a specific individual, there was a generalised </w:t>
      </w:r>
      <w:r w:rsidRPr="008442CC">
        <w:rPr>
          <w:rFonts w:ascii="Calibri" w:eastAsia="Calibri" w:hAnsi="Calibri" w:cs="Arial"/>
          <w:bCs/>
          <w:i/>
        </w:rPr>
        <w:t xml:space="preserve">feeling </w:t>
      </w:r>
      <w:r w:rsidRPr="008442CC">
        <w:rPr>
          <w:rFonts w:ascii="Calibri" w:eastAsia="Calibri" w:hAnsi="Calibri" w:cs="Arial"/>
          <w:bCs/>
        </w:rPr>
        <w:t xml:space="preserve">of higher </w:t>
      </w:r>
      <w:r w:rsidRPr="008442CC">
        <w:rPr>
          <w:rFonts w:ascii="Calibri" w:eastAsia="Calibri" w:hAnsi="Calibri" w:cs="Arial"/>
          <w:bCs/>
          <w:i/>
        </w:rPr>
        <w:t>SV</w:t>
      </w:r>
      <w:r w:rsidRPr="008442CC">
        <w:rPr>
          <w:rFonts w:ascii="Calibri" w:eastAsia="Calibri" w:hAnsi="Calibri" w:cs="Arial"/>
          <w:bCs/>
        </w:rPr>
        <w:t xml:space="preserve"> among EU </w:t>
      </w:r>
      <w:r w:rsidRPr="008442CC">
        <w:rPr>
          <w:rFonts w:ascii="Calibri" w:eastAsia="Calibri" w:hAnsi="Calibri" w:cs="Calibri"/>
          <w:bCs/>
        </w:rPr>
        <w:t xml:space="preserve">migrants, i.e. increased anxiety, fear, </w:t>
      </w:r>
      <w:r w:rsidR="00270DEA" w:rsidRPr="008442CC">
        <w:rPr>
          <w:rFonts w:ascii="Calibri" w:eastAsia="Calibri" w:hAnsi="Calibri" w:cs="Calibri"/>
          <w:bCs/>
        </w:rPr>
        <w:t xml:space="preserve">ontological </w:t>
      </w:r>
      <w:r w:rsidRPr="008442CC">
        <w:rPr>
          <w:rFonts w:ascii="Calibri" w:eastAsia="Calibri" w:hAnsi="Calibri" w:cs="Calibri"/>
          <w:bCs/>
        </w:rPr>
        <w:t xml:space="preserve">insecurity and distress because of their foreign origin, and self-consciousness about being different, in line with the </w:t>
      </w:r>
      <w:r w:rsidRPr="008442CC">
        <w:rPr>
          <w:rFonts w:ascii="Calibri" w:eastAsia="Calibri" w:hAnsi="Calibri" w:cs="Calibri"/>
          <w:bCs/>
          <w:iCs/>
        </w:rPr>
        <w:t xml:space="preserve">psychological attributes of SV </w:t>
      </w:r>
      <w:r w:rsidR="00510FFC" w:rsidRPr="008442CC">
        <w:rPr>
          <w:rFonts w:ascii="Calibri" w:eastAsia="Calibri" w:hAnsi="Calibri" w:cs="Calibri"/>
          <w:bCs/>
          <w:iCs/>
        </w:rPr>
        <w:t>(</w:t>
      </w:r>
      <w:r w:rsidRPr="008442CC">
        <w:rPr>
          <w:rFonts w:ascii="Calibri" w:eastAsia="Calibri" w:hAnsi="Calibri" w:cs="Calibri"/>
          <w:bCs/>
        </w:rPr>
        <w:t>section 3</w:t>
      </w:r>
      <w:r w:rsidR="00510FFC" w:rsidRPr="008442CC">
        <w:rPr>
          <w:rFonts w:ascii="Calibri" w:eastAsia="Calibri" w:hAnsi="Calibri" w:cs="Calibri"/>
          <w:bCs/>
        </w:rPr>
        <w:t>)</w:t>
      </w:r>
      <w:r w:rsidRPr="008442CC">
        <w:rPr>
          <w:rFonts w:ascii="Calibri" w:eastAsia="Calibri" w:hAnsi="Calibri" w:cs="Calibri"/>
          <w:bCs/>
        </w:rPr>
        <w:t xml:space="preserve">. </w:t>
      </w:r>
      <w:r w:rsidR="00F900BE" w:rsidRPr="008442CC">
        <w:rPr>
          <w:rFonts w:ascii="Calibri" w:eastAsia="Calibri" w:hAnsi="Calibri" w:cs="Calibri"/>
          <w:bCs/>
        </w:rPr>
        <w:t xml:space="preserve">This is supported by </w:t>
      </w:r>
      <w:r w:rsidR="00F900BE" w:rsidRPr="008442CC">
        <w:rPr>
          <w:rFonts w:ascii="Calibri" w:eastAsia="Calibri" w:hAnsi="Calibri" w:cs="Calibri"/>
          <w:bCs/>
          <w:i/>
          <w:iCs/>
        </w:rPr>
        <w:t>o</w:t>
      </w:r>
      <w:r w:rsidRPr="008442CC">
        <w:rPr>
          <w:rFonts w:ascii="Calibri" w:eastAsia="Calibri" w:hAnsi="Calibri" w:cs="Calibri"/>
          <w:bCs/>
          <w:i/>
          <w:iCs/>
        </w:rPr>
        <w:t>ur quantitative data</w:t>
      </w:r>
      <w:r w:rsidRPr="008442CC">
        <w:rPr>
          <w:rFonts w:ascii="Calibri" w:eastAsia="Calibri" w:hAnsi="Calibri" w:cs="Calibri"/>
          <w:bCs/>
        </w:rPr>
        <w:t xml:space="preserve">. Applying the t-test and the Wilcoxon matched-pairs test to our survey data, which included 21 </w:t>
      </w:r>
      <w:r w:rsidR="00F900BE" w:rsidRPr="008442CC">
        <w:rPr>
          <w:rFonts w:ascii="Calibri" w:eastAsia="Calibri" w:hAnsi="Calibri" w:cs="Calibri"/>
          <w:bCs/>
        </w:rPr>
        <w:t xml:space="preserve">closed </w:t>
      </w:r>
      <w:r w:rsidRPr="008442CC">
        <w:rPr>
          <w:rFonts w:ascii="Calibri" w:eastAsia="Calibri" w:hAnsi="Calibri" w:cs="Calibri"/>
          <w:bCs/>
        </w:rPr>
        <w:t xml:space="preserve">questions (52% linked to SV and 48% to OV), we find statistically significant changes in 43% items (56% relating to SV). Importantly, the changes in SV were statistically </w:t>
      </w:r>
      <w:r w:rsidRPr="008442CC">
        <w:rPr>
          <w:rFonts w:ascii="Calibri" w:eastAsia="Calibri" w:hAnsi="Calibri" w:cs="Calibri"/>
          <w:bCs/>
          <w:i/>
        </w:rPr>
        <w:t xml:space="preserve">more </w:t>
      </w:r>
      <w:r w:rsidRPr="008442CC">
        <w:rPr>
          <w:rFonts w:ascii="Calibri" w:eastAsia="Calibri" w:hAnsi="Calibri" w:cs="Calibri"/>
          <w:bCs/>
        </w:rPr>
        <w:t xml:space="preserve">significant (most of them at 1%) compared to the changes in OV (significant at 5% and 10%), which suggests that respondents may have experienced SV </w:t>
      </w:r>
      <w:r w:rsidRPr="008442CC">
        <w:rPr>
          <w:rFonts w:ascii="Calibri" w:eastAsia="Calibri" w:hAnsi="Calibri" w:cs="Calibri"/>
          <w:bCs/>
          <w:i/>
        </w:rPr>
        <w:t>even without having been subject to discrimination or hate incidents</w:t>
      </w:r>
      <w:r w:rsidRPr="008442CC">
        <w:rPr>
          <w:rFonts w:ascii="Calibri" w:eastAsia="Calibri" w:hAnsi="Calibri" w:cs="Calibri"/>
          <w:bCs/>
        </w:rPr>
        <w:t xml:space="preserve"> obviously linked to their foreign origin. In terms of OV, respondents experienced </w:t>
      </w:r>
      <w:r w:rsidR="00B95575" w:rsidRPr="008442CC">
        <w:rPr>
          <w:rFonts w:ascii="Calibri" w:eastAsia="Calibri" w:hAnsi="Calibri" w:cs="Calibri"/>
          <w:bCs/>
        </w:rPr>
        <w:t xml:space="preserve">a </w:t>
      </w:r>
      <w:r w:rsidRPr="008442CC">
        <w:rPr>
          <w:rFonts w:ascii="Calibri" w:eastAsia="Calibri" w:hAnsi="Calibri" w:cs="Calibri"/>
          <w:bCs/>
        </w:rPr>
        <w:t xml:space="preserve">significant </w:t>
      </w:r>
      <w:r w:rsidR="00B95575" w:rsidRPr="008442CC">
        <w:rPr>
          <w:rFonts w:ascii="Calibri" w:eastAsia="Calibri" w:hAnsi="Calibri" w:cs="Calibri"/>
          <w:bCs/>
        </w:rPr>
        <w:t>rise in</w:t>
      </w:r>
      <w:r w:rsidRPr="008442CC">
        <w:rPr>
          <w:rFonts w:ascii="Calibri" w:eastAsia="Calibri" w:hAnsi="Calibri" w:cs="Calibri"/>
          <w:bCs/>
        </w:rPr>
        <w:t xml:space="preserve"> offensive comments (spoken at them or behind their backs), unfair treatment at school or by service people</w:t>
      </w:r>
      <w:r w:rsidR="00B95575" w:rsidRPr="008442CC">
        <w:rPr>
          <w:rFonts w:ascii="Calibri" w:eastAsia="Calibri" w:hAnsi="Calibri" w:cs="Calibri"/>
          <w:bCs/>
        </w:rPr>
        <w:t>.</w:t>
      </w:r>
      <w:r w:rsidRPr="008442CC">
        <w:rPr>
          <w:rFonts w:ascii="Calibri" w:eastAsia="Calibri" w:hAnsi="Calibri" w:cs="Calibri"/>
          <w:bCs/>
        </w:rPr>
        <w:t xml:space="preserve"> </w:t>
      </w:r>
      <w:r w:rsidR="00B95575" w:rsidRPr="008442CC">
        <w:rPr>
          <w:rFonts w:ascii="Calibri" w:eastAsia="Calibri" w:hAnsi="Calibri" w:cs="Calibri"/>
          <w:bCs/>
        </w:rPr>
        <w:t>They also perceived that Britons avoided</w:t>
      </w:r>
      <w:r w:rsidRPr="008442CC">
        <w:rPr>
          <w:rFonts w:ascii="Calibri" w:eastAsia="Calibri" w:hAnsi="Calibri" w:cs="Calibri"/>
          <w:bCs/>
        </w:rPr>
        <w:t xml:space="preserve"> contact with them </w:t>
      </w:r>
      <w:r w:rsidR="00B95575" w:rsidRPr="008442CC">
        <w:rPr>
          <w:rFonts w:ascii="Calibri" w:eastAsia="Calibri" w:hAnsi="Calibri" w:cs="Calibri"/>
          <w:bCs/>
        </w:rPr>
        <w:t>more frequently</w:t>
      </w:r>
      <w:r w:rsidRPr="008442CC">
        <w:rPr>
          <w:rFonts w:ascii="Calibri" w:eastAsia="Calibri" w:hAnsi="Calibri" w:cs="Calibri"/>
          <w:bCs/>
        </w:rPr>
        <w:t xml:space="preserve">. In contrast, regarding SV, respondents </w:t>
      </w:r>
      <w:r w:rsidRPr="008442CC">
        <w:rPr>
          <w:rFonts w:ascii="Calibri" w:eastAsia="Calibri" w:hAnsi="Calibri" w:cs="Calibri"/>
          <w:bCs/>
          <w:i/>
        </w:rPr>
        <w:t>felt</w:t>
      </w:r>
      <w:r w:rsidRPr="008442CC">
        <w:rPr>
          <w:rFonts w:ascii="Calibri" w:eastAsia="Calibri" w:hAnsi="Calibri" w:cs="Calibri"/>
          <w:bCs/>
        </w:rPr>
        <w:t xml:space="preserve"> </w:t>
      </w:r>
      <w:r w:rsidR="00B95575" w:rsidRPr="008442CC">
        <w:rPr>
          <w:rFonts w:ascii="Calibri" w:eastAsia="Calibri" w:hAnsi="Calibri" w:cs="Calibri"/>
          <w:bCs/>
        </w:rPr>
        <w:t xml:space="preserve">notably less welcome and perceived </w:t>
      </w:r>
      <w:r w:rsidRPr="008442CC">
        <w:rPr>
          <w:rFonts w:ascii="Calibri" w:eastAsia="Calibri" w:hAnsi="Calibri" w:cs="Calibri"/>
          <w:bCs/>
        </w:rPr>
        <w:t xml:space="preserve">that they </w:t>
      </w:r>
      <w:r w:rsidR="00E21643" w:rsidRPr="008442CC">
        <w:rPr>
          <w:rFonts w:ascii="Calibri" w:eastAsia="Calibri" w:hAnsi="Calibri" w:cs="Calibri"/>
          <w:bCs/>
        </w:rPr>
        <w:t>“</w:t>
      </w:r>
      <w:r w:rsidRPr="008442CC">
        <w:rPr>
          <w:rFonts w:ascii="Calibri" w:eastAsia="Calibri" w:hAnsi="Calibri" w:cs="Calibri"/>
          <w:bCs/>
        </w:rPr>
        <w:t>didn’t fit</w:t>
      </w:r>
      <w:r w:rsidR="00E21643" w:rsidRPr="008442CC">
        <w:rPr>
          <w:rFonts w:ascii="Calibri" w:eastAsia="Calibri" w:hAnsi="Calibri" w:cs="Calibri"/>
          <w:bCs/>
        </w:rPr>
        <w:t>”</w:t>
      </w:r>
      <w:r w:rsidRPr="008442CC">
        <w:rPr>
          <w:rFonts w:ascii="Calibri" w:eastAsia="Calibri" w:hAnsi="Calibri" w:cs="Calibri"/>
          <w:bCs/>
        </w:rPr>
        <w:t xml:space="preserve"> </w:t>
      </w:r>
      <w:r w:rsidR="00B95575" w:rsidRPr="008442CC">
        <w:rPr>
          <w:rFonts w:ascii="Calibri" w:eastAsia="Calibri" w:hAnsi="Calibri" w:cs="Calibri"/>
          <w:bCs/>
        </w:rPr>
        <w:t>more acutely</w:t>
      </w:r>
      <w:r w:rsidRPr="008442CC">
        <w:rPr>
          <w:rFonts w:ascii="Calibri" w:eastAsia="Calibri" w:hAnsi="Calibri" w:cs="Calibri"/>
          <w:bCs/>
        </w:rPr>
        <w:t xml:space="preserve">; they also thought about going back to their country more often. </w:t>
      </w:r>
      <w:r w:rsidR="00F900BE" w:rsidRPr="008442CC">
        <w:rPr>
          <w:rFonts w:ascii="Calibri" w:eastAsia="Calibri" w:hAnsi="Calibri" w:cs="Calibri"/>
          <w:bCs/>
        </w:rPr>
        <w:t>Linking these results to the literature</w:t>
      </w:r>
      <w:r w:rsidR="009A7CBE" w:rsidRPr="008442CC">
        <w:rPr>
          <w:rFonts w:ascii="Calibri" w:eastAsia="Calibri" w:hAnsi="Calibri" w:cs="Calibri"/>
          <w:bCs/>
        </w:rPr>
        <w:t xml:space="preserve">, </w:t>
      </w:r>
      <w:r w:rsidR="00F900BE" w:rsidRPr="008442CC">
        <w:rPr>
          <w:rFonts w:ascii="Calibri" w:eastAsia="Calibri" w:hAnsi="Calibri" w:cs="Calibri"/>
          <w:bCs/>
        </w:rPr>
        <w:t xml:space="preserve">we can affirm that </w:t>
      </w:r>
      <w:r w:rsidR="009A7CBE" w:rsidRPr="008442CC">
        <w:rPr>
          <w:rFonts w:ascii="Calibri" w:eastAsia="Calibri" w:hAnsi="Calibri" w:cs="Calibri"/>
          <w:bCs/>
        </w:rPr>
        <w:t xml:space="preserve">the </w:t>
      </w:r>
      <w:r w:rsidR="004E0676" w:rsidRPr="008442CC">
        <w:rPr>
          <w:rFonts w:ascii="Calibri" w:eastAsia="Calibri" w:hAnsi="Calibri" w:cs="Calibri"/>
          <w:bCs/>
        </w:rPr>
        <w:t>ER</w:t>
      </w:r>
      <w:r w:rsidR="009A7CBE" w:rsidRPr="008442CC">
        <w:rPr>
          <w:rFonts w:ascii="Calibri" w:eastAsia="Calibri" w:hAnsi="Calibri" w:cs="Calibri"/>
          <w:bCs/>
        </w:rPr>
        <w:t xml:space="preserve"> acted both as a realistic and symbolic threat (</w:t>
      </w:r>
      <w:proofErr w:type="spellStart"/>
      <w:r w:rsidR="009A7CBE" w:rsidRPr="008442CC">
        <w:rPr>
          <w:rFonts w:ascii="Calibri" w:eastAsia="Calibri" w:hAnsi="Calibri" w:cs="Calibri"/>
          <w:bCs/>
        </w:rPr>
        <w:t>cf</w:t>
      </w:r>
      <w:proofErr w:type="spellEnd"/>
      <w:r w:rsidR="009A7CBE" w:rsidRPr="008442CC">
        <w:rPr>
          <w:rFonts w:ascii="Calibri" w:eastAsia="Calibri" w:hAnsi="Calibri" w:cs="Calibri"/>
          <w:bCs/>
        </w:rPr>
        <w:t xml:space="preserve"> Stephan and Stephan 1996)</w:t>
      </w:r>
      <w:r w:rsidR="00EE1B5A" w:rsidRPr="008442CC">
        <w:rPr>
          <w:rFonts w:ascii="Calibri" w:eastAsia="Calibri" w:hAnsi="Calibri" w:cs="Calibri"/>
          <w:bCs/>
        </w:rPr>
        <w:t xml:space="preserve"> to </w:t>
      </w:r>
      <w:r w:rsidR="00F900BE" w:rsidRPr="008442CC">
        <w:rPr>
          <w:rFonts w:ascii="Calibri" w:eastAsia="Calibri" w:hAnsi="Calibri" w:cs="Calibri"/>
          <w:bCs/>
        </w:rPr>
        <w:t xml:space="preserve">Southampton-based </w:t>
      </w:r>
      <w:r w:rsidR="00EE1B5A" w:rsidRPr="008442CC">
        <w:rPr>
          <w:rFonts w:ascii="Calibri" w:eastAsia="Calibri" w:hAnsi="Calibri" w:cs="Calibri"/>
          <w:bCs/>
        </w:rPr>
        <w:t>Poles (see below).</w:t>
      </w:r>
      <w:r w:rsidR="009A7CBE" w:rsidRPr="008442CC">
        <w:rPr>
          <w:rFonts w:ascii="Calibri" w:eastAsia="Calibri" w:hAnsi="Calibri" w:cs="Calibri"/>
          <w:bCs/>
        </w:rPr>
        <w:t xml:space="preserve"> </w:t>
      </w:r>
      <w:r w:rsidRPr="008442CC">
        <w:rPr>
          <w:rFonts w:ascii="Calibri" w:eastAsia="Calibri" w:hAnsi="Calibri" w:cs="Calibri"/>
          <w:bCs/>
        </w:rPr>
        <w:t xml:space="preserve">In the following, we use our qualitative evidence to explain the four main triggers for this increase in Poles’ SV linked to the </w:t>
      </w:r>
      <w:r w:rsidR="004E0676" w:rsidRPr="008442CC">
        <w:rPr>
          <w:rFonts w:ascii="Calibri" w:eastAsia="Calibri" w:hAnsi="Calibri" w:cs="Calibri"/>
          <w:bCs/>
        </w:rPr>
        <w:t>ER</w:t>
      </w:r>
      <w:r w:rsidRPr="008442CC">
        <w:rPr>
          <w:rFonts w:ascii="Calibri" w:eastAsia="Calibri" w:hAnsi="Calibri" w:cs="Calibri"/>
          <w:bCs/>
        </w:rPr>
        <w:t>, whether they experienced OV at personal level or not.</w:t>
      </w:r>
      <w:r w:rsidR="00B95575" w:rsidRPr="008442CC">
        <w:rPr>
          <w:rStyle w:val="EndnoteReference"/>
          <w:rFonts w:ascii="Calibri" w:eastAsia="Calibri" w:hAnsi="Calibri" w:cs="Calibri"/>
          <w:bCs/>
        </w:rPr>
        <w:endnoteReference w:id="35"/>
      </w:r>
    </w:p>
    <w:p w14:paraId="519885A9" w14:textId="77777777" w:rsidR="00645972" w:rsidRPr="008442CC" w:rsidRDefault="00645972" w:rsidP="001F1307">
      <w:pPr>
        <w:jc w:val="both"/>
        <w:rPr>
          <w:rFonts w:ascii="Calibri" w:eastAsia="Calibri" w:hAnsi="Calibri" w:cs="Arial"/>
        </w:rPr>
      </w:pPr>
    </w:p>
    <w:p w14:paraId="073D9054" w14:textId="1F9DDEBC" w:rsidR="00645972" w:rsidRPr="008442CC" w:rsidRDefault="00645972" w:rsidP="007E0D23">
      <w:pPr>
        <w:numPr>
          <w:ilvl w:val="0"/>
          <w:numId w:val="12"/>
        </w:numPr>
        <w:spacing w:after="240"/>
        <w:ind w:left="425" w:hanging="425"/>
        <w:jc w:val="both"/>
        <w:rPr>
          <w:rFonts w:ascii="Calibri" w:eastAsia="Calibri" w:hAnsi="Calibri" w:cs="Arial"/>
        </w:rPr>
      </w:pPr>
      <w:r w:rsidRPr="008442CC">
        <w:rPr>
          <w:rFonts w:ascii="Calibri" w:eastAsia="Calibri" w:hAnsi="Calibri" w:cs="Arial"/>
          <w:b/>
          <w:i/>
        </w:rPr>
        <w:t>Higher levels of objective vulnerability</w:t>
      </w:r>
    </w:p>
    <w:p w14:paraId="5FD68935" w14:textId="7DA5FCAA" w:rsidR="00645972" w:rsidRPr="008442CC" w:rsidRDefault="00F900BE" w:rsidP="001F1307">
      <w:pPr>
        <w:spacing w:after="120" w:line="360" w:lineRule="auto"/>
        <w:jc w:val="both"/>
        <w:rPr>
          <w:rFonts w:ascii="Calibri" w:eastAsia="Calibri" w:hAnsi="Calibri" w:cs="Calibri"/>
          <w:bCs/>
        </w:rPr>
      </w:pPr>
      <w:r w:rsidRPr="008442CC">
        <w:rPr>
          <w:rFonts w:ascii="Calibri" w:eastAsia="Calibri" w:hAnsi="Calibri" w:cs="Calibri"/>
          <w:bCs/>
        </w:rPr>
        <w:lastRenderedPageBreak/>
        <w:t>According to official reports, i</w:t>
      </w:r>
      <w:r w:rsidR="00645972" w:rsidRPr="008442CC">
        <w:rPr>
          <w:rFonts w:ascii="Calibri" w:eastAsia="Calibri" w:hAnsi="Calibri" w:cs="Calibri"/>
          <w:bCs/>
        </w:rPr>
        <w:t xml:space="preserve">n the weeks preceding the </w:t>
      </w:r>
      <w:r w:rsidR="004E0676" w:rsidRPr="008442CC">
        <w:rPr>
          <w:rFonts w:ascii="Calibri" w:eastAsia="Calibri" w:hAnsi="Calibri" w:cs="Calibri"/>
          <w:bCs/>
        </w:rPr>
        <w:t>ER</w:t>
      </w:r>
      <w:r w:rsidR="00645972" w:rsidRPr="008442CC">
        <w:rPr>
          <w:rFonts w:ascii="Calibri" w:eastAsia="Calibri" w:hAnsi="Calibri" w:cs="Calibri"/>
          <w:bCs/>
        </w:rPr>
        <w:t xml:space="preserve"> and after the vote, the levels of </w:t>
      </w:r>
      <w:r w:rsidR="00B95575" w:rsidRPr="008442CC">
        <w:rPr>
          <w:rFonts w:ascii="Calibri" w:eastAsia="Calibri" w:hAnsi="Calibri" w:cs="Calibri"/>
          <w:bCs/>
        </w:rPr>
        <w:t xml:space="preserve">racial </w:t>
      </w:r>
      <w:r w:rsidR="00645972" w:rsidRPr="008442CC">
        <w:rPr>
          <w:rFonts w:ascii="Calibri" w:eastAsia="Calibri" w:hAnsi="Calibri" w:cs="Calibri"/>
          <w:bCs/>
        </w:rPr>
        <w:t xml:space="preserve">hate crime increased substantially. </w:t>
      </w:r>
      <w:r w:rsidR="00510FFC" w:rsidRPr="008442CC">
        <w:rPr>
          <w:rFonts w:ascii="Calibri" w:eastAsia="Calibri" w:hAnsi="Calibri" w:cs="Calibri"/>
          <w:bCs/>
        </w:rPr>
        <w:t>W</w:t>
      </w:r>
      <w:r w:rsidR="00645972" w:rsidRPr="008442CC">
        <w:rPr>
          <w:rFonts w:ascii="Calibri" w:eastAsia="Calibri" w:hAnsi="Calibri" w:cs="Calibri"/>
          <w:bCs/>
        </w:rPr>
        <w:t>hile until April 2016 the number of racially aggravated offences reported to the police per month remained roughly similar, racially motivated hate crimes increased from 49,419 incidents reported in 2015/16 to 62,685 in 2016/17 (+268%) and 71,251 in 2017/18 (+442%)</w:t>
      </w:r>
      <w:r w:rsidR="00B95575" w:rsidRPr="008442CC">
        <w:rPr>
          <w:rFonts w:ascii="Calibri" w:eastAsia="Calibri" w:hAnsi="Calibri" w:cs="Calibri"/>
          <w:bCs/>
        </w:rPr>
        <w:t xml:space="preserve"> (Home Office 2018)</w:t>
      </w:r>
      <w:r w:rsidR="00645972" w:rsidRPr="008442CC">
        <w:rPr>
          <w:rFonts w:ascii="Calibri" w:eastAsia="Calibri" w:hAnsi="Calibri" w:cs="Calibri"/>
          <w:bCs/>
        </w:rPr>
        <w:t xml:space="preserve">. Long-term increases in hate crime may partly be due to an improvement in hate-crime recording, but events like the </w:t>
      </w:r>
      <w:r w:rsidR="004E0676" w:rsidRPr="008442CC">
        <w:rPr>
          <w:rFonts w:ascii="Calibri" w:eastAsia="Calibri" w:hAnsi="Calibri" w:cs="Calibri"/>
          <w:bCs/>
        </w:rPr>
        <w:t>ER</w:t>
      </w:r>
      <w:r w:rsidR="00645972" w:rsidRPr="008442CC">
        <w:rPr>
          <w:rFonts w:ascii="Calibri" w:eastAsia="Calibri" w:hAnsi="Calibri" w:cs="Calibri"/>
          <w:bCs/>
        </w:rPr>
        <w:t xml:space="preserve"> in June 2016 seem to also have had an impact on the short-term increases (Home Office 2018</w:t>
      </w:r>
      <w:r w:rsidR="00B95575" w:rsidRPr="008442CC">
        <w:rPr>
          <w:rFonts w:ascii="Calibri" w:eastAsia="Calibri" w:hAnsi="Calibri" w:cs="Calibri"/>
          <w:bCs/>
        </w:rPr>
        <w:t>:</w:t>
      </w:r>
      <w:r w:rsidR="00645972" w:rsidRPr="008442CC">
        <w:rPr>
          <w:rFonts w:ascii="Calibri" w:eastAsia="Calibri" w:hAnsi="Calibri" w:cs="Calibri"/>
          <w:bCs/>
        </w:rPr>
        <w:t>12).</w:t>
      </w:r>
      <w:r w:rsidR="00645972" w:rsidRPr="008442CC">
        <w:rPr>
          <w:rFonts w:ascii="Calibri" w:eastAsia="Calibri" w:hAnsi="Calibri" w:cs="Calibri"/>
          <w:bCs/>
          <w:vertAlign w:val="superscript"/>
        </w:rPr>
        <w:endnoteReference w:id="36"/>
      </w:r>
      <w:r w:rsidR="00645972" w:rsidRPr="008442CC">
        <w:rPr>
          <w:rFonts w:ascii="Calibri" w:eastAsia="Calibri" w:hAnsi="Calibri" w:cs="Calibri"/>
          <w:bCs/>
        </w:rPr>
        <w:t xml:space="preserve"> Indeed, the unofficial Leave slogan of </w:t>
      </w:r>
      <w:r w:rsidR="00B95575" w:rsidRPr="008442CC">
        <w:rPr>
          <w:rFonts w:ascii="Calibri" w:eastAsia="Calibri" w:hAnsi="Calibri" w:cs="Calibri"/>
          <w:bCs/>
        </w:rPr>
        <w:t>“</w:t>
      </w:r>
      <w:r w:rsidR="00645972" w:rsidRPr="008442CC">
        <w:rPr>
          <w:rFonts w:ascii="Calibri" w:eastAsia="Calibri" w:hAnsi="Calibri" w:cs="Calibri"/>
          <w:bCs/>
        </w:rPr>
        <w:t>taking the country back</w:t>
      </w:r>
      <w:r w:rsidR="00B95575" w:rsidRPr="008442CC">
        <w:rPr>
          <w:rFonts w:ascii="Calibri" w:eastAsia="Calibri" w:hAnsi="Calibri" w:cs="Calibri"/>
          <w:bCs/>
        </w:rPr>
        <w:t>”</w:t>
      </w:r>
      <w:r w:rsidR="00645972" w:rsidRPr="008442CC">
        <w:rPr>
          <w:rFonts w:ascii="Calibri" w:eastAsia="Calibri" w:hAnsi="Calibri" w:cs="Calibri"/>
          <w:bCs/>
        </w:rPr>
        <w:t xml:space="preserve"> and raciali</w:t>
      </w:r>
      <w:r w:rsidR="00B95575" w:rsidRPr="008442CC">
        <w:rPr>
          <w:rFonts w:ascii="Calibri" w:eastAsia="Calibri" w:hAnsi="Calibri" w:cs="Calibri"/>
          <w:bCs/>
        </w:rPr>
        <w:t>s</w:t>
      </w:r>
      <w:r w:rsidR="00645972" w:rsidRPr="008442CC">
        <w:rPr>
          <w:rFonts w:ascii="Calibri" w:eastAsia="Calibri" w:hAnsi="Calibri" w:cs="Calibri"/>
          <w:bCs/>
        </w:rPr>
        <w:t>ing public debates may have encouraged these behaviours (Burnett 2017).</w:t>
      </w:r>
      <w:r w:rsidR="00EE1B5A" w:rsidRPr="008442CC">
        <w:rPr>
          <w:rFonts w:ascii="Calibri" w:eastAsia="Calibri" w:hAnsi="Calibri" w:cs="Calibri"/>
          <w:bCs/>
        </w:rPr>
        <w:t xml:space="preserve"> This is in line with Stephan and Stephan’s (1996) concept of “realistic” threats suffered by Poles, namely threats posed by the outgroups (Britons) to the very existence of the ingroup (Poles).</w:t>
      </w:r>
    </w:p>
    <w:p w14:paraId="445A93EA" w14:textId="63DB0702" w:rsidR="00645972" w:rsidRPr="008442CC" w:rsidRDefault="00645972" w:rsidP="001F1307">
      <w:pPr>
        <w:spacing w:after="120" w:line="360" w:lineRule="auto"/>
        <w:jc w:val="both"/>
        <w:rPr>
          <w:rFonts w:ascii="Calibri" w:eastAsia="Calibri" w:hAnsi="Calibri" w:cs="Calibri"/>
          <w:bCs/>
        </w:rPr>
      </w:pPr>
      <w:r w:rsidRPr="008442CC">
        <w:rPr>
          <w:rFonts w:ascii="Calibri" w:eastAsia="Calibri" w:hAnsi="Calibri" w:cs="Calibri"/>
          <w:bCs/>
        </w:rPr>
        <w:t xml:space="preserve">Unfortunately, while the concept of </w:t>
      </w:r>
      <w:r w:rsidR="00B95575" w:rsidRPr="008442CC">
        <w:rPr>
          <w:rFonts w:ascii="Calibri" w:eastAsia="Calibri" w:hAnsi="Calibri" w:cs="Calibri"/>
          <w:bCs/>
        </w:rPr>
        <w:t>“</w:t>
      </w:r>
      <w:r w:rsidRPr="008442CC">
        <w:rPr>
          <w:rFonts w:ascii="Calibri" w:eastAsia="Calibri" w:hAnsi="Calibri" w:cs="Calibri"/>
          <w:bCs/>
        </w:rPr>
        <w:t>race hate crime</w:t>
      </w:r>
      <w:r w:rsidR="00B95575" w:rsidRPr="008442CC">
        <w:rPr>
          <w:rFonts w:ascii="Calibri" w:eastAsia="Calibri" w:hAnsi="Calibri" w:cs="Calibri"/>
          <w:bCs/>
        </w:rPr>
        <w:t>”</w:t>
      </w:r>
      <w:r w:rsidRPr="008442CC">
        <w:rPr>
          <w:rFonts w:ascii="Calibri" w:eastAsia="Calibri" w:hAnsi="Calibri" w:cs="Calibri"/>
          <w:bCs/>
        </w:rPr>
        <w:t xml:space="preserve"> includes offences with xenophobic elements (i.e. offences targeting certain individuals due to their nationality and/or national origin) (Home Office 2</w:t>
      </w:r>
      <w:r w:rsidR="0054259E" w:rsidRPr="008442CC">
        <w:rPr>
          <w:rFonts w:ascii="Calibri" w:eastAsia="Calibri" w:hAnsi="Calibri" w:cs="Calibri"/>
          <w:bCs/>
        </w:rPr>
        <w:t>018</w:t>
      </w:r>
      <w:r w:rsidR="00B903EF" w:rsidRPr="008442CC">
        <w:rPr>
          <w:rFonts w:ascii="Calibri" w:eastAsia="Calibri" w:hAnsi="Calibri" w:cs="Calibri"/>
          <w:bCs/>
        </w:rPr>
        <w:t>:</w:t>
      </w:r>
      <w:r w:rsidR="0054259E" w:rsidRPr="008442CC">
        <w:rPr>
          <w:rFonts w:ascii="Calibri" w:eastAsia="Calibri" w:hAnsi="Calibri" w:cs="Calibri"/>
          <w:bCs/>
        </w:rPr>
        <w:t>8; College of Policing 2014</w:t>
      </w:r>
      <w:r w:rsidR="00B903EF" w:rsidRPr="008442CC">
        <w:rPr>
          <w:rFonts w:ascii="Calibri" w:eastAsia="Calibri" w:hAnsi="Calibri" w:cs="Calibri"/>
          <w:bCs/>
        </w:rPr>
        <w:t>:</w:t>
      </w:r>
      <w:r w:rsidRPr="008442CC">
        <w:rPr>
          <w:rFonts w:ascii="Calibri" w:eastAsia="Calibri" w:hAnsi="Calibri" w:cs="Calibri"/>
          <w:bCs/>
        </w:rPr>
        <w:t xml:space="preserve">2-4), the official figures on recorded race hate crime do not identify the number of hate crimes that were motivated by the nationality or national origin of the victim/s. Nevertheless, several sources confirm that many -although not all- of the incidents that occurred shortly before or after the Referendum targeted EU nationals. For example, research by the Institute of Race Relations on 134 incidents of racial violence reported in the mass media in the month after the </w:t>
      </w:r>
      <w:r w:rsidR="004E0676" w:rsidRPr="008442CC">
        <w:rPr>
          <w:rFonts w:ascii="Calibri" w:eastAsia="Calibri" w:hAnsi="Calibri" w:cs="Calibri"/>
          <w:bCs/>
        </w:rPr>
        <w:t>ER</w:t>
      </w:r>
      <w:r w:rsidRPr="008442CC">
        <w:rPr>
          <w:rFonts w:ascii="Calibri" w:eastAsia="Calibri" w:hAnsi="Calibri" w:cs="Calibri"/>
          <w:bCs/>
        </w:rPr>
        <w:t xml:space="preserve"> reveals that </w:t>
      </w:r>
      <w:r w:rsidR="00B95575" w:rsidRPr="008442CC">
        <w:rPr>
          <w:rFonts w:ascii="Calibri" w:eastAsia="Calibri" w:hAnsi="Calibri" w:cs="Calibri"/>
          <w:bCs/>
        </w:rPr>
        <w:t>“</w:t>
      </w:r>
      <w:r w:rsidRPr="008442CC">
        <w:rPr>
          <w:rFonts w:ascii="Calibri" w:eastAsia="Calibri" w:hAnsi="Calibri" w:cs="Calibri"/>
          <w:bCs/>
        </w:rPr>
        <w:t xml:space="preserve">the most frequent </w:t>
      </w:r>
      <w:r w:rsidR="00E21643" w:rsidRPr="008442CC">
        <w:rPr>
          <w:rFonts w:ascii="Calibri" w:eastAsia="Calibri" w:hAnsi="Calibri" w:cs="Calibri"/>
          <w:bCs/>
        </w:rPr>
        <w:t>“</w:t>
      </w:r>
      <w:r w:rsidRPr="008442CC">
        <w:rPr>
          <w:rFonts w:ascii="Calibri" w:eastAsia="Calibri" w:hAnsi="Calibri" w:cs="Calibri"/>
          <w:bCs/>
        </w:rPr>
        <w:t>targets</w:t>
      </w:r>
      <w:r w:rsidR="00E21643" w:rsidRPr="008442CC">
        <w:rPr>
          <w:rFonts w:ascii="Calibri" w:eastAsia="Calibri" w:hAnsi="Calibri" w:cs="Calibri"/>
          <w:bCs/>
        </w:rPr>
        <w:t>”</w:t>
      </w:r>
      <w:r w:rsidRPr="008442CC">
        <w:rPr>
          <w:rFonts w:ascii="Calibri" w:eastAsia="Calibri" w:hAnsi="Calibri" w:cs="Calibri"/>
          <w:bCs/>
        </w:rPr>
        <w:t xml:space="preserve"> were European migrants (particularly, Eastern Europeans) and Muslims</w:t>
      </w:r>
      <w:r w:rsidR="00B95575" w:rsidRPr="008442CC">
        <w:rPr>
          <w:rFonts w:ascii="Calibri" w:eastAsia="Calibri" w:hAnsi="Calibri" w:cs="Calibri"/>
          <w:bCs/>
        </w:rPr>
        <w:t>”</w:t>
      </w:r>
      <w:r w:rsidRPr="008442CC">
        <w:rPr>
          <w:rFonts w:ascii="Calibri" w:eastAsia="Calibri" w:hAnsi="Calibri" w:cs="Calibri"/>
          <w:bCs/>
        </w:rPr>
        <w:t xml:space="preserve"> (Burnett </w:t>
      </w:r>
      <w:r w:rsidR="0054259E" w:rsidRPr="008442CC">
        <w:rPr>
          <w:rFonts w:ascii="Calibri" w:eastAsia="Calibri" w:hAnsi="Calibri" w:cs="Calibri"/>
          <w:bCs/>
        </w:rPr>
        <w:t>2017</w:t>
      </w:r>
      <w:r w:rsidR="00B903EF" w:rsidRPr="008442CC">
        <w:rPr>
          <w:rFonts w:ascii="Calibri" w:eastAsia="Calibri" w:hAnsi="Calibri" w:cs="Calibri"/>
          <w:bCs/>
        </w:rPr>
        <w:t>:</w:t>
      </w:r>
      <w:r w:rsidRPr="008442CC">
        <w:rPr>
          <w:rFonts w:ascii="Calibri" w:eastAsia="Calibri" w:hAnsi="Calibri" w:cs="Calibri"/>
          <w:bCs/>
        </w:rPr>
        <w:t xml:space="preserve">87). </w:t>
      </w:r>
    </w:p>
    <w:p w14:paraId="61E953CB" w14:textId="587E5AAC" w:rsidR="00645972" w:rsidRPr="008442CC" w:rsidRDefault="00645972" w:rsidP="007E0D23">
      <w:pPr>
        <w:spacing w:after="120" w:line="360" w:lineRule="auto"/>
        <w:jc w:val="both"/>
        <w:rPr>
          <w:rFonts w:ascii="Calibri" w:eastAsia="Calibri" w:hAnsi="Calibri" w:cs="Calibri"/>
          <w:bCs/>
        </w:rPr>
      </w:pPr>
      <w:r w:rsidRPr="008442CC">
        <w:rPr>
          <w:rFonts w:ascii="Calibri" w:eastAsia="Calibri" w:hAnsi="Calibri" w:cs="Calibri"/>
          <w:bCs/>
        </w:rPr>
        <w:t xml:space="preserve">The </w:t>
      </w:r>
      <w:r w:rsidRPr="008442CC">
        <w:rPr>
          <w:rFonts w:ascii="Calibri" w:eastAsia="Calibri" w:hAnsi="Calibri" w:cs="Calibri"/>
          <w:bCs/>
          <w:i/>
          <w:iCs/>
        </w:rPr>
        <w:t>qualitative evidence</w:t>
      </w:r>
      <w:r w:rsidRPr="008442CC">
        <w:rPr>
          <w:rFonts w:ascii="Calibri" w:eastAsia="Calibri" w:hAnsi="Calibri" w:cs="Calibri"/>
          <w:bCs/>
        </w:rPr>
        <w:t xml:space="preserve"> from </w:t>
      </w:r>
      <w:r w:rsidRPr="008442CC">
        <w:rPr>
          <w:rFonts w:ascii="Calibri" w:eastAsia="Calibri" w:hAnsi="Calibri" w:cs="Calibri"/>
          <w:bCs/>
          <w:i/>
          <w:iCs/>
        </w:rPr>
        <w:t>our research</w:t>
      </w:r>
      <w:r w:rsidRPr="008442CC">
        <w:rPr>
          <w:rFonts w:ascii="Calibri" w:eastAsia="Calibri" w:hAnsi="Calibri" w:cs="Calibri"/>
          <w:bCs/>
        </w:rPr>
        <w:t xml:space="preserve"> mirrors the</w:t>
      </w:r>
      <w:r w:rsidR="00F55410" w:rsidRPr="008442CC">
        <w:rPr>
          <w:rFonts w:ascii="Calibri" w:eastAsia="Calibri" w:hAnsi="Calibri" w:cs="Calibri"/>
          <w:bCs/>
        </w:rPr>
        <w:t>se</w:t>
      </w:r>
      <w:r w:rsidRPr="008442CC">
        <w:rPr>
          <w:rFonts w:ascii="Calibri" w:eastAsia="Calibri" w:hAnsi="Calibri" w:cs="Calibri"/>
          <w:bCs/>
        </w:rPr>
        <w:t xml:space="preserve"> post-Referendum emergent trends. Polish nationals in Southampton experienced verbal abuse, with frequent references to </w:t>
      </w:r>
      <w:r w:rsidR="00B95575" w:rsidRPr="008442CC">
        <w:rPr>
          <w:rFonts w:ascii="Calibri" w:eastAsia="Calibri" w:hAnsi="Calibri" w:cs="Calibri"/>
          <w:bCs/>
        </w:rPr>
        <w:t>“</w:t>
      </w:r>
      <w:r w:rsidRPr="008442CC">
        <w:rPr>
          <w:rFonts w:ascii="Calibri" w:eastAsia="Calibri" w:hAnsi="Calibri" w:cs="Calibri"/>
          <w:bCs/>
        </w:rPr>
        <w:t>going back to their country</w:t>
      </w:r>
      <w:r w:rsidR="00B95575" w:rsidRPr="008442CC">
        <w:rPr>
          <w:rFonts w:ascii="Calibri" w:eastAsia="Calibri" w:hAnsi="Calibri" w:cs="Calibri"/>
          <w:bCs/>
        </w:rPr>
        <w:t>”</w:t>
      </w:r>
      <w:r w:rsidRPr="008442CC">
        <w:rPr>
          <w:rFonts w:ascii="Calibri" w:eastAsia="Calibri" w:hAnsi="Calibri" w:cs="Calibri"/>
          <w:bCs/>
        </w:rPr>
        <w:t>,</w:t>
      </w:r>
      <w:r w:rsidRPr="008442CC">
        <w:rPr>
          <w:rFonts w:ascii="Calibri" w:eastAsia="Calibri" w:hAnsi="Calibri" w:cs="Calibri"/>
          <w:bCs/>
          <w:vertAlign w:val="superscript"/>
        </w:rPr>
        <w:endnoteReference w:id="37"/>
      </w:r>
      <w:r w:rsidRPr="008442CC">
        <w:rPr>
          <w:rFonts w:ascii="Calibri" w:eastAsia="Calibri" w:hAnsi="Calibri" w:cs="Calibri"/>
          <w:bCs/>
        </w:rPr>
        <w:t xml:space="preserve"> incidents in schools (e.g. bullying by British classmates),</w:t>
      </w:r>
      <w:r w:rsidRPr="008442CC">
        <w:rPr>
          <w:rFonts w:ascii="Calibri" w:eastAsia="Calibri" w:hAnsi="Calibri" w:cs="Calibri"/>
          <w:bCs/>
          <w:vertAlign w:val="superscript"/>
        </w:rPr>
        <w:endnoteReference w:id="38"/>
      </w:r>
      <w:r w:rsidRPr="008442CC">
        <w:rPr>
          <w:rFonts w:ascii="Calibri" w:eastAsia="Calibri" w:hAnsi="Calibri" w:cs="Calibri"/>
          <w:bCs/>
        </w:rPr>
        <w:t xml:space="preserve"> smashing of Polish shop windows or being called names.</w:t>
      </w:r>
      <w:r w:rsidRPr="008442CC">
        <w:rPr>
          <w:rFonts w:ascii="Calibri" w:eastAsia="Calibri" w:hAnsi="Calibri" w:cs="Calibri"/>
          <w:bCs/>
          <w:vertAlign w:val="superscript"/>
        </w:rPr>
        <w:endnoteReference w:id="39"/>
      </w:r>
      <w:r w:rsidRPr="008442CC">
        <w:rPr>
          <w:rFonts w:ascii="Calibri" w:eastAsia="Calibri" w:hAnsi="Calibri" w:cs="Calibri"/>
          <w:bCs/>
        </w:rPr>
        <w:t xml:space="preserve"> Our participants mentioned problems with neighbours and derogatory comments linked to being Polish.</w:t>
      </w:r>
      <w:r w:rsidRPr="008442CC">
        <w:rPr>
          <w:rFonts w:ascii="Calibri" w:eastAsia="Calibri" w:hAnsi="Calibri" w:cs="Calibri"/>
          <w:bCs/>
          <w:vertAlign w:val="superscript"/>
        </w:rPr>
        <w:endnoteReference w:id="40"/>
      </w:r>
    </w:p>
    <w:p w14:paraId="4F408024" w14:textId="64A8BE4D" w:rsidR="00645972" w:rsidRPr="008442CC" w:rsidRDefault="00510FFC" w:rsidP="001F1307">
      <w:pPr>
        <w:spacing w:line="360" w:lineRule="auto"/>
        <w:jc w:val="both"/>
        <w:rPr>
          <w:rFonts w:ascii="Calibri" w:eastAsia="Calibri" w:hAnsi="Calibri" w:cs="Calibri"/>
          <w:bCs/>
        </w:rPr>
      </w:pPr>
      <w:r w:rsidRPr="008442CC">
        <w:rPr>
          <w:rFonts w:ascii="Calibri" w:eastAsia="Calibri" w:hAnsi="Calibri" w:cs="Calibri"/>
          <w:bCs/>
        </w:rPr>
        <w:t>E</w:t>
      </w:r>
      <w:r w:rsidR="00645972" w:rsidRPr="008442CC">
        <w:rPr>
          <w:rFonts w:ascii="Calibri" w:eastAsia="Calibri" w:hAnsi="Calibri" w:cs="Calibri"/>
          <w:bCs/>
        </w:rPr>
        <w:t xml:space="preserve">mployment was a prominent area of discrimination and abuse. Poles were particularly targeted by their peers or managers. In this regard, </w:t>
      </w:r>
      <w:r w:rsidR="008F5CC2" w:rsidRPr="008442CC">
        <w:rPr>
          <w:rFonts w:ascii="Calibri" w:eastAsia="Calibri" w:hAnsi="Calibri" w:cs="Calibri"/>
          <w:bCs/>
          <w:i/>
          <w:iCs/>
        </w:rPr>
        <w:t>one of our interviewees</w:t>
      </w:r>
      <w:r w:rsidR="008F5CC2" w:rsidRPr="008442CC">
        <w:rPr>
          <w:rFonts w:ascii="Calibri" w:eastAsia="Calibri" w:hAnsi="Calibri" w:cs="Calibri"/>
          <w:bCs/>
        </w:rPr>
        <w:t xml:space="preserve">, </w:t>
      </w:r>
      <w:r w:rsidR="00645972" w:rsidRPr="008442CC">
        <w:rPr>
          <w:rFonts w:ascii="Calibri" w:eastAsia="Calibri" w:hAnsi="Calibri" w:cs="Calibri"/>
          <w:bCs/>
        </w:rPr>
        <w:t>the CAB officer reported that:</w:t>
      </w:r>
    </w:p>
    <w:p w14:paraId="7880C668" w14:textId="2411FF74" w:rsidR="00645972" w:rsidRPr="008442CC" w:rsidRDefault="00645972" w:rsidP="001F1307">
      <w:pPr>
        <w:ind w:left="567" w:right="560"/>
        <w:jc w:val="both"/>
        <w:rPr>
          <w:rFonts w:ascii="Calibri" w:eastAsia="Calibri" w:hAnsi="Calibri" w:cs="Calibri"/>
          <w:bCs/>
          <w:sz w:val="20"/>
          <w:szCs w:val="20"/>
        </w:rPr>
      </w:pPr>
      <w:r w:rsidRPr="008442CC">
        <w:rPr>
          <w:rFonts w:ascii="Calibri" w:eastAsia="Calibri" w:hAnsi="Calibri" w:cs="Calibri"/>
          <w:bCs/>
          <w:sz w:val="20"/>
          <w:szCs w:val="20"/>
        </w:rPr>
        <w:lastRenderedPageBreak/>
        <w:t>We have received reports of […] employers mistreating Polish citizens on the basis of their nationality, the race, the language […] [Poles] have been asked not to talk Polish, even […] during break times</w:t>
      </w:r>
      <w:r w:rsidR="00B95575" w:rsidRPr="008442CC">
        <w:rPr>
          <w:rFonts w:ascii="Calibri" w:eastAsia="Calibri" w:hAnsi="Calibri" w:cs="Calibri"/>
          <w:bCs/>
          <w:sz w:val="20"/>
          <w:szCs w:val="20"/>
        </w:rPr>
        <w:t xml:space="preserve"> […]</w:t>
      </w:r>
      <w:r w:rsidRPr="008442CC">
        <w:rPr>
          <w:rFonts w:ascii="Calibri" w:eastAsia="Calibri" w:hAnsi="Calibri" w:cs="Calibri"/>
          <w:bCs/>
          <w:sz w:val="20"/>
          <w:szCs w:val="20"/>
        </w:rPr>
        <w:t>, verbally abused, or sometimes they complain that because they don’t understand English … their colleagues make jokes about them.</w:t>
      </w:r>
    </w:p>
    <w:p w14:paraId="7F48821B" w14:textId="77777777" w:rsidR="00645972" w:rsidRPr="008442CC" w:rsidRDefault="00645972" w:rsidP="001F1307">
      <w:pPr>
        <w:ind w:left="567" w:right="560"/>
        <w:jc w:val="both"/>
        <w:rPr>
          <w:rFonts w:ascii="Calibri" w:eastAsia="Calibri" w:hAnsi="Calibri" w:cs="Calibri"/>
          <w:bCs/>
          <w:sz w:val="20"/>
          <w:szCs w:val="20"/>
        </w:rPr>
      </w:pPr>
    </w:p>
    <w:p w14:paraId="1BB44F9B" w14:textId="6181BE13" w:rsidR="00645972" w:rsidRPr="008442CC" w:rsidRDefault="00645972" w:rsidP="001F1307">
      <w:pPr>
        <w:spacing w:line="360" w:lineRule="auto"/>
        <w:jc w:val="both"/>
        <w:rPr>
          <w:rFonts w:ascii="Calibri" w:eastAsia="Calibri" w:hAnsi="Calibri" w:cs="Calibri"/>
          <w:bCs/>
        </w:rPr>
      </w:pPr>
      <w:r w:rsidRPr="008442CC">
        <w:rPr>
          <w:rFonts w:ascii="Calibri" w:eastAsia="Calibri" w:hAnsi="Calibri" w:cs="Calibri"/>
          <w:bCs/>
          <w:i/>
          <w:iCs/>
        </w:rPr>
        <w:t>Our survey participants</w:t>
      </w:r>
      <w:r w:rsidRPr="008442CC">
        <w:rPr>
          <w:rFonts w:ascii="Calibri" w:eastAsia="Calibri" w:hAnsi="Calibri" w:cs="Calibri"/>
          <w:bCs/>
        </w:rPr>
        <w:t xml:space="preserve"> also experienced incidents </w:t>
      </w:r>
      <w:r w:rsidR="00B95575" w:rsidRPr="008442CC">
        <w:rPr>
          <w:rFonts w:ascii="Calibri" w:eastAsia="Calibri" w:hAnsi="Calibri" w:cs="Calibri"/>
          <w:bCs/>
        </w:rPr>
        <w:t xml:space="preserve">that they considered to be </w:t>
      </w:r>
      <w:r w:rsidRPr="008442CC">
        <w:rPr>
          <w:rFonts w:ascii="Calibri" w:eastAsia="Calibri" w:hAnsi="Calibri" w:cs="Calibri"/>
          <w:bCs/>
        </w:rPr>
        <w:t>based on their Polish origin, e.g.:</w:t>
      </w:r>
    </w:p>
    <w:p w14:paraId="6F5EA248" w14:textId="4965D1A8" w:rsidR="00645972" w:rsidRPr="008442CC" w:rsidRDefault="00645972" w:rsidP="001F1307">
      <w:pPr>
        <w:spacing w:after="120"/>
        <w:ind w:left="567" w:right="561"/>
        <w:jc w:val="both"/>
        <w:rPr>
          <w:rFonts w:ascii="Calibri" w:eastAsia="Calibri" w:hAnsi="Calibri" w:cs="Calibri"/>
          <w:bCs/>
          <w:sz w:val="20"/>
          <w:szCs w:val="20"/>
        </w:rPr>
      </w:pPr>
      <w:r w:rsidRPr="008442CC">
        <w:rPr>
          <w:rFonts w:ascii="Calibri" w:eastAsia="Calibri" w:hAnsi="Calibri" w:cs="Calibri"/>
          <w:bCs/>
          <w:sz w:val="20"/>
          <w:szCs w:val="20"/>
        </w:rPr>
        <w:t>I [had] difficulties at work because of my foreign origin (discussions about Brexit, comments and different treatment of me [sic] [</w:t>
      </w:r>
      <w:r w:rsidRPr="008442CC">
        <w:rPr>
          <w:rFonts w:ascii="Calibri" w:eastAsia="Calibri" w:hAnsi="Calibri" w:cs="Calibri"/>
          <w:sz w:val="20"/>
          <w:szCs w:val="20"/>
        </w:rPr>
        <w:t>#</w:t>
      </w:r>
      <w:r w:rsidRPr="008442CC">
        <w:rPr>
          <w:rFonts w:ascii="Calibri" w:eastAsia="Calibri" w:hAnsi="Calibri" w:cs="Calibri"/>
          <w:bCs/>
          <w:sz w:val="20"/>
          <w:szCs w:val="20"/>
        </w:rPr>
        <w:t>2931585]</w:t>
      </w:r>
    </w:p>
    <w:p w14:paraId="1C848E1B" w14:textId="6228E7A8" w:rsidR="00645972" w:rsidRPr="008442CC" w:rsidRDefault="00645972" w:rsidP="001F1307">
      <w:pPr>
        <w:ind w:left="567" w:right="560"/>
        <w:jc w:val="both"/>
        <w:rPr>
          <w:rFonts w:ascii="Calibri" w:eastAsia="Calibri" w:hAnsi="Calibri" w:cs="Calibri"/>
          <w:bCs/>
          <w:sz w:val="20"/>
          <w:szCs w:val="20"/>
        </w:rPr>
      </w:pPr>
      <w:r w:rsidRPr="008442CC">
        <w:rPr>
          <w:rFonts w:ascii="Calibri" w:eastAsia="Calibri" w:hAnsi="Calibri" w:cs="Calibri"/>
          <w:bCs/>
          <w:sz w:val="20"/>
          <w:szCs w:val="20"/>
        </w:rPr>
        <w:t>I informed my managers about humiliating me and physical threats from other employees. Eventually, I have changed my job. [</w:t>
      </w:r>
      <w:r w:rsidRPr="008442CC">
        <w:rPr>
          <w:rFonts w:ascii="Calibri" w:eastAsia="Calibri" w:hAnsi="Calibri" w:cs="Calibri"/>
          <w:sz w:val="20"/>
          <w:szCs w:val="20"/>
        </w:rPr>
        <w:t>#</w:t>
      </w:r>
      <w:r w:rsidRPr="008442CC">
        <w:rPr>
          <w:rFonts w:ascii="Calibri" w:eastAsia="Calibri" w:hAnsi="Calibri" w:cs="Calibri"/>
          <w:bCs/>
          <w:sz w:val="20"/>
          <w:szCs w:val="20"/>
        </w:rPr>
        <w:t>2933958]</w:t>
      </w:r>
    </w:p>
    <w:p w14:paraId="244C75A8" w14:textId="77777777" w:rsidR="00645972" w:rsidRPr="008442CC" w:rsidRDefault="00645972" w:rsidP="001F1307">
      <w:pPr>
        <w:ind w:left="567" w:right="560"/>
        <w:jc w:val="both"/>
        <w:rPr>
          <w:rFonts w:ascii="Times New Roman" w:eastAsia="Calibri" w:hAnsi="Times New Roman" w:cs="Times New Roman"/>
          <w:bCs/>
          <w:sz w:val="20"/>
          <w:szCs w:val="20"/>
        </w:rPr>
      </w:pPr>
    </w:p>
    <w:p w14:paraId="244A6B53" w14:textId="17D2E4B5" w:rsidR="00645972" w:rsidRPr="008442CC" w:rsidRDefault="00645972" w:rsidP="007E0D23">
      <w:pPr>
        <w:spacing w:after="120" w:line="360" w:lineRule="auto"/>
        <w:jc w:val="both"/>
        <w:rPr>
          <w:rFonts w:ascii="Calibri" w:eastAsia="Calibri" w:hAnsi="Calibri" w:cs="Calibri"/>
          <w:bCs/>
        </w:rPr>
      </w:pPr>
      <w:r w:rsidRPr="008442CC">
        <w:rPr>
          <w:rFonts w:ascii="Calibri" w:eastAsia="Calibri" w:hAnsi="Calibri" w:cs="Calibri"/>
          <w:bCs/>
        </w:rPr>
        <w:t>Harassment and verbal abuse by service providers or clients were also fairly common. For example, users of buses swearing at the</w:t>
      </w:r>
      <w:r w:rsidR="0054259E" w:rsidRPr="008442CC">
        <w:rPr>
          <w:rFonts w:ascii="Calibri" w:eastAsia="Calibri" w:hAnsi="Calibri" w:cs="Calibri"/>
          <w:bCs/>
        </w:rPr>
        <w:t xml:space="preserve"> Polish</w:t>
      </w:r>
      <w:r w:rsidRPr="008442CC">
        <w:rPr>
          <w:rFonts w:ascii="Calibri" w:eastAsia="Calibri" w:hAnsi="Calibri" w:cs="Calibri"/>
          <w:bCs/>
        </w:rPr>
        <w:t xml:space="preserve"> bus driver referring to his foreign/Polish origin,</w:t>
      </w:r>
      <w:r w:rsidRPr="008442CC">
        <w:rPr>
          <w:rFonts w:ascii="Calibri" w:eastAsia="Calibri" w:hAnsi="Calibri" w:cs="Calibri"/>
          <w:bCs/>
          <w:vertAlign w:val="superscript"/>
        </w:rPr>
        <w:endnoteReference w:id="41"/>
      </w:r>
      <w:r w:rsidRPr="008442CC">
        <w:rPr>
          <w:rFonts w:ascii="Calibri" w:eastAsia="Calibri" w:hAnsi="Calibri" w:cs="Calibri"/>
          <w:bCs/>
        </w:rPr>
        <w:t xml:space="preserve"> supermarket clients </w:t>
      </w:r>
      <w:r w:rsidR="00B95575" w:rsidRPr="008442CC">
        <w:rPr>
          <w:rFonts w:ascii="Calibri" w:eastAsia="Calibri" w:hAnsi="Calibri" w:cs="Calibri"/>
          <w:bCs/>
        </w:rPr>
        <w:t>“</w:t>
      </w:r>
      <w:r w:rsidRPr="008442CC">
        <w:rPr>
          <w:rFonts w:ascii="Calibri" w:eastAsia="Calibri" w:hAnsi="Calibri" w:cs="Calibri"/>
          <w:bCs/>
        </w:rPr>
        <w:t>suggesting</w:t>
      </w:r>
      <w:r w:rsidR="00B95575" w:rsidRPr="008442CC">
        <w:rPr>
          <w:rFonts w:ascii="Calibri" w:eastAsia="Calibri" w:hAnsi="Calibri" w:cs="Calibri"/>
          <w:bCs/>
        </w:rPr>
        <w:t>”</w:t>
      </w:r>
      <w:r w:rsidRPr="008442CC">
        <w:rPr>
          <w:rFonts w:ascii="Calibri" w:eastAsia="Calibri" w:hAnsi="Calibri" w:cs="Calibri"/>
          <w:bCs/>
        </w:rPr>
        <w:t xml:space="preserve"> that a Polish citizen should buy British -and not French- cheese,</w:t>
      </w:r>
      <w:r w:rsidRPr="008442CC">
        <w:rPr>
          <w:rFonts w:ascii="Calibri" w:eastAsia="Calibri" w:hAnsi="Calibri" w:cs="Calibri"/>
          <w:bCs/>
          <w:vertAlign w:val="superscript"/>
        </w:rPr>
        <w:endnoteReference w:id="42"/>
      </w:r>
      <w:r w:rsidRPr="008442CC">
        <w:rPr>
          <w:rFonts w:ascii="Calibri" w:eastAsia="Calibri" w:hAnsi="Calibri" w:cs="Calibri"/>
          <w:bCs/>
        </w:rPr>
        <w:t xml:space="preserve"> or landlords saying that they would not rent their property to a Pole because </w:t>
      </w:r>
      <w:r w:rsidR="00B95575" w:rsidRPr="008442CC">
        <w:rPr>
          <w:rFonts w:ascii="Calibri" w:eastAsia="Calibri" w:hAnsi="Calibri" w:cs="Calibri"/>
          <w:bCs/>
        </w:rPr>
        <w:t>“</w:t>
      </w:r>
      <w:r w:rsidRPr="008442CC">
        <w:rPr>
          <w:rFonts w:ascii="Calibri" w:eastAsia="Calibri" w:hAnsi="Calibri" w:cs="Calibri"/>
          <w:bCs/>
        </w:rPr>
        <w:t>[they] might have to go back soon</w:t>
      </w:r>
      <w:r w:rsidR="00B95575" w:rsidRPr="008442CC">
        <w:rPr>
          <w:rFonts w:ascii="Calibri" w:eastAsia="Calibri" w:hAnsi="Calibri" w:cs="Calibri"/>
          <w:bCs/>
        </w:rPr>
        <w:t>”</w:t>
      </w:r>
      <w:r w:rsidRPr="008442CC">
        <w:rPr>
          <w:rFonts w:ascii="Calibri" w:eastAsia="Calibri" w:hAnsi="Calibri" w:cs="Calibri"/>
          <w:bCs/>
        </w:rPr>
        <w:t>.</w:t>
      </w:r>
      <w:r w:rsidRPr="008442CC">
        <w:rPr>
          <w:rFonts w:ascii="Calibri" w:eastAsia="Calibri" w:hAnsi="Calibri" w:cs="Calibri"/>
          <w:bCs/>
          <w:vertAlign w:val="superscript"/>
        </w:rPr>
        <w:endnoteReference w:id="43"/>
      </w:r>
    </w:p>
    <w:p w14:paraId="560418F5" w14:textId="3899835D" w:rsidR="00645972" w:rsidRPr="008442CC" w:rsidRDefault="00645972" w:rsidP="00C24641">
      <w:pPr>
        <w:spacing w:after="120" w:line="360" w:lineRule="auto"/>
        <w:jc w:val="both"/>
        <w:rPr>
          <w:rFonts w:ascii="Calibri" w:eastAsia="Calibri" w:hAnsi="Calibri" w:cs="Calibri"/>
          <w:bCs/>
        </w:rPr>
      </w:pPr>
      <w:r w:rsidRPr="008442CC">
        <w:rPr>
          <w:rFonts w:ascii="Calibri" w:eastAsia="Calibri" w:hAnsi="Calibri" w:cs="Calibri"/>
          <w:bCs/>
        </w:rPr>
        <w:t xml:space="preserve">These incidents reflect what many of </w:t>
      </w:r>
      <w:r w:rsidRPr="008442CC">
        <w:rPr>
          <w:rFonts w:ascii="Calibri" w:eastAsia="Calibri" w:hAnsi="Calibri" w:cs="Calibri"/>
          <w:bCs/>
          <w:i/>
          <w:iCs/>
        </w:rPr>
        <w:t>our participants</w:t>
      </w:r>
      <w:r w:rsidRPr="008442CC">
        <w:rPr>
          <w:rFonts w:ascii="Calibri" w:eastAsia="Calibri" w:hAnsi="Calibri" w:cs="Calibri"/>
          <w:bCs/>
        </w:rPr>
        <w:t xml:space="preserve"> noted: that Britons’ </w:t>
      </w:r>
      <w:r w:rsidR="00B95575" w:rsidRPr="008442CC">
        <w:rPr>
          <w:rFonts w:ascii="Calibri" w:eastAsia="Calibri" w:hAnsi="Calibri" w:cs="Calibri"/>
          <w:bCs/>
        </w:rPr>
        <w:t>“</w:t>
      </w:r>
      <w:r w:rsidRPr="008442CC">
        <w:rPr>
          <w:rFonts w:ascii="Calibri" w:eastAsia="Calibri" w:hAnsi="Calibri" w:cs="Calibri"/>
          <w:bCs/>
        </w:rPr>
        <w:t>attitude […] towards immigrants has not changed. They just started to openly express what they thought before</w:t>
      </w:r>
      <w:r w:rsidR="00B95575" w:rsidRPr="008442CC">
        <w:rPr>
          <w:rFonts w:ascii="Calibri" w:eastAsia="Calibri" w:hAnsi="Calibri" w:cs="Calibri"/>
          <w:bCs/>
        </w:rPr>
        <w:t>”</w:t>
      </w:r>
      <w:r w:rsidRPr="008442CC">
        <w:rPr>
          <w:rFonts w:ascii="Calibri" w:eastAsia="Calibri" w:hAnsi="Calibri" w:cs="Calibri"/>
          <w:bCs/>
          <w:vertAlign w:val="superscript"/>
        </w:rPr>
        <w:endnoteReference w:id="44"/>
      </w:r>
      <w:r w:rsidRPr="008442CC">
        <w:rPr>
          <w:rFonts w:ascii="Calibri" w:eastAsia="Calibri" w:hAnsi="Calibri" w:cs="Calibri"/>
          <w:bCs/>
        </w:rPr>
        <w:t xml:space="preserve"> and felt </w:t>
      </w:r>
      <w:r w:rsidR="00B95575" w:rsidRPr="008442CC">
        <w:rPr>
          <w:rFonts w:ascii="Calibri" w:eastAsia="Calibri" w:hAnsi="Calibri" w:cs="Calibri"/>
          <w:bCs/>
        </w:rPr>
        <w:t>“</w:t>
      </w:r>
      <w:r w:rsidRPr="008442CC">
        <w:rPr>
          <w:rFonts w:ascii="Calibri" w:eastAsia="Calibri" w:hAnsi="Calibri" w:cs="Calibri"/>
          <w:bCs/>
        </w:rPr>
        <w:t>more confident in showing their dissatisfaction towards immigrants</w:t>
      </w:r>
      <w:r w:rsidR="00B95575" w:rsidRPr="008442CC">
        <w:rPr>
          <w:rFonts w:ascii="Calibri" w:eastAsia="Calibri" w:hAnsi="Calibri" w:cs="Calibri"/>
          <w:bCs/>
        </w:rPr>
        <w:t>”</w:t>
      </w:r>
      <w:r w:rsidRPr="008442CC">
        <w:rPr>
          <w:rFonts w:ascii="Calibri" w:eastAsia="Calibri" w:hAnsi="Calibri" w:cs="Calibri"/>
          <w:bCs/>
        </w:rPr>
        <w:t>.</w:t>
      </w:r>
      <w:r w:rsidRPr="008442CC">
        <w:rPr>
          <w:rFonts w:ascii="Calibri" w:eastAsia="Calibri" w:hAnsi="Calibri" w:cs="Calibri"/>
          <w:bCs/>
          <w:vertAlign w:val="superscript"/>
        </w:rPr>
        <w:endnoteReference w:id="45"/>
      </w:r>
      <w:r w:rsidRPr="008442CC">
        <w:rPr>
          <w:rFonts w:ascii="Calibri" w:eastAsia="Calibri" w:hAnsi="Calibri" w:cs="Calibri"/>
          <w:bCs/>
        </w:rPr>
        <w:t xml:space="preserve"> The </w:t>
      </w:r>
      <w:r w:rsidR="004E0676" w:rsidRPr="008442CC">
        <w:rPr>
          <w:rFonts w:ascii="Calibri" w:eastAsia="Calibri" w:hAnsi="Calibri" w:cs="Calibri"/>
          <w:bCs/>
        </w:rPr>
        <w:t>ER</w:t>
      </w:r>
      <w:r w:rsidRPr="008442CC">
        <w:rPr>
          <w:rFonts w:ascii="Calibri" w:eastAsia="Calibri" w:hAnsi="Calibri" w:cs="Calibri"/>
          <w:bCs/>
        </w:rPr>
        <w:t xml:space="preserve"> results were interpreted by some Britons as a legitimi</w:t>
      </w:r>
      <w:r w:rsidR="00B95575" w:rsidRPr="008442CC">
        <w:rPr>
          <w:rFonts w:ascii="Calibri" w:eastAsia="Calibri" w:hAnsi="Calibri" w:cs="Calibri"/>
          <w:bCs/>
        </w:rPr>
        <w:t>s</w:t>
      </w:r>
      <w:r w:rsidRPr="008442CC">
        <w:rPr>
          <w:rFonts w:ascii="Calibri" w:eastAsia="Calibri" w:hAnsi="Calibri" w:cs="Calibri"/>
          <w:bCs/>
        </w:rPr>
        <w:t xml:space="preserve">ation of the Leave campaign’s anti-immigration agenda and an entitlement to openly express xenophobic views. </w:t>
      </w:r>
      <w:r w:rsidR="00B95575" w:rsidRPr="008442CC">
        <w:rPr>
          <w:rFonts w:ascii="Calibri" w:eastAsia="Calibri" w:hAnsi="Calibri" w:cs="Calibri"/>
          <w:bCs/>
        </w:rPr>
        <w:t>“</w:t>
      </w:r>
      <w:r w:rsidRPr="008442CC">
        <w:rPr>
          <w:rFonts w:ascii="Calibri" w:eastAsia="Calibri" w:hAnsi="Calibri" w:cs="Calibri"/>
          <w:bCs/>
        </w:rPr>
        <w:t>[The] Brexit vote gave people a perceived right to say […] nasty things to Polish people</w:t>
      </w:r>
      <w:r w:rsidR="00B95575" w:rsidRPr="008442CC">
        <w:rPr>
          <w:rFonts w:ascii="Calibri" w:eastAsia="Calibri" w:hAnsi="Calibri" w:cs="Calibri"/>
          <w:bCs/>
        </w:rPr>
        <w:t>”</w:t>
      </w:r>
      <w:r w:rsidRPr="008442CC">
        <w:rPr>
          <w:rFonts w:ascii="Calibri" w:eastAsia="Calibri" w:hAnsi="Calibri" w:cs="Calibri"/>
          <w:bCs/>
        </w:rPr>
        <w:t>.</w:t>
      </w:r>
      <w:r w:rsidRPr="008442CC">
        <w:rPr>
          <w:rFonts w:ascii="Calibri" w:eastAsia="Calibri" w:hAnsi="Calibri" w:cs="Calibri"/>
          <w:bCs/>
          <w:vertAlign w:val="superscript"/>
        </w:rPr>
        <w:endnoteReference w:id="46"/>
      </w:r>
    </w:p>
    <w:p w14:paraId="763E459E" w14:textId="74515622" w:rsidR="00645972" w:rsidRPr="008442CC" w:rsidRDefault="00645972" w:rsidP="001F1307">
      <w:pPr>
        <w:spacing w:line="360" w:lineRule="auto"/>
        <w:jc w:val="both"/>
        <w:rPr>
          <w:rFonts w:ascii="Calibri" w:eastAsia="Calibri" w:hAnsi="Calibri" w:cs="Calibri"/>
          <w:bCs/>
        </w:rPr>
      </w:pPr>
      <w:r w:rsidRPr="008442CC">
        <w:rPr>
          <w:rFonts w:ascii="Calibri" w:eastAsia="Calibri" w:hAnsi="Calibri" w:cs="Calibri"/>
          <w:bCs/>
        </w:rPr>
        <w:t xml:space="preserve">In light of the above, it can be argued that Southampton-based Poles experienced the objective dimension of vulnerability: they suffered discriminatory and harassment incidents where the perpetrators </w:t>
      </w:r>
      <w:r w:rsidRPr="008442CC">
        <w:rPr>
          <w:rFonts w:ascii="Calibri" w:eastAsia="Calibri" w:hAnsi="Calibri" w:cs="Calibri"/>
          <w:bCs/>
          <w:i/>
        </w:rPr>
        <w:t>overtly</w:t>
      </w:r>
      <w:r w:rsidRPr="008442CC">
        <w:rPr>
          <w:rFonts w:ascii="Calibri" w:eastAsia="Calibri" w:hAnsi="Calibri" w:cs="Calibri"/>
          <w:bCs/>
        </w:rPr>
        <w:t xml:space="preserve"> referred to their foreign origin, which made them more vulnerable from an </w:t>
      </w:r>
      <w:r w:rsidRPr="008442CC">
        <w:rPr>
          <w:rFonts w:ascii="Calibri" w:eastAsia="Calibri" w:hAnsi="Calibri" w:cs="Calibri"/>
          <w:bCs/>
          <w:i/>
        </w:rPr>
        <w:t xml:space="preserve">objective </w:t>
      </w:r>
      <w:r w:rsidRPr="008442CC">
        <w:rPr>
          <w:rFonts w:ascii="Calibri" w:eastAsia="Calibri" w:hAnsi="Calibri" w:cs="Calibri"/>
          <w:bCs/>
        </w:rPr>
        <w:t>standpoint. Arguably, these incidents</w:t>
      </w:r>
      <w:r w:rsidR="001F2639" w:rsidRPr="008442CC">
        <w:rPr>
          <w:rFonts w:ascii="Calibri" w:eastAsia="Calibri" w:hAnsi="Calibri" w:cs="Calibri"/>
          <w:bCs/>
        </w:rPr>
        <w:t xml:space="preserve"> </w:t>
      </w:r>
      <w:r w:rsidRPr="008442CC">
        <w:rPr>
          <w:rFonts w:ascii="Calibri" w:eastAsia="Calibri" w:hAnsi="Calibri" w:cs="Calibri"/>
          <w:bCs/>
        </w:rPr>
        <w:t xml:space="preserve">have heightened not only the victims’ feelings of anxiety, fear and apprehension (i.e. their </w:t>
      </w:r>
      <w:r w:rsidRPr="008442CC">
        <w:rPr>
          <w:rFonts w:ascii="Calibri" w:eastAsia="Calibri" w:hAnsi="Calibri" w:cs="Calibri"/>
          <w:bCs/>
          <w:i/>
        </w:rPr>
        <w:t>SV</w:t>
      </w:r>
      <w:r w:rsidRPr="008442CC">
        <w:rPr>
          <w:rFonts w:ascii="Calibri" w:eastAsia="Calibri" w:hAnsi="Calibri" w:cs="Calibri"/>
          <w:bCs/>
        </w:rPr>
        <w:t xml:space="preserve">), but also those of their Polish/EU relatives and friends who heard about the incidents, even if they did not experience </w:t>
      </w:r>
      <w:r w:rsidRPr="008442CC">
        <w:rPr>
          <w:rFonts w:ascii="Calibri" w:eastAsia="Calibri" w:hAnsi="Calibri" w:cs="Calibri"/>
          <w:bCs/>
          <w:i/>
        </w:rPr>
        <w:t>OV</w:t>
      </w:r>
      <w:r w:rsidRPr="008442CC">
        <w:rPr>
          <w:rFonts w:ascii="Calibri" w:eastAsia="Calibri" w:hAnsi="Calibri" w:cs="Calibri"/>
          <w:bCs/>
        </w:rPr>
        <w:t xml:space="preserve"> them</w:t>
      </w:r>
      <w:r w:rsidR="0054259E" w:rsidRPr="008442CC">
        <w:rPr>
          <w:rFonts w:ascii="Calibri" w:eastAsia="Calibri" w:hAnsi="Calibri" w:cs="Calibri"/>
          <w:bCs/>
        </w:rPr>
        <w:t>selves</w:t>
      </w:r>
      <w:r w:rsidR="00FE4198" w:rsidRPr="008442CC">
        <w:rPr>
          <w:rFonts w:ascii="Calibri" w:eastAsia="Calibri" w:hAnsi="Calibri" w:cs="Calibri"/>
          <w:bCs/>
        </w:rPr>
        <w:t>.</w:t>
      </w:r>
    </w:p>
    <w:p w14:paraId="70DA595C" w14:textId="77777777" w:rsidR="00E260B0" w:rsidRPr="008442CC" w:rsidRDefault="00E260B0" w:rsidP="001F1307">
      <w:pPr>
        <w:jc w:val="both"/>
        <w:rPr>
          <w:rFonts w:ascii="Calibri" w:eastAsia="Calibri" w:hAnsi="Calibri" w:cs="Arial"/>
        </w:rPr>
      </w:pPr>
    </w:p>
    <w:p w14:paraId="33D76D3F" w14:textId="77777777" w:rsidR="00645972" w:rsidRPr="008442CC" w:rsidRDefault="00645972" w:rsidP="007E0D23">
      <w:pPr>
        <w:numPr>
          <w:ilvl w:val="0"/>
          <w:numId w:val="12"/>
        </w:numPr>
        <w:ind w:left="426" w:hanging="426"/>
        <w:contextualSpacing/>
        <w:jc w:val="both"/>
        <w:rPr>
          <w:rFonts w:ascii="Calibri" w:eastAsia="Calibri" w:hAnsi="Calibri" w:cs="Arial"/>
          <w:b/>
        </w:rPr>
      </w:pPr>
      <w:r w:rsidRPr="008442CC">
        <w:rPr>
          <w:rFonts w:ascii="Calibri" w:eastAsia="Calibri" w:hAnsi="Calibri" w:cs="Arial"/>
          <w:b/>
          <w:i/>
        </w:rPr>
        <w:t>Heightened sense of being different</w:t>
      </w:r>
    </w:p>
    <w:p w14:paraId="6A86CEF8" w14:textId="77777777" w:rsidR="00645972" w:rsidRPr="008442CC" w:rsidRDefault="00645972" w:rsidP="001F1307">
      <w:pPr>
        <w:ind w:left="720"/>
        <w:contextualSpacing/>
        <w:rPr>
          <w:rFonts w:ascii="Calibri" w:eastAsia="Calibri" w:hAnsi="Calibri" w:cs="Arial"/>
        </w:rPr>
      </w:pPr>
    </w:p>
    <w:p w14:paraId="50BEEC11" w14:textId="297BA0EC" w:rsidR="00645972" w:rsidRPr="008442CC" w:rsidRDefault="00FE4198" w:rsidP="001F1307">
      <w:pPr>
        <w:spacing w:line="360" w:lineRule="auto"/>
        <w:jc w:val="both"/>
        <w:rPr>
          <w:rFonts w:ascii="Calibri" w:eastAsia="Calibri" w:hAnsi="Calibri" w:cs="Calibri"/>
          <w:bCs/>
        </w:rPr>
      </w:pPr>
      <w:r w:rsidRPr="008442CC">
        <w:rPr>
          <w:rFonts w:ascii="Calibri" w:eastAsia="Calibri" w:hAnsi="Calibri" w:cs="Calibri"/>
          <w:bCs/>
          <w:i/>
          <w:iCs/>
        </w:rPr>
        <w:t>Our data</w:t>
      </w:r>
      <w:r w:rsidRPr="008442CC">
        <w:rPr>
          <w:rFonts w:ascii="Calibri" w:eastAsia="Calibri" w:hAnsi="Calibri" w:cs="Calibri"/>
          <w:bCs/>
        </w:rPr>
        <w:t xml:space="preserve"> show that a</w:t>
      </w:r>
      <w:r w:rsidR="00645972" w:rsidRPr="008442CC">
        <w:rPr>
          <w:rFonts w:ascii="Calibri" w:eastAsia="Calibri" w:hAnsi="Calibri" w:cs="Calibri"/>
          <w:bCs/>
        </w:rPr>
        <w:t xml:space="preserve">nother trigger for SV is Poles’ </w:t>
      </w:r>
      <w:r w:rsidR="00645972" w:rsidRPr="008442CC">
        <w:rPr>
          <w:rFonts w:ascii="Calibri" w:eastAsia="Calibri" w:hAnsi="Calibri" w:cs="Calibri"/>
        </w:rPr>
        <w:t xml:space="preserve">heightened self-awareness of their </w:t>
      </w:r>
      <w:r w:rsidR="00645972" w:rsidRPr="008442CC">
        <w:rPr>
          <w:rFonts w:ascii="Calibri" w:eastAsia="Calibri" w:hAnsi="Calibri" w:cs="Calibri"/>
          <w:i/>
        </w:rPr>
        <w:t>difference</w:t>
      </w:r>
      <w:r w:rsidR="00645972" w:rsidRPr="008442CC">
        <w:rPr>
          <w:rFonts w:ascii="Calibri" w:eastAsia="Calibri" w:hAnsi="Calibri" w:cs="Calibri"/>
          <w:bCs/>
        </w:rPr>
        <w:t xml:space="preserve"> (</w:t>
      </w:r>
      <w:r w:rsidR="00645972" w:rsidRPr="008442CC">
        <w:rPr>
          <w:rFonts w:ascii="Calibri" w:eastAsia="Calibri" w:hAnsi="Calibri" w:cs="Calibri"/>
        </w:rPr>
        <w:t xml:space="preserve">i.e. their </w:t>
      </w:r>
      <w:r w:rsidR="00645972" w:rsidRPr="008442CC">
        <w:rPr>
          <w:rFonts w:ascii="Calibri" w:eastAsia="Calibri" w:hAnsi="Calibri" w:cs="Calibri"/>
          <w:i/>
        </w:rPr>
        <w:t>non-Britishness</w:t>
      </w:r>
      <w:r w:rsidR="00645972" w:rsidRPr="008442CC">
        <w:rPr>
          <w:rFonts w:ascii="Calibri" w:eastAsia="Calibri" w:hAnsi="Calibri" w:cs="Calibri"/>
          <w:bCs/>
        </w:rPr>
        <w:t xml:space="preserve">). As </w:t>
      </w:r>
      <w:r w:rsidR="00645972" w:rsidRPr="008442CC">
        <w:rPr>
          <w:rFonts w:ascii="Calibri" w:eastAsia="Calibri" w:hAnsi="Calibri" w:cs="Calibri"/>
          <w:bCs/>
          <w:i/>
          <w:iCs/>
        </w:rPr>
        <w:t>our participants</w:t>
      </w:r>
      <w:r w:rsidR="00645972" w:rsidRPr="008442CC">
        <w:rPr>
          <w:rFonts w:ascii="Calibri" w:eastAsia="Calibri" w:hAnsi="Calibri" w:cs="Calibri"/>
          <w:bCs/>
        </w:rPr>
        <w:t xml:space="preserve"> explained, they are more </w:t>
      </w:r>
      <w:r w:rsidR="00645972" w:rsidRPr="008442CC">
        <w:rPr>
          <w:rFonts w:ascii="Calibri" w:eastAsia="Calibri" w:hAnsi="Calibri" w:cs="Calibri"/>
          <w:bCs/>
        </w:rPr>
        <w:lastRenderedPageBreak/>
        <w:t xml:space="preserve">sensitive to comments about their origin, more aware that they are </w:t>
      </w:r>
      <w:r w:rsidR="00B95575" w:rsidRPr="008442CC">
        <w:rPr>
          <w:rFonts w:ascii="Calibri" w:eastAsia="Calibri" w:hAnsi="Calibri" w:cs="Calibri"/>
          <w:bCs/>
        </w:rPr>
        <w:t>“</w:t>
      </w:r>
      <w:r w:rsidR="00645972" w:rsidRPr="008442CC">
        <w:rPr>
          <w:rFonts w:ascii="Calibri" w:eastAsia="Calibri" w:hAnsi="Calibri" w:cs="Calibri"/>
          <w:bCs/>
        </w:rPr>
        <w:t>outsiders</w:t>
      </w:r>
      <w:r w:rsidR="00B95575" w:rsidRPr="008442CC">
        <w:rPr>
          <w:rFonts w:ascii="Calibri" w:eastAsia="Calibri" w:hAnsi="Calibri" w:cs="Calibri"/>
          <w:bCs/>
        </w:rPr>
        <w:t xml:space="preserve">” </w:t>
      </w:r>
      <w:r w:rsidR="00645972" w:rsidRPr="008442CC">
        <w:rPr>
          <w:rFonts w:ascii="Calibri" w:eastAsia="Calibri" w:hAnsi="Calibri" w:cs="Calibri"/>
          <w:bCs/>
        </w:rPr>
        <w:t>and that they may be judged differently or negatively for that reason:</w:t>
      </w:r>
    </w:p>
    <w:p w14:paraId="47731833" w14:textId="77777777" w:rsidR="00645972" w:rsidRPr="008442CC" w:rsidRDefault="00645972" w:rsidP="001F1307">
      <w:pPr>
        <w:spacing w:after="120"/>
        <w:ind w:left="567" w:right="561"/>
        <w:jc w:val="both"/>
        <w:rPr>
          <w:rFonts w:ascii="Calibri" w:eastAsia="Calibri" w:hAnsi="Calibri" w:cs="Calibri"/>
          <w:bCs/>
          <w:sz w:val="20"/>
          <w:szCs w:val="20"/>
        </w:rPr>
      </w:pPr>
      <w:r w:rsidRPr="008442CC">
        <w:rPr>
          <w:rFonts w:ascii="Calibri" w:eastAsia="Calibri" w:hAnsi="Calibri" w:cs="Calibri"/>
          <w:bCs/>
          <w:sz w:val="20"/>
          <w:szCs w:val="20"/>
        </w:rPr>
        <w:t>It makes you so visible to suddenly have this tag: “</w:t>
      </w:r>
      <w:r w:rsidRPr="008442CC">
        <w:rPr>
          <w:rFonts w:ascii="Calibri" w:eastAsia="Calibri" w:hAnsi="Calibri" w:cs="Calibri"/>
          <w:bCs/>
          <w:i/>
          <w:sz w:val="20"/>
          <w:szCs w:val="20"/>
        </w:rPr>
        <w:t>I’m a migrant</w:t>
      </w:r>
      <w:r w:rsidRPr="008442CC">
        <w:rPr>
          <w:rFonts w:ascii="Calibri" w:eastAsia="Calibri" w:hAnsi="Calibri" w:cs="Calibri"/>
          <w:bCs/>
          <w:sz w:val="20"/>
          <w:szCs w:val="20"/>
        </w:rPr>
        <w:t xml:space="preserve">”… </w:t>
      </w:r>
      <w:r w:rsidRPr="008442CC">
        <w:rPr>
          <w:rFonts w:ascii="Calibri" w:eastAsia="Calibri" w:hAnsi="Calibri" w:cs="Calibri"/>
          <w:bCs/>
          <w:i/>
          <w:sz w:val="20"/>
          <w:szCs w:val="20"/>
        </w:rPr>
        <w:t>I didn’t feel it before</w:t>
      </w:r>
      <w:r w:rsidRPr="008442CC">
        <w:rPr>
          <w:rFonts w:ascii="Calibri" w:eastAsia="Calibri" w:hAnsi="Calibri" w:cs="Calibri"/>
          <w:bCs/>
          <w:sz w:val="20"/>
          <w:szCs w:val="20"/>
        </w:rPr>
        <w:t xml:space="preserve"> Brexit.</w:t>
      </w:r>
      <w:r w:rsidRPr="008442CC">
        <w:rPr>
          <w:rFonts w:ascii="Calibri" w:eastAsia="Calibri" w:hAnsi="Calibri" w:cs="Calibri"/>
          <w:bCs/>
          <w:sz w:val="20"/>
          <w:szCs w:val="20"/>
          <w:vertAlign w:val="superscript"/>
        </w:rPr>
        <w:endnoteReference w:id="47"/>
      </w:r>
    </w:p>
    <w:p w14:paraId="25743612" w14:textId="4C4A5D75" w:rsidR="00645972" w:rsidRPr="008442CC" w:rsidRDefault="00645972" w:rsidP="001F1307">
      <w:pPr>
        <w:spacing w:after="120"/>
        <w:ind w:left="567" w:right="561"/>
        <w:jc w:val="both"/>
        <w:rPr>
          <w:rFonts w:ascii="Calibri" w:eastAsia="Calibri" w:hAnsi="Calibri" w:cs="Calibri"/>
          <w:bCs/>
          <w:sz w:val="20"/>
          <w:szCs w:val="20"/>
        </w:rPr>
      </w:pPr>
      <w:r w:rsidRPr="008442CC">
        <w:rPr>
          <w:rFonts w:ascii="Calibri" w:eastAsia="Calibri" w:hAnsi="Calibri" w:cs="Calibri"/>
          <w:bCs/>
          <w:sz w:val="20"/>
          <w:szCs w:val="20"/>
        </w:rPr>
        <w:t xml:space="preserve">After Brexit </w:t>
      </w:r>
      <w:r w:rsidRPr="008442CC">
        <w:rPr>
          <w:rFonts w:ascii="Calibri" w:eastAsia="Calibri" w:hAnsi="Calibri" w:cs="Calibri"/>
          <w:bCs/>
          <w:i/>
          <w:sz w:val="20"/>
          <w:szCs w:val="20"/>
        </w:rPr>
        <w:t>[Poles] have become aware</w:t>
      </w:r>
      <w:r w:rsidRPr="008442CC">
        <w:rPr>
          <w:rFonts w:ascii="Calibri" w:eastAsia="Calibri" w:hAnsi="Calibri" w:cs="Calibri"/>
          <w:bCs/>
          <w:sz w:val="20"/>
          <w:szCs w:val="20"/>
        </w:rPr>
        <w:t xml:space="preserve"> that people are watching them ... [Poles] are aware they are not English, they are not Irish, </w:t>
      </w:r>
      <w:r w:rsidRPr="008442CC">
        <w:rPr>
          <w:rFonts w:ascii="Calibri" w:eastAsia="Calibri" w:hAnsi="Calibri" w:cs="Calibri"/>
          <w:bCs/>
          <w:i/>
          <w:sz w:val="20"/>
          <w:szCs w:val="20"/>
        </w:rPr>
        <w:t>they are Polish</w:t>
      </w:r>
      <w:r w:rsidRPr="008442CC">
        <w:rPr>
          <w:rFonts w:ascii="Calibri" w:eastAsia="Calibri" w:hAnsi="Calibri" w:cs="Calibri"/>
          <w:bCs/>
          <w:sz w:val="20"/>
          <w:szCs w:val="20"/>
        </w:rPr>
        <w:t>.</w:t>
      </w:r>
      <w:r w:rsidRPr="008442CC">
        <w:rPr>
          <w:rFonts w:ascii="Calibri" w:eastAsia="Calibri" w:hAnsi="Calibri" w:cs="Calibri"/>
          <w:bCs/>
          <w:sz w:val="20"/>
          <w:szCs w:val="20"/>
          <w:vertAlign w:val="superscript"/>
        </w:rPr>
        <w:endnoteReference w:id="48"/>
      </w:r>
    </w:p>
    <w:p w14:paraId="764B0656" w14:textId="42DB4215" w:rsidR="00645972" w:rsidRPr="008442CC" w:rsidRDefault="00645972" w:rsidP="001F1307">
      <w:pPr>
        <w:ind w:left="567" w:right="560"/>
        <w:jc w:val="both"/>
        <w:rPr>
          <w:rFonts w:ascii="Calibri" w:eastAsia="Calibri" w:hAnsi="Calibri" w:cs="Calibri"/>
          <w:bCs/>
          <w:sz w:val="20"/>
          <w:szCs w:val="20"/>
        </w:rPr>
      </w:pPr>
      <w:r w:rsidRPr="008442CC">
        <w:rPr>
          <w:rFonts w:ascii="Calibri" w:eastAsia="Calibri" w:hAnsi="Calibri" w:cs="Calibri"/>
          <w:bCs/>
          <w:sz w:val="20"/>
          <w:szCs w:val="20"/>
        </w:rPr>
        <w:t xml:space="preserve">In 2014-15, I paid less attention to what British people thought and said about us. Currently, </w:t>
      </w:r>
      <w:r w:rsidR="00B95575" w:rsidRPr="008442CC">
        <w:rPr>
          <w:rFonts w:ascii="Calibri" w:eastAsia="Calibri" w:hAnsi="Calibri" w:cs="Calibri"/>
          <w:bCs/>
          <w:sz w:val="20"/>
          <w:szCs w:val="20"/>
        </w:rPr>
        <w:t>[…]</w:t>
      </w:r>
      <w:r w:rsidRPr="008442CC">
        <w:rPr>
          <w:rFonts w:ascii="Calibri" w:eastAsia="Calibri" w:hAnsi="Calibri" w:cs="Calibri"/>
          <w:bCs/>
          <w:sz w:val="20"/>
          <w:szCs w:val="20"/>
        </w:rPr>
        <w:t xml:space="preserve"> I hear more often the comments that after the UK leaves the EU, there will be less problems with immigrants. The current atmosphere is much worse than it was before. [</w:t>
      </w:r>
      <w:r w:rsidRPr="008442CC">
        <w:rPr>
          <w:rFonts w:ascii="Calibri" w:eastAsia="Calibri" w:hAnsi="Calibri" w:cs="Calibri"/>
        </w:rPr>
        <w:t>#</w:t>
      </w:r>
      <w:r w:rsidRPr="008442CC">
        <w:rPr>
          <w:rFonts w:ascii="Calibri" w:eastAsia="Calibri" w:hAnsi="Calibri" w:cs="Calibri"/>
          <w:bCs/>
          <w:sz w:val="20"/>
          <w:szCs w:val="20"/>
        </w:rPr>
        <w:t>2857984]</w:t>
      </w:r>
    </w:p>
    <w:p w14:paraId="373EFB1E" w14:textId="77777777" w:rsidR="00645972" w:rsidRPr="008442CC" w:rsidRDefault="00645972" w:rsidP="001F1307">
      <w:pPr>
        <w:ind w:left="567" w:right="560"/>
        <w:jc w:val="both"/>
        <w:rPr>
          <w:rFonts w:ascii="Calibri" w:eastAsia="Calibri" w:hAnsi="Calibri" w:cs="Calibri"/>
          <w:bCs/>
          <w:sz w:val="20"/>
          <w:szCs w:val="20"/>
        </w:rPr>
      </w:pPr>
    </w:p>
    <w:p w14:paraId="06347AB4" w14:textId="504D3E5C" w:rsidR="00645972" w:rsidRPr="008442CC" w:rsidRDefault="00645972" w:rsidP="001F1307">
      <w:pPr>
        <w:spacing w:line="360" w:lineRule="auto"/>
        <w:jc w:val="both"/>
        <w:rPr>
          <w:rFonts w:ascii="Calibri" w:eastAsia="Calibri" w:hAnsi="Calibri" w:cs="Calibri"/>
          <w:bCs/>
        </w:rPr>
      </w:pPr>
      <w:r w:rsidRPr="008442CC">
        <w:rPr>
          <w:rFonts w:ascii="Calibri" w:eastAsia="Calibri" w:hAnsi="Calibri" w:cs="Calibri"/>
          <w:bCs/>
        </w:rPr>
        <w:t xml:space="preserve">Among the </w:t>
      </w:r>
      <w:r w:rsidR="00B95575" w:rsidRPr="008442CC">
        <w:rPr>
          <w:rFonts w:ascii="Calibri" w:eastAsia="Calibri" w:hAnsi="Calibri" w:cs="Calibri"/>
          <w:bCs/>
        </w:rPr>
        <w:t>“</w:t>
      </w:r>
      <w:r w:rsidRPr="008442CC">
        <w:rPr>
          <w:rFonts w:ascii="Calibri" w:eastAsia="Calibri" w:hAnsi="Calibri" w:cs="Calibri"/>
          <w:bCs/>
        </w:rPr>
        <w:t>difference markers</w:t>
      </w:r>
      <w:r w:rsidR="00B95575" w:rsidRPr="008442CC">
        <w:rPr>
          <w:rFonts w:ascii="Calibri" w:eastAsia="Calibri" w:hAnsi="Calibri" w:cs="Calibri"/>
          <w:bCs/>
        </w:rPr>
        <w:t>”</w:t>
      </w:r>
      <w:r w:rsidRPr="008442CC">
        <w:rPr>
          <w:rFonts w:ascii="Calibri" w:eastAsia="Calibri" w:hAnsi="Calibri" w:cs="Calibri"/>
          <w:bCs/>
        </w:rPr>
        <w:t xml:space="preserve"> mentioned in section 3, Poles feel particularly self-conscious that certain </w:t>
      </w:r>
      <w:r w:rsidR="00B95575" w:rsidRPr="008442CC">
        <w:rPr>
          <w:rFonts w:ascii="Calibri" w:eastAsia="Calibri" w:hAnsi="Calibri" w:cs="Calibri"/>
          <w:bCs/>
        </w:rPr>
        <w:t>“</w:t>
      </w:r>
      <w:r w:rsidRPr="008442CC">
        <w:rPr>
          <w:rFonts w:ascii="Calibri" w:eastAsia="Calibri" w:hAnsi="Calibri" w:cs="Calibri"/>
          <w:bCs/>
        </w:rPr>
        <w:t>signs</w:t>
      </w:r>
      <w:r w:rsidR="00B95575" w:rsidRPr="008442CC">
        <w:rPr>
          <w:rFonts w:ascii="Calibri" w:eastAsia="Calibri" w:hAnsi="Calibri" w:cs="Calibri"/>
          <w:bCs/>
        </w:rPr>
        <w:t>”</w:t>
      </w:r>
      <w:r w:rsidRPr="008442CC">
        <w:rPr>
          <w:rFonts w:ascii="Calibri" w:eastAsia="Calibri" w:hAnsi="Calibri" w:cs="Calibri"/>
          <w:bCs/>
        </w:rPr>
        <w:t xml:space="preserve"> can generate the </w:t>
      </w:r>
      <w:r w:rsidR="00B95575" w:rsidRPr="008442CC">
        <w:rPr>
          <w:rFonts w:ascii="Calibri" w:eastAsia="Calibri" w:hAnsi="Calibri" w:cs="Calibri"/>
          <w:bCs/>
        </w:rPr>
        <w:t>“</w:t>
      </w:r>
      <w:r w:rsidRPr="008442CC">
        <w:rPr>
          <w:rFonts w:ascii="Calibri" w:eastAsia="Calibri" w:hAnsi="Calibri" w:cs="Calibri"/>
          <w:bCs/>
          <w:i/>
          <w:iCs/>
        </w:rPr>
        <w:t>migrant tag</w:t>
      </w:r>
      <w:r w:rsidR="00B95575" w:rsidRPr="008442CC">
        <w:rPr>
          <w:rFonts w:ascii="Calibri" w:eastAsia="Calibri" w:hAnsi="Calibri" w:cs="Calibri"/>
          <w:bCs/>
          <w:i/>
          <w:iCs/>
        </w:rPr>
        <w:t>”</w:t>
      </w:r>
      <w:r w:rsidRPr="008442CC">
        <w:rPr>
          <w:rFonts w:ascii="Calibri" w:eastAsia="Calibri" w:hAnsi="Calibri" w:cs="Calibri"/>
          <w:bCs/>
        </w:rPr>
        <w:t xml:space="preserve">, such as buying Polish products (see below) and the language (i.e. speaking Polish, the accent or </w:t>
      </w:r>
      <w:r w:rsidR="00E21643" w:rsidRPr="008442CC">
        <w:rPr>
          <w:rFonts w:ascii="Calibri" w:eastAsia="Calibri" w:hAnsi="Calibri" w:cs="Calibri"/>
          <w:bCs/>
        </w:rPr>
        <w:t>“</w:t>
      </w:r>
      <w:r w:rsidRPr="008442CC">
        <w:rPr>
          <w:rFonts w:ascii="Calibri" w:eastAsia="Calibri" w:hAnsi="Calibri" w:cs="Calibri"/>
          <w:bCs/>
        </w:rPr>
        <w:t>having a poor English</w:t>
      </w:r>
      <w:r w:rsidR="00E21643" w:rsidRPr="008442CC">
        <w:rPr>
          <w:rFonts w:ascii="Calibri" w:eastAsia="Calibri" w:hAnsi="Calibri" w:cs="Calibri"/>
          <w:bCs/>
        </w:rPr>
        <w:t>”</w:t>
      </w:r>
      <w:r w:rsidRPr="008442CC">
        <w:rPr>
          <w:rFonts w:ascii="Calibri" w:eastAsia="Calibri" w:hAnsi="Calibri" w:cs="Calibri"/>
          <w:bCs/>
        </w:rPr>
        <w:t>):</w:t>
      </w:r>
    </w:p>
    <w:p w14:paraId="265405D6" w14:textId="06D94585" w:rsidR="00645972" w:rsidRPr="008442CC" w:rsidRDefault="00645972" w:rsidP="001F1307">
      <w:pPr>
        <w:ind w:left="567" w:right="560"/>
        <w:jc w:val="both"/>
        <w:rPr>
          <w:rFonts w:ascii="Calibri" w:eastAsia="Calibri" w:hAnsi="Calibri" w:cs="Calibri"/>
          <w:bCs/>
          <w:sz w:val="20"/>
          <w:szCs w:val="20"/>
        </w:rPr>
      </w:pPr>
      <w:r w:rsidRPr="008442CC">
        <w:rPr>
          <w:rFonts w:ascii="Calibri" w:eastAsia="Calibri" w:hAnsi="Calibri" w:cs="Calibri"/>
          <w:bCs/>
          <w:sz w:val="20"/>
          <w:szCs w:val="20"/>
        </w:rPr>
        <w:t>People [are] picking on my accent</w:t>
      </w:r>
      <w:r w:rsidR="00BB3955" w:rsidRPr="008442CC">
        <w:rPr>
          <w:rFonts w:ascii="Calibri" w:eastAsia="Calibri" w:hAnsi="Calibri" w:cs="Calibri"/>
          <w:bCs/>
          <w:sz w:val="20"/>
          <w:szCs w:val="20"/>
        </w:rPr>
        <w:t xml:space="preserve"> </w:t>
      </w:r>
      <w:r w:rsidRPr="008442CC">
        <w:rPr>
          <w:rFonts w:ascii="Calibri" w:eastAsia="Calibri" w:hAnsi="Calibri" w:cs="Calibri"/>
          <w:bCs/>
          <w:sz w:val="20"/>
          <w:szCs w:val="20"/>
        </w:rPr>
        <w:t xml:space="preserve">… when I talk to my neighbours I’m </w:t>
      </w:r>
      <w:r w:rsidRPr="008442CC">
        <w:rPr>
          <w:rFonts w:ascii="Calibri" w:eastAsia="Calibri" w:hAnsi="Calibri" w:cs="Calibri"/>
          <w:bCs/>
          <w:i/>
          <w:sz w:val="20"/>
          <w:szCs w:val="20"/>
        </w:rPr>
        <w:t>self-conscious</w:t>
      </w:r>
      <w:r w:rsidRPr="008442CC">
        <w:rPr>
          <w:rFonts w:ascii="Calibri" w:eastAsia="Calibri" w:hAnsi="Calibri" w:cs="Calibri"/>
          <w:bCs/>
          <w:sz w:val="20"/>
          <w:szCs w:val="20"/>
        </w:rPr>
        <w:t xml:space="preserve"> about it.</w:t>
      </w:r>
      <w:r w:rsidRPr="008442CC">
        <w:rPr>
          <w:rFonts w:ascii="Calibri" w:eastAsia="Calibri" w:hAnsi="Calibri" w:cs="Calibri"/>
          <w:bCs/>
          <w:sz w:val="20"/>
          <w:szCs w:val="20"/>
          <w:vertAlign w:val="superscript"/>
        </w:rPr>
        <w:endnoteReference w:id="49"/>
      </w:r>
    </w:p>
    <w:p w14:paraId="0070B04C" w14:textId="77777777" w:rsidR="00645972" w:rsidRPr="008442CC" w:rsidRDefault="00645972" w:rsidP="001F1307">
      <w:pPr>
        <w:ind w:left="567" w:right="560"/>
        <w:jc w:val="both"/>
        <w:rPr>
          <w:rFonts w:ascii="Calibri" w:eastAsia="Calibri" w:hAnsi="Calibri" w:cs="Calibri"/>
          <w:bCs/>
          <w:sz w:val="20"/>
          <w:szCs w:val="20"/>
        </w:rPr>
      </w:pPr>
    </w:p>
    <w:p w14:paraId="7E280702" w14:textId="64FE7748" w:rsidR="00645972" w:rsidRPr="008442CC" w:rsidRDefault="00645972" w:rsidP="001F1307">
      <w:pPr>
        <w:ind w:left="567" w:right="560"/>
        <w:jc w:val="both"/>
        <w:rPr>
          <w:rFonts w:ascii="Calibri" w:eastAsia="Calibri" w:hAnsi="Calibri" w:cs="Calibri"/>
          <w:bCs/>
          <w:sz w:val="20"/>
          <w:szCs w:val="20"/>
        </w:rPr>
      </w:pPr>
      <w:r w:rsidRPr="008442CC">
        <w:rPr>
          <w:rFonts w:ascii="Calibri" w:eastAsia="Calibri" w:hAnsi="Calibri" w:cs="Calibri"/>
          <w:bCs/>
          <w:sz w:val="20"/>
          <w:szCs w:val="20"/>
        </w:rPr>
        <w:t xml:space="preserve">I think that I would be better treated if I spoke with a British accent and I am seriously considering taking lessons to learn it. </w:t>
      </w:r>
      <w:r w:rsidR="00B95575" w:rsidRPr="008442CC">
        <w:rPr>
          <w:rFonts w:ascii="Calibri" w:eastAsia="Calibri" w:hAnsi="Calibri" w:cs="Calibri"/>
          <w:bCs/>
          <w:sz w:val="20"/>
          <w:szCs w:val="20"/>
        </w:rPr>
        <w:t>[</w:t>
      </w:r>
      <w:r w:rsidRPr="008442CC">
        <w:rPr>
          <w:rFonts w:ascii="Calibri" w:eastAsia="Calibri" w:hAnsi="Calibri" w:cs="Calibri"/>
          <w:bCs/>
          <w:sz w:val="20"/>
          <w:szCs w:val="20"/>
        </w:rPr>
        <w:t>#2856645]</w:t>
      </w:r>
    </w:p>
    <w:p w14:paraId="60A1C8CB" w14:textId="77777777" w:rsidR="00645972" w:rsidRPr="008442CC" w:rsidRDefault="00645972" w:rsidP="001F1307">
      <w:pPr>
        <w:ind w:left="567" w:right="560"/>
        <w:jc w:val="both"/>
        <w:rPr>
          <w:rFonts w:ascii="Calibri" w:eastAsia="Calibri" w:hAnsi="Calibri" w:cs="Calibri"/>
          <w:bCs/>
          <w:sz w:val="20"/>
          <w:szCs w:val="20"/>
        </w:rPr>
      </w:pPr>
    </w:p>
    <w:p w14:paraId="39A0FCDF" w14:textId="39B13654" w:rsidR="00645972" w:rsidRPr="008442CC" w:rsidRDefault="00645972" w:rsidP="001F1307">
      <w:pPr>
        <w:spacing w:line="360" w:lineRule="auto"/>
        <w:jc w:val="both"/>
        <w:rPr>
          <w:rFonts w:ascii="Calibri" w:eastAsia="Calibri" w:hAnsi="Calibri" w:cs="Calibri"/>
          <w:bCs/>
        </w:rPr>
      </w:pPr>
      <w:r w:rsidRPr="008442CC">
        <w:rPr>
          <w:rFonts w:ascii="Calibri" w:eastAsia="Calibri" w:hAnsi="Calibri" w:cs="Calibri"/>
          <w:bCs/>
        </w:rPr>
        <w:t>This self-awareness about being a migrant is exacerbated by Britons’ frequent questions about Poles’ country of origin, often in a random fashion, which constantly reminds the latter that they do not belong here:</w:t>
      </w:r>
    </w:p>
    <w:p w14:paraId="7011CAC7" w14:textId="1132E837" w:rsidR="00645972" w:rsidRPr="008442CC" w:rsidRDefault="00645972" w:rsidP="001F1307">
      <w:pPr>
        <w:ind w:left="567" w:right="560"/>
        <w:jc w:val="both"/>
        <w:rPr>
          <w:rFonts w:ascii="Calibri" w:eastAsia="Calibri" w:hAnsi="Calibri" w:cs="Calibri"/>
          <w:bCs/>
          <w:sz w:val="20"/>
          <w:szCs w:val="20"/>
        </w:rPr>
      </w:pPr>
      <w:r w:rsidRPr="008442CC">
        <w:rPr>
          <w:rFonts w:ascii="Calibri" w:eastAsia="Calibri" w:hAnsi="Calibri" w:cs="Calibri"/>
          <w:bCs/>
          <w:sz w:val="20"/>
          <w:szCs w:val="20"/>
        </w:rPr>
        <w:t xml:space="preserve">Putting obvious discrimination aside, there is a large amount of behaviours that are considered acceptable but make people feel interrogated, e.g. asking </w:t>
      </w:r>
      <w:r w:rsidRPr="008442CC">
        <w:rPr>
          <w:rFonts w:ascii="Calibri" w:eastAsia="Calibri" w:hAnsi="Calibri" w:cs="Calibri"/>
          <w:bCs/>
          <w:i/>
          <w:sz w:val="20"/>
          <w:szCs w:val="20"/>
        </w:rPr>
        <w:t>where you’re from</w:t>
      </w:r>
      <w:r w:rsidRPr="008442CC">
        <w:rPr>
          <w:rFonts w:ascii="Calibri" w:eastAsia="Calibri" w:hAnsi="Calibri" w:cs="Calibri"/>
          <w:bCs/>
          <w:sz w:val="20"/>
          <w:szCs w:val="20"/>
        </w:rPr>
        <w:t xml:space="preserve"> when it doesn’t have anything to do with the situation, asking if you are happy to be in the UK out of the blue. [</w:t>
      </w:r>
      <w:r w:rsidRPr="008442CC">
        <w:rPr>
          <w:rFonts w:ascii="Calibri" w:eastAsia="Calibri" w:hAnsi="Calibri" w:cs="Calibri"/>
        </w:rPr>
        <w:t>#</w:t>
      </w:r>
      <w:r w:rsidRPr="008442CC">
        <w:rPr>
          <w:rFonts w:ascii="Calibri" w:eastAsia="Calibri" w:hAnsi="Calibri" w:cs="Calibri"/>
          <w:bCs/>
          <w:sz w:val="20"/>
          <w:szCs w:val="20"/>
        </w:rPr>
        <w:t>2878410]</w:t>
      </w:r>
      <w:r w:rsidRPr="008442CC">
        <w:rPr>
          <w:rFonts w:ascii="Calibri" w:eastAsia="Calibri" w:hAnsi="Calibri" w:cs="Calibri"/>
          <w:bCs/>
          <w:sz w:val="20"/>
          <w:szCs w:val="20"/>
          <w:vertAlign w:val="superscript"/>
        </w:rPr>
        <w:endnoteReference w:id="50"/>
      </w:r>
    </w:p>
    <w:p w14:paraId="759D3757" w14:textId="77777777" w:rsidR="00645972" w:rsidRPr="008442CC" w:rsidRDefault="00645972" w:rsidP="001F1307">
      <w:pPr>
        <w:ind w:left="567" w:right="560"/>
        <w:jc w:val="both"/>
        <w:rPr>
          <w:rFonts w:ascii="Calibri" w:eastAsia="Calibri" w:hAnsi="Calibri" w:cs="Calibri"/>
          <w:bCs/>
          <w:sz w:val="20"/>
          <w:szCs w:val="20"/>
        </w:rPr>
      </w:pPr>
    </w:p>
    <w:p w14:paraId="2B60F8F8" w14:textId="6F623DE6" w:rsidR="00645972" w:rsidRPr="008442CC" w:rsidRDefault="00FE4198" w:rsidP="001F1307">
      <w:pPr>
        <w:spacing w:line="360" w:lineRule="auto"/>
        <w:jc w:val="both"/>
        <w:rPr>
          <w:rFonts w:ascii="Calibri" w:eastAsia="Calibri" w:hAnsi="Calibri" w:cs="Calibri"/>
          <w:bCs/>
        </w:rPr>
      </w:pPr>
      <w:r w:rsidRPr="008442CC">
        <w:rPr>
          <w:rFonts w:ascii="Calibri" w:eastAsia="Calibri" w:hAnsi="Calibri" w:cs="Calibri"/>
          <w:bCs/>
        </w:rPr>
        <w:t>The literature indicates that a</w:t>
      </w:r>
      <w:r w:rsidR="00645972" w:rsidRPr="008442CC">
        <w:rPr>
          <w:rFonts w:ascii="Calibri" w:eastAsia="Calibri" w:hAnsi="Calibri" w:cs="Calibri"/>
          <w:bCs/>
        </w:rPr>
        <w:t xml:space="preserve">lready before the </w:t>
      </w:r>
      <w:r w:rsidR="004E0676" w:rsidRPr="008442CC">
        <w:rPr>
          <w:rFonts w:ascii="Calibri" w:eastAsia="Calibri" w:hAnsi="Calibri" w:cs="Calibri"/>
          <w:bCs/>
        </w:rPr>
        <w:t>ER</w:t>
      </w:r>
      <w:r w:rsidR="00645972" w:rsidRPr="008442CC">
        <w:rPr>
          <w:rFonts w:ascii="Calibri" w:eastAsia="Calibri" w:hAnsi="Calibri" w:cs="Calibri"/>
          <w:bCs/>
        </w:rPr>
        <w:t xml:space="preserve">, Poles adopted </w:t>
      </w:r>
      <w:r w:rsidR="00B95575" w:rsidRPr="008442CC">
        <w:rPr>
          <w:rFonts w:ascii="Calibri" w:eastAsia="Calibri" w:hAnsi="Calibri" w:cs="Calibri"/>
          <w:bCs/>
        </w:rPr>
        <w:t>“</w:t>
      </w:r>
      <w:r w:rsidR="00645972" w:rsidRPr="008442CC">
        <w:rPr>
          <w:rFonts w:ascii="Calibri" w:eastAsia="Calibri" w:hAnsi="Calibri" w:cs="Calibri"/>
          <w:bCs/>
        </w:rPr>
        <w:t>avoidance strategies</w:t>
      </w:r>
      <w:r w:rsidR="00B95575" w:rsidRPr="008442CC">
        <w:rPr>
          <w:rFonts w:ascii="Calibri" w:eastAsia="Calibri" w:hAnsi="Calibri" w:cs="Calibri"/>
          <w:bCs/>
        </w:rPr>
        <w:t>”</w:t>
      </w:r>
      <w:r w:rsidR="00645972" w:rsidRPr="008442CC">
        <w:rPr>
          <w:rFonts w:ascii="Calibri" w:eastAsia="Calibri" w:hAnsi="Calibri" w:cs="Calibri"/>
          <w:bCs/>
        </w:rPr>
        <w:t xml:space="preserve"> to protect themselves from hate incidents and/or discrimination.</w:t>
      </w:r>
      <w:r w:rsidR="00645972" w:rsidRPr="008442CC">
        <w:rPr>
          <w:rStyle w:val="EndnoteReference"/>
          <w:rFonts w:ascii="Calibri" w:eastAsia="Calibri" w:hAnsi="Calibri" w:cs="Calibri"/>
          <w:bCs/>
        </w:rPr>
        <w:endnoteReference w:id="51"/>
      </w:r>
      <w:r w:rsidR="00645972" w:rsidRPr="008442CC">
        <w:rPr>
          <w:rFonts w:ascii="Calibri" w:eastAsia="Calibri" w:hAnsi="Calibri" w:cs="Calibri"/>
          <w:bCs/>
        </w:rPr>
        <w:t xml:space="preserve"> However, </w:t>
      </w:r>
      <w:r w:rsidRPr="008442CC">
        <w:rPr>
          <w:rFonts w:ascii="Calibri" w:eastAsia="Calibri" w:hAnsi="Calibri" w:cs="Calibri"/>
          <w:bCs/>
        </w:rPr>
        <w:t xml:space="preserve">according to </w:t>
      </w:r>
      <w:r w:rsidRPr="008442CC">
        <w:rPr>
          <w:rFonts w:ascii="Calibri" w:eastAsia="Calibri" w:hAnsi="Calibri" w:cs="Calibri"/>
          <w:bCs/>
          <w:i/>
          <w:iCs/>
        </w:rPr>
        <w:t>our results</w:t>
      </w:r>
      <w:r w:rsidRPr="008442CC">
        <w:rPr>
          <w:rFonts w:ascii="Calibri" w:eastAsia="Calibri" w:hAnsi="Calibri" w:cs="Calibri"/>
          <w:bCs/>
        </w:rPr>
        <w:t xml:space="preserve">, </w:t>
      </w:r>
      <w:r w:rsidR="00645972" w:rsidRPr="008442CC">
        <w:rPr>
          <w:rFonts w:ascii="Calibri" w:eastAsia="Calibri" w:hAnsi="Calibri" w:cs="Calibri"/>
          <w:bCs/>
        </w:rPr>
        <w:t xml:space="preserve">the post-Referendum feeling that </w:t>
      </w:r>
      <w:r w:rsidR="00B95575" w:rsidRPr="008442CC">
        <w:rPr>
          <w:rFonts w:ascii="Calibri" w:eastAsia="Calibri" w:hAnsi="Calibri" w:cs="Calibri"/>
          <w:bCs/>
        </w:rPr>
        <w:t>“</w:t>
      </w:r>
      <w:r w:rsidR="00645972" w:rsidRPr="008442CC">
        <w:rPr>
          <w:rFonts w:ascii="Calibri" w:eastAsia="Calibri" w:hAnsi="Calibri" w:cs="Calibri"/>
          <w:bCs/>
        </w:rPr>
        <w:t>the threat is in the air</w:t>
      </w:r>
      <w:r w:rsidR="00B95575" w:rsidRPr="008442CC">
        <w:rPr>
          <w:rFonts w:ascii="Calibri" w:eastAsia="Calibri" w:hAnsi="Calibri" w:cs="Calibri"/>
          <w:bCs/>
        </w:rPr>
        <w:t>”</w:t>
      </w:r>
      <w:r w:rsidR="00645972" w:rsidRPr="008442CC">
        <w:rPr>
          <w:rFonts w:ascii="Calibri" w:eastAsia="Calibri" w:hAnsi="Calibri" w:cs="Calibri"/>
          <w:bCs/>
        </w:rPr>
        <w:t xml:space="preserve"> has reinforced this type of strategies as a defensive reaction to the new environment and to the higher self-consciousness of the </w:t>
      </w:r>
      <w:r w:rsidR="00B95575" w:rsidRPr="008442CC">
        <w:rPr>
          <w:rFonts w:ascii="Calibri" w:eastAsia="Calibri" w:hAnsi="Calibri" w:cs="Calibri"/>
          <w:bCs/>
        </w:rPr>
        <w:t>“</w:t>
      </w:r>
      <w:r w:rsidR="00645972" w:rsidRPr="008442CC">
        <w:rPr>
          <w:rFonts w:ascii="Calibri" w:eastAsia="Calibri" w:hAnsi="Calibri" w:cs="Calibri"/>
          <w:bCs/>
        </w:rPr>
        <w:t>migrant tag</w:t>
      </w:r>
      <w:r w:rsidR="00B95575" w:rsidRPr="008442CC">
        <w:rPr>
          <w:rFonts w:ascii="Calibri" w:eastAsia="Calibri" w:hAnsi="Calibri" w:cs="Calibri"/>
          <w:bCs/>
        </w:rPr>
        <w:t>”</w:t>
      </w:r>
      <w:r w:rsidR="00645972" w:rsidRPr="008442CC">
        <w:rPr>
          <w:rFonts w:ascii="Calibri" w:eastAsia="Calibri" w:hAnsi="Calibri" w:cs="Calibri"/>
          <w:bCs/>
        </w:rPr>
        <w:t xml:space="preserve">. Importantly, the phenomenon of avoiding Polish shops or not engaging with the Polish community for fear of having one’s own identity disclosed has affected </w:t>
      </w:r>
      <w:r w:rsidR="00645972" w:rsidRPr="008442CC">
        <w:rPr>
          <w:rFonts w:ascii="Calibri" w:eastAsia="Calibri" w:hAnsi="Calibri" w:cs="Calibri"/>
          <w:bCs/>
          <w:i/>
        </w:rPr>
        <w:t>both</w:t>
      </w:r>
      <w:r w:rsidR="00645972" w:rsidRPr="008442CC">
        <w:rPr>
          <w:rFonts w:ascii="Calibri" w:eastAsia="Calibri" w:hAnsi="Calibri" w:cs="Calibri"/>
          <w:bCs/>
        </w:rPr>
        <w:t xml:space="preserve"> Poles who </w:t>
      </w:r>
      <w:r w:rsidR="00B95575" w:rsidRPr="008442CC">
        <w:rPr>
          <w:rFonts w:ascii="Calibri" w:eastAsia="Calibri" w:hAnsi="Calibri" w:cs="Calibri"/>
          <w:bCs/>
        </w:rPr>
        <w:t xml:space="preserve">have </w:t>
      </w:r>
      <w:r w:rsidR="00645972" w:rsidRPr="008442CC">
        <w:rPr>
          <w:rFonts w:ascii="Calibri" w:eastAsia="Calibri" w:hAnsi="Calibri" w:cs="Calibri"/>
          <w:bCs/>
        </w:rPr>
        <w:t xml:space="preserve">experienced </w:t>
      </w:r>
      <w:r w:rsidR="00645972" w:rsidRPr="008442CC">
        <w:rPr>
          <w:rFonts w:ascii="Calibri" w:eastAsia="Calibri" w:hAnsi="Calibri" w:cs="Calibri"/>
          <w:bCs/>
          <w:i/>
        </w:rPr>
        <w:t>OV</w:t>
      </w:r>
      <w:r w:rsidR="0054259E" w:rsidRPr="008442CC">
        <w:rPr>
          <w:rFonts w:ascii="Calibri" w:eastAsia="Calibri" w:hAnsi="Calibri" w:cs="Calibri"/>
          <w:bCs/>
        </w:rPr>
        <w:t xml:space="preserve"> (e.g. </w:t>
      </w:r>
      <w:r w:rsidR="00645972" w:rsidRPr="008442CC">
        <w:rPr>
          <w:rFonts w:ascii="Calibri" w:eastAsia="Calibri" w:hAnsi="Calibri" w:cs="Calibri"/>
          <w:bCs/>
        </w:rPr>
        <w:t xml:space="preserve">#2931585) </w:t>
      </w:r>
      <w:r w:rsidR="00645972" w:rsidRPr="008442CC">
        <w:rPr>
          <w:rFonts w:ascii="Calibri" w:eastAsia="Calibri" w:hAnsi="Calibri" w:cs="Calibri"/>
          <w:bCs/>
          <w:i/>
        </w:rPr>
        <w:t xml:space="preserve">and </w:t>
      </w:r>
      <w:r w:rsidR="00645972" w:rsidRPr="008442CC">
        <w:rPr>
          <w:rFonts w:ascii="Calibri" w:eastAsia="Calibri" w:hAnsi="Calibri" w:cs="Calibri"/>
          <w:bCs/>
        </w:rPr>
        <w:t>those who feel more integrated and/or have never suffered any discrimination or hate incident (e.g. #2878410):</w:t>
      </w:r>
    </w:p>
    <w:p w14:paraId="423C1F61" w14:textId="67734667" w:rsidR="00645972" w:rsidRPr="008442CC" w:rsidRDefault="00645972" w:rsidP="001F1307">
      <w:pPr>
        <w:ind w:left="567" w:right="560"/>
        <w:jc w:val="both"/>
        <w:rPr>
          <w:rFonts w:ascii="Calibri" w:eastAsia="Calibri" w:hAnsi="Calibri" w:cs="Calibri"/>
          <w:bCs/>
          <w:sz w:val="20"/>
          <w:szCs w:val="20"/>
        </w:rPr>
      </w:pPr>
      <w:r w:rsidRPr="008442CC">
        <w:rPr>
          <w:rFonts w:ascii="Calibri" w:eastAsia="Calibri" w:hAnsi="Calibri" w:cs="Calibri"/>
          <w:bCs/>
          <w:sz w:val="20"/>
          <w:szCs w:val="20"/>
        </w:rPr>
        <w:t xml:space="preserve">From 2015 […] I felt that British people and my friends changed their attitude towards me. There were more </w:t>
      </w:r>
      <w:r w:rsidRPr="008442CC">
        <w:rPr>
          <w:rFonts w:ascii="Calibri" w:eastAsia="Calibri" w:hAnsi="Calibri" w:cs="Calibri"/>
          <w:bCs/>
          <w:i/>
          <w:sz w:val="20"/>
          <w:szCs w:val="20"/>
        </w:rPr>
        <w:t>comments and discussion about immigrants</w:t>
      </w:r>
      <w:r w:rsidRPr="008442CC">
        <w:rPr>
          <w:rFonts w:ascii="Calibri" w:eastAsia="Calibri" w:hAnsi="Calibri" w:cs="Calibri"/>
          <w:bCs/>
          <w:sz w:val="20"/>
          <w:szCs w:val="20"/>
        </w:rPr>
        <w:t xml:space="preserve">. […] At the moment, I feel </w:t>
      </w:r>
      <w:r w:rsidRPr="008442CC">
        <w:rPr>
          <w:rFonts w:ascii="Calibri" w:eastAsia="Calibri" w:hAnsi="Calibri" w:cs="Calibri"/>
          <w:bCs/>
          <w:i/>
          <w:sz w:val="20"/>
          <w:szCs w:val="20"/>
        </w:rPr>
        <w:lastRenderedPageBreak/>
        <w:t>very unwelcome</w:t>
      </w:r>
      <w:r w:rsidRPr="008442CC">
        <w:rPr>
          <w:rFonts w:ascii="Calibri" w:eastAsia="Calibri" w:hAnsi="Calibri" w:cs="Calibri"/>
          <w:bCs/>
          <w:sz w:val="20"/>
          <w:szCs w:val="20"/>
        </w:rPr>
        <w:t xml:space="preserve"> here. I am afraid to buy Polish products in shops like Tesco or to speak in Polish on the street. [</w:t>
      </w:r>
      <w:r w:rsidRPr="008442CC">
        <w:rPr>
          <w:rFonts w:ascii="Calibri" w:eastAsia="Calibri" w:hAnsi="Calibri" w:cs="Calibri"/>
        </w:rPr>
        <w:t>#</w:t>
      </w:r>
      <w:r w:rsidRPr="008442CC">
        <w:rPr>
          <w:rFonts w:ascii="Calibri" w:eastAsia="Calibri" w:hAnsi="Calibri" w:cs="Calibri"/>
          <w:bCs/>
          <w:sz w:val="20"/>
          <w:szCs w:val="20"/>
        </w:rPr>
        <w:t>2931585]</w:t>
      </w:r>
    </w:p>
    <w:p w14:paraId="178CAB8D" w14:textId="77777777" w:rsidR="00645972" w:rsidRPr="008442CC" w:rsidRDefault="00645972" w:rsidP="001F1307">
      <w:pPr>
        <w:ind w:left="567" w:right="560"/>
        <w:jc w:val="both"/>
        <w:rPr>
          <w:rFonts w:ascii="Calibri" w:eastAsia="Calibri" w:hAnsi="Calibri" w:cs="Calibri"/>
          <w:bCs/>
          <w:sz w:val="20"/>
          <w:szCs w:val="20"/>
        </w:rPr>
      </w:pPr>
    </w:p>
    <w:p w14:paraId="0A9DF580" w14:textId="4C60C651" w:rsidR="00645972" w:rsidRPr="008442CC" w:rsidRDefault="00645972" w:rsidP="001F1307">
      <w:pPr>
        <w:ind w:left="567" w:right="560"/>
        <w:jc w:val="both"/>
        <w:rPr>
          <w:rFonts w:ascii="Calibri" w:eastAsia="Calibri" w:hAnsi="Calibri" w:cs="Calibri"/>
          <w:bCs/>
          <w:sz w:val="20"/>
          <w:szCs w:val="20"/>
        </w:rPr>
      </w:pPr>
      <w:r w:rsidRPr="008442CC">
        <w:rPr>
          <w:rFonts w:ascii="Calibri" w:eastAsia="Calibri" w:hAnsi="Calibri" w:cs="Calibri"/>
          <w:bCs/>
          <w:sz w:val="20"/>
          <w:szCs w:val="20"/>
        </w:rPr>
        <w:t xml:space="preserve">I’m married to a Brit and do not really engage in the Polish community, thus </w:t>
      </w:r>
      <w:r w:rsidRPr="008442CC">
        <w:rPr>
          <w:rFonts w:ascii="Calibri" w:eastAsia="Calibri" w:hAnsi="Calibri" w:cs="Calibri"/>
          <w:bCs/>
          <w:i/>
          <w:sz w:val="20"/>
          <w:szCs w:val="20"/>
        </w:rPr>
        <w:t>I never had the chance to experience any [discrimination incidents]</w:t>
      </w:r>
      <w:r w:rsidRPr="008442CC">
        <w:rPr>
          <w:rFonts w:ascii="Calibri" w:eastAsia="Calibri" w:hAnsi="Calibri" w:cs="Calibri"/>
          <w:bCs/>
          <w:sz w:val="20"/>
          <w:szCs w:val="20"/>
        </w:rPr>
        <w:t xml:space="preserve">. However, after the Brexit vote there was a slight hesitation from me to e.g. go into a Polish shop, or </w:t>
      </w:r>
      <w:r w:rsidRPr="008442CC">
        <w:rPr>
          <w:rFonts w:ascii="Calibri" w:eastAsia="Calibri" w:hAnsi="Calibri" w:cs="Calibri"/>
          <w:bCs/>
          <w:i/>
          <w:sz w:val="20"/>
          <w:szCs w:val="20"/>
        </w:rPr>
        <w:t>a worry that I actually might look or sound different and so might be identified as a foreigner and verbally abused</w:t>
      </w:r>
      <w:r w:rsidRPr="008442CC">
        <w:rPr>
          <w:rFonts w:ascii="Calibri" w:eastAsia="Calibri" w:hAnsi="Calibri" w:cs="Calibri"/>
          <w:bCs/>
          <w:sz w:val="20"/>
          <w:szCs w:val="20"/>
        </w:rPr>
        <w:t>. No such thing happened. [</w:t>
      </w:r>
      <w:r w:rsidRPr="008442CC">
        <w:rPr>
          <w:rFonts w:ascii="Calibri" w:eastAsia="Calibri" w:hAnsi="Calibri" w:cs="Calibri"/>
        </w:rPr>
        <w:t>#</w:t>
      </w:r>
      <w:r w:rsidRPr="008442CC">
        <w:rPr>
          <w:rFonts w:ascii="Calibri" w:eastAsia="Calibri" w:hAnsi="Calibri" w:cs="Calibri"/>
          <w:bCs/>
          <w:sz w:val="20"/>
          <w:szCs w:val="20"/>
        </w:rPr>
        <w:t>2878410]</w:t>
      </w:r>
    </w:p>
    <w:p w14:paraId="68DFE898" w14:textId="77777777" w:rsidR="00645972" w:rsidRPr="008442CC" w:rsidRDefault="00645972" w:rsidP="001F1307">
      <w:pPr>
        <w:ind w:right="560"/>
        <w:jc w:val="both"/>
        <w:rPr>
          <w:rFonts w:ascii="Calibri" w:eastAsia="Calibri" w:hAnsi="Calibri" w:cs="Calibri"/>
          <w:bCs/>
          <w:sz w:val="20"/>
          <w:szCs w:val="20"/>
        </w:rPr>
      </w:pPr>
    </w:p>
    <w:p w14:paraId="70EAF8CA" w14:textId="26EDA1F5" w:rsidR="00645972" w:rsidRPr="008442CC" w:rsidRDefault="00645972" w:rsidP="001F1307">
      <w:pPr>
        <w:spacing w:line="360" w:lineRule="auto"/>
        <w:jc w:val="both"/>
        <w:rPr>
          <w:rFonts w:ascii="Calibri" w:eastAsia="Calibri" w:hAnsi="Calibri" w:cs="Calibri"/>
          <w:bCs/>
        </w:rPr>
      </w:pPr>
      <w:r w:rsidRPr="008442CC">
        <w:rPr>
          <w:rFonts w:ascii="Calibri" w:eastAsia="Calibri" w:hAnsi="Calibri" w:cs="Calibri"/>
          <w:bCs/>
        </w:rPr>
        <w:t>From a psychological perspective, this heightened sense of being different has contributed to feelings of suspicion of being perceived and treated differently in the post-</w:t>
      </w:r>
      <w:r w:rsidR="004E0676" w:rsidRPr="008442CC">
        <w:rPr>
          <w:rFonts w:ascii="Calibri" w:eastAsia="Calibri" w:hAnsi="Calibri" w:cs="Calibri"/>
          <w:bCs/>
        </w:rPr>
        <w:t xml:space="preserve">ER </w:t>
      </w:r>
      <w:r w:rsidRPr="008442CC">
        <w:rPr>
          <w:rFonts w:ascii="Calibri" w:eastAsia="Calibri" w:hAnsi="Calibri" w:cs="Calibri"/>
          <w:bCs/>
        </w:rPr>
        <w:t xml:space="preserve">social climate. </w:t>
      </w:r>
      <w:r w:rsidR="003C07C3" w:rsidRPr="008442CC">
        <w:rPr>
          <w:rFonts w:ascii="Calibri" w:eastAsia="Calibri" w:hAnsi="Calibri" w:cs="Calibri"/>
          <w:bCs/>
        </w:rPr>
        <w:t xml:space="preserve">Indeed, these </w:t>
      </w:r>
      <w:r w:rsidR="00FE4198" w:rsidRPr="008442CC">
        <w:rPr>
          <w:rFonts w:ascii="Calibri" w:eastAsia="Calibri" w:hAnsi="Calibri" w:cs="Calibri"/>
          <w:bCs/>
        </w:rPr>
        <w:t xml:space="preserve">feelings </w:t>
      </w:r>
      <w:r w:rsidR="003C07C3" w:rsidRPr="008442CC">
        <w:rPr>
          <w:rFonts w:ascii="Calibri" w:eastAsia="Calibri" w:hAnsi="Calibri" w:cs="Calibri"/>
          <w:bCs/>
        </w:rPr>
        <w:t xml:space="preserve">are consistent with </w:t>
      </w:r>
      <w:r w:rsidR="00FE4198" w:rsidRPr="008442CC">
        <w:rPr>
          <w:rFonts w:ascii="Calibri" w:eastAsia="Calibri" w:hAnsi="Calibri" w:cs="Calibri"/>
          <w:bCs/>
        </w:rPr>
        <w:t xml:space="preserve">what psychology literature calls </w:t>
      </w:r>
      <w:r w:rsidR="003C07C3" w:rsidRPr="008442CC">
        <w:rPr>
          <w:rFonts w:ascii="Calibri" w:eastAsia="Calibri" w:hAnsi="Calibri" w:cs="Calibri"/>
          <w:bCs/>
        </w:rPr>
        <w:t>the symbolic group threats (Stephan and Stephan 1996)</w:t>
      </w:r>
      <w:r w:rsidR="00FE4198" w:rsidRPr="008442CC">
        <w:rPr>
          <w:rFonts w:ascii="Calibri" w:eastAsia="Calibri" w:hAnsi="Calibri" w:cs="Calibri"/>
          <w:bCs/>
        </w:rPr>
        <w:t xml:space="preserve">, i.e. </w:t>
      </w:r>
      <w:r w:rsidR="003C07C3" w:rsidRPr="008442CC">
        <w:rPr>
          <w:rFonts w:ascii="Calibri" w:eastAsia="Calibri" w:hAnsi="Calibri" w:cs="Calibri"/>
          <w:bCs/>
        </w:rPr>
        <w:t>threats to a group’s religion, values, belief system, attitudes</w:t>
      </w:r>
      <w:r w:rsidR="00FE4198" w:rsidRPr="008442CC">
        <w:rPr>
          <w:rFonts w:ascii="Calibri" w:eastAsia="Calibri" w:hAnsi="Calibri" w:cs="Calibri"/>
          <w:bCs/>
        </w:rPr>
        <w:t xml:space="preserve">… which </w:t>
      </w:r>
      <w:r w:rsidR="003C07C3" w:rsidRPr="008442CC">
        <w:rPr>
          <w:rFonts w:ascii="Calibri" w:eastAsia="Calibri" w:hAnsi="Calibri" w:cs="Calibri"/>
          <w:bCs/>
        </w:rPr>
        <w:t xml:space="preserve">affect group esteem (Cameron, Duck, Terry and Lalonde 2005), and ultimately their status. </w:t>
      </w:r>
      <w:r w:rsidRPr="008442CC">
        <w:rPr>
          <w:rFonts w:ascii="Calibri" w:eastAsia="Calibri" w:hAnsi="Calibri" w:cs="Calibri"/>
          <w:bCs/>
        </w:rPr>
        <w:t xml:space="preserve">These affective responses of fear and anxiety in anticipation of potential </w:t>
      </w:r>
      <w:r w:rsidR="001B553A" w:rsidRPr="008442CC">
        <w:rPr>
          <w:rFonts w:ascii="Calibri" w:eastAsia="Calibri" w:hAnsi="Calibri" w:cs="Calibri"/>
          <w:bCs/>
        </w:rPr>
        <w:t xml:space="preserve">threats </w:t>
      </w:r>
      <w:r w:rsidRPr="008442CC">
        <w:rPr>
          <w:rFonts w:ascii="Calibri" w:eastAsia="Calibri" w:hAnsi="Calibri" w:cs="Calibri"/>
          <w:bCs/>
        </w:rPr>
        <w:t xml:space="preserve">can clearly be linked to the concept of </w:t>
      </w:r>
      <w:r w:rsidRPr="008442CC">
        <w:rPr>
          <w:rFonts w:ascii="Calibri" w:eastAsia="Calibri" w:hAnsi="Calibri" w:cs="Calibri"/>
          <w:bCs/>
          <w:i/>
        </w:rPr>
        <w:t>SV</w:t>
      </w:r>
      <w:r w:rsidRPr="008442CC">
        <w:rPr>
          <w:rFonts w:ascii="Calibri" w:eastAsia="Calibri" w:hAnsi="Calibri" w:cs="Calibri"/>
          <w:bCs/>
        </w:rPr>
        <w:t xml:space="preserve"> as defined in Section 3.</w:t>
      </w:r>
    </w:p>
    <w:p w14:paraId="01575AF7" w14:textId="77777777" w:rsidR="00645972" w:rsidRPr="008442CC" w:rsidRDefault="00645972" w:rsidP="001F1307">
      <w:pPr>
        <w:ind w:left="720"/>
        <w:contextualSpacing/>
        <w:jc w:val="both"/>
        <w:rPr>
          <w:rFonts w:ascii="Calibri" w:eastAsia="Calibri" w:hAnsi="Calibri" w:cs="Arial"/>
        </w:rPr>
      </w:pPr>
    </w:p>
    <w:p w14:paraId="0F4979B2" w14:textId="1BA52FAA" w:rsidR="00645972" w:rsidRPr="008442CC" w:rsidRDefault="00645972" w:rsidP="007E0D23">
      <w:pPr>
        <w:numPr>
          <w:ilvl w:val="0"/>
          <w:numId w:val="12"/>
        </w:numPr>
        <w:ind w:left="426" w:hanging="426"/>
        <w:contextualSpacing/>
        <w:jc w:val="both"/>
        <w:rPr>
          <w:rFonts w:ascii="Calibri" w:eastAsia="Calibri" w:hAnsi="Calibri" w:cs="Arial"/>
          <w:b/>
          <w:i/>
        </w:rPr>
      </w:pPr>
      <w:r w:rsidRPr="008442CC">
        <w:rPr>
          <w:rFonts w:ascii="Calibri" w:eastAsia="Calibri" w:hAnsi="Calibri" w:cs="Arial"/>
          <w:b/>
          <w:i/>
        </w:rPr>
        <w:t xml:space="preserve">Feeling </w:t>
      </w:r>
      <w:r w:rsidR="00E21643" w:rsidRPr="008442CC">
        <w:rPr>
          <w:rFonts w:ascii="Calibri" w:eastAsia="Calibri" w:hAnsi="Calibri" w:cs="Arial"/>
          <w:b/>
          <w:i/>
        </w:rPr>
        <w:t>“</w:t>
      </w:r>
      <w:r w:rsidRPr="008442CC">
        <w:rPr>
          <w:rFonts w:ascii="Calibri" w:eastAsia="Calibri" w:hAnsi="Calibri" w:cs="Arial"/>
          <w:b/>
          <w:i/>
        </w:rPr>
        <w:t>unwelcome</w:t>
      </w:r>
      <w:r w:rsidR="00E21643" w:rsidRPr="008442CC">
        <w:rPr>
          <w:rFonts w:ascii="Calibri" w:eastAsia="Calibri" w:hAnsi="Calibri" w:cs="Arial"/>
          <w:b/>
          <w:i/>
        </w:rPr>
        <w:t>”</w:t>
      </w:r>
      <w:r w:rsidRPr="008442CC">
        <w:rPr>
          <w:rFonts w:ascii="Calibri" w:eastAsia="Calibri" w:hAnsi="Calibri" w:cs="Arial"/>
          <w:b/>
          <w:i/>
        </w:rPr>
        <w:t xml:space="preserve">: various degrees of </w:t>
      </w:r>
      <w:r w:rsidR="00E21643" w:rsidRPr="008442CC">
        <w:rPr>
          <w:rFonts w:ascii="Calibri" w:eastAsia="Calibri" w:hAnsi="Calibri" w:cs="Arial"/>
          <w:b/>
          <w:i/>
        </w:rPr>
        <w:t>“</w:t>
      </w:r>
      <w:r w:rsidRPr="008442CC">
        <w:rPr>
          <w:rFonts w:ascii="Calibri" w:eastAsia="Calibri" w:hAnsi="Calibri" w:cs="Arial"/>
          <w:b/>
          <w:i/>
        </w:rPr>
        <w:t>otherness</w:t>
      </w:r>
      <w:r w:rsidR="00E21643" w:rsidRPr="008442CC">
        <w:rPr>
          <w:rFonts w:ascii="Calibri" w:eastAsia="Calibri" w:hAnsi="Calibri" w:cs="Arial"/>
          <w:b/>
          <w:i/>
        </w:rPr>
        <w:t>”</w:t>
      </w:r>
      <w:r w:rsidRPr="008442CC">
        <w:rPr>
          <w:rFonts w:ascii="Calibri" w:eastAsia="Calibri" w:hAnsi="Calibri" w:cs="Arial"/>
          <w:b/>
          <w:i/>
        </w:rPr>
        <w:t xml:space="preserve"> perception</w:t>
      </w:r>
    </w:p>
    <w:p w14:paraId="10CE4B7A" w14:textId="77777777" w:rsidR="00645972" w:rsidRPr="008442CC" w:rsidRDefault="00645972" w:rsidP="001F1307">
      <w:pPr>
        <w:ind w:left="720"/>
        <w:contextualSpacing/>
        <w:rPr>
          <w:rFonts w:ascii="Calibri" w:eastAsia="Calibri" w:hAnsi="Calibri" w:cs="Arial"/>
        </w:rPr>
      </w:pPr>
    </w:p>
    <w:p w14:paraId="553253EF" w14:textId="12735FAF" w:rsidR="00645972" w:rsidRPr="008442CC" w:rsidRDefault="00645972" w:rsidP="001F1307">
      <w:pPr>
        <w:spacing w:line="360" w:lineRule="auto"/>
        <w:jc w:val="both"/>
        <w:rPr>
          <w:rFonts w:ascii="Calibri" w:eastAsia="Calibri" w:hAnsi="Calibri" w:cs="Calibri"/>
          <w:bCs/>
        </w:rPr>
      </w:pPr>
      <w:r w:rsidRPr="008442CC">
        <w:rPr>
          <w:rFonts w:ascii="Calibri" w:eastAsia="Calibri" w:hAnsi="Calibri" w:cs="Calibri"/>
          <w:bCs/>
        </w:rPr>
        <w:t xml:space="preserve">From a quantitative perspective, </w:t>
      </w:r>
      <w:r w:rsidRPr="008442CC">
        <w:rPr>
          <w:rFonts w:ascii="Calibri" w:eastAsia="Calibri" w:hAnsi="Calibri" w:cs="Calibri"/>
          <w:bCs/>
          <w:i/>
          <w:iCs/>
        </w:rPr>
        <w:t>our survey</w:t>
      </w:r>
      <w:r w:rsidRPr="008442CC">
        <w:rPr>
          <w:rFonts w:ascii="Calibri" w:eastAsia="Calibri" w:hAnsi="Calibri" w:cs="Calibri"/>
          <w:bCs/>
        </w:rPr>
        <w:t xml:space="preserve"> also revealed that the number of respondents who felt less welcome in 2016-17 than in 2014-15 is statistically significant at 1%.</w:t>
      </w:r>
      <w:r w:rsidRPr="008442CC">
        <w:rPr>
          <w:rStyle w:val="EndnoteReference"/>
          <w:rFonts w:ascii="Calibri" w:eastAsia="Calibri" w:hAnsi="Calibri" w:cs="Calibri"/>
          <w:bCs/>
        </w:rPr>
        <w:endnoteReference w:id="52"/>
      </w:r>
      <w:r w:rsidRPr="008442CC">
        <w:rPr>
          <w:rFonts w:ascii="Calibri" w:eastAsia="Calibri" w:hAnsi="Calibri" w:cs="Calibri"/>
          <w:bCs/>
        </w:rPr>
        <w:t xml:space="preserve"> This finding is supported by comments made by </w:t>
      </w:r>
      <w:r w:rsidR="00B95575" w:rsidRPr="008442CC">
        <w:rPr>
          <w:rFonts w:ascii="Calibri" w:eastAsia="Calibri" w:hAnsi="Calibri" w:cs="Calibri"/>
          <w:bCs/>
          <w:i/>
          <w:iCs/>
        </w:rPr>
        <w:t xml:space="preserve">our project </w:t>
      </w:r>
      <w:r w:rsidRPr="008442CC">
        <w:rPr>
          <w:rFonts w:ascii="Calibri" w:eastAsia="Calibri" w:hAnsi="Calibri" w:cs="Calibri"/>
          <w:bCs/>
          <w:i/>
          <w:iCs/>
        </w:rPr>
        <w:t>participants</w:t>
      </w:r>
      <w:r w:rsidRPr="008442CC">
        <w:rPr>
          <w:rFonts w:ascii="Calibri" w:eastAsia="Calibri" w:hAnsi="Calibri" w:cs="Calibri"/>
          <w:bCs/>
        </w:rPr>
        <w:t xml:space="preserve">, which show different levels of perceived </w:t>
      </w:r>
      <w:r w:rsidR="00E21643" w:rsidRPr="008442CC">
        <w:rPr>
          <w:rFonts w:ascii="Calibri" w:eastAsia="Calibri" w:hAnsi="Calibri" w:cs="Calibri"/>
          <w:bCs/>
        </w:rPr>
        <w:t>“</w:t>
      </w:r>
      <w:r w:rsidRPr="008442CC">
        <w:rPr>
          <w:rFonts w:ascii="Calibri" w:eastAsia="Calibri" w:hAnsi="Calibri" w:cs="Calibri"/>
          <w:bCs/>
        </w:rPr>
        <w:t>otherness</w:t>
      </w:r>
      <w:r w:rsidR="00E21643" w:rsidRPr="008442CC">
        <w:rPr>
          <w:rFonts w:ascii="Calibri" w:eastAsia="Calibri" w:hAnsi="Calibri" w:cs="Calibri"/>
          <w:bCs/>
        </w:rPr>
        <w:t>”</w:t>
      </w:r>
      <w:r w:rsidRPr="008442CC">
        <w:rPr>
          <w:rFonts w:ascii="Calibri" w:eastAsia="Calibri" w:hAnsi="Calibri" w:cs="Calibri"/>
          <w:bCs/>
        </w:rPr>
        <w:t xml:space="preserve"> varying from the milder feeling of </w:t>
      </w:r>
      <w:r w:rsidR="00E21643" w:rsidRPr="008442CC">
        <w:rPr>
          <w:rFonts w:ascii="Calibri" w:eastAsia="Calibri" w:hAnsi="Calibri" w:cs="Calibri"/>
          <w:bCs/>
        </w:rPr>
        <w:t>“</w:t>
      </w:r>
      <w:r w:rsidRPr="008442CC">
        <w:rPr>
          <w:rFonts w:ascii="Calibri" w:eastAsia="Calibri" w:hAnsi="Calibri" w:cs="Calibri"/>
          <w:bCs/>
        </w:rPr>
        <w:t>awkwardness</w:t>
      </w:r>
      <w:r w:rsidR="00E21643" w:rsidRPr="008442CC">
        <w:rPr>
          <w:rFonts w:ascii="Calibri" w:eastAsia="Calibri" w:hAnsi="Calibri" w:cs="Calibri"/>
          <w:bCs/>
        </w:rPr>
        <w:t>”</w:t>
      </w:r>
      <w:r w:rsidRPr="008442CC">
        <w:rPr>
          <w:rFonts w:ascii="Calibri" w:eastAsia="Calibri" w:hAnsi="Calibri" w:cs="Calibri"/>
          <w:bCs/>
        </w:rPr>
        <w:t xml:space="preserve"> to feeling </w:t>
      </w:r>
      <w:r w:rsidR="00E21643" w:rsidRPr="008442CC">
        <w:rPr>
          <w:rFonts w:ascii="Calibri" w:eastAsia="Calibri" w:hAnsi="Calibri" w:cs="Calibri"/>
          <w:bCs/>
        </w:rPr>
        <w:t>“</w:t>
      </w:r>
      <w:r w:rsidRPr="008442CC">
        <w:rPr>
          <w:rFonts w:ascii="Calibri" w:eastAsia="Calibri" w:hAnsi="Calibri" w:cs="Calibri"/>
          <w:bCs/>
        </w:rPr>
        <w:t>unsafe</w:t>
      </w:r>
      <w:r w:rsidR="00E21643" w:rsidRPr="008442CC">
        <w:rPr>
          <w:rFonts w:ascii="Calibri" w:eastAsia="Calibri" w:hAnsi="Calibri" w:cs="Calibri"/>
          <w:bCs/>
        </w:rPr>
        <w:t>”</w:t>
      </w:r>
      <w:r w:rsidRPr="008442CC">
        <w:rPr>
          <w:rFonts w:ascii="Calibri" w:eastAsia="Calibri" w:hAnsi="Calibri" w:cs="Calibri"/>
          <w:bCs/>
        </w:rPr>
        <w:t>:</w:t>
      </w:r>
    </w:p>
    <w:p w14:paraId="06CADA65" w14:textId="6F2A65B5" w:rsidR="00645972" w:rsidRPr="008442CC" w:rsidRDefault="00645972" w:rsidP="001F1307">
      <w:pPr>
        <w:spacing w:after="120"/>
        <w:ind w:left="567" w:right="561"/>
        <w:jc w:val="both"/>
        <w:rPr>
          <w:rFonts w:ascii="Calibri" w:eastAsia="Calibri" w:hAnsi="Calibri" w:cs="Calibri"/>
          <w:bCs/>
          <w:sz w:val="20"/>
          <w:szCs w:val="20"/>
        </w:rPr>
      </w:pPr>
      <w:r w:rsidRPr="008442CC">
        <w:rPr>
          <w:rFonts w:ascii="Calibri" w:eastAsia="Calibri" w:hAnsi="Calibri" w:cs="Calibri"/>
          <w:bCs/>
          <w:sz w:val="20"/>
          <w:szCs w:val="20"/>
        </w:rPr>
        <w:t xml:space="preserve">After the vote, [Polish] clients were saying “I just </w:t>
      </w:r>
      <w:r w:rsidRPr="008442CC">
        <w:rPr>
          <w:rFonts w:ascii="Calibri" w:eastAsia="Calibri" w:hAnsi="Calibri" w:cs="Calibri"/>
          <w:bCs/>
          <w:i/>
          <w:sz w:val="20"/>
          <w:szCs w:val="20"/>
        </w:rPr>
        <w:t>feel</w:t>
      </w:r>
      <w:r w:rsidRPr="008442CC">
        <w:rPr>
          <w:rFonts w:ascii="Calibri" w:eastAsia="Calibri" w:hAnsi="Calibri" w:cs="Calibri"/>
          <w:bCs/>
          <w:sz w:val="20"/>
          <w:szCs w:val="20"/>
        </w:rPr>
        <w:t xml:space="preserve"> really bad. I </w:t>
      </w:r>
      <w:r w:rsidRPr="008442CC">
        <w:rPr>
          <w:rFonts w:ascii="Calibri" w:eastAsia="Calibri" w:hAnsi="Calibri" w:cs="Calibri"/>
          <w:bCs/>
          <w:i/>
          <w:sz w:val="20"/>
          <w:szCs w:val="20"/>
        </w:rPr>
        <w:t>feel awkward</w:t>
      </w:r>
      <w:r w:rsidRPr="008442CC">
        <w:rPr>
          <w:rFonts w:ascii="Calibri" w:eastAsia="Calibri" w:hAnsi="Calibri" w:cs="Calibri"/>
          <w:bCs/>
          <w:sz w:val="20"/>
          <w:szCs w:val="20"/>
        </w:rPr>
        <w:t xml:space="preserve"> now”’.</w:t>
      </w:r>
      <w:r w:rsidRPr="008442CC">
        <w:rPr>
          <w:rFonts w:ascii="Calibri" w:eastAsia="Calibri" w:hAnsi="Calibri" w:cs="Calibri"/>
          <w:bCs/>
          <w:sz w:val="20"/>
          <w:szCs w:val="20"/>
          <w:vertAlign w:val="superscript"/>
        </w:rPr>
        <w:endnoteReference w:id="53"/>
      </w:r>
    </w:p>
    <w:p w14:paraId="56BD6DAD" w14:textId="268BCEDF" w:rsidR="00645972" w:rsidRPr="008442CC" w:rsidRDefault="00645972" w:rsidP="001F1307">
      <w:pPr>
        <w:spacing w:after="120"/>
        <w:ind w:left="567" w:right="561"/>
        <w:jc w:val="both"/>
        <w:rPr>
          <w:rFonts w:ascii="Calibri" w:eastAsia="Calibri" w:hAnsi="Calibri" w:cs="Calibri"/>
          <w:bCs/>
          <w:sz w:val="20"/>
          <w:szCs w:val="20"/>
        </w:rPr>
      </w:pPr>
      <w:r w:rsidRPr="008442CC">
        <w:rPr>
          <w:rFonts w:ascii="Calibri" w:eastAsia="Calibri" w:hAnsi="Calibri" w:cs="Calibri"/>
          <w:bCs/>
          <w:sz w:val="20"/>
          <w:szCs w:val="20"/>
        </w:rPr>
        <w:t>After the referendum</w:t>
      </w:r>
      <w:r w:rsidR="00BB3955" w:rsidRPr="008442CC">
        <w:rPr>
          <w:rFonts w:ascii="Calibri" w:eastAsia="Calibri" w:hAnsi="Calibri" w:cs="Calibri"/>
          <w:bCs/>
          <w:sz w:val="20"/>
          <w:szCs w:val="20"/>
        </w:rPr>
        <w:t xml:space="preserve"> […]</w:t>
      </w:r>
      <w:r w:rsidRPr="008442CC">
        <w:rPr>
          <w:rFonts w:ascii="Calibri" w:eastAsia="Calibri" w:hAnsi="Calibri" w:cs="Calibri"/>
          <w:bCs/>
          <w:sz w:val="20"/>
          <w:szCs w:val="20"/>
        </w:rPr>
        <w:t xml:space="preserve"> I started to </w:t>
      </w:r>
      <w:r w:rsidRPr="008442CC">
        <w:rPr>
          <w:rFonts w:ascii="Calibri" w:eastAsia="Calibri" w:hAnsi="Calibri" w:cs="Calibri"/>
          <w:bCs/>
          <w:i/>
          <w:sz w:val="20"/>
          <w:szCs w:val="20"/>
        </w:rPr>
        <w:t>feel unwelcome</w:t>
      </w:r>
      <w:r w:rsidRPr="008442CC">
        <w:rPr>
          <w:rFonts w:ascii="Calibri" w:eastAsia="Calibri" w:hAnsi="Calibri" w:cs="Calibri"/>
          <w:bCs/>
          <w:sz w:val="20"/>
          <w:szCs w:val="20"/>
        </w:rPr>
        <w:t xml:space="preserve"> and that I am worse than British people, because of my foreign origin. [</w:t>
      </w:r>
      <w:r w:rsidRPr="008442CC">
        <w:rPr>
          <w:rFonts w:ascii="Calibri" w:eastAsia="Calibri" w:hAnsi="Calibri" w:cs="Calibri"/>
          <w:sz w:val="20"/>
          <w:szCs w:val="20"/>
        </w:rPr>
        <w:t>#2856590</w:t>
      </w:r>
      <w:r w:rsidRPr="008442CC">
        <w:rPr>
          <w:rFonts w:ascii="Calibri" w:eastAsia="Calibri" w:hAnsi="Calibri" w:cs="Calibri"/>
          <w:bCs/>
          <w:sz w:val="20"/>
          <w:szCs w:val="20"/>
        </w:rPr>
        <w:t>]</w:t>
      </w:r>
    </w:p>
    <w:p w14:paraId="3C256E99" w14:textId="4CB34A32" w:rsidR="00645972" w:rsidRPr="008442CC" w:rsidRDefault="00645972" w:rsidP="001F1307">
      <w:pPr>
        <w:spacing w:after="120"/>
        <w:ind w:left="567" w:right="561"/>
        <w:jc w:val="both"/>
        <w:rPr>
          <w:rFonts w:ascii="Calibri" w:eastAsia="Calibri" w:hAnsi="Calibri" w:cs="Calibri"/>
          <w:bCs/>
          <w:sz w:val="22"/>
          <w:szCs w:val="20"/>
        </w:rPr>
      </w:pPr>
      <w:r w:rsidRPr="008442CC">
        <w:rPr>
          <w:rFonts w:ascii="Calibri" w:eastAsia="Calibri" w:hAnsi="Calibri" w:cs="Calibri"/>
          <w:bCs/>
          <w:sz w:val="20"/>
          <w:szCs w:val="20"/>
        </w:rPr>
        <w:t>[</w:t>
      </w:r>
      <w:r w:rsidR="00BB3955" w:rsidRPr="008442CC">
        <w:rPr>
          <w:rFonts w:ascii="Calibri" w:eastAsia="Calibri" w:hAnsi="Calibri" w:cs="Calibri"/>
          <w:bCs/>
          <w:sz w:val="20"/>
          <w:szCs w:val="20"/>
        </w:rPr>
        <w:t>A</w:t>
      </w:r>
      <w:r w:rsidRPr="008442CC">
        <w:rPr>
          <w:rFonts w:ascii="Calibri" w:eastAsia="Calibri" w:hAnsi="Calibri" w:cs="Calibri"/>
          <w:bCs/>
          <w:sz w:val="20"/>
          <w:szCs w:val="20"/>
        </w:rPr>
        <w:t xml:space="preserve">fter the Brexit vote] </w:t>
      </w:r>
      <w:r w:rsidRPr="008442CC">
        <w:rPr>
          <w:rFonts w:ascii="Calibri" w:eastAsia="Calibri" w:hAnsi="Calibri" w:cs="Calibri"/>
          <w:bCs/>
          <w:i/>
          <w:sz w:val="20"/>
          <w:szCs w:val="20"/>
        </w:rPr>
        <w:t>I felt really vulnerable</w:t>
      </w:r>
      <w:r w:rsidRPr="008442CC">
        <w:rPr>
          <w:rFonts w:ascii="Calibri" w:eastAsia="Calibri" w:hAnsi="Calibri" w:cs="Calibri"/>
          <w:bCs/>
          <w:sz w:val="20"/>
          <w:szCs w:val="20"/>
        </w:rPr>
        <w:t>… I mean, I still feel very vulnerable</w:t>
      </w:r>
      <w:r w:rsidR="00E21643" w:rsidRPr="008442CC">
        <w:rPr>
          <w:rFonts w:ascii="Calibri" w:eastAsia="Calibri" w:hAnsi="Calibri" w:cs="Calibri"/>
          <w:bCs/>
          <w:sz w:val="20"/>
          <w:szCs w:val="20"/>
        </w:rPr>
        <w:t>.</w:t>
      </w:r>
      <w:r w:rsidRPr="008442CC">
        <w:rPr>
          <w:rStyle w:val="EndnoteReference"/>
          <w:rFonts w:ascii="Calibri" w:eastAsia="Calibri" w:hAnsi="Calibri" w:cs="Calibri"/>
          <w:bCs/>
          <w:sz w:val="20"/>
          <w:szCs w:val="20"/>
        </w:rPr>
        <w:endnoteReference w:id="54"/>
      </w:r>
    </w:p>
    <w:p w14:paraId="0310BAE1" w14:textId="49E8E867" w:rsidR="00645972" w:rsidRPr="008442CC" w:rsidRDefault="00645972" w:rsidP="001F1307">
      <w:pPr>
        <w:spacing w:after="120"/>
        <w:ind w:left="567" w:right="561"/>
        <w:jc w:val="both"/>
        <w:rPr>
          <w:rFonts w:ascii="Calibri" w:eastAsia="Calibri" w:hAnsi="Calibri" w:cs="Calibri"/>
          <w:bCs/>
          <w:sz w:val="20"/>
          <w:szCs w:val="20"/>
        </w:rPr>
      </w:pPr>
      <w:r w:rsidRPr="008442CC">
        <w:rPr>
          <w:rFonts w:ascii="Calibri" w:eastAsia="Calibri" w:hAnsi="Calibri" w:cs="Calibri"/>
          <w:bCs/>
          <w:sz w:val="20"/>
          <w:szCs w:val="20"/>
        </w:rPr>
        <w:t xml:space="preserve">Since the referendum </w:t>
      </w:r>
      <w:r w:rsidRPr="008442CC">
        <w:rPr>
          <w:rFonts w:ascii="Calibri" w:eastAsia="Calibri" w:hAnsi="Calibri" w:cs="Calibri"/>
          <w:bCs/>
          <w:i/>
          <w:sz w:val="20"/>
          <w:szCs w:val="20"/>
        </w:rPr>
        <w:t>I feel</w:t>
      </w:r>
      <w:r w:rsidRPr="008442CC">
        <w:rPr>
          <w:rFonts w:ascii="Calibri" w:eastAsia="Calibri" w:hAnsi="Calibri" w:cs="Calibri"/>
          <w:bCs/>
          <w:sz w:val="20"/>
          <w:szCs w:val="20"/>
        </w:rPr>
        <w:t xml:space="preserve"> that the British nation is more hostile towards immigrants […] </w:t>
      </w:r>
      <w:r w:rsidRPr="008442CC">
        <w:rPr>
          <w:rFonts w:ascii="Calibri" w:eastAsia="Calibri" w:hAnsi="Calibri" w:cs="Calibri"/>
          <w:bCs/>
          <w:i/>
          <w:sz w:val="20"/>
          <w:szCs w:val="20"/>
        </w:rPr>
        <w:t>I do not feel safe here anymore</w:t>
      </w:r>
      <w:r w:rsidRPr="008442CC">
        <w:rPr>
          <w:rFonts w:ascii="Calibri" w:eastAsia="Calibri" w:hAnsi="Calibri" w:cs="Calibri"/>
          <w:bCs/>
          <w:sz w:val="20"/>
          <w:szCs w:val="20"/>
        </w:rPr>
        <w:t>. [</w:t>
      </w:r>
      <w:r w:rsidRPr="008442CC">
        <w:rPr>
          <w:rFonts w:ascii="Calibri" w:eastAsia="Calibri" w:hAnsi="Calibri" w:cs="Calibri"/>
        </w:rPr>
        <w:t>#</w:t>
      </w:r>
      <w:r w:rsidRPr="008442CC">
        <w:rPr>
          <w:rFonts w:ascii="Calibri" w:eastAsia="Calibri" w:hAnsi="Calibri" w:cs="Calibri"/>
          <w:bCs/>
          <w:sz w:val="20"/>
          <w:szCs w:val="20"/>
        </w:rPr>
        <w:t>2860947]</w:t>
      </w:r>
    </w:p>
    <w:p w14:paraId="33DDEE4E" w14:textId="056B0228" w:rsidR="00645972" w:rsidRPr="008442CC" w:rsidRDefault="00645972" w:rsidP="001F1307">
      <w:pPr>
        <w:spacing w:line="360" w:lineRule="auto"/>
        <w:jc w:val="both"/>
        <w:rPr>
          <w:rFonts w:ascii="Calibri" w:eastAsia="Calibri" w:hAnsi="Calibri" w:cs="Calibri"/>
        </w:rPr>
      </w:pPr>
      <w:r w:rsidRPr="008442CC">
        <w:rPr>
          <w:rFonts w:ascii="Calibri" w:eastAsia="Calibri" w:hAnsi="Calibri" w:cs="Calibri"/>
          <w:iCs/>
        </w:rPr>
        <w:t xml:space="preserve">The perception of feeling unwelcome is both compounded by the widespread media coverage of the issue of immigration and its connection to the Brexit debate and/or by the Poles’ direct contacts with Britons. </w:t>
      </w:r>
      <w:r w:rsidR="00BB3955" w:rsidRPr="008442CC">
        <w:rPr>
          <w:rFonts w:ascii="Calibri" w:eastAsia="Calibri" w:hAnsi="Calibri" w:cs="Calibri"/>
          <w:iCs/>
        </w:rPr>
        <w:t>E</w:t>
      </w:r>
      <w:r w:rsidRPr="008442CC">
        <w:rPr>
          <w:rFonts w:ascii="Calibri" w:eastAsia="Calibri" w:hAnsi="Calibri" w:cs="Calibri"/>
          <w:iCs/>
        </w:rPr>
        <w:t xml:space="preserve">ven those who have not experienced OV may feel </w:t>
      </w:r>
      <w:r w:rsidR="00B95575" w:rsidRPr="008442CC">
        <w:rPr>
          <w:rFonts w:ascii="Calibri" w:eastAsia="Calibri" w:hAnsi="Calibri" w:cs="Calibri"/>
          <w:iCs/>
        </w:rPr>
        <w:t>“</w:t>
      </w:r>
      <w:r w:rsidRPr="008442CC">
        <w:rPr>
          <w:rFonts w:ascii="Calibri" w:eastAsia="Calibri" w:hAnsi="Calibri" w:cs="Calibri"/>
          <w:iCs/>
        </w:rPr>
        <w:t>unwante</w:t>
      </w:r>
      <w:r w:rsidR="00B95575" w:rsidRPr="008442CC">
        <w:rPr>
          <w:rFonts w:ascii="Calibri" w:eastAsia="Calibri" w:hAnsi="Calibri" w:cs="Calibri"/>
          <w:iCs/>
        </w:rPr>
        <w:t>d”</w:t>
      </w:r>
      <w:r w:rsidRPr="008442CC">
        <w:rPr>
          <w:rFonts w:ascii="Calibri" w:eastAsia="Calibri" w:hAnsi="Calibri" w:cs="Calibri"/>
          <w:vertAlign w:val="superscript"/>
        </w:rPr>
        <w:endnoteReference w:id="55"/>
      </w:r>
      <w:r w:rsidRPr="008442CC">
        <w:rPr>
          <w:rFonts w:ascii="Calibri" w:eastAsia="Calibri" w:hAnsi="Calibri" w:cs="Calibri"/>
          <w:iCs/>
        </w:rPr>
        <w:t xml:space="preserve"> or </w:t>
      </w:r>
      <w:r w:rsidR="00B95575" w:rsidRPr="008442CC">
        <w:rPr>
          <w:rFonts w:ascii="Calibri" w:eastAsia="Calibri" w:hAnsi="Calibri" w:cs="Calibri"/>
          <w:iCs/>
        </w:rPr>
        <w:t>“</w:t>
      </w:r>
      <w:r w:rsidRPr="008442CC">
        <w:rPr>
          <w:rFonts w:ascii="Calibri" w:eastAsia="Calibri" w:hAnsi="Calibri" w:cs="Calibri"/>
          <w:iCs/>
        </w:rPr>
        <w:t>guilty</w:t>
      </w:r>
      <w:r w:rsidR="00B95575" w:rsidRPr="008442CC">
        <w:rPr>
          <w:rFonts w:ascii="Calibri" w:eastAsia="Calibri" w:hAnsi="Calibri" w:cs="Calibri"/>
          <w:iCs/>
        </w:rPr>
        <w:t>”</w:t>
      </w:r>
      <w:r w:rsidRPr="008442CC">
        <w:rPr>
          <w:rFonts w:ascii="Calibri" w:eastAsia="Calibri" w:hAnsi="Calibri" w:cs="Calibri"/>
          <w:iCs/>
        </w:rPr>
        <w:t xml:space="preserve"> about the </w:t>
      </w:r>
      <w:r w:rsidR="004E0676" w:rsidRPr="008442CC">
        <w:rPr>
          <w:rFonts w:ascii="Calibri" w:eastAsia="Calibri" w:hAnsi="Calibri" w:cs="Calibri"/>
          <w:iCs/>
        </w:rPr>
        <w:t>ER</w:t>
      </w:r>
      <w:r w:rsidRPr="008442CC">
        <w:rPr>
          <w:rFonts w:ascii="Calibri" w:eastAsia="Calibri" w:hAnsi="Calibri" w:cs="Calibri"/>
          <w:iCs/>
        </w:rPr>
        <w:t xml:space="preserve"> result,</w:t>
      </w:r>
      <w:r w:rsidRPr="008442CC">
        <w:rPr>
          <w:rFonts w:ascii="Calibri" w:eastAsia="Calibri" w:hAnsi="Calibri" w:cs="Calibri"/>
          <w:iCs/>
          <w:vertAlign w:val="superscript"/>
        </w:rPr>
        <w:endnoteReference w:id="56"/>
      </w:r>
      <w:r w:rsidRPr="008442CC">
        <w:rPr>
          <w:rFonts w:ascii="Calibri" w:eastAsia="Calibri" w:hAnsi="Calibri" w:cs="Calibri"/>
          <w:iCs/>
        </w:rPr>
        <w:t xml:space="preserve"> and/</w:t>
      </w:r>
      <w:r w:rsidRPr="008442CC">
        <w:rPr>
          <w:rFonts w:ascii="Calibri" w:eastAsia="Calibri" w:hAnsi="Calibri" w:cs="Calibri"/>
        </w:rPr>
        <w:t xml:space="preserve">or may be more aware that the mainstream society is </w:t>
      </w:r>
      <w:r w:rsidR="00B95575" w:rsidRPr="008442CC">
        <w:rPr>
          <w:rFonts w:ascii="Calibri" w:eastAsia="Calibri" w:hAnsi="Calibri" w:cs="Calibri"/>
        </w:rPr>
        <w:t>“</w:t>
      </w:r>
      <w:r w:rsidRPr="008442CC">
        <w:rPr>
          <w:rFonts w:ascii="Calibri" w:eastAsia="Calibri" w:hAnsi="Calibri" w:cs="Calibri"/>
        </w:rPr>
        <w:t>watching them</w:t>
      </w:r>
      <w:r w:rsidR="00B95575" w:rsidRPr="008442CC">
        <w:rPr>
          <w:rFonts w:ascii="Calibri" w:eastAsia="Calibri" w:hAnsi="Calibri" w:cs="Calibri"/>
        </w:rPr>
        <w:t>”</w:t>
      </w:r>
      <w:r w:rsidRPr="008442CC">
        <w:rPr>
          <w:rFonts w:ascii="Calibri" w:eastAsia="Calibri" w:hAnsi="Calibri" w:cs="Calibri"/>
        </w:rPr>
        <w:t>.</w:t>
      </w:r>
      <w:r w:rsidRPr="008442CC">
        <w:rPr>
          <w:rFonts w:ascii="Calibri" w:eastAsia="Calibri" w:hAnsi="Calibri" w:cs="Calibri"/>
          <w:vertAlign w:val="superscript"/>
        </w:rPr>
        <w:endnoteReference w:id="57"/>
      </w:r>
      <w:r w:rsidRPr="008442CC">
        <w:rPr>
          <w:rFonts w:ascii="Calibri" w:eastAsia="Calibri" w:hAnsi="Calibri" w:cs="Calibri"/>
          <w:iCs/>
        </w:rPr>
        <w:t xml:space="preserve"> Due to the migration-</w:t>
      </w:r>
      <w:r w:rsidR="00B95575" w:rsidRPr="008442CC">
        <w:rPr>
          <w:rFonts w:ascii="Calibri" w:eastAsia="Calibri" w:hAnsi="Calibri" w:cs="Calibri"/>
          <w:iCs/>
        </w:rPr>
        <w:t>centred</w:t>
      </w:r>
      <w:r w:rsidRPr="008442CC">
        <w:rPr>
          <w:rFonts w:ascii="Calibri" w:eastAsia="Calibri" w:hAnsi="Calibri" w:cs="Calibri"/>
          <w:iCs/>
        </w:rPr>
        <w:t xml:space="preserve"> discourse that dominated the Referendum campaign, many Poles reckon that the general atmosphere has changed and that British society has become more hostile towards them. The </w:t>
      </w:r>
      <w:r w:rsidRPr="008442CC">
        <w:rPr>
          <w:rFonts w:ascii="Calibri" w:eastAsia="Calibri" w:hAnsi="Calibri" w:cs="Calibri"/>
          <w:iCs/>
        </w:rPr>
        <w:lastRenderedPageBreak/>
        <w:t xml:space="preserve">following comments from </w:t>
      </w:r>
      <w:r w:rsidRPr="008442CC">
        <w:rPr>
          <w:rFonts w:ascii="Calibri" w:eastAsia="Calibri" w:hAnsi="Calibri" w:cs="Calibri"/>
          <w:i/>
        </w:rPr>
        <w:t>our participants</w:t>
      </w:r>
      <w:r w:rsidRPr="008442CC">
        <w:rPr>
          <w:rFonts w:ascii="Calibri" w:eastAsia="Calibri" w:hAnsi="Calibri" w:cs="Calibri"/>
          <w:iCs/>
        </w:rPr>
        <w:t xml:space="preserve"> clearly illustrate this increased </w:t>
      </w:r>
      <w:r w:rsidRPr="008442CC">
        <w:rPr>
          <w:rFonts w:ascii="Calibri" w:eastAsia="Calibri" w:hAnsi="Calibri" w:cs="Calibri"/>
          <w:i/>
          <w:iCs/>
        </w:rPr>
        <w:t>feeling</w:t>
      </w:r>
      <w:r w:rsidRPr="008442CC">
        <w:rPr>
          <w:rFonts w:ascii="Calibri" w:eastAsia="Calibri" w:hAnsi="Calibri" w:cs="Calibri"/>
          <w:iCs/>
        </w:rPr>
        <w:t xml:space="preserve"> of SV (whatever OV experiences might be at individual level):</w:t>
      </w:r>
    </w:p>
    <w:p w14:paraId="640BF263" w14:textId="46057E13" w:rsidR="00645972" w:rsidRPr="008442CC" w:rsidRDefault="00645972" w:rsidP="001F1307">
      <w:pPr>
        <w:spacing w:after="120"/>
        <w:ind w:left="567" w:right="561"/>
        <w:jc w:val="both"/>
        <w:rPr>
          <w:rFonts w:ascii="Calibri" w:eastAsia="Calibri" w:hAnsi="Calibri" w:cs="Calibri"/>
          <w:bCs/>
          <w:sz w:val="20"/>
          <w:szCs w:val="20"/>
        </w:rPr>
      </w:pPr>
      <w:r w:rsidRPr="008442CC">
        <w:rPr>
          <w:rFonts w:ascii="Calibri" w:eastAsia="Calibri" w:hAnsi="Calibri" w:cs="Calibri"/>
          <w:bCs/>
          <w:sz w:val="20"/>
          <w:szCs w:val="20"/>
        </w:rPr>
        <w:t xml:space="preserve">Since 2016, I </w:t>
      </w:r>
      <w:r w:rsidRPr="008442CC">
        <w:rPr>
          <w:rFonts w:ascii="Calibri" w:eastAsia="Calibri" w:hAnsi="Calibri" w:cs="Calibri"/>
          <w:bCs/>
          <w:i/>
          <w:sz w:val="20"/>
          <w:szCs w:val="20"/>
        </w:rPr>
        <w:t>feel</w:t>
      </w:r>
      <w:r w:rsidRPr="008442CC">
        <w:rPr>
          <w:rFonts w:ascii="Calibri" w:eastAsia="Calibri" w:hAnsi="Calibri" w:cs="Calibri"/>
          <w:bCs/>
          <w:sz w:val="20"/>
          <w:szCs w:val="20"/>
        </w:rPr>
        <w:t xml:space="preserve"> like I live in a different country, less tolerant. […] </w:t>
      </w:r>
      <w:r w:rsidRPr="008442CC">
        <w:rPr>
          <w:rFonts w:ascii="Calibri" w:eastAsia="Calibri" w:hAnsi="Calibri" w:cs="Calibri"/>
          <w:bCs/>
          <w:i/>
          <w:sz w:val="20"/>
          <w:szCs w:val="20"/>
        </w:rPr>
        <w:t xml:space="preserve">Hearing </w:t>
      </w:r>
      <w:r w:rsidRPr="008442CC">
        <w:rPr>
          <w:rFonts w:ascii="Calibri" w:eastAsia="Calibri" w:hAnsi="Calibri" w:cs="Calibri"/>
          <w:bCs/>
          <w:sz w:val="20"/>
          <w:szCs w:val="20"/>
        </w:rPr>
        <w:t>about anti-immigration campaign, discrimination and attacks towards EU immigrants is also disturbing. [</w:t>
      </w:r>
      <w:r w:rsidRPr="008442CC">
        <w:rPr>
          <w:rFonts w:ascii="Calibri" w:eastAsia="Calibri" w:hAnsi="Calibri" w:cs="Calibri"/>
        </w:rPr>
        <w:t>#</w:t>
      </w:r>
      <w:r w:rsidRPr="008442CC">
        <w:rPr>
          <w:rFonts w:ascii="Calibri" w:eastAsia="Calibri" w:hAnsi="Calibri" w:cs="Calibri"/>
          <w:bCs/>
          <w:sz w:val="20"/>
          <w:szCs w:val="20"/>
        </w:rPr>
        <w:t>2860873]</w:t>
      </w:r>
    </w:p>
    <w:p w14:paraId="395EBED2" w14:textId="77950B26" w:rsidR="00645972" w:rsidRPr="008442CC" w:rsidRDefault="00645972" w:rsidP="001F1307">
      <w:pPr>
        <w:spacing w:after="120"/>
        <w:ind w:left="567" w:right="561"/>
        <w:jc w:val="both"/>
        <w:rPr>
          <w:rFonts w:ascii="Calibri" w:eastAsia="Calibri" w:hAnsi="Calibri" w:cs="Calibri"/>
          <w:bCs/>
          <w:sz w:val="20"/>
          <w:szCs w:val="20"/>
        </w:rPr>
      </w:pPr>
      <w:r w:rsidRPr="008442CC">
        <w:rPr>
          <w:rFonts w:ascii="Calibri" w:eastAsia="Calibri" w:hAnsi="Calibri" w:cs="Calibri"/>
          <w:bCs/>
          <w:sz w:val="20"/>
          <w:szCs w:val="20"/>
        </w:rPr>
        <w:t>The most profound change [</w:t>
      </w:r>
      <w:r w:rsidR="00B95575" w:rsidRPr="008442CC">
        <w:rPr>
          <w:rFonts w:ascii="Calibri" w:eastAsia="Calibri" w:hAnsi="Calibri" w:cs="Calibri"/>
          <w:bCs/>
          <w:sz w:val="20"/>
          <w:szCs w:val="20"/>
        </w:rPr>
        <w:t>…</w:t>
      </w:r>
      <w:r w:rsidRPr="008442CC">
        <w:rPr>
          <w:rFonts w:ascii="Calibri" w:eastAsia="Calibri" w:hAnsi="Calibri" w:cs="Calibri"/>
          <w:bCs/>
          <w:sz w:val="20"/>
          <w:szCs w:val="20"/>
        </w:rPr>
        <w:t xml:space="preserve">] has been in the public discourse of the presence of Eastern European in the UK which changed from positive to very negative; </w:t>
      </w:r>
      <w:r w:rsidRPr="008442CC">
        <w:rPr>
          <w:rFonts w:ascii="Calibri" w:eastAsia="Calibri" w:hAnsi="Calibri" w:cs="Calibri"/>
          <w:bCs/>
          <w:i/>
          <w:sz w:val="20"/>
          <w:szCs w:val="20"/>
        </w:rPr>
        <w:t>it did not affect me directly</w:t>
      </w:r>
      <w:r w:rsidRPr="008442CC">
        <w:rPr>
          <w:rFonts w:ascii="Calibri" w:eastAsia="Calibri" w:hAnsi="Calibri" w:cs="Calibri"/>
          <w:bCs/>
          <w:sz w:val="20"/>
          <w:szCs w:val="20"/>
        </w:rPr>
        <w:t xml:space="preserve"> </w:t>
      </w:r>
      <w:r w:rsidRPr="008442CC">
        <w:rPr>
          <w:rFonts w:ascii="Calibri" w:eastAsia="Calibri" w:hAnsi="Calibri" w:cs="Calibri"/>
          <w:bCs/>
          <w:i/>
          <w:sz w:val="20"/>
          <w:szCs w:val="20"/>
        </w:rPr>
        <w:t>but made me feel less welcome</w:t>
      </w:r>
      <w:r w:rsidRPr="008442CC">
        <w:rPr>
          <w:rFonts w:ascii="Calibri" w:eastAsia="Calibri" w:hAnsi="Calibri" w:cs="Calibri"/>
          <w:bCs/>
          <w:sz w:val="20"/>
          <w:szCs w:val="20"/>
        </w:rPr>
        <w:t>. [</w:t>
      </w:r>
      <w:r w:rsidRPr="008442CC">
        <w:rPr>
          <w:rFonts w:ascii="Calibri" w:eastAsia="Calibri" w:hAnsi="Calibri" w:cs="Calibri"/>
        </w:rPr>
        <w:t>#</w:t>
      </w:r>
      <w:r w:rsidRPr="008442CC">
        <w:rPr>
          <w:rFonts w:ascii="Calibri" w:eastAsia="Calibri" w:hAnsi="Calibri" w:cs="Calibri"/>
          <w:bCs/>
          <w:sz w:val="20"/>
          <w:szCs w:val="20"/>
        </w:rPr>
        <w:t>2879319]</w:t>
      </w:r>
    </w:p>
    <w:p w14:paraId="4B3ABB9A" w14:textId="15663335" w:rsidR="00645972" w:rsidRPr="008442CC" w:rsidRDefault="00645972" w:rsidP="001F1307">
      <w:pPr>
        <w:spacing w:after="120"/>
        <w:ind w:left="567" w:right="561"/>
        <w:jc w:val="both"/>
        <w:rPr>
          <w:rFonts w:ascii="Calibri" w:eastAsia="Calibri" w:hAnsi="Calibri" w:cs="Calibri"/>
          <w:bCs/>
          <w:sz w:val="20"/>
          <w:szCs w:val="20"/>
        </w:rPr>
      </w:pPr>
      <w:r w:rsidRPr="008442CC">
        <w:rPr>
          <w:rFonts w:ascii="Calibri" w:eastAsia="Calibri" w:hAnsi="Calibri" w:cs="Calibri"/>
          <w:bCs/>
          <w:sz w:val="20"/>
          <w:szCs w:val="20"/>
        </w:rPr>
        <w:t xml:space="preserve">What has changed is probably </w:t>
      </w:r>
      <w:r w:rsidRPr="008442CC">
        <w:rPr>
          <w:rFonts w:ascii="Calibri" w:eastAsia="Calibri" w:hAnsi="Calibri" w:cs="Calibri"/>
          <w:bCs/>
          <w:i/>
          <w:sz w:val="20"/>
          <w:szCs w:val="20"/>
        </w:rPr>
        <w:t>my perception</w:t>
      </w:r>
      <w:r w:rsidRPr="008442CC">
        <w:rPr>
          <w:rFonts w:ascii="Calibri" w:eastAsia="Calibri" w:hAnsi="Calibri" w:cs="Calibri"/>
          <w:bCs/>
          <w:sz w:val="20"/>
          <w:szCs w:val="20"/>
        </w:rPr>
        <w:t xml:space="preserve">… I got much more </w:t>
      </w:r>
      <w:r w:rsidRPr="008442CC">
        <w:rPr>
          <w:rFonts w:ascii="Calibri" w:eastAsia="Calibri" w:hAnsi="Calibri" w:cs="Calibri"/>
          <w:bCs/>
          <w:i/>
          <w:sz w:val="20"/>
          <w:szCs w:val="20"/>
        </w:rPr>
        <w:t>sensitive</w:t>
      </w:r>
      <w:r w:rsidRPr="008442CC">
        <w:rPr>
          <w:rFonts w:ascii="Calibri" w:eastAsia="Calibri" w:hAnsi="Calibri" w:cs="Calibri"/>
          <w:bCs/>
          <w:sz w:val="20"/>
          <w:szCs w:val="20"/>
        </w:rPr>
        <w:t xml:space="preserve"> and much more </w:t>
      </w:r>
      <w:r w:rsidRPr="008442CC">
        <w:rPr>
          <w:rFonts w:ascii="Calibri" w:eastAsia="Calibri" w:hAnsi="Calibri" w:cs="Calibri"/>
          <w:bCs/>
          <w:i/>
          <w:sz w:val="20"/>
          <w:szCs w:val="20"/>
        </w:rPr>
        <w:t>suspicious</w:t>
      </w:r>
      <w:r w:rsidRPr="008442CC">
        <w:rPr>
          <w:rFonts w:ascii="Calibri" w:eastAsia="Calibri" w:hAnsi="Calibri" w:cs="Calibri"/>
          <w:bCs/>
          <w:sz w:val="20"/>
          <w:szCs w:val="20"/>
        </w:rPr>
        <w:t>… I … started to look for some kind of signals and things.</w:t>
      </w:r>
      <w:r w:rsidRPr="008442CC">
        <w:rPr>
          <w:rStyle w:val="EndnoteReference"/>
          <w:rFonts w:ascii="Calibri" w:eastAsia="Calibri" w:hAnsi="Calibri" w:cs="Calibri"/>
          <w:bCs/>
          <w:sz w:val="20"/>
          <w:szCs w:val="20"/>
        </w:rPr>
        <w:endnoteReference w:id="58"/>
      </w:r>
    </w:p>
    <w:p w14:paraId="273BF0CB" w14:textId="2E30CC4B" w:rsidR="00645972" w:rsidRPr="008442CC" w:rsidRDefault="00645972" w:rsidP="001F1307">
      <w:pPr>
        <w:spacing w:after="120"/>
        <w:ind w:left="567" w:right="561"/>
        <w:jc w:val="both"/>
        <w:rPr>
          <w:rFonts w:ascii="Calibri" w:eastAsia="Calibri" w:hAnsi="Calibri" w:cs="Calibri"/>
          <w:bCs/>
          <w:sz w:val="20"/>
          <w:szCs w:val="20"/>
        </w:rPr>
      </w:pPr>
      <w:r w:rsidRPr="008442CC">
        <w:rPr>
          <w:rFonts w:ascii="Calibri" w:eastAsia="Calibri" w:hAnsi="Calibri" w:cs="Calibri"/>
          <w:bCs/>
          <w:sz w:val="20"/>
          <w:szCs w:val="20"/>
        </w:rPr>
        <w:t xml:space="preserve">The decision to leave the EU resulted from antipathy towards immigrants, therefore </w:t>
      </w:r>
      <w:r w:rsidRPr="008442CC">
        <w:rPr>
          <w:rFonts w:ascii="Calibri" w:eastAsia="Calibri" w:hAnsi="Calibri" w:cs="Calibri"/>
          <w:bCs/>
          <w:i/>
          <w:sz w:val="20"/>
          <w:szCs w:val="20"/>
        </w:rPr>
        <w:t>I took personally the result of the referendum</w:t>
      </w:r>
      <w:r w:rsidRPr="008442CC">
        <w:rPr>
          <w:rFonts w:ascii="Calibri" w:eastAsia="Calibri" w:hAnsi="Calibri" w:cs="Calibri"/>
          <w:bCs/>
          <w:sz w:val="20"/>
          <w:szCs w:val="20"/>
        </w:rPr>
        <w:t>, since it shows how much English people do not want us *immigrants* here. [</w:t>
      </w:r>
      <w:r w:rsidRPr="008442CC">
        <w:rPr>
          <w:rFonts w:ascii="Calibri" w:eastAsia="Calibri" w:hAnsi="Calibri" w:cs="Calibri"/>
        </w:rPr>
        <w:t>#</w:t>
      </w:r>
      <w:r w:rsidRPr="008442CC">
        <w:rPr>
          <w:rFonts w:ascii="Calibri" w:eastAsia="Calibri" w:hAnsi="Calibri" w:cs="Calibri"/>
          <w:bCs/>
          <w:sz w:val="20"/>
          <w:szCs w:val="20"/>
        </w:rPr>
        <w:t>2860947]</w:t>
      </w:r>
    </w:p>
    <w:p w14:paraId="4191712A" w14:textId="77777777" w:rsidR="00645972" w:rsidRPr="008442CC" w:rsidRDefault="00645972" w:rsidP="001F1307">
      <w:pPr>
        <w:ind w:left="567" w:right="560"/>
        <w:jc w:val="both"/>
        <w:rPr>
          <w:rFonts w:ascii="Calibri" w:eastAsia="Calibri" w:hAnsi="Calibri" w:cs="Calibri"/>
          <w:bCs/>
          <w:sz w:val="20"/>
          <w:szCs w:val="20"/>
        </w:rPr>
      </w:pPr>
    </w:p>
    <w:p w14:paraId="03AF34CC" w14:textId="795A5C85" w:rsidR="00645972" w:rsidRPr="008442CC" w:rsidRDefault="00645972" w:rsidP="001F1307">
      <w:pPr>
        <w:spacing w:line="360" w:lineRule="auto"/>
        <w:jc w:val="both"/>
        <w:rPr>
          <w:rFonts w:ascii="Calibri" w:eastAsia="Calibri" w:hAnsi="Calibri" w:cs="Calibri"/>
          <w:iCs/>
        </w:rPr>
      </w:pPr>
      <w:r w:rsidRPr="008442CC">
        <w:rPr>
          <w:rFonts w:ascii="Calibri" w:eastAsia="Calibri" w:hAnsi="Calibri" w:cs="Calibri"/>
          <w:iCs/>
        </w:rPr>
        <w:t xml:space="preserve">Accordingly, the strong presence of anti-migrant rhetoric in the </w:t>
      </w:r>
      <w:r w:rsidR="004E0676" w:rsidRPr="008442CC">
        <w:rPr>
          <w:rFonts w:ascii="Calibri" w:eastAsia="Calibri" w:hAnsi="Calibri" w:cs="Calibri"/>
          <w:iCs/>
        </w:rPr>
        <w:t>ER</w:t>
      </w:r>
      <w:r w:rsidRPr="008442CC">
        <w:rPr>
          <w:rFonts w:ascii="Calibri" w:eastAsia="Calibri" w:hAnsi="Calibri" w:cs="Calibri"/>
          <w:iCs/>
        </w:rPr>
        <w:t xml:space="preserve"> campaign and the understanding that the result somehow legitim</w:t>
      </w:r>
      <w:r w:rsidR="00B903EF" w:rsidRPr="008442CC">
        <w:rPr>
          <w:rFonts w:ascii="Calibri" w:eastAsia="Calibri" w:hAnsi="Calibri" w:cs="Calibri"/>
          <w:iCs/>
        </w:rPr>
        <w:t>ised</w:t>
      </w:r>
      <w:r w:rsidRPr="008442CC">
        <w:rPr>
          <w:rFonts w:ascii="Calibri" w:eastAsia="Calibri" w:hAnsi="Calibri" w:cs="Calibri"/>
          <w:iCs/>
        </w:rPr>
        <w:t xml:space="preserve"> it, left many Poles </w:t>
      </w:r>
      <w:r w:rsidRPr="008442CC">
        <w:rPr>
          <w:rFonts w:ascii="Calibri" w:eastAsia="Calibri" w:hAnsi="Calibri" w:cs="Calibri"/>
          <w:i/>
          <w:iCs/>
        </w:rPr>
        <w:t xml:space="preserve">feeling </w:t>
      </w:r>
      <w:r w:rsidRPr="008442CC">
        <w:rPr>
          <w:rFonts w:ascii="Calibri" w:eastAsia="Calibri" w:hAnsi="Calibri" w:cs="Calibri"/>
          <w:iCs/>
        </w:rPr>
        <w:t xml:space="preserve">collectively prejudiced, judged, and thus, </w:t>
      </w:r>
      <w:r w:rsidRPr="008442CC">
        <w:rPr>
          <w:rFonts w:ascii="Calibri" w:eastAsia="Calibri" w:hAnsi="Calibri" w:cs="Calibri"/>
          <w:i/>
          <w:iCs/>
        </w:rPr>
        <w:t>subjectively</w:t>
      </w:r>
      <w:r w:rsidRPr="008442CC">
        <w:rPr>
          <w:rFonts w:ascii="Calibri" w:eastAsia="Calibri" w:hAnsi="Calibri" w:cs="Calibri"/>
          <w:iCs/>
        </w:rPr>
        <w:t xml:space="preserve"> vulnerable, by the very fact of the </w:t>
      </w:r>
      <w:r w:rsidR="004E0676" w:rsidRPr="008442CC">
        <w:rPr>
          <w:rFonts w:ascii="Calibri" w:eastAsia="Calibri" w:hAnsi="Calibri" w:cs="Calibri"/>
          <w:iCs/>
        </w:rPr>
        <w:t xml:space="preserve">ER </w:t>
      </w:r>
      <w:r w:rsidRPr="008442CC">
        <w:rPr>
          <w:rFonts w:ascii="Calibri" w:eastAsia="Calibri" w:hAnsi="Calibri" w:cs="Calibri"/>
          <w:iCs/>
        </w:rPr>
        <w:t>result.</w:t>
      </w:r>
      <w:r w:rsidRPr="008442CC">
        <w:rPr>
          <w:rFonts w:ascii="Calibri" w:eastAsia="Calibri" w:hAnsi="Calibri" w:cs="Arial"/>
          <w:vertAlign w:val="superscript"/>
        </w:rPr>
        <w:endnoteReference w:id="59"/>
      </w:r>
      <w:r w:rsidR="001B553A" w:rsidRPr="008442CC">
        <w:rPr>
          <w:rFonts w:ascii="Calibri" w:eastAsia="Calibri" w:hAnsi="Calibri" w:cs="Calibri"/>
          <w:iCs/>
        </w:rPr>
        <w:t xml:space="preserve"> This is consistent with the ontological insecurity and existential anxieties</w:t>
      </w:r>
      <w:r w:rsidR="00FE4198" w:rsidRPr="008442CC">
        <w:rPr>
          <w:rFonts w:ascii="Calibri" w:eastAsia="Calibri" w:hAnsi="Calibri" w:cs="Calibri"/>
          <w:iCs/>
        </w:rPr>
        <w:t xml:space="preserve"> </w:t>
      </w:r>
      <w:r w:rsidR="001B553A" w:rsidRPr="008442CC">
        <w:rPr>
          <w:rFonts w:ascii="Calibri" w:eastAsia="Calibri" w:hAnsi="Calibri" w:cs="Calibri"/>
          <w:iCs/>
        </w:rPr>
        <w:t>triggered by Brexit among EU nationals (see Browning 2018</w:t>
      </w:r>
      <w:r w:rsidR="00F55410" w:rsidRPr="008442CC">
        <w:rPr>
          <w:rFonts w:ascii="Calibri" w:eastAsia="Calibri" w:hAnsi="Calibri" w:cs="Calibri"/>
          <w:iCs/>
        </w:rPr>
        <w:t>) as it amounts to the insecurity of the self or of the subjective sense of who one is (</w:t>
      </w:r>
      <w:proofErr w:type="spellStart"/>
      <w:r w:rsidR="00F55410" w:rsidRPr="008442CC">
        <w:rPr>
          <w:rFonts w:ascii="Calibri" w:eastAsia="Calibri" w:hAnsi="Calibri" w:cs="Calibri"/>
          <w:iCs/>
        </w:rPr>
        <w:t>Mitzen</w:t>
      </w:r>
      <w:proofErr w:type="spellEnd"/>
      <w:r w:rsidR="00F55410" w:rsidRPr="008442CC">
        <w:rPr>
          <w:rFonts w:ascii="Calibri" w:eastAsia="Calibri" w:hAnsi="Calibri" w:cs="Calibri"/>
          <w:iCs/>
        </w:rPr>
        <w:t xml:space="preserve"> 2006), which had been threatened by Brexit.</w:t>
      </w:r>
    </w:p>
    <w:p w14:paraId="73893618" w14:textId="77777777" w:rsidR="00645972" w:rsidRPr="008442CC" w:rsidRDefault="00645972" w:rsidP="001F1307">
      <w:pPr>
        <w:ind w:left="720"/>
        <w:contextualSpacing/>
        <w:jc w:val="both"/>
        <w:rPr>
          <w:rFonts w:ascii="Calibri" w:eastAsia="Calibri" w:hAnsi="Calibri" w:cs="Arial"/>
        </w:rPr>
      </w:pPr>
    </w:p>
    <w:p w14:paraId="71ED3B90" w14:textId="77777777" w:rsidR="00645972" w:rsidRPr="008442CC" w:rsidRDefault="00645972" w:rsidP="001F1307">
      <w:pPr>
        <w:numPr>
          <w:ilvl w:val="0"/>
          <w:numId w:val="12"/>
        </w:numPr>
        <w:ind w:left="284" w:hanging="284"/>
        <w:contextualSpacing/>
        <w:jc w:val="both"/>
        <w:rPr>
          <w:rFonts w:ascii="Calibri" w:eastAsia="Calibri" w:hAnsi="Calibri" w:cs="Arial"/>
          <w:b/>
          <w:i/>
        </w:rPr>
      </w:pPr>
      <w:r w:rsidRPr="008442CC">
        <w:rPr>
          <w:rFonts w:ascii="Calibri" w:eastAsia="Calibri" w:hAnsi="Calibri" w:cs="Arial"/>
          <w:b/>
          <w:i/>
        </w:rPr>
        <w:t>Uncertainty and anxiety about the future legal status and rights</w:t>
      </w:r>
    </w:p>
    <w:p w14:paraId="35130577" w14:textId="77777777" w:rsidR="00645972" w:rsidRPr="008442CC" w:rsidRDefault="00645972" w:rsidP="001F1307">
      <w:pPr>
        <w:jc w:val="both"/>
        <w:rPr>
          <w:rFonts w:ascii="Calibri" w:eastAsia="Calibri" w:hAnsi="Calibri" w:cs="Arial"/>
        </w:rPr>
      </w:pPr>
    </w:p>
    <w:p w14:paraId="35C56D57" w14:textId="1A9C6144" w:rsidR="00645972" w:rsidRPr="008442CC" w:rsidRDefault="00645972" w:rsidP="001F1307">
      <w:pPr>
        <w:spacing w:line="360" w:lineRule="auto"/>
        <w:jc w:val="both"/>
        <w:rPr>
          <w:rFonts w:ascii="Calibri" w:eastAsia="Calibri" w:hAnsi="Calibri" w:cs="Calibri"/>
          <w:bCs/>
        </w:rPr>
      </w:pPr>
      <w:r w:rsidRPr="008442CC">
        <w:rPr>
          <w:rFonts w:ascii="Calibri" w:eastAsia="Calibri" w:hAnsi="Calibri" w:cs="Calibri"/>
          <w:bCs/>
        </w:rPr>
        <w:t xml:space="preserve">Another key contributing factor to the Poles’ SV is the </w:t>
      </w:r>
      <w:r w:rsidRPr="008442CC">
        <w:rPr>
          <w:rFonts w:ascii="Calibri" w:eastAsia="Calibri" w:hAnsi="Calibri" w:cs="Calibri"/>
        </w:rPr>
        <w:t>uncertainty about their future legal status,</w:t>
      </w:r>
      <w:r w:rsidRPr="008442CC">
        <w:rPr>
          <w:rFonts w:ascii="Calibri" w:eastAsia="Calibri" w:hAnsi="Calibri" w:cs="Calibri"/>
          <w:bCs/>
        </w:rPr>
        <w:t xml:space="preserve"> including their right to reside in the UK and their entitlement to access social rights post-Brexit. In this regard, </w:t>
      </w:r>
      <w:r w:rsidR="00FE4198" w:rsidRPr="008442CC">
        <w:rPr>
          <w:rFonts w:ascii="Calibri" w:eastAsia="Calibri" w:hAnsi="Calibri" w:cs="Calibri"/>
        </w:rPr>
        <w:t xml:space="preserve">the literature </w:t>
      </w:r>
      <w:r w:rsidRPr="008442CC">
        <w:rPr>
          <w:rFonts w:ascii="Calibri" w:eastAsia="Calibri" w:hAnsi="Calibri" w:cs="Calibri"/>
        </w:rPr>
        <w:t>ha</w:t>
      </w:r>
      <w:r w:rsidR="00FE4198" w:rsidRPr="008442CC">
        <w:rPr>
          <w:rFonts w:ascii="Calibri" w:eastAsia="Calibri" w:hAnsi="Calibri" w:cs="Calibri"/>
        </w:rPr>
        <w:t>s</w:t>
      </w:r>
      <w:r w:rsidRPr="008442CC">
        <w:rPr>
          <w:rFonts w:ascii="Calibri" w:eastAsia="Calibri" w:hAnsi="Calibri" w:cs="Calibri"/>
        </w:rPr>
        <w:t xml:space="preserve"> shown that </w:t>
      </w:r>
      <w:r w:rsidR="00FE4198" w:rsidRPr="008442CC">
        <w:rPr>
          <w:rFonts w:ascii="Calibri" w:eastAsia="Calibri" w:hAnsi="Calibri" w:cs="Calibri"/>
        </w:rPr>
        <w:t xml:space="preserve">Poles’ </w:t>
      </w:r>
      <w:r w:rsidRPr="008442CC">
        <w:rPr>
          <w:rFonts w:ascii="Calibri" w:eastAsia="Calibri" w:hAnsi="Calibri" w:cs="Calibri"/>
        </w:rPr>
        <w:t xml:space="preserve">anxiety about their future legal status and rights has been the main factor pushing </w:t>
      </w:r>
      <w:r w:rsidR="00FE4198" w:rsidRPr="008442CC">
        <w:rPr>
          <w:rFonts w:ascii="Calibri" w:eastAsia="Calibri" w:hAnsi="Calibri" w:cs="Calibri"/>
        </w:rPr>
        <w:t>them</w:t>
      </w:r>
      <w:r w:rsidRPr="008442CC">
        <w:rPr>
          <w:rFonts w:ascii="Calibri" w:eastAsia="Calibri" w:hAnsi="Calibri" w:cs="Calibri"/>
        </w:rPr>
        <w:t xml:space="preserve"> away from </w:t>
      </w:r>
      <w:r w:rsidR="00B95575" w:rsidRPr="008442CC">
        <w:rPr>
          <w:rFonts w:ascii="Calibri" w:eastAsia="Calibri" w:hAnsi="Calibri" w:cs="Calibri"/>
        </w:rPr>
        <w:t>“</w:t>
      </w:r>
      <w:r w:rsidRPr="008442CC">
        <w:rPr>
          <w:rFonts w:ascii="Calibri" w:eastAsia="Calibri" w:hAnsi="Calibri" w:cs="Calibri"/>
        </w:rPr>
        <w:t>indeterminacy</w:t>
      </w:r>
      <w:r w:rsidR="00B95575" w:rsidRPr="008442CC">
        <w:rPr>
          <w:rFonts w:ascii="Calibri" w:eastAsia="Calibri" w:hAnsi="Calibri" w:cs="Calibri"/>
        </w:rPr>
        <w:t>”</w:t>
      </w:r>
      <w:r w:rsidRPr="008442CC">
        <w:rPr>
          <w:rFonts w:ascii="Calibri" w:eastAsia="Calibri" w:hAnsi="Calibri" w:cs="Calibri"/>
        </w:rPr>
        <w:t xml:space="preserve"> in their migration strategies and towards formulating more concrete plans for their future</w:t>
      </w:r>
      <w:r w:rsidR="00FE4198" w:rsidRPr="008442CC">
        <w:rPr>
          <w:rFonts w:ascii="Calibri" w:eastAsia="Calibri" w:hAnsi="Calibri" w:cs="Calibri"/>
        </w:rPr>
        <w:t xml:space="preserve"> (McGhee et al 2017)</w:t>
      </w:r>
      <w:r w:rsidRPr="008442CC">
        <w:rPr>
          <w:rFonts w:ascii="Calibri" w:eastAsia="Calibri" w:hAnsi="Calibri" w:cs="Calibri"/>
        </w:rPr>
        <w:t xml:space="preserve">. According to </w:t>
      </w:r>
      <w:r w:rsidR="00FE4198" w:rsidRPr="008442CC">
        <w:rPr>
          <w:rFonts w:ascii="Calibri" w:eastAsia="Calibri" w:hAnsi="Calibri" w:cs="Calibri"/>
        </w:rPr>
        <w:t>McGhee et al (2017)</w:t>
      </w:r>
      <w:r w:rsidRPr="008442CC">
        <w:rPr>
          <w:rFonts w:ascii="Calibri" w:eastAsia="Calibri" w:hAnsi="Calibri" w:cs="Calibri"/>
        </w:rPr>
        <w:t xml:space="preserve">, Poles </w:t>
      </w:r>
      <w:r w:rsidRPr="008442CC">
        <w:rPr>
          <w:rFonts w:ascii="Calibri" w:eastAsia="Calibri" w:hAnsi="Calibri" w:cs="Calibri"/>
          <w:bCs/>
        </w:rPr>
        <w:t>anxious about Brexit are 3.2 times more likely to plan to leave the UK and 2.5 more likely to want to apply either for permanent residence or for British citizenship.</w:t>
      </w:r>
      <w:r w:rsidR="00FE4198" w:rsidRPr="008442CC">
        <w:rPr>
          <w:rFonts w:ascii="Calibri" w:eastAsia="Calibri" w:hAnsi="Calibri" w:cs="Calibri"/>
          <w:bCs/>
        </w:rPr>
        <w:t xml:space="preserve"> </w:t>
      </w:r>
      <w:r w:rsidR="00BB3955" w:rsidRPr="008442CC">
        <w:rPr>
          <w:rFonts w:ascii="Calibri" w:eastAsia="Calibri" w:hAnsi="Calibri" w:cs="Calibri"/>
          <w:bCs/>
          <w:i/>
          <w:iCs/>
        </w:rPr>
        <w:t>O</w:t>
      </w:r>
      <w:r w:rsidRPr="008442CC">
        <w:rPr>
          <w:rFonts w:ascii="Calibri" w:eastAsia="Calibri" w:hAnsi="Calibri" w:cs="Calibri"/>
          <w:bCs/>
          <w:i/>
          <w:iCs/>
        </w:rPr>
        <w:t>ur own survey</w:t>
      </w:r>
      <w:r w:rsidRPr="008442CC">
        <w:rPr>
          <w:rFonts w:ascii="Calibri" w:eastAsia="Calibri" w:hAnsi="Calibri" w:cs="Calibri"/>
          <w:bCs/>
        </w:rPr>
        <w:t xml:space="preserve"> revealed a statistically significant increase (at 1%) in respondents who started to think about returning to Poland during the </w:t>
      </w:r>
      <w:r w:rsidR="004E0676" w:rsidRPr="008442CC">
        <w:rPr>
          <w:rFonts w:ascii="Calibri" w:eastAsia="Calibri" w:hAnsi="Calibri" w:cs="Calibri"/>
          <w:bCs/>
        </w:rPr>
        <w:t>ER</w:t>
      </w:r>
      <w:r w:rsidRPr="008442CC">
        <w:rPr>
          <w:rFonts w:ascii="Calibri" w:eastAsia="Calibri" w:hAnsi="Calibri" w:cs="Calibri"/>
          <w:bCs/>
        </w:rPr>
        <w:t xml:space="preserve"> campaign or shortly after the vote,</w:t>
      </w:r>
      <w:r w:rsidRPr="008442CC">
        <w:rPr>
          <w:rStyle w:val="EndnoteReference"/>
          <w:rFonts w:ascii="Calibri" w:eastAsia="Calibri" w:hAnsi="Calibri" w:cs="Calibri"/>
          <w:bCs/>
        </w:rPr>
        <w:endnoteReference w:id="60"/>
      </w:r>
      <w:r w:rsidRPr="008442CC">
        <w:rPr>
          <w:rFonts w:ascii="Calibri" w:eastAsia="Calibri" w:hAnsi="Calibri" w:cs="Calibri"/>
          <w:bCs/>
        </w:rPr>
        <w:t xml:space="preserve"> which may be linked to the so-called </w:t>
      </w:r>
      <w:r w:rsidR="00B95575" w:rsidRPr="008442CC">
        <w:rPr>
          <w:rFonts w:ascii="Calibri" w:eastAsia="Calibri" w:hAnsi="Calibri" w:cs="Calibri"/>
          <w:bCs/>
        </w:rPr>
        <w:t>“</w:t>
      </w:r>
      <w:r w:rsidRPr="008442CC">
        <w:rPr>
          <w:rFonts w:ascii="Calibri" w:eastAsia="Calibri" w:hAnsi="Calibri" w:cs="Calibri"/>
          <w:bCs/>
        </w:rPr>
        <w:t>Brexit anxiety</w:t>
      </w:r>
      <w:r w:rsidR="00B95575" w:rsidRPr="008442CC">
        <w:rPr>
          <w:rFonts w:ascii="Calibri" w:eastAsia="Calibri" w:hAnsi="Calibri" w:cs="Calibri"/>
          <w:bCs/>
        </w:rPr>
        <w:t>”</w:t>
      </w:r>
      <w:r w:rsidRPr="008442CC">
        <w:rPr>
          <w:rFonts w:ascii="Calibri" w:eastAsia="Calibri" w:hAnsi="Calibri" w:cs="Calibri"/>
          <w:bCs/>
        </w:rPr>
        <w:t xml:space="preserve"> (Currie 2016).</w:t>
      </w:r>
    </w:p>
    <w:p w14:paraId="7200648A" w14:textId="7C4C266C" w:rsidR="00645972" w:rsidRPr="008442CC" w:rsidRDefault="00645972" w:rsidP="001F1307">
      <w:pPr>
        <w:spacing w:line="360" w:lineRule="auto"/>
        <w:jc w:val="both"/>
        <w:rPr>
          <w:rFonts w:ascii="Calibri" w:eastAsia="Calibri" w:hAnsi="Calibri" w:cs="Calibri"/>
          <w:bCs/>
        </w:rPr>
      </w:pPr>
      <w:r w:rsidRPr="008442CC">
        <w:rPr>
          <w:rFonts w:ascii="Calibri" w:eastAsia="Calibri" w:hAnsi="Calibri" w:cs="Calibri"/>
          <w:bCs/>
        </w:rPr>
        <w:t xml:space="preserve">Moreover, the multiple options to secure residency rights and the contradictory -or outright lack of- official guidance, </w:t>
      </w:r>
      <w:r w:rsidR="00D44EC7" w:rsidRPr="008442CC">
        <w:rPr>
          <w:rFonts w:ascii="Calibri" w:eastAsia="Calibri" w:hAnsi="Calibri" w:cs="Calibri"/>
          <w:bCs/>
        </w:rPr>
        <w:t xml:space="preserve">the little clarity regarding the evidence required by EU </w:t>
      </w:r>
      <w:r w:rsidR="00D44EC7" w:rsidRPr="008442CC">
        <w:rPr>
          <w:rFonts w:ascii="Calibri" w:eastAsia="Calibri" w:hAnsi="Calibri" w:cs="Calibri"/>
          <w:bCs/>
        </w:rPr>
        <w:lastRenderedPageBreak/>
        <w:t xml:space="preserve">nationals when applying for the post-Brexit “settled status” scheme (O’Brien 2019), </w:t>
      </w:r>
      <w:r w:rsidRPr="008442CC">
        <w:rPr>
          <w:rFonts w:ascii="Calibri" w:eastAsia="Calibri" w:hAnsi="Calibri" w:cs="Calibri"/>
          <w:bCs/>
        </w:rPr>
        <w:t xml:space="preserve">together with high levels of administrative injustice experienced by EU nationals claiming free movement rights already before the </w:t>
      </w:r>
      <w:r w:rsidR="004E0676" w:rsidRPr="008442CC">
        <w:rPr>
          <w:rFonts w:ascii="Calibri" w:eastAsia="Calibri" w:hAnsi="Calibri" w:cs="Calibri"/>
          <w:bCs/>
        </w:rPr>
        <w:t>ER</w:t>
      </w:r>
      <w:r w:rsidRPr="008442CC">
        <w:rPr>
          <w:rFonts w:ascii="Calibri" w:eastAsia="Calibri" w:hAnsi="Calibri" w:cs="Calibri"/>
          <w:bCs/>
        </w:rPr>
        <w:t xml:space="preserve"> (O’Brien 2017)</w:t>
      </w:r>
      <w:r w:rsidR="00D44EC7" w:rsidRPr="008442CC">
        <w:rPr>
          <w:rFonts w:ascii="Calibri" w:eastAsia="Calibri" w:hAnsi="Calibri" w:cs="Calibri"/>
          <w:bCs/>
        </w:rPr>
        <w:t>,</w:t>
      </w:r>
      <w:r w:rsidRPr="008442CC">
        <w:rPr>
          <w:rFonts w:ascii="Calibri" w:eastAsia="Calibri" w:hAnsi="Calibri" w:cs="Calibri"/>
          <w:bCs/>
        </w:rPr>
        <w:t xml:space="preserve"> have also notably contributed to the </w:t>
      </w:r>
      <w:r w:rsidR="00B95575" w:rsidRPr="008442CC">
        <w:rPr>
          <w:rFonts w:ascii="Calibri" w:eastAsia="Calibri" w:hAnsi="Calibri" w:cs="Calibri"/>
          <w:bCs/>
        </w:rPr>
        <w:t>“</w:t>
      </w:r>
      <w:r w:rsidRPr="008442CC">
        <w:rPr>
          <w:rFonts w:ascii="Calibri" w:eastAsia="Calibri" w:hAnsi="Calibri" w:cs="Calibri"/>
          <w:bCs/>
        </w:rPr>
        <w:t>Brexit anxiety</w:t>
      </w:r>
      <w:r w:rsidR="00B95575" w:rsidRPr="008442CC">
        <w:rPr>
          <w:rFonts w:ascii="Calibri" w:eastAsia="Calibri" w:hAnsi="Calibri" w:cs="Calibri"/>
          <w:bCs/>
        </w:rPr>
        <w:t>”</w:t>
      </w:r>
      <w:r w:rsidR="00D44EC7" w:rsidRPr="008442CC">
        <w:rPr>
          <w:rFonts w:ascii="Calibri" w:eastAsia="Calibri" w:hAnsi="Calibri" w:cs="Calibri"/>
          <w:bCs/>
        </w:rPr>
        <w:t>.</w:t>
      </w:r>
      <w:r w:rsidR="00D44EC7" w:rsidRPr="008442CC">
        <w:rPr>
          <w:rStyle w:val="EndnoteReference"/>
          <w:rFonts w:ascii="Calibri" w:eastAsia="Calibri" w:hAnsi="Calibri" w:cs="Calibri"/>
          <w:bCs/>
        </w:rPr>
        <w:endnoteReference w:id="61"/>
      </w:r>
      <w:r w:rsidR="00D44EC7" w:rsidRPr="008442CC">
        <w:rPr>
          <w:rFonts w:ascii="Calibri" w:eastAsia="Calibri" w:hAnsi="Calibri" w:cs="Calibri"/>
          <w:bCs/>
        </w:rPr>
        <w:t xml:space="preserve"> </w:t>
      </w:r>
      <w:r w:rsidRPr="008442CC">
        <w:rPr>
          <w:rFonts w:ascii="Calibri" w:eastAsia="Calibri" w:hAnsi="Calibri" w:cs="Calibri"/>
          <w:bCs/>
          <w:i/>
          <w:iCs/>
        </w:rPr>
        <w:t>Our participants</w:t>
      </w:r>
      <w:r w:rsidRPr="008442CC">
        <w:rPr>
          <w:rFonts w:ascii="Calibri" w:eastAsia="Calibri" w:hAnsi="Calibri" w:cs="Calibri"/>
          <w:bCs/>
        </w:rPr>
        <w:t xml:space="preserve"> </w:t>
      </w:r>
      <w:r w:rsidR="00FE4198" w:rsidRPr="008442CC">
        <w:rPr>
          <w:rFonts w:ascii="Calibri" w:eastAsia="Calibri" w:hAnsi="Calibri" w:cs="Calibri"/>
          <w:bCs/>
        </w:rPr>
        <w:t>confirmed these feelings</w:t>
      </w:r>
      <w:r w:rsidRPr="008442CC">
        <w:rPr>
          <w:rFonts w:ascii="Calibri" w:eastAsia="Calibri" w:hAnsi="Calibri" w:cs="Calibri"/>
          <w:bCs/>
        </w:rPr>
        <w:t xml:space="preserve"> as follows:</w:t>
      </w:r>
    </w:p>
    <w:p w14:paraId="141DFC58" w14:textId="3190DF98" w:rsidR="00645972" w:rsidRPr="008442CC" w:rsidRDefault="00645972" w:rsidP="001F1307">
      <w:pPr>
        <w:spacing w:after="240"/>
        <w:ind w:left="567" w:right="561"/>
        <w:jc w:val="both"/>
        <w:rPr>
          <w:rFonts w:ascii="Calibri" w:eastAsia="Calibri" w:hAnsi="Calibri" w:cs="Calibri"/>
          <w:bCs/>
          <w:sz w:val="20"/>
          <w:szCs w:val="20"/>
        </w:rPr>
      </w:pPr>
      <w:r w:rsidRPr="008442CC">
        <w:rPr>
          <w:rFonts w:ascii="Calibri" w:eastAsia="Calibri" w:hAnsi="Calibri" w:cs="Calibri"/>
          <w:bCs/>
          <w:sz w:val="20"/>
          <w:szCs w:val="20"/>
        </w:rPr>
        <w:t xml:space="preserve">Because of Brexit, there was unnecessary confusion created, a lot of Polish people became </w:t>
      </w:r>
      <w:r w:rsidRPr="008442CC">
        <w:rPr>
          <w:rFonts w:ascii="Calibri" w:eastAsia="Calibri" w:hAnsi="Calibri" w:cs="Calibri"/>
          <w:bCs/>
          <w:i/>
          <w:sz w:val="20"/>
          <w:szCs w:val="20"/>
        </w:rPr>
        <w:t>unsure about their future</w:t>
      </w:r>
      <w:r w:rsidRPr="008442CC">
        <w:rPr>
          <w:rFonts w:ascii="Calibri" w:eastAsia="Calibri" w:hAnsi="Calibri" w:cs="Calibri"/>
          <w:bCs/>
          <w:sz w:val="20"/>
          <w:szCs w:val="20"/>
        </w:rPr>
        <w:t xml:space="preserve"> and they decided to leave the UK. [#2914717]</w:t>
      </w:r>
    </w:p>
    <w:p w14:paraId="5D667955" w14:textId="1DDE9F6A" w:rsidR="00645972" w:rsidRPr="008442CC" w:rsidRDefault="00645972" w:rsidP="001F1307">
      <w:pPr>
        <w:spacing w:after="240"/>
        <w:ind w:left="567" w:right="561"/>
        <w:jc w:val="both"/>
        <w:rPr>
          <w:rFonts w:ascii="Calibri" w:eastAsia="Calibri" w:hAnsi="Calibri" w:cs="Calibri"/>
          <w:bCs/>
          <w:sz w:val="20"/>
          <w:szCs w:val="20"/>
        </w:rPr>
      </w:pPr>
      <w:r w:rsidRPr="008442CC">
        <w:rPr>
          <w:rFonts w:ascii="Calibri" w:eastAsia="Calibri" w:hAnsi="Calibri" w:cs="Calibri"/>
          <w:bCs/>
          <w:sz w:val="20"/>
          <w:szCs w:val="20"/>
        </w:rPr>
        <w:t xml:space="preserve">There is a lot of </w:t>
      </w:r>
      <w:r w:rsidRPr="008442CC">
        <w:rPr>
          <w:rFonts w:ascii="Calibri" w:eastAsia="Calibri" w:hAnsi="Calibri" w:cs="Calibri"/>
          <w:bCs/>
          <w:i/>
          <w:sz w:val="20"/>
          <w:szCs w:val="20"/>
        </w:rPr>
        <w:t>distress</w:t>
      </w:r>
      <w:r w:rsidRPr="008442CC">
        <w:rPr>
          <w:rFonts w:ascii="Calibri" w:eastAsia="Calibri" w:hAnsi="Calibri" w:cs="Calibri"/>
          <w:bCs/>
          <w:sz w:val="20"/>
          <w:szCs w:val="20"/>
        </w:rPr>
        <w:t xml:space="preserve"> […] People, you know, coming, </w:t>
      </w:r>
      <w:r w:rsidRPr="008442CC">
        <w:rPr>
          <w:rFonts w:ascii="Calibri" w:eastAsia="Calibri" w:hAnsi="Calibri" w:cs="Calibri"/>
          <w:bCs/>
          <w:i/>
          <w:sz w:val="20"/>
          <w:szCs w:val="20"/>
        </w:rPr>
        <w:t>being uncertain</w:t>
      </w:r>
      <w:r w:rsidRPr="008442CC">
        <w:rPr>
          <w:rFonts w:ascii="Calibri" w:eastAsia="Calibri" w:hAnsi="Calibri" w:cs="Calibri"/>
          <w:bCs/>
          <w:sz w:val="20"/>
          <w:szCs w:val="20"/>
        </w:rPr>
        <w:t>, “What is going to happen to me, to my family? Should I become British?” And trying to save this money in order to make their [naturali</w:t>
      </w:r>
      <w:r w:rsidR="00B95575" w:rsidRPr="008442CC">
        <w:rPr>
          <w:rFonts w:ascii="Calibri" w:eastAsia="Calibri" w:hAnsi="Calibri" w:cs="Calibri"/>
          <w:bCs/>
          <w:sz w:val="20"/>
          <w:szCs w:val="20"/>
        </w:rPr>
        <w:t>s</w:t>
      </w:r>
      <w:r w:rsidRPr="008442CC">
        <w:rPr>
          <w:rFonts w:ascii="Calibri" w:eastAsia="Calibri" w:hAnsi="Calibri" w:cs="Calibri"/>
          <w:bCs/>
          <w:sz w:val="20"/>
          <w:szCs w:val="20"/>
        </w:rPr>
        <w:t>ation] applications to become British because they are afraid, they are in fear about what is going to happen.</w:t>
      </w:r>
      <w:r w:rsidRPr="008442CC">
        <w:rPr>
          <w:rStyle w:val="EndnoteReference"/>
          <w:rFonts w:ascii="Calibri" w:eastAsia="Calibri" w:hAnsi="Calibri" w:cs="Calibri"/>
          <w:bCs/>
          <w:sz w:val="20"/>
          <w:szCs w:val="20"/>
        </w:rPr>
        <w:endnoteReference w:id="62"/>
      </w:r>
    </w:p>
    <w:p w14:paraId="07E5D0F4" w14:textId="70AC8456" w:rsidR="00645972" w:rsidRPr="008442CC" w:rsidRDefault="00D44EC7" w:rsidP="001F1307">
      <w:pPr>
        <w:spacing w:after="120" w:line="360" w:lineRule="auto"/>
        <w:jc w:val="both"/>
        <w:rPr>
          <w:rFonts w:ascii="Calibri" w:eastAsia="Calibri" w:hAnsi="Calibri" w:cs="Calibri"/>
          <w:bCs/>
        </w:rPr>
      </w:pPr>
      <w:r w:rsidRPr="008442CC">
        <w:rPr>
          <w:rFonts w:ascii="Calibri" w:eastAsia="Calibri" w:hAnsi="Calibri" w:cs="Calibri"/>
          <w:bCs/>
        </w:rPr>
        <w:t>Some reports already point to the difficulties experienced by</w:t>
      </w:r>
      <w:r w:rsidR="00645972" w:rsidRPr="008442CC">
        <w:rPr>
          <w:rFonts w:ascii="Calibri" w:eastAsia="Calibri" w:hAnsi="Calibri" w:cs="Calibri"/>
          <w:bCs/>
        </w:rPr>
        <w:t xml:space="preserve"> Poles and other EU citizens (and their non-EU family members) </w:t>
      </w:r>
      <w:r w:rsidRPr="008442CC">
        <w:rPr>
          <w:rFonts w:ascii="Calibri" w:eastAsia="Calibri" w:hAnsi="Calibri" w:cs="Calibri"/>
          <w:bCs/>
        </w:rPr>
        <w:t>when using</w:t>
      </w:r>
      <w:r w:rsidR="00645972" w:rsidRPr="008442CC">
        <w:rPr>
          <w:rFonts w:ascii="Calibri" w:eastAsia="Calibri" w:hAnsi="Calibri" w:cs="Calibri"/>
          <w:bCs/>
        </w:rPr>
        <w:t xml:space="preserve"> existing routes to gain long-term residence rights (mainly, applying for permanent residence, and often, subsequently, for citizenship). For instance, many Poles ignored that under the transitional arrangements that followed A8 countries’ accession, they were required to register for at least </w:t>
      </w:r>
      <w:r w:rsidR="00B95575" w:rsidRPr="008442CC">
        <w:rPr>
          <w:rFonts w:ascii="Calibri" w:eastAsia="Calibri" w:hAnsi="Calibri" w:cs="Calibri"/>
          <w:bCs/>
        </w:rPr>
        <w:t>“</w:t>
      </w:r>
      <w:r w:rsidR="00645972" w:rsidRPr="008442CC">
        <w:rPr>
          <w:rFonts w:ascii="Calibri" w:eastAsia="Calibri" w:hAnsi="Calibri" w:cs="Calibri"/>
          <w:bCs/>
        </w:rPr>
        <w:t>twelve months of uninterrupted work</w:t>
      </w:r>
      <w:r w:rsidR="00B95575" w:rsidRPr="008442CC">
        <w:rPr>
          <w:rFonts w:ascii="Calibri" w:eastAsia="Calibri" w:hAnsi="Calibri" w:cs="Calibri"/>
          <w:bCs/>
        </w:rPr>
        <w:t>”</w:t>
      </w:r>
      <w:r w:rsidR="00645972" w:rsidRPr="008442CC">
        <w:rPr>
          <w:rFonts w:ascii="Calibri" w:eastAsia="Calibri" w:hAnsi="Calibri" w:cs="Calibri"/>
          <w:bCs/>
        </w:rPr>
        <w:t>.</w:t>
      </w:r>
      <w:r w:rsidR="00645972" w:rsidRPr="008442CC">
        <w:rPr>
          <w:rStyle w:val="EndnoteReference"/>
          <w:rFonts w:ascii="Calibri" w:eastAsia="Calibri" w:hAnsi="Calibri" w:cs="Calibri"/>
          <w:bCs/>
        </w:rPr>
        <w:endnoteReference w:id="63"/>
      </w:r>
      <w:r w:rsidR="00645972" w:rsidRPr="008442CC">
        <w:rPr>
          <w:rFonts w:ascii="Calibri" w:eastAsia="Calibri" w:hAnsi="Calibri" w:cs="Calibri"/>
          <w:bCs/>
        </w:rPr>
        <w:t xml:space="preserve"> Individuals</w:t>
      </w:r>
      <w:r w:rsidR="0054259E" w:rsidRPr="008442CC">
        <w:rPr>
          <w:rFonts w:ascii="Calibri" w:eastAsia="Calibri" w:hAnsi="Calibri" w:cs="Calibri"/>
          <w:bCs/>
        </w:rPr>
        <w:t>,</w:t>
      </w:r>
      <w:r w:rsidR="00645972" w:rsidRPr="008442CC">
        <w:rPr>
          <w:rFonts w:ascii="Calibri" w:eastAsia="Calibri" w:hAnsi="Calibri" w:cs="Calibri"/>
          <w:bCs/>
        </w:rPr>
        <w:t xml:space="preserve"> who started working in the UK after 30 April 2004 but </w:t>
      </w:r>
      <w:r w:rsidR="0054259E" w:rsidRPr="008442CC">
        <w:rPr>
          <w:rFonts w:ascii="Calibri" w:eastAsia="Calibri" w:hAnsi="Calibri" w:cs="Calibri"/>
          <w:bCs/>
        </w:rPr>
        <w:t xml:space="preserve">without registering, </w:t>
      </w:r>
      <w:r w:rsidR="00645972" w:rsidRPr="008442CC">
        <w:rPr>
          <w:rFonts w:ascii="Calibri" w:eastAsia="Calibri" w:hAnsi="Calibri" w:cs="Calibri"/>
          <w:bCs/>
        </w:rPr>
        <w:t xml:space="preserve">were considered to be unlawfully in the UK until the </w:t>
      </w:r>
      <w:r w:rsidR="00B95575" w:rsidRPr="008442CC">
        <w:rPr>
          <w:rFonts w:ascii="Calibri" w:eastAsia="Calibri" w:hAnsi="Calibri" w:cs="Calibri"/>
          <w:bCs/>
        </w:rPr>
        <w:t>“</w:t>
      </w:r>
      <w:r w:rsidR="00645972" w:rsidRPr="008442CC">
        <w:rPr>
          <w:rFonts w:ascii="Calibri" w:eastAsia="Calibri" w:hAnsi="Calibri" w:cs="Calibri"/>
          <w:bCs/>
        </w:rPr>
        <w:t>Workers Registration Scheme</w:t>
      </w:r>
      <w:r w:rsidR="00B95575" w:rsidRPr="008442CC">
        <w:rPr>
          <w:rFonts w:ascii="Calibri" w:eastAsia="Calibri" w:hAnsi="Calibri" w:cs="Calibri"/>
          <w:bCs/>
        </w:rPr>
        <w:t>”</w:t>
      </w:r>
      <w:r w:rsidR="00645972" w:rsidRPr="008442CC">
        <w:rPr>
          <w:rFonts w:ascii="Calibri" w:eastAsia="Calibri" w:hAnsi="Calibri" w:cs="Calibri"/>
          <w:bCs/>
        </w:rPr>
        <w:t xml:space="preserve"> stopped in 2011. Accordingly, the Home Office does not count those periods towards their permanent residence or citizenship applications.</w:t>
      </w:r>
      <w:r w:rsidR="00645972" w:rsidRPr="008442CC">
        <w:rPr>
          <w:rStyle w:val="EndnoteReference"/>
          <w:rFonts w:ascii="Calibri" w:eastAsia="Calibri" w:hAnsi="Calibri" w:cs="Calibri"/>
          <w:bCs/>
        </w:rPr>
        <w:endnoteReference w:id="64"/>
      </w:r>
      <w:r w:rsidR="00645972" w:rsidRPr="008442CC">
        <w:rPr>
          <w:rFonts w:ascii="Calibri" w:eastAsia="Calibri" w:hAnsi="Calibri" w:cs="Calibri"/>
          <w:bCs/>
        </w:rPr>
        <w:t xml:space="preserve"> In fact, </w:t>
      </w:r>
      <w:r w:rsidRPr="008442CC">
        <w:rPr>
          <w:rFonts w:ascii="Calibri" w:eastAsia="Calibri" w:hAnsi="Calibri" w:cs="Calibri"/>
          <w:bCs/>
          <w:i/>
          <w:iCs/>
        </w:rPr>
        <w:t>our CAB interviewee</w:t>
      </w:r>
      <w:r w:rsidRPr="008442CC">
        <w:rPr>
          <w:rFonts w:ascii="Calibri" w:eastAsia="Calibri" w:hAnsi="Calibri" w:cs="Calibri"/>
          <w:bCs/>
        </w:rPr>
        <w:t xml:space="preserve"> revealed that </w:t>
      </w:r>
      <w:r w:rsidR="00645972" w:rsidRPr="008442CC">
        <w:rPr>
          <w:rFonts w:ascii="Calibri" w:eastAsia="Calibri" w:hAnsi="Calibri" w:cs="Calibri"/>
          <w:bCs/>
        </w:rPr>
        <w:t>even some Poles who had natural</w:t>
      </w:r>
      <w:r w:rsidR="00B903EF" w:rsidRPr="008442CC">
        <w:rPr>
          <w:rFonts w:ascii="Calibri" w:eastAsia="Calibri" w:hAnsi="Calibri" w:cs="Calibri"/>
          <w:bCs/>
        </w:rPr>
        <w:t>ised</w:t>
      </w:r>
      <w:r w:rsidR="00645972" w:rsidRPr="008442CC">
        <w:rPr>
          <w:rFonts w:ascii="Calibri" w:eastAsia="Calibri" w:hAnsi="Calibri" w:cs="Calibri"/>
          <w:bCs/>
        </w:rPr>
        <w:t xml:space="preserve"> as British citizens </w:t>
      </w:r>
      <w:r w:rsidR="00645972" w:rsidRPr="008442CC">
        <w:rPr>
          <w:rFonts w:ascii="Calibri" w:eastAsia="Calibri" w:hAnsi="Calibri" w:cs="Calibri"/>
          <w:bCs/>
          <w:i/>
        </w:rPr>
        <w:t>before</w:t>
      </w:r>
      <w:r w:rsidR="00645972" w:rsidRPr="008442CC">
        <w:rPr>
          <w:rFonts w:ascii="Calibri" w:eastAsia="Calibri" w:hAnsi="Calibri" w:cs="Calibri"/>
          <w:bCs/>
        </w:rPr>
        <w:t xml:space="preserve"> the </w:t>
      </w:r>
      <w:r w:rsidR="004E0676" w:rsidRPr="008442CC">
        <w:rPr>
          <w:rFonts w:ascii="Calibri" w:eastAsia="Calibri" w:hAnsi="Calibri" w:cs="Calibri"/>
          <w:bCs/>
        </w:rPr>
        <w:t>ER</w:t>
      </w:r>
      <w:r w:rsidR="00645972" w:rsidRPr="008442CC">
        <w:rPr>
          <w:rFonts w:ascii="Calibri" w:eastAsia="Calibri" w:hAnsi="Calibri" w:cs="Calibri"/>
          <w:bCs/>
        </w:rPr>
        <w:t xml:space="preserve"> have had their British citizenship revoked when they applied for passport renewal </w:t>
      </w:r>
      <w:r w:rsidR="00645972" w:rsidRPr="008442CC">
        <w:rPr>
          <w:rFonts w:ascii="Calibri" w:eastAsia="Calibri" w:hAnsi="Calibri" w:cs="Calibri"/>
          <w:bCs/>
          <w:i/>
        </w:rPr>
        <w:t>after</w:t>
      </w:r>
      <w:r w:rsidR="00645972" w:rsidRPr="008442CC">
        <w:rPr>
          <w:rFonts w:ascii="Calibri" w:eastAsia="Calibri" w:hAnsi="Calibri" w:cs="Calibri"/>
          <w:bCs/>
        </w:rPr>
        <w:t xml:space="preserve"> the </w:t>
      </w:r>
      <w:r w:rsidR="004E0676" w:rsidRPr="008442CC">
        <w:rPr>
          <w:rFonts w:ascii="Calibri" w:eastAsia="Calibri" w:hAnsi="Calibri" w:cs="Calibri"/>
          <w:bCs/>
        </w:rPr>
        <w:t>ER</w:t>
      </w:r>
      <w:r w:rsidR="00645972" w:rsidRPr="008442CC">
        <w:rPr>
          <w:rFonts w:ascii="Calibri" w:eastAsia="Calibri" w:hAnsi="Calibri" w:cs="Calibri"/>
          <w:bCs/>
        </w:rPr>
        <w:t xml:space="preserve"> for this very reason.</w:t>
      </w:r>
      <w:r w:rsidR="00645972" w:rsidRPr="008442CC">
        <w:rPr>
          <w:rStyle w:val="EndnoteReference"/>
          <w:rFonts w:ascii="Calibri" w:eastAsia="Calibri" w:hAnsi="Calibri" w:cs="Calibri"/>
          <w:bCs/>
        </w:rPr>
        <w:endnoteReference w:id="65"/>
      </w:r>
      <w:r w:rsidR="00645972" w:rsidRPr="008442CC">
        <w:rPr>
          <w:rFonts w:ascii="Calibri" w:eastAsia="Calibri" w:hAnsi="Calibri" w:cs="Calibri"/>
          <w:bCs/>
        </w:rPr>
        <w:t xml:space="preserve"> </w:t>
      </w:r>
    </w:p>
    <w:p w14:paraId="3766C12D" w14:textId="35BDE199" w:rsidR="00BB3955" w:rsidRPr="008442CC" w:rsidRDefault="00645972" w:rsidP="001F1307">
      <w:pPr>
        <w:spacing w:after="120" w:line="360" w:lineRule="auto"/>
        <w:jc w:val="both"/>
        <w:rPr>
          <w:rFonts w:ascii="Calibri" w:eastAsia="Calibri" w:hAnsi="Calibri" w:cs="Calibri"/>
          <w:bCs/>
        </w:rPr>
      </w:pPr>
      <w:r w:rsidRPr="008442CC">
        <w:rPr>
          <w:rFonts w:ascii="Calibri" w:eastAsia="Calibri" w:hAnsi="Calibri" w:cs="Calibri"/>
          <w:bCs/>
        </w:rPr>
        <w:t xml:space="preserve">More generally, </w:t>
      </w:r>
      <w:r w:rsidRPr="008442CC">
        <w:rPr>
          <w:rFonts w:ascii="Calibri" w:eastAsia="Calibri" w:hAnsi="Calibri" w:cs="Calibri"/>
          <w:bCs/>
          <w:i/>
          <w:iCs/>
        </w:rPr>
        <w:t>our CAB interviewee</w:t>
      </w:r>
      <w:r w:rsidRPr="008442CC">
        <w:rPr>
          <w:rFonts w:ascii="Calibri" w:eastAsia="Calibri" w:hAnsi="Calibri" w:cs="Calibri"/>
          <w:bCs/>
        </w:rPr>
        <w:t xml:space="preserve"> confirmed that she has had many cases which exemplified </w:t>
      </w:r>
      <w:r w:rsidR="00BB3955" w:rsidRPr="008442CC">
        <w:rPr>
          <w:rFonts w:ascii="Calibri" w:eastAsia="Calibri" w:hAnsi="Calibri" w:cs="Calibri"/>
          <w:bCs/>
        </w:rPr>
        <w:t>various levels of “administrative injustices” towards EU nationals</w:t>
      </w:r>
      <w:r w:rsidRPr="008442CC">
        <w:rPr>
          <w:rFonts w:ascii="Calibri" w:eastAsia="Calibri" w:hAnsi="Calibri" w:cs="Calibri"/>
          <w:bCs/>
        </w:rPr>
        <w:t>. For instance, a non-EU family member, spouse of a Pole, who was lawfully residing and working in the UK</w:t>
      </w:r>
      <w:r w:rsidR="0054259E" w:rsidRPr="008442CC">
        <w:rPr>
          <w:rFonts w:ascii="Calibri" w:eastAsia="Calibri" w:hAnsi="Calibri" w:cs="Calibri"/>
          <w:bCs/>
        </w:rPr>
        <w:t>,</w:t>
      </w:r>
      <w:r w:rsidRPr="008442CC">
        <w:rPr>
          <w:rFonts w:ascii="Calibri" w:eastAsia="Calibri" w:hAnsi="Calibri" w:cs="Calibri"/>
          <w:bCs/>
        </w:rPr>
        <w:t xml:space="preserve"> applied to have his visa renewed. Instead of checking his national insurance contributions to verify he was still working, the Home Office called his company, where somebody mistakenly stated that he was not working there anymore</w:t>
      </w:r>
      <w:r w:rsidRPr="008442CC">
        <w:rPr>
          <w:rFonts w:eastAsia="Calibri" w:cstheme="minorHAnsi"/>
          <w:bCs/>
        </w:rPr>
        <w:t xml:space="preserve">. Consequently, the visa renewal was refused, the passport was retained and the applicant was told that </w:t>
      </w:r>
      <w:r w:rsidR="00B95575" w:rsidRPr="008442CC">
        <w:rPr>
          <w:rFonts w:cstheme="minorHAnsi"/>
        </w:rPr>
        <w:t>“</w:t>
      </w:r>
      <w:r w:rsidRPr="008442CC">
        <w:rPr>
          <w:rFonts w:cstheme="minorHAnsi"/>
        </w:rPr>
        <w:t>he could get hold of [his] passport at the airport when leav[ing] the UK</w:t>
      </w:r>
      <w:r w:rsidR="00B95575" w:rsidRPr="008442CC">
        <w:rPr>
          <w:rFonts w:cstheme="minorHAnsi"/>
        </w:rPr>
        <w:t>”</w:t>
      </w:r>
      <w:r w:rsidRPr="008442CC">
        <w:rPr>
          <w:rFonts w:cstheme="minorHAnsi"/>
        </w:rPr>
        <w:t>, without even attempting to contact the applicant to check what the real situation</w:t>
      </w:r>
      <w:r w:rsidR="0054259E" w:rsidRPr="008442CC">
        <w:rPr>
          <w:rFonts w:cstheme="minorHAnsi"/>
        </w:rPr>
        <w:t xml:space="preserve"> was</w:t>
      </w:r>
      <w:r w:rsidRPr="008442CC">
        <w:rPr>
          <w:rFonts w:cstheme="minorHAnsi"/>
        </w:rPr>
        <w:t>.</w:t>
      </w:r>
      <w:r w:rsidRPr="008442CC">
        <w:rPr>
          <w:rStyle w:val="EndnoteReference"/>
          <w:rFonts w:cstheme="minorHAnsi"/>
        </w:rPr>
        <w:endnoteReference w:id="66"/>
      </w:r>
    </w:p>
    <w:p w14:paraId="168DD398" w14:textId="0E345A94" w:rsidR="00645972" w:rsidRPr="008442CC" w:rsidRDefault="00645972" w:rsidP="001F1307">
      <w:pPr>
        <w:spacing w:after="120" w:line="360" w:lineRule="auto"/>
        <w:jc w:val="both"/>
        <w:rPr>
          <w:rFonts w:ascii="Calibri" w:eastAsia="Calibri" w:hAnsi="Calibri" w:cs="Calibri"/>
          <w:bCs/>
        </w:rPr>
      </w:pPr>
      <w:r w:rsidRPr="008442CC">
        <w:rPr>
          <w:rFonts w:ascii="Calibri" w:eastAsia="Calibri" w:hAnsi="Calibri" w:cs="Calibri"/>
          <w:bCs/>
        </w:rPr>
        <w:lastRenderedPageBreak/>
        <w:t xml:space="preserve">This </w:t>
      </w:r>
      <w:r w:rsidR="00B95575" w:rsidRPr="008442CC">
        <w:rPr>
          <w:rFonts w:ascii="Calibri" w:eastAsia="Calibri" w:hAnsi="Calibri" w:cs="Calibri"/>
          <w:bCs/>
        </w:rPr>
        <w:t>“</w:t>
      </w:r>
      <w:r w:rsidRPr="008442CC">
        <w:rPr>
          <w:rFonts w:ascii="Calibri" w:eastAsia="Calibri" w:hAnsi="Calibri" w:cs="Calibri"/>
          <w:bCs/>
        </w:rPr>
        <w:t>hostile environment</w:t>
      </w:r>
      <w:r w:rsidR="00B95575" w:rsidRPr="008442CC">
        <w:rPr>
          <w:rFonts w:ascii="Calibri" w:eastAsia="Calibri" w:hAnsi="Calibri" w:cs="Calibri"/>
          <w:bCs/>
        </w:rPr>
        <w:t>”</w:t>
      </w:r>
      <w:r w:rsidRPr="008442CC">
        <w:rPr>
          <w:rFonts w:ascii="Calibri" w:eastAsia="Calibri" w:hAnsi="Calibri" w:cs="Calibri"/>
          <w:bCs/>
        </w:rPr>
        <w:t xml:space="preserve"> has affected Poles, and EU nationals, in </w:t>
      </w:r>
      <w:r w:rsidR="00BB3955" w:rsidRPr="008442CC">
        <w:rPr>
          <w:rFonts w:ascii="Calibri" w:eastAsia="Calibri" w:hAnsi="Calibri" w:cs="Calibri"/>
          <w:bCs/>
        </w:rPr>
        <w:t xml:space="preserve">several </w:t>
      </w:r>
      <w:r w:rsidRPr="008442CC">
        <w:rPr>
          <w:rFonts w:ascii="Calibri" w:eastAsia="Calibri" w:hAnsi="Calibri" w:cs="Calibri"/>
          <w:bCs/>
        </w:rPr>
        <w:t xml:space="preserve">spheres of life. For instance, </w:t>
      </w:r>
      <w:r w:rsidR="00FE4198" w:rsidRPr="008442CC">
        <w:rPr>
          <w:rFonts w:ascii="Calibri" w:eastAsia="Calibri" w:hAnsi="Calibri" w:cs="Calibri"/>
          <w:bCs/>
          <w:i/>
          <w:iCs/>
        </w:rPr>
        <w:t xml:space="preserve">our </w:t>
      </w:r>
      <w:r w:rsidR="00D44EC7" w:rsidRPr="008442CC">
        <w:rPr>
          <w:rFonts w:ascii="Calibri" w:eastAsia="Calibri" w:hAnsi="Calibri" w:cs="Calibri"/>
          <w:bCs/>
          <w:i/>
          <w:iCs/>
        </w:rPr>
        <w:t xml:space="preserve">CAB </w:t>
      </w:r>
      <w:r w:rsidR="00FE4198" w:rsidRPr="008442CC">
        <w:rPr>
          <w:rFonts w:ascii="Calibri" w:eastAsia="Calibri" w:hAnsi="Calibri" w:cs="Calibri"/>
          <w:bCs/>
          <w:i/>
          <w:iCs/>
        </w:rPr>
        <w:t>interviewee</w:t>
      </w:r>
      <w:r w:rsidR="00FE4198" w:rsidRPr="008442CC">
        <w:rPr>
          <w:rFonts w:ascii="Calibri" w:eastAsia="Calibri" w:hAnsi="Calibri" w:cs="Calibri"/>
          <w:bCs/>
        </w:rPr>
        <w:t xml:space="preserve"> </w:t>
      </w:r>
      <w:r w:rsidR="00D44EC7" w:rsidRPr="008442CC">
        <w:rPr>
          <w:rFonts w:ascii="Calibri" w:eastAsia="Calibri" w:hAnsi="Calibri" w:cs="Calibri"/>
          <w:bCs/>
        </w:rPr>
        <w:t>noted</w:t>
      </w:r>
      <w:r w:rsidR="00FE4198" w:rsidRPr="008442CC">
        <w:rPr>
          <w:rFonts w:ascii="Calibri" w:eastAsia="Calibri" w:hAnsi="Calibri" w:cs="Calibri"/>
          <w:bCs/>
        </w:rPr>
        <w:t xml:space="preserve"> that </w:t>
      </w:r>
      <w:r w:rsidRPr="008442CC">
        <w:rPr>
          <w:rFonts w:ascii="Calibri" w:eastAsia="Calibri" w:hAnsi="Calibri" w:cs="Calibri"/>
          <w:bCs/>
        </w:rPr>
        <w:t>Polish nationals have been wrongfully denied access to the NHS, to homelessness assistance and social housing from the local social services on the basis of not being British nationals or due to their inability to speak English, despite having acquired British nationality.</w:t>
      </w:r>
      <w:r w:rsidRPr="008442CC">
        <w:rPr>
          <w:rStyle w:val="EndnoteReference"/>
          <w:rFonts w:ascii="Calibri" w:eastAsia="Calibri" w:hAnsi="Calibri" w:cs="Calibri"/>
          <w:bCs/>
        </w:rPr>
        <w:endnoteReference w:id="67"/>
      </w:r>
      <w:r w:rsidR="001B553A" w:rsidRPr="008442CC">
        <w:rPr>
          <w:rFonts w:ascii="Calibri" w:eastAsia="Calibri" w:hAnsi="Calibri" w:cs="Calibri"/>
          <w:bCs/>
        </w:rPr>
        <w:t xml:space="preserve"> </w:t>
      </w:r>
    </w:p>
    <w:p w14:paraId="59FB3579" w14:textId="255DBFB2" w:rsidR="00645972" w:rsidRPr="008442CC" w:rsidRDefault="00645972" w:rsidP="001F1307">
      <w:pPr>
        <w:spacing w:after="120" w:line="360" w:lineRule="auto"/>
        <w:jc w:val="both"/>
        <w:rPr>
          <w:rFonts w:ascii="Calibri" w:eastAsia="Calibri" w:hAnsi="Calibri" w:cs="Calibri"/>
          <w:bCs/>
        </w:rPr>
      </w:pPr>
      <w:r w:rsidRPr="008442CC">
        <w:rPr>
          <w:rFonts w:ascii="Calibri" w:eastAsia="Calibri" w:hAnsi="Calibri" w:cs="Calibri"/>
          <w:bCs/>
        </w:rPr>
        <w:t>All these administrative injustices and legal status uncertainty created by Brexit, along with the realisation that belon</w:t>
      </w:r>
      <w:r w:rsidR="0054259E" w:rsidRPr="008442CC">
        <w:rPr>
          <w:rFonts w:ascii="Calibri" w:eastAsia="Calibri" w:hAnsi="Calibri" w:cs="Calibri"/>
          <w:bCs/>
        </w:rPr>
        <w:t>ging is suddenly contingent, have</w:t>
      </w:r>
      <w:r w:rsidRPr="008442CC">
        <w:rPr>
          <w:rFonts w:ascii="Calibri" w:eastAsia="Calibri" w:hAnsi="Calibri" w:cs="Calibri"/>
          <w:bCs/>
        </w:rPr>
        <w:t xml:space="preserve"> contributed to the fear and heightened sense of fragility, and thus,</w:t>
      </w:r>
      <w:r w:rsidRPr="008442CC">
        <w:rPr>
          <w:rFonts w:ascii="Calibri" w:eastAsia="Calibri" w:hAnsi="Calibri" w:cs="Calibri"/>
          <w:bCs/>
          <w:i/>
        </w:rPr>
        <w:t xml:space="preserve"> SV</w:t>
      </w:r>
      <w:r w:rsidRPr="008442CC">
        <w:rPr>
          <w:rFonts w:ascii="Calibri" w:eastAsia="Calibri" w:hAnsi="Calibri" w:cs="Calibri"/>
          <w:bCs/>
        </w:rPr>
        <w:t>, experienced by EU nationals, including Poles, post-</w:t>
      </w:r>
      <w:r w:rsidR="004E0676" w:rsidRPr="008442CC">
        <w:rPr>
          <w:rFonts w:ascii="Calibri" w:eastAsia="Calibri" w:hAnsi="Calibri" w:cs="Calibri"/>
          <w:bCs/>
        </w:rPr>
        <w:t>ER</w:t>
      </w:r>
      <w:r w:rsidRPr="008442CC">
        <w:rPr>
          <w:rFonts w:ascii="Calibri" w:eastAsia="Calibri" w:hAnsi="Calibri" w:cs="Calibri"/>
          <w:bCs/>
        </w:rPr>
        <w:t>.</w:t>
      </w:r>
      <w:r w:rsidR="00FE4198" w:rsidRPr="008442CC">
        <w:rPr>
          <w:rFonts w:ascii="Calibri" w:eastAsia="Calibri" w:hAnsi="Calibri" w:cs="Calibri"/>
          <w:bCs/>
        </w:rPr>
        <w:t xml:space="preserve"> Overall, Brexit was a source of destabilisation and ontological anxiety, particularly to those who “lost” the referendum</w:t>
      </w:r>
      <w:r w:rsidR="008F5CC2" w:rsidRPr="008442CC">
        <w:rPr>
          <w:rFonts w:ascii="Calibri" w:eastAsia="Calibri" w:hAnsi="Calibri" w:cs="Calibri"/>
          <w:bCs/>
        </w:rPr>
        <w:t>,</w:t>
      </w:r>
      <w:r w:rsidR="00FE4198" w:rsidRPr="008442CC">
        <w:rPr>
          <w:rFonts w:ascii="Calibri" w:eastAsia="Calibri" w:hAnsi="Calibri" w:cs="Calibri"/>
          <w:bCs/>
        </w:rPr>
        <w:t xml:space="preserve"> like EU nationals (Browning 2018).</w:t>
      </w:r>
    </w:p>
    <w:p w14:paraId="065A9BFE" w14:textId="77777777" w:rsidR="00645972" w:rsidRPr="008442CC" w:rsidRDefault="00645972" w:rsidP="009F164E">
      <w:pPr>
        <w:spacing w:line="360" w:lineRule="auto"/>
        <w:jc w:val="both"/>
        <w:rPr>
          <w:rFonts w:ascii="Calibri" w:eastAsia="Calibri" w:hAnsi="Calibri" w:cs="Arial"/>
          <w:bCs/>
        </w:rPr>
      </w:pPr>
    </w:p>
    <w:p w14:paraId="07974F28" w14:textId="77777777" w:rsidR="00645972" w:rsidRPr="008442CC" w:rsidRDefault="00645972" w:rsidP="00F423D3">
      <w:pPr>
        <w:jc w:val="both"/>
        <w:rPr>
          <w:rFonts w:ascii="Calibri" w:eastAsia="Calibri" w:hAnsi="Calibri" w:cs="Arial"/>
          <w:b/>
        </w:rPr>
      </w:pPr>
      <w:r w:rsidRPr="008442CC">
        <w:rPr>
          <w:rFonts w:ascii="Calibri" w:eastAsia="Calibri" w:hAnsi="Calibri" w:cs="Arial"/>
          <w:b/>
        </w:rPr>
        <w:t>6. Conclusion</w:t>
      </w:r>
    </w:p>
    <w:p w14:paraId="52C4733E" w14:textId="77777777" w:rsidR="00645972" w:rsidRPr="008442CC" w:rsidRDefault="00645972" w:rsidP="00F423D3">
      <w:pPr>
        <w:jc w:val="both"/>
        <w:rPr>
          <w:rFonts w:ascii="Calibri" w:eastAsia="Calibri" w:hAnsi="Calibri" w:cs="Arial"/>
          <w:b/>
        </w:rPr>
      </w:pPr>
    </w:p>
    <w:p w14:paraId="18669D85" w14:textId="13570456" w:rsidR="00645972" w:rsidRPr="008442CC" w:rsidRDefault="00645972" w:rsidP="007E0D23">
      <w:pPr>
        <w:spacing w:after="240" w:line="360" w:lineRule="auto"/>
        <w:jc w:val="both"/>
        <w:rPr>
          <w:rFonts w:ascii="Calibri" w:hAnsi="Calibri" w:cs="Calibri"/>
        </w:rPr>
      </w:pPr>
      <w:r w:rsidRPr="008442CC">
        <w:rPr>
          <w:rFonts w:ascii="Calibri" w:eastAsia="Calibri" w:hAnsi="Calibri" w:cs="Arial"/>
          <w:bCs/>
        </w:rPr>
        <w:t xml:space="preserve">This paper explored the effects of the </w:t>
      </w:r>
      <w:r w:rsidR="004E0676" w:rsidRPr="008442CC">
        <w:rPr>
          <w:rFonts w:ascii="Calibri" w:eastAsia="Calibri" w:hAnsi="Calibri" w:cs="Arial"/>
          <w:bCs/>
        </w:rPr>
        <w:t>ER</w:t>
      </w:r>
      <w:r w:rsidRPr="008442CC">
        <w:rPr>
          <w:rFonts w:ascii="Calibri" w:eastAsia="Calibri" w:hAnsi="Calibri" w:cs="Arial"/>
          <w:bCs/>
        </w:rPr>
        <w:t xml:space="preserve"> on the OV and SV of Polish nationals in Southampton. While Polish nationals had experienced </w:t>
      </w:r>
      <w:r w:rsidR="00E21643" w:rsidRPr="008442CC">
        <w:rPr>
          <w:rFonts w:ascii="Calibri" w:eastAsia="Calibri" w:hAnsi="Calibri" w:cs="Arial"/>
          <w:bCs/>
        </w:rPr>
        <w:t>racial hostility</w:t>
      </w:r>
      <w:r w:rsidRPr="008442CC">
        <w:rPr>
          <w:rFonts w:ascii="Calibri" w:eastAsia="Calibri" w:hAnsi="Calibri" w:cs="Arial"/>
          <w:bCs/>
        </w:rPr>
        <w:t xml:space="preserve"> before the Leave vote, the frequency and seriousness of </w:t>
      </w:r>
      <w:r w:rsidR="00E21643" w:rsidRPr="008442CC">
        <w:rPr>
          <w:rFonts w:ascii="Calibri" w:eastAsia="Calibri" w:hAnsi="Calibri" w:cs="Arial"/>
          <w:bCs/>
        </w:rPr>
        <w:t xml:space="preserve">the latter </w:t>
      </w:r>
      <w:r w:rsidRPr="008442CC">
        <w:rPr>
          <w:rFonts w:ascii="Calibri" w:eastAsia="Calibri" w:hAnsi="Calibri" w:cs="Arial"/>
          <w:bCs/>
        </w:rPr>
        <w:t>surged significantly after June 2016, which increased Poles</w:t>
      </w:r>
      <w:r w:rsidR="00E21643" w:rsidRPr="008442CC">
        <w:rPr>
          <w:rFonts w:ascii="Calibri" w:eastAsia="Calibri" w:hAnsi="Calibri" w:cs="Arial"/>
          <w:bCs/>
        </w:rPr>
        <w:t>’ OV</w:t>
      </w:r>
      <w:r w:rsidRPr="008442CC">
        <w:rPr>
          <w:rFonts w:ascii="Calibri" w:eastAsia="Calibri" w:hAnsi="Calibri" w:cs="Arial"/>
          <w:bCs/>
        </w:rPr>
        <w:t xml:space="preserve"> in terms of the individual incidents they suffered. </w:t>
      </w:r>
      <w:r w:rsidRPr="008442CC">
        <w:rPr>
          <w:rFonts w:ascii="Calibri" w:hAnsi="Calibri" w:cs="Calibri"/>
        </w:rPr>
        <w:t xml:space="preserve">This reflects that the </w:t>
      </w:r>
      <w:r w:rsidR="004E0676" w:rsidRPr="008442CC">
        <w:rPr>
          <w:rFonts w:ascii="Calibri" w:hAnsi="Calibri" w:cs="Calibri"/>
        </w:rPr>
        <w:t>ER</w:t>
      </w:r>
      <w:r w:rsidRPr="008442CC">
        <w:rPr>
          <w:rFonts w:ascii="Calibri" w:hAnsi="Calibri" w:cs="Calibri"/>
        </w:rPr>
        <w:t xml:space="preserve"> has </w:t>
      </w:r>
      <w:r w:rsidR="00E21643" w:rsidRPr="008442CC">
        <w:rPr>
          <w:rFonts w:ascii="Calibri" w:hAnsi="Calibri" w:cs="Calibri"/>
        </w:rPr>
        <w:t xml:space="preserve">exacerbated the pre-existing </w:t>
      </w:r>
      <w:r w:rsidR="00B95575" w:rsidRPr="008442CC">
        <w:rPr>
          <w:rFonts w:ascii="Calibri" w:hAnsi="Calibri" w:cs="Calibri"/>
        </w:rPr>
        <w:t>“</w:t>
      </w:r>
      <w:r w:rsidRPr="008442CC">
        <w:rPr>
          <w:rFonts w:ascii="Calibri" w:hAnsi="Calibri" w:cs="Calibri"/>
        </w:rPr>
        <w:t>hostile environment</w:t>
      </w:r>
      <w:r w:rsidR="00B95575" w:rsidRPr="008442CC">
        <w:rPr>
          <w:rFonts w:ascii="Calibri" w:hAnsi="Calibri" w:cs="Calibri"/>
        </w:rPr>
        <w:t>”</w:t>
      </w:r>
      <w:r w:rsidR="00E21643" w:rsidRPr="008442CC">
        <w:rPr>
          <w:rFonts w:ascii="Calibri" w:hAnsi="Calibri" w:cs="Calibri"/>
        </w:rPr>
        <w:t>,</w:t>
      </w:r>
      <w:r w:rsidRPr="008442CC">
        <w:rPr>
          <w:rFonts w:ascii="Calibri" w:hAnsi="Calibri" w:cs="Calibri"/>
        </w:rPr>
        <w:t xml:space="preserve"> </w:t>
      </w:r>
      <w:r w:rsidR="00E21643" w:rsidRPr="008442CC">
        <w:rPr>
          <w:rFonts w:ascii="Calibri" w:hAnsi="Calibri" w:cs="Calibri"/>
        </w:rPr>
        <w:t xml:space="preserve">leading </w:t>
      </w:r>
      <w:r w:rsidRPr="008442CC">
        <w:rPr>
          <w:rFonts w:ascii="Calibri" w:hAnsi="Calibri" w:cs="Calibri"/>
        </w:rPr>
        <w:t xml:space="preserve">many Britons </w:t>
      </w:r>
      <w:r w:rsidR="00D44EC7" w:rsidRPr="008442CC">
        <w:rPr>
          <w:rFonts w:ascii="Calibri" w:hAnsi="Calibri" w:cs="Calibri"/>
        </w:rPr>
        <w:t xml:space="preserve">to </w:t>
      </w:r>
      <w:r w:rsidRPr="008442CC">
        <w:rPr>
          <w:rFonts w:ascii="Calibri" w:hAnsi="Calibri" w:cs="Calibri"/>
        </w:rPr>
        <w:t>feel more entitled to express xenophobic views against foreigners</w:t>
      </w:r>
      <w:r w:rsidR="007256AA" w:rsidRPr="008442CC">
        <w:rPr>
          <w:rFonts w:ascii="Calibri" w:hAnsi="Calibri" w:cs="Calibri"/>
        </w:rPr>
        <w:t xml:space="preserve"> (</w:t>
      </w:r>
      <w:r w:rsidR="007256AA" w:rsidRPr="008442CC">
        <w:t xml:space="preserve">UN Special Rapporteur </w:t>
      </w:r>
      <w:r w:rsidR="007256AA" w:rsidRPr="008442CC">
        <w:rPr>
          <w:rFonts w:eastAsia="Times New Roman" w:cstheme="minorHAnsi"/>
          <w:shd w:val="clear" w:color="auto" w:fill="FFFFFF"/>
          <w:lang w:val="en-US" w:eastAsia="en-GB"/>
        </w:rPr>
        <w:t>on Contemporary Forms of Racism, Racial Discrimination, Xenophobia and Related Intolerance</w:t>
      </w:r>
      <w:r w:rsidR="007256AA" w:rsidRPr="008442CC">
        <w:rPr>
          <w:rFonts w:ascii="Segoe UI" w:eastAsia="Times New Roman" w:hAnsi="Segoe UI" w:cs="Segoe UI"/>
          <w:b/>
          <w:bCs/>
          <w:sz w:val="22"/>
          <w:szCs w:val="22"/>
          <w:shd w:val="clear" w:color="auto" w:fill="FFFFFF"/>
          <w:lang w:val="en-US" w:eastAsia="en-GB"/>
        </w:rPr>
        <w:t xml:space="preserve"> </w:t>
      </w:r>
      <w:r w:rsidR="007256AA" w:rsidRPr="008442CC">
        <w:t>201</w:t>
      </w:r>
      <w:r w:rsidR="003D720F" w:rsidRPr="008442CC">
        <w:t>8</w:t>
      </w:r>
      <w:r w:rsidR="007256AA" w:rsidRPr="008442CC">
        <w:t>)</w:t>
      </w:r>
      <w:r w:rsidRPr="008442CC">
        <w:rPr>
          <w:rFonts w:ascii="Calibri" w:hAnsi="Calibri" w:cs="Calibri"/>
        </w:rPr>
        <w:t xml:space="preserve">. </w:t>
      </w:r>
      <w:r w:rsidR="00E21643" w:rsidRPr="008442CC">
        <w:rPr>
          <w:rFonts w:ascii="Calibri" w:hAnsi="Calibri" w:cs="Calibri"/>
        </w:rPr>
        <w:t>Following the</w:t>
      </w:r>
      <w:r w:rsidRPr="008442CC">
        <w:rPr>
          <w:rFonts w:ascii="Calibri" w:hAnsi="Calibri" w:cs="Calibri"/>
        </w:rPr>
        <w:t xml:space="preserve"> public and media rhetoric against foreigners that characterised the </w:t>
      </w:r>
      <w:r w:rsidR="004E0676" w:rsidRPr="008442CC">
        <w:rPr>
          <w:rFonts w:ascii="Calibri" w:hAnsi="Calibri" w:cs="Calibri"/>
        </w:rPr>
        <w:t>ER</w:t>
      </w:r>
      <w:r w:rsidRPr="008442CC">
        <w:rPr>
          <w:rFonts w:ascii="Calibri" w:hAnsi="Calibri" w:cs="Calibri"/>
        </w:rPr>
        <w:t xml:space="preserve"> campaign, Poles (and arguably, </w:t>
      </w:r>
      <w:r w:rsidR="00E21643" w:rsidRPr="008442CC">
        <w:rPr>
          <w:rFonts w:ascii="Calibri" w:hAnsi="Calibri" w:cs="Calibri"/>
        </w:rPr>
        <w:t xml:space="preserve">many </w:t>
      </w:r>
      <w:r w:rsidRPr="008442CC">
        <w:rPr>
          <w:rFonts w:ascii="Calibri" w:hAnsi="Calibri" w:cs="Calibri"/>
        </w:rPr>
        <w:t xml:space="preserve">EU nationals) </w:t>
      </w:r>
      <w:r w:rsidR="00E21643" w:rsidRPr="008442CC">
        <w:rPr>
          <w:rFonts w:ascii="Calibri" w:hAnsi="Calibri" w:cs="Calibri"/>
        </w:rPr>
        <w:t xml:space="preserve">also </w:t>
      </w:r>
      <w:r w:rsidRPr="008442CC">
        <w:rPr>
          <w:rFonts w:ascii="Calibri" w:hAnsi="Calibri" w:cs="Calibri"/>
          <w:i/>
        </w:rPr>
        <w:t xml:space="preserve">feel subjectively </w:t>
      </w:r>
      <w:r w:rsidR="00E21643" w:rsidRPr="008442CC">
        <w:rPr>
          <w:rFonts w:ascii="Calibri" w:hAnsi="Calibri" w:cs="Calibri"/>
          <w:i/>
        </w:rPr>
        <w:t xml:space="preserve">(more) </w:t>
      </w:r>
      <w:r w:rsidRPr="008442CC">
        <w:rPr>
          <w:rFonts w:ascii="Calibri" w:hAnsi="Calibri" w:cs="Calibri"/>
        </w:rPr>
        <w:t xml:space="preserve">unwelcome and </w:t>
      </w:r>
      <w:r w:rsidRPr="008442CC">
        <w:rPr>
          <w:rFonts w:ascii="Calibri" w:hAnsi="Calibri" w:cs="Calibri"/>
          <w:i/>
        </w:rPr>
        <w:t>suspect</w:t>
      </w:r>
      <w:r w:rsidRPr="008442CC">
        <w:rPr>
          <w:rFonts w:ascii="Calibri" w:hAnsi="Calibri" w:cs="Calibri"/>
        </w:rPr>
        <w:t xml:space="preserve"> that their national origin, foreign names or accent, may </w:t>
      </w:r>
      <w:r w:rsidRPr="008442CC">
        <w:rPr>
          <w:rFonts w:ascii="Calibri" w:hAnsi="Calibri" w:cs="Calibri"/>
          <w:i/>
        </w:rPr>
        <w:t xml:space="preserve">now </w:t>
      </w:r>
      <w:r w:rsidRPr="008442CC">
        <w:rPr>
          <w:rFonts w:ascii="Calibri" w:hAnsi="Calibri" w:cs="Calibri"/>
        </w:rPr>
        <w:t xml:space="preserve">start to be a problem –or a </w:t>
      </w:r>
      <w:r w:rsidRPr="008442CC">
        <w:rPr>
          <w:rFonts w:ascii="Calibri" w:hAnsi="Calibri" w:cs="Calibri"/>
          <w:i/>
        </w:rPr>
        <w:t xml:space="preserve">greater </w:t>
      </w:r>
      <w:r w:rsidRPr="008442CC">
        <w:rPr>
          <w:rFonts w:ascii="Calibri" w:hAnsi="Calibri" w:cs="Calibri"/>
        </w:rPr>
        <w:t>problem than before– in their dealings with UK institutions and in social interactions.</w:t>
      </w:r>
      <w:r w:rsidR="001B553A" w:rsidRPr="008442CC">
        <w:rPr>
          <w:rFonts w:ascii="Calibri" w:hAnsi="Calibri" w:cs="Calibri"/>
        </w:rPr>
        <w:t xml:space="preserve"> Th</w:t>
      </w:r>
      <w:r w:rsidR="00D44EC7" w:rsidRPr="008442CC">
        <w:rPr>
          <w:rFonts w:ascii="Calibri" w:hAnsi="Calibri" w:cs="Calibri"/>
        </w:rPr>
        <w:t>is</w:t>
      </w:r>
      <w:r w:rsidR="001B553A" w:rsidRPr="008442CC">
        <w:rPr>
          <w:rFonts w:ascii="Calibri" w:hAnsi="Calibri" w:cs="Calibri"/>
        </w:rPr>
        <w:t xml:space="preserve"> SV is closely linked to the ontological insecurity experienced by Poles and is generated </w:t>
      </w:r>
      <w:r w:rsidR="002A5E52" w:rsidRPr="008442CC">
        <w:rPr>
          <w:rFonts w:ascii="Calibri" w:hAnsi="Calibri" w:cs="Calibri"/>
        </w:rPr>
        <w:t xml:space="preserve">by both realistic and symbolic threats </w:t>
      </w:r>
      <w:r w:rsidR="00D44EC7" w:rsidRPr="008442CC">
        <w:rPr>
          <w:rFonts w:ascii="Calibri" w:hAnsi="Calibri" w:cs="Calibri"/>
        </w:rPr>
        <w:t>stemming from</w:t>
      </w:r>
      <w:r w:rsidR="002A5E52" w:rsidRPr="008442CC">
        <w:rPr>
          <w:rFonts w:ascii="Calibri" w:hAnsi="Calibri" w:cs="Calibri"/>
        </w:rPr>
        <w:t xml:space="preserve"> the Brexit context.</w:t>
      </w:r>
    </w:p>
    <w:p w14:paraId="2CA51FBD" w14:textId="565CE28E" w:rsidR="00645972" w:rsidRPr="008442CC" w:rsidRDefault="00645972" w:rsidP="001A2DB0">
      <w:pPr>
        <w:spacing w:after="120" w:line="360" w:lineRule="auto"/>
        <w:jc w:val="both"/>
        <w:rPr>
          <w:rFonts w:ascii="Calibri" w:eastAsia="Calibri" w:hAnsi="Calibri" w:cs="Arial"/>
          <w:bCs/>
        </w:rPr>
      </w:pPr>
      <w:r w:rsidRPr="008442CC">
        <w:rPr>
          <w:rFonts w:ascii="Calibri" w:hAnsi="Calibri" w:cs="Calibri"/>
        </w:rPr>
        <w:t xml:space="preserve">Our quantitative and qualitative evidence confirms that, comparing the 2014-15 and 2016-17 periods, Southampton-based Poles perceived significant changes in </w:t>
      </w:r>
      <w:r w:rsidRPr="008442CC">
        <w:rPr>
          <w:rFonts w:ascii="Calibri" w:hAnsi="Calibri" w:cs="Calibri"/>
          <w:i/>
        </w:rPr>
        <w:t>both</w:t>
      </w:r>
      <w:r w:rsidRPr="008442CC">
        <w:rPr>
          <w:rFonts w:ascii="Calibri" w:hAnsi="Calibri" w:cs="Calibri"/>
        </w:rPr>
        <w:t xml:space="preserve"> their OV and SV</w:t>
      </w:r>
      <w:r w:rsidRPr="008442CC">
        <w:rPr>
          <w:rFonts w:ascii="Calibri" w:eastAsia="Calibri" w:hAnsi="Calibri" w:cs="Arial"/>
          <w:bCs/>
        </w:rPr>
        <w:t xml:space="preserve">. Crucially, however, changes in SV seem to have been more substantial than those in OV and not always linked to having suffered OV in the first place: i.e. </w:t>
      </w:r>
      <w:r w:rsidRPr="008442CC">
        <w:rPr>
          <w:rFonts w:ascii="Calibri" w:eastAsia="Calibri" w:hAnsi="Calibri" w:cs="Arial"/>
          <w:bCs/>
        </w:rPr>
        <w:lastRenderedPageBreak/>
        <w:t>experiencing feelings of anxiety, distress</w:t>
      </w:r>
      <w:r w:rsidR="00F86939" w:rsidRPr="008442CC">
        <w:rPr>
          <w:rFonts w:ascii="Calibri" w:eastAsia="Calibri" w:hAnsi="Calibri" w:cs="Arial"/>
          <w:bCs/>
        </w:rPr>
        <w:t xml:space="preserve"> and </w:t>
      </w:r>
      <w:r w:rsidRPr="008442CC">
        <w:rPr>
          <w:rFonts w:ascii="Calibri" w:eastAsia="Calibri" w:hAnsi="Calibri" w:cs="Arial"/>
          <w:bCs/>
        </w:rPr>
        <w:t>insecurity was not necessarily linked to having suffered direct hate or discriminatory incidents before at individual level.</w:t>
      </w:r>
    </w:p>
    <w:p w14:paraId="79B56E19" w14:textId="66F21EBC" w:rsidR="00D44EC7" w:rsidRPr="008442CC" w:rsidRDefault="00D44EC7" w:rsidP="001A2DB0">
      <w:pPr>
        <w:spacing w:after="120" w:line="360" w:lineRule="auto"/>
        <w:jc w:val="both"/>
        <w:rPr>
          <w:rFonts w:ascii="Calibri" w:eastAsia="Calibri" w:hAnsi="Calibri" w:cs="Arial"/>
          <w:bCs/>
        </w:rPr>
      </w:pPr>
      <w:r w:rsidRPr="008442CC">
        <w:rPr>
          <w:rFonts w:ascii="Calibri" w:eastAsia="Calibri" w:hAnsi="Calibri" w:cs="Arial"/>
          <w:bCs/>
        </w:rPr>
        <w:t xml:space="preserve">We took precautions to maximize the validity and reliability of our study, but our findings may have some limitations. Our case study specifically focuses on the Polish community in Southampton and our survey is based on a relatively small sample (n=142), so results could vary for the whole UK-based Polish community and/or the wider EU nationals’ community. Furthermore, both the survey and the focus groups results are based on participants’ </w:t>
      </w:r>
      <w:r w:rsidRPr="008442CC">
        <w:rPr>
          <w:rFonts w:ascii="Calibri" w:eastAsia="Calibri" w:hAnsi="Calibri" w:cs="Arial"/>
          <w:bCs/>
          <w:i/>
          <w:iCs/>
        </w:rPr>
        <w:t>subjective</w:t>
      </w:r>
      <w:r w:rsidRPr="008442CC">
        <w:rPr>
          <w:rFonts w:ascii="Calibri" w:eastAsia="Calibri" w:hAnsi="Calibri" w:cs="Arial"/>
          <w:bCs/>
        </w:rPr>
        <w:t xml:space="preserve"> perceptions (not on </w:t>
      </w:r>
      <w:r w:rsidRPr="008442CC">
        <w:rPr>
          <w:rFonts w:ascii="Calibri" w:eastAsia="Calibri" w:hAnsi="Calibri" w:cs="Arial"/>
          <w:bCs/>
          <w:i/>
          <w:iCs/>
        </w:rPr>
        <w:t>actual</w:t>
      </w:r>
      <w:r w:rsidRPr="008442CC">
        <w:rPr>
          <w:rFonts w:ascii="Calibri" w:eastAsia="Calibri" w:hAnsi="Calibri" w:cs="Arial"/>
          <w:bCs/>
        </w:rPr>
        <w:t xml:space="preserve"> occurrences of hostility or vulnerability incidents).</w:t>
      </w:r>
    </w:p>
    <w:p w14:paraId="5B8C8AAD" w14:textId="2790F6F1" w:rsidR="00645972" w:rsidRPr="008442CC" w:rsidRDefault="00506871" w:rsidP="00E21643">
      <w:pPr>
        <w:spacing w:after="240" w:line="360" w:lineRule="auto"/>
        <w:jc w:val="both"/>
        <w:rPr>
          <w:b/>
        </w:rPr>
      </w:pPr>
      <w:r w:rsidRPr="008442CC">
        <w:t>Nevertheless, this work sets the ground to start using</w:t>
      </w:r>
      <w:r w:rsidR="00645972" w:rsidRPr="008442CC">
        <w:t xml:space="preserve"> the concepts of OV and SV as </w:t>
      </w:r>
      <w:r w:rsidR="00645972" w:rsidRPr="008442CC">
        <w:rPr>
          <w:i/>
        </w:rPr>
        <w:t>prescriptive</w:t>
      </w:r>
      <w:r w:rsidR="008F0C43" w:rsidRPr="008442CC">
        <w:t xml:space="preserve"> tools (Peroni and Timmer 2013</w:t>
      </w:r>
      <w:r w:rsidR="00B903EF" w:rsidRPr="008442CC">
        <w:t>:</w:t>
      </w:r>
      <w:r w:rsidR="00645972" w:rsidRPr="008442CC">
        <w:t xml:space="preserve">1059) to claim that the state should actively </w:t>
      </w:r>
      <w:r w:rsidR="00B95575" w:rsidRPr="008442CC">
        <w:t>“</w:t>
      </w:r>
      <w:r w:rsidR="00645972" w:rsidRPr="008442CC">
        <w:t>respond</w:t>
      </w:r>
      <w:r w:rsidR="00B95575" w:rsidRPr="008442CC">
        <w:t>”</w:t>
      </w:r>
      <w:r w:rsidR="00645972" w:rsidRPr="008442CC">
        <w:t xml:space="preserve"> to and reduce vulnerability (Fineman 2008). </w:t>
      </w:r>
      <w:r w:rsidR="00F86939" w:rsidRPr="008442CC">
        <w:rPr>
          <w:rFonts w:ascii="Calibri" w:hAnsi="Calibri" w:cs="Calibri"/>
        </w:rPr>
        <w:t>F</w:t>
      </w:r>
      <w:r w:rsidR="00645972" w:rsidRPr="008442CC">
        <w:rPr>
          <w:rFonts w:ascii="Calibri" w:hAnsi="Calibri" w:cs="Calibri"/>
        </w:rPr>
        <w:t xml:space="preserve">urther research could explore to which extent, under the Equality Act 2010, central and local government have a duty to intervene to address the vulnerabilities identified in this paper. According to </w:t>
      </w:r>
      <w:r w:rsidR="00B95575" w:rsidRPr="008442CC">
        <w:rPr>
          <w:rFonts w:ascii="Calibri" w:hAnsi="Calibri" w:cs="Calibri"/>
        </w:rPr>
        <w:t>section 149 of that Act</w:t>
      </w:r>
      <w:r w:rsidR="00645972" w:rsidRPr="008442CC">
        <w:rPr>
          <w:rFonts w:ascii="Calibri" w:hAnsi="Calibri" w:cs="Calibri"/>
        </w:rPr>
        <w:t xml:space="preserve">, public authorities have a general equality duty to have due regard to the need to </w:t>
      </w:r>
      <w:r w:rsidR="00B903EF" w:rsidRPr="008442CC">
        <w:rPr>
          <w:rFonts w:ascii="Calibri" w:hAnsi="Calibri" w:cs="Calibri"/>
        </w:rPr>
        <w:t>“</w:t>
      </w:r>
      <w:r w:rsidR="00645972" w:rsidRPr="008442CC">
        <w:rPr>
          <w:rFonts w:ascii="Calibri" w:hAnsi="Calibri" w:cs="Calibri"/>
        </w:rPr>
        <w:t xml:space="preserve">eliminate unlawful discrimination, harassment and </w:t>
      </w:r>
      <w:r w:rsidR="00B903EF" w:rsidRPr="008442CC">
        <w:rPr>
          <w:rFonts w:ascii="Calibri" w:hAnsi="Calibri" w:cs="Calibri"/>
        </w:rPr>
        <w:t xml:space="preserve">victimisation” </w:t>
      </w:r>
      <w:r w:rsidR="00645972" w:rsidRPr="008442CC">
        <w:rPr>
          <w:rFonts w:ascii="Calibri" w:hAnsi="Calibri" w:cs="Calibri"/>
        </w:rPr>
        <w:t xml:space="preserve">and </w:t>
      </w:r>
      <w:r w:rsidR="00B903EF" w:rsidRPr="008442CC">
        <w:rPr>
          <w:rFonts w:ascii="Calibri" w:hAnsi="Calibri" w:cs="Calibri"/>
        </w:rPr>
        <w:t>“</w:t>
      </w:r>
      <w:r w:rsidR="00645972" w:rsidRPr="008442CC">
        <w:rPr>
          <w:rFonts w:ascii="Calibri" w:hAnsi="Calibri" w:cs="Calibri"/>
        </w:rPr>
        <w:t xml:space="preserve">foster good relations between people who share a protected characteristic and those who do </w:t>
      </w:r>
      <w:r w:rsidR="00B903EF" w:rsidRPr="008442CC">
        <w:rPr>
          <w:rFonts w:ascii="Calibri" w:hAnsi="Calibri" w:cs="Calibri"/>
        </w:rPr>
        <w:t>not”</w:t>
      </w:r>
      <w:r w:rsidR="00645972" w:rsidRPr="008442CC">
        <w:rPr>
          <w:rFonts w:ascii="Calibri" w:hAnsi="Calibri" w:cs="Calibri"/>
        </w:rPr>
        <w:t xml:space="preserve">, which, arguably, is currently not </w:t>
      </w:r>
      <w:r w:rsidR="00B903EF" w:rsidRPr="008442CC">
        <w:rPr>
          <w:rFonts w:ascii="Calibri" w:hAnsi="Calibri" w:cs="Calibri"/>
        </w:rPr>
        <w:t>being</w:t>
      </w:r>
      <w:r w:rsidR="00645972" w:rsidRPr="008442CC">
        <w:rPr>
          <w:rFonts w:ascii="Calibri" w:hAnsi="Calibri" w:cs="Calibri"/>
        </w:rPr>
        <w:t xml:space="preserve"> complied with</w:t>
      </w:r>
      <w:r w:rsidR="00F86939" w:rsidRPr="008442CC">
        <w:rPr>
          <w:rFonts w:ascii="Calibri" w:hAnsi="Calibri" w:cs="Calibri"/>
        </w:rPr>
        <w:t xml:space="preserve"> as regards EU nationals in the Brexit context</w:t>
      </w:r>
      <w:r w:rsidR="00645972" w:rsidRPr="008442CC">
        <w:rPr>
          <w:rFonts w:ascii="Calibri" w:hAnsi="Calibri" w:cs="Calibri"/>
        </w:rPr>
        <w:t xml:space="preserve">. </w:t>
      </w:r>
      <w:r w:rsidR="00645972" w:rsidRPr="008442CC">
        <w:rPr>
          <w:rFonts w:ascii="Calibri" w:eastAsia="Calibri" w:hAnsi="Calibri" w:cs="Arial"/>
          <w:bCs/>
        </w:rPr>
        <w:t xml:space="preserve">While some pro-bono initiatives, like the </w:t>
      </w:r>
      <w:r w:rsidR="00E21643" w:rsidRPr="008442CC">
        <w:rPr>
          <w:rFonts w:ascii="Calibri" w:eastAsia="Calibri" w:hAnsi="Calibri" w:cs="Arial"/>
          <w:bCs/>
        </w:rPr>
        <w:t>“</w:t>
      </w:r>
      <w:r w:rsidR="00645972" w:rsidRPr="008442CC">
        <w:rPr>
          <w:rFonts w:ascii="Calibri" w:eastAsia="Calibri" w:hAnsi="Calibri" w:cs="Arial"/>
          <w:bCs/>
        </w:rPr>
        <w:t>Existential Academy</w:t>
      </w:r>
      <w:r w:rsidR="00E21643" w:rsidRPr="008442CC">
        <w:rPr>
          <w:rFonts w:ascii="Calibri" w:eastAsia="Calibri" w:hAnsi="Calibri" w:cs="Arial"/>
          <w:bCs/>
        </w:rPr>
        <w:t>”</w:t>
      </w:r>
      <w:r w:rsidR="00645972" w:rsidRPr="008442CC">
        <w:rPr>
          <w:rFonts w:ascii="Calibri" w:eastAsia="Calibri" w:hAnsi="Calibri" w:cs="Arial"/>
          <w:bCs/>
        </w:rPr>
        <w:t>,</w:t>
      </w:r>
      <w:r w:rsidR="00645972" w:rsidRPr="008442CC">
        <w:rPr>
          <w:rStyle w:val="EndnoteReference"/>
          <w:rFonts w:ascii="Calibri" w:eastAsia="Calibri" w:hAnsi="Calibri" w:cs="Arial"/>
          <w:bCs/>
        </w:rPr>
        <w:endnoteReference w:id="68"/>
      </w:r>
      <w:r w:rsidR="00645972" w:rsidRPr="008442CC">
        <w:rPr>
          <w:rFonts w:ascii="Calibri" w:eastAsia="Calibri" w:hAnsi="Calibri" w:cs="Arial"/>
          <w:bCs/>
        </w:rPr>
        <w:t xml:space="preserve"> </w:t>
      </w:r>
      <w:r w:rsidR="001A2DB0" w:rsidRPr="008442CC">
        <w:rPr>
          <w:rFonts w:ascii="Calibri" w:eastAsia="Calibri" w:hAnsi="Calibri" w:cs="Arial"/>
          <w:bCs/>
        </w:rPr>
        <w:t>have emerged to provide</w:t>
      </w:r>
      <w:r w:rsidR="002D4D80" w:rsidRPr="008442CC">
        <w:rPr>
          <w:rFonts w:ascii="Calibri" w:eastAsia="Calibri" w:hAnsi="Calibri" w:cs="Arial"/>
          <w:bCs/>
        </w:rPr>
        <w:t xml:space="preserve"> </w:t>
      </w:r>
      <w:r w:rsidR="001A2DB0" w:rsidRPr="008442CC">
        <w:rPr>
          <w:rFonts w:ascii="Calibri" w:eastAsia="Calibri" w:hAnsi="Calibri" w:cs="Arial"/>
          <w:bCs/>
        </w:rPr>
        <w:t>emotional</w:t>
      </w:r>
      <w:r w:rsidR="002D4D80" w:rsidRPr="008442CC">
        <w:rPr>
          <w:rFonts w:ascii="Calibri" w:eastAsia="Calibri" w:hAnsi="Calibri" w:cs="Arial"/>
          <w:bCs/>
        </w:rPr>
        <w:t xml:space="preserve"> support </w:t>
      </w:r>
      <w:r w:rsidR="001A2DB0" w:rsidRPr="008442CC">
        <w:rPr>
          <w:rFonts w:ascii="Calibri" w:eastAsia="Calibri" w:hAnsi="Calibri" w:cs="Arial"/>
          <w:bCs/>
        </w:rPr>
        <w:t>to EU nationals,</w:t>
      </w:r>
      <w:r w:rsidR="002D4D80" w:rsidRPr="008442CC">
        <w:rPr>
          <w:rFonts w:ascii="Calibri" w:eastAsia="Calibri" w:hAnsi="Calibri" w:cs="Arial"/>
          <w:bCs/>
        </w:rPr>
        <w:t xml:space="preserve"> </w:t>
      </w:r>
      <w:r w:rsidR="001A2DB0" w:rsidRPr="008442CC">
        <w:rPr>
          <w:rFonts w:ascii="Calibri" w:hAnsi="Calibri" w:cs="Calibri"/>
        </w:rPr>
        <w:t xml:space="preserve">local and central authorities have so far done little to address the </w:t>
      </w:r>
      <w:r w:rsidR="007D5AF5" w:rsidRPr="008442CC">
        <w:rPr>
          <w:rFonts w:ascii="Calibri" w:hAnsi="Calibri" w:cs="Calibri"/>
        </w:rPr>
        <w:t>heightened</w:t>
      </w:r>
      <w:r w:rsidR="001A2DB0" w:rsidRPr="008442CC">
        <w:rPr>
          <w:rFonts w:ascii="Calibri" w:eastAsia="Calibri" w:hAnsi="Calibri" w:cs="Arial"/>
          <w:bCs/>
        </w:rPr>
        <w:t xml:space="preserve"> sense of vulnerability linked to the uncertainties, discourses and social climate generated by the </w:t>
      </w:r>
      <w:r w:rsidR="004E0676" w:rsidRPr="008442CC">
        <w:rPr>
          <w:rFonts w:ascii="Calibri" w:eastAsia="Calibri" w:hAnsi="Calibri" w:cs="Arial"/>
          <w:bCs/>
        </w:rPr>
        <w:t>ER</w:t>
      </w:r>
      <w:r w:rsidR="00B903EF" w:rsidRPr="008442CC">
        <w:rPr>
          <w:rFonts w:ascii="Calibri" w:eastAsia="Calibri" w:hAnsi="Calibri" w:cs="Arial"/>
          <w:bCs/>
        </w:rPr>
        <w:t>.</w:t>
      </w:r>
    </w:p>
    <w:p w14:paraId="6E635811" w14:textId="77777777" w:rsidR="00645972" w:rsidRPr="008442CC" w:rsidRDefault="00645972" w:rsidP="00645972">
      <w:pPr>
        <w:jc w:val="both"/>
        <w:rPr>
          <w:b/>
        </w:rPr>
      </w:pPr>
    </w:p>
    <w:p w14:paraId="244696EA" w14:textId="3B7390F3" w:rsidR="00645972" w:rsidRPr="008442CC" w:rsidRDefault="00645972" w:rsidP="00645972">
      <w:pPr>
        <w:jc w:val="both"/>
        <w:rPr>
          <w:b/>
        </w:rPr>
      </w:pPr>
      <w:r w:rsidRPr="008442CC">
        <w:rPr>
          <w:b/>
        </w:rPr>
        <w:t>References</w:t>
      </w:r>
    </w:p>
    <w:p w14:paraId="4318499A" w14:textId="77777777" w:rsidR="00645972" w:rsidRPr="008442CC" w:rsidRDefault="00645972" w:rsidP="00645972">
      <w:pPr>
        <w:jc w:val="both"/>
      </w:pPr>
    </w:p>
    <w:p w14:paraId="15CC7470" w14:textId="0BB75481" w:rsidR="00645972" w:rsidRPr="008442CC" w:rsidRDefault="00645972" w:rsidP="00645972">
      <w:pPr>
        <w:spacing w:after="240"/>
        <w:jc w:val="both"/>
      </w:pPr>
      <w:r w:rsidRPr="008442CC">
        <w:t>A</w:t>
      </w:r>
      <w:r w:rsidRPr="008442CC" w:rsidDel="009D1C5A">
        <w:t>cik</w:t>
      </w:r>
      <w:r w:rsidRPr="008442CC">
        <w:t xml:space="preserve"> N et al. 2014. </w:t>
      </w:r>
      <w:r w:rsidR="00E21643" w:rsidRPr="008442CC">
        <w:t>“</w:t>
      </w:r>
      <w:r w:rsidRPr="008442CC">
        <w:t>Discriminatory labour market experiences of A8 national high skilled workers in the UK</w:t>
      </w:r>
      <w:r w:rsidR="00E21643" w:rsidRPr="008442CC">
        <w:t>”</w:t>
      </w:r>
      <w:r w:rsidRPr="008442CC">
        <w:t xml:space="preserve"> Border Crossing 17-31, https://www.ceeol.com/search/article-detail?id=478916</w:t>
      </w:r>
    </w:p>
    <w:p w14:paraId="6F1D2B48" w14:textId="2956DC46" w:rsidR="00645972" w:rsidRPr="008442CC" w:rsidRDefault="00645972" w:rsidP="00645972">
      <w:pPr>
        <w:spacing w:after="240"/>
        <w:jc w:val="both"/>
      </w:pPr>
      <w:r w:rsidRPr="008442CC">
        <w:t>Allen WL.</w:t>
      </w:r>
      <w:r w:rsidR="00B95575" w:rsidRPr="008442CC">
        <w:t xml:space="preserve"> </w:t>
      </w:r>
      <w:r w:rsidRPr="008442CC">
        <w:t>2016. “A Decade of Migration in the British Press.” Migration Observatory report, COMPAS.</w:t>
      </w:r>
    </w:p>
    <w:p w14:paraId="4D1265FC" w14:textId="77777777" w:rsidR="00645972" w:rsidRPr="008442CC" w:rsidRDefault="00645972" w:rsidP="00645972">
      <w:pPr>
        <w:spacing w:after="240"/>
        <w:jc w:val="both"/>
      </w:pPr>
      <w:r w:rsidRPr="008442CC">
        <w:t>Allen WL and Scott B. 2013. “Migration in the News: Portrayals of Immigrants, Migrants, Asylum Seekers and Refugees in National British Newspapers, 2010 to 2012.” Migration Observatory report, COMPAS.</w:t>
      </w:r>
    </w:p>
    <w:p w14:paraId="55DF6610" w14:textId="77777777" w:rsidR="00645972" w:rsidRPr="008442CC" w:rsidRDefault="00645972" w:rsidP="00645972">
      <w:pPr>
        <w:spacing w:after="240"/>
        <w:jc w:val="both"/>
      </w:pPr>
      <w:r w:rsidRPr="008442CC">
        <w:lastRenderedPageBreak/>
        <w:t xml:space="preserve">Ashe D and Nazroo J. 2017. </w:t>
      </w:r>
      <w:r w:rsidRPr="008442CC">
        <w:rPr>
          <w:i/>
        </w:rPr>
        <w:t>Equality, Diversity and Racism in the Workplace: A Qualitative Analysis of the 2015 Race at Work Survey</w:t>
      </w:r>
      <w:r w:rsidRPr="008442CC">
        <w:t>. Business in the Community and ESRC Centre on Dynamics of Ethnicity, University of Manchester.</w:t>
      </w:r>
    </w:p>
    <w:p w14:paraId="28CFE50E" w14:textId="77777777" w:rsidR="00645972" w:rsidRPr="008442CC" w:rsidRDefault="00645972" w:rsidP="00645972">
      <w:pPr>
        <w:spacing w:after="240"/>
        <w:jc w:val="both"/>
      </w:pPr>
      <w:r w:rsidRPr="008442CC">
        <w:t xml:space="preserve">Beckford J and </w:t>
      </w:r>
      <w:proofErr w:type="spellStart"/>
      <w:r w:rsidRPr="008442CC">
        <w:t>Gilliat</w:t>
      </w:r>
      <w:proofErr w:type="spellEnd"/>
      <w:r w:rsidRPr="008442CC">
        <w:t xml:space="preserve"> S. 1998. </w:t>
      </w:r>
      <w:r w:rsidRPr="008442CC">
        <w:rPr>
          <w:i/>
        </w:rPr>
        <w:t>Religion in Prison: Equal Kites in a Multi-Faith Society.</w:t>
      </w:r>
      <w:r w:rsidRPr="008442CC">
        <w:t xml:space="preserve"> Cambridge: CUP.</w:t>
      </w:r>
    </w:p>
    <w:p w14:paraId="4A931BAF" w14:textId="058E5AFF" w:rsidR="00645972" w:rsidRPr="008442CC" w:rsidRDefault="00645972" w:rsidP="00645972">
      <w:pPr>
        <w:spacing w:after="240"/>
        <w:jc w:val="both"/>
      </w:pPr>
      <w:r w:rsidRPr="008442CC">
        <w:t xml:space="preserve">Brondolo E et al. 2005. “The Perceived Ethnic Discrimination Questionnaire: Development and Preliminary Validation of a Community Version” </w:t>
      </w:r>
      <w:r w:rsidRPr="008442CC">
        <w:rPr>
          <w:i/>
        </w:rPr>
        <w:t>Journal of Applied Social Psychology</w:t>
      </w:r>
      <w:r w:rsidRPr="008442CC">
        <w:t xml:space="preserve"> 35(2):335-365.</w:t>
      </w:r>
    </w:p>
    <w:p w14:paraId="41459CA3" w14:textId="45EDDC2B" w:rsidR="007C1B33" w:rsidRPr="008442CC" w:rsidRDefault="007C1B33" w:rsidP="00645972">
      <w:pPr>
        <w:spacing w:after="240"/>
        <w:jc w:val="both"/>
      </w:pPr>
      <w:r w:rsidRPr="008442CC">
        <w:t xml:space="preserve">Browning, C. S. (2018) “Brexit, existential anxiety and ontological (in) security”, </w:t>
      </w:r>
      <w:r w:rsidRPr="008442CC">
        <w:rPr>
          <w:i/>
          <w:iCs/>
        </w:rPr>
        <w:t>European security</w:t>
      </w:r>
      <w:r w:rsidRPr="008442CC">
        <w:t xml:space="preserve">, </w:t>
      </w:r>
      <w:r w:rsidRPr="008442CC">
        <w:rPr>
          <w:i/>
          <w:iCs/>
        </w:rPr>
        <w:t>27</w:t>
      </w:r>
      <w:r w:rsidRPr="008442CC">
        <w:t>(3), 336-355.</w:t>
      </w:r>
    </w:p>
    <w:p w14:paraId="11733AFC" w14:textId="77777777" w:rsidR="00645972" w:rsidRPr="008442CC" w:rsidRDefault="00645972" w:rsidP="00645972">
      <w:pPr>
        <w:spacing w:after="240"/>
        <w:jc w:val="both"/>
      </w:pPr>
      <w:r w:rsidRPr="008442CC">
        <w:t xml:space="preserve">Burnett J. 2017. “Racial violence and the Brexit state” </w:t>
      </w:r>
      <w:r w:rsidRPr="008442CC">
        <w:rPr>
          <w:i/>
        </w:rPr>
        <w:t>Race &amp; Class</w:t>
      </w:r>
      <w:r w:rsidRPr="008442CC">
        <w:t xml:space="preserve"> 58(4):85–97</w:t>
      </w:r>
    </w:p>
    <w:p w14:paraId="721B83B4" w14:textId="77777777" w:rsidR="00645972" w:rsidRPr="008442CC" w:rsidRDefault="00645972" w:rsidP="00645972">
      <w:pPr>
        <w:spacing w:after="240"/>
        <w:rPr>
          <w:rFonts w:cstheme="minorHAnsi"/>
        </w:rPr>
      </w:pPr>
      <w:proofErr w:type="spellStart"/>
      <w:r w:rsidRPr="008442CC">
        <w:rPr>
          <w:rFonts w:cstheme="minorHAnsi"/>
        </w:rPr>
        <w:t>Casalicchio</w:t>
      </w:r>
      <w:proofErr w:type="spellEnd"/>
      <w:r w:rsidRPr="008442CC">
        <w:rPr>
          <w:rFonts w:cstheme="minorHAnsi"/>
        </w:rPr>
        <w:t xml:space="preserve"> E. 2019. “Foreign nationals seeking “settled status” in UK after Brexit hit by computer woes”. </w:t>
      </w:r>
      <w:r w:rsidRPr="008442CC">
        <w:rPr>
          <w:rFonts w:cstheme="minorHAnsi"/>
          <w:i/>
        </w:rPr>
        <w:t>Politics Home</w:t>
      </w:r>
      <w:r w:rsidRPr="008442CC">
        <w:rPr>
          <w:rFonts w:cstheme="minorHAnsi"/>
        </w:rPr>
        <w:t>. 10 April.</w:t>
      </w:r>
    </w:p>
    <w:p w14:paraId="0ADBF562" w14:textId="77777777" w:rsidR="00645972" w:rsidRPr="008442CC" w:rsidRDefault="00645972" w:rsidP="00645972">
      <w:pPr>
        <w:spacing w:after="240"/>
        <w:rPr>
          <w:rFonts w:cstheme="minorHAnsi"/>
        </w:rPr>
      </w:pPr>
      <w:r w:rsidRPr="008442CC">
        <w:rPr>
          <w:rFonts w:cstheme="minorHAnsi"/>
        </w:rPr>
        <w:t>Cohen S and Page M. 2018. “Furthering Women’s Democracy in a Brexit Environment” 22 June &lt;https://policybristol.blogs.bris.ac.uk/2018/06/22/furthering-womens-democracy-in-a-brexit-environment/#.WzaSQOjLNgE.mailto</w:t>
      </w:r>
      <w:r w:rsidRPr="008442CC">
        <w:rPr>
          <w:rStyle w:val="Hyperlink"/>
          <w:rFonts w:cstheme="minorHAnsi"/>
          <w:color w:val="auto"/>
          <w:u w:val="none"/>
        </w:rPr>
        <w:t>&gt;</w:t>
      </w:r>
      <w:r w:rsidRPr="008442CC">
        <w:rPr>
          <w:rFonts w:cstheme="minorHAnsi"/>
        </w:rPr>
        <w:t>.</w:t>
      </w:r>
    </w:p>
    <w:p w14:paraId="3D0F24FF" w14:textId="2A0946CC" w:rsidR="00645972" w:rsidRPr="008442CC" w:rsidRDefault="00645972" w:rsidP="00645972">
      <w:pPr>
        <w:spacing w:after="240"/>
        <w:rPr>
          <w:rFonts w:cstheme="minorHAnsi"/>
        </w:rPr>
      </w:pPr>
      <w:r w:rsidRPr="008442CC">
        <w:rPr>
          <w:rFonts w:cstheme="minorHAnsi"/>
        </w:rPr>
        <w:t xml:space="preserve">College of Policing. 2014. </w:t>
      </w:r>
      <w:r w:rsidRPr="008442CC">
        <w:rPr>
          <w:rFonts w:cstheme="minorHAnsi"/>
          <w:i/>
        </w:rPr>
        <w:t>Hate Crime Operational Guidance</w:t>
      </w:r>
      <w:r w:rsidRPr="008442CC">
        <w:rPr>
          <w:rFonts w:cstheme="minorHAnsi"/>
        </w:rPr>
        <w:t>. Coventry: UK Police.</w:t>
      </w:r>
    </w:p>
    <w:p w14:paraId="090B0F93" w14:textId="7D9F1D5A" w:rsidR="00645972" w:rsidRPr="008442CC" w:rsidRDefault="00645972" w:rsidP="00645972">
      <w:pPr>
        <w:spacing w:after="240"/>
        <w:rPr>
          <w:rFonts w:cstheme="minorHAnsi"/>
        </w:rPr>
      </w:pPr>
      <w:r w:rsidRPr="008442CC">
        <w:rPr>
          <w:rFonts w:cstheme="minorHAnsi"/>
        </w:rPr>
        <w:t xml:space="preserve">Contrada et al. 2001. “Measures of Ethnicity‐Related Stress: Psychometric Properties, Ethnic Group Differences, and Associations </w:t>
      </w:r>
      <w:r w:rsidR="00E21643" w:rsidRPr="008442CC">
        <w:rPr>
          <w:rFonts w:cstheme="minorHAnsi"/>
        </w:rPr>
        <w:t>with</w:t>
      </w:r>
      <w:r w:rsidRPr="008442CC">
        <w:rPr>
          <w:rFonts w:cstheme="minorHAnsi"/>
        </w:rPr>
        <w:t xml:space="preserve"> Well‐Being 1” </w:t>
      </w:r>
      <w:r w:rsidRPr="008442CC">
        <w:rPr>
          <w:rFonts w:cstheme="minorHAnsi"/>
          <w:i/>
        </w:rPr>
        <w:t>Journal of Applied Social Psychology</w:t>
      </w:r>
      <w:r w:rsidRPr="008442CC">
        <w:rPr>
          <w:rFonts w:cstheme="minorHAnsi"/>
        </w:rPr>
        <w:t>. 31(9):1775-1820.</w:t>
      </w:r>
    </w:p>
    <w:p w14:paraId="08613214" w14:textId="5C3601A0" w:rsidR="00645972" w:rsidRPr="008442CC" w:rsidRDefault="00645972" w:rsidP="00645972">
      <w:pPr>
        <w:spacing w:after="240"/>
        <w:rPr>
          <w:rFonts w:cstheme="minorHAnsi"/>
        </w:rPr>
      </w:pPr>
      <w:r w:rsidRPr="008442CC">
        <w:rPr>
          <w:rFonts w:cstheme="minorHAnsi"/>
        </w:rPr>
        <w:t xml:space="preserve">Couper M. 2000. “Review: Web Surveys: A Review of Issues and Approaches” </w:t>
      </w:r>
      <w:r w:rsidRPr="008442CC">
        <w:rPr>
          <w:rFonts w:cstheme="minorHAnsi"/>
          <w:i/>
        </w:rPr>
        <w:t xml:space="preserve">Public Opinion </w:t>
      </w:r>
      <w:r w:rsidR="00E21643" w:rsidRPr="008442CC">
        <w:rPr>
          <w:rFonts w:cstheme="minorHAnsi"/>
          <w:i/>
        </w:rPr>
        <w:t>Quarterly</w:t>
      </w:r>
      <w:r w:rsidRPr="008442CC">
        <w:rPr>
          <w:rFonts w:cstheme="minorHAnsi"/>
        </w:rPr>
        <w:t xml:space="preserve"> 64(4):464-494.</w:t>
      </w:r>
    </w:p>
    <w:p w14:paraId="13CADB2C" w14:textId="66104DDC" w:rsidR="00645972" w:rsidRPr="008442CC" w:rsidRDefault="00645972" w:rsidP="00645972">
      <w:pPr>
        <w:spacing w:after="240"/>
        <w:rPr>
          <w:rFonts w:cstheme="minorHAnsi"/>
          <w:iCs/>
        </w:rPr>
      </w:pPr>
      <w:r w:rsidRPr="008442CC">
        <w:rPr>
          <w:rFonts w:cstheme="minorHAnsi"/>
          <w:iCs/>
        </w:rPr>
        <w:t xml:space="preserve">Craig P. 2016. “Chapter 5: Responsibility, Voice and Exit”. </w:t>
      </w:r>
      <w:r w:rsidR="00B95575" w:rsidRPr="008442CC">
        <w:rPr>
          <w:rFonts w:cstheme="minorHAnsi"/>
          <w:iCs/>
        </w:rPr>
        <w:t>I</w:t>
      </w:r>
      <w:r w:rsidRPr="008442CC">
        <w:rPr>
          <w:rFonts w:cstheme="minorHAnsi"/>
          <w:iCs/>
        </w:rPr>
        <w:t xml:space="preserve">n Birkinshaw </w:t>
      </w:r>
      <w:r w:rsidR="00B95575" w:rsidRPr="008442CC">
        <w:rPr>
          <w:rFonts w:cstheme="minorHAnsi"/>
          <w:iCs/>
        </w:rPr>
        <w:t xml:space="preserve">PJ </w:t>
      </w:r>
      <w:r w:rsidRPr="008442CC">
        <w:rPr>
          <w:rFonts w:cstheme="minorHAnsi"/>
          <w:iCs/>
        </w:rPr>
        <w:t xml:space="preserve">and Biondi </w:t>
      </w:r>
      <w:r w:rsidR="00B95575" w:rsidRPr="008442CC">
        <w:rPr>
          <w:rFonts w:cstheme="minorHAnsi"/>
          <w:iCs/>
        </w:rPr>
        <w:t xml:space="preserve">A </w:t>
      </w:r>
      <w:r w:rsidRPr="008442CC">
        <w:rPr>
          <w:rFonts w:cstheme="minorHAnsi"/>
          <w:iCs/>
        </w:rPr>
        <w:t>(eds)</w:t>
      </w:r>
      <w:r w:rsidRPr="008442CC">
        <w:rPr>
          <w:rFonts w:cstheme="minorHAnsi"/>
          <w:i/>
          <w:iCs/>
        </w:rPr>
        <w:t xml:space="preserve"> Britain Alone! The Implications and Consequences of United Kingdom Exit from the EU</w:t>
      </w:r>
      <w:r w:rsidRPr="008442CC">
        <w:rPr>
          <w:rFonts w:cstheme="minorHAnsi"/>
          <w:iCs/>
        </w:rPr>
        <w:t xml:space="preserve">. </w:t>
      </w:r>
      <w:r w:rsidR="00315107" w:rsidRPr="008442CC">
        <w:rPr>
          <w:rFonts w:cstheme="minorHAnsi"/>
          <w:iCs/>
        </w:rPr>
        <w:t>The Netherlands</w:t>
      </w:r>
      <w:r w:rsidRPr="008442CC">
        <w:rPr>
          <w:rFonts w:cstheme="minorHAnsi"/>
          <w:iCs/>
        </w:rPr>
        <w:t>: Kluwer.</w:t>
      </w:r>
    </w:p>
    <w:p w14:paraId="1A87E3F0" w14:textId="50FD6961" w:rsidR="00682D66" w:rsidRPr="008442CC" w:rsidRDefault="00682D66" w:rsidP="00645972">
      <w:pPr>
        <w:spacing w:after="240"/>
        <w:rPr>
          <w:rFonts w:cstheme="minorHAnsi"/>
          <w:iCs/>
        </w:rPr>
      </w:pPr>
      <w:r w:rsidRPr="008442CC">
        <w:rPr>
          <w:rFonts w:cstheme="minorHAnsi"/>
          <w:iCs/>
        </w:rPr>
        <w:t xml:space="preserve">Creswell JW. 2015. </w:t>
      </w:r>
      <w:r w:rsidRPr="008442CC">
        <w:rPr>
          <w:rFonts w:cstheme="minorHAnsi"/>
          <w:i/>
        </w:rPr>
        <w:t xml:space="preserve">Research </w:t>
      </w:r>
      <w:proofErr w:type="gramStart"/>
      <w:r w:rsidRPr="008442CC">
        <w:rPr>
          <w:rFonts w:cstheme="minorHAnsi"/>
          <w:i/>
        </w:rPr>
        <w:t>design :</w:t>
      </w:r>
      <w:proofErr w:type="gramEnd"/>
      <w:r w:rsidRPr="008442CC">
        <w:rPr>
          <w:rFonts w:cstheme="minorHAnsi"/>
          <w:i/>
        </w:rPr>
        <w:t xml:space="preserve"> qualitative, quantitative, and mixed methods approaches</w:t>
      </w:r>
      <w:r w:rsidRPr="008442CC">
        <w:rPr>
          <w:rFonts w:cstheme="minorHAnsi"/>
          <w:iCs/>
        </w:rPr>
        <w:t>. London: Sage.</w:t>
      </w:r>
    </w:p>
    <w:p w14:paraId="5D08FDD4" w14:textId="7FBB4249" w:rsidR="00682D66" w:rsidRPr="008442CC" w:rsidRDefault="00682D66" w:rsidP="00645972">
      <w:pPr>
        <w:spacing w:after="240"/>
        <w:rPr>
          <w:rFonts w:cstheme="minorHAnsi"/>
          <w:iCs/>
        </w:rPr>
      </w:pPr>
      <w:r w:rsidRPr="008442CC">
        <w:rPr>
          <w:rFonts w:cstheme="minorHAnsi"/>
          <w:iCs/>
        </w:rPr>
        <w:t xml:space="preserve">Cronbach LJ. 1951. “Coefficient alpha and the internal structure of tests.” </w:t>
      </w:r>
      <w:proofErr w:type="spellStart"/>
      <w:r w:rsidRPr="008442CC">
        <w:rPr>
          <w:rFonts w:cstheme="minorHAnsi"/>
          <w:i/>
        </w:rPr>
        <w:t>Psychometrika</w:t>
      </w:r>
      <w:proofErr w:type="spellEnd"/>
      <w:r w:rsidRPr="008442CC">
        <w:rPr>
          <w:rFonts w:cstheme="minorHAnsi"/>
          <w:iCs/>
        </w:rPr>
        <w:t xml:space="preserve"> 16(3):297-334.</w:t>
      </w:r>
    </w:p>
    <w:p w14:paraId="6846D969" w14:textId="77777777" w:rsidR="00645972" w:rsidRPr="008442CC" w:rsidRDefault="00645972" w:rsidP="00645972">
      <w:pPr>
        <w:spacing w:after="240"/>
        <w:rPr>
          <w:rFonts w:cstheme="minorHAnsi"/>
        </w:rPr>
      </w:pPr>
      <w:r w:rsidRPr="008442CC">
        <w:rPr>
          <w:rFonts w:cstheme="minorHAnsi"/>
        </w:rPr>
        <w:t xml:space="preserve">Currie S. 2016. “Reflecting on Brexit: migration myths and what comes next for EU migrants in the UK?” </w:t>
      </w:r>
      <w:r w:rsidRPr="008442CC">
        <w:rPr>
          <w:rFonts w:cstheme="minorHAnsi"/>
          <w:i/>
        </w:rPr>
        <w:t>Journal of Social Welfare and Family Law</w:t>
      </w:r>
      <w:r w:rsidRPr="008442CC">
        <w:rPr>
          <w:rFonts w:cstheme="minorHAnsi"/>
        </w:rPr>
        <w:t>. 38(3):337-342.</w:t>
      </w:r>
    </w:p>
    <w:p w14:paraId="010F745B" w14:textId="77777777" w:rsidR="00645972" w:rsidRPr="008442CC" w:rsidRDefault="00645972" w:rsidP="00645972">
      <w:pPr>
        <w:spacing w:after="240"/>
        <w:rPr>
          <w:rFonts w:cstheme="minorHAnsi"/>
        </w:rPr>
      </w:pPr>
      <w:r w:rsidRPr="008442CC">
        <w:rPr>
          <w:rFonts w:cstheme="minorHAnsi"/>
        </w:rPr>
        <w:t>Dawney L. 2008. “Racialisation of central and east European migrants in Heredfordshire” University of Sussex, Centre for Migration Research, Working Paper No 53.</w:t>
      </w:r>
    </w:p>
    <w:p w14:paraId="48EF670E" w14:textId="77777777" w:rsidR="00645972" w:rsidRPr="008442CC" w:rsidRDefault="00645972" w:rsidP="00645972">
      <w:pPr>
        <w:spacing w:after="240"/>
        <w:rPr>
          <w:rFonts w:cstheme="minorHAnsi"/>
        </w:rPr>
      </w:pPr>
      <w:r w:rsidRPr="008442CC">
        <w:rPr>
          <w:rFonts w:cstheme="minorHAnsi"/>
        </w:rPr>
        <w:lastRenderedPageBreak/>
        <w:t xml:space="preserve">Dekker R and Godfried E. 2014. “How Social Media Transform Migrant Networks and Facilitate Migrations” </w:t>
      </w:r>
      <w:r w:rsidRPr="008442CC">
        <w:rPr>
          <w:rFonts w:cstheme="minorHAnsi"/>
          <w:i/>
        </w:rPr>
        <w:t>Global Networks.</w:t>
      </w:r>
      <w:r w:rsidRPr="008442CC">
        <w:rPr>
          <w:rFonts w:cstheme="minorHAnsi"/>
        </w:rPr>
        <w:t xml:space="preserve"> 14(4):401-418.</w:t>
      </w:r>
    </w:p>
    <w:p w14:paraId="6A90A82D" w14:textId="082D18FB" w:rsidR="00682D66" w:rsidRPr="008442CC" w:rsidRDefault="00682D66" w:rsidP="008F5CC2">
      <w:pPr>
        <w:spacing w:after="240"/>
        <w:rPr>
          <w:rFonts w:cstheme="minorHAnsi"/>
          <w:bCs/>
        </w:rPr>
      </w:pPr>
      <w:proofErr w:type="spellStart"/>
      <w:r w:rsidRPr="008442CC">
        <w:rPr>
          <w:rFonts w:cstheme="minorHAnsi"/>
        </w:rPr>
        <w:t>Ekinci</w:t>
      </w:r>
      <w:proofErr w:type="spellEnd"/>
      <w:r w:rsidRPr="008442CC">
        <w:rPr>
          <w:rFonts w:cstheme="minorHAnsi"/>
        </w:rPr>
        <w:t xml:space="preserve"> Y. 2015. </w:t>
      </w:r>
      <w:r w:rsidRPr="008442CC">
        <w:rPr>
          <w:rFonts w:cstheme="minorHAnsi"/>
          <w:i/>
          <w:iCs/>
        </w:rPr>
        <w:t>Designing research questionnaires for business and management students</w:t>
      </w:r>
      <w:r w:rsidRPr="008442CC">
        <w:rPr>
          <w:rFonts w:cstheme="minorHAnsi"/>
        </w:rPr>
        <w:t>. London: Sage.</w:t>
      </w:r>
    </w:p>
    <w:p w14:paraId="6DB6FFC4" w14:textId="77777777" w:rsidR="00645972" w:rsidRPr="008442CC" w:rsidRDefault="00645972" w:rsidP="00645972">
      <w:pPr>
        <w:spacing w:after="240"/>
        <w:rPr>
          <w:iCs/>
        </w:rPr>
      </w:pPr>
      <w:r w:rsidRPr="008442CC">
        <w:rPr>
          <w:iCs/>
        </w:rPr>
        <w:t>Emerson E. 2014. “Cameron’s Reality Check on Europe” EPIN Paper No. 38.</w:t>
      </w:r>
    </w:p>
    <w:p w14:paraId="207F04E2" w14:textId="10CA4376" w:rsidR="00645972" w:rsidRPr="008442CC" w:rsidRDefault="00645972" w:rsidP="00645972">
      <w:pPr>
        <w:spacing w:after="240"/>
        <w:rPr>
          <w:rFonts w:cstheme="minorHAnsi"/>
          <w:shd w:val="clear" w:color="auto" w:fill="FFFFFF"/>
        </w:rPr>
      </w:pPr>
      <w:r w:rsidRPr="008442CC">
        <w:rPr>
          <w:rFonts w:cstheme="minorHAnsi"/>
          <w:shd w:val="clear" w:color="auto" w:fill="FFFFFF"/>
        </w:rPr>
        <w:t xml:space="preserve">Enoksen E. 2016. "Perceived discrimination against immigrants in the workplace: Influence of personal values and organizational justice" </w:t>
      </w:r>
      <w:r w:rsidRPr="008442CC">
        <w:rPr>
          <w:rFonts w:cstheme="minorHAnsi"/>
          <w:i/>
          <w:shd w:val="clear" w:color="auto" w:fill="FFFFFF"/>
        </w:rPr>
        <w:t>Equality, Diversity and Inclusion.</w:t>
      </w:r>
      <w:r w:rsidRPr="008442CC">
        <w:rPr>
          <w:rFonts w:cstheme="minorHAnsi"/>
          <w:shd w:val="clear" w:color="auto" w:fill="FFFFFF"/>
        </w:rPr>
        <w:t xml:space="preserve"> 35(2):66-80.</w:t>
      </w:r>
    </w:p>
    <w:p w14:paraId="3A8AB200" w14:textId="5800B076" w:rsidR="006C07DB" w:rsidRPr="008442CC" w:rsidRDefault="006C07DB" w:rsidP="00645972">
      <w:pPr>
        <w:spacing w:after="240"/>
        <w:rPr>
          <w:rFonts w:cstheme="minorHAnsi"/>
          <w:shd w:val="clear" w:color="auto" w:fill="FFFFFF"/>
        </w:rPr>
      </w:pPr>
      <w:r w:rsidRPr="008442CC">
        <w:rPr>
          <w:rFonts w:cstheme="minorHAnsi"/>
          <w:shd w:val="clear" w:color="auto" w:fill="FFFFFF"/>
        </w:rPr>
        <w:t>Epstein L. and Andrew DM. 2014.</w:t>
      </w:r>
      <w:r w:rsidR="00682D66" w:rsidRPr="008442CC">
        <w:rPr>
          <w:rFonts w:cstheme="minorHAnsi"/>
          <w:shd w:val="clear" w:color="auto" w:fill="FFFFFF"/>
        </w:rPr>
        <w:t xml:space="preserve"> </w:t>
      </w:r>
      <w:r w:rsidRPr="008442CC">
        <w:rPr>
          <w:rFonts w:cstheme="minorHAnsi"/>
          <w:i/>
          <w:iCs/>
          <w:shd w:val="clear" w:color="auto" w:fill="FFFFFF"/>
        </w:rPr>
        <w:t>An introduction to empirical legal research</w:t>
      </w:r>
      <w:r w:rsidRPr="008442CC">
        <w:rPr>
          <w:rFonts w:cstheme="minorHAnsi"/>
          <w:shd w:val="clear" w:color="auto" w:fill="FFFFFF"/>
        </w:rPr>
        <w:t>. Oxford: OUP.</w:t>
      </w:r>
    </w:p>
    <w:p w14:paraId="43EB08B9" w14:textId="10FA30CA" w:rsidR="00645972" w:rsidRPr="008442CC" w:rsidRDefault="00645972" w:rsidP="00645972">
      <w:pPr>
        <w:spacing w:after="240"/>
        <w:jc w:val="both"/>
      </w:pPr>
      <w:r w:rsidRPr="008442CC">
        <w:t xml:space="preserve">Fineman MA. 2008. “The Vulnerable Subject: Anchoring Equality in the Human Condition” </w:t>
      </w:r>
      <w:r w:rsidRPr="008442CC">
        <w:rPr>
          <w:i/>
        </w:rPr>
        <w:t>Yale Journal od Law &amp; Feminism</w:t>
      </w:r>
      <w:r w:rsidRPr="008442CC">
        <w:t>. 20(1):</w:t>
      </w:r>
      <w:r w:rsidR="00315107" w:rsidRPr="008442CC">
        <w:t>1-23</w:t>
      </w:r>
      <w:r w:rsidRPr="008442CC">
        <w:t>.</w:t>
      </w:r>
    </w:p>
    <w:p w14:paraId="5173917C" w14:textId="77777777" w:rsidR="00645972" w:rsidRPr="008442CC" w:rsidRDefault="00645972" w:rsidP="00645972">
      <w:pPr>
        <w:spacing w:after="240"/>
        <w:jc w:val="both"/>
      </w:pPr>
      <w:r w:rsidRPr="008442CC">
        <w:t xml:space="preserve">Fox JE. 2013. “The uses of racism: whitewashing new Europeans in the UK” </w:t>
      </w:r>
      <w:r w:rsidRPr="008442CC">
        <w:rPr>
          <w:i/>
        </w:rPr>
        <w:t>Ethnic and Racial Studies</w:t>
      </w:r>
      <w:r w:rsidRPr="008442CC">
        <w:t>. 36:11:1871-1889.</w:t>
      </w:r>
    </w:p>
    <w:p w14:paraId="59A12001" w14:textId="77777777" w:rsidR="00645972" w:rsidRPr="008442CC" w:rsidRDefault="00645972" w:rsidP="00645972">
      <w:pPr>
        <w:spacing w:after="240"/>
        <w:jc w:val="both"/>
      </w:pPr>
      <w:r w:rsidRPr="008442CC">
        <w:t xml:space="preserve">Fox JE and Moroşanu L. 2012. “The Racialization of the New European Migration to the UK” </w:t>
      </w:r>
      <w:r w:rsidRPr="008442CC">
        <w:rPr>
          <w:i/>
        </w:rPr>
        <w:t>Sociology</w:t>
      </w:r>
      <w:r w:rsidRPr="008442CC">
        <w:t>. 46(4):680–695.</w:t>
      </w:r>
    </w:p>
    <w:p w14:paraId="1555BE07" w14:textId="77777777" w:rsidR="00645972" w:rsidRPr="008442CC" w:rsidRDefault="00645972" w:rsidP="00645972">
      <w:pPr>
        <w:spacing w:after="240"/>
        <w:jc w:val="both"/>
      </w:pPr>
      <w:r w:rsidRPr="008442CC">
        <w:t xml:space="preserve">FRA (EU Fundamental Rights Agency) (2010) </w:t>
      </w:r>
      <w:r w:rsidRPr="008442CC">
        <w:rPr>
          <w:i/>
        </w:rPr>
        <w:t>EU-Midis. Main Results Report</w:t>
      </w:r>
      <w:r w:rsidRPr="008442CC">
        <w:t>. Luxembourg: POEU.</w:t>
      </w:r>
    </w:p>
    <w:p w14:paraId="1567C918" w14:textId="1D24B2C5" w:rsidR="00645972" w:rsidRPr="008442CC" w:rsidRDefault="00645972" w:rsidP="00645972">
      <w:pPr>
        <w:spacing w:after="240"/>
        <w:jc w:val="both"/>
      </w:pPr>
      <w:r w:rsidRPr="008442CC">
        <w:t xml:space="preserve">Gavin NT. 2018. “Media definitely do matter: Brexit, immigration, climate change and beyond” </w:t>
      </w:r>
      <w:r w:rsidRPr="008442CC">
        <w:rPr>
          <w:i/>
        </w:rPr>
        <w:t>British Journal of Politics and International Relations</w:t>
      </w:r>
      <w:r w:rsidRPr="008442CC">
        <w:t>. 20(4) 827–845.</w:t>
      </w:r>
    </w:p>
    <w:p w14:paraId="23EAFCD2" w14:textId="28A94932" w:rsidR="007F3BBC" w:rsidRPr="008442CC" w:rsidRDefault="007F3BBC" w:rsidP="00645972">
      <w:pPr>
        <w:spacing w:after="240"/>
        <w:jc w:val="both"/>
      </w:pPr>
      <w:r w:rsidRPr="008442CC">
        <w:t xml:space="preserve">Giddens, A. 1991 </w:t>
      </w:r>
      <w:r w:rsidRPr="008442CC">
        <w:rPr>
          <w:i/>
          <w:iCs/>
        </w:rPr>
        <w:t>Modernity and self-identity: Self and society in the late modern age</w:t>
      </w:r>
      <w:r w:rsidRPr="008442CC">
        <w:t>. Stanford university press.</w:t>
      </w:r>
    </w:p>
    <w:p w14:paraId="4D3FDA03" w14:textId="77777777" w:rsidR="00645972" w:rsidRPr="008442CC" w:rsidRDefault="00645972" w:rsidP="00645972">
      <w:pPr>
        <w:spacing w:after="240"/>
        <w:jc w:val="both"/>
      </w:pPr>
      <w:proofErr w:type="spellStart"/>
      <w:r w:rsidRPr="008442CC">
        <w:t>Hoffner</w:t>
      </w:r>
      <w:proofErr w:type="spellEnd"/>
      <w:r w:rsidRPr="008442CC">
        <w:t xml:space="preserve"> C and Cohen EL. 2013. “Short-term and enduring consequences of fright”. In E. Scharrer (ed) </w:t>
      </w:r>
      <w:r w:rsidRPr="008442CC">
        <w:rPr>
          <w:i/>
        </w:rPr>
        <w:t>Media effects/media psychology</w:t>
      </w:r>
      <w:r w:rsidRPr="008442CC">
        <w:t>. Boston: Wiley-Blackwell, pp.374–401.</w:t>
      </w:r>
    </w:p>
    <w:p w14:paraId="259B79E9" w14:textId="77777777" w:rsidR="00645972" w:rsidRPr="008442CC" w:rsidRDefault="00645972" w:rsidP="00645972">
      <w:pPr>
        <w:spacing w:after="240"/>
        <w:rPr>
          <w:rFonts w:cstheme="minorHAnsi"/>
        </w:rPr>
      </w:pPr>
      <w:r w:rsidRPr="008442CC">
        <w:rPr>
          <w:rFonts w:cstheme="minorHAnsi"/>
        </w:rPr>
        <w:t xml:space="preserve">Home Office. 2016. </w:t>
      </w:r>
      <w:r w:rsidRPr="008442CC">
        <w:rPr>
          <w:rFonts w:cstheme="minorHAnsi"/>
          <w:i/>
        </w:rPr>
        <w:t>Hate Crime, England and Wales, 2015/16</w:t>
      </w:r>
      <w:r w:rsidRPr="008442CC">
        <w:rPr>
          <w:rFonts w:cstheme="minorHAnsi"/>
        </w:rPr>
        <w:t>, Statistical Bulletin 11/16.</w:t>
      </w:r>
    </w:p>
    <w:p w14:paraId="58A0AACC" w14:textId="77777777" w:rsidR="00645972" w:rsidRPr="008442CC" w:rsidRDefault="00645972" w:rsidP="00645972">
      <w:pPr>
        <w:spacing w:after="240"/>
        <w:rPr>
          <w:rFonts w:cstheme="minorHAnsi"/>
        </w:rPr>
      </w:pPr>
      <w:r w:rsidRPr="008442CC">
        <w:rPr>
          <w:rFonts w:cstheme="minorHAnsi"/>
        </w:rPr>
        <w:t xml:space="preserve">Home Office. 2018. </w:t>
      </w:r>
      <w:r w:rsidRPr="008442CC">
        <w:rPr>
          <w:rFonts w:cstheme="minorHAnsi"/>
          <w:i/>
        </w:rPr>
        <w:t>Hate Crime, England and Wales, 2017/18</w:t>
      </w:r>
      <w:r w:rsidRPr="008442CC">
        <w:rPr>
          <w:rFonts w:cstheme="minorHAnsi"/>
        </w:rPr>
        <w:t>. Statistical Bulletin 20/18.</w:t>
      </w:r>
    </w:p>
    <w:p w14:paraId="4D005348" w14:textId="77777777" w:rsidR="00645972" w:rsidRPr="008442CC" w:rsidRDefault="00645972" w:rsidP="00645972">
      <w:pPr>
        <w:rPr>
          <w:rFonts w:ascii="Calibri" w:eastAsia="Times New Roman" w:hAnsi="Calibri" w:cs="Calibri"/>
          <w:lang w:eastAsia="en-GB"/>
        </w:rPr>
      </w:pPr>
      <w:proofErr w:type="spellStart"/>
      <w:r w:rsidRPr="008442CC">
        <w:rPr>
          <w:rFonts w:ascii="Calibri" w:eastAsia="Times New Roman" w:hAnsi="Calibri" w:cs="Calibri"/>
          <w:shd w:val="clear" w:color="auto" w:fill="FFFFFF"/>
          <w:lang w:eastAsia="en-GB"/>
        </w:rPr>
        <w:t>Kempny</w:t>
      </w:r>
      <w:proofErr w:type="spellEnd"/>
      <w:r w:rsidRPr="008442CC">
        <w:rPr>
          <w:rFonts w:ascii="Calibri" w:eastAsia="Times New Roman" w:hAnsi="Calibri" w:cs="Calibri"/>
          <w:shd w:val="clear" w:color="auto" w:fill="FFFFFF"/>
          <w:lang w:eastAsia="en-GB"/>
        </w:rPr>
        <w:t xml:space="preserve"> M. 2011. “Interpretative repertoire of victimhood: Narrating experiences of discrimination and ethnic hatred among Polish migrants in Belfast” </w:t>
      </w:r>
      <w:r w:rsidRPr="008442CC">
        <w:rPr>
          <w:rFonts w:ascii="Calibri" w:eastAsia="Times New Roman" w:hAnsi="Calibri" w:cs="Calibri"/>
          <w:i/>
          <w:shd w:val="clear" w:color="auto" w:fill="FFFFFF"/>
          <w:lang w:eastAsia="en-GB"/>
        </w:rPr>
        <w:t>Anthropological Journal of European Cultures</w:t>
      </w:r>
      <w:r w:rsidRPr="008442CC">
        <w:rPr>
          <w:rFonts w:ascii="Calibri" w:eastAsia="Times New Roman" w:hAnsi="Calibri" w:cs="Calibri"/>
          <w:shd w:val="clear" w:color="auto" w:fill="FFFFFF"/>
          <w:lang w:eastAsia="en-GB"/>
        </w:rPr>
        <w:t>. 20(1):</w:t>
      </w:r>
      <w:r w:rsidRPr="008442CC">
        <w:rPr>
          <w:rFonts w:ascii="Calibri" w:eastAsia="Times New Roman" w:hAnsi="Calibri" w:cs="Calibri"/>
          <w:lang w:eastAsia="en-GB"/>
        </w:rPr>
        <w:t>132–151.</w:t>
      </w:r>
    </w:p>
    <w:p w14:paraId="2087BC9C" w14:textId="77777777" w:rsidR="00645972" w:rsidRPr="008442CC" w:rsidRDefault="00645972" w:rsidP="00645972">
      <w:pPr>
        <w:rPr>
          <w:rFonts w:ascii="Calibri" w:eastAsia="Times New Roman" w:hAnsi="Calibri" w:cs="Calibri"/>
          <w:lang w:eastAsia="en-GB"/>
        </w:rPr>
      </w:pPr>
    </w:p>
    <w:p w14:paraId="5BC2C714" w14:textId="521AC889" w:rsidR="00645972" w:rsidRPr="008442CC" w:rsidRDefault="00645972">
      <w:pPr>
        <w:spacing w:after="240"/>
        <w:jc w:val="both"/>
      </w:pPr>
      <w:r w:rsidRPr="008442CC">
        <w:t>Loewenstein GF et al. 2001. “Risk as feelings” Psychological bulletin. 127(2):</w:t>
      </w:r>
      <w:r w:rsidR="00315107" w:rsidRPr="008442CC">
        <w:t>267-286</w:t>
      </w:r>
      <w:r w:rsidRPr="008442CC">
        <w:t>.</w:t>
      </w:r>
    </w:p>
    <w:p w14:paraId="209C1B09" w14:textId="18CD1B9A" w:rsidR="00645972" w:rsidRPr="008442CC" w:rsidDel="009D1C5A" w:rsidRDefault="00645972" w:rsidP="00645972">
      <w:pPr>
        <w:spacing w:after="240"/>
        <w:jc w:val="both"/>
      </w:pPr>
      <w:r w:rsidRPr="008442CC">
        <w:t>Looney S. 2017. “Breaking Point? An Examination of the Politics of Othering in Brexit Britain” TLI Think! Paper 69/2017. &lt;</w:t>
      </w:r>
      <w:r w:rsidR="007E0D23" w:rsidRPr="008442CC">
        <w:t>https://ssrn.com/abstract=3014638</w:t>
      </w:r>
      <w:r w:rsidRPr="008442CC">
        <w:t>&gt;.</w:t>
      </w:r>
    </w:p>
    <w:p w14:paraId="1FC5F90B" w14:textId="77777777" w:rsidR="00645972" w:rsidRPr="008442CC" w:rsidDel="009D1C5A" w:rsidRDefault="00645972" w:rsidP="00645972">
      <w:pPr>
        <w:spacing w:after="240"/>
        <w:jc w:val="both"/>
        <w:rPr>
          <w:lang w:val="fr-FR"/>
        </w:rPr>
      </w:pPr>
      <w:r w:rsidRPr="008442CC">
        <w:lastRenderedPageBreak/>
        <w:t xml:space="preserve">McGhee D et al. 2017. “An ‘undeliberate determinacy’? The changing migration strategies of Polish migrants in the UK in times of Brexit” </w:t>
      </w:r>
      <w:r w:rsidRPr="008442CC">
        <w:rPr>
          <w:i/>
        </w:rPr>
        <w:t>Journal of Ethnic and Migration Studies</w:t>
      </w:r>
      <w:r w:rsidRPr="008442CC">
        <w:t xml:space="preserve">. </w:t>
      </w:r>
      <w:r w:rsidRPr="008442CC">
        <w:rPr>
          <w:lang w:val="fr-FR"/>
        </w:rPr>
        <w:t>43(13):2109-2130.</w:t>
      </w:r>
    </w:p>
    <w:p w14:paraId="08EFED7F" w14:textId="77777777" w:rsidR="00645972" w:rsidRPr="008442CC" w:rsidDel="009D1C5A" w:rsidRDefault="00645972" w:rsidP="00645972">
      <w:pPr>
        <w:spacing w:after="240"/>
        <w:jc w:val="both"/>
      </w:pPr>
      <w:r w:rsidRPr="008442CC">
        <w:rPr>
          <w:lang w:val="fr-FR"/>
        </w:rPr>
        <w:t xml:space="preserve">Mackenzie C et al. 2014. “Introduction” in Mackenzie C et al. </w:t>
      </w:r>
      <w:r w:rsidRPr="008442CC">
        <w:t xml:space="preserve">(eds.), </w:t>
      </w:r>
      <w:r w:rsidRPr="008442CC">
        <w:rPr>
          <w:i/>
        </w:rPr>
        <w:t>Vulnerability</w:t>
      </w:r>
      <w:r w:rsidRPr="008442CC">
        <w:t>. Oxford: OUP.</w:t>
      </w:r>
    </w:p>
    <w:p w14:paraId="7776D416" w14:textId="77777777" w:rsidR="00645972" w:rsidRPr="008442CC" w:rsidRDefault="00645972" w:rsidP="00645972">
      <w:pPr>
        <w:spacing w:after="240"/>
        <w:jc w:val="both"/>
      </w:pPr>
      <w:r w:rsidRPr="008442CC">
        <w:t xml:space="preserve">McDevitt J. 2014. “New figures reveal dramatic increase in hate crimes against Polish people” </w:t>
      </w:r>
      <w:r w:rsidRPr="008442CC">
        <w:rPr>
          <w:i/>
        </w:rPr>
        <w:t>The Guardian</w:t>
      </w:r>
      <w:r w:rsidRPr="008442CC">
        <w:t>. 11 June.</w:t>
      </w:r>
    </w:p>
    <w:p w14:paraId="24B33D9D" w14:textId="77777777" w:rsidR="00645972" w:rsidRPr="008442CC" w:rsidRDefault="00645972" w:rsidP="00645972">
      <w:pPr>
        <w:spacing w:after="240"/>
        <w:jc w:val="both"/>
      </w:pPr>
      <w:r w:rsidRPr="008442CC">
        <w:t>McGinnity F and Gijsbertsa M. 2015. “Perceived group discrimination among Polish migrants to Western Europe: Comparing Germany, the Netherlands, the UK and Ireland” ESRI Working Paper, No. 502, The Economic and Social Research Institute (ESRI).</w:t>
      </w:r>
    </w:p>
    <w:p w14:paraId="0B4F7FFD" w14:textId="62534877" w:rsidR="00645972" w:rsidRPr="008442CC" w:rsidRDefault="00645972" w:rsidP="00645972">
      <w:pPr>
        <w:spacing w:after="240"/>
        <w:jc w:val="both"/>
      </w:pPr>
      <w:r w:rsidRPr="008442CC">
        <w:t xml:space="preserve">McLaren LM and Johnson M. 2004. “Understanding the Rising Tide of Anti-Immigrant Sentiment” in Park A et al. (eds) </w:t>
      </w:r>
      <w:r w:rsidRPr="008442CC">
        <w:rPr>
          <w:i/>
        </w:rPr>
        <w:t>British Social Attitudes, 21st Report</w:t>
      </w:r>
      <w:r w:rsidRPr="008442CC">
        <w:t xml:space="preserve">. </w:t>
      </w:r>
      <w:r w:rsidR="00AC02DD" w:rsidRPr="008442CC">
        <w:t>London</w:t>
      </w:r>
      <w:r w:rsidRPr="008442CC">
        <w:t>: Sage.</w:t>
      </w:r>
    </w:p>
    <w:p w14:paraId="03EDB91F" w14:textId="51244818" w:rsidR="00645972" w:rsidRPr="008442CC" w:rsidRDefault="00645972" w:rsidP="00645972">
      <w:pPr>
        <w:spacing w:after="240"/>
      </w:pPr>
      <w:r w:rsidRPr="008442CC">
        <w:t>Migration Observatory. 2018. “UK Public Opinion toward Immigration: Overall Attitudes and Level of Concern”, 7 June &lt;https://migrationobservatory.ox.ac.uk/resources/briefings/uk-public-opinion-toward-immigration-overall-attitudes-and-level-of-concern/&gt;.</w:t>
      </w:r>
    </w:p>
    <w:p w14:paraId="77EE9ED3" w14:textId="1DF0EF85" w:rsidR="007C1B33" w:rsidRPr="008442CC" w:rsidRDefault="007C1B33" w:rsidP="00645972">
      <w:pPr>
        <w:spacing w:after="240"/>
      </w:pPr>
      <w:proofErr w:type="spellStart"/>
      <w:r w:rsidRPr="008442CC">
        <w:t>Mitzen</w:t>
      </w:r>
      <w:proofErr w:type="spellEnd"/>
      <w:r w:rsidRPr="008442CC">
        <w:t xml:space="preserve">, J. (2006) “Ontological security in world politics: State identity and the security dilemma”, </w:t>
      </w:r>
      <w:r w:rsidRPr="008442CC">
        <w:rPr>
          <w:i/>
          <w:iCs/>
        </w:rPr>
        <w:t>European journal of international relations</w:t>
      </w:r>
      <w:r w:rsidRPr="008442CC">
        <w:t xml:space="preserve">, </w:t>
      </w:r>
      <w:r w:rsidRPr="008442CC">
        <w:rPr>
          <w:i/>
          <w:iCs/>
        </w:rPr>
        <w:t>12</w:t>
      </w:r>
      <w:r w:rsidRPr="008442CC">
        <w:t>(3), 341-370.</w:t>
      </w:r>
    </w:p>
    <w:p w14:paraId="51E3942E" w14:textId="77777777" w:rsidR="00645972" w:rsidRPr="008442CC" w:rsidDel="009D1C5A" w:rsidRDefault="00645972" w:rsidP="00645972">
      <w:pPr>
        <w:spacing w:after="240"/>
      </w:pPr>
      <w:r w:rsidRPr="008442CC">
        <w:t xml:space="preserve">Morrison J. 2016. “Break-point for Brexit? How UKIP's image of 'hate' set race discourse reeling back decades”. In Jackson D et al. (eds) </w:t>
      </w:r>
      <w:r w:rsidRPr="008442CC">
        <w:rPr>
          <w:i/>
        </w:rPr>
        <w:t>EU referendum analysis 2016: media, voters and the campaign</w:t>
      </w:r>
      <w:r w:rsidRPr="008442CC">
        <w:t>. Bournemouth University, Centre for the study of journalism, culture and community &lt;http://bit.ly/EUReferendumAnalysis2016_Jackson-Thorsen-and-Wring_v1&gt;</w:t>
      </w:r>
    </w:p>
    <w:p w14:paraId="1DCDF1DE" w14:textId="77777777" w:rsidR="00645972" w:rsidRPr="008442CC" w:rsidDel="009D1C5A" w:rsidRDefault="00645972" w:rsidP="00645972">
      <w:pPr>
        <w:spacing w:after="240"/>
        <w:jc w:val="both"/>
      </w:pPr>
      <w:r w:rsidRPr="008442CC">
        <w:t xml:space="preserve">Nicolau A. 2018. </w:t>
      </w:r>
      <w:r w:rsidRPr="008442CC">
        <w:rPr>
          <w:i/>
        </w:rPr>
        <w:t>Freedom of Movement in the EU: A Look Behind the Curtain</w:t>
      </w:r>
      <w:r w:rsidRPr="008442CC">
        <w:t>. Brussels: ECAS.</w:t>
      </w:r>
    </w:p>
    <w:p w14:paraId="114A6ABC" w14:textId="77777777" w:rsidR="00645972" w:rsidRPr="008442CC" w:rsidRDefault="00645972" w:rsidP="00645972">
      <w:pPr>
        <w:spacing w:after="240"/>
      </w:pPr>
      <w:r w:rsidRPr="008442CC">
        <w:t xml:space="preserve">O’Brien C. 2017. </w:t>
      </w:r>
      <w:r w:rsidRPr="008442CC">
        <w:rPr>
          <w:i/>
        </w:rPr>
        <w:t>Unity in Adversity. EU Citizenship, Social Justice and the Cautionary Tale of the UK</w:t>
      </w:r>
      <w:r w:rsidRPr="008442CC">
        <w:t>. Oxford: Hart.</w:t>
      </w:r>
    </w:p>
    <w:p w14:paraId="265F087D" w14:textId="015AFD96" w:rsidR="00645972" w:rsidRPr="008442CC" w:rsidRDefault="00645972" w:rsidP="00645972">
      <w:pPr>
        <w:spacing w:after="240"/>
      </w:pPr>
      <w:r w:rsidRPr="008442CC">
        <w:t xml:space="preserve">O’Brien C. 2019. “Settled status scheme for EU citizens risks being next Windrush”. </w:t>
      </w:r>
      <w:r w:rsidRPr="008442CC">
        <w:rPr>
          <w:i/>
        </w:rPr>
        <w:t>The Times</w:t>
      </w:r>
      <w:r w:rsidRPr="008442CC">
        <w:t>. 4 April.</w:t>
      </w:r>
    </w:p>
    <w:p w14:paraId="26D5748F" w14:textId="77777777" w:rsidR="00645972" w:rsidRPr="008442CC" w:rsidDel="009D1C5A" w:rsidRDefault="00645972" w:rsidP="00645972">
      <w:pPr>
        <w:spacing w:after="240"/>
      </w:pPr>
      <w:r w:rsidRPr="008442CC">
        <w:t xml:space="preserve">ONS. 2011. </w:t>
      </w:r>
      <w:r w:rsidRPr="008442CC">
        <w:rPr>
          <w:i/>
        </w:rPr>
        <w:t>Census in England and Wales</w:t>
      </w:r>
      <w:r w:rsidRPr="008442CC">
        <w:t>.</w:t>
      </w:r>
    </w:p>
    <w:p w14:paraId="65E560EC" w14:textId="77777777" w:rsidR="00645972" w:rsidRPr="008442CC" w:rsidRDefault="00645972" w:rsidP="00645972">
      <w:pPr>
        <w:spacing w:after="240"/>
        <w:rPr>
          <w:rFonts w:cstheme="minorHAnsi"/>
        </w:rPr>
      </w:pPr>
      <w:r w:rsidRPr="008442CC">
        <w:rPr>
          <w:rFonts w:cstheme="minorHAnsi"/>
        </w:rPr>
        <w:t xml:space="preserve">ONS. 2016. </w:t>
      </w:r>
      <w:r w:rsidRPr="008442CC">
        <w:rPr>
          <w:rFonts w:cstheme="minorHAnsi"/>
          <w:i/>
        </w:rPr>
        <w:t>Population of the UK by Country of Birth and Nationality</w:t>
      </w:r>
      <w:r w:rsidRPr="008442CC">
        <w:rPr>
          <w:rFonts w:cstheme="minorHAnsi"/>
        </w:rPr>
        <w:t>.</w:t>
      </w:r>
    </w:p>
    <w:p w14:paraId="2BC428CF" w14:textId="77777777" w:rsidR="00645972" w:rsidRPr="008442CC" w:rsidRDefault="00645972" w:rsidP="00645972">
      <w:pPr>
        <w:spacing w:after="240"/>
        <w:rPr>
          <w:rFonts w:cstheme="minorHAnsi"/>
        </w:rPr>
      </w:pPr>
      <w:r w:rsidRPr="008442CC">
        <w:rPr>
          <w:rFonts w:cstheme="minorHAnsi"/>
        </w:rPr>
        <w:t xml:space="preserve">Outhwaite W. 2019. “Migration Crisis and ‘Brexit’” in Menjívar C et al. (eds) </w:t>
      </w:r>
      <w:r w:rsidRPr="008442CC">
        <w:rPr>
          <w:rFonts w:cstheme="minorHAnsi"/>
          <w:i/>
        </w:rPr>
        <w:t>Oxford Handbook of Migration Crises</w:t>
      </w:r>
      <w:r w:rsidRPr="008442CC">
        <w:rPr>
          <w:rFonts w:cstheme="minorHAnsi"/>
        </w:rPr>
        <w:t>. Oxford: OUP.</w:t>
      </w:r>
    </w:p>
    <w:p w14:paraId="1F5E5655" w14:textId="77777777" w:rsidR="00645972" w:rsidRPr="008442CC" w:rsidRDefault="00645972" w:rsidP="00645972">
      <w:pPr>
        <w:spacing w:after="240"/>
        <w:rPr>
          <w:rStyle w:val="Hyperlink"/>
          <w:rFonts w:cstheme="minorHAnsi"/>
          <w:color w:val="auto"/>
          <w:u w:val="none"/>
        </w:rPr>
      </w:pPr>
      <w:r w:rsidRPr="008442CC">
        <w:rPr>
          <w:rStyle w:val="Hyperlink"/>
          <w:rFonts w:cstheme="minorHAnsi"/>
          <w:color w:val="auto"/>
          <w:u w:val="none"/>
        </w:rPr>
        <w:t xml:space="preserve">Peroni L and Timmer A. 2013. “Vulnerable groups: The promise of an emerging concept in European Human Rights Convention law” </w:t>
      </w:r>
      <w:r w:rsidRPr="008442CC">
        <w:rPr>
          <w:rStyle w:val="Hyperlink"/>
          <w:rFonts w:cstheme="minorHAnsi"/>
          <w:i/>
          <w:color w:val="auto"/>
          <w:u w:val="none"/>
        </w:rPr>
        <w:t>International Journal of Constitutional Law</w:t>
      </w:r>
      <w:r w:rsidRPr="008442CC">
        <w:rPr>
          <w:rStyle w:val="Hyperlink"/>
          <w:rFonts w:cstheme="minorHAnsi"/>
          <w:color w:val="auto"/>
          <w:u w:val="none"/>
        </w:rPr>
        <w:t>. 11(4):1056-1085.</w:t>
      </w:r>
    </w:p>
    <w:p w14:paraId="0122B926" w14:textId="77777777" w:rsidR="00645972" w:rsidRPr="008442CC" w:rsidRDefault="00645972" w:rsidP="00645972">
      <w:pPr>
        <w:spacing w:after="240"/>
        <w:rPr>
          <w:rFonts w:cstheme="minorHAnsi"/>
          <w:bCs/>
        </w:rPr>
      </w:pPr>
      <w:r w:rsidRPr="008442CC">
        <w:rPr>
          <w:rFonts w:cstheme="minorHAnsi"/>
          <w:bCs/>
        </w:rPr>
        <w:lastRenderedPageBreak/>
        <w:t xml:space="preserve">Perloff LS. 1983. “Perceptions of vulnerability to victimization”. </w:t>
      </w:r>
      <w:r w:rsidRPr="008442CC">
        <w:rPr>
          <w:rFonts w:cstheme="minorHAnsi"/>
          <w:bCs/>
          <w:i/>
          <w:iCs/>
        </w:rPr>
        <w:t>Journal of Social Issues</w:t>
      </w:r>
      <w:r w:rsidRPr="008442CC">
        <w:rPr>
          <w:rFonts w:cstheme="minorHAnsi"/>
          <w:bCs/>
        </w:rPr>
        <w:t xml:space="preserve">. </w:t>
      </w:r>
      <w:r w:rsidRPr="008442CC">
        <w:rPr>
          <w:rFonts w:cstheme="minorHAnsi"/>
          <w:bCs/>
          <w:iCs/>
        </w:rPr>
        <w:t>39</w:t>
      </w:r>
      <w:r w:rsidRPr="008442CC">
        <w:rPr>
          <w:rFonts w:cstheme="minorHAnsi"/>
          <w:bCs/>
        </w:rPr>
        <w:t>(2):41-61.</w:t>
      </w:r>
    </w:p>
    <w:p w14:paraId="39493195" w14:textId="77777777" w:rsidR="00645972" w:rsidRPr="008442CC" w:rsidRDefault="00645972" w:rsidP="00645972">
      <w:pPr>
        <w:spacing w:after="240"/>
        <w:jc w:val="both"/>
        <w:rPr>
          <w:rFonts w:cstheme="minorHAnsi"/>
        </w:rPr>
      </w:pPr>
      <w:r w:rsidRPr="008442CC">
        <w:rPr>
          <w:rFonts w:cstheme="minorHAnsi"/>
        </w:rPr>
        <w:t xml:space="preserve">Quinn B. 2017. “Sleepless, anxious, depressed: EU citizens in the shadow of Brexit” </w:t>
      </w:r>
      <w:r w:rsidRPr="008442CC">
        <w:rPr>
          <w:rFonts w:cstheme="minorHAnsi"/>
          <w:i/>
        </w:rPr>
        <w:t>The Guardian</w:t>
      </w:r>
      <w:r w:rsidRPr="008442CC">
        <w:rPr>
          <w:rFonts w:cstheme="minorHAnsi"/>
        </w:rPr>
        <w:t>. 24 June.</w:t>
      </w:r>
    </w:p>
    <w:p w14:paraId="47FFE414" w14:textId="1C804BD6" w:rsidR="00645972" w:rsidRPr="008442CC" w:rsidRDefault="00645972" w:rsidP="00645972">
      <w:pPr>
        <w:spacing w:after="240"/>
        <w:jc w:val="both"/>
        <w:rPr>
          <w:rFonts w:cstheme="minorHAnsi"/>
        </w:rPr>
      </w:pPr>
      <w:r w:rsidRPr="008442CC">
        <w:rPr>
          <w:rFonts w:cstheme="minorHAnsi"/>
        </w:rPr>
        <w:t xml:space="preserve">Remigi E et al. (eds). 2017. </w:t>
      </w:r>
      <w:r w:rsidRPr="008442CC">
        <w:rPr>
          <w:rFonts w:cstheme="minorHAnsi"/>
          <w:i/>
          <w:iCs/>
        </w:rPr>
        <w:t>In Limbo: Brexit testimonies from EU citizens in the UK</w:t>
      </w:r>
      <w:r w:rsidRPr="008442CC">
        <w:rPr>
          <w:rFonts w:cstheme="minorHAnsi"/>
        </w:rPr>
        <w:t>. Our Brexit Testimonies.</w:t>
      </w:r>
    </w:p>
    <w:p w14:paraId="00EA0785" w14:textId="51B7719C" w:rsidR="007C1B33" w:rsidRPr="008442CC" w:rsidRDefault="007C1B33" w:rsidP="00645972">
      <w:pPr>
        <w:spacing w:after="240"/>
        <w:jc w:val="both"/>
        <w:rPr>
          <w:rFonts w:cstheme="minorHAnsi"/>
        </w:rPr>
      </w:pPr>
      <w:proofErr w:type="spellStart"/>
      <w:r w:rsidRPr="008442CC">
        <w:rPr>
          <w:rFonts w:cstheme="minorHAnsi"/>
        </w:rPr>
        <w:t>Riskind</w:t>
      </w:r>
      <w:proofErr w:type="spellEnd"/>
      <w:r w:rsidRPr="008442CC">
        <w:rPr>
          <w:rFonts w:cstheme="minorHAnsi"/>
        </w:rPr>
        <w:t xml:space="preserve">, J. H. 1997) “Looming vulnerability to threat: A cognitive paradigm for anxiety”, </w:t>
      </w:r>
      <w:r w:rsidRPr="008442CC">
        <w:rPr>
          <w:rFonts w:cstheme="minorHAnsi"/>
          <w:i/>
          <w:iCs/>
        </w:rPr>
        <w:t>Behaviour Research and Therapy</w:t>
      </w:r>
      <w:r w:rsidRPr="008442CC">
        <w:rPr>
          <w:rFonts w:cstheme="minorHAnsi"/>
        </w:rPr>
        <w:t xml:space="preserve">, </w:t>
      </w:r>
      <w:r w:rsidRPr="008442CC">
        <w:rPr>
          <w:rFonts w:cstheme="minorHAnsi"/>
          <w:i/>
          <w:iCs/>
        </w:rPr>
        <w:t>35</w:t>
      </w:r>
      <w:r w:rsidRPr="008442CC">
        <w:rPr>
          <w:rFonts w:cstheme="minorHAnsi"/>
        </w:rPr>
        <w:t>(8), 685-702.</w:t>
      </w:r>
    </w:p>
    <w:p w14:paraId="3EDDA53D" w14:textId="77777777" w:rsidR="00645972" w:rsidRPr="008442CC" w:rsidRDefault="00645972" w:rsidP="00645972">
      <w:pPr>
        <w:spacing w:after="240"/>
        <w:jc w:val="both"/>
      </w:pPr>
      <w:r w:rsidRPr="008442CC">
        <w:t xml:space="preserve">Rzepnikowska A. 2018. “Racism and xenophobia experienced by Polish migrants in the UK before and after Brexit vote”. </w:t>
      </w:r>
      <w:r w:rsidRPr="008442CC">
        <w:rPr>
          <w:i/>
        </w:rPr>
        <w:t>Journal of Ethnic and Migration Studies.</w:t>
      </w:r>
      <w:r w:rsidRPr="008442CC">
        <w:t xml:space="preserve"> 45(1):61-77.</w:t>
      </w:r>
    </w:p>
    <w:p w14:paraId="2E0D6E62" w14:textId="3704D63C" w:rsidR="00B96D51" w:rsidRPr="008442CC" w:rsidRDefault="00B96D51" w:rsidP="00645972">
      <w:pPr>
        <w:spacing w:after="240"/>
        <w:jc w:val="both"/>
      </w:pPr>
      <w:r w:rsidRPr="008442CC">
        <w:t xml:space="preserve">Stephan, W. G., and Stephan, C.W. 1996 </w:t>
      </w:r>
      <w:r w:rsidRPr="008442CC">
        <w:rPr>
          <w:i/>
        </w:rPr>
        <w:t>Intergroup Relations.</w:t>
      </w:r>
      <w:r w:rsidR="007F3BBC" w:rsidRPr="008442CC">
        <w:t xml:space="preserve"> Boulder, CO: Westview.</w:t>
      </w:r>
    </w:p>
    <w:p w14:paraId="76CC29A1" w14:textId="77777777" w:rsidR="00645972" w:rsidRPr="008442CC" w:rsidRDefault="00645972" w:rsidP="00645972">
      <w:pPr>
        <w:spacing w:after="240"/>
        <w:rPr>
          <w:lang w:val="fr-FR"/>
        </w:rPr>
      </w:pPr>
      <w:r w:rsidRPr="008442CC">
        <w:t xml:space="preserve">Temple E and Brown R. 2012. “A comparison of internet-based participant recruitment methods: Engaging the hidden population of cannabis users in research” </w:t>
      </w:r>
      <w:r w:rsidRPr="008442CC">
        <w:rPr>
          <w:i/>
        </w:rPr>
        <w:t>Journal of Research Practice</w:t>
      </w:r>
      <w:r w:rsidRPr="008442CC">
        <w:t xml:space="preserve">. </w:t>
      </w:r>
      <w:r w:rsidRPr="008442CC">
        <w:rPr>
          <w:lang w:val="fr-FR"/>
        </w:rPr>
        <w:t>7(2) Article D2 &lt;http://jrp.icaap.org/index.php/jrp/article/view/288/247&gt;.</w:t>
      </w:r>
    </w:p>
    <w:p w14:paraId="116604F2" w14:textId="02AF2A36" w:rsidR="00645972" w:rsidRPr="008442CC" w:rsidRDefault="00645972" w:rsidP="00645972">
      <w:pPr>
        <w:spacing w:after="240"/>
        <w:jc w:val="both"/>
      </w:pPr>
      <w:r w:rsidRPr="008442CC">
        <w:t xml:space="preserve">Timmer A. 2013. “A quiet revolution: vulnerability in the European Court of Human Rights”. In Fineman M &amp; Grear A (eds) </w:t>
      </w:r>
      <w:r w:rsidRPr="008442CC">
        <w:rPr>
          <w:i/>
        </w:rPr>
        <w:t>Vulnerability : reflections on a new ethical foundation for law and politics</w:t>
      </w:r>
      <w:r w:rsidRPr="008442CC">
        <w:t xml:space="preserve">. </w:t>
      </w:r>
      <w:r w:rsidR="00870982" w:rsidRPr="008442CC">
        <w:t>Farnham</w:t>
      </w:r>
      <w:r w:rsidRPr="008442CC">
        <w:t>: Ashgate. pp.147–170.</w:t>
      </w:r>
    </w:p>
    <w:p w14:paraId="02F37255" w14:textId="7F2CE37A" w:rsidR="00E21643" w:rsidRPr="008442CC" w:rsidRDefault="00E21643" w:rsidP="00645972">
      <w:pPr>
        <w:spacing w:after="240"/>
        <w:jc w:val="both"/>
      </w:pPr>
      <w:r w:rsidRPr="008442CC">
        <w:t xml:space="preserve">Travis A. 2013. “Immigration bill: Theresa May defends plans to create ´hostile environment’”, </w:t>
      </w:r>
      <w:r w:rsidRPr="008442CC">
        <w:rPr>
          <w:i/>
        </w:rPr>
        <w:t>The Guardian</w:t>
      </w:r>
      <w:r w:rsidRPr="008442CC">
        <w:t>, 10 October.</w:t>
      </w:r>
    </w:p>
    <w:p w14:paraId="4133711F" w14:textId="6AADF0AD" w:rsidR="00CB1E0B" w:rsidRPr="008442CC" w:rsidRDefault="006F67DC" w:rsidP="006F67DC">
      <w:pPr>
        <w:rPr>
          <w:rFonts w:eastAsia="Times New Roman" w:cstheme="minorHAnsi"/>
          <w:lang w:eastAsia="en-GB"/>
        </w:rPr>
      </w:pPr>
      <w:r w:rsidRPr="008442CC">
        <w:rPr>
          <w:rFonts w:eastAsia="Times New Roman" w:cstheme="minorHAnsi"/>
          <w:lang w:eastAsia="en-GB"/>
        </w:rPr>
        <w:t xml:space="preserve">UN Special Rapporteur </w:t>
      </w:r>
      <w:r w:rsidR="007256AA" w:rsidRPr="008442CC">
        <w:rPr>
          <w:rFonts w:eastAsia="Times New Roman" w:cstheme="minorHAnsi"/>
          <w:lang w:eastAsia="en-GB"/>
        </w:rPr>
        <w:t>on Contemporary Forms of Racism, Racial Discrimination, Xenophobia and Related Intolerance</w:t>
      </w:r>
      <w:r w:rsidR="00874A45" w:rsidRPr="008442CC">
        <w:rPr>
          <w:rFonts w:eastAsia="Times New Roman" w:cstheme="minorHAnsi"/>
          <w:lang w:eastAsia="en-GB"/>
        </w:rPr>
        <w:t xml:space="preserve">. </w:t>
      </w:r>
      <w:r w:rsidRPr="008442CC">
        <w:rPr>
          <w:rFonts w:eastAsia="Times New Roman" w:cstheme="minorHAnsi"/>
          <w:lang w:eastAsia="en-GB"/>
        </w:rPr>
        <w:t>201</w:t>
      </w:r>
      <w:r w:rsidR="00874A45" w:rsidRPr="008442CC">
        <w:rPr>
          <w:rFonts w:eastAsia="Times New Roman" w:cstheme="minorHAnsi"/>
          <w:lang w:eastAsia="en-GB"/>
        </w:rPr>
        <w:t>8.</w:t>
      </w:r>
      <w:r w:rsidRPr="008442CC">
        <w:rPr>
          <w:rFonts w:eastAsia="Times New Roman" w:cstheme="minorHAnsi"/>
          <w:lang w:eastAsia="en-GB"/>
        </w:rPr>
        <w:t xml:space="preserve"> </w:t>
      </w:r>
      <w:r w:rsidRPr="008442CC">
        <w:rPr>
          <w:rFonts w:eastAsia="Times New Roman" w:cstheme="minorHAnsi"/>
          <w:i/>
          <w:iCs/>
          <w:lang w:eastAsia="en-GB"/>
        </w:rPr>
        <w:t>End of Mission Statement of the Special Rapporteur on Contemporary Forms of Racism, Racial Discrimination, Xenophobia and Related Intolerance at the Conclusion of Her Mission to the United Kingdom of Great Britain and Northern Ireland</w:t>
      </w:r>
      <w:r w:rsidRPr="008442CC">
        <w:rPr>
          <w:rFonts w:eastAsia="Times New Roman" w:cstheme="minorHAnsi"/>
          <w:lang w:eastAsia="en-GB"/>
        </w:rPr>
        <w:t xml:space="preserve">, </w:t>
      </w:r>
      <w:hyperlink r:id="rId8" w:history="1">
        <w:r w:rsidRPr="008442CC">
          <w:rPr>
            <w:rStyle w:val="Hyperlink"/>
            <w:rFonts w:eastAsia="Times New Roman" w:cstheme="minorHAnsi"/>
            <w:color w:val="auto"/>
            <w:lang w:eastAsia="en-GB"/>
          </w:rPr>
          <w:t>https://ohchr.org/EN/NewsEvents/Pages/DisplayNews.aspx?NewsID=23073&amp;LangID=E</w:t>
        </w:r>
      </w:hyperlink>
      <w:r w:rsidRPr="008442CC">
        <w:rPr>
          <w:rFonts w:eastAsia="Times New Roman" w:cstheme="minorHAnsi"/>
          <w:lang w:eastAsia="en-GB"/>
        </w:rPr>
        <w:t xml:space="preserve"> </w:t>
      </w:r>
    </w:p>
    <w:p w14:paraId="7B0B4DCF" w14:textId="77777777" w:rsidR="006F67DC" w:rsidRPr="008442CC" w:rsidRDefault="006F67DC" w:rsidP="00601CE0"/>
    <w:p w14:paraId="02279B16" w14:textId="3871A673" w:rsidR="00645972" w:rsidRPr="008442CC" w:rsidRDefault="00645972" w:rsidP="00645972">
      <w:pPr>
        <w:spacing w:after="240"/>
      </w:pPr>
      <w:proofErr w:type="spellStart"/>
      <w:r w:rsidRPr="008442CC">
        <w:t>Virdee</w:t>
      </w:r>
      <w:proofErr w:type="spellEnd"/>
      <w:r w:rsidRPr="008442CC">
        <w:t xml:space="preserve"> S and </w:t>
      </w:r>
      <w:proofErr w:type="spellStart"/>
      <w:r w:rsidRPr="008442CC">
        <w:t>McGeever</w:t>
      </w:r>
      <w:proofErr w:type="spellEnd"/>
      <w:r w:rsidRPr="008442CC">
        <w:t xml:space="preserve"> B. 2018. “Racism, Crisis, Brexit” </w:t>
      </w:r>
      <w:r w:rsidRPr="008442CC">
        <w:rPr>
          <w:i/>
        </w:rPr>
        <w:t>Ethnic and Racial Studies</w:t>
      </w:r>
      <w:r w:rsidRPr="008442CC">
        <w:t>. 41(10):1802-1819.</w:t>
      </w:r>
    </w:p>
    <w:p w14:paraId="447550F1" w14:textId="77777777" w:rsidR="00645972" w:rsidRPr="008442CC" w:rsidRDefault="00645972" w:rsidP="00645972">
      <w:pPr>
        <w:spacing w:after="240"/>
      </w:pPr>
      <w:r w:rsidRPr="008442CC">
        <w:t xml:space="preserve">Viscusi WK and Zeckhauser RJ. 2005. “Recollection bias and the combat of terrorism” </w:t>
      </w:r>
      <w:r w:rsidRPr="008442CC">
        <w:rPr>
          <w:i/>
        </w:rPr>
        <w:t>Journal of Legal Studies</w:t>
      </w:r>
      <w:r w:rsidRPr="008442CC">
        <w:t xml:space="preserve"> 34(1):27–55.</w:t>
      </w:r>
    </w:p>
    <w:p w14:paraId="407255A5" w14:textId="2A918982" w:rsidR="00765305" w:rsidRPr="008442CC" w:rsidRDefault="00645972" w:rsidP="00E21643">
      <w:pPr>
        <w:spacing w:after="240"/>
        <w:jc w:val="both"/>
      </w:pPr>
      <w:r w:rsidRPr="008442CC">
        <w:t xml:space="preserve">Weinstein ND et al. 2007. “Risk perceptions: assessment and relationship to influenza vaccination”. </w:t>
      </w:r>
      <w:r w:rsidRPr="008442CC">
        <w:rPr>
          <w:i/>
          <w:iCs/>
        </w:rPr>
        <w:t>Health Psychology</w:t>
      </w:r>
      <w:r w:rsidRPr="008442CC">
        <w:t xml:space="preserve">. </w:t>
      </w:r>
      <w:r w:rsidRPr="008442CC">
        <w:rPr>
          <w:iCs/>
        </w:rPr>
        <w:t>26</w:t>
      </w:r>
      <w:r w:rsidRPr="008442CC">
        <w:t>(2):146-151.</w:t>
      </w:r>
    </w:p>
    <w:p w14:paraId="2C5511D3" w14:textId="77777777" w:rsidR="00765305" w:rsidRPr="008442CC" w:rsidRDefault="00765305">
      <w:r w:rsidRPr="008442CC">
        <w:br w:type="page"/>
      </w:r>
    </w:p>
    <w:p w14:paraId="56999E13" w14:textId="77777777" w:rsidR="00765305" w:rsidRPr="008442CC" w:rsidRDefault="00765305" w:rsidP="00765305">
      <w:pPr>
        <w:rPr>
          <w:b/>
        </w:rPr>
      </w:pPr>
      <w:r w:rsidRPr="008442CC">
        <w:rPr>
          <w:b/>
        </w:rPr>
        <w:lastRenderedPageBreak/>
        <w:t>APPENDIX.</w:t>
      </w:r>
    </w:p>
    <w:p w14:paraId="5E52113F" w14:textId="77777777" w:rsidR="00765305" w:rsidRPr="008442CC" w:rsidRDefault="00765305" w:rsidP="00765305">
      <w:pPr>
        <w:rPr>
          <w:b/>
        </w:rPr>
      </w:pPr>
    </w:p>
    <w:p w14:paraId="0D6C8FA2" w14:textId="77777777" w:rsidR="00765305" w:rsidRPr="008442CC" w:rsidRDefault="00765305" w:rsidP="00765305">
      <w:pPr>
        <w:rPr>
          <w:b/>
        </w:rPr>
      </w:pPr>
      <w:r w:rsidRPr="008442CC">
        <w:rPr>
          <w:b/>
        </w:rPr>
        <w:t>Table A1. Demographic and socio-economic data from survey (S) and focus groups’ (FG) participants.</w:t>
      </w:r>
    </w:p>
    <w:p w14:paraId="18CEE2FD" w14:textId="77777777" w:rsidR="00765305" w:rsidRPr="008442CC" w:rsidRDefault="00765305" w:rsidP="00765305">
      <w:pPr>
        <w:jc w:val="center"/>
        <w:rPr>
          <w:b/>
        </w:rPr>
      </w:pPr>
    </w:p>
    <w:tbl>
      <w:tblPr>
        <w:tblW w:w="5000" w:type="pct"/>
        <w:tblLook w:val="04A0" w:firstRow="1" w:lastRow="0" w:firstColumn="1" w:lastColumn="0" w:noHBand="0" w:noVBand="1"/>
      </w:tblPr>
      <w:tblGrid>
        <w:gridCol w:w="3916"/>
        <w:gridCol w:w="829"/>
        <w:gridCol w:w="673"/>
        <w:gridCol w:w="991"/>
        <w:gridCol w:w="1040"/>
        <w:gridCol w:w="1039"/>
      </w:tblGrid>
      <w:tr w:rsidR="00601CE0" w:rsidRPr="008442CC" w14:paraId="65B359E8" w14:textId="77777777" w:rsidTr="00C810D9">
        <w:trPr>
          <w:trHeight w:val="20"/>
        </w:trPr>
        <w:tc>
          <w:tcPr>
            <w:tcW w:w="2244" w:type="pct"/>
            <w:tcBorders>
              <w:top w:val="single" w:sz="4" w:space="0" w:color="auto"/>
              <w:left w:val="single" w:sz="4" w:space="0" w:color="auto"/>
              <w:bottom w:val="nil"/>
              <w:right w:val="nil"/>
            </w:tcBorders>
            <w:shd w:val="clear" w:color="000000" w:fill="E7E6E6"/>
            <w:noWrap/>
            <w:vAlign w:val="center"/>
          </w:tcPr>
          <w:p w14:paraId="53E6D309" w14:textId="77777777" w:rsidR="00765305" w:rsidRPr="008442CC" w:rsidRDefault="00765305" w:rsidP="00C810D9">
            <w:pPr>
              <w:ind w:left="-372" w:firstLine="372"/>
              <w:jc w:val="center"/>
              <w:rPr>
                <w:rFonts w:ascii="Calibri" w:eastAsia="Times New Roman" w:hAnsi="Calibri" w:cs="Calibri"/>
                <w:b/>
                <w:bCs/>
                <w:sz w:val="20"/>
                <w:szCs w:val="20"/>
              </w:rPr>
            </w:pPr>
          </w:p>
        </w:tc>
        <w:tc>
          <w:tcPr>
            <w:tcW w:w="501" w:type="pct"/>
            <w:tcBorders>
              <w:top w:val="single" w:sz="4" w:space="0" w:color="auto"/>
              <w:left w:val="nil"/>
              <w:bottom w:val="nil"/>
              <w:right w:val="nil"/>
            </w:tcBorders>
            <w:shd w:val="clear" w:color="000000" w:fill="E7E6E6"/>
            <w:noWrap/>
            <w:vAlign w:val="center"/>
          </w:tcPr>
          <w:p w14:paraId="593AD2EA" w14:textId="77777777" w:rsidR="00765305" w:rsidRPr="008442CC" w:rsidRDefault="00765305" w:rsidP="00C810D9">
            <w:pPr>
              <w:ind w:left="-372" w:firstLine="372"/>
              <w:jc w:val="center"/>
              <w:rPr>
                <w:rFonts w:ascii="Calibri" w:eastAsia="Times New Roman" w:hAnsi="Calibri" w:cs="Calibri"/>
                <w:b/>
                <w:bCs/>
                <w:sz w:val="20"/>
                <w:szCs w:val="20"/>
              </w:rPr>
            </w:pPr>
            <w:r w:rsidRPr="008442CC">
              <w:rPr>
                <w:rFonts w:ascii="Calibri" w:eastAsia="Times New Roman" w:hAnsi="Calibri" w:cs="Calibri"/>
                <w:b/>
                <w:bCs/>
                <w:sz w:val="20"/>
                <w:szCs w:val="20"/>
              </w:rPr>
              <w:t>S</w:t>
            </w:r>
          </w:p>
        </w:tc>
        <w:tc>
          <w:tcPr>
            <w:tcW w:w="409" w:type="pct"/>
            <w:tcBorders>
              <w:top w:val="single" w:sz="4" w:space="0" w:color="auto"/>
              <w:left w:val="nil"/>
              <w:bottom w:val="nil"/>
              <w:right w:val="nil"/>
            </w:tcBorders>
            <w:shd w:val="clear" w:color="000000" w:fill="E7E6E6"/>
            <w:noWrap/>
            <w:vAlign w:val="center"/>
          </w:tcPr>
          <w:p w14:paraId="40BA4242" w14:textId="77777777" w:rsidR="00765305" w:rsidRPr="008442CC" w:rsidRDefault="00765305" w:rsidP="00C810D9">
            <w:pPr>
              <w:ind w:left="-372" w:firstLine="372"/>
              <w:jc w:val="center"/>
              <w:rPr>
                <w:rFonts w:ascii="Calibri" w:eastAsia="Times New Roman" w:hAnsi="Calibri" w:cs="Calibri"/>
                <w:b/>
                <w:bCs/>
                <w:sz w:val="20"/>
                <w:szCs w:val="20"/>
              </w:rPr>
            </w:pPr>
            <w:r w:rsidRPr="008442CC">
              <w:rPr>
                <w:rFonts w:ascii="Calibri" w:eastAsia="Times New Roman" w:hAnsi="Calibri" w:cs="Calibri"/>
                <w:b/>
                <w:bCs/>
                <w:sz w:val="20"/>
                <w:szCs w:val="20"/>
              </w:rPr>
              <w:t>FG1</w:t>
            </w:r>
          </w:p>
        </w:tc>
        <w:tc>
          <w:tcPr>
            <w:tcW w:w="596" w:type="pct"/>
            <w:tcBorders>
              <w:top w:val="single" w:sz="4" w:space="0" w:color="auto"/>
              <w:left w:val="nil"/>
              <w:bottom w:val="nil"/>
              <w:right w:val="nil"/>
            </w:tcBorders>
            <w:shd w:val="clear" w:color="000000" w:fill="E7E6E6"/>
            <w:noWrap/>
            <w:vAlign w:val="center"/>
          </w:tcPr>
          <w:p w14:paraId="448CC35B" w14:textId="77777777" w:rsidR="00765305" w:rsidRPr="008442CC" w:rsidRDefault="00765305" w:rsidP="00C810D9">
            <w:pPr>
              <w:ind w:left="-372" w:firstLine="372"/>
              <w:jc w:val="center"/>
              <w:rPr>
                <w:rFonts w:ascii="Calibri" w:eastAsia="Times New Roman" w:hAnsi="Calibri" w:cs="Calibri"/>
                <w:b/>
                <w:bCs/>
                <w:sz w:val="20"/>
                <w:szCs w:val="20"/>
              </w:rPr>
            </w:pPr>
            <w:r w:rsidRPr="008442CC">
              <w:rPr>
                <w:rFonts w:ascii="Calibri" w:eastAsia="Times New Roman" w:hAnsi="Calibri" w:cs="Calibri"/>
                <w:b/>
                <w:bCs/>
                <w:sz w:val="20"/>
                <w:szCs w:val="20"/>
              </w:rPr>
              <w:t>FG2</w:t>
            </w:r>
          </w:p>
        </w:tc>
        <w:tc>
          <w:tcPr>
            <w:tcW w:w="625" w:type="pct"/>
            <w:tcBorders>
              <w:top w:val="single" w:sz="4" w:space="0" w:color="auto"/>
              <w:left w:val="nil"/>
              <w:bottom w:val="nil"/>
              <w:right w:val="nil"/>
            </w:tcBorders>
            <w:shd w:val="clear" w:color="000000" w:fill="E7E6E6"/>
            <w:noWrap/>
            <w:vAlign w:val="center"/>
          </w:tcPr>
          <w:p w14:paraId="672F4AAE" w14:textId="77777777" w:rsidR="00765305" w:rsidRPr="008442CC" w:rsidRDefault="00765305" w:rsidP="00C810D9">
            <w:pPr>
              <w:ind w:left="-372" w:firstLine="372"/>
              <w:jc w:val="center"/>
              <w:rPr>
                <w:rFonts w:ascii="Calibri" w:eastAsia="Times New Roman" w:hAnsi="Calibri" w:cs="Calibri"/>
                <w:b/>
                <w:bCs/>
                <w:sz w:val="20"/>
                <w:szCs w:val="20"/>
              </w:rPr>
            </w:pPr>
            <w:r w:rsidRPr="008442CC">
              <w:rPr>
                <w:rFonts w:ascii="Calibri" w:eastAsia="Times New Roman" w:hAnsi="Calibri" w:cs="Calibri"/>
                <w:b/>
                <w:bCs/>
                <w:sz w:val="20"/>
                <w:szCs w:val="20"/>
              </w:rPr>
              <w:t>FG3</w:t>
            </w:r>
          </w:p>
        </w:tc>
        <w:tc>
          <w:tcPr>
            <w:tcW w:w="624" w:type="pct"/>
            <w:tcBorders>
              <w:top w:val="single" w:sz="4" w:space="0" w:color="auto"/>
              <w:left w:val="nil"/>
              <w:bottom w:val="nil"/>
              <w:right w:val="single" w:sz="4" w:space="0" w:color="auto"/>
            </w:tcBorders>
            <w:shd w:val="clear" w:color="000000" w:fill="E7E6E6"/>
            <w:noWrap/>
            <w:vAlign w:val="center"/>
          </w:tcPr>
          <w:p w14:paraId="1C50E023" w14:textId="77777777" w:rsidR="00765305" w:rsidRPr="008442CC" w:rsidRDefault="00765305" w:rsidP="00C810D9">
            <w:pPr>
              <w:ind w:left="-372" w:firstLine="372"/>
              <w:jc w:val="center"/>
              <w:rPr>
                <w:rFonts w:ascii="Calibri" w:eastAsia="Times New Roman" w:hAnsi="Calibri" w:cs="Calibri"/>
                <w:b/>
                <w:bCs/>
                <w:sz w:val="20"/>
                <w:szCs w:val="20"/>
              </w:rPr>
            </w:pPr>
            <w:r w:rsidRPr="008442CC">
              <w:rPr>
                <w:rFonts w:ascii="Calibri" w:eastAsia="Times New Roman" w:hAnsi="Calibri" w:cs="Calibri"/>
                <w:b/>
                <w:bCs/>
                <w:sz w:val="20"/>
                <w:szCs w:val="20"/>
              </w:rPr>
              <w:t>FG4</w:t>
            </w:r>
          </w:p>
        </w:tc>
      </w:tr>
      <w:tr w:rsidR="00601CE0" w:rsidRPr="008442CC" w14:paraId="2CD47D61" w14:textId="77777777" w:rsidTr="00C810D9">
        <w:trPr>
          <w:trHeight w:val="20"/>
        </w:trPr>
        <w:tc>
          <w:tcPr>
            <w:tcW w:w="2244" w:type="pct"/>
            <w:tcBorders>
              <w:top w:val="single" w:sz="4" w:space="0" w:color="auto"/>
              <w:left w:val="single" w:sz="4" w:space="0" w:color="auto"/>
              <w:bottom w:val="nil"/>
              <w:right w:val="nil"/>
            </w:tcBorders>
            <w:shd w:val="clear" w:color="000000" w:fill="E7E6E6"/>
            <w:noWrap/>
            <w:vAlign w:val="bottom"/>
            <w:hideMark/>
          </w:tcPr>
          <w:p w14:paraId="2C8D0627" w14:textId="77777777" w:rsidR="00765305" w:rsidRPr="008442CC" w:rsidRDefault="00765305" w:rsidP="00C810D9">
            <w:pPr>
              <w:ind w:left="-372" w:firstLine="372"/>
              <w:rPr>
                <w:rFonts w:ascii="Calibri" w:eastAsia="Times New Roman" w:hAnsi="Calibri" w:cs="Calibri"/>
                <w:b/>
                <w:bCs/>
                <w:sz w:val="20"/>
                <w:szCs w:val="20"/>
              </w:rPr>
            </w:pPr>
            <w:r w:rsidRPr="008442CC">
              <w:rPr>
                <w:rFonts w:ascii="Calibri" w:eastAsia="Times New Roman" w:hAnsi="Calibri" w:cs="Calibri"/>
                <w:b/>
                <w:bCs/>
                <w:sz w:val="20"/>
                <w:szCs w:val="20"/>
              </w:rPr>
              <w:t>1. What is your age group?</w:t>
            </w:r>
          </w:p>
        </w:tc>
        <w:tc>
          <w:tcPr>
            <w:tcW w:w="501" w:type="pct"/>
            <w:tcBorders>
              <w:top w:val="single" w:sz="4" w:space="0" w:color="auto"/>
              <w:left w:val="nil"/>
              <w:bottom w:val="nil"/>
              <w:right w:val="nil"/>
            </w:tcBorders>
            <w:shd w:val="clear" w:color="000000" w:fill="E7E6E6"/>
            <w:noWrap/>
            <w:vAlign w:val="center"/>
            <w:hideMark/>
          </w:tcPr>
          <w:p w14:paraId="3931DD16" w14:textId="77777777" w:rsidR="00765305" w:rsidRPr="008442CC" w:rsidRDefault="00765305" w:rsidP="00C810D9">
            <w:pPr>
              <w:ind w:left="-372" w:firstLine="372"/>
              <w:jc w:val="center"/>
              <w:rPr>
                <w:rFonts w:ascii="Calibri" w:eastAsia="Times New Roman" w:hAnsi="Calibri" w:cs="Calibri"/>
                <w:b/>
                <w:bCs/>
                <w:sz w:val="20"/>
                <w:szCs w:val="20"/>
              </w:rPr>
            </w:pPr>
          </w:p>
        </w:tc>
        <w:tc>
          <w:tcPr>
            <w:tcW w:w="409" w:type="pct"/>
            <w:tcBorders>
              <w:top w:val="single" w:sz="4" w:space="0" w:color="auto"/>
              <w:left w:val="nil"/>
              <w:bottom w:val="nil"/>
              <w:right w:val="nil"/>
            </w:tcBorders>
            <w:shd w:val="clear" w:color="000000" w:fill="E7E6E6"/>
            <w:noWrap/>
            <w:vAlign w:val="bottom"/>
            <w:hideMark/>
          </w:tcPr>
          <w:p w14:paraId="48FB6371" w14:textId="77777777" w:rsidR="00765305" w:rsidRPr="008442CC" w:rsidRDefault="00765305" w:rsidP="00C810D9">
            <w:pPr>
              <w:ind w:left="-372" w:firstLine="372"/>
              <w:jc w:val="center"/>
              <w:rPr>
                <w:rFonts w:ascii="Calibri" w:eastAsia="Times New Roman" w:hAnsi="Calibri" w:cs="Calibri"/>
                <w:b/>
                <w:bCs/>
                <w:sz w:val="20"/>
                <w:szCs w:val="20"/>
              </w:rPr>
            </w:pPr>
          </w:p>
        </w:tc>
        <w:tc>
          <w:tcPr>
            <w:tcW w:w="596" w:type="pct"/>
            <w:tcBorders>
              <w:top w:val="single" w:sz="4" w:space="0" w:color="auto"/>
              <w:left w:val="nil"/>
              <w:bottom w:val="nil"/>
              <w:right w:val="nil"/>
            </w:tcBorders>
            <w:shd w:val="clear" w:color="000000" w:fill="E7E6E6"/>
            <w:noWrap/>
            <w:vAlign w:val="bottom"/>
            <w:hideMark/>
          </w:tcPr>
          <w:p w14:paraId="6F22C6B5" w14:textId="77777777" w:rsidR="00765305" w:rsidRPr="008442CC" w:rsidRDefault="00765305" w:rsidP="00C810D9">
            <w:pPr>
              <w:ind w:left="-372" w:firstLine="372"/>
              <w:jc w:val="center"/>
              <w:rPr>
                <w:rFonts w:ascii="Calibri" w:eastAsia="Times New Roman" w:hAnsi="Calibri" w:cs="Calibri"/>
                <w:b/>
                <w:bCs/>
                <w:sz w:val="20"/>
                <w:szCs w:val="20"/>
              </w:rPr>
            </w:pPr>
          </w:p>
        </w:tc>
        <w:tc>
          <w:tcPr>
            <w:tcW w:w="625" w:type="pct"/>
            <w:tcBorders>
              <w:top w:val="single" w:sz="4" w:space="0" w:color="auto"/>
              <w:left w:val="nil"/>
              <w:bottom w:val="nil"/>
              <w:right w:val="nil"/>
            </w:tcBorders>
            <w:shd w:val="clear" w:color="000000" w:fill="E7E6E6"/>
            <w:noWrap/>
            <w:vAlign w:val="bottom"/>
            <w:hideMark/>
          </w:tcPr>
          <w:p w14:paraId="242DF3BC" w14:textId="77777777" w:rsidR="00765305" w:rsidRPr="008442CC" w:rsidRDefault="00765305" w:rsidP="00C810D9">
            <w:pPr>
              <w:ind w:left="-372" w:firstLine="372"/>
              <w:jc w:val="center"/>
              <w:rPr>
                <w:rFonts w:ascii="Calibri" w:eastAsia="Times New Roman" w:hAnsi="Calibri" w:cs="Calibri"/>
                <w:b/>
                <w:bCs/>
                <w:sz w:val="20"/>
                <w:szCs w:val="20"/>
              </w:rPr>
            </w:pPr>
          </w:p>
        </w:tc>
        <w:tc>
          <w:tcPr>
            <w:tcW w:w="624" w:type="pct"/>
            <w:tcBorders>
              <w:top w:val="single" w:sz="4" w:space="0" w:color="auto"/>
              <w:left w:val="nil"/>
              <w:bottom w:val="nil"/>
              <w:right w:val="single" w:sz="4" w:space="0" w:color="auto"/>
            </w:tcBorders>
            <w:shd w:val="clear" w:color="000000" w:fill="E7E6E6"/>
            <w:noWrap/>
            <w:vAlign w:val="bottom"/>
            <w:hideMark/>
          </w:tcPr>
          <w:p w14:paraId="11EC2F05" w14:textId="77777777" w:rsidR="00765305" w:rsidRPr="008442CC" w:rsidRDefault="00765305" w:rsidP="00C810D9">
            <w:pPr>
              <w:ind w:left="-372" w:firstLine="372"/>
              <w:jc w:val="center"/>
              <w:rPr>
                <w:rFonts w:ascii="Calibri" w:eastAsia="Times New Roman" w:hAnsi="Calibri" w:cs="Calibri"/>
                <w:b/>
                <w:bCs/>
                <w:sz w:val="20"/>
                <w:szCs w:val="20"/>
              </w:rPr>
            </w:pPr>
          </w:p>
        </w:tc>
      </w:tr>
      <w:tr w:rsidR="00601CE0" w:rsidRPr="008442CC" w14:paraId="6E48A372"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6EDAAC4E"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18-25</w:t>
            </w:r>
          </w:p>
        </w:tc>
        <w:tc>
          <w:tcPr>
            <w:tcW w:w="501" w:type="pct"/>
            <w:tcBorders>
              <w:top w:val="nil"/>
              <w:left w:val="nil"/>
              <w:bottom w:val="nil"/>
              <w:right w:val="nil"/>
            </w:tcBorders>
            <w:shd w:val="clear" w:color="auto" w:fill="auto"/>
            <w:noWrap/>
            <w:vAlign w:val="center"/>
            <w:hideMark/>
          </w:tcPr>
          <w:p w14:paraId="561123C5"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14</w:t>
            </w:r>
          </w:p>
        </w:tc>
        <w:tc>
          <w:tcPr>
            <w:tcW w:w="409" w:type="pct"/>
            <w:tcBorders>
              <w:top w:val="nil"/>
              <w:left w:val="nil"/>
              <w:bottom w:val="nil"/>
              <w:right w:val="nil"/>
            </w:tcBorders>
            <w:shd w:val="clear" w:color="auto" w:fill="auto"/>
            <w:noWrap/>
            <w:vAlign w:val="bottom"/>
            <w:hideMark/>
          </w:tcPr>
          <w:p w14:paraId="6A962B15"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3</w:t>
            </w:r>
          </w:p>
        </w:tc>
        <w:tc>
          <w:tcPr>
            <w:tcW w:w="596" w:type="pct"/>
            <w:tcBorders>
              <w:top w:val="nil"/>
              <w:left w:val="nil"/>
              <w:bottom w:val="nil"/>
              <w:right w:val="nil"/>
            </w:tcBorders>
            <w:shd w:val="clear" w:color="auto" w:fill="auto"/>
            <w:noWrap/>
            <w:vAlign w:val="bottom"/>
            <w:hideMark/>
          </w:tcPr>
          <w:p w14:paraId="1DFFC1C3"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2</w:t>
            </w:r>
          </w:p>
        </w:tc>
        <w:tc>
          <w:tcPr>
            <w:tcW w:w="625" w:type="pct"/>
            <w:tcBorders>
              <w:top w:val="nil"/>
              <w:left w:val="nil"/>
              <w:bottom w:val="nil"/>
              <w:right w:val="nil"/>
            </w:tcBorders>
            <w:shd w:val="clear" w:color="auto" w:fill="auto"/>
            <w:noWrap/>
            <w:vAlign w:val="bottom"/>
            <w:hideMark/>
          </w:tcPr>
          <w:p w14:paraId="77B9165A" w14:textId="77777777" w:rsidR="00765305" w:rsidRPr="008442CC" w:rsidRDefault="00765305" w:rsidP="00C810D9">
            <w:pPr>
              <w:ind w:left="-372" w:firstLine="372"/>
              <w:jc w:val="center"/>
              <w:rPr>
                <w:rFonts w:ascii="Calibri" w:eastAsia="Times New Roman" w:hAnsi="Calibri" w:cs="Calibri"/>
                <w:sz w:val="20"/>
                <w:szCs w:val="20"/>
              </w:rPr>
            </w:pPr>
          </w:p>
        </w:tc>
        <w:tc>
          <w:tcPr>
            <w:tcW w:w="624" w:type="pct"/>
            <w:tcBorders>
              <w:top w:val="nil"/>
              <w:left w:val="nil"/>
              <w:bottom w:val="nil"/>
              <w:right w:val="single" w:sz="4" w:space="0" w:color="auto"/>
            </w:tcBorders>
            <w:shd w:val="clear" w:color="auto" w:fill="auto"/>
            <w:noWrap/>
            <w:vAlign w:val="bottom"/>
            <w:hideMark/>
          </w:tcPr>
          <w:p w14:paraId="129B6399"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r>
      <w:tr w:rsidR="00601CE0" w:rsidRPr="008442CC" w14:paraId="640D5121"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73B33576"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26-35</w:t>
            </w:r>
          </w:p>
        </w:tc>
        <w:tc>
          <w:tcPr>
            <w:tcW w:w="501" w:type="pct"/>
            <w:tcBorders>
              <w:top w:val="nil"/>
              <w:left w:val="nil"/>
              <w:bottom w:val="nil"/>
              <w:right w:val="nil"/>
            </w:tcBorders>
            <w:shd w:val="clear" w:color="auto" w:fill="auto"/>
            <w:noWrap/>
            <w:vAlign w:val="center"/>
            <w:hideMark/>
          </w:tcPr>
          <w:p w14:paraId="3D16E32F"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53</w:t>
            </w:r>
          </w:p>
        </w:tc>
        <w:tc>
          <w:tcPr>
            <w:tcW w:w="409" w:type="pct"/>
            <w:tcBorders>
              <w:top w:val="nil"/>
              <w:left w:val="nil"/>
              <w:bottom w:val="nil"/>
              <w:right w:val="nil"/>
            </w:tcBorders>
            <w:shd w:val="clear" w:color="auto" w:fill="auto"/>
            <w:noWrap/>
            <w:vAlign w:val="bottom"/>
            <w:hideMark/>
          </w:tcPr>
          <w:p w14:paraId="32164A88"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4</w:t>
            </w:r>
          </w:p>
        </w:tc>
        <w:tc>
          <w:tcPr>
            <w:tcW w:w="596" w:type="pct"/>
            <w:tcBorders>
              <w:top w:val="nil"/>
              <w:left w:val="nil"/>
              <w:bottom w:val="nil"/>
              <w:right w:val="nil"/>
            </w:tcBorders>
            <w:shd w:val="clear" w:color="auto" w:fill="auto"/>
            <w:noWrap/>
            <w:vAlign w:val="bottom"/>
            <w:hideMark/>
          </w:tcPr>
          <w:p w14:paraId="1C360FB0"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2</w:t>
            </w:r>
          </w:p>
        </w:tc>
        <w:tc>
          <w:tcPr>
            <w:tcW w:w="625" w:type="pct"/>
            <w:tcBorders>
              <w:top w:val="nil"/>
              <w:left w:val="nil"/>
              <w:bottom w:val="nil"/>
              <w:right w:val="nil"/>
            </w:tcBorders>
            <w:shd w:val="clear" w:color="auto" w:fill="auto"/>
            <w:noWrap/>
            <w:vAlign w:val="bottom"/>
            <w:hideMark/>
          </w:tcPr>
          <w:p w14:paraId="610482F7"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c>
          <w:tcPr>
            <w:tcW w:w="624" w:type="pct"/>
            <w:tcBorders>
              <w:top w:val="nil"/>
              <w:left w:val="nil"/>
              <w:bottom w:val="nil"/>
              <w:right w:val="single" w:sz="4" w:space="0" w:color="auto"/>
            </w:tcBorders>
            <w:shd w:val="clear" w:color="auto" w:fill="auto"/>
            <w:noWrap/>
            <w:vAlign w:val="bottom"/>
            <w:hideMark/>
          </w:tcPr>
          <w:p w14:paraId="05212822"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2</w:t>
            </w:r>
          </w:p>
        </w:tc>
      </w:tr>
      <w:tr w:rsidR="00601CE0" w:rsidRPr="008442CC" w14:paraId="025316F1"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6DEE4257"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36-45</w:t>
            </w:r>
          </w:p>
        </w:tc>
        <w:tc>
          <w:tcPr>
            <w:tcW w:w="501" w:type="pct"/>
            <w:tcBorders>
              <w:top w:val="nil"/>
              <w:left w:val="nil"/>
              <w:bottom w:val="nil"/>
              <w:right w:val="nil"/>
            </w:tcBorders>
            <w:shd w:val="clear" w:color="auto" w:fill="auto"/>
            <w:noWrap/>
            <w:vAlign w:val="center"/>
            <w:hideMark/>
          </w:tcPr>
          <w:p w14:paraId="6873FE43"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41</w:t>
            </w:r>
          </w:p>
        </w:tc>
        <w:tc>
          <w:tcPr>
            <w:tcW w:w="409" w:type="pct"/>
            <w:tcBorders>
              <w:top w:val="nil"/>
              <w:left w:val="nil"/>
              <w:bottom w:val="nil"/>
              <w:right w:val="nil"/>
            </w:tcBorders>
            <w:shd w:val="clear" w:color="auto" w:fill="auto"/>
            <w:noWrap/>
            <w:vAlign w:val="bottom"/>
            <w:hideMark/>
          </w:tcPr>
          <w:p w14:paraId="44EE3784"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c>
          <w:tcPr>
            <w:tcW w:w="596" w:type="pct"/>
            <w:tcBorders>
              <w:top w:val="nil"/>
              <w:left w:val="nil"/>
              <w:bottom w:val="nil"/>
              <w:right w:val="nil"/>
            </w:tcBorders>
            <w:shd w:val="clear" w:color="auto" w:fill="auto"/>
            <w:noWrap/>
            <w:vAlign w:val="bottom"/>
            <w:hideMark/>
          </w:tcPr>
          <w:p w14:paraId="01D4A15E" w14:textId="77777777" w:rsidR="00765305" w:rsidRPr="008442CC" w:rsidRDefault="00765305" w:rsidP="00C810D9">
            <w:pPr>
              <w:ind w:left="-372" w:firstLine="372"/>
              <w:jc w:val="center"/>
              <w:rPr>
                <w:rFonts w:ascii="Calibri" w:eastAsia="Times New Roman" w:hAnsi="Calibri" w:cs="Calibri"/>
                <w:sz w:val="20"/>
                <w:szCs w:val="20"/>
              </w:rPr>
            </w:pPr>
          </w:p>
        </w:tc>
        <w:tc>
          <w:tcPr>
            <w:tcW w:w="625" w:type="pct"/>
            <w:tcBorders>
              <w:top w:val="nil"/>
              <w:left w:val="nil"/>
              <w:bottom w:val="nil"/>
              <w:right w:val="nil"/>
            </w:tcBorders>
            <w:shd w:val="clear" w:color="auto" w:fill="auto"/>
            <w:noWrap/>
            <w:vAlign w:val="bottom"/>
            <w:hideMark/>
          </w:tcPr>
          <w:p w14:paraId="553F4187"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3</w:t>
            </w:r>
          </w:p>
        </w:tc>
        <w:tc>
          <w:tcPr>
            <w:tcW w:w="624" w:type="pct"/>
            <w:tcBorders>
              <w:top w:val="nil"/>
              <w:left w:val="nil"/>
              <w:bottom w:val="nil"/>
              <w:right w:val="single" w:sz="4" w:space="0" w:color="auto"/>
            </w:tcBorders>
            <w:shd w:val="clear" w:color="auto" w:fill="auto"/>
            <w:noWrap/>
            <w:vAlign w:val="bottom"/>
            <w:hideMark/>
          </w:tcPr>
          <w:p w14:paraId="76C1C297"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r>
      <w:tr w:rsidR="00601CE0" w:rsidRPr="008442CC" w14:paraId="711F2638"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48A3C73C"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46-55</w:t>
            </w:r>
          </w:p>
        </w:tc>
        <w:tc>
          <w:tcPr>
            <w:tcW w:w="501" w:type="pct"/>
            <w:tcBorders>
              <w:top w:val="nil"/>
              <w:left w:val="nil"/>
              <w:bottom w:val="nil"/>
              <w:right w:val="nil"/>
            </w:tcBorders>
            <w:shd w:val="clear" w:color="auto" w:fill="auto"/>
            <w:noWrap/>
            <w:vAlign w:val="center"/>
            <w:hideMark/>
          </w:tcPr>
          <w:p w14:paraId="4E1F1EAB"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7</w:t>
            </w:r>
          </w:p>
        </w:tc>
        <w:tc>
          <w:tcPr>
            <w:tcW w:w="409" w:type="pct"/>
            <w:tcBorders>
              <w:top w:val="nil"/>
              <w:left w:val="nil"/>
              <w:bottom w:val="nil"/>
              <w:right w:val="nil"/>
            </w:tcBorders>
            <w:shd w:val="clear" w:color="auto" w:fill="auto"/>
            <w:noWrap/>
            <w:vAlign w:val="bottom"/>
            <w:hideMark/>
          </w:tcPr>
          <w:p w14:paraId="1AE856BF"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c>
          <w:tcPr>
            <w:tcW w:w="596" w:type="pct"/>
            <w:tcBorders>
              <w:top w:val="nil"/>
              <w:left w:val="nil"/>
              <w:bottom w:val="nil"/>
              <w:right w:val="nil"/>
            </w:tcBorders>
            <w:shd w:val="clear" w:color="auto" w:fill="auto"/>
            <w:noWrap/>
            <w:vAlign w:val="bottom"/>
            <w:hideMark/>
          </w:tcPr>
          <w:p w14:paraId="5E54A1F2" w14:textId="77777777" w:rsidR="00765305" w:rsidRPr="008442CC" w:rsidRDefault="00765305" w:rsidP="00C810D9">
            <w:pPr>
              <w:ind w:left="-372" w:firstLine="372"/>
              <w:jc w:val="center"/>
              <w:rPr>
                <w:rFonts w:ascii="Calibri" w:eastAsia="Times New Roman" w:hAnsi="Calibri" w:cs="Calibri"/>
                <w:sz w:val="20"/>
                <w:szCs w:val="20"/>
              </w:rPr>
            </w:pPr>
          </w:p>
        </w:tc>
        <w:tc>
          <w:tcPr>
            <w:tcW w:w="625" w:type="pct"/>
            <w:tcBorders>
              <w:top w:val="nil"/>
              <w:left w:val="nil"/>
              <w:bottom w:val="nil"/>
              <w:right w:val="nil"/>
            </w:tcBorders>
            <w:shd w:val="clear" w:color="auto" w:fill="auto"/>
            <w:noWrap/>
            <w:vAlign w:val="bottom"/>
            <w:hideMark/>
          </w:tcPr>
          <w:p w14:paraId="6FD5A278"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4" w:type="pct"/>
            <w:tcBorders>
              <w:top w:val="nil"/>
              <w:left w:val="nil"/>
              <w:bottom w:val="nil"/>
              <w:right w:val="single" w:sz="4" w:space="0" w:color="auto"/>
            </w:tcBorders>
            <w:shd w:val="clear" w:color="auto" w:fill="auto"/>
            <w:noWrap/>
            <w:vAlign w:val="bottom"/>
            <w:hideMark/>
          </w:tcPr>
          <w:p w14:paraId="71C6C276"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 </w:t>
            </w:r>
          </w:p>
        </w:tc>
      </w:tr>
      <w:tr w:rsidR="00601CE0" w:rsidRPr="008442CC" w14:paraId="495271DD"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530A2E33" w14:textId="77777777" w:rsidR="00765305" w:rsidRPr="008442CC" w:rsidRDefault="00765305" w:rsidP="00C810D9">
            <w:pPr>
              <w:spacing w:after="120"/>
              <w:ind w:left="-374" w:firstLine="374"/>
              <w:rPr>
                <w:rFonts w:ascii="Calibri" w:eastAsia="Times New Roman" w:hAnsi="Calibri" w:cs="Calibri"/>
                <w:sz w:val="20"/>
                <w:szCs w:val="20"/>
              </w:rPr>
            </w:pPr>
            <w:r w:rsidRPr="008442CC">
              <w:rPr>
                <w:rFonts w:ascii="Calibri" w:eastAsia="Times New Roman" w:hAnsi="Calibri" w:cs="Calibri"/>
                <w:sz w:val="20"/>
                <w:szCs w:val="20"/>
              </w:rPr>
              <w:t>56 or older</w:t>
            </w:r>
          </w:p>
        </w:tc>
        <w:tc>
          <w:tcPr>
            <w:tcW w:w="501" w:type="pct"/>
            <w:tcBorders>
              <w:top w:val="nil"/>
              <w:left w:val="nil"/>
              <w:bottom w:val="nil"/>
              <w:right w:val="nil"/>
            </w:tcBorders>
            <w:shd w:val="clear" w:color="auto" w:fill="auto"/>
            <w:noWrap/>
            <w:vAlign w:val="center"/>
            <w:hideMark/>
          </w:tcPr>
          <w:p w14:paraId="489B3E1B"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c>
          <w:tcPr>
            <w:tcW w:w="409" w:type="pct"/>
            <w:tcBorders>
              <w:top w:val="nil"/>
              <w:left w:val="nil"/>
              <w:bottom w:val="nil"/>
              <w:right w:val="nil"/>
            </w:tcBorders>
            <w:shd w:val="clear" w:color="auto" w:fill="auto"/>
            <w:noWrap/>
            <w:vAlign w:val="bottom"/>
            <w:hideMark/>
          </w:tcPr>
          <w:p w14:paraId="06AA7B03" w14:textId="77777777" w:rsidR="00765305" w:rsidRPr="008442CC" w:rsidRDefault="00765305" w:rsidP="00C810D9">
            <w:pPr>
              <w:ind w:left="-372" w:firstLine="372"/>
              <w:jc w:val="right"/>
              <w:rPr>
                <w:rFonts w:ascii="Calibri" w:eastAsia="Times New Roman" w:hAnsi="Calibri" w:cs="Calibri"/>
                <w:sz w:val="20"/>
                <w:szCs w:val="20"/>
              </w:rPr>
            </w:pPr>
          </w:p>
        </w:tc>
        <w:tc>
          <w:tcPr>
            <w:tcW w:w="596" w:type="pct"/>
            <w:tcBorders>
              <w:top w:val="nil"/>
              <w:left w:val="nil"/>
              <w:bottom w:val="nil"/>
              <w:right w:val="nil"/>
            </w:tcBorders>
            <w:shd w:val="clear" w:color="auto" w:fill="auto"/>
            <w:noWrap/>
            <w:vAlign w:val="bottom"/>
            <w:hideMark/>
          </w:tcPr>
          <w:p w14:paraId="553DD677"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5" w:type="pct"/>
            <w:tcBorders>
              <w:top w:val="nil"/>
              <w:left w:val="nil"/>
              <w:bottom w:val="nil"/>
              <w:right w:val="nil"/>
            </w:tcBorders>
            <w:shd w:val="clear" w:color="auto" w:fill="auto"/>
            <w:noWrap/>
            <w:vAlign w:val="bottom"/>
            <w:hideMark/>
          </w:tcPr>
          <w:p w14:paraId="40596BCC"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4" w:type="pct"/>
            <w:tcBorders>
              <w:top w:val="nil"/>
              <w:left w:val="nil"/>
              <w:bottom w:val="nil"/>
              <w:right w:val="single" w:sz="4" w:space="0" w:color="auto"/>
            </w:tcBorders>
            <w:shd w:val="clear" w:color="auto" w:fill="auto"/>
            <w:noWrap/>
            <w:vAlign w:val="bottom"/>
            <w:hideMark/>
          </w:tcPr>
          <w:p w14:paraId="41893F69"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r>
      <w:tr w:rsidR="00601CE0" w:rsidRPr="008442CC" w14:paraId="60ECD96B" w14:textId="77777777" w:rsidTr="00C810D9">
        <w:trPr>
          <w:trHeight w:val="20"/>
        </w:trPr>
        <w:tc>
          <w:tcPr>
            <w:tcW w:w="2244" w:type="pct"/>
            <w:tcBorders>
              <w:top w:val="nil"/>
              <w:left w:val="single" w:sz="4" w:space="0" w:color="auto"/>
              <w:bottom w:val="nil"/>
              <w:right w:val="nil"/>
            </w:tcBorders>
            <w:shd w:val="clear" w:color="000000" w:fill="E7E6E6"/>
            <w:noWrap/>
            <w:vAlign w:val="bottom"/>
            <w:hideMark/>
          </w:tcPr>
          <w:p w14:paraId="7AE71980" w14:textId="77777777" w:rsidR="00765305" w:rsidRPr="008442CC" w:rsidRDefault="00765305" w:rsidP="00C810D9">
            <w:pPr>
              <w:ind w:left="-372" w:firstLine="372"/>
              <w:rPr>
                <w:rFonts w:ascii="Calibri" w:eastAsia="Times New Roman" w:hAnsi="Calibri" w:cs="Calibri"/>
                <w:b/>
                <w:bCs/>
                <w:sz w:val="20"/>
                <w:szCs w:val="20"/>
              </w:rPr>
            </w:pPr>
            <w:r w:rsidRPr="008442CC">
              <w:rPr>
                <w:rFonts w:ascii="Calibri" w:eastAsia="Times New Roman" w:hAnsi="Calibri" w:cs="Calibri"/>
                <w:b/>
                <w:bCs/>
                <w:sz w:val="20"/>
                <w:szCs w:val="20"/>
              </w:rPr>
              <w:t>2. What is your main activity?</w:t>
            </w:r>
          </w:p>
        </w:tc>
        <w:tc>
          <w:tcPr>
            <w:tcW w:w="501" w:type="pct"/>
            <w:tcBorders>
              <w:top w:val="nil"/>
              <w:left w:val="nil"/>
              <w:bottom w:val="nil"/>
              <w:right w:val="nil"/>
            </w:tcBorders>
            <w:shd w:val="clear" w:color="000000" w:fill="E7E6E6"/>
            <w:noWrap/>
            <w:vAlign w:val="center"/>
            <w:hideMark/>
          </w:tcPr>
          <w:p w14:paraId="0ECA4B20" w14:textId="77777777" w:rsidR="00765305" w:rsidRPr="008442CC" w:rsidRDefault="00765305" w:rsidP="00C810D9">
            <w:pPr>
              <w:ind w:left="-372" w:firstLine="372"/>
              <w:jc w:val="center"/>
              <w:rPr>
                <w:rFonts w:ascii="Calibri" w:eastAsia="Times New Roman" w:hAnsi="Calibri" w:cs="Calibri"/>
                <w:b/>
                <w:bCs/>
                <w:sz w:val="20"/>
                <w:szCs w:val="20"/>
              </w:rPr>
            </w:pPr>
          </w:p>
        </w:tc>
        <w:tc>
          <w:tcPr>
            <w:tcW w:w="409" w:type="pct"/>
            <w:tcBorders>
              <w:top w:val="nil"/>
              <w:left w:val="nil"/>
              <w:bottom w:val="nil"/>
              <w:right w:val="nil"/>
            </w:tcBorders>
            <w:shd w:val="clear" w:color="000000" w:fill="E7E6E6"/>
            <w:noWrap/>
            <w:vAlign w:val="bottom"/>
            <w:hideMark/>
          </w:tcPr>
          <w:p w14:paraId="01B0B56A" w14:textId="77777777" w:rsidR="00765305" w:rsidRPr="008442CC" w:rsidRDefault="00765305" w:rsidP="00C810D9">
            <w:pPr>
              <w:ind w:left="-372" w:firstLine="372"/>
              <w:jc w:val="center"/>
              <w:rPr>
                <w:rFonts w:ascii="Calibri" w:eastAsia="Times New Roman" w:hAnsi="Calibri" w:cs="Calibri"/>
                <w:b/>
                <w:bCs/>
                <w:sz w:val="20"/>
                <w:szCs w:val="20"/>
              </w:rPr>
            </w:pPr>
          </w:p>
        </w:tc>
        <w:tc>
          <w:tcPr>
            <w:tcW w:w="596" w:type="pct"/>
            <w:tcBorders>
              <w:top w:val="nil"/>
              <w:left w:val="nil"/>
              <w:bottom w:val="nil"/>
              <w:right w:val="nil"/>
            </w:tcBorders>
            <w:shd w:val="clear" w:color="000000" w:fill="E7E6E6"/>
            <w:noWrap/>
            <w:vAlign w:val="bottom"/>
            <w:hideMark/>
          </w:tcPr>
          <w:p w14:paraId="732C4C1E" w14:textId="77777777" w:rsidR="00765305" w:rsidRPr="008442CC" w:rsidRDefault="00765305" w:rsidP="00C810D9">
            <w:pPr>
              <w:ind w:left="-372" w:firstLine="372"/>
              <w:jc w:val="center"/>
              <w:rPr>
                <w:rFonts w:ascii="Calibri" w:eastAsia="Times New Roman" w:hAnsi="Calibri" w:cs="Calibri"/>
                <w:b/>
                <w:bCs/>
                <w:sz w:val="20"/>
                <w:szCs w:val="20"/>
              </w:rPr>
            </w:pPr>
          </w:p>
        </w:tc>
        <w:tc>
          <w:tcPr>
            <w:tcW w:w="625" w:type="pct"/>
            <w:tcBorders>
              <w:top w:val="nil"/>
              <w:left w:val="nil"/>
              <w:bottom w:val="nil"/>
              <w:right w:val="nil"/>
            </w:tcBorders>
            <w:shd w:val="clear" w:color="000000" w:fill="E7E6E6"/>
            <w:noWrap/>
            <w:vAlign w:val="bottom"/>
            <w:hideMark/>
          </w:tcPr>
          <w:p w14:paraId="057105FA" w14:textId="77777777" w:rsidR="00765305" w:rsidRPr="008442CC" w:rsidRDefault="00765305" w:rsidP="00C810D9">
            <w:pPr>
              <w:ind w:left="-372" w:firstLine="372"/>
              <w:jc w:val="center"/>
              <w:rPr>
                <w:rFonts w:ascii="Calibri" w:eastAsia="Times New Roman" w:hAnsi="Calibri" w:cs="Calibri"/>
                <w:b/>
                <w:bCs/>
                <w:sz w:val="20"/>
                <w:szCs w:val="20"/>
              </w:rPr>
            </w:pPr>
          </w:p>
        </w:tc>
        <w:tc>
          <w:tcPr>
            <w:tcW w:w="624" w:type="pct"/>
            <w:tcBorders>
              <w:top w:val="nil"/>
              <w:left w:val="nil"/>
              <w:bottom w:val="nil"/>
              <w:right w:val="single" w:sz="4" w:space="0" w:color="auto"/>
            </w:tcBorders>
            <w:shd w:val="clear" w:color="000000" w:fill="E7E6E6"/>
            <w:noWrap/>
            <w:vAlign w:val="bottom"/>
            <w:hideMark/>
          </w:tcPr>
          <w:p w14:paraId="5BFF0197" w14:textId="77777777" w:rsidR="00765305" w:rsidRPr="008442CC" w:rsidRDefault="00765305" w:rsidP="00C810D9">
            <w:pPr>
              <w:ind w:left="-372" w:firstLine="372"/>
              <w:jc w:val="center"/>
              <w:rPr>
                <w:rFonts w:ascii="Calibri" w:eastAsia="Times New Roman" w:hAnsi="Calibri" w:cs="Calibri"/>
                <w:b/>
                <w:bCs/>
                <w:sz w:val="20"/>
                <w:szCs w:val="20"/>
              </w:rPr>
            </w:pPr>
          </w:p>
        </w:tc>
      </w:tr>
      <w:tr w:rsidR="00601CE0" w:rsidRPr="008442CC" w14:paraId="7D56563C"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795DB65C"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I am a student</w:t>
            </w:r>
          </w:p>
        </w:tc>
        <w:tc>
          <w:tcPr>
            <w:tcW w:w="501" w:type="pct"/>
            <w:tcBorders>
              <w:top w:val="nil"/>
              <w:left w:val="nil"/>
              <w:bottom w:val="nil"/>
              <w:right w:val="nil"/>
            </w:tcBorders>
            <w:shd w:val="clear" w:color="auto" w:fill="auto"/>
            <w:noWrap/>
            <w:vAlign w:val="center"/>
            <w:hideMark/>
          </w:tcPr>
          <w:p w14:paraId="1B29D51F"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9</w:t>
            </w:r>
          </w:p>
        </w:tc>
        <w:tc>
          <w:tcPr>
            <w:tcW w:w="409" w:type="pct"/>
            <w:tcBorders>
              <w:top w:val="nil"/>
              <w:left w:val="nil"/>
              <w:bottom w:val="nil"/>
              <w:right w:val="nil"/>
            </w:tcBorders>
            <w:shd w:val="clear" w:color="auto" w:fill="auto"/>
            <w:noWrap/>
            <w:vAlign w:val="bottom"/>
            <w:hideMark/>
          </w:tcPr>
          <w:p w14:paraId="2EE1B6BE"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c>
          <w:tcPr>
            <w:tcW w:w="596" w:type="pct"/>
            <w:tcBorders>
              <w:top w:val="nil"/>
              <w:left w:val="nil"/>
              <w:bottom w:val="nil"/>
              <w:right w:val="nil"/>
            </w:tcBorders>
            <w:shd w:val="clear" w:color="auto" w:fill="auto"/>
            <w:noWrap/>
            <w:vAlign w:val="bottom"/>
            <w:hideMark/>
          </w:tcPr>
          <w:p w14:paraId="242C5E82"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2</w:t>
            </w:r>
          </w:p>
        </w:tc>
        <w:tc>
          <w:tcPr>
            <w:tcW w:w="625" w:type="pct"/>
            <w:tcBorders>
              <w:top w:val="nil"/>
              <w:left w:val="nil"/>
              <w:bottom w:val="nil"/>
              <w:right w:val="nil"/>
            </w:tcBorders>
            <w:shd w:val="clear" w:color="auto" w:fill="auto"/>
            <w:noWrap/>
            <w:vAlign w:val="bottom"/>
            <w:hideMark/>
          </w:tcPr>
          <w:p w14:paraId="55325FA4" w14:textId="77777777" w:rsidR="00765305" w:rsidRPr="008442CC" w:rsidRDefault="00765305" w:rsidP="00C810D9">
            <w:pPr>
              <w:ind w:left="-372" w:firstLine="372"/>
              <w:jc w:val="center"/>
              <w:rPr>
                <w:rFonts w:ascii="Calibri" w:eastAsia="Times New Roman" w:hAnsi="Calibri" w:cs="Calibri"/>
                <w:sz w:val="20"/>
                <w:szCs w:val="20"/>
              </w:rPr>
            </w:pPr>
          </w:p>
        </w:tc>
        <w:tc>
          <w:tcPr>
            <w:tcW w:w="624" w:type="pct"/>
            <w:tcBorders>
              <w:top w:val="nil"/>
              <w:left w:val="nil"/>
              <w:bottom w:val="nil"/>
              <w:right w:val="single" w:sz="4" w:space="0" w:color="auto"/>
            </w:tcBorders>
            <w:shd w:val="clear" w:color="auto" w:fill="auto"/>
            <w:noWrap/>
            <w:vAlign w:val="bottom"/>
            <w:hideMark/>
          </w:tcPr>
          <w:p w14:paraId="088BFC2F"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r>
      <w:tr w:rsidR="00601CE0" w:rsidRPr="008442CC" w14:paraId="73808B28"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743740B8"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I work for a company</w:t>
            </w:r>
          </w:p>
        </w:tc>
        <w:tc>
          <w:tcPr>
            <w:tcW w:w="501" w:type="pct"/>
            <w:tcBorders>
              <w:top w:val="nil"/>
              <w:left w:val="nil"/>
              <w:bottom w:val="nil"/>
              <w:right w:val="nil"/>
            </w:tcBorders>
            <w:shd w:val="clear" w:color="auto" w:fill="auto"/>
            <w:noWrap/>
            <w:vAlign w:val="center"/>
            <w:hideMark/>
          </w:tcPr>
          <w:p w14:paraId="06BAB5AE"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83</w:t>
            </w:r>
          </w:p>
        </w:tc>
        <w:tc>
          <w:tcPr>
            <w:tcW w:w="409" w:type="pct"/>
            <w:tcBorders>
              <w:top w:val="nil"/>
              <w:left w:val="nil"/>
              <w:bottom w:val="nil"/>
              <w:right w:val="nil"/>
            </w:tcBorders>
            <w:shd w:val="clear" w:color="auto" w:fill="auto"/>
            <w:noWrap/>
            <w:vAlign w:val="bottom"/>
            <w:hideMark/>
          </w:tcPr>
          <w:p w14:paraId="43D877CD"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8</w:t>
            </w:r>
          </w:p>
        </w:tc>
        <w:tc>
          <w:tcPr>
            <w:tcW w:w="596" w:type="pct"/>
            <w:tcBorders>
              <w:top w:val="nil"/>
              <w:left w:val="nil"/>
              <w:bottom w:val="nil"/>
              <w:right w:val="nil"/>
            </w:tcBorders>
            <w:shd w:val="clear" w:color="auto" w:fill="auto"/>
            <w:noWrap/>
            <w:vAlign w:val="bottom"/>
            <w:hideMark/>
          </w:tcPr>
          <w:p w14:paraId="6278D806"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2</w:t>
            </w:r>
          </w:p>
        </w:tc>
        <w:tc>
          <w:tcPr>
            <w:tcW w:w="625" w:type="pct"/>
            <w:tcBorders>
              <w:top w:val="nil"/>
              <w:left w:val="nil"/>
              <w:bottom w:val="nil"/>
              <w:right w:val="nil"/>
            </w:tcBorders>
            <w:shd w:val="clear" w:color="auto" w:fill="auto"/>
            <w:noWrap/>
            <w:vAlign w:val="bottom"/>
            <w:hideMark/>
          </w:tcPr>
          <w:p w14:paraId="5104553D"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3</w:t>
            </w:r>
          </w:p>
        </w:tc>
        <w:tc>
          <w:tcPr>
            <w:tcW w:w="624" w:type="pct"/>
            <w:tcBorders>
              <w:top w:val="nil"/>
              <w:left w:val="nil"/>
              <w:bottom w:val="nil"/>
              <w:right w:val="single" w:sz="4" w:space="0" w:color="auto"/>
            </w:tcBorders>
            <w:shd w:val="clear" w:color="auto" w:fill="auto"/>
            <w:noWrap/>
            <w:vAlign w:val="bottom"/>
            <w:hideMark/>
          </w:tcPr>
          <w:p w14:paraId="2E46F70D"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3</w:t>
            </w:r>
          </w:p>
        </w:tc>
      </w:tr>
      <w:tr w:rsidR="00601CE0" w:rsidRPr="008442CC" w14:paraId="790DAE69"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25676AC7"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I am self-employed</w:t>
            </w:r>
          </w:p>
        </w:tc>
        <w:tc>
          <w:tcPr>
            <w:tcW w:w="501" w:type="pct"/>
            <w:tcBorders>
              <w:top w:val="nil"/>
              <w:left w:val="nil"/>
              <w:bottom w:val="nil"/>
              <w:right w:val="nil"/>
            </w:tcBorders>
            <w:shd w:val="clear" w:color="auto" w:fill="auto"/>
            <w:noWrap/>
            <w:vAlign w:val="center"/>
            <w:hideMark/>
          </w:tcPr>
          <w:p w14:paraId="0B7827D7"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21</w:t>
            </w:r>
          </w:p>
        </w:tc>
        <w:tc>
          <w:tcPr>
            <w:tcW w:w="409" w:type="pct"/>
            <w:tcBorders>
              <w:top w:val="nil"/>
              <w:left w:val="nil"/>
              <w:bottom w:val="nil"/>
              <w:right w:val="nil"/>
            </w:tcBorders>
            <w:shd w:val="clear" w:color="auto" w:fill="auto"/>
            <w:noWrap/>
            <w:vAlign w:val="bottom"/>
            <w:hideMark/>
          </w:tcPr>
          <w:p w14:paraId="1B9D2AE4" w14:textId="77777777" w:rsidR="00765305" w:rsidRPr="008442CC" w:rsidRDefault="00765305" w:rsidP="00C810D9">
            <w:pPr>
              <w:ind w:left="-372" w:firstLine="372"/>
              <w:jc w:val="right"/>
              <w:rPr>
                <w:rFonts w:ascii="Calibri" w:eastAsia="Times New Roman" w:hAnsi="Calibri" w:cs="Calibri"/>
                <w:sz w:val="20"/>
                <w:szCs w:val="20"/>
              </w:rPr>
            </w:pPr>
          </w:p>
        </w:tc>
        <w:tc>
          <w:tcPr>
            <w:tcW w:w="596" w:type="pct"/>
            <w:tcBorders>
              <w:top w:val="nil"/>
              <w:left w:val="nil"/>
              <w:bottom w:val="nil"/>
              <w:right w:val="nil"/>
            </w:tcBorders>
            <w:shd w:val="clear" w:color="auto" w:fill="auto"/>
            <w:noWrap/>
            <w:vAlign w:val="bottom"/>
            <w:hideMark/>
          </w:tcPr>
          <w:p w14:paraId="778320C0"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5" w:type="pct"/>
            <w:tcBorders>
              <w:top w:val="nil"/>
              <w:left w:val="nil"/>
              <w:bottom w:val="nil"/>
              <w:right w:val="nil"/>
            </w:tcBorders>
            <w:shd w:val="clear" w:color="auto" w:fill="auto"/>
            <w:noWrap/>
            <w:vAlign w:val="bottom"/>
            <w:hideMark/>
          </w:tcPr>
          <w:p w14:paraId="7C8C613A"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c>
          <w:tcPr>
            <w:tcW w:w="624" w:type="pct"/>
            <w:tcBorders>
              <w:top w:val="nil"/>
              <w:left w:val="nil"/>
              <w:bottom w:val="nil"/>
              <w:right w:val="single" w:sz="4" w:space="0" w:color="auto"/>
            </w:tcBorders>
            <w:shd w:val="clear" w:color="auto" w:fill="auto"/>
            <w:noWrap/>
            <w:vAlign w:val="bottom"/>
            <w:hideMark/>
          </w:tcPr>
          <w:p w14:paraId="307AFB76"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r>
      <w:tr w:rsidR="00601CE0" w:rsidRPr="008442CC" w14:paraId="1075DD9B"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1CE8FC77"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I am unemployed</w:t>
            </w:r>
          </w:p>
        </w:tc>
        <w:tc>
          <w:tcPr>
            <w:tcW w:w="501" w:type="pct"/>
            <w:tcBorders>
              <w:top w:val="nil"/>
              <w:left w:val="nil"/>
              <w:bottom w:val="nil"/>
              <w:right w:val="nil"/>
            </w:tcBorders>
            <w:shd w:val="clear" w:color="auto" w:fill="auto"/>
            <w:noWrap/>
            <w:vAlign w:val="center"/>
            <w:hideMark/>
          </w:tcPr>
          <w:p w14:paraId="312A20B2" w14:textId="77777777" w:rsidR="00765305" w:rsidRPr="008442CC" w:rsidRDefault="00765305" w:rsidP="00C810D9">
            <w:pPr>
              <w:ind w:left="-372" w:firstLine="372"/>
              <w:jc w:val="center"/>
              <w:rPr>
                <w:rFonts w:ascii="Calibri" w:eastAsia="Times New Roman" w:hAnsi="Calibri" w:cs="Calibri"/>
                <w:sz w:val="20"/>
                <w:szCs w:val="20"/>
              </w:rPr>
            </w:pPr>
          </w:p>
        </w:tc>
        <w:tc>
          <w:tcPr>
            <w:tcW w:w="409" w:type="pct"/>
            <w:tcBorders>
              <w:top w:val="nil"/>
              <w:left w:val="nil"/>
              <w:bottom w:val="nil"/>
              <w:right w:val="nil"/>
            </w:tcBorders>
            <w:shd w:val="clear" w:color="auto" w:fill="auto"/>
            <w:noWrap/>
            <w:vAlign w:val="bottom"/>
            <w:hideMark/>
          </w:tcPr>
          <w:p w14:paraId="383520BC" w14:textId="77777777" w:rsidR="00765305" w:rsidRPr="008442CC" w:rsidRDefault="00765305" w:rsidP="00C810D9">
            <w:pPr>
              <w:ind w:left="-372" w:firstLine="372"/>
              <w:rPr>
                <w:rFonts w:ascii="Times New Roman" w:eastAsia="Times New Roman" w:hAnsi="Times New Roman" w:cs="Times New Roman"/>
                <w:sz w:val="20"/>
                <w:szCs w:val="20"/>
              </w:rPr>
            </w:pPr>
          </w:p>
        </w:tc>
        <w:tc>
          <w:tcPr>
            <w:tcW w:w="596" w:type="pct"/>
            <w:tcBorders>
              <w:top w:val="nil"/>
              <w:left w:val="nil"/>
              <w:bottom w:val="nil"/>
              <w:right w:val="nil"/>
            </w:tcBorders>
            <w:shd w:val="clear" w:color="auto" w:fill="auto"/>
            <w:noWrap/>
            <w:vAlign w:val="bottom"/>
            <w:hideMark/>
          </w:tcPr>
          <w:p w14:paraId="69359E7E"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5" w:type="pct"/>
            <w:tcBorders>
              <w:top w:val="nil"/>
              <w:left w:val="nil"/>
              <w:bottom w:val="nil"/>
              <w:right w:val="nil"/>
            </w:tcBorders>
            <w:shd w:val="clear" w:color="auto" w:fill="auto"/>
            <w:noWrap/>
            <w:vAlign w:val="bottom"/>
            <w:hideMark/>
          </w:tcPr>
          <w:p w14:paraId="490E2B94"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4" w:type="pct"/>
            <w:tcBorders>
              <w:top w:val="nil"/>
              <w:left w:val="nil"/>
              <w:bottom w:val="nil"/>
              <w:right w:val="single" w:sz="4" w:space="0" w:color="auto"/>
            </w:tcBorders>
            <w:shd w:val="clear" w:color="auto" w:fill="auto"/>
            <w:noWrap/>
            <w:vAlign w:val="bottom"/>
            <w:hideMark/>
          </w:tcPr>
          <w:p w14:paraId="3FAAA482"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 </w:t>
            </w:r>
          </w:p>
        </w:tc>
      </w:tr>
      <w:tr w:rsidR="00601CE0" w:rsidRPr="008442CC" w14:paraId="7BAA3190"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14C336A3"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I am retired</w:t>
            </w:r>
          </w:p>
        </w:tc>
        <w:tc>
          <w:tcPr>
            <w:tcW w:w="501" w:type="pct"/>
            <w:tcBorders>
              <w:top w:val="nil"/>
              <w:left w:val="nil"/>
              <w:bottom w:val="nil"/>
              <w:right w:val="nil"/>
            </w:tcBorders>
            <w:shd w:val="clear" w:color="auto" w:fill="auto"/>
            <w:noWrap/>
            <w:vAlign w:val="center"/>
            <w:hideMark/>
          </w:tcPr>
          <w:p w14:paraId="2013CEF4"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c>
          <w:tcPr>
            <w:tcW w:w="409" w:type="pct"/>
            <w:tcBorders>
              <w:top w:val="nil"/>
              <w:left w:val="nil"/>
              <w:bottom w:val="nil"/>
              <w:right w:val="nil"/>
            </w:tcBorders>
            <w:shd w:val="clear" w:color="auto" w:fill="auto"/>
            <w:noWrap/>
            <w:vAlign w:val="bottom"/>
            <w:hideMark/>
          </w:tcPr>
          <w:p w14:paraId="32F721E9" w14:textId="77777777" w:rsidR="00765305" w:rsidRPr="008442CC" w:rsidRDefault="00765305" w:rsidP="00C810D9">
            <w:pPr>
              <w:ind w:left="-372" w:firstLine="372"/>
              <w:jc w:val="right"/>
              <w:rPr>
                <w:rFonts w:ascii="Calibri" w:eastAsia="Times New Roman" w:hAnsi="Calibri" w:cs="Calibri"/>
                <w:sz w:val="20"/>
                <w:szCs w:val="20"/>
              </w:rPr>
            </w:pPr>
          </w:p>
        </w:tc>
        <w:tc>
          <w:tcPr>
            <w:tcW w:w="596" w:type="pct"/>
            <w:tcBorders>
              <w:top w:val="nil"/>
              <w:left w:val="nil"/>
              <w:bottom w:val="nil"/>
              <w:right w:val="nil"/>
            </w:tcBorders>
            <w:shd w:val="clear" w:color="auto" w:fill="auto"/>
            <w:noWrap/>
            <w:vAlign w:val="bottom"/>
            <w:hideMark/>
          </w:tcPr>
          <w:p w14:paraId="4DDCB51F"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5" w:type="pct"/>
            <w:tcBorders>
              <w:top w:val="nil"/>
              <w:left w:val="nil"/>
              <w:bottom w:val="nil"/>
              <w:right w:val="nil"/>
            </w:tcBorders>
            <w:shd w:val="clear" w:color="auto" w:fill="auto"/>
            <w:noWrap/>
            <w:vAlign w:val="bottom"/>
            <w:hideMark/>
          </w:tcPr>
          <w:p w14:paraId="271D390F"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4" w:type="pct"/>
            <w:tcBorders>
              <w:top w:val="nil"/>
              <w:left w:val="nil"/>
              <w:bottom w:val="nil"/>
              <w:right w:val="single" w:sz="4" w:space="0" w:color="auto"/>
            </w:tcBorders>
            <w:shd w:val="clear" w:color="auto" w:fill="auto"/>
            <w:noWrap/>
            <w:vAlign w:val="bottom"/>
            <w:hideMark/>
          </w:tcPr>
          <w:p w14:paraId="2722C347"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 </w:t>
            </w:r>
          </w:p>
        </w:tc>
      </w:tr>
      <w:tr w:rsidR="00601CE0" w:rsidRPr="008442CC" w14:paraId="2A2B827F"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4B3C590C" w14:textId="77777777" w:rsidR="00765305" w:rsidRPr="008442CC" w:rsidRDefault="00765305" w:rsidP="00C810D9">
            <w:pPr>
              <w:spacing w:after="120"/>
              <w:ind w:left="-374" w:firstLine="374"/>
              <w:rPr>
                <w:rFonts w:ascii="Calibri" w:eastAsia="Times New Roman" w:hAnsi="Calibri" w:cs="Calibri"/>
                <w:sz w:val="20"/>
                <w:szCs w:val="20"/>
              </w:rPr>
            </w:pPr>
            <w:r w:rsidRPr="008442CC">
              <w:rPr>
                <w:rFonts w:ascii="Calibri" w:eastAsia="Times New Roman" w:hAnsi="Calibri" w:cs="Calibri"/>
                <w:sz w:val="20"/>
                <w:szCs w:val="20"/>
              </w:rPr>
              <w:t>Other</w:t>
            </w:r>
          </w:p>
        </w:tc>
        <w:tc>
          <w:tcPr>
            <w:tcW w:w="501" w:type="pct"/>
            <w:tcBorders>
              <w:top w:val="nil"/>
              <w:left w:val="nil"/>
              <w:bottom w:val="nil"/>
              <w:right w:val="nil"/>
            </w:tcBorders>
            <w:shd w:val="clear" w:color="auto" w:fill="auto"/>
            <w:noWrap/>
            <w:vAlign w:val="center"/>
            <w:hideMark/>
          </w:tcPr>
          <w:p w14:paraId="65310563"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2</w:t>
            </w:r>
          </w:p>
        </w:tc>
        <w:tc>
          <w:tcPr>
            <w:tcW w:w="409" w:type="pct"/>
            <w:tcBorders>
              <w:top w:val="nil"/>
              <w:left w:val="nil"/>
              <w:bottom w:val="nil"/>
              <w:right w:val="nil"/>
            </w:tcBorders>
            <w:shd w:val="clear" w:color="auto" w:fill="auto"/>
            <w:noWrap/>
            <w:vAlign w:val="bottom"/>
            <w:hideMark/>
          </w:tcPr>
          <w:p w14:paraId="24A8939D" w14:textId="77777777" w:rsidR="00765305" w:rsidRPr="008442CC" w:rsidRDefault="00765305" w:rsidP="00C810D9">
            <w:pPr>
              <w:ind w:left="-372" w:firstLine="372"/>
              <w:jc w:val="right"/>
              <w:rPr>
                <w:rFonts w:ascii="Calibri" w:eastAsia="Times New Roman" w:hAnsi="Calibri" w:cs="Calibri"/>
                <w:sz w:val="20"/>
                <w:szCs w:val="20"/>
              </w:rPr>
            </w:pPr>
          </w:p>
        </w:tc>
        <w:tc>
          <w:tcPr>
            <w:tcW w:w="596" w:type="pct"/>
            <w:tcBorders>
              <w:top w:val="nil"/>
              <w:left w:val="nil"/>
              <w:bottom w:val="nil"/>
              <w:right w:val="nil"/>
            </w:tcBorders>
            <w:shd w:val="clear" w:color="auto" w:fill="auto"/>
            <w:noWrap/>
            <w:vAlign w:val="bottom"/>
            <w:hideMark/>
          </w:tcPr>
          <w:p w14:paraId="7233B00B"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5" w:type="pct"/>
            <w:tcBorders>
              <w:top w:val="nil"/>
              <w:left w:val="nil"/>
              <w:bottom w:val="nil"/>
              <w:right w:val="nil"/>
            </w:tcBorders>
            <w:shd w:val="clear" w:color="auto" w:fill="auto"/>
            <w:noWrap/>
            <w:vAlign w:val="bottom"/>
            <w:hideMark/>
          </w:tcPr>
          <w:p w14:paraId="43F5972C"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4" w:type="pct"/>
            <w:tcBorders>
              <w:top w:val="nil"/>
              <w:left w:val="nil"/>
              <w:bottom w:val="nil"/>
              <w:right w:val="single" w:sz="4" w:space="0" w:color="auto"/>
            </w:tcBorders>
            <w:shd w:val="clear" w:color="auto" w:fill="auto"/>
            <w:noWrap/>
            <w:vAlign w:val="bottom"/>
            <w:hideMark/>
          </w:tcPr>
          <w:p w14:paraId="3FB55285"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 </w:t>
            </w:r>
          </w:p>
        </w:tc>
      </w:tr>
      <w:tr w:rsidR="00601CE0" w:rsidRPr="008442CC" w14:paraId="75D155C1" w14:textId="77777777" w:rsidTr="00C810D9">
        <w:trPr>
          <w:trHeight w:val="20"/>
        </w:trPr>
        <w:tc>
          <w:tcPr>
            <w:tcW w:w="2244" w:type="pct"/>
            <w:tcBorders>
              <w:top w:val="nil"/>
              <w:left w:val="single" w:sz="4" w:space="0" w:color="auto"/>
              <w:bottom w:val="nil"/>
              <w:right w:val="nil"/>
            </w:tcBorders>
            <w:shd w:val="clear" w:color="000000" w:fill="E7E6E6"/>
            <w:noWrap/>
            <w:vAlign w:val="bottom"/>
            <w:hideMark/>
          </w:tcPr>
          <w:p w14:paraId="623A153B" w14:textId="77777777" w:rsidR="00765305" w:rsidRPr="008442CC" w:rsidRDefault="00765305" w:rsidP="00C810D9">
            <w:pPr>
              <w:ind w:left="-372" w:firstLine="372"/>
              <w:rPr>
                <w:rFonts w:ascii="Calibri" w:eastAsia="Times New Roman" w:hAnsi="Calibri" w:cs="Calibri"/>
                <w:b/>
                <w:bCs/>
                <w:sz w:val="20"/>
                <w:szCs w:val="20"/>
              </w:rPr>
            </w:pPr>
            <w:r w:rsidRPr="008442CC">
              <w:rPr>
                <w:rFonts w:eastAsia="Times New Roman" w:cstheme="minorHAnsi"/>
                <w:b/>
                <w:bCs/>
                <w:sz w:val="20"/>
                <w:szCs w:val="20"/>
              </w:rPr>
              <w:t>3. What</w:t>
            </w:r>
            <w:r w:rsidRPr="008442CC">
              <w:rPr>
                <w:rFonts w:ascii="Calibri" w:eastAsia="Times New Roman" w:hAnsi="Calibri" w:cs="Calibri"/>
                <w:b/>
                <w:bCs/>
                <w:sz w:val="20"/>
                <w:szCs w:val="20"/>
              </w:rPr>
              <w:t xml:space="preserve"> is your highest education level?</w:t>
            </w:r>
          </w:p>
        </w:tc>
        <w:tc>
          <w:tcPr>
            <w:tcW w:w="501" w:type="pct"/>
            <w:tcBorders>
              <w:top w:val="nil"/>
              <w:left w:val="nil"/>
              <w:bottom w:val="nil"/>
              <w:right w:val="nil"/>
            </w:tcBorders>
            <w:shd w:val="clear" w:color="000000" w:fill="E7E6E6"/>
            <w:noWrap/>
            <w:vAlign w:val="center"/>
            <w:hideMark/>
          </w:tcPr>
          <w:p w14:paraId="694D6321" w14:textId="77777777" w:rsidR="00765305" w:rsidRPr="008442CC" w:rsidRDefault="00765305" w:rsidP="00C810D9">
            <w:pPr>
              <w:ind w:left="-372" w:firstLine="372"/>
              <w:jc w:val="center"/>
              <w:rPr>
                <w:rFonts w:ascii="Calibri" w:eastAsia="Times New Roman" w:hAnsi="Calibri" w:cs="Calibri"/>
                <w:b/>
                <w:bCs/>
                <w:sz w:val="20"/>
                <w:szCs w:val="20"/>
              </w:rPr>
            </w:pPr>
          </w:p>
        </w:tc>
        <w:tc>
          <w:tcPr>
            <w:tcW w:w="409" w:type="pct"/>
            <w:tcBorders>
              <w:top w:val="nil"/>
              <w:left w:val="nil"/>
              <w:bottom w:val="nil"/>
              <w:right w:val="nil"/>
            </w:tcBorders>
            <w:shd w:val="clear" w:color="000000" w:fill="E7E6E6"/>
            <w:noWrap/>
            <w:vAlign w:val="bottom"/>
            <w:hideMark/>
          </w:tcPr>
          <w:p w14:paraId="58E0DC01" w14:textId="77777777" w:rsidR="00765305" w:rsidRPr="008442CC" w:rsidRDefault="00765305" w:rsidP="00C810D9">
            <w:pPr>
              <w:ind w:left="-372" w:firstLine="372"/>
              <w:jc w:val="center"/>
              <w:rPr>
                <w:rFonts w:ascii="Calibri" w:eastAsia="Times New Roman" w:hAnsi="Calibri" w:cs="Calibri"/>
                <w:b/>
                <w:bCs/>
                <w:sz w:val="20"/>
                <w:szCs w:val="20"/>
              </w:rPr>
            </w:pPr>
          </w:p>
        </w:tc>
        <w:tc>
          <w:tcPr>
            <w:tcW w:w="596" w:type="pct"/>
            <w:tcBorders>
              <w:top w:val="nil"/>
              <w:left w:val="nil"/>
              <w:bottom w:val="nil"/>
              <w:right w:val="nil"/>
            </w:tcBorders>
            <w:shd w:val="clear" w:color="000000" w:fill="E7E6E6"/>
            <w:noWrap/>
            <w:vAlign w:val="bottom"/>
            <w:hideMark/>
          </w:tcPr>
          <w:p w14:paraId="4564E53C" w14:textId="77777777" w:rsidR="00765305" w:rsidRPr="008442CC" w:rsidRDefault="00765305" w:rsidP="00C810D9">
            <w:pPr>
              <w:ind w:left="-372" w:firstLine="372"/>
              <w:jc w:val="center"/>
              <w:rPr>
                <w:rFonts w:ascii="Calibri" w:eastAsia="Times New Roman" w:hAnsi="Calibri" w:cs="Calibri"/>
                <w:b/>
                <w:bCs/>
                <w:sz w:val="20"/>
                <w:szCs w:val="20"/>
              </w:rPr>
            </w:pPr>
          </w:p>
        </w:tc>
        <w:tc>
          <w:tcPr>
            <w:tcW w:w="625" w:type="pct"/>
            <w:tcBorders>
              <w:top w:val="nil"/>
              <w:left w:val="nil"/>
              <w:bottom w:val="nil"/>
              <w:right w:val="nil"/>
            </w:tcBorders>
            <w:shd w:val="clear" w:color="000000" w:fill="E7E6E6"/>
            <w:noWrap/>
            <w:vAlign w:val="bottom"/>
            <w:hideMark/>
          </w:tcPr>
          <w:p w14:paraId="4ABB0497" w14:textId="77777777" w:rsidR="00765305" w:rsidRPr="008442CC" w:rsidRDefault="00765305" w:rsidP="00C810D9">
            <w:pPr>
              <w:ind w:left="-372" w:firstLine="372"/>
              <w:jc w:val="center"/>
              <w:rPr>
                <w:rFonts w:ascii="Calibri" w:eastAsia="Times New Roman" w:hAnsi="Calibri" w:cs="Calibri"/>
                <w:b/>
                <w:bCs/>
                <w:sz w:val="20"/>
                <w:szCs w:val="20"/>
              </w:rPr>
            </w:pPr>
          </w:p>
        </w:tc>
        <w:tc>
          <w:tcPr>
            <w:tcW w:w="624" w:type="pct"/>
            <w:tcBorders>
              <w:top w:val="nil"/>
              <w:left w:val="nil"/>
              <w:bottom w:val="nil"/>
              <w:right w:val="single" w:sz="4" w:space="0" w:color="auto"/>
            </w:tcBorders>
            <w:shd w:val="clear" w:color="000000" w:fill="E7E6E6"/>
            <w:noWrap/>
            <w:vAlign w:val="bottom"/>
            <w:hideMark/>
          </w:tcPr>
          <w:p w14:paraId="03ABEDE0" w14:textId="77777777" w:rsidR="00765305" w:rsidRPr="008442CC" w:rsidRDefault="00765305" w:rsidP="00C810D9">
            <w:pPr>
              <w:ind w:left="-372" w:firstLine="372"/>
              <w:jc w:val="center"/>
              <w:rPr>
                <w:rFonts w:ascii="Calibri" w:eastAsia="Times New Roman" w:hAnsi="Calibri" w:cs="Calibri"/>
                <w:b/>
                <w:bCs/>
                <w:sz w:val="20"/>
                <w:szCs w:val="20"/>
              </w:rPr>
            </w:pPr>
          </w:p>
        </w:tc>
      </w:tr>
      <w:tr w:rsidR="00601CE0" w:rsidRPr="008442CC" w14:paraId="63E38FC6"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7AD3D3D5"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Basic (School level)</w:t>
            </w:r>
          </w:p>
        </w:tc>
        <w:tc>
          <w:tcPr>
            <w:tcW w:w="501" w:type="pct"/>
            <w:tcBorders>
              <w:top w:val="nil"/>
              <w:left w:val="nil"/>
              <w:bottom w:val="nil"/>
              <w:right w:val="nil"/>
            </w:tcBorders>
            <w:shd w:val="clear" w:color="auto" w:fill="auto"/>
            <w:noWrap/>
            <w:vAlign w:val="center"/>
            <w:hideMark/>
          </w:tcPr>
          <w:p w14:paraId="2B7282FF" w14:textId="77777777" w:rsidR="00765305" w:rsidRPr="008442CC" w:rsidRDefault="00765305" w:rsidP="00C810D9">
            <w:pPr>
              <w:ind w:left="-372" w:firstLine="372"/>
              <w:jc w:val="center"/>
              <w:rPr>
                <w:rFonts w:ascii="Calibri" w:eastAsia="Times New Roman" w:hAnsi="Calibri" w:cs="Calibri"/>
                <w:sz w:val="20"/>
                <w:szCs w:val="20"/>
              </w:rPr>
            </w:pPr>
          </w:p>
        </w:tc>
        <w:tc>
          <w:tcPr>
            <w:tcW w:w="409" w:type="pct"/>
            <w:tcBorders>
              <w:top w:val="nil"/>
              <w:left w:val="nil"/>
              <w:bottom w:val="nil"/>
              <w:right w:val="nil"/>
            </w:tcBorders>
            <w:shd w:val="clear" w:color="auto" w:fill="auto"/>
            <w:noWrap/>
            <w:vAlign w:val="bottom"/>
            <w:hideMark/>
          </w:tcPr>
          <w:p w14:paraId="63184AC6" w14:textId="77777777" w:rsidR="00765305" w:rsidRPr="008442CC" w:rsidRDefault="00765305" w:rsidP="00C810D9">
            <w:pPr>
              <w:ind w:left="-372" w:firstLine="372"/>
              <w:rPr>
                <w:rFonts w:ascii="Times New Roman" w:eastAsia="Times New Roman" w:hAnsi="Times New Roman" w:cs="Times New Roman"/>
                <w:sz w:val="20"/>
                <w:szCs w:val="20"/>
              </w:rPr>
            </w:pPr>
          </w:p>
        </w:tc>
        <w:tc>
          <w:tcPr>
            <w:tcW w:w="596" w:type="pct"/>
            <w:tcBorders>
              <w:top w:val="nil"/>
              <w:left w:val="nil"/>
              <w:bottom w:val="nil"/>
              <w:right w:val="nil"/>
            </w:tcBorders>
            <w:shd w:val="clear" w:color="auto" w:fill="auto"/>
            <w:noWrap/>
            <w:vAlign w:val="bottom"/>
            <w:hideMark/>
          </w:tcPr>
          <w:p w14:paraId="35F97B7A"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5" w:type="pct"/>
            <w:tcBorders>
              <w:top w:val="nil"/>
              <w:left w:val="nil"/>
              <w:bottom w:val="nil"/>
              <w:right w:val="nil"/>
            </w:tcBorders>
            <w:shd w:val="clear" w:color="auto" w:fill="auto"/>
            <w:noWrap/>
            <w:vAlign w:val="bottom"/>
            <w:hideMark/>
          </w:tcPr>
          <w:p w14:paraId="3F02C03A"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4" w:type="pct"/>
            <w:tcBorders>
              <w:top w:val="nil"/>
              <w:left w:val="nil"/>
              <w:bottom w:val="nil"/>
              <w:right w:val="single" w:sz="4" w:space="0" w:color="auto"/>
            </w:tcBorders>
            <w:shd w:val="clear" w:color="auto" w:fill="auto"/>
            <w:noWrap/>
            <w:vAlign w:val="bottom"/>
            <w:hideMark/>
          </w:tcPr>
          <w:p w14:paraId="679540CB"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 </w:t>
            </w:r>
          </w:p>
        </w:tc>
      </w:tr>
      <w:tr w:rsidR="00601CE0" w:rsidRPr="008442CC" w14:paraId="616DB424"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2C0F8B94"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Basic (College level)</w:t>
            </w:r>
          </w:p>
        </w:tc>
        <w:tc>
          <w:tcPr>
            <w:tcW w:w="501" w:type="pct"/>
            <w:tcBorders>
              <w:top w:val="nil"/>
              <w:left w:val="nil"/>
              <w:bottom w:val="nil"/>
              <w:right w:val="nil"/>
            </w:tcBorders>
            <w:shd w:val="clear" w:color="auto" w:fill="auto"/>
            <w:noWrap/>
            <w:vAlign w:val="center"/>
            <w:hideMark/>
          </w:tcPr>
          <w:p w14:paraId="6B6A6EC6"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38</w:t>
            </w:r>
          </w:p>
        </w:tc>
        <w:tc>
          <w:tcPr>
            <w:tcW w:w="409" w:type="pct"/>
            <w:tcBorders>
              <w:top w:val="nil"/>
              <w:left w:val="nil"/>
              <w:bottom w:val="nil"/>
              <w:right w:val="nil"/>
            </w:tcBorders>
            <w:shd w:val="clear" w:color="auto" w:fill="auto"/>
            <w:noWrap/>
            <w:vAlign w:val="bottom"/>
            <w:hideMark/>
          </w:tcPr>
          <w:p w14:paraId="6D28A31B"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3</w:t>
            </w:r>
          </w:p>
        </w:tc>
        <w:tc>
          <w:tcPr>
            <w:tcW w:w="596" w:type="pct"/>
            <w:tcBorders>
              <w:top w:val="nil"/>
              <w:left w:val="nil"/>
              <w:bottom w:val="nil"/>
              <w:right w:val="nil"/>
            </w:tcBorders>
            <w:shd w:val="clear" w:color="auto" w:fill="auto"/>
            <w:noWrap/>
            <w:vAlign w:val="bottom"/>
            <w:hideMark/>
          </w:tcPr>
          <w:p w14:paraId="4B062258" w14:textId="77777777" w:rsidR="00765305" w:rsidRPr="008442CC" w:rsidRDefault="00765305" w:rsidP="00C810D9">
            <w:pPr>
              <w:ind w:left="-372" w:firstLine="372"/>
              <w:jc w:val="center"/>
              <w:rPr>
                <w:rFonts w:ascii="Calibri" w:eastAsia="Times New Roman" w:hAnsi="Calibri" w:cs="Calibri"/>
                <w:sz w:val="20"/>
                <w:szCs w:val="20"/>
              </w:rPr>
            </w:pPr>
          </w:p>
        </w:tc>
        <w:tc>
          <w:tcPr>
            <w:tcW w:w="625" w:type="pct"/>
            <w:tcBorders>
              <w:top w:val="nil"/>
              <w:left w:val="nil"/>
              <w:bottom w:val="nil"/>
              <w:right w:val="nil"/>
            </w:tcBorders>
            <w:shd w:val="clear" w:color="auto" w:fill="auto"/>
            <w:noWrap/>
            <w:vAlign w:val="bottom"/>
            <w:hideMark/>
          </w:tcPr>
          <w:p w14:paraId="45605439"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4" w:type="pct"/>
            <w:tcBorders>
              <w:top w:val="nil"/>
              <w:left w:val="nil"/>
              <w:bottom w:val="nil"/>
              <w:right w:val="single" w:sz="4" w:space="0" w:color="auto"/>
            </w:tcBorders>
            <w:shd w:val="clear" w:color="auto" w:fill="auto"/>
            <w:noWrap/>
            <w:vAlign w:val="bottom"/>
            <w:hideMark/>
          </w:tcPr>
          <w:p w14:paraId="1B8BE8C6"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3</w:t>
            </w:r>
          </w:p>
        </w:tc>
      </w:tr>
      <w:tr w:rsidR="00601CE0" w:rsidRPr="008442CC" w14:paraId="57DFE029"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48A4BC78"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Apprenticeship</w:t>
            </w:r>
          </w:p>
        </w:tc>
        <w:tc>
          <w:tcPr>
            <w:tcW w:w="501" w:type="pct"/>
            <w:tcBorders>
              <w:top w:val="nil"/>
              <w:left w:val="nil"/>
              <w:bottom w:val="nil"/>
              <w:right w:val="nil"/>
            </w:tcBorders>
            <w:shd w:val="clear" w:color="auto" w:fill="auto"/>
            <w:noWrap/>
            <w:vAlign w:val="center"/>
            <w:hideMark/>
          </w:tcPr>
          <w:p w14:paraId="72DF16F1"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8</w:t>
            </w:r>
          </w:p>
        </w:tc>
        <w:tc>
          <w:tcPr>
            <w:tcW w:w="409" w:type="pct"/>
            <w:tcBorders>
              <w:top w:val="nil"/>
              <w:left w:val="nil"/>
              <w:bottom w:val="nil"/>
              <w:right w:val="nil"/>
            </w:tcBorders>
            <w:shd w:val="clear" w:color="auto" w:fill="auto"/>
            <w:noWrap/>
            <w:vAlign w:val="bottom"/>
            <w:hideMark/>
          </w:tcPr>
          <w:p w14:paraId="73800319" w14:textId="77777777" w:rsidR="00765305" w:rsidRPr="008442CC" w:rsidRDefault="00765305" w:rsidP="00C810D9">
            <w:pPr>
              <w:ind w:left="-372" w:firstLine="372"/>
              <w:jc w:val="right"/>
              <w:rPr>
                <w:rFonts w:ascii="Calibri" w:eastAsia="Times New Roman" w:hAnsi="Calibri" w:cs="Calibri"/>
                <w:sz w:val="20"/>
                <w:szCs w:val="20"/>
              </w:rPr>
            </w:pPr>
          </w:p>
        </w:tc>
        <w:tc>
          <w:tcPr>
            <w:tcW w:w="596" w:type="pct"/>
            <w:tcBorders>
              <w:top w:val="nil"/>
              <w:left w:val="nil"/>
              <w:bottom w:val="nil"/>
              <w:right w:val="nil"/>
            </w:tcBorders>
            <w:shd w:val="clear" w:color="auto" w:fill="auto"/>
            <w:noWrap/>
            <w:vAlign w:val="bottom"/>
            <w:hideMark/>
          </w:tcPr>
          <w:p w14:paraId="1103D77D"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5" w:type="pct"/>
            <w:tcBorders>
              <w:top w:val="nil"/>
              <w:left w:val="nil"/>
              <w:bottom w:val="nil"/>
              <w:right w:val="nil"/>
            </w:tcBorders>
            <w:shd w:val="clear" w:color="auto" w:fill="auto"/>
            <w:noWrap/>
            <w:vAlign w:val="bottom"/>
            <w:hideMark/>
          </w:tcPr>
          <w:p w14:paraId="5B6E7E32"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4" w:type="pct"/>
            <w:tcBorders>
              <w:top w:val="nil"/>
              <w:left w:val="nil"/>
              <w:bottom w:val="nil"/>
              <w:right w:val="single" w:sz="4" w:space="0" w:color="auto"/>
            </w:tcBorders>
            <w:shd w:val="clear" w:color="auto" w:fill="auto"/>
            <w:noWrap/>
            <w:vAlign w:val="bottom"/>
            <w:hideMark/>
          </w:tcPr>
          <w:p w14:paraId="38EC2F50"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 </w:t>
            </w:r>
          </w:p>
        </w:tc>
      </w:tr>
      <w:tr w:rsidR="00601CE0" w:rsidRPr="008442CC" w14:paraId="6B50201C"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42A76567"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Higher education (Graduate)</w:t>
            </w:r>
          </w:p>
        </w:tc>
        <w:tc>
          <w:tcPr>
            <w:tcW w:w="501" w:type="pct"/>
            <w:tcBorders>
              <w:top w:val="nil"/>
              <w:left w:val="nil"/>
              <w:bottom w:val="nil"/>
              <w:right w:val="nil"/>
            </w:tcBorders>
            <w:shd w:val="clear" w:color="auto" w:fill="auto"/>
            <w:noWrap/>
            <w:vAlign w:val="center"/>
            <w:hideMark/>
          </w:tcPr>
          <w:p w14:paraId="2AE9F876"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40</w:t>
            </w:r>
          </w:p>
        </w:tc>
        <w:tc>
          <w:tcPr>
            <w:tcW w:w="409" w:type="pct"/>
            <w:tcBorders>
              <w:top w:val="nil"/>
              <w:left w:val="nil"/>
              <w:bottom w:val="nil"/>
              <w:right w:val="nil"/>
            </w:tcBorders>
            <w:shd w:val="clear" w:color="auto" w:fill="auto"/>
            <w:noWrap/>
            <w:vAlign w:val="bottom"/>
            <w:hideMark/>
          </w:tcPr>
          <w:p w14:paraId="6CED8AC0"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5</w:t>
            </w:r>
          </w:p>
        </w:tc>
        <w:tc>
          <w:tcPr>
            <w:tcW w:w="596" w:type="pct"/>
            <w:tcBorders>
              <w:top w:val="nil"/>
              <w:left w:val="nil"/>
              <w:bottom w:val="nil"/>
              <w:right w:val="nil"/>
            </w:tcBorders>
            <w:shd w:val="clear" w:color="auto" w:fill="auto"/>
            <w:noWrap/>
            <w:vAlign w:val="bottom"/>
            <w:hideMark/>
          </w:tcPr>
          <w:p w14:paraId="6FF0D751"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c>
          <w:tcPr>
            <w:tcW w:w="625" w:type="pct"/>
            <w:tcBorders>
              <w:top w:val="nil"/>
              <w:left w:val="nil"/>
              <w:bottom w:val="nil"/>
              <w:right w:val="nil"/>
            </w:tcBorders>
            <w:shd w:val="clear" w:color="auto" w:fill="auto"/>
            <w:noWrap/>
            <w:vAlign w:val="bottom"/>
            <w:hideMark/>
          </w:tcPr>
          <w:p w14:paraId="05812A1A"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4</w:t>
            </w:r>
          </w:p>
        </w:tc>
        <w:tc>
          <w:tcPr>
            <w:tcW w:w="624" w:type="pct"/>
            <w:tcBorders>
              <w:top w:val="nil"/>
              <w:left w:val="nil"/>
              <w:bottom w:val="nil"/>
              <w:right w:val="single" w:sz="4" w:space="0" w:color="auto"/>
            </w:tcBorders>
            <w:shd w:val="clear" w:color="auto" w:fill="auto"/>
            <w:noWrap/>
            <w:vAlign w:val="bottom"/>
            <w:hideMark/>
          </w:tcPr>
          <w:p w14:paraId="4738DBAC"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r>
      <w:tr w:rsidR="00601CE0" w:rsidRPr="008442CC" w14:paraId="2437A71A"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7BECCF13"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Higher education (Postgraduate)</w:t>
            </w:r>
          </w:p>
        </w:tc>
        <w:tc>
          <w:tcPr>
            <w:tcW w:w="501" w:type="pct"/>
            <w:tcBorders>
              <w:top w:val="nil"/>
              <w:left w:val="nil"/>
              <w:bottom w:val="nil"/>
              <w:right w:val="nil"/>
            </w:tcBorders>
            <w:shd w:val="clear" w:color="auto" w:fill="auto"/>
            <w:noWrap/>
            <w:vAlign w:val="center"/>
            <w:hideMark/>
          </w:tcPr>
          <w:p w14:paraId="46D10450"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27</w:t>
            </w:r>
          </w:p>
        </w:tc>
        <w:tc>
          <w:tcPr>
            <w:tcW w:w="409" w:type="pct"/>
            <w:tcBorders>
              <w:top w:val="nil"/>
              <w:left w:val="nil"/>
              <w:bottom w:val="nil"/>
              <w:right w:val="nil"/>
            </w:tcBorders>
            <w:shd w:val="clear" w:color="auto" w:fill="auto"/>
            <w:noWrap/>
            <w:vAlign w:val="bottom"/>
            <w:hideMark/>
          </w:tcPr>
          <w:p w14:paraId="5B9F4701"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c>
          <w:tcPr>
            <w:tcW w:w="596" w:type="pct"/>
            <w:tcBorders>
              <w:top w:val="nil"/>
              <w:left w:val="nil"/>
              <w:bottom w:val="nil"/>
              <w:right w:val="nil"/>
            </w:tcBorders>
            <w:shd w:val="clear" w:color="auto" w:fill="auto"/>
            <w:noWrap/>
            <w:vAlign w:val="bottom"/>
            <w:hideMark/>
          </w:tcPr>
          <w:p w14:paraId="0873D852"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3</w:t>
            </w:r>
          </w:p>
        </w:tc>
        <w:tc>
          <w:tcPr>
            <w:tcW w:w="625" w:type="pct"/>
            <w:tcBorders>
              <w:top w:val="nil"/>
              <w:left w:val="nil"/>
              <w:bottom w:val="nil"/>
              <w:right w:val="nil"/>
            </w:tcBorders>
            <w:shd w:val="clear" w:color="auto" w:fill="auto"/>
            <w:noWrap/>
            <w:vAlign w:val="bottom"/>
            <w:hideMark/>
          </w:tcPr>
          <w:p w14:paraId="5F3E64EE" w14:textId="77777777" w:rsidR="00765305" w:rsidRPr="008442CC" w:rsidRDefault="00765305" w:rsidP="00C810D9">
            <w:pPr>
              <w:ind w:left="-372" w:firstLine="372"/>
              <w:jc w:val="center"/>
              <w:rPr>
                <w:rFonts w:ascii="Calibri" w:eastAsia="Times New Roman" w:hAnsi="Calibri" w:cs="Calibri"/>
                <w:sz w:val="20"/>
                <w:szCs w:val="20"/>
              </w:rPr>
            </w:pPr>
          </w:p>
        </w:tc>
        <w:tc>
          <w:tcPr>
            <w:tcW w:w="624" w:type="pct"/>
            <w:tcBorders>
              <w:top w:val="nil"/>
              <w:left w:val="nil"/>
              <w:bottom w:val="nil"/>
              <w:right w:val="single" w:sz="4" w:space="0" w:color="auto"/>
            </w:tcBorders>
            <w:shd w:val="clear" w:color="auto" w:fill="auto"/>
            <w:noWrap/>
            <w:vAlign w:val="bottom"/>
            <w:hideMark/>
          </w:tcPr>
          <w:p w14:paraId="77B2DF91"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 </w:t>
            </w:r>
          </w:p>
        </w:tc>
      </w:tr>
      <w:tr w:rsidR="00601CE0" w:rsidRPr="008442CC" w14:paraId="58129765"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061259CE" w14:textId="77777777" w:rsidR="00765305" w:rsidRPr="008442CC" w:rsidRDefault="00765305" w:rsidP="00C810D9">
            <w:pPr>
              <w:spacing w:after="120"/>
              <w:ind w:left="-374" w:firstLine="374"/>
              <w:rPr>
                <w:rFonts w:ascii="Calibri" w:eastAsia="Times New Roman" w:hAnsi="Calibri" w:cs="Calibri"/>
                <w:sz w:val="20"/>
                <w:szCs w:val="20"/>
              </w:rPr>
            </w:pPr>
            <w:r w:rsidRPr="008442CC">
              <w:rPr>
                <w:rFonts w:ascii="Calibri" w:eastAsia="Times New Roman" w:hAnsi="Calibri" w:cs="Calibri"/>
                <w:sz w:val="20"/>
                <w:szCs w:val="20"/>
              </w:rPr>
              <w:t>Higher education (PhD)</w:t>
            </w:r>
          </w:p>
        </w:tc>
        <w:tc>
          <w:tcPr>
            <w:tcW w:w="501" w:type="pct"/>
            <w:tcBorders>
              <w:top w:val="nil"/>
              <w:left w:val="nil"/>
              <w:bottom w:val="nil"/>
              <w:right w:val="nil"/>
            </w:tcBorders>
            <w:shd w:val="clear" w:color="auto" w:fill="auto"/>
            <w:noWrap/>
            <w:vAlign w:val="center"/>
            <w:hideMark/>
          </w:tcPr>
          <w:p w14:paraId="090BE0A6"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3</w:t>
            </w:r>
          </w:p>
        </w:tc>
        <w:tc>
          <w:tcPr>
            <w:tcW w:w="409" w:type="pct"/>
            <w:tcBorders>
              <w:top w:val="nil"/>
              <w:left w:val="nil"/>
              <w:bottom w:val="nil"/>
              <w:right w:val="nil"/>
            </w:tcBorders>
            <w:shd w:val="clear" w:color="auto" w:fill="auto"/>
            <w:noWrap/>
            <w:vAlign w:val="bottom"/>
            <w:hideMark/>
          </w:tcPr>
          <w:p w14:paraId="27B5E53F" w14:textId="77777777" w:rsidR="00765305" w:rsidRPr="008442CC" w:rsidRDefault="00765305" w:rsidP="00C810D9">
            <w:pPr>
              <w:ind w:left="-372" w:firstLine="372"/>
              <w:jc w:val="right"/>
              <w:rPr>
                <w:rFonts w:ascii="Calibri" w:eastAsia="Times New Roman" w:hAnsi="Calibri" w:cs="Calibri"/>
                <w:sz w:val="20"/>
                <w:szCs w:val="20"/>
              </w:rPr>
            </w:pPr>
          </w:p>
        </w:tc>
        <w:tc>
          <w:tcPr>
            <w:tcW w:w="596" w:type="pct"/>
            <w:tcBorders>
              <w:top w:val="nil"/>
              <w:left w:val="nil"/>
              <w:bottom w:val="nil"/>
              <w:right w:val="nil"/>
            </w:tcBorders>
            <w:shd w:val="clear" w:color="auto" w:fill="auto"/>
            <w:noWrap/>
            <w:vAlign w:val="bottom"/>
            <w:hideMark/>
          </w:tcPr>
          <w:p w14:paraId="08286A6C"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5" w:type="pct"/>
            <w:tcBorders>
              <w:top w:val="nil"/>
              <w:left w:val="nil"/>
              <w:bottom w:val="nil"/>
              <w:right w:val="nil"/>
            </w:tcBorders>
            <w:shd w:val="clear" w:color="auto" w:fill="auto"/>
            <w:noWrap/>
            <w:vAlign w:val="bottom"/>
            <w:hideMark/>
          </w:tcPr>
          <w:p w14:paraId="11875E1F"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4" w:type="pct"/>
            <w:tcBorders>
              <w:top w:val="nil"/>
              <w:left w:val="nil"/>
              <w:bottom w:val="nil"/>
              <w:right w:val="single" w:sz="4" w:space="0" w:color="auto"/>
            </w:tcBorders>
            <w:shd w:val="clear" w:color="auto" w:fill="auto"/>
            <w:noWrap/>
            <w:vAlign w:val="bottom"/>
            <w:hideMark/>
          </w:tcPr>
          <w:p w14:paraId="1132772C"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 </w:t>
            </w:r>
          </w:p>
        </w:tc>
      </w:tr>
      <w:tr w:rsidR="00601CE0" w:rsidRPr="008442CC" w14:paraId="2FCA47B5" w14:textId="77777777" w:rsidTr="00C810D9">
        <w:trPr>
          <w:trHeight w:val="20"/>
        </w:trPr>
        <w:tc>
          <w:tcPr>
            <w:tcW w:w="2244" w:type="pct"/>
            <w:tcBorders>
              <w:top w:val="nil"/>
              <w:left w:val="single" w:sz="4" w:space="0" w:color="auto"/>
              <w:bottom w:val="nil"/>
              <w:right w:val="nil"/>
            </w:tcBorders>
            <w:shd w:val="clear" w:color="000000" w:fill="E7E6E6"/>
            <w:noWrap/>
            <w:vAlign w:val="bottom"/>
            <w:hideMark/>
          </w:tcPr>
          <w:p w14:paraId="5C46D14F" w14:textId="77777777" w:rsidR="00765305" w:rsidRPr="008442CC" w:rsidRDefault="00765305" w:rsidP="00C810D9">
            <w:pPr>
              <w:ind w:left="-372" w:firstLine="372"/>
              <w:rPr>
                <w:rFonts w:ascii="Calibri" w:eastAsia="Times New Roman" w:hAnsi="Calibri" w:cs="Calibri"/>
                <w:b/>
                <w:bCs/>
                <w:sz w:val="20"/>
                <w:szCs w:val="20"/>
              </w:rPr>
            </w:pPr>
            <w:r w:rsidRPr="008442CC">
              <w:rPr>
                <w:rFonts w:ascii="Calibri" w:eastAsia="Times New Roman" w:hAnsi="Calibri" w:cs="Calibri"/>
                <w:b/>
                <w:bCs/>
                <w:sz w:val="20"/>
                <w:szCs w:val="20"/>
              </w:rPr>
              <w:t>4. How long have you been in the UK?</w:t>
            </w:r>
          </w:p>
        </w:tc>
        <w:tc>
          <w:tcPr>
            <w:tcW w:w="501" w:type="pct"/>
            <w:tcBorders>
              <w:top w:val="nil"/>
              <w:left w:val="nil"/>
              <w:bottom w:val="nil"/>
              <w:right w:val="nil"/>
            </w:tcBorders>
            <w:shd w:val="clear" w:color="000000" w:fill="E7E6E6"/>
            <w:noWrap/>
            <w:vAlign w:val="center"/>
            <w:hideMark/>
          </w:tcPr>
          <w:p w14:paraId="23D8B8D0" w14:textId="77777777" w:rsidR="00765305" w:rsidRPr="008442CC" w:rsidRDefault="00765305" w:rsidP="00C810D9">
            <w:pPr>
              <w:ind w:left="-372" w:firstLine="372"/>
              <w:jc w:val="center"/>
              <w:rPr>
                <w:rFonts w:ascii="Calibri" w:eastAsia="Times New Roman" w:hAnsi="Calibri" w:cs="Calibri"/>
                <w:b/>
                <w:bCs/>
                <w:sz w:val="20"/>
                <w:szCs w:val="20"/>
              </w:rPr>
            </w:pPr>
          </w:p>
        </w:tc>
        <w:tc>
          <w:tcPr>
            <w:tcW w:w="409" w:type="pct"/>
            <w:tcBorders>
              <w:top w:val="nil"/>
              <w:left w:val="nil"/>
              <w:bottom w:val="nil"/>
              <w:right w:val="nil"/>
            </w:tcBorders>
            <w:shd w:val="clear" w:color="000000" w:fill="E7E6E6"/>
            <w:noWrap/>
            <w:vAlign w:val="bottom"/>
            <w:hideMark/>
          </w:tcPr>
          <w:p w14:paraId="4C36D9BB" w14:textId="77777777" w:rsidR="00765305" w:rsidRPr="008442CC" w:rsidRDefault="00765305" w:rsidP="00C810D9">
            <w:pPr>
              <w:ind w:left="-372" w:firstLine="372"/>
              <w:jc w:val="center"/>
              <w:rPr>
                <w:rFonts w:ascii="Calibri" w:eastAsia="Times New Roman" w:hAnsi="Calibri" w:cs="Calibri"/>
                <w:b/>
                <w:bCs/>
                <w:sz w:val="20"/>
                <w:szCs w:val="20"/>
              </w:rPr>
            </w:pPr>
          </w:p>
        </w:tc>
        <w:tc>
          <w:tcPr>
            <w:tcW w:w="596" w:type="pct"/>
            <w:tcBorders>
              <w:top w:val="nil"/>
              <w:left w:val="nil"/>
              <w:bottom w:val="nil"/>
              <w:right w:val="nil"/>
            </w:tcBorders>
            <w:shd w:val="clear" w:color="000000" w:fill="E7E6E6"/>
            <w:noWrap/>
            <w:vAlign w:val="bottom"/>
            <w:hideMark/>
          </w:tcPr>
          <w:p w14:paraId="6F4BB06D" w14:textId="77777777" w:rsidR="00765305" w:rsidRPr="008442CC" w:rsidRDefault="00765305" w:rsidP="00C810D9">
            <w:pPr>
              <w:ind w:left="-372" w:firstLine="372"/>
              <w:jc w:val="center"/>
              <w:rPr>
                <w:rFonts w:ascii="Calibri" w:eastAsia="Times New Roman" w:hAnsi="Calibri" w:cs="Calibri"/>
                <w:b/>
                <w:bCs/>
                <w:sz w:val="20"/>
                <w:szCs w:val="20"/>
              </w:rPr>
            </w:pPr>
          </w:p>
        </w:tc>
        <w:tc>
          <w:tcPr>
            <w:tcW w:w="625" w:type="pct"/>
            <w:tcBorders>
              <w:top w:val="nil"/>
              <w:left w:val="nil"/>
              <w:bottom w:val="nil"/>
              <w:right w:val="nil"/>
            </w:tcBorders>
            <w:shd w:val="clear" w:color="000000" w:fill="E7E6E6"/>
            <w:noWrap/>
            <w:vAlign w:val="bottom"/>
            <w:hideMark/>
          </w:tcPr>
          <w:p w14:paraId="45BC291A" w14:textId="77777777" w:rsidR="00765305" w:rsidRPr="008442CC" w:rsidRDefault="00765305" w:rsidP="00C810D9">
            <w:pPr>
              <w:ind w:left="-372" w:firstLine="372"/>
              <w:jc w:val="center"/>
              <w:rPr>
                <w:rFonts w:ascii="Calibri" w:eastAsia="Times New Roman" w:hAnsi="Calibri" w:cs="Calibri"/>
                <w:b/>
                <w:bCs/>
                <w:sz w:val="20"/>
                <w:szCs w:val="20"/>
              </w:rPr>
            </w:pPr>
          </w:p>
        </w:tc>
        <w:tc>
          <w:tcPr>
            <w:tcW w:w="624" w:type="pct"/>
            <w:tcBorders>
              <w:top w:val="nil"/>
              <w:left w:val="nil"/>
              <w:bottom w:val="nil"/>
              <w:right w:val="single" w:sz="4" w:space="0" w:color="auto"/>
            </w:tcBorders>
            <w:shd w:val="clear" w:color="000000" w:fill="E7E6E6"/>
            <w:noWrap/>
            <w:vAlign w:val="bottom"/>
            <w:hideMark/>
          </w:tcPr>
          <w:p w14:paraId="5E81ACAD" w14:textId="77777777" w:rsidR="00765305" w:rsidRPr="008442CC" w:rsidRDefault="00765305" w:rsidP="00C810D9">
            <w:pPr>
              <w:ind w:left="-372" w:firstLine="372"/>
              <w:jc w:val="center"/>
              <w:rPr>
                <w:rFonts w:ascii="Calibri" w:eastAsia="Times New Roman" w:hAnsi="Calibri" w:cs="Calibri"/>
                <w:b/>
                <w:bCs/>
                <w:sz w:val="20"/>
                <w:szCs w:val="20"/>
              </w:rPr>
            </w:pPr>
          </w:p>
        </w:tc>
      </w:tr>
      <w:tr w:rsidR="00601CE0" w:rsidRPr="008442CC" w14:paraId="5D39178F"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7E2DC2F1"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Between 1 year and 3 years</w:t>
            </w:r>
          </w:p>
        </w:tc>
        <w:tc>
          <w:tcPr>
            <w:tcW w:w="501" w:type="pct"/>
            <w:tcBorders>
              <w:top w:val="nil"/>
              <w:left w:val="nil"/>
              <w:bottom w:val="nil"/>
              <w:right w:val="nil"/>
            </w:tcBorders>
            <w:shd w:val="clear" w:color="auto" w:fill="auto"/>
            <w:noWrap/>
            <w:vAlign w:val="center"/>
            <w:hideMark/>
          </w:tcPr>
          <w:p w14:paraId="3C9C8FBC"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3</w:t>
            </w:r>
          </w:p>
        </w:tc>
        <w:tc>
          <w:tcPr>
            <w:tcW w:w="409" w:type="pct"/>
            <w:tcBorders>
              <w:top w:val="nil"/>
              <w:left w:val="nil"/>
              <w:bottom w:val="nil"/>
              <w:right w:val="nil"/>
            </w:tcBorders>
            <w:shd w:val="clear" w:color="auto" w:fill="auto"/>
            <w:noWrap/>
            <w:vAlign w:val="bottom"/>
            <w:hideMark/>
          </w:tcPr>
          <w:p w14:paraId="5D43069F"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2</w:t>
            </w:r>
          </w:p>
        </w:tc>
        <w:tc>
          <w:tcPr>
            <w:tcW w:w="596" w:type="pct"/>
            <w:tcBorders>
              <w:top w:val="nil"/>
              <w:left w:val="nil"/>
              <w:bottom w:val="nil"/>
              <w:right w:val="nil"/>
            </w:tcBorders>
            <w:shd w:val="clear" w:color="auto" w:fill="auto"/>
            <w:noWrap/>
            <w:vAlign w:val="bottom"/>
            <w:hideMark/>
          </w:tcPr>
          <w:p w14:paraId="6F61EE1B" w14:textId="77777777" w:rsidR="00765305" w:rsidRPr="008442CC" w:rsidRDefault="00765305" w:rsidP="00C810D9">
            <w:pPr>
              <w:ind w:left="-372" w:firstLine="372"/>
              <w:jc w:val="center"/>
              <w:rPr>
                <w:rFonts w:ascii="Calibri" w:eastAsia="Times New Roman" w:hAnsi="Calibri" w:cs="Calibri"/>
                <w:sz w:val="20"/>
                <w:szCs w:val="20"/>
              </w:rPr>
            </w:pPr>
          </w:p>
        </w:tc>
        <w:tc>
          <w:tcPr>
            <w:tcW w:w="625" w:type="pct"/>
            <w:tcBorders>
              <w:top w:val="nil"/>
              <w:left w:val="nil"/>
              <w:bottom w:val="nil"/>
              <w:right w:val="nil"/>
            </w:tcBorders>
            <w:shd w:val="clear" w:color="auto" w:fill="auto"/>
            <w:noWrap/>
            <w:vAlign w:val="bottom"/>
            <w:hideMark/>
          </w:tcPr>
          <w:p w14:paraId="1AF874AD"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4" w:type="pct"/>
            <w:tcBorders>
              <w:top w:val="nil"/>
              <w:left w:val="nil"/>
              <w:bottom w:val="nil"/>
              <w:right w:val="single" w:sz="4" w:space="0" w:color="auto"/>
            </w:tcBorders>
            <w:shd w:val="clear" w:color="auto" w:fill="auto"/>
            <w:noWrap/>
            <w:vAlign w:val="bottom"/>
            <w:hideMark/>
          </w:tcPr>
          <w:p w14:paraId="48A0D5DB"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r>
      <w:tr w:rsidR="00601CE0" w:rsidRPr="008442CC" w14:paraId="60D3000D"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7249C374"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Between 3 years and 5 years</w:t>
            </w:r>
          </w:p>
        </w:tc>
        <w:tc>
          <w:tcPr>
            <w:tcW w:w="501" w:type="pct"/>
            <w:tcBorders>
              <w:top w:val="nil"/>
              <w:left w:val="nil"/>
              <w:bottom w:val="nil"/>
              <w:right w:val="nil"/>
            </w:tcBorders>
            <w:shd w:val="clear" w:color="auto" w:fill="auto"/>
            <w:noWrap/>
            <w:vAlign w:val="center"/>
            <w:hideMark/>
          </w:tcPr>
          <w:p w14:paraId="12DC38AC"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24</w:t>
            </w:r>
          </w:p>
        </w:tc>
        <w:tc>
          <w:tcPr>
            <w:tcW w:w="409" w:type="pct"/>
            <w:tcBorders>
              <w:top w:val="nil"/>
              <w:left w:val="nil"/>
              <w:bottom w:val="nil"/>
              <w:right w:val="nil"/>
            </w:tcBorders>
            <w:shd w:val="clear" w:color="auto" w:fill="auto"/>
            <w:noWrap/>
            <w:vAlign w:val="bottom"/>
            <w:hideMark/>
          </w:tcPr>
          <w:p w14:paraId="2576D7F5"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2</w:t>
            </w:r>
          </w:p>
        </w:tc>
        <w:tc>
          <w:tcPr>
            <w:tcW w:w="596" w:type="pct"/>
            <w:tcBorders>
              <w:top w:val="nil"/>
              <w:left w:val="nil"/>
              <w:bottom w:val="nil"/>
              <w:right w:val="nil"/>
            </w:tcBorders>
            <w:shd w:val="clear" w:color="auto" w:fill="auto"/>
            <w:noWrap/>
            <w:vAlign w:val="bottom"/>
            <w:hideMark/>
          </w:tcPr>
          <w:p w14:paraId="5B4791B1" w14:textId="77777777" w:rsidR="00765305" w:rsidRPr="008442CC" w:rsidRDefault="00765305" w:rsidP="00C810D9">
            <w:pPr>
              <w:ind w:left="-372" w:firstLine="372"/>
              <w:jc w:val="center"/>
              <w:rPr>
                <w:rFonts w:ascii="Calibri" w:eastAsia="Times New Roman" w:hAnsi="Calibri" w:cs="Calibri"/>
                <w:sz w:val="20"/>
                <w:szCs w:val="20"/>
              </w:rPr>
            </w:pPr>
          </w:p>
        </w:tc>
        <w:tc>
          <w:tcPr>
            <w:tcW w:w="625" w:type="pct"/>
            <w:tcBorders>
              <w:top w:val="nil"/>
              <w:left w:val="nil"/>
              <w:bottom w:val="nil"/>
              <w:right w:val="nil"/>
            </w:tcBorders>
            <w:shd w:val="clear" w:color="auto" w:fill="auto"/>
            <w:noWrap/>
            <w:vAlign w:val="bottom"/>
            <w:hideMark/>
          </w:tcPr>
          <w:p w14:paraId="63AD1C46"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4" w:type="pct"/>
            <w:tcBorders>
              <w:top w:val="nil"/>
              <w:left w:val="nil"/>
              <w:bottom w:val="nil"/>
              <w:right w:val="single" w:sz="4" w:space="0" w:color="auto"/>
            </w:tcBorders>
            <w:shd w:val="clear" w:color="auto" w:fill="auto"/>
            <w:noWrap/>
            <w:vAlign w:val="bottom"/>
            <w:hideMark/>
          </w:tcPr>
          <w:p w14:paraId="032295A1"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r>
      <w:tr w:rsidR="00601CE0" w:rsidRPr="008442CC" w14:paraId="189B6DCF"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19B5E644" w14:textId="77777777" w:rsidR="00765305" w:rsidRPr="008442CC" w:rsidRDefault="00765305" w:rsidP="00C810D9">
            <w:pPr>
              <w:spacing w:after="120"/>
              <w:ind w:left="-374" w:firstLine="374"/>
              <w:rPr>
                <w:rFonts w:ascii="Calibri" w:eastAsia="Times New Roman" w:hAnsi="Calibri" w:cs="Calibri"/>
                <w:sz w:val="20"/>
                <w:szCs w:val="20"/>
              </w:rPr>
            </w:pPr>
            <w:r w:rsidRPr="008442CC">
              <w:rPr>
                <w:rFonts w:ascii="Calibri" w:eastAsia="Times New Roman" w:hAnsi="Calibri" w:cs="Calibri"/>
                <w:sz w:val="20"/>
                <w:szCs w:val="20"/>
              </w:rPr>
              <w:t>More than 5 years</w:t>
            </w:r>
          </w:p>
        </w:tc>
        <w:tc>
          <w:tcPr>
            <w:tcW w:w="501" w:type="pct"/>
            <w:tcBorders>
              <w:top w:val="nil"/>
              <w:left w:val="nil"/>
              <w:bottom w:val="nil"/>
              <w:right w:val="nil"/>
            </w:tcBorders>
            <w:shd w:val="clear" w:color="auto" w:fill="auto"/>
            <w:noWrap/>
            <w:vAlign w:val="center"/>
            <w:hideMark/>
          </w:tcPr>
          <w:p w14:paraId="724F8CA0"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89</w:t>
            </w:r>
          </w:p>
        </w:tc>
        <w:tc>
          <w:tcPr>
            <w:tcW w:w="409" w:type="pct"/>
            <w:tcBorders>
              <w:top w:val="nil"/>
              <w:left w:val="nil"/>
              <w:bottom w:val="nil"/>
              <w:right w:val="nil"/>
            </w:tcBorders>
            <w:shd w:val="clear" w:color="auto" w:fill="auto"/>
            <w:noWrap/>
            <w:vAlign w:val="bottom"/>
            <w:hideMark/>
          </w:tcPr>
          <w:p w14:paraId="70D2D2BA"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5</w:t>
            </w:r>
          </w:p>
        </w:tc>
        <w:tc>
          <w:tcPr>
            <w:tcW w:w="596" w:type="pct"/>
            <w:tcBorders>
              <w:top w:val="nil"/>
              <w:left w:val="nil"/>
              <w:bottom w:val="nil"/>
              <w:right w:val="nil"/>
            </w:tcBorders>
            <w:shd w:val="clear" w:color="auto" w:fill="auto"/>
            <w:noWrap/>
            <w:vAlign w:val="bottom"/>
            <w:hideMark/>
          </w:tcPr>
          <w:p w14:paraId="62EB2C78"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4</w:t>
            </w:r>
          </w:p>
        </w:tc>
        <w:tc>
          <w:tcPr>
            <w:tcW w:w="625" w:type="pct"/>
            <w:tcBorders>
              <w:top w:val="nil"/>
              <w:left w:val="nil"/>
              <w:bottom w:val="nil"/>
              <w:right w:val="nil"/>
            </w:tcBorders>
            <w:shd w:val="clear" w:color="auto" w:fill="auto"/>
            <w:noWrap/>
            <w:vAlign w:val="bottom"/>
            <w:hideMark/>
          </w:tcPr>
          <w:p w14:paraId="7315DE05"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4</w:t>
            </w:r>
          </w:p>
        </w:tc>
        <w:tc>
          <w:tcPr>
            <w:tcW w:w="624" w:type="pct"/>
            <w:tcBorders>
              <w:top w:val="nil"/>
              <w:left w:val="nil"/>
              <w:bottom w:val="nil"/>
              <w:right w:val="single" w:sz="4" w:space="0" w:color="auto"/>
            </w:tcBorders>
            <w:shd w:val="clear" w:color="auto" w:fill="auto"/>
            <w:noWrap/>
            <w:vAlign w:val="bottom"/>
            <w:hideMark/>
          </w:tcPr>
          <w:p w14:paraId="28F34B45"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3</w:t>
            </w:r>
          </w:p>
        </w:tc>
      </w:tr>
      <w:tr w:rsidR="00601CE0" w:rsidRPr="008442CC" w14:paraId="3E39D5CE" w14:textId="77777777" w:rsidTr="00C810D9">
        <w:trPr>
          <w:trHeight w:val="20"/>
        </w:trPr>
        <w:tc>
          <w:tcPr>
            <w:tcW w:w="2244" w:type="pct"/>
            <w:tcBorders>
              <w:top w:val="nil"/>
              <w:left w:val="single" w:sz="4" w:space="0" w:color="auto"/>
              <w:bottom w:val="nil"/>
              <w:right w:val="nil"/>
            </w:tcBorders>
            <w:shd w:val="clear" w:color="000000" w:fill="E7E6E6"/>
            <w:noWrap/>
            <w:vAlign w:val="bottom"/>
            <w:hideMark/>
          </w:tcPr>
          <w:p w14:paraId="1DD06C94" w14:textId="77777777" w:rsidR="00765305" w:rsidRPr="008442CC" w:rsidRDefault="00765305" w:rsidP="00C810D9">
            <w:pPr>
              <w:ind w:left="-372" w:firstLine="372"/>
              <w:rPr>
                <w:rFonts w:ascii="Calibri" w:eastAsia="Times New Roman" w:hAnsi="Calibri" w:cs="Calibri"/>
                <w:b/>
                <w:bCs/>
                <w:sz w:val="20"/>
                <w:szCs w:val="20"/>
              </w:rPr>
            </w:pPr>
            <w:r w:rsidRPr="008442CC">
              <w:rPr>
                <w:rFonts w:ascii="Calibri" w:eastAsia="Times New Roman" w:hAnsi="Calibri" w:cs="Calibri"/>
                <w:b/>
                <w:bCs/>
                <w:sz w:val="20"/>
                <w:szCs w:val="20"/>
              </w:rPr>
              <w:t>5. How long do you intend to stay in the UK?</w:t>
            </w:r>
          </w:p>
        </w:tc>
        <w:tc>
          <w:tcPr>
            <w:tcW w:w="501" w:type="pct"/>
            <w:tcBorders>
              <w:top w:val="nil"/>
              <w:left w:val="nil"/>
              <w:bottom w:val="nil"/>
              <w:right w:val="nil"/>
            </w:tcBorders>
            <w:shd w:val="clear" w:color="000000" w:fill="E7E6E6"/>
            <w:noWrap/>
            <w:vAlign w:val="center"/>
            <w:hideMark/>
          </w:tcPr>
          <w:p w14:paraId="5FE21D17" w14:textId="77777777" w:rsidR="00765305" w:rsidRPr="008442CC" w:rsidRDefault="00765305" w:rsidP="00C810D9">
            <w:pPr>
              <w:ind w:left="-372" w:firstLine="372"/>
              <w:jc w:val="center"/>
              <w:rPr>
                <w:rFonts w:ascii="Calibri" w:eastAsia="Times New Roman" w:hAnsi="Calibri" w:cs="Calibri"/>
                <w:b/>
                <w:bCs/>
                <w:sz w:val="20"/>
                <w:szCs w:val="20"/>
              </w:rPr>
            </w:pPr>
          </w:p>
        </w:tc>
        <w:tc>
          <w:tcPr>
            <w:tcW w:w="409" w:type="pct"/>
            <w:tcBorders>
              <w:top w:val="nil"/>
              <w:left w:val="nil"/>
              <w:bottom w:val="nil"/>
              <w:right w:val="nil"/>
            </w:tcBorders>
            <w:shd w:val="clear" w:color="000000" w:fill="E7E6E6"/>
            <w:noWrap/>
            <w:vAlign w:val="bottom"/>
            <w:hideMark/>
          </w:tcPr>
          <w:p w14:paraId="0082E575" w14:textId="77777777" w:rsidR="00765305" w:rsidRPr="008442CC" w:rsidRDefault="00765305" w:rsidP="00C810D9">
            <w:pPr>
              <w:ind w:left="-372" w:firstLine="372"/>
              <w:jc w:val="center"/>
              <w:rPr>
                <w:rFonts w:ascii="Calibri" w:eastAsia="Times New Roman" w:hAnsi="Calibri" w:cs="Calibri"/>
                <w:b/>
                <w:bCs/>
                <w:sz w:val="20"/>
                <w:szCs w:val="20"/>
              </w:rPr>
            </w:pPr>
          </w:p>
        </w:tc>
        <w:tc>
          <w:tcPr>
            <w:tcW w:w="596" w:type="pct"/>
            <w:tcBorders>
              <w:top w:val="nil"/>
              <w:left w:val="nil"/>
              <w:bottom w:val="nil"/>
              <w:right w:val="nil"/>
            </w:tcBorders>
            <w:shd w:val="clear" w:color="000000" w:fill="E7E6E6"/>
            <w:noWrap/>
            <w:vAlign w:val="bottom"/>
            <w:hideMark/>
          </w:tcPr>
          <w:p w14:paraId="38A974C6" w14:textId="77777777" w:rsidR="00765305" w:rsidRPr="008442CC" w:rsidRDefault="00765305" w:rsidP="00C810D9">
            <w:pPr>
              <w:ind w:left="-372" w:firstLine="372"/>
              <w:jc w:val="center"/>
              <w:rPr>
                <w:rFonts w:ascii="Calibri" w:eastAsia="Times New Roman" w:hAnsi="Calibri" w:cs="Calibri"/>
                <w:b/>
                <w:bCs/>
                <w:sz w:val="20"/>
                <w:szCs w:val="20"/>
              </w:rPr>
            </w:pPr>
          </w:p>
        </w:tc>
        <w:tc>
          <w:tcPr>
            <w:tcW w:w="625" w:type="pct"/>
            <w:tcBorders>
              <w:top w:val="nil"/>
              <w:left w:val="nil"/>
              <w:bottom w:val="nil"/>
              <w:right w:val="nil"/>
            </w:tcBorders>
            <w:shd w:val="clear" w:color="000000" w:fill="E7E6E6"/>
            <w:noWrap/>
            <w:vAlign w:val="bottom"/>
            <w:hideMark/>
          </w:tcPr>
          <w:p w14:paraId="57F19D68" w14:textId="77777777" w:rsidR="00765305" w:rsidRPr="008442CC" w:rsidRDefault="00765305" w:rsidP="00C810D9">
            <w:pPr>
              <w:ind w:left="-372" w:firstLine="372"/>
              <w:jc w:val="center"/>
              <w:rPr>
                <w:rFonts w:ascii="Calibri" w:eastAsia="Times New Roman" w:hAnsi="Calibri" w:cs="Calibri"/>
                <w:b/>
                <w:bCs/>
                <w:sz w:val="20"/>
                <w:szCs w:val="20"/>
              </w:rPr>
            </w:pPr>
          </w:p>
        </w:tc>
        <w:tc>
          <w:tcPr>
            <w:tcW w:w="624" w:type="pct"/>
            <w:tcBorders>
              <w:top w:val="nil"/>
              <w:left w:val="nil"/>
              <w:bottom w:val="nil"/>
              <w:right w:val="single" w:sz="4" w:space="0" w:color="auto"/>
            </w:tcBorders>
            <w:shd w:val="clear" w:color="000000" w:fill="E7E6E6"/>
            <w:noWrap/>
            <w:vAlign w:val="bottom"/>
            <w:hideMark/>
          </w:tcPr>
          <w:p w14:paraId="6B307D0A" w14:textId="77777777" w:rsidR="00765305" w:rsidRPr="008442CC" w:rsidRDefault="00765305" w:rsidP="00C810D9">
            <w:pPr>
              <w:ind w:left="-372" w:firstLine="372"/>
              <w:jc w:val="center"/>
              <w:rPr>
                <w:rFonts w:ascii="Calibri" w:eastAsia="Times New Roman" w:hAnsi="Calibri" w:cs="Calibri"/>
                <w:b/>
                <w:bCs/>
                <w:sz w:val="20"/>
                <w:szCs w:val="20"/>
              </w:rPr>
            </w:pPr>
          </w:p>
        </w:tc>
      </w:tr>
      <w:tr w:rsidR="00601CE0" w:rsidRPr="008442CC" w14:paraId="095DCEDA"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4BCC0C56"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Less than 3 months</w:t>
            </w:r>
          </w:p>
        </w:tc>
        <w:tc>
          <w:tcPr>
            <w:tcW w:w="501" w:type="pct"/>
            <w:tcBorders>
              <w:top w:val="nil"/>
              <w:left w:val="nil"/>
              <w:bottom w:val="nil"/>
              <w:right w:val="nil"/>
            </w:tcBorders>
            <w:shd w:val="clear" w:color="auto" w:fill="auto"/>
            <w:noWrap/>
            <w:vAlign w:val="center"/>
            <w:hideMark/>
          </w:tcPr>
          <w:p w14:paraId="6E022A89"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c>
          <w:tcPr>
            <w:tcW w:w="409" w:type="pct"/>
            <w:tcBorders>
              <w:top w:val="nil"/>
              <w:left w:val="nil"/>
              <w:bottom w:val="nil"/>
              <w:right w:val="nil"/>
            </w:tcBorders>
            <w:shd w:val="clear" w:color="auto" w:fill="auto"/>
            <w:noWrap/>
            <w:vAlign w:val="bottom"/>
            <w:hideMark/>
          </w:tcPr>
          <w:p w14:paraId="6426CE2A"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2</w:t>
            </w:r>
          </w:p>
        </w:tc>
        <w:tc>
          <w:tcPr>
            <w:tcW w:w="596" w:type="pct"/>
            <w:tcBorders>
              <w:top w:val="nil"/>
              <w:left w:val="nil"/>
              <w:bottom w:val="nil"/>
              <w:right w:val="nil"/>
            </w:tcBorders>
            <w:shd w:val="clear" w:color="auto" w:fill="auto"/>
            <w:noWrap/>
            <w:vAlign w:val="bottom"/>
            <w:hideMark/>
          </w:tcPr>
          <w:p w14:paraId="3FC01FF6" w14:textId="77777777" w:rsidR="00765305" w:rsidRPr="008442CC" w:rsidRDefault="00765305" w:rsidP="00C810D9">
            <w:pPr>
              <w:ind w:left="-372" w:firstLine="372"/>
              <w:jc w:val="center"/>
              <w:rPr>
                <w:rFonts w:ascii="Calibri" w:eastAsia="Times New Roman" w:hAnsi="Calibri" w:cs="Calibri"/>
                <w:sz w:val="20"/>
                <w:szCs w:val="20"/>
              </w:rPr>
            </w:pPr>
          </w:p>
        </w:tc>
        <w:tc>
          <w:tcPr>
            <w:tcW w:w="625" w:type="pct"/>
            <w:tcBorders>
              <w:top w:val="nil"/>
              <w:left w:val="nil"/>
              <w:bottom w:val="nil"/>
              <w:right w:val="nil"/>
            </w:tcBorders>
            <w:shd w:val="clear" w:color="auto" w:fill="auto"/>
            <w:noWrap/>
            <w:vAlign w:val="bottom"/>
            <w:hideMark/>
          </w:tcPr>
          <w:p w14:paraId="48970020"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4" w:type="pct"/>
            <w:tcBorders>
              <w:top w:val="nil"/>
              <w:left w:val="nil"/>
              <w:bottom w:val="nil"/>
              <w:right w:val="single" w:sz="4" w:space="0" w:color="auto"/>
            </w:tcBorders>
            <w:shd w:val="clear" w:color="auto" w:fill="auto"/>
            <w:noWrap/>
            <w:vAlign w:val="bottom"/>
            <w:hideMark/>
          </w:tcPr>
          <w:p w14:paraId="63ECAAB5"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 </w:t>
            </w:r>
          </w:p>
        </w:tc>
      </w:tr>
      <w:tr w:rsidR="00601CE0" w:rsidRPr="008442CC" w14:paraId="1782C0DA"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6ED546A7"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Between 3 months and 6 months</w:t>
            </w:r>
          </w:p>
        </w:tc>
        <w:tc>
          <w:tcPr>
            <w:tcW w:w="501" w:type="pct"/>
            <w:tcBorders>
              <w:top w:val="nil"/>
              <w:left w:val="nil"/>
              <w:bottom w:val="nil"/>
              <w:right w:val="nil"/>
            </w:tcBorders>
            <w:shd w:val="clear" w:color="auto" w:fill="auto"/>
            <w:noWrap/>
            <w:vAlign w:val="center"/>
            <w:hideMark/>
          </w:tcPr>
          <w:p w14:paraId="07045D1F"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3</w:t>
            </w:r>
          </w:p>
        </w:tc>
        <w:tc>
          <w:tcPr>
            <w:tcW w:w="409" w:type="pct"/>
            <w:tcBorders>
              <w:top w:val="nil"/>
              <w:left w:val="nil"/>
              <w:bottom w:val="nil"/>
              <w:right w:val="nil"/>
            </w:tcBorders>
            <w:shd w:val="clear" w:color="auto" w:fill="auto"/>
            <w:noWrap/>
            <w:vAlign w:val="bottom"/>
            <w:hideMark/>
          </w:tcPr>
          <w:p w14:paraId="4D7529D4" w14:textId="77777777" w:rsidR="00765305" w:rsidRPr="008442CC" w:rsidRDefault="00765305" w:rsidP="00C810D9">
            <w:pPr>
              <w:ind w:left="-372" w:firstLine="372"/>
              <w:jc w:val="right"/>
              <w:rPr>
                <w:rFonts w:ascii="Calibri" w:eastAsia="Times New Roman" w:hAnsi="Calibri" w:cs="Calibri"/>
                <w:sz w:val="20"/>
                <w:szCs w:val="20"/>
              </w:rPr>
            </w:pPr>
          </w:p>
        </w:tc>
        <w:tc>
          <w:tcPr>
            <w:tcW w:w="596" w:type="pct"/>
            <w:tcBorders>
              <w:top w:val="nil"/>
              <w:left w:val="nil"/>
              <w:bottom w:val="nil"/>
              <w:right w:val="nil"/>
            </w:tcBorders>
            <w:shd w:val="clear" w:color="auto" w:fill="auto"/>
            <w:noWrap/>
            <w:vAlign w:val="bottom"/>
            <w:hideMark/>
          </w:tcPr>
          <w:p w14:paraId="22D2935E"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5" w:type="pct"/>
            <w:tcBorders>
              <w:top w:val="nil"/>
              <w:left w:val="nil"/>
              <w:bottom w:val="nil"/>
              <w:right w:val="nil"/>
            </w:tcBorders>
            <w:shd w:val="clear" w:color="auto" w:fill="auto"/>
            <w:noWrap/>
            <w:vAlign w:val="bottom"/>
            <w:hideMark/>
          </w:tcPr>
          <w:p w14:paraId="036C3F77"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4" w:type="pct"/>
            <w:tcBorders>
              <w:top w:val="nil"/>
              <w:left w:val="nil"/>
              <w:bottom w:val="nil"/>
              <w:right w:val="single" w:sz="4" w:space="0" w:color="auto"/>
            </w:tcBorders>
            <w:shd w:val="clear" w:color="auto" w:fill="auto"/>
            <w:noWrap/>
            <w:vAlign w:val="bottom"/>
            <w:hideMark/>
          </w:tcPr>
          <w:p w14:paraId="6ACB6230"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 </w:t>
            </w:r>
          </w:p>
        </w:tc>
      </w:tr>
      <w:tr w:rsidR="00601CE0" w:rsidRPr="008442CC" w14:paraId="0012494B"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0E2D36F4"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Between 6 months and 1 year</w:t>
            </w:r>
          </w:p>
        </w:tc>
        <w:tc>
          <w:tcPr>
            <w:tcW w:w="501" w:type="pct"/>
            <w:tcBorders>
              <w:top w:val="nil"/>
              <w:left w:val="nil"/>
              <w:bottom w:val="nil"/>
              <w:right w:val="nil"/>
            </w:tcBorders>
            <w:shd w:val="clear" w:color="auto" w:fill="auto"/>
            <w:noWrap/>
            <w:vAlign w:val="center"/>
            <w:hideMark/>
          </w:tcPr>
          <w:p w14:paraId="77A1D440"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c>
          <w:tcPr>
            <w:tcW w:w="409" w:type="pct"/>
            <w:tcBorders>
              <w:top w:val="nil"/>
              <w:left w:val="nil"/>
              <w:bottom w:val="nil"/>
              <w:right w:val="nil"/>
            </w:tcBorders>
            <w:shd w:val="clear" w:color="auto" w:fill="auto"/>
            <w:noWrap/>
            <w:vAlign w:val="bottom"/>
            <w:hideMark/>
          </w:tcPr>
          <w:p w14:paraId="1658A280" w14:textId="77777777" w:rsidR="00765305" w:rsidRPr="008442CC" w:rsidRDefault="00765305" w:rsidP="00C810D9">
            <w:pPr>
              <w:ind w:left="-372" w:firstLine="372"/>
              <w:jc w:val="right"/>
              <w:rPr>
                <w:rFonts w:ascii="Calibri" w:eastAsia="Times New Roman" w:hAnsi="Calibri" w:cs="Calibri"/>
                <w:sz w:val="20"/>
                <w:szCs w:val="20"/>
              </w:rPr>
            </w:pPr>
          </w:p>
        </w:tc>
        <w:tc>
          <w:tcPr>
            <w:tcW w:w="596" w:type="pct"/>
            <w:tcBorders>
              <w:top w:val="nil"/>
              <w:left w:val="nil"/>
              <w:bottom w:val="nil"/>
              <w:right w:val="nil"/>
            </w:tcBorders>
            <w:shd w:val="clear" w:color="auto" w:fill="auto"/>
            <w:noWrap/>
            <w:vAlign w:val="bottom"/>
            <w:hideMark/>
          </w:tcPr>
          <w:p w14:paraId="615EB6BB"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5" w:type="pct"/>
            <w:tcBorders>
              <w:top w:val="nil"/>
              <w:left w:val="nil"/>
              <w:bottom w:val="nil"/>
              <w:right w:val="nil"/>
            </w:tcBorders>
            <w:shd w:val="clear" w:color="auto" w:fill="auto"/>
            <w:noWrap/>
            <w:vAlign w:val="bottom"/>
            <w:hideMark/>
          </w:tcPr>
          <w:p w14:paraId="0995008C"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4" w:type="pct"/>
            <w:tcBorders>
              <w:top w:val="nil"/>
              <w:left w:val="nil"/>
              <w:bottom w:val="nil"/>
              <w:right w:val="single" w:sz="4" w:space="0" w:color="auto"/>
            </w:tcBorders>
            <w:shd w:val="clear" w:color="auto" w:fill="auto"/>
            <w:noWrap/>
            <w:vAlign w:val="bottom"/>
            <w:hideMark/>
          </w:tcPr>
          <w:p w14:paraId="3442C1D1"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 </w:t>
            </w:r>
          </w:p>
        </w:tc>
      </w:tr>
      <w:tr w:rsidR="00601CE0" w:rsidRPr="008442CC" w14:paraId="09AB7942"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589277F8"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Between 1 year and 3 years</w:t>
            </w:r>
          </w:p>
        </w:tc>
        <w:tc>
          <w:tcPr>
            <w:tcW w:w="501" w:type="pct"/>
            <w:tcBorders>
              <w:top w:val="nil"/>
              <w:left w:val="nil"/>
              <w:bottom w:val="nil"/>
              <w:right w:val="nil"/>
            </w:tcBorders>
            <w:shd w:val="clear" w:color="auto" w:fill="auto"/>
            <w:noWrap/>
            <w:vAlign w:val="center"/>
            <w:hideMark/>
          </w:tcPr>
          <w:p w14:paraId="06114801"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10</w:t>
            </w:r>
          </w:p>
        </w:tc>
        <w:tc>
          <w:tcPr>
            <w:tcW w:w="409" w:type="pct"/>
            <w:tcBorders>
              <w:top w:val="nil"/>
              <w:left w:val="nil"/>
              <w:bottom w:val="nil"/>
              <w:right w:val="nil"/>
            </w:tcBorders>
            <w:shd w:val="clear" w:color="auto" w:fill="auto"/>
            <w:noWrap/>
            <w:vAlign w:val="bottom"/>
            <w:hideMark/>
          </w:tcPr>
          <w:p w14:paraId="6004067C" w14:textId="77777777" w:rsidR="00765305" w:rsidRPr="008442CC" w:rsidRDefault="00765305" w:rsidP="00C810D9">
            <w:pPr>
              <w:ind w:left="-372" w:firstLine="372"/>
              <w:jc w:val="right"/>
              <w:rPr>
                <w:rFonts w:ascii="Calibri" w:eastAsia="Times New Roman" w:hAnsi="Calibri" w:cs="Calibri"/>
                <w:sz w:val="20"/>
                <w:szCs w:val="20"/>
              </w:rPr>
            </w:pPr>
          </w:p>
        </w:tc>
        <w:tc>
          <w:tcPr>
            <w:tcW w:w="596" w:type="pct"/>
            <w:tcBorders>
              <w:top w:val="nil"/>
              <w:left w:val="nil"/>
              <w:bottom w:val="nil"/>
              <w:right w:val="nil"/>
            </w:tcBorders>
            <w:shd w:val="clear" w:color="auto" w:fill="auto"/>
            <w:noWrap/>
            <w:vAlign w:val="bottom"/>
            <w:hideMark/>
          </w:tcPr>
          <w:p w14:paraId="15799EC3"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3</w:t>
            </w:r>
          </w:p>
        </w:tc>
        <w:tc>
          <w:tcPr>
            <w:tcW w:w="625" w:type="pct"/>
            <w:tcBorders>
              <w:top w:val="nil"/>
              <w:left w:val="nil"/>
              <w:bottom w:val="nil"/>
              <w:right w:val="nil"/>
            </w:tcBorders>
            <w:shd w:val="clear" w:color="auto" w:fill="auto"/>
            <w:noWrap/>
            <w:vAlign w:val="bottom"/>
            <w:hideMark/>
          </w:tcPr>
          <w:p w14:paraId="75CC5EE7" w14:textId="77777777" w:rsidR="00765305" w:rsidRPr="008442CC" w:rsidRDefault="00765305" w:rsidP="00C810D9">
            <w:pPr>
              <w:ind w:left="-372" w:firstLine="372"/>
              <w:jc w:val="center"/>
              <w:rPr>
                <w:rFonts w:ascii="Calibri" w:eastAsia="Times New Roman" w:hAnsi="Calibri" w:cs="Calibri"/>
                <w:sz w:val="20"/>
                <w:szCs w:val="20"/>
              </w:rPr>
            </w:pPr>
          </w:p>
        </w:tc>
        <w:tc>
          <w:tcPr>
            <w:tcW w:w="624" w:type="pct"/>
            <w:tcBorders>
              <w:top w:val="nil"/>
              <w:left w:val="nil"/>
              <w:bottom w:val="nil"/>
              <w:right w:val="single" w:sz="4" w:space="0" w:color="auto"/>
            </w:tcBorders>
            <w:shd w:val="clear" w:color="auto" w:fill="auto"/>
            <w:noWrap/>
            <w:vAlign w:val="bottom"/>
            <w:hideMark/>
          </w:tcPr>
          <w:p w14:paraId="3C61A95F"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 </w:t>
            </w:r>
          </w:p>
        </w:tc>
      </w:tr>
      <w:tr w:rsidR="00601CE0" w:rsidRPr="008442CC" w14:paraId="715B27F0"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125780FE"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Between 3 years and 5 years</w:t>
            </w:r>
          </w:p>
        </w:tc>
        <w:tc>
          <w:tcPr>
            <w:tcW w:w="501" w:type="pct"/>
            <w:tcBorders>
              <w:top w:val="nil"/>
              <w:left w:val="nil"/>
              <w:bottom w:val="nil"/>
              <w:right w:val="nil"/>
            </w:tcBorders>
            <w:shd w:val="clear" w:color="auto" w:fill="auto"/>
            <w:noWrap/>
            <w:vAlign w:val="center"/>
            <w:hideMark/>
          </w:tcPr>
          <w:p w14:paraId="41FC4399"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14</w:t>
            </w:r>
          </w:p>
        </w:tc>
        <w:tc>
          <w:tcPr>
            <w:tcW w:w="409" w:type="pct"/>
            <w:tcBorders>
              <w:top w:val="nil"/>
              <w:left w:val="nil"/>
              <w:bottom w:val="nil"/>
              <w:right w:val="nil"/>
            </w:tcBorders>
            <w:shd w:val="clear" w:color="auto" w:fill="auto"/>
            <w:noWrap/>
            <w:vAlign w:val="bottom"/>
            <w:hideMark/>
          </w:tcPr>
          <w:p w14:paraId="05BA2EAF"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2</w:t>
            </w:r>
          </w:p>
        </w:tc>
        <w:tc>
          <w:tcPr>
            <w:tcW w:w="596" w:type="pct"/>
            <w:tcBorders>
              <w:top w:val="nil"/>
              <w:left w:val="nil"/>
              <w:bottom w:val="nil"/>
              <w:right w:val="nil"/>
            </w:tcBorders>
            <w:shd w:val="clear" w:color="auto" w:fill="auto"/>
            <w:noWrap/>
            <w:vAlign w:val="bottom"/>
            <w:hideMark/>
          </w:tcPr>
          <w:p w14:paraId="529DAAD7" w14:textId="77777777" w:rsidR="00765305" w:rsidRPr="008442CC" w:rsidRDefault="00765305" w:rsidP="00C810D9">
            <w:pPr>
              <w:ind w:left="-372" w:firstLine="372"/>
              <w:jc w:val="center"/>
              <w:rPr>
                <w:rFonts w:ascii="Calibri" w:eastAsia="Times New Roman" w:hAnsi="Calibri" w:cs="Calibri"/>
                <w:sz w:val="20"/>
                <w:szCs w:val="20"/>
              </w:rPr>
            </w:pPr>
          </w:p>
        </w:tc>
        <w:tc>
          <w:tcPr>
            <w:tcW w:w="625" w:type="pct"/>
            <w:tcBorders>
              <w:top w:val="nil"/>
              <w:left w:val="nil"/>
              <w:bottom w:val="nil"/>
              <w:right w:val="nil"/>
            </w:tcBorders>
            <w:shd w:val="clear" w:color="auto" w:fill="auto"/>
            <w:noWrap/>
            <w:vAlign w:val="bottom"/>
            <w:hideMark/>
          </w:tcPr>
          <w:p w14:paraId="05AFEDF3"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4" w:type="pct"/>
            <w:tcBorders>
              <w:top w:val="nil"/>
              <w:left w:val="nil"/>
              <w:bottom w:val="nil"/>
              <w:right w:val="single" w:sz="4" w:space="0" w:color="auto"/>
            </w:tcBorders>
            <w:shd w:val="clear" w:color="auto" w:fill="auto"/>
            <w:noWrap/>
            <w:vAlign w:val="bottom"/>
            <w:hideMark/>
          </w:tcPr>
          <w:p w14:paraId="49482FB6"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 </w:t>
            </w:r>
          </w:p>
        </w:tc>
      </w:tr>
      <w:tr w:rsidR="00601CE0" w:rsidRPr="008442CC" w14:paraId="310AEDB7"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511825B0"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More than 5 years</w:t>
            </w:r>
          </w:p>
        </w:tc>
        <w:tc>
          <w:tcPr>
            <w:tcW w:w="501" w:type="pct"/>
            <w:tcBorders>
              <w:top w:val="nil"/>
              <w:left w:val="nil"/>
              <w:bottom w:val="nil"/>
              <w:right w:val="nil"/>
            </w:tcBorders>
            <w:shd w:val="clear" w:color="auto" w:fill="auto"/>
            <w:noWrap/>
            <w:vAlign w:val="center"/>
            <w:hideMark/>
          </w:tcPr>
          <w:p w14:paraId="266AA263"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83</w:t>
            </w:r>
          </w:p>
        </w:tc>
        <w:tc>
          <w:tcPr>
            <w:tcW w:w="409" w:type="pct"/>
            <w:tcBorders>
              <w:top w:val="nil"/>
              <w:left w:val="nil"/>
              <w:bottom w:val="nil"/>
              <w:right w:val="nil"/>
            </w:tcBorders>
            <w:shd w:val="clear" w:color="auto" w:fill="auto"/>
            <w:noWrap/>
            <w:vAlign w:val="bottom"/>
            <w:hideMark/>
          </w:tcPr>
          <w:p w14:paraId="63E47473"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4</w:t>
            </w:r>
          </w:p>
        </w:tc>
        <w:tc>
          <w:tcPr>
            <w:tcW w:w="596" w:type="pct"/>
            <w:tcBorders>
              <w:top w:val="nil"/>
              <w:left w:val="nil"/>
              <w:bottom w:val="nil"/>
              <w:right w:val="nil"/>
            </w:tcBorders>
            <w:shd w:val="clear" w:color="auto" w:fill="auto"/>
            <w:noWrap/>
            <w:vAlign w:val="bottom"/>
            <w:hideMark/>
          </w:tcPr>
          <w:p w14:paraId="4E543A5D" w14:textId="77777777" w:rsidR="00765305" w:rsidRPr="008442CC" w:rsidRDefault="00765305" w:rsidP="00C810D9">
            <w:pPr>
              <w:ind w:left="-372" w:firstLine="372"/>
              <w:jc w:val="center"/>
              <w:rPr>
                <w:rFonts w:ascii="Calibri" w:eastAsia="Times New Roman" w:hAnsi="Calibri" w:cs="Calibri"/>
                <w:sz w:val="20"/>
                <w:szCs w:val="20"/>
              </w:rPr>
            </w:pPr>
          </w:p>
        </w:tc>
        <w:tc>
          <w:tcPr>
            <w:tcW w:w="625" w:type="pct"/>
            <w:tcBorders>
              <w:top w:val="nil"/>
              <w:left w:val="nil"/>
              <w:bottom w:val="nil"/>
              <w:right w:val="nil"/>
            </w:tcBorders>
            <w:shd w:val="clear" w:color="auto" w:fill="auto"/>
            <w:noWrap/>
            <w:vAlign w:val="bottom"/>
            <w:hideMark/>
          </w:tcPr>
          <w:p w14:paraId="104FF2C8"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4" w:type="pct"/>
            <w:tcBorders>
              <w:top w:val="nil"/>
              <w:left w:val="nil"/>
              <w:bottom w:val="nil"/>
              <w:right w:val="single" w:sz="4" w:space="0" w:color="auto"/>
            </w:tcBorders>
            <w:shd w:val="clear" w:color="auto" w:fill="auto"/>
            <w:noWrap/>
            <w:vAlign w:val="bottom"/>
            <w:hideMark/>
          </w:tcPr>
          <w:p w14:paraId="662192D5"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4</w:t>
            </w:r>
          </w:p>
        </w:tc>
      </w:tr>
      <w:tr w:rsidR="00601CE0" w:rsidRPr="008442CC" w14:paraId="1FB160B4"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0B4E5462"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I don't know</w:t>
            </w:r>
          </w:p>
        </w:tc>
        <w:tc>
          <w:tcPr>
            <w:tcW w:w="501" w:type="pct"/>
            <w:tcBorders>
              <w:top w:val="nil"/>
              <w:left w:val="nil"/>
              <w:bottom w:val="nil"/>
              <w:right w:val="nil"/>
            </w:tcBorders>
            <w:shd w:val="clear" w:color="auto" w:fill="auto"/>
            <w:noWrap/>
            <w:vAlign w:val="center"/>
            <w:hideMark/>
          </w:tcPr>
          <w:p w14:paraId="5707F157" w14:textId="77777777" w:rsidR="00765305" w:rsidRPr="008442CC" w:rsidRDefault="00765305" w:rsidP="00C810D9">
            <w:pPr>
              <w:ind w:left="-372" w:firstLine="372"/>
              <w:jc w:val="center"/>
              <w:rPr>
                <w:rFonts w:ascii="Calibri" w:eastAsia="Times New Roman" w:hAnsi="Calibri" w:cs="Calibri"/>
                <w:sz w:val="20"/>
                <w:szCs w:val="20"/>
              </w:rPr>
            </w:pPr>
          </w:p>
        </w:tc>
        <w:tc>
          <w:tcPr>
            <w:tcW w:w="409" w:type="pct"/>
            <w:tcBorders>
              <w:top w:val="nil"/>
              <w:left w:val="nil"/>
              <w:bottom w:val="nil"/>
              <w:right w:val="nil"/>
            </w:tcBorders>
            <w:shd w:val="clear" w:color="auto" w:fill="auto"/>
            <w:noWrap/>
            <w:vAlign w:val="bottom"/>
            <w:hideMark/>
          </w:tcPr>
          <w:p w14:paraId="66C28A38" w14:textId="77777777" w:rsidR="00765305" w:rsidRPr="008442CC" w:rsidRDefault="00765305" w:rsidP="00C810D9">
            <w:pPr>
              <w:ind w:left="-372" w:firstLine="372"/>
              <w:rPr>
                <w:rFonts w:ascii="Times New Roman" w:eastAsia="Times New Roman" w:hAnsi="Times New Roman" w:cs="Times New Roman"/>
                <w:sz w:val="20"/>
                <w:szCs w:val="20"/>
              </w:rPr>
            </w:pPr>
          </w:p>
        </w:tc>
        <w:tc>
          <w:tcPr>
            <w:tcW w:w="596" w:type="pct"/>
            <w:tcBorders>
              <w:top w:val="nil"/>
              <w:left w:val="nil"/>
              <w:bottom w:val="nil"/>
              <w:right w:val="nil"/>
            </w:tcBorders>
            <w:shd w:val="clear" w:color="auto" w:fill="auto"/>
            <w:noWrap/>
            <w:vAlign w:val="bottom"/>
            <w:hideMark/>
          </w:tcPr>
          <w:p w14:paraId="503D6A99"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c>
          <w:tcPr>
            <w:tcW w:w="625" w:type="pct"/>
            <w:tcBorders>
              <w:top w:val="nil"/>
              <w:left w:val="nil"/>
              <w:bottom w:val="nil"/>
              <w:right w:val="nil"/>
            </w:tcBorders>
            <w:shd w:val="clear" w:color="auto" w:fill="auto"/>
            <w:noWrap/>
            <w:vAlign w:val="bottom"/>
            <w:hideMark/>
          </w:tcPr>
          <w:p w14:paraId="5F2F4AC5"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3</w:t>
            </w:r>
          </w:p>
        </w:tc>
        <w:tc>
          <w:tcPr>
            <w:tcW w:w="624" w:type="pct"/>
            <w:tcBorders>
              <w:top w:val="nil"/>
              <w:left w:val="nil"/>
              <w:bottom w:val="nil"/>
              <w:right w:val="single" w:sz="4" w:space="0" w:color="auto"/>
            </w:tcBorders>
            <w:shd w:val="clear" w:color="auto" w:fill="auto"/>
            <w:noWrap/>
            <w:vAlign w:val="bottom"/>
            <w:hideMark/>
          </w:tcPr>
          <w:p w14:paraId="34544394"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 </w:t>
            </w:r>
          </w:p>
        </w:tc>
      </w:tr>
      <w:tr w:rsidR="00601CE0" w:rsidRPr="008442CC" w14:paraId="0C86867D"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72D7AE5B" w14:textId="77777777" w:rsidR="00765305" w:rsidRPr="008442CC" w:rsidRDefault="00765305" w:rsidP="00C810D9">
            <w:pPr>
              <w:spacing w:after="120"/>
              <w:ind w:left="-374" w:firstLine="374"/>
              <w:rPr>
                <w:rFonts w:ascii="Calibri" w:eastAsia="Times New Roman" w:hAnsi="Calibri" w:cs="Calibri"/>
                <w:sz w:val="20"/>
                <w:szCs w:val="20"/>
              </w:rPr>
            </w:pPr>
            <w:r w:rsidRPr="008442CC">
              <w:rPr>
                <w:rFonts w:ascii="Calibri" w:eastAsia="Times New Roman" w:hAnsi="Calibri" w:cs="Calibri"/>
                <w:sz w:val="20"/>
                <w:szCs w:val="20"/>
              </w:rPr>
              <w:t>Prefer not to say</w:t>
            </w:r>
          </w:p>
        </w:tc>
        <w:tc>
          <w:tcPr>
            <w:tcW w:w="501" w:type="pct"/>
            <w:tcBorders>
              <w:top w:val="nil"/>
              <w:left w:val="nil"/>
              <w:bottom w:val="nil"/>
              <w:right w:val="nil"/>
            </w:tcBorders>
            <w:shd w:val="clear" w:color="auto" w:fill="auto"/>
            <w:noWrap/>
            <w:vAlign w:val="center"/>
            <w:hideMark/>
          </w:tcPr>
          <w:p w14:paraId="5748D883"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2</w:t>
            </w:r>
          </w:p>
        </w:tc>
        <w:tc>
          <w:tcPr>
            <w:tcW w:w="409" w:type="pct"/>
            <w:tcBorders>
              <w:top w:val="nil"/>
              <w:left w:val="nil"/>
              <w:bottom w:val="nil"/>
              <w:right w:val="nil"/>
            </w:tcBorders>
            <w:shd w:val="clear" w:color="auto" w:fill="auto"/>
            <w:noWrap/>
            <w:vAlign w:val="bottom"/>
            <w:hideMark/>
          </w:tcPr>
          <w:p w14:paraId="20A6F262"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c>
          <w:tcPr>
            <w:tcW w:w="596" w:type="pct"/>
            <w:tcBorders>
              <w:top w:val="nil"/>
              <w:left w:val="nil"/>
              <w:bottom w:val="nil"/>
              <w:right w:val="nil"/>
            </w:tcBorders>
            <w:shd w:val="clear" w:color="auto" w:fill="auto"/>
            <w:noWrap/>
            <w:vAlign w:val="bottom"/>
            <w:hideMark/>
          </w:tcPr>
          <w:p w14:paraId="3FAD5672" w14:textId="77777777" w:rsidR="00765305" w:rsidRPr="008442CC" w:rsidRDefault="00765305" w:rsidP="00C810D9">
            <w:pPr>
              <w:ind w:left="-372" w:firstLine="372"/>
              <w:jc w:val="center"/>
              <w:rPr>
                <w:rFonts w:ascii="Calibri" w:eastAsia="Times New Roman" w:hAnsi="Calibri" w:cs="Calibri"/>
                <w:sz w:val="20"/>
                <w:szCs w:val="20"/>
              </w:rPr>
            </w:pPr>
          </w:p>
        </w:tc>
        <w:tc>
          <w:tcPr>
            <w:tcW w:w="625" w:type="pct"/>
            <w:tcBorders>
              <w:top w:val="nil"/>
              <w:left w:val="nil"/>
              <w:bottom w:val="nil"/>
              <w:right w:val="nil"/>
            </w:tcBorders>
            <w:shd w:val="clear" w:color="auto" w:fill="auto"/>
            <w:noWrap/>
            <w:vAlign w:val="bottom"/>
            <w:hideMark/>
          </w:tcPr>
          <w:p w14:paraId="77DA19C5"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c>
          <w:tcPr>
            <w:tcW w:w="624" w:type="pct"/>
            <w:tcBorders>
              <w:top w:val="nil"/>
              <w:left w:val="nil"/>
              <w:bottom w:val="nil"/>
              <w:right w:val="single" w:sz="4" w:space="0" w:color="auto"/>
            </w:tcBorders>
            <w:shd w:val="clear" w:color="auto" w:fill="auto"/>
            <w:noWrap/>
            <w:vAlign w:val="bottom"/>
            <w:hideMark/>
          </w:tcPr>
          <w:p w14:paraId="051B89EA"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r>
      <w:tr w:rsidR="00601CE0" w:rsidRPr="008442CC" w14:paraId="44F97365" w14:textId="77777777" w:rsidTr="00C810D9">
        <w:trPr>
          <w:trHeight w:val="20"/>
        </w:trPr>
        <w:tc>
          <w:tcPr>
            <w:tcW w:w="2244" w:type="pct"/>
            <w:tcBorders>
              <w:top w:val="nil"/>
              <w:left w:val="single" w:sz="4" w:space="0" w:color="auto"/>
              <w:bottom w:val="nil"/>
              <w:right w:val="nil"/>
            </w:tcBorders>
            <w:shd w:val="clear" w:color="000000" w:fill="E7E6E6"/>
            <w:vAlign w:val="center"/>
            <w:hideMark/>
          </w:tcPr>
          <w:p w14:paraId="1FE230E5" w14:textId="77777777" w:rsidR="00765305" w:rsidRPr="008442CC" w:rsidRDefault="00765305" w:rsidP="00C810D9">
            <w:pPr>
              <w:rPr>
                <w:rFonts w:ascii="Calibri" w:eastAsia="Times New Roman" w:hAnsi="Calibri" w:cs="Calibri"/>
                <w:b/>
                <w:bCs/>
                <w:sz w:val="20"/>
                <w:szCs w:val="20"/>
              </w:rPr>
            </w:pPr>
            <w:r w:rsidRPr="008442CC">
              <w:rPr>
                <w:rFonts w:ascii="Calibri" w:eastAsia="Times New Roman" w:hAnsi="Calibri" w:cs="Calibri"/>
                <w:b/>
                <w:bCs/>
                <w:sz w:val="20"/>
                <w:szCs w:val="20"/>
              </w:rPr>
              <w:t>6. To which extent do you agree with the following statement:     “Being Polish is an important part of who I am”?</w:t>
            </w:r>
          </w:p>
        </w:tc>
        <w:tc>
          <w:tcPr>
            <w:tcW w:w="501" w:type="pct"/>
            <w:tcBorders>
              <w:top w:val="nil"/>
              <w:left w:val="nil"/>
              <w:bottom w:val="nil"/>
              <w:right w:val="nil"/>
            </w:tcBorders>
            <w:shd w:val="clear" w:color="000000" w:fill="E7E6E6"/>
            <w:noWrap/>
            <w:vAlign w:val="center"/>
            <w:hideMark/>
          </w:tcPr>
          <w:p w14:paraId="437A7F9B" w14:textId="77777777" w:rsidR="00765305" w:rsidRPr="008442CC" w:rsidRDefault="00765305" w:rsidP="00C810D9">
            <w:pPr>
              <w:ind w:left="-372" w:firstLine="372"/>
              <w:jc w:val="center"/>
              <w:rPr>
                <w:rFonts w:ascii="Calibri" w:eastAsia="Times New Roman" w:hAnsi="Calibri" w:cs="Calibri"/>
                <w:b/>
                <w:bCs/>
                <w:sz w:val="20"/>
                <w:szCs w:val="20"/>
              </w:rPr>
            </w:pPr>
          </w:p>
        </w:tc>
        <w:tc>
          <w:tcPr>
            <w:tcW w:w="409" w:type="pct"/>
            <w:tcBorders>
              <w:top w:val="nil"/>
              <w:left w:val="nil"/>
              <w:bottom w:val="nil"/>
              <w:right w:val="nil"/>
            </w:tcBorders>
            <w:shd w:val="clear" w:color="000000" w:fill="E7E6E6"/>
            <w:noWrap/>
            <w:vAlign w:val="center"/>
            <w:hideMark/>
          </w:tcPr>
          <w:p w14:paraId="4D7E42E9" w14:textId="77777777" w:rsidR="00765305" w:rsidRPr="008442CC" w:rsidRDefault="00765305" w:rsidP="00C810D9">
            <w:pPr>
              <w:ind w:left="-372" w:firstLine="372"/>
              <w:jc w:val="center"/>
              <w:rPr>
                <w:rFonts w:ascii="Calibri" w:eastAsia="Times New Roman" w:hAnsi="Calibri" w:cs="Calibri"/>
                <w:b/>
                <w:bCs/>
                <w:sz w:val="20"/>
                <w:szCs w:val="20"/>
              </w:rPr>
            </w:pPr>
          </w:p>
        </w:tc>
        <w:tc>
          <w:tcPr>
            <w:tcW w:w="596" w:type="pct"/>
            <w:tcBorders>
              <w:top w:val="nil"/>
              <w:left w:val="nil"/>
              <w:bottom w:val="nil"/>
              <w:right w:val="nil"/>
            </w:tcBorders>
            <w:shd w:val="clear" w:color="000000" w:fill="E7E6E6"/>
            <w:noWrap/>
            <w:vAlign w:val="center"/>
            <w:hideMark/>
          </w:tcPr>
          <w:p w14:paraId="7FD9CA2B" w14:textId="77777777" w:rsidR="00765305" w:rsidRPr="008442CC" w:rsidRDefault="00765305" w:rsidP="00C810D9">
            <w:pPr>
              <w:ind w:left="-372" w:firstLine="372"/>
              <w:jc w:val="center"/>
              <w:rPr>
                <w:rFonts w:ascii="Calibri" w:eastAsia="Times New Roman" w:hAnsi="Calibri" w:cs="Calibri"/>
                <w:b/>
                <w:bCs/>
                <w:sz w:val="20"/>
                <w:szCs w:val="20"/>
              </w:rPr>
            </w:pPr>
          </w:p>
        </w:tc>
        <w:tc>
          <w:tcPr>
            <w:tcW w:w="625" w:type="pct"/>
            <w:tcBorders>
              <w:top w:val="nil"/>
              <w:left w:val="nil"/>
              <w:bottom w:val="nil"/>
              <w:right w:val="nil"/>
            </w:tcBorders>
            <w:shd w:val="clear" w:color="000000" w:fill="E7E6E6"/>
            <w:noWrap/>
            <w:vAlign w:val="center"/>
            <w:hideMark/>
          </w:tcPr>
          <w:p w14:paraId="612DD88B" w14:textId="77777777" w:rsidR="00765305" w:rsidRPr="008442CC" w:rsidRDefault="00765305" w:rsidP="00C810D9">
            <w:pPr>
              <w:ind w:left="-372" w:firstLine="372"/>
              <w:jc w:val="center"/>
              <w:rPr>
                <w:rFonts w:ascii="Calibri" w:eastAsia="Times New Roman" w:hAnsi="Calibri" w:cs="Calibri"/>
                <w:b/>
                <w:bCs/>
                <w:sz w:val="20"/>
                <w:szCs w:val="20"/>
              </w:rPr>
            </w:pPr>
          </w:p>
        </w:tc>
        <w:tc>
          <w:tcPr>
            <w:tcW w:w="624" w:type="pct"/>
            <w:tcBorders>
              <w:top w:val="nil"/>
              <w:left w:val="nil"/>
              <w:bottom w:val="nil"/>
              <w:right w:val="single" w:sz="4" w:space="0" w:color="auto"/>
            </w:tcBorders>
            <w:shd w:val="clear" w:color="000000" w:fill="E7E6E6"/>
            <w:noWrap/>
            <w:vAlign w:val="center"/>
            <w:hideMark/>
          </w:tcPr>
          <w:p w14:paraId="36D92F54" w14:textId="77777777" w:rsidR="00765305" w:rsidRPr="008442CC" w:rsidRDefault="00765305" w:rsidP="00C810D9">
            <w:pPr>
              <w:ind w:left="-372" w:firstLine="372"/>
              <w:jc w:val="center"/>
              <w:rPr>
                <w:rFonts w:ascii="Calibri" w:eastAsia="Times New Roman" w:hAnsi="Calibri" w:cs="Calibri"/>
                <w:b/>
                <w:bCs/>
                <w:sz w:val="20"/>
                <w:szCs w:val="20"/>
              </w:rPr>
            </w:pPr>
          </w:p>
        </w:tc>
      </w:tr>
      <w:tr w:rsidR="00601CE0" w:rsidRPr="008442CC" w14:paraId="4E69081F"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30CCC747"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Strongly disagree</w:t>
            </w:r>
          </w:p>
        </w:tc>
        <w:tc>
          <w:tcPr>
            <w:tcW w:w="501" w:type="pct"/>
            <w:tcBorders>
              <w:top w:val="nil"/>
              <w:left w:val="nil"/>
              <w:bottom w:val="nil"/>
              <w:right w:val="nil"/>
            </w:tcBorders>
            <w:shd w:val="clear" w:color="auto" w:fill="auto"/>
            <w:noWrap/>
            <w:vAlign w:val="center"/>
            <w:hideMark/>
          </w:tcPr>
          <w:p w14:paraId="3B05C39D"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9</w:t>
            </w:r>
          </w:p>
        </w:tc>
        <w:tc>
          <w:tcPr>
            <w:tcW w:w="409" w:type="pct"/>
            <w:tcBorders>
              <w:top w:val="nil"/>
              <w:left w:val="nil"/>
              <w:bottom w:val="nil"/>
              <w:right w:val="nil"/>
            </w:tcBorders>
            <w:shd w:val="clear" w:color="auto" w:fill="auto"/>
            <w:noWrap/>
            <w:vAlign w:val="bottom"/>
            <w:hideMark/>
          </w:tcPr>
          <w:p w14:paraId="672E2930" w14:textId="77777777" w:rsidR="00765305" w:rsidRPr="008442CC" w:rsidRDefault="00765305" w:rsidP="00C810D9">
            <w:pPr>
              <w:ind w:left="-372" w:firstLine="372"/>
              <w:jc w:val="right"/>
              <w:rPr>
                <w:rFonts w:ascii="Calibri" w:eastAsia="Times New Roman" w:hAnsi="Calibri" w:cs="Calibri"/>
                <w:sz w:val="20"/>
                <w:szCs w:val="20"/>
              </w:rPr>
            </w:pPr>
          </w:p>
        </w:tc>
        <w:tc>
          <w:tcPr>
            <w:tcW w:w="596" w:type="pct"/>
            <w:tcBorders>
              <w:top w:val="nil"/>
              <w:left w:val="nil"/>
              <w:bottom w:val="nil"/>
              <w:right w:val="nil"/>
            </w:tcBorders>
            <w:shd w:val="clear" w:color="auto" w:fill="auto"/>
            <w:noWrap/>
            <w:vAlign w:val="bottom"/>
            <w:hideMark/>
          </w:tcPr>
          <w:p w14:paraId="70EEF764" w14:textId="77777777" w:rsidR="00765305" w:rsidRPr="008442CC" w:rsidRDefault="00765305" w:rsidP="00C810D9">
            <w:pPr>
              <w:ind w:left="-372" w:firstLine="372"/>
              <w:rPr>
                <w:rFonts w:ascii="Times New Roman" w:eastAsia="Times New Roman" w:hAnsi="Times New Roman" w:cs="Times New Roman"/>
                <w:sz w:val="20"/>
                <w:szCs w:val="20"/>
              </w:rPr>
            </w:pPr>
          </w:p>
        </w:tc>
        <w:tc>
          <w:tcPr>
            <w:tcW w:w="625" w:type="pct"/>
            <w:tcBorders>
              <w:top w:val="nil"/>
              <w:left w:val="nil"/>
              <w:bottom w:val="nil"/>
              <w:right w:val="nil"/>
            </w:tcBorders>
            <w:shd w:val="clear" w:color="auto" w:fill="auto"/>
            <w:noWrap/>
            <w:vAlign w:val="bottom"/>
            <w:hideMark/>
          </w:tcPr>
          <w:p w14:paraId="1A95B92E" w14:textId="77777777" w:rsidR="00765305" w:rsidRPr="008442CC" w:rsidRDefault="00765305" w:rsidP="00C810D9">
            <w:pPr>
              <w:ind w:left="-372" w:firstLine="372"/>
              <w:rPr>
                <w:rFonts w:ascii="Times New Roman" w:eastAsia="Times New Roman" w:hAnsi="Times New Roman" w:cs="Times New Roman"/>
                <w:sz w:val="20"/>
                <w:szCs w:val="20"/>
              </w:rPr>
            </w:pPr>
          </w:p>
        </w:tc>
        <w:tc>
          <w:tcPr>
            <w:tcW w:w="624" w:type="pct"/>
            <w:tcBorders>
              <w:top w:val="nil"/>
              <w:left w:val="nil"/>
              <w:bottom w:val="nil"/>
              <w:right w:val="single" w:sz="4" w:space="0" w:color="auto"/>
            </w:tcBorders>
            <w:shd w:val="clear" w:color="auto" w:fill="auto"/>
            <w:noWrap/>
            <w:vAlign w:val="bottom"/>
            <w:hideMark/>
          </w:tcPr>
          <w:p w14:paraId="7CEDEB4E"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 </w:t>
            </w:r>
          </w:p>
        </w:tc>
      </w:tr>
      <w:tr w:rsidR="00601CE0" w:rsidRPr="008442CC" w14:paraId="0C4D0A37"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2E695F9C"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Disagree</w:t>
            </w:r>
          </w:p>
        </w:tc>
        <w:tc>
          <w:tcPr>
            <w:tcW w:w="501" w:type="pct"/>
            <w:tcBorders>
              <w:top w:val="nil"/>
              <w:left w:val="nil"/>
              <w:bottom w:val="nil"/>
              <w:right w:val="nil"/>
            </w:tcBorders>
            <w:shd w:val="clear" w:color="auto" w:fill="auto"/>
            <w:noWrap/>
            <w:vAlign w:val="center"/>
            <w:hideMark/>
          </w:tcPr>
          <w:p w14:paraId="1B85AF0D"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4</w:t>
            </w:r>
          </w:p>
        </w:tc>
        <w:tc>
          <w:tcPr>
            <w:tcW w:w="409" w:type="pct"/>
            <w:tcBorders>
              <w:top w:val="nil"/>
              <w:left w:val="nil"/>
              <w:bottom w:val="nil"/>
              <w:right w:val="nil"/>
            </w:tcBorders>
            <w:shd w:val="clear" w:color="auto" w:fill="auto"/>
            <w:noWrap/>
            <w:vAlign w:val="bottom"/>
            <w:hideMark/>
          </w:tcPr>
          <w:p w14:paraId="72995538" w14:textId="77777777" w:rsidR="00765305" w:rsidRPr="008442CC" w:rsidRDefault="00765305" w:rsidP="00C810D9">
            <w:pPr>
              <w:ind w:left="-372" w:firstLine="372"/>
              <w:jc w:val="right"/>
              <w:rPr>
                <w:rFonts w:ascii="Calibri" w:eastAsia="Times New Roman" w:hAnsi="Calibri" w:cs="Calibri"/>
                <w:sz w:val="20"/>
                <w:szCs w:val="20"/>
              </w:rPr>
            </w:pPr>
          </w:p>
        </w:tc>
        <w:tc>
          <w:tcPr>
            <w:tcW w:w="596" w:type="pct"/>
            <w:tcBorders>
              <w:top w:val="nil"/>
              <w:left w:val="nil"/>
              <w:bottom w:val="nil"/>
              <w:right w:val="nil"/>
            </w:tcBorders>
            <w:shd w:val="clear" w:color="auto" w:fill="auto"/>
            <w:noWrap/>
            <w:vAlign w:val="bottom"/>
            <w:hideMark/>
          </w:tcPr>
          <w:p w14:paraId="7F673AD4"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5" w:type="pct"/>
            <w:tcBorders>
              <w:top w:val="nil"/>
              <w:left w:val="nil"/>
              <w:bottom w:val="nil"/>
              <w:right w:val="nil"/>
            </w:tcBorders>
            <w:shd w:val="clear" w:color="auto" w:fill="auto"/>
            <w:noWrap/>
            <w:vAlign w:val="bottom"/>
            <w:hideMark/>
          </w:tcPr>
          <w:p w14:paraId="3648D007"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4" w:type="pct"/>
            <w:tcBorders>
              <w:top w:val="nil"/>
              <w:left w:val="nil"/>
              <w:bottom w:val="nil"/>
              <w:right w:val="single" w:sz="4" w:space="0" w:color="auto"/>
            </w:tcBorders>
            <w:shd w:val="clear" w:color="auto" w:fill="auto"/>
            <w:noWrap/>
            <w:vAlign w:val="bottom"/>
            <w:hideMark/>
          </w:tcPr>
          <w:p w14:paraId="22615D82"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 </w:t>
            </w:r>
          </w:p>
        </w:tc>
      </w:tr>
      <w:tr w:rsidR="00601CE0" w:rsidRPr="008442CC" w14:paraId="1FD78996"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028D8620"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Disagree somewhat</w:t>
            </w:r>
          </w:p>
        </w:tc>
        <w:tc>
          <w:tcPr>
            <w:tcW w:w="501" w:type="pct"/>
            <w:tcBorders>
              <w:top w:val="nil"/>
              <w:left w:val="nil"/>
              <w:bottom w:val="nil"/>
              <w:right w:val="nil"/>
            </w:tcBorders>
            <w:shd w:val="clear" w:color="auto" w:fill="auto"/>
            <w:noWrap/>
            <w:vAlign w:val="center"/>
            <w:hideMark/>
          </w:tcPr>
          <w:p w14:paraId="0A5F1833"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8</w:t>
            </w:r>
          </w:p>
        </w:tc>
        <w:tc>
          <w:tcPr>
            <w:tcW w:w="409" w:type="pct"/>
            <w:tcBorders>
              <w:top w:val="nil"/>
              <w:left w:val="nil"/>
              <w:bottom w:val="nil"/>
              <w:right w:val="nil"/>
            </w:tcBorders>
            <w:shd w:val="clear" w:color="auto" w:fill="auto"/>
            <w:noWrap/>
            <w:vAlign w:val="bottom"/>
            <w:hideMark/>
          </w:tcPr>
          <w:p w14:paraId="7D301433" w14:textId="77777777" w:rsidR="00765305" w:rsidRPr="008442CC" w:rsidRDefault="00765305" w:rsidP="00C810D9">
            <w:pPr>
              <w:ind w:left="-372" w:firstLine="372"/>
              <w:jc w:val="right"/>
              <w:rPr>
                <w:rFonts w:ascii="Calibri" w:eastAsia="Times New Roman" w:hAnsi="Calibri" w:cs="Calibri"/>
                <w:sz w:val="20"/>
                <w:szCs w:val="20"/>
              </w:rPr>
            </w:pPr>
          </w:p>
        </w:tc>
        <w:tc>
          <w:tcPr>
            <w:tcW w:w="596" w:type="pct"/>
            <w:tcBorders>
              <w:top w:val="nil"/>
              <w:left w:val="nil"/>
              <w:bottom w:val="nil"/>
              <w:right w:val="nil"/>
            </w:tcBorders>
            <w:shd w:val="clear" w:color="auto" w:fill="auto"/>
            <w:noWrap/>
            <w:vAlign w:val="bottom"/>
            <w:hideMark/>
          </w:tcPr>
          <w:p w14:paraId="3883D7CA"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c>
          <w:tcPr>
            <w:tcW w:w="625" w:type="pct"/>
            <w:tcBorders>
              <w:top w:val="nil"/>
              <w:left w:val="nil"/>
              <w:bottom w:val="nil"/>
              <w:right w:val="nil"/>
            </w:tcBorders>
            <w:shd w:val="clear" w:color="auto" w:fill="auto"/>
            <w:noWrap/>
            <w:vAlign w:val="bottom"/>
            <w:hideMark/>
          </w:tcPr>
          <w:p w14:paraId="34FA20E6" w14:textId="77777777" w:rsidR="00765305" w:rsidRPr="008442CC" w:rsidRDefault="00765305" w:rsidP="00C810D9">
            <w:pPr>
              <w:ind w:left="-372" w:firstLine="372"/>
              <w:jc w:val="center"/>
              <w:rPr>
                <w:rFonts w:ascii="Calibri" w:eastAsia="Times New Roman" w:hAnsi="Calibri" w:cs="Calibri"/>
                <w:sz w:val="20"/>
                <w:szCs w:val="20"/>
              </w:rPr>
            </w:pPr>
          </w:p>
        </w:tc>
        <w:tc>
          <w:tcPr>
            <w:tcW w:w="624" w:type="pct"/>
            <w:tcBorders>
              <w:top w:val="nil"/>
              <w:left w:val="nil"/>
              <w:bottom w:val="nil"/>
              <w:right w:val="single" w:sz="4" w:space="0" w:color="auto"/>
            </w:tcBorders>
            <w:shd w:val="clear" w:color="auto" w:fill="auto"/>
            <w:noWrap/>
            <w:vAlign w:val="bottom"/>
            <w:hideMark/>
          </w:tcPr>
          <w:p w14:paraId="7ACCDA16"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 </w:t>
            </w:r>
          </w:p>
        </w:tc>
      </w:tr>
      <w:tr w:rsidR="00601CE0" w:rsidRPr="008442CC" w14:paraId="1DF261FA"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2AC60241"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Neutral</w:t>
            </w:r>
          </w:p>
        </w:tc>
        <w:tc>
          <w:tcPr>
            <w:tcW w:w="501" w:type="pct"/>
            <w:tcBorders>
              <w:top w:val="nil"/>
              <w:left w:val="nil"/>
              <w:bottom w:val="nil"/>
              <w:right w:val="nil"/>
            </w:tcBorders>
            <w:shd w:val="clear" w:color="auto" w:fill="auto"/>
            <w:noWrap/>
            <w:vAlign w:val="center"/>
            <w:hideMark/>
          </w:tcPr>
          <w:p w14:paraId="09514B63"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14</w:t>
            </w:r>
          </w:p>
        </w:tc>
        <w:tc>
          <w:tcPr>
            <w:tcW w:w="409" w:type="pct"/>
            <w:tcBorders>
              <w:top w:val="nil"/>
              <w:left w:val="nil"/>
              <w:bottom w:val="nil"/>
              <w:right w:val="nil"/>
            </w:tcBorders>
            <w:shd w:val="clear" w:color="auto" w:fill="auto"/>
            <w:noWrap/>
            <w:vAlign w:val="bottom"/>
            <w:hideMark/>
          </w:tcPr>
          <w:p w14:paraId="0EC5CB4B"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2</w:t>
            </w:r>
          </w:p>
        </w:tc>
        <w:tc>
          <w:tcPr>
            <w:tcW w:w="596" w:type="pct"/>
            <w:tcBorders>
              <w:top w:val="nil"/>
              <w:left w:val="nil"/>
              <w:bottom w:val="nil"/>
              <w:right w:val="nil"/>
            </w:tcBorders>
            <w:shd w:val="clear" w:color="auto" w:fill="auto"/>
            <w:noWrap/>
            <w:vAlign w:val="bottom"/>
            <w:hideMark/>
          </w:tcPr>
          <w:p w14:paraId="5514A3CF"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c>
          <w:tcPr>
            <w:tcW w:w="625" w:type="pct"/>
            <w:tcBorders>
              <w:top w:val="nil"/>
              <w:left w:val="nil"/>
              <w:bottom w:val="nil"/>
              <w:right w:val="nil"/>
            </w:tcBorders>
            <w:shd w:val="clear" w:color="auto" w:fill="auto"/>
            <w:noWrap/>
            <w:vAlign w:val="bottom"/>
            <w:hideMark/>
          </w:tcPr>
          <w:p w14:paraId="13DD1272" w14:textId="77777777" w:rsidR="00765305" w:rsidRPr="008442CC" w:rsidRDefault="00765305" w:rsidP="00C810D9">
            <w:pPr>
              <w:ind w:left="-372" w:firstLine="372"/>
              <w:jc w:val="center"/>
              <w:rPr>
                <w:rFonts w:ascii="Calibri" w:eastAsia="Times New Roman" w:hAnsi="Calibri" w:cs="Calibri"/>
                <w:sz w:val="20"/>
                <w:szCs w:val="20"/>
              </w:rPr>
            </w:pPr>
          </w:p>
        </w:tc>
        <w:tc>
          <w:tcPr>
            <w:tcW w:w="624" w:type="pct"/>
            <w:tcBorders>
              <w:top w:val="nil"/>
              <w:left w:val="nil"/>
              <w:bottom w:val="nil"/>
              <w:right w:val="single" w:sz="4" w:space="0" w:color="auto"/>
            </w:tcBorders>
            <w:shd w:val="clear" w:color="auto" w:fill="auto"/>
            <w:noWrap/>
            <w:vAlign w:val="bottom"/>
            <w:hideMark/>
          </w:tcPr>
          <w:p w14:paraId="23195584"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 </w:t>
            </w:r>
          </w:p>
        </w:tc>
      </w:tr>
      <w:tr w:rsidR="00601CE0" w:rsidRPr="008442CC" w14:paraId="2780881C"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76A5700F"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Agree somewhat</w:t>
            </w:r>
          </w:p>
        </w:tc>
        <w:tc>
          <w:tcPr>
            <w:tcW w:w="501" w:type="pct"/>
            <w:tcBorders>
              <w:top w:val="nil"/>
              <w:left w:val="nil"/>
              <w:bottom w:val="nil"/>
              <w:right w:val="nil"/>
            </w:tcBorders>
            <w:shd w:val="clear" w:color="auto" w:fill="auto"/>
            <w:noWrap/>
            <w:vAlign w:val="center"/>
            <w:hideMark/>
          </w:tcPr>
          <w:p w14:paraId="43C8F126"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44</w:t>
            </w:r>
          </w:p>
        </w:tc>
        <w:tc>
          <w:tcPr>
            <w:tcW w:w="409" w:type="pct"/>
            <w:tcBorders>
              <w:top w:val="nil"/>
              <w:left w:val="nil"/>
              <w:bottom w:val="nil"/>
              <w:right w:val="nil"/>
            </w:tcBorders>
            <w:shd w:val="clear" w:color="auto" w:fill="auto"/>
            <w:noWrap/>
            <w:vAlign w:val="bottom"/>
            <w:hideMark/>
          </w:tcPr>
          <w:p w14:paraId="0ED828D5"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c>
          <w:tcPr>
            <w:tcW w:w="596" w:type="pct"/>
            <w:tcBorders>
              <w:top w:val="nil"/>
              <w:left w:val="nil"/>
              <w:bottom w:val="nil"/>
              <w:right w:val="nil"/>
            </w:tcBorders>
            <w:shd w:val="clear" w:color="auto" w:fill="auto"/>
            <w:noWrap/>
            <w:vAlign w:val="bottom"/>
            <w:hideMark/>
          </w:tcPr>
          <w:p w14:paraId="15A327AF"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c>
          <w:tcPr>
            <w:tcW w:w="625" w:type="pct"/>
            <w:tcBorders>
              <w:top w:val="nil"/>
              <w:left w:val="nil"/>
              <w:bottom w:val="nil"/>
              <w:right w:val="nil"/>
            </w:tcBorders>
            <w:shd w:val="clear" w:color="auto" w:fill="auto"/>
            <w:noWrap/>
            <w:vAlign w:val="bottom"/>
            <w:hideMark/>
          </w:tcPr>
          <w:p w14:paraId="2F360FCF" w14:textId="77777777" w:rsidR="00765305" w:rsidRPr="008442CC" w:rsidRDefault="00765305" w:rsidP="00C810D9">
            <w:pPr>
              <w:ind w:left="-372" w:firstLine="372"/>
              <w:jc w:val="center"/>
              <w:rPr>
                <w:rFonts w:ascii="Calibri" w:eastAsia="Times New Roman" w:hAnsi="Calibri" w:cs="Calibri"/>
                <w:sz w:val="20"/>
                <w:szCs w:val="20"/>
              </w:rPr>
            </w:pPr>
          </w:p>
        </w:tc>
        <w:tc>
          <w:tcPr>
            <w:tcW w:w="624" w:type="pct"/>
            <w:tcBorders>
              <w:top w:val="nil"/>
              <w:left w:val="nil"/>
              <w:bottom w:val="nil"/>
              <w:right w:val="single" w:sz="4" w:space="0" w:color="auto"/>
            </w:tcBorders>
            <w:shd w:val="clear" w:color="auto" w:fill="auto"/>
            <w:noWrap/>
            <w:vAlign w:val="bottom"/>
            <w:hideMark/>
          </w:tcPr>
          <w:p w14:paraId="48094A9F"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 </w:t>
            </w:r>
          </w:p>
        </w:tc>
      </w:tr>
      <w:tr w:rsidR="00601CE0" w:rsidRPr="008442CC" w14:paraId="68ACEEBA" w14:textId="77777777" w:rsidTr="00C810D9">
        <w:trPr>
          <w:trHeight w:val="20"/>
        </w:trPr>
        <w:tc>
          <w:tcPr>
            <w:tcW w:w="2244" w:type="pct"/>
            <w:tcBorders>
              <w:top w:val="nil"/>
              <w:left w:val="single" w:sz="4" w:space="0" w:color="auto"/>
              <w:bottom w:val="nil"/>
              <w:right w:val="nil"/>
            </w:tcBorders>
            <w:shd w:val="clear" w:color="auto" w:fill="auto"/>
            <w:noWrap/>
            <w:vAlign w:val="bottom"/>
            <w:hideMark/>
          </w:tcPr>
          <w:p w14:paraId="08F2658E"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Agree</w:t>
            </w:r>
          </w:p>
        </w:tc>
        <w:tc>
          <w:tcPr>
            <w:tcW w:w="501" w:type="pct"/>
            <w:tcBorders>
              <w:top w:val="nil"/>
              <w:left w:val="nil"/>
              <w:bottom w:val="nil"/>
              <w:right w:val="nil"/>
            </w:tcBorders>
            <w:shd w:val="clear" w:color="auto" w:fill="auto"/>
            <w:noWrap/>
            <w:vAlign w:val="center"/>
            <w:hideMark/>
          </w:tcPr>
          <w:p w14:paraId="562EA1B8"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27</w:t>
            </w:r>
          </w:p>
        </w:tc>
        <w:tc>
          <w:tcPr>
            <w:tcW w:w="409" w:type="pct"/>
            <w:tcBorders>
              <w:top w:val="nil"/>
              <w:left w:val="nil"/>
              <w:bottom w:val="nil"/>
              <w:right w:val="nil"/>
            </w:tcBorders>
            <w:shd w:val="clear" w:color="auto" w:fill="auto"/>
            <w:noWrap/>
            <w:vAlign w:val="bottom"/>
            <w:hideMark/>
          </w:tcPr>
          <w:p w14:paraId="55FF0555"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c>
          <w:tcPr>
            <w:tcW w:w="596" w:type="pct"/>
            <w:tcBorders>
              <w:top w:val="nil"/>
              <w:left w:val="nil"/>
              <w:bottom w:val="nil"/>
              <w:right w:val="nil"/>
            </w:tcBorders>
            <w:shd w:val="clear" w:color="auto" w:fill="auto"/>
            <w:noWrap/>
            <w:vAlign w:val="bottom"/>
            <w:hideMark/>
          </w:tcPr>
          <w:p w14:paraId="337C6087" w14:textId="77777777" w:rsidR="00765305" w:rsidRPr="008442CC" w:rsidRDefault="00765305" w:rsidP="00C810D9">
            <w:pPr>
              <w:ind w:left="-372" w:firstLine="372"/>
              <w:jc w:val="center"/>
              <w:rPr>
                <w:rFonts w:ascii="Calibri" w:eastAsia="Times New Roman" w:hAnsi="Calibri" w:cs="Calibri"/>
                <w:sz w:val="20"/>
                <w:szCs w:val="20"/>
              </w:rPr>
            </w:pPr>
          </w:p>
        </w:tc>
        <w:tc>
          <w:tcPr>
            <w:tcW w:w="625" w:type="pct"/>
            <w:tcBorders>
              <w:top w:val="nil"/>
              <w:left w:val="nil"/>
              <w:bottom w:val="nil"/>
              <w:right w:val="nil"/>
            </w:tcBorders>
            <w:shd w:val="clear" w:color="auto" w:fill="auto"/>
            <w:noWrap/>
            <w:vAlign w:val="bottom"/>
            <w:hideMark/>
          </w:tcPr>
          <w:p w14:paraId="458FDBEE"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4" w:type="pct"/>
            <w:tcBorders>
              <w:top w:val="nil"/>
              <w:left w:val="nil"/>
              <w:bottom w:val="nil"/>
              <w:right w:val="single" w:sz="4" w:space="0" w:color="auto"/>
            </w:tcBorders>
            <w:shd w:val="clear" w:color="auto" w:fill="auto"/>
            <w:noWrap/>
            <w:vAlign w:val="bottom"/>
            <w:hideMark/>
          </w:tcPr>
          <w:p w14:paraId="3AF51ED7"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3</w:t>
            </w:r>
          </w:p>
        </w:tc>
      </w:tr>
      <w:tr w:rsidR="00601CE0" w:rsidRPr="008442CC" w14:paraId="7E686CFD" w14:textId="77777777" w:rsidTr="00C810D9">
        <w:trPr>
          <w:trHeight w:val="20"/>
        </w:trPr>
        <w:tc>
          <w:tcPr>
            <w:tcW w:w="2244" w:type="pct"/>
            <w:tcBorders>
              <w:top w:val="nil"/>
              <w:left w:val="single" w:sz="4" w:space="0" w:color="auto"/>
              <w:right w:val="nil"/>
            </w:tcBorders>
            <w:shd w:val="clear" w:color="auto" w:fill="auto"/>
            <w:noWrap/>
            <w:vAlign w:val="bottom"/>
            <w:hideMark/>
          </w:tcPr>
          <w:p w14:paraId="4D4F407E" w14:textId="77777777" w:rsidR="00765305" w:rsidRPr="008442CC" w:rsidRDefault="00765305" w:rsidP="00C810D9">
            <w:pPr>
              <w:ind w:left="-372" w:firstLine="372"/>
              <w:rPr>
                <w:rFonts w:ascii="Calibri" w:eastAsia="Times New Roman" w:hAnsi="Calibri" w:cs="Calibri"/>
                <w:sz w:val="20"/>
                <w:szCs w:val="20"/>
              </w:rPr>
            </w:pPr>
            <w:r w:rsidRPr="008442CC">
              <w:rPr>
                <w:rFonts w:ascii="Calibri" w:eastAsia="Times New Roman" w:hAnsi="Calibri" w:cs="Calibri"/>
                <w:sz w:val="20"/>
                <w:szCs w:val="20"/>
              </w:rPr>
              <w:t>Strongly Agree</w:t>
            </w:r>
          </w:p>
        </w:tc>
        <w:tc>
          <w:tcPr>
            <w:tcW w:w="501" w:type="pct"/>
            <w:tcBorders>
              <w:top w:val="nil"/>
              <w:left w:val="nil"/>
              <w:right w:val="nil"/>
            </w:tcBorders>
            <w:shd w:val="clear" w:color="auto" w:fill="auto"/>
            <w:noWrap/>
            <w:vAlign w:val="center"/>
            <w:hideMark/>
          </w:tcPr>
          <w:p w14:paraId="746A0354"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10</w:t>
            </w:r>
          </w:p>
        </w:tc>
        <w:tc>
          <w:tcPr>
            <w:tcW w:w="409" w:type="pct"/>
            <w:tcBorders>
              <w:top w:val="nil"/>
              <w:left w:val="nil"/>
              <w:right w:val="nil"/>
            </w:tcBorders>
            <w:shd w:val="clear" w:color="auto" w:fill="auto"/>
            <w:noWrap/>
            <w:vAlign w:val="bottom"/>
            <w:hideMark/>
          </w:tcPr>
          <w:p w14:paraId="220E9A63"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5</w:t>
            </w:r>
          </w:p>
        </w:tc>
        <w:tc>
          <w:tcPr>
            <w:tcW w:w="596" w:type="pct"/>
            <w:tcBorders>
              <w:top w:val="nil"/>
              <w:left w:val="nil"/>
              <w:right w:val="nil"/>
            </w:tcBorders>
            <w:shd w:val="clear" w:color="auto" w:fill="auto"/>
            <w:noWrap/>
            <w:vAlign w:val="bottom"/>
            <w:hideMark/>
          </w:tcPr>
          <w:p w14:paraId="25459EF5"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c>
          <w:tcPr>
            <w:tcW w:w="625" w:type="pct"/>
            <w:tcBorders>
              <w:top w:val="nil"/>
              <w:left w:val="nil"/>
              <w:right w:val="nil"/>
            </w:tcBorders>
            <w:shd w:val="clear" w:color="auto" w:fill="auto"/>
            <w:noWrap/>
            <w:vAlign w:val="bottom"/>
            <w:hideMark/>
          </w:tcPr>
          <w:p w14:paraId="7AEFF26B"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1</w:t>
            </w:r>
          </w:p>
        </w:tc>
        <w:tc>
          <w:tcPr>
            <w:tcW w:w="624" w:type="pct"/>
            <w:tcBorders>
              <w:top w:val="nil"/>
              <w:left w:val="nil"/>
              <w:right w:val="single" w:sz="4" w:space="0" w:color="auto"/>
            </w:tcBorders>
            <w:shd w:val="clear" w:color="auto" w:fill="auto"/>
            <w:noWrap/>
            <w:vAlign w:val="bottom"/>
            <w:hideMark/>
          </w:tcPr>
          <w:p w14:paraId="6233F5C5"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2</w:t>
            </w:r>
          </w:p>
        </w:tc>
      </w:tr>
      <w:tr w:rsidR="00601CE0" w:rsidRPr="008442CC" w14:paraId="23EECF3E" w14:textId="77777777" w:rsidTr="00C810D9">
        <w:trPr>
          <w:trHeight w:val="20"/>
        </w:trPr>
        <w:tc>
          <w:tcPr>
            <w:tcW w:w="2244" w:type="pct"/>
            <w:tcBorders>
              <w:top w:val="nil"/>
              <w:left w:val="single" w:sz="4" w:space="0" w:color="auto"/>
              <w:bottom w:val="single" w:sz="4" w:space="0" w:color="auto"/>
              <w:right w:val="nil"/>
            </w:tcBorders>
            <w:shd w:val="clear" w:color="auto" w:fill="auto"/>
            <w:noWrap/>
            <w:vAlign w:val="bottom"/>
            <w:hideMark/>
          </w:tcPr>
          <w:p w14:paraId="072A31BB" w14:textId="77777777" w:rsidR="00765305" w:rsidRPr="008442CC" w:rsidRDefault="00765305" w:rsidP="00C810D9">
            <w:pPr>
              <w:spacing w:after="120"/>
              <w:ind w:left="-374" w:firstLine="374"/>
              <w:rPr>
                <w:rFonts w:ascii="Calibri" w:eastAsia="Times New Roman" w:hAnsi="Calibri" w:cs="Calibri"/>
                <w:sz w:val="20"/>
                <w:szCs w:val="20"/>
              </w:rPr>
            </w:pPr>
            <w:r w:rsidRPr="008442CC">
              <w:rPr>
                <w:rFonts w:ascii="Calibri" w:eastAsia="Times New Roman" w:hAnsi="Calibri" w:cs="Calibri"/>
                <w:sz w:val="20"/>
                <w:szCs w:val="20"/>
              </w:rPr>
              <w:t>Prefer not to say</w:t>
            </w:r>
          </w:p>
        </w:tc>
        <w:tc>
          <w:tcPr>
            <w:tcW w:w="501" w:type="pct"/>
            <w:tcBorders>
              <w:top w:val="nil"/>
              <w:left w:val="nil"/>
              <w:bottom w:val="single" w:sz="4" w:space="0" w:color="auto"/>
              <w:right w:val="nil"/>
            </w:tcBorders>
            <w:shd w:val="clear" w:color="auto" w:fill="auto"/>
            <w:noWrap/>
            <w:vAlign w:val="center"/>
            <w:hideMark/>
          </w:tcPr>
          <w:p w14:paraId="78C2844F" w14:textId="77777777" w:rsidR="00765305" w:rsidRPr="008442CC" w:rsidRDefault="00765305" w:rsidP="00C810D9">
            <w:pPr>
              <w:ind w:left="-372" w:firstLine="372"/>
              <w:jc w:val="center"/>
              <w:rPr>
                <w:rFonts w:ascii="Calibri" w:eastAsia="Times New Roman" w:hAnsi="Calibri" w:cs="Calibri"/>
                <w:sz w:val="20"/>
                <w:szCs w:val="20"/>
              </w:rPr>
            </w:pPr>
          </w:p>
        </w:tc>
        <w:tc>
          <w:tcPr>
            <w:tcW w:w="409" w:type="pct"/>
            <w:tcBorders>
              <w:top w:val="nil"/>
              <w:left w:val="nil"/>
              <w:bottom w:val="single" w:sz="4" w:space="0" w:color="auto"/>
              <w:right w:val="nil"/>
            </w:tcBorders>
            <w:shd w:val="clear" w:color="auto" w:fill="auto"/>
            <w:noWrap/>
            <w:vAlign w:val="bottom"/>
            <w:hideMark/>
          </w:tcPr>
          <w:p w14:paraId="595ABF70" w14:textId="77777777" w:rsidR="00765305" w:rsidRPr="008442CC" w:rsidRDefault="00765305" w:rsidP="00C810D9">
            <w:pPr>
              <w:ind w:left="-372" w:firstLine="372"/>
              <w:rPr>
                <w:rFonts w:ascii="Times New Roman" w:eastAsia="Times New Roman" w:hAnsi="Times New Roman" w:cs="Times New Roman"/>
                <w:sz w:val="20"/>
                <w:szCs w:val="20"/>
              </w:rPr>
            </w:pPr>
          </w:p>
        </w:tc>
        <w:tc>
          <w:tcPr>
            <w:tcW w:w="596" w:type="pct"/>
            <w:tcBorders>
              <w:top w:val="nil"/>
              <w:left w:val="nil"/>
              <w:bottom w:val="single" w:sz="4" w:space="0" w:color="auto"/>
              <w:right w:val="nil"/>
            </w:tcBorders>
            <w:shd w:val="clear" w:color="auto" w:fill="auto"/>
            <w:noWrap/>
            <w:vAlign w:val="bottom"/>
            <w:hideMark/>
          </w:tcPr>
          <w:p w14:paraId="096F0588" w14:textId="77777777" w:rsidR="00765305" w:rsidRPr="008442CC" w:rsidRDefault="00765305" w:rsidP="00C810D9">
            <w:pPr>
              <w:ind w:left="-372" w:firstLine="372"/>
              <w:jc w:val="center"/>
              <w:rPr>
                <w:rFonts w:ascii="Times New Roman" w:eastAsia="Times New Roman" w:hAnsi="Times New Roman" w:cs="Times New Roman"/>
                <w:sz w:val="20"/>
                <w:szCs w:val="20"/>
              </w:rPr>
            </w:pPr>
          </w:p>
        </w:tc>
        <w:tc>
          <w:tcPr>
            <w:tcW w:w="625" w:type="pct"/>
            <w:tcBorders>
              <w:top w:val="nil"/>
              <w:left w:val="nil"/>
              <w:bottom w:val="single" w:sz="4" w:space="0" w:color="auto"/>
              <w:right w:val="nil"/>
            </w:tcBorders>
            <w:shd w:val="clear" w:color="auto" w:fill="auto"/>
            <w:noWrap/>
            <w:vAlign w:val="bottom"/>
            <w:hideMark/>
          </w:tcPr>
          <w:p w14:paraId="0333DDB8"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3</w:t>
            </w:r>
          </w:p>
        </w:tc>
        <w:tc>
          <w:tcPr>
            <w:tcW w:w="624" w:type="pct"/>
            <w:tcBorders>
              <w:top w:val="nil"/>
              <w:left w:val="nil"/>
              <w:bottom w:val="single" w:sz="4" w:space="0" w:color="auto"/>
              <w:right w:val="single" w:sz="4" w:space="0" w:color="auto"/>
            </w:tcBorders>
            <w:shd w:val="clear" w:color="auto" w:fill="auto"/>
            <w:noWrap/>
            <w:vAlign w:val="bottom"/>
            <w:hideMark/>
          </w:tcPr>
          <w:p w14:paraId="77CD8EDE" w14:textId="77777777" w:rsidR="00765305" w:rsidRPr="008442CC" w:rsidRDefault="00765305" w:rsidP="00C810D9">
            <w:pPr>
              <w:ind w:left="-372" w:firstLine="372"/>
              <w:jc w:val="center"/>
              <w:rPr>
                <w:rFonts w:ascii="Calibri" w:eastAsia="Times New Roman" w:hAnsi="Calibri" w:cs="Calibri"/>
                <w:sz w:val="20"/>
                <w:szCs w:val="20"/>
              </w:rPr>
            </w:pPr>
            <w:r w:rsidRPr="008442CC">
              <w:rPr>
                <w:rFonts w:ascii="Calibri" w:eastAsia="Times New Roman" w:hAnsi="Calibri" w:cs="Calibri"/>
                <w:sz w:val="20"/>
                <w:szCs w:val="20"/>
              </w:rPr>
              <w:t> </w:t>
            </w:r>
          </w:p>
        </w:tc>
      </w:tr>
    </w:tbl>
    <w:p w14:paraId="1B9139FE" w14:textId="77777777" w:rsidR="00765305" w:rsidRPr="008442CC" w:rsidRDefault="00765305" w:rsidP="00765305">
      <w:pPr>
        <w:rPr>
          <w:sz w:val="20"/>
          <w:szCs w:val="20"/>
        </w:rPr>
      </w:pPr>
      <w:r w:rsidRPr="008442CC">
        <w:rPr>
          <w:sz w:val="20"/>
          <w:szCs w:val="20"/>
        </w:rPr>
        <w:t>Note: The total number of responses was 116 for all the questions, except for question 5, which had 114 responses.</w:t>
      </w:r>
    </w:p>
    <w:p w14:paraId="2D6A8F27" w14:textId="77777777" w:rsidR="00765305" w:rsidRPr="008442CC" w:rsidRDefault="00765305" w:rsidP="00765305">
      <w:pPr>
        <w:rPr>
          <w:b/>
        </w:rPr>
      </w:pPr>
      <w:r w:rsidRPr="008442CC">
        <w:rPr>
          <w:b/>
        </w:rPr>
        <w:br w:type="page"/>
      </w:r>
      <w:r w:rsidRPr="008442CC">
        <w:rPr>
          <w:b/>
        </w:rPr>
        <w:lastRenderedPageBreak/>
        <w:t>Table A2.  Occupations of EU nationals in the UK (2017) compared to pilot project survey and focus groups’ participants</w:t>
      </w:r>
    </w:p>
    <w:p w14:paraId="6C02A8C0" w14:textId="77777777" w:rsidR="00765305" w:rsidRPr="008442CC" w:rsidRDefault="00765305" w:rsidP="00765305">
      <w:pPr>
        <w:rPr>
          <w:b/>
        </w:rPr>
      </w:pPr>
    </w:p>
    <w:p w14:paraId="3D10C8EF" w14:textId="77777777" w:rsidR="00765305" w:rsidRPr="008442CC" w:rsidRDefault="00765305" w:rsidP="00765305">
      <w:pPr>
        <w:rPr>
          <w:b/>
        </w:rPr>
      </w:pPr>
    </w:p>
    <w:tbl>
      <w:tblPr>
        <w:tblW w:w="0" w:type="auto"/>
        <w:jc w:val="center"/>
        <w:tblLook w:val="04A0" w:firstRow="1" w:lastRow="0" w:firstColumn="1" w:lastColumn="0" w:noHBand="0" w:noVBand="1"/>
      </w:tblPr>
      <w:tblGrid>
        <w:gridCol w:w="1415"/>
        <w:gridCol w:w="1257"/>
        <w:gridCol w:w="1816"/>
        <w:gridCol w:w="2336"/>
      </w:tblGrid>
      <w:tr w:rsidR="00601CE0" w:rsidRPr="008442CC" w14:paraId="48E6066D" w14:textId="77777777" w:rsidTr="00C810D9">
        <w:trPr>
          <w:trHeight w:val="1280"/>
          <w:jc w:val="center"/>
        </w:trPr>
        <w:tc>
          <w:tcPr>
            <w:tcW w:w="0" w:type="auto"/>
            <w:tcBorders>
              <w:top w:val="single" w:sz="8" w:space="0" w:color="auto"/>
              <w:left w:val="single" w:sz="8" w:space="0" w:color="auto"/>
              <w:bottom w:val="single" w:sz="4" w:space="0" w:color="auto"/>
              <w:right w:val="single" w:sz="8" w:space="0" w:color="auto"/>
            </w:tcBorders>
            <w:shd w:val="clear" w:color="000000" w:fill="E7E6E6"/>
            <w:vAlign w:val="center"/>
            <w:hideMark/>
          </w:tcPr>
          <w:p w14:paraId="47F943FA" w14:textId="77777777" w:rsidR="00765305" w:rsidRPr="008442CC" w:rsidRDefault="00765305" w:rsidP="00C810D9">
            <w:pPr>
              <w:jc w:val="center"/>
              <w:rPr>
                <w:rFonts w:ascii="Calibri" w:eastAsia="Times New Roman" w:hAnsi="Calibri" w:cs="Calibri"/>
                <w:b/>
                <w:bCs/>
                <w:sz w:val="20"/>
                <w:szCs w:val="20"/>
              </w:rPr>
            </w:pPr>
            <w:r w:rsidRPr="008442CC">
              <w:rPr>
                <w:rFonts w:ascii="Calibri" w:eastAsia="Times New Roman" w:hAnsi="Calibri" w:cs="Calibri"/>
                <w:b/>
                <w:bCs/>
                <w:sz w:val="20"/>
                <w:szCs w:val="20"/>
              </w:rPr>
              <w:t>Occupation</w:t>
            </w:r>
          </w:p>
        </w:tc>
        <w:tc>
          <w:tcPr>
            <w:tcW w:w="0" w:type="auto"/>
            <w:tcBorders>
              <w:top w:val="single" w:sz="8" w:space="0" w:color="auto"/>
              <w:left w:val="single" w:sz="8" w:space="0" w:color="auto"/>
              <w:bottom w:val="single" w:sz="4" w:space="0" w:color="auto"/>
              <w:right w:val="single" w:sz="8" w:space="0" w:color="auto"/>
            </w:tcBorders>
            <w:shd w:val="clear" w:color="000000" w:fill="E7E6E6"/>
            <w:vAlign w:val="center"/>
            <w:hideMark/>
          </w:tcPr>
          <w:p w14:paraId="40B1AEC7" w14:textId="77777777" w:rsidR="00765305" w:rsidRPr="008442CC" w:rsidRDefault="00765305" w:rsidP="00C810D9">
            <w:pPr>
              <w:jc w:val="center"/>
              <w:rPr>
                <w:rFonts w:ascii="Calibri" w:eastAsia="Times New Roman" w:hAnsi="Calibri" w:cs="Calibri"/>
                <w:b/>
                <w:bCs/>
                <w:sz w:val="20"/>
                <w:szCs w:val="20"/>
              </w:rPr>
            </w:pPr>
            <w:r w:rsidRPr="008442CC">
              <w:rPr>
                <w:rFonts w:ascii="Calibri" w:eastAsia="Times New Roman" w:hAnsi="Calibri" w:cs="Calibri"/>
                <w:b/>
                <w:bCs/>
                <w:sz w:val="20"/>
                <w:szCs w:val="20"/>
              </w:rPr>
              <w:t>EU nationals</w:t>
            </w:r>
          </w:p>
          <w:p w14:paraId="7B8AE3C7" w14:textId="77777777" w:rsidR="00765305" w:rsidRPr="008442CC" w:rsidRDefault="00765305" w:rsidP="00C810D9">
            <w:pPr>
              <w:jc w:val="center"/>
              <w:rPr>
                <w:rFonts w:ascii="Calibri" w:eastAsia="Times New Roman" w:hAnsi="Calibri" w:cs="Calibri"/>
                <w:b/>
                <w:bCs/>
                <w:sz w:val="20"/>
                <w:szCs w:val="20"/>
              </w:rPr>
            </w:pPr>
            <w:r w:rsidRPr="008442CC">
              <w:rPr>
                <w:rFonts w:ascii="Calibri" w:eastAsia="Times New Roman" w:hAnsi="Calibri" w:cs="Calibri"/>
                <w:bCs/>
                <w:sz w:val="20"/>
                <w:szCs w:val="20"/>
              </w:rPr>
              <w:t>(%)</w:t>
            </w:r>
          </w:p>
        </w:tc>
        <w:tc>
          <w:tcPr>
            <w:tcW w:w="0" w:type="auto"/>
            <w:tcBorders>
              <w:top w:val="single" w:sz="8" w:space="0" w:color="auto"/>
              <w:left w:val="nil"/>
              <w:bottom w:val="single" w:sz="4" w:space="0" w:color="auto"/>
              <w:right w:val="single" w:sz="8" w:space="0" w:color="000000"/>
            </w:tcBorders>
            <w:shd w:val="clear" w:color="000000" w:fill="E7E6E6"/>
            <w:vAlign w:val="center"/>
            <w:hideMark/>
          </w:tcPr>
          <w:p w14:paraId="1A51412E" w14:textId="77777777" w:rsidR="00765305" w:rsidRPr="008442CC" w:rsidRDefault="00765305" w:rsidP="00C810D9">
            <w:pPr>
              <w:jc w:val="center"/>
              <w:rPr>
                <w:rFonts w:ascii="Calibri" w:eastAsia="Times New Roman" w:hAnsi="Calibri" w:cs="Calibri"/>
                <w:b/>
                <w:bCs/>
                <w:sz w:val="20"/>
                <w:szCs w:val="20"/>
              </w:rPr>
            </w:pPr>
            <w:r w:rsidRPr="008442CC">
              <w:rPr>
                <w:rFonts w:ascii="Calibri" w:eastAsia="Times New Roman" w:hAnsi="Calibri" w:cs="Calibri"/>
                <w:b/>
                <w:bCs/>
                <w:sz w:val="20"/>
                <w:szCs w:val="20"/>
              </w:rPr>
              <w:t>Survey participants</w:t>
            </w:r>
          </w:p>
          <w:p w14:paraId="3A3E4D2A" w14:textId="77777777" w:rsidR="00765305" w:rsidRPr="008442CC" w:rsidRDefault="00765305" w:rsidP="00C810D9">
            <w:pPr>
              <w:jc w:val="center"/>
              <w:rPr>
                <w:rFonts w:ascii="Calibri" w:eastAsia="Times New Roman" w:hAnsi="Calibri" w:cs="Calibri"/>
                <w:b/>
                <w:bCs/>
                <w:sz w:val="20"/>
                <w:szCs w:val="20"/>
              </w:rPr>
            </w:pPr>
            <w:r w:rsidRPr="008442CC">
              <w:rPr>
                <w:rFonts w:ascii="Calibri" w:eastAsia="Times New Roman" w:hAnsi="Calibri" w:cs="Calibri"/>
                <w:bCs/>
                <w:sz w:val="20"/>
                <w:szCs w:val="20"/>
              </w:rPr>
              <w:t>(%)</w:t>
            </w:r>
          </w:p>
        </w:tc>
        <w:tc>
          <w:tcPr>
            <w:tcW w:w="0" w:type="auto"/>
            <w:tcBorders>
              <w:top w:val="single" w:sz="8" w:space="0" w:color="auto"/>
              <w:left w:val="nil"/>
              <w:bottom w:val="single" w:sz="4" w:space="0" w:color="auto"/>
              <w:right w:val="single" w:sz="8" w:space="0" w:color="000000"/>
            </w:tcBorders>
            <w:shd w:val="clear" w:color="000000" w:fill="E7E6E6"/>
            <w:vAlign w:val="center"/>
            <w:hideMark/>
          </w:tcPr>
          <w:p w14:paraId="03231ABB" w14:textId="77777777" w:rsidR="00765305" w:rsidRPr="008442CC" w:rsidRDefault="00765305" w:rsidP="00C810D9">
            <w:pPr>
              <w:jc w:val="center"/>
              <w:rPr>
                <w:rFonts w:ascii="Calibri" w:eastAsia="Times New Roman" w:hAnsi="Calibri" w:cs="Calibri"/>
                <w:b/>
                <w:bCs/>
                <w:sz w:val="20"/>
                <w:szCs w:val="20"/>
              </w:rPr>
            </w:pPr>
            <w:r w:rsidRPr="008442CC">
              <w:rPr>
                <w:rFonts w:ascii="Calibri" w:eastAsia="Times New Roman" w:hAnsi="Calibri" w:cs="Calibri"/>
                <w:b/>
                <w:bCs/>
                <w:sz w:val="20"/>
                <w:szCs w:val="20"/>
              </w:rPr>
              <w:t>Focus groups participants</w:t>
            </w:r>
          </w:p>
          <w:p w14:paraId="74C51C92" w14:textId="77777777" w:rsidR="00765305" w:rsidRPr="008442CC" w:rsidRDefault="00765305" w:rsidP="00C810D9">
            <w:pPr>
              <w:jc w:val="center"/>
              <w:rPr>
                <w:rFonts w:ascii="Calibri" w:eastAsia="Times New Roman" w:hAnsi="Calibri" w:cs="Calibri"/>
                <w:b/>
                <w:bCs/>
                <w:sz w:val="20"/>
                <w:szCs w:val="20"/>
              </w:rPr>
            </w:pPr>
            <w:r w:rsidRPr="008442CC">
              <w:rPr>
                <w:rFonts w:ascii="Calibri" w:eastAsia="Times New Roman" w:hAnsi="Calibri" w:cs="Calibri"/>
                <w:bCs/>
                <w:sz w:val="20"/>
                <w:szCs w:val="20"/>
              </w:rPr>
              <w:t>(%)</w:t>
            </w:r>
          </w:p>
        </w:tc>
      </w:tr>
      <w:tr w:rsidR="00601CE0" w:rsidRPr="008442CC" w14:paraId="475D1491" w14:textId="77777777" w:rsidTr="00C810D9">
        <w:trPr>
          <w:trHeight w:val="340"/>
          <w:jc w:val="center"/>
        </w:trPr>
        <w:tc>
          <w:tcPr>
            <w:tcW w:w="0" w:type="auto"/>
            <w:tcBorders>
              <w:top w:val="single" w:sz="4" w:space="0" w:color="auto"/>
              <w:left w:val="single" w:sz="8" w:space="0" w:color="auto"/>
              <w:bottom w:val="single" w:sz="8" w:space="0" w:color="auto"/>
              <w:right w:val="single" w:sz="8" w:space="0" w:color="auto"/>
            </w:tcBorders>
            <w:shd w:val="clear" w:color="000000" w:fill="E7E6E6"/>
            <w:vAlign w:val="center"/>
            <w:hideMark/>
          </w:tcPr>
          <w:p w14:paraId="3B91580B" w14:textId="77777777" w:rsidR="00765305" w:rsidRPr="008442CC" w:rsidRDefault="00765305" w:rsidP="00C810D9">
            <w:pPr>
              <w:jc w:val="center"/>
              <w:rPr>
                <w:rFonts w:ascii="Calibri" w:eastAsia="Times New Roman" w:hAnsi="Calibri" w:cs="Calibri"/>
                <w:b/>
                <w:bCs/>
                <w:sz w:val="20"/>
                <w:szCs w:val="20"/>
              </w:rPr>
            </w:pPr>
            <w:r w:rsidRPr="008442CC">
              <w:rPr>
                <w:rFonts w:ascii="Calibri" w:eastAsia="Times New Roman" w:hAnsi="Calibri" w:cs="Calibri"/>
                <w:b/>
                <w:bCs/>
                <w:sz w:val="20"/>
                <w:szCs w:val="20"/>
              </w:rPr>
              <w:t>Employed</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51EB6CAC" w14:textId="77777777" w:rsidR="00765305" w:rsidRPr="008442CC" w:rsidRDefault="00765305" w:rsidP="00C810D9">
            <w:pPr>
              <w:jc w:val="center"/>
              <w:rPr>
                <w:rFonts w:ascii="Calibri" w:eastAsia="Times New Roman" w:hAnsi="Calibri" w:cs="Calibri"/>
                <w:sz w:val="20"/>
                <w:szCs w:val="20"/>
              </w:rPr>
            </w:pPr>
            <w:r w:rsidRPr="008442CC">
              <w:rPr>
                <w:rFonts w:ascii="Calibri" w:eastAsia="Times New Roman" w:hAnsi="Calibri" w:cs="Calibri"/>
                <w:bCs/>
                <w:sz w:val="20"/>
                <w:szCs w:val="20"/>
              </w:rPr>
              <w:t>54</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4FB4D1AF" w14:textId="77777777" w:rsidR="00765305" w:rsidRPr="008442CC" w:rsidRDefault="00765305" w:rsidP="00C810D9">
            <w:pPr>
              <w:jc w:val="center"/>
              <w:rPr>
                <w:rFonts w:ascii="Calibri" w:eastAsia="Times New Roman" w:hAnsi="Calibri" w:cs="Calibri"/>
                <w:sz w:val="20"/>
                <w:szCs w:val="20"/>
              </w:rPr>
            </w:pPr>
            <w:r w:rsidRPr="008442CC">
              <w:rPr>
                <w:rFonts w:ascii="Calibri" w:eastAsia="Times New Roman" w:hAnsi="Calibri" w:cs="Calibri"/>
                <w:bCs/>
                <w:sz w:val="20"/>
                <w:szCs w:val="20"/>
              </w:rPr>
              <w:t>72</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66DD0030" w14:textId="77777777" w:rsidR="00765305" w:rsidRPr="008442CC" w:rsidRDefault="00765305" w:rsidP="00C810D9">
            <w:pPr>
              <w:jc w:val="center"/>
              <w:rPr>
                <w:rFonts w:ascii="Calibri" w:eastAsia="Times New Roman" w:hAnsi="Calibri" w:cs="Calibri"/>
                <w:sz w:val="20"/>
                <w:szCs w:val="20"/>
              </w:rPr>
            </w:pPr>
            <w:r w:rsidRPr="008442CC">
              <w:rPr>
                <w:rFonts w:ascii="Calibri" w:eastAsia="Times New Roman" w:hAnsi="Calibri" w:cs="Calibri"/>
                <w:bCs/>
                <w:sz w:val="20"/>
                <w:szCs w:val="20"/>
              </w:rPr>
              <w:t>72</w:t>
            </w:r>
          </w:p>
        </w:tc>
      </w:tr>
      <w:tr w:rsidR="00601CE0" w:rsidRPr="008442CC" w14:paraId="0591F223" w14:textId="77777777" w:rsidTr="00C810D9">
        <w:trPr>
          <w:trHeight w:val="340"/>
          <w:jc w:val="center"/>
        </w:trPr>
        <w:tc>
          <w:tcPr>
            <w:tcW w:w="0" w:type="auto"/>
            <w:tcBorders>
              <w:top w:val="nil"/>
              <w:left w:val="single" w:sz="8" w:space="0" w:color="auto"/>
              <w:bottom w:val="single" w:sz="8" w:space="0" w:color="auto"/>
              <w:right w:val="single" w:sz="8" w:space="0" w:color="auto"/>
            </w:tcBorders>
            <w:shd w:val="clear" w:color="000000" w:fill="E7E6E6"/>
            <w:vAlign w:val="center"/>
            <w:hideMark/>
          </w:tcPr>
          <w:p w14:paraId="58EAE46D" w14:textId="77777777" w:rsidR="00765305" w:rsidRPr="008442CC" w:rsidRDefault="00765305" w:rsidP="00C810D9">
            <w:pPr>
              <w:jc w:val="center"/>
              <w:rPr>
                <w:rFonts w:ascii="Calibri" w:eastAsia="Times New Roman" w:hAnsi="Calibri" w:cs="Calibri"/>
                <w:b/>
                <w:bCs/>
                <w:sz w:val="20"/>
                <w:szCs w:val="20"/>
              </w:rPr>
            </w:pPr>
            <w:r w:rsidRPr="008442CC">
              <w:rPr>
                <w:rFonts w:ascii="Calibri" w:eastAsia="Times New Roman" w:hAnsi="Calibri" w:cs="Calibri"/>
                <w:b/>
                <w:bCs/>
                <w:sz w:val="20"/>
                <w:szCs w:val="20"/>
              </w:rPr>
              <w:t>Self-employed</w:t>
            </w:r>
          </w:p>
        </w:tc>
        <w:tc>
          <w:tcPr>
            <w:tcW w:w="0" w:type="auto"/>
            <w:tcBorders>
              <w:top w:val="nil"/>
              <w:left w:val="nil"/>
              <w:bottom w:val="single" w:sz="8" w:space="0" w:color="auto"/>
              <w:right w:val="single" w:sz="8" w:space="0" w:color="auto"/>
            </w:tcBorders>
            <w:shd w:val="clear" w:color="auto" w:fill="auto"/>
            <w:vAlign w:val="center"/>
            <w:hideMark/>
          </w:tcPr>
          <w:p w14:paraId="464A1D10" w14:textId="77777777" w:rsidR="00765305" w:rsidRPr="008442CC" w:rsidRDefault="00765305" w:rsidP="00C810D9">
            <w:pPr>
              <w:jc w:val="center"/>
              <w:rPr>
                <w:rFonts w:ascii="Calibri" w:eastAsia="Times New Roman" w:hAnsi="Calibri" w:cs="Calibri"/>
                <w:sz w:val="20"/>
                <w:szCs w:val="20"/>
              </w:rPr>
            </w:pPr>
            <w:r w:rsidRPr="008442CC">
              <w:rPr>
                <w:rFonts w:ascii="Calibri" w:eastAsia="Times New Roman" w:hAnsi="Calibri" w:cs="Calibri"/>
                <w:bCs/>
                <w:sz w:val="20"/>
                <w:szCs w:val="20"/>
              </w:rPr>
              <w:t>10</w:t>
            </w:r>
          </w:p>
        </w:tc>
        <w:tc>
          <w:tcPr>
            <w:tcW w:w="0" w:type="auto"/>
            <w:tcBorders>
              <w:top w:val="nil"/>
              <w:left w:val="nil"/>
              <w:bottom w:val="single" w:sz="8" w:space="0" w:color="auto"/>
              <w:right w:val="single" w:sz="8" w:space="0" w:color="auto"/>
            </w:tcBorders>
            <w:shd w:val="clear" w:color="auto" w:fill="auto"/>
            <w:vAlign w:val="center"/>
            <w:hideMark/>
          </w:tcPr>
          <w:p w14:paraId="2449C522" w14:textId="77777777" w:rsidR="00765305" w:rsidRPr="008442CC" w:rsidRDefault="00765305" w:rsidP="00C810D9">
            <w:pPr>
              <w:jc w:val="center"/>
              <w:rPr>
                <w:rFonts w:ascii="Calibri" w:eastAsia="Times New Roman" w:hAnsi="Calibri" w:cs="Calibri"/>
                <w:sz w:val="20"/>
                <w:szCs w:val="20"/>
              </w:rPr>
            </w:pPr>
            <w:r w:rsidRPr="008442CC">
              <w:rPr>
                <w:rFonts w:ascii="Calibri" w:eastAsia="Times New Roman" w:hAnsi="Calibri" w:cs="Calibri"/>
                <w:bCs/>
                <w:sz w:val="20"/>
                <w:szCs w:val="20"/>
              </w:rPr>
              <w:t>18</w:t>
            </w:r>
          </w:p>
        </w:tc>
        <w:tc>
          <w:tcPr>
            <w:tcW w:w="0" w:type="auto"/>
            <w:tcBorders>
              <w:top w:val="nil"/>
              <w:left w:val="nil"/>
              <w:bottom w:val="single" w:sz="8" w:space="0" w:color="auto"/>
              <w:right w:val="single" w:sz="8" w:space="0" w:color="auto"/>
            </w:tcBorders>
            <w:shd w:val="clear" w:color="auto" w:fill="auto"/>
            <w:vAlign w:val="center"/>
            <w:hideMark/>
          </w:tcPr>
          <w:p w14:paraId="3D1C666B" w14:textId="77777777" w:rsidR="00765305" w:rsidRPr="008442CC" w:rsidRDefault="00765305" w:rsidP="00C810D9">
            <w:pPr>
              <w:jc w:val="center"/>
              <w:rPr>
                <w:rFonts w:ascii="Calibri" w:eastAsia="Times New Roman" w:hAnsi="Calibri" w:cs="Calibri"/>
                <w:sz w:val="20"/>
                <w:szCs w:val="20"/>
              </w:rPr>
            </w:pPr>
            <w:r w:rsidRPr="008442CC">
              <w:rPr>
                <w:rFonts w:ascii="Calibri" w:eastAsia="Times New Roman" w:hAnsi="Calibri" w:cs="Calibri"/>
                <w:bCs/>
                <w:sz w:val="20"/>
                <w:szCs w:val="20"/>
              </w:rPr>
              <w:t>9</w:t>
            </w:r>
          </w:p>
        </w:tc>
      </w:tr>
      <w:tr w:rsidR="00601CE0" w:rsidRPr="008442CC" w14:paraId="63886CB8" w14:textId="77777777" w:rsidTr="00C810D9">
        <w:trPr>
          <w:trHeight w:val="340"/>
          <w:jc w:val="center"/>
        </w:trPr>
        <w:tc>
          <w:tcPr>
            <w:tcW w:w="0" w:type="auto"/>
            <w:tcBorders>
              <w:top w:val="nil"/>
              <w:left w:val="single" w:sz="8" w:space="0" w:color="auto"/>
              <w:bottom w:val="single" w:sz="8" w:space="0" w:color="auto"/>
              <w:right w:val="single" w:sz="8" w:space="0" w:color="auto"/>
            </w:tcBorders>
            <w:shd w:val="clear" w:color="000000" w:fill="E7E6E6"/>
            <w:vAlign w:val="center"/>
            <w:hideMark/>
          </w:tcPr>
          <w:p w14:paraId="4B02E555" w14:textId="77777777" w:rsidR="00765305" w:rsidRPr="008442CC" w:rsidRDefault="00765305" w:rsidP="00C810D9">
            <w:pPr>
              <w:jc w:val="center"/>
              <w:rPr>
                <w:rFonts w:ascii="Calibri" w:eastAsia="Times New Roman" w:hAnsi="Calibri" w:cs="Calibri"/>
                <w:b/>
                <w:bCs/>
                <w:sz w:val="20"/>
                <w:szCs w:val="20"/>
              </w:rPr>
            </w:pPr>
            <w:r w:rsidRPr="008442CC">
              <w:rPr>
                <w:rFonts w:ascii="Calibri" w:eastAsia="Times New Roman" w:hAnsi="Calibri" w:cs="Calibri"/>
                <w:b/>
                <w:bCs/>
                <w:sz w:val="20"/>
                <w:szCs w:val="20"/>
              </w:rPr>
              <w:t>Unemployed</w:t>
            </w:r>
          </w:p>
        </w:tc>
        <w:tc>
          <w:tcPr>
            <w:tcW w:w="0" w:type="auto"/>
            <w:tcBorders>
              <w:top w:val="nil"/>
              <w:left w:val="nil"/>
              <w:bottom w:val="single" w:sz="8" w:space="0" w:color="auto"/>
              <w:right w:val="single" w:sz="8" w:space="0" w:color="auto"/>
            </w:tcBorders>
            <w:shd w:val="clear" w:color="auto" w:fill="auto"/>
            <w:vAlign w:val="center"/>
            <w:hideMark/>
          </w:tcPr>
          <w:p w14:paraId="4924C5B2" w14:textId="77777777" w:rsidR="00765305" w:rsidRPr="008442CC" w:rsidRDefault="00765305" w:rsidP="00C810D9">
            <w:pPr>
              <w:jc w:val="center"/>
              <w:rPr>
                <w:rFonts w:ascii="Calibri" w:eastAsia="Times New Roman" w:hAnsi="Calibri" w:cs="Calibri"/>
                <w:sz w:val="20"/>
                <w:szCs w:val="20"/>
              </w:rPr>
            </w:pPr>
            <w:r w:rsidRPr="008442CC">
              <w:rPr>
                <w:rFonts w:ascii="Calibri" w:eastAsia="Times New Roman" w:hAnsi="Calibri" w:cs="Calibri"/>
                <w:bCs/>
                <w:sz w:val="20"/>
                <w:szCs w:val="20"/>
              </w:rPr>
              <w:t>2</w:t>
            </w:r>
          </w:p>
        </w:tc>
        <w:tc>
          <w:tcPr>
            <w:tcW w:w="0" w:type="auto"/>
            <w:tcBorders>
              <w:top w:val="nil"/>
              <w:left w:val="nil"/>
              <w:bottom w:val="single" w:sz="8" w:space="0" w:color="auto"/>
              <w:right w:val="single" w:sz="8" w:space="0" w:color="auto"/>
            </w:tcBorders>
            <w:shd w:val="clear" w:color="auto" w:fill="auto"/>
            <w:vAlign w:val="center"/>
            <w:hideMark/>
          </w:tcPr>
          <w:p w14:paraId="22C11302" w14:textId="77777777" w:rsidR="00765305" w:rsidRPr="008442CC" w:rsidRDefault="00765305" w:rsidP="00C810D9">
            <w:pPr>
              <w:jc w:val="center"/>
              <w:rPr>
                <w:rFonts w:ascii="Calibri" w:eastAsia="Times New Roman" w:hAnsi="Calibri" w:cs="Calibri"/>
                <w:sz w:val="20"/>
                <w:szCs w:val="20"/>
              </w:rPr>
            </w:pPr>
            <w:r w:rsidRPr="008442CC">
              <w:rPr>
                <w:rFonts w:ascii="Calibri" w:eastAsia="Times New Roman" w:hAnsi="Calibri" w:cs="Calibri"/>
                <w:bCs/>
                <w:sz w:val="20"/>
                <w:szCs w:val="20"/>
              </w:rPr>
              <w:t>0</w:t>
            </w:r>
          </w:p>
        </w:tc>
        <w:tc>
          <w:tcPr>
            <w:tcW w:w="0" w:type="auto"/>
            <w:tcBorders>
              <w:top w:val="nil"/>
              <w:left w:val="nil"/>
              <w:bottom w:val="single" w:sz="8" w:space="0" w:color="auto"/>
              <w:right w:val="single" w:sz="8" w:space="0" w:color="auto"/>
            </w:tcBorders>
            <w:shd w:val="clear" w:color="auto" w:fill="auto"/>
            <w:vAlign w:val="center"/>
            <w:hideMark/>
          </w:tcPr>
          <w:p w14:paraId="6403094B" w14:textId="77777777" w:rsidR="00765305" w:rsidRPr="008442CC" w:rsidRDefault="00765305" w:rsidP="00C810D9">
            <w:pPr>
              <w:jc w:val="center"/>
              <w:rPr>
                <w:rFonts w:ascii="Calibri" w:eastAsia="Times New Roman" w:hAnsi="Calibri" w:cs="Calibri"/>
                <w:sz w:val="20"/>
                <w:szCs w:val="20"/>
              </w:rPr>
            </w:pPr>
            <w:r w:rsidRPr="008442CC">
              <w:rPr>
                <w:rFonts w:ascii="Calibri" w:eastAsia="Times New Roman" w:hAnsi="Calibri" w:cs="Calibri"/>
                <w:bCs/>
                <w:sz w:val="20"/>
                <w:szCs w:val="20"/>
              </w:rPr>
              <w:t>0</w:t>
            </w:r>
          </w:p>
        </w:tc>
      </w:tr>
      <w:tr w:rsidR="00601CE0" w:rsidRPr="008442CC" w14:paraId="1BE12258" w14:textId="77777777" w:rsidTr="00C810D9">
        <w:trPr>
          <w:trHeight w:val="340"/>
          <w:jc w:val="center"/>
        </w:trPr>
        <w:tc>
          <w:tcPr>
            <w:tcW w:w="0" w:type="auto"/>
            <w:tcBorders>
              <w:top w:val="nil"/>
              <w:left w:val="single" w:sz="8" w:space="0" w:color="auto"/>
              <w:bottom w:val="single" w:sz="8" w:space="0" w:color="auto"/>
              <w:right w:val="single" w:sz="8" w:space="0" w:color="auto"/>
            </w:tcBorders>
            <w:shd w:val="clear" w:color="000000" w:fill="E7E6E6"/>
            <w:vAlign w:val="center"/>
            <w:hideMark/>
          </w:tcPr>
          <w:p w14:paraId="03BFACF5" w14:textId="77777777" w:rsidR="00765305" w:rsidRPr="008442CC" w:rsidRDefault="00765305" w:rsidP="00C810D9">
            <w:pPr>
              <w:jc w:val="center"/>
              <w:rPr>
                <w:rFonts w:ascii="Calibri" w:eastAsia="Times New Roman" w:hAnsi="Calibri" w:cs="Calibri"/>
                <w:b/>
                <w:bCs/>
                <w:sz w:val="20"/>
                <w:szCs w:val="20"/>
              </w:rPr>
            </w:pPr>
            <w:r w:rsidRPr="008442CC">
              <w:rPr>
                <w:rFonts w:ascii="Calibri" w:eastAsia="Times New Roman" w:hAnsi="Calibri" w:cs="Calibri"/>
                <w:b/>
                <w:bCs/>
                <w:sz w:val="20"/>
                <w:szCs w:val="20"/>
              </w:rPr>
              <w:t>Other:</w:t>
            </w:r>
          </w:p>
        </w:tc>
        <w:tc>
          <w:tcPr>
            <w:tcW w:w="0" w:type="auto"/>
            <w:tcBorders>
              <w:top w:val="nil"/>
              <w:left w:val="nil"/>
              <w:bottom w:val="single" w:sz="8" w:space="0" w:color="auto"/>
              <w:right w:val="single" w:sz="8" w:space="0" w:color="auto"/>
            </w:tcBorders>
            <w:shd w:val="clear" w:color="auto" w:fill="auto"/>
            <w:vAlign w:val="center"/>
            <w:hideMark/>
          </w:tcPr>
          <w:p w14:paraId="6B5AEBDF" w14:textId="77777777" w:rsidR="00765305" w:rsidRPr="008442CC" w:rsidRDefault="00765305" w:rsidP="00C810D9">
            <w:pPr>
              <w:jc w:val="center"/>
              <w:rPr>
                <w:rFonts w:ascii="Calibri" w:eastAsia="Times New Roman" w:hAnsi="Calibri" w:cs="Calibri"/>
                <w:sz w:val="20"/>
                <w:szCs w:val="20"/>
              </w:rPr>
            </w:pPr>
            <w:r w:rsidRPr="008442CC">
              <w:rPr>
                <w:rFonts w:ascii="Calibri" w:eastAsia="Times New Roman" w:hAnsi="Calibri" w:cs="Calibri"/>
                <w:bCs/>
                <w:sz w:val="20"/>
                <w:szCs w:val="20"/>
              </w:rPr>
              <w:t>34</w:t>
            </w:r>
          </w:p>
        </w:tc>
        <w:tc>
          <w:tcPr>
            <w:tcW w:w="0" w:type="auto"/>
            <w:tcBorders>
              <w:top w:val="nil"/>
              <w:left w:val="nil"/>
              <w:bottom w:val="single" w:sz="8" w:space="0" w:color="auto"/>
              <w:right w:val="single" w:sz="8" w:space="0" w:color="auto"/>
            </w:tcBorders>
            <w:shd w:val="clear" w:color="auto" w:fill="auto"/>
            <w:vAlign w:val="center"/>
            <w:hideMark/>
          </w:tcPr>
          <w:p w14:paraId="1A17C50C" w14:textId="77777777" w:rsidR="00765305" w:rsidRPr="008442CC" w:rsidRDefault="00765305" w:rsidP="00C810D9">
            <w:pPr>
              <w:jc w:val="center"/>
              <w:rPr>
                <w:rFonts w:ascii="Calibri" w:eastAsia="Times New Roman" w:hAnsi="Calibri" w:cs="Calibri"/>
                <w:sz w:val="20"/>
                <w:szCs w:val="20"/>
              </w:rPr>
            </w:pPr>
            <w:r w:rsidRPr="008442CC">
              <w:rPr>
                <w:rFonts w:ascii="Calibri" w:eastAsia="Times New Roman" w:hAnsi="Calibri" w:cs="Calibri"/>
                <w:bCs/>
                <w:sz w:val="20"/>
                <w:szCs w:val="20"/>
              </w:rPr>
              <w:t>10</w:t>
            </w:r>
          </w:p>
        </w:tc>
        <w:tc>
          <w:tcPr>
            <w:tcW w:w="0" w:type="auto"/>
            <w:tcBorders>
              <w:top w:val="nil"/>
              <w:left w:val="nil"/>
              <w:bottom w:val="single" w:sz="8" w:space="0" w:color="auto"/>
              <w:right w:val="single" w:sz="8" w:space="0" w:color="auto"/>
            </w:tcBorders>
            <w:shd w:val="clear" w:color="auto" w:fill="auto"/>
            <w:vAlign w:val="center"/>
            <w:hideMark/>
          </w:tcPr>
          <w:p w14:paraId="1CEF1ABA" w14:textId="77777777" w:rsidR="00765305" w:rsidRPr="008442CC" w:rsidRDefault="00765305" w:rsidP="00C810D9">
            <w:pPr>
              <w:jc w:val="center"/>
              <w:rPr>
                <w:rFonts w:ascii="Calibri" w:eastAsia="Times New Roman" w:hAnsi="Calibri" w:cs="Calibri"/>
                <w:sz w:val="20"/>
                <w:szCs w:val="20"/>
              </w:rPr>
            </w:pPr>
            <w:r w:rsidRPr="008442CC">
              <w:rPr>
                <w:rFonts w:ascii="Calibri" w:eastAsia="Times New Roman" w:hAnsi="Calibri" w:cs="Calibri"/>
                <w:bCs/>
                <w:sz w:val="20"/>
                <w:szCs w:val="20"/>
              </w:rPr>
              <w:t>19</w:t>
            </w:r>
          </w:p>
        </w:tc>
      </w:tr>
      <w:tr w:rsidR="00601CE0" w:rsidRPr="008442CC" w14:paraId="7ABAA1AE" w14:textId="77777777" w:rsidTr="00C810D9">
        <w:trPr>
          <w:trHeight w:val="340"/>
          <w:jc w:val="center"/>
        </w:trPr>
        <w:tc>
          <w:tcPr>
            <w:tcW w:w="0" w:type="auto"/>
            <w:tcBorders>
              <w:top w:val="nil"/>
              <w:left w:val="single" w:sz="8" w:space="0" w:color="auto"/>
              <w:bottom w:val="single" w:sz="8" w:space="0" w:color="auto"/>
              <w:right w:val="single" w:sz="8" w:space="0" w:color="auto"/>
            </w:tcBorders>
            <w:shd w:val="clear" w:color="000000" w:fill="E7E6E6"/>
            <w:vAlign w:val="center"/>
            <w:hideMark/>
          </w:tcPr>
          <w:p w14:paraId="26EF5C77" w14:textId="77777777" w:rsidR="00765305" w:rsidRPr="008442CC" w:rsidRDefault="00765305" w:rsidP="00C810D9">
            <w:pPr>
              <w:jc w:val="center"/>
              <w:rPr>
                <w:rFonts w:ascii="Calibri" w:eastAsia="Times New Roman" w:hAnsi="Calibri" w:cs="Calibri"/>
                <w:b/>
                <w:bCs/>
                <w:sz w:val="20"/>
                <w:szCs w:val="20"/>
              </w:rPr>
            </w:pPr>
            <w:r w:rsidRPr="008442CC">
              <w:rPr>
                <w:rFonts w:ascii="Calibri" w:eastAsia="Times New Roman" w:hAnsi="Calibri" w:cs="Calibri"/>
                <w:b/>
                <w:bCs/>
                <w:sz w:val="20"/>
                <w:szCs w:val="20"/>
              </w:rPr>
              <w:t>-Students</w:t>
            </w:r>
          </w:p>
        </w:tc>
        <w:tc>
          <w:tcPr>
            <w:tcW w:w="0" w:type="auto"/>
            <w:tcBorders>
              <w:top w:val="nil"/>
              <w:left w:val="nil"/>
              <w:bottom w:val="single" w:sz="8" w:space="0" w:color="auto"/>
              <w:right w:val="single" w:sz="8" w:space="0" w:color="auto"/>
            </w:tcBorders>
            <w:shd w:val="clear" w:color="auto" w:fill="auto"/>
            <w:vAlign w:val="center"/>
            <w:hideMark/>
          </w:tcPr>
          <w:p w14:paraId="47BB1A8B" w14:textId="77777777" w:rsidR="00765305" w:rsidRPr="008442CC" w:rsidRDefault="00765305" w:rsidP="00C810D9">
            <w:pPr>
              <w:jc w:val="center"/>
              <w:rPr>
                <w:rFonts w:ascii="Calibri" w:eastAsia="Times New Roman" w:hAnsi="Calibri" w:cs="Calibri"/>
                <w:sz w:val="20"/>
                <w:szCs w:val="20"/>
              </w:rPr>
            </w:pPr>
            <w:r w:rsidRPr="008442CC">
              <w:rPr>
                <w:rFonts w:ascii="Calibri" w:eastAsia="Times New Roman" w:hAnsi="Calibri" w:cs="Calibri"/>
                <w:bCs/>
                <w:sz w:val="20"/>
                <w:szCs w:val="20"/>
              </w:rPr>
              <w:t>n/a</w:t>
            </w:r>
          </w:p>
        </w:tc>
        <w:tc>
          <w:tcPr>
            <w:tcW w:w="0" w:type="auto"/>
            <w:tcBorders>
              <w:top w:val="nil"/>
              <w:left w:val="nil"/>
              <w:bottom w:val="single" w:sz="8" w:space="0" w:color="auto"/>
              <w:right w:val="single" w:sz="8" w:space="0" w:color="auto"/>
            </w:tcBorders>
            <w:shd w:val="clear" w:color="auto" w:fill="auto"/>
            <w:vAlign w:val="center"/>
            <w:hideMark/>
          </w:tcPr>
          <w:p w14:paraId="6FF6341D" w14:textId="77777777" w:rsidR="00765305" w:rsidRPr="008442CC" w:rsidRDefault="00765305" w:rsidP="00C810D9">
            <w:pPr>
              <w:jc w:val="center"/>
              <w:rPr>
                <w:rFonts w:ascii="Calibri" w:eastAsia="Times New Roman" w:hAnsi="Calibri" w:cs="Calibri"/>
                <w:sz w:val="20"/>
                <w:szCs w:val="20"/>
              </w:rPr>
            </w:pPr>
            <w:r w:rsidRPr="008442CC">
              <w:rPr>
                <w:rFonts w:ascii="Calibri" w:eastAsia="Times New Roman" w:hAnsi="Calibri" w:cs="Calibri"/>
                <w:bCs/>
                <w:sz w:val="20"/>
                <w:szCs w:val="20"/>
              </w:rPr>
              <w:t>8</w:t>
            </w:r>
          </w:p>
        </w:tc>
        <w:tc>
          <w:tcPr>
            <w:tcW w:w="0" w:type="auto"/>
            <w:tcBorders>
              <w:top w:val="nil"/>
              <w:left w:val="nil"/>
              <w:bottom w:val="single" w:sz="8" w:space="0" w:color="auto"/>
              <w:right w:val="single" w:sz="8" w:space="0" w:color="auto"/>
            </w:tcBorders>
            <w:shd w:val="clear" w:color="auto" w:fill="auto"/>
            <w:vAlign w:val="center"/>
            <w:hideMark/>
          </w:tcPr>
          <w:p w14:paraId="533A32C5" w14:textId="77777777" w:rsidR="00765305" w:rsidRPr="008442CC" w:rsidRDefault="00765305" w:rsidP="00C810D9">
            <w:pPr>
              <w:jc w:val="center"/>
              <w:rPr>
                <w:rFonts w:ascii="Calibri" w:eastAsia="Times New Roman" w:hAnsi="Calibri" w:cs="Calibri"/>
                <w:sz w:val="20"/>
                <w:szCs w:val="20"/>
              </w:rPr>
            </w:pPr>
            <w:r w:rsidRPr="008442CC">
              <w:rPr>
                <w:rFonts w:ascii="Calibri" w:eastAsia="Times New Roman" w:hAnsi="Calibri" w:cs="Calibri"/>
                <w:bCs/>
                <w:sz w:val="20"/>
                <w:szCs w:val="20"/>
              </w:rPr>
              <w:t>18</w:t>
            </w:r>
          </w:p>
        </w:tc>
      </w:tr>
    </w:tbl>
    <w:p w14:paraId="64D9828D" w14:textId="77777777" w:rsidR="00765305" w:rsidRPr="008442CC" w:rsidRDefault="00765305" w:rsidP="00765305">
      <w:pPr>
        <w:rPr>
          <w:b/>
        </w:rPr>
      </w:pPr>
    </w:p>
    <w:p w14:paraId="07723C42" w14:textId="77777777" w:rsidR="00765305" w:rsidRPr="008442CC" w:rsidRDefault="00765305" w:rsidP="00765305">
      <w:pPr>
        <w:rPr>
          <w:b/>
        </w:rPr>
      </w:pPr>
    </w:p>
    <w:p w14:paraId="447E6C12" w14:textId="77777777" w:rsidR="00765305" w:rsidRPr="008442CC" w:rsidRDefault="00765305" w:rsidP="00765305">
      <w:pPr>
        <w:jc w:val="both"/>
        <w:rPr>
          <w:b/>
        </w:rPr>
      </w:pPr>
      <w:r w:rsidRPr="008442CC">
        <w:rPr>
          <w:b/>
        </w:rPr>
        <w:t>Table A3. Interviews’ summary.</w:t>
      </w:r>
    </w:p>
    <w:p w14:paraId="4104BBF1" w14:textId="291A47F7" w:rsidR="00765305" w:rsidRPr="008442CC" w:rsidRDefault="00765305" w:rsidP="00765305">
      <w:pPr>
        <w:jc w:val="both"/>
        <w:rPr>
          <w:b/>
        </w:rPr>
      </w:pPr>
    </w:p>
    <w:tbl>
      <w:tblPr>
        <w:tblStyle w:val="TableGrid"/>
        <w:tblW w:w="8500" w:type="dxa"/>
        <w:tblLook w:val="04A0" w:firstRow="1" w:lastRow="0" w:firstColumn="1" w:lastColumn="0" w:noHBand="0" w:noVBand="1"/>
      </w:tblPr>
      <w:tblGrid>
        <w:gridCol w:w="509"/>
        <w:gridCol w:w="1183"/>
        <w:gridCol w:w="2838"/>
        <w:gridCol w:w="2552"/>
        <w:gridCol w:w="1418"/>
      </w:tblGrid>
      <w:tr w:rsidR="00601CE0" w:rsidRPr="008442CC" w14:paraId="544BEDFF" w14:textId="77777777" w:rsidTr="00FF1581">
        <w:tc>
          <w:tcPr>
            <w:tcW w:w="509" w:type="dxa"/>
            <w:shd w:val="clear" w:color="auto" w:fill="E7E6E6" w:themeFill="background2"/>
            <w:vAlign w:val="center"/>
          </w:tcPr>
          <w:p w14:paraId="1C1F352B" w14:textId="77777777" w:rsidR="00FF1581" w:rsidRPr="008442CC" w:rsidRDefault="00FF1581" w:rsidP="00270DEA">
            <w:pPr>
              <w:jc w:val="center"/>
              <w:rPr>
                <w:b/>
                <w:sz w:val="20"/>
                <w:szCs w:val="20"/>
              </w:rPr>
            </w:pPr>
            <w:r w:rsidRPr="008442CC">
              <w:rPr>
                <w:b/>
                <w:sz w:val="20"/>
                <w:szCs w:val="20"/>
              </w:rPr>
              <w:t>No.</w:t>
            </w:r>
          </w:p>
        </w:tc>
        <w:tc>
          <w:tcPr>
            <w:tcW w:w="1183" w:type="dxa"/>
            <w:shd w:val="clear" w:color="auto" w:fill="E7E6E6" w:themeFill="background2"/>
            <w:vAlign w:val="center"/>
          </w:tcPr>
          <w:p w14:paraId="74476D36" w14:textId="77777777" w:rsidR="00FF1581" w:rsidRPr="008442CC" w:rsidRDefault="00FF1581" w:rsidP="00270DEA">
            <w:pPr>
              <w:jc w:val="center"/>
              <w:rPr>
                <w:b/>
                <w:sz w:val="20"/>
                <w:szCs w:val="20"/>
              </w:rPr>
            </w:pPr>
            <w:r w:rsidRPr="008442CC">
              <w:rPr>
                <w:b/>
                <w:sz w:val="20"/>
                <w:szCs w:val="20"/>
              </w:rPr>
              <w:t>Date</w:t>
            </w:r>
          </w:p>
        </w:tc>
        <w:tc>
          <w:tcPr>
            <w:tcW w:w="2838" w:type="dxa"/>
            <w:shd w:val="clear" w:color="auto" w:fill="E7E6E6" w:themeFill="background2"/>
            <w:vAlign w:val="center"/>
          </w:tcPr>
          <w:p w14:paraId="7335B277" w14:textId="77777777" w:rsidR="00FF1581" w:rsidRPr="008442CC" w:rsidRDefault="00FF1581" w:rsidP="00270DEA">
            <w:pPr>
              <w:jc w:val="center"/>
              <w:rPr>
                <w:b/>
                <w:sz w:val="20"/>
                <w:szCs w:val="20"/>
              </w:rPr>
            </w:pPr>
            <w:r w:rsidRPr="008442CC">
              <w:rPr>
                <w:b/>
                <w:sz w:val="20"/>
                <w:szCs w:val="20"/>
              </w:rPr>
              <w:t>Interviewee</w:t>
            </w:r>
          </w:p>
        </w:tc>
        <w:tc>
          <w:tcPr>
            <w:tcW w:w="2552" w:type="dxa"/>
            <w:shd w:val="clear" w:color="auto" w:fill="E7E6E6" w:themeFill="background2"/>
          </w:tcPr>
          <w:p w14:paraId="6E0C7730" w14:textId="77777777" w:rsidR="00FF1581" w:rsidRPr="008442CC" w:rsidRDefault="00FF1581" w:rsidP="00270DEA">
            <w:pPr>
              <w:jc w:val="center"/>
              <w:rPr>
                <w:b/>
                <w:sz w:val="20"/>
                <w:szCs w:val="20"/>
              </w:rPr>
            </w:pPr>
            <w:r w:rsidRPr="008442CC">
              <w:rPr>
                <w:b/>
                <w:sz w:val="20"/>
                <w:szCs w:val="20"/>
              </w:rPr>
              <w:t>Type of expert &amp; nationality</w:t>
            </w:r>
          </w:p>
        </w:tc>
        <w:tc>
          <w:tcPr>
            <w:tcW w:w="1418" w:type="dxa"/>
            <w:shd w:val="clear" w:color="auto" w:fill="E7E6E6" w:themeFill="background2"/>
          </w:tcPr>
          <w:p w14:paraId="6F45654B" w14:textId="77777777" w:rsidR="00FF1581" w:rsidRPr="008442CC" w:rsidRDefault="00FF1581" w:rsidP="00270DEA">
            <w:pPr>
              <w:jc w:val="center"/>
              <w:rPr>
                <w:b/>
                <w:sz w:val="20"/>
                <w:szCs w:val="20"/>
              </w:rPr>
            </w:pPr>
            <w:r w:rsidRPr="008442CC">
              <w:rPr>
                <w:b/>
                <w:sz w:val="20"/>
                <w:szCs w:val="20"/>
              </w:rPr>
              <w:t>Language of interview</w:t>
            </w:r>
          </w:p>
        </w:tc>
      </w:tr>
      <w:tr w:rsidR="00601CE0" w:rsidRPr="008442CC" w14:paraId="0FF6EC75" w14:textId="77777777" w:rsidTr="00FF1581">
        <w:tc>
          <w:tcPr>
            <w:tcW w:w="509" w:type="dxa"/>
            <w:vAlign w:val="center"/>
          </w:tcPr>
          <w:p w14:paraId="7FF6444C" w14:textId="77777777" w:rsidR="00FF1581" w:rsidRPr="008442CC" w:rsidRDefault="00FF1581" w:rsidP="00270DEA">
            <w:pPr>
              <w:jc w:val="center"/>
              <w:rPr>
                <w:sz w:val="20"/>
                <w:szCs w:val="20"/>
              </w:rPr>
            </w:pPr>
            <w:r w:rsidRPr="008442CC">
              <w:rPr>
                <w:sz w:val="20"/>
                <w:szCs w:val="20"/>
              </w:rPr>
              <w:t>1</w:t>
            </w:r>
          </w:p>
        </w:tc>
        <w:tc>
          <w:tcPr>
            <w:tcW w:w="1183" w:type="dxa"/>
            <w:vAlign w:val="center"/>
          </w:tcPr>
          <w:p w14:paraId="25A710B2" w14:textId="77777777" w:rsidR="00FF1581" w:rsidRPr="008442CC" w:rsidRDefault="00FF1581" w:rsidP="00270DEA">
            <w:pPr>
              <w:jc w:val="center"/>
              <w:rPr>
                <w:sz w:val="20"/>
                <w:szCs w:val="20"/>
              </w:rPr>
            </w:pPr>
            <w:r w:rsidRPr="008442CC">
              <w:rPr>
                <w:sz w:val="20"/>
                <w:szCs w:val="20"/>
              </w:rPr>
              <w:t>6 June 2018</w:t>
            </w:r>
          </w:p>
        </w:tc>
        <w:tc>
          <w:tcPr>
            <w:tcW w:w="2838" w:type="dxa"/>
          </w:tcPr>
          <w:p w14:paraId="15384486" w14:textId="77777777" w:rsidR="00FF1581" w:rsidRPr="008442CC" w:rsidRDefault="00FF1581" w:rsidP="00270DEA">
            <w:pPr>
              <w:jc w:val="both"/>
              <w:rPr>
                <w:sz w:val="20"/>
                <w:szCs w:val="20"/>
              </w:rPr>
            </w:pPr>
            <w:r w:rsidRPr="008442CC">
              <w:rPr>
                <w:sz w:val="20"/>
                <w:szCs w:val="20"/>
              </w:rPr>
              <w:t>Citizens Advice Bureau Officer</w:t>
            </w:r>
          </w:p>
        </w:tc>
        <w:tc>
          <w:tcPr>
            <w:tcW w:w="2552" w:type="dxa"/>
          </w:tcPr>
          <w:p w14:paraId="2AA98393" w14:textId="77777777" w:rsidR="00FF1581" w:rsidRPr="008442CC" w:rsidRDefault="00FF1581" w:rsidP="00270DEA">
            <w:pPr>
              <w:jc w:val="both"/>
              <w:rPr>
                <w:sz w:val="20"/>
                <w:szCs w:val="20"/>
              </w:rPr>
            </w:pPr>
            <w:r w:rsidRPr="008442CC">
              <w:rPr>
                <w:sz w:val="20"/>
                <w:szCs w:val="20"/>
              </w:rPr>
              <w:t>-Official advice provider</w:t>
            </w:r>
          </w:p>
          <w:p w14:paraId="44296F66" w14:textId="77777777" w:rsidR="00FF1581" w:rsidRPr="008442CC" w:rsidRDefault="00FF1581" w:rsidP="00270DEA">
            <w:pPr>
              <w:jc w:val="both"/>
              <w:rPr>
                <w:sz w:val="20"/>
                <w:szCs w:val="20"/>
              </w:rPr>
            </w:pPr>
            <w:r w:rsidRPr="008442CC">
              <w:rPr>
                <w:sz w:val="20"/>
                <w:szCs w:val="20"/>
              </w:rPr>
              <w:t>-Non-Polish</w:t>
            </w:r>
          </w:p>
        </w:tc>
        <w:tc>
          <w:tcPr>
            <w:tcW w:w="1418" w:type="dxa"/>
          </w:tcPr>
          <w:p w14:paraId="04A38376" w14:textId="77777777" w:rsidR="00FF1581" w:rsidRPr="008442CC" w:rsidRDefault="00FF1581" w:rsidP="00270DEA">
            <w:pPr>
              <w:jc w:val="both"/>
              <w:rPr>
                <w:sz w:val="20"/>
                <w:szCs w:val="20"/>
              </w:rPr>
            </w:pPr>
            <w:r w:rsidRPr="008442CC">
              <w:rPr>
                <w:sz w:val="20"/>
                <w:szCs w:val="20"/>
              </w:rPr>
              <w:t>English</w:t>
            </w:r>
          </w:p>
        </w:tc>
      </w:tr>
      <w:tr w:rsidR="00601CE0" w:rsidRPr="008442CC" w14:paraId="53ED6F8A" w14:textId="77777777" w:rsidTr="00FF1581">
        <w:tc>
          <w:tcPr>
            <w:tcW w:w="509" w:type="dxa"/>
            <w:vAlign w:val="center"/>
          </w:tcPr>
          <w:p w14:paraId="0EDA0CE3" w14:textId="77777777" w:rsidR="00FF1581" w:rsidRPr="008442CC" w:rsidRDefault="00FF1581" w:rsidP="00270DEA">
            <w:pPr>
              <w:jc w:val="center"/>
              <w:rPr>
                <w:sz w:val="20"/>
                <w:szCs w:val="20"/>
              </w:rPr>
            </w:pPr>
            <w:r w:rsidRPr="008442CC">
              <w:rPr>
                <w:sz w:val="20"/>
                <w:szCs w:val="20"/>
              </w:rPr>
              <w:t>2</w:t>
            </w:r>
          </w:p>
        </w:tc>
        <w:tc>
          <w:tcPr>
            <w:tcW w:w="1183" w:type="dxa"/>
            <w:vAlign w:val="center"/>
          </w:tcPr>
          <w:p w14:paraId="5E2D25C6" w14:textId="77777777" w:rsidR="00FF1581" w:rsidRPr="008442CC" w:rsidRDefault="00FF1581" w:rsidP="00270DEA">
            <w:pPr>
              <w:jc w:val="center"/>
              <w:rPr>
                <w:sz w:val="20"/>
                <w:szCs w:val="20"/>
              </w:rPr>
            </w:pPr>
            <w:r w:rsidRPr="008442CC">
              <w:rPr>
                <w:sz w:val="20"/>
                <w:szCs w:val="20"/>
              </w:rPr>
              <w:t>6 July</w:t>
            </w:r>
          </w:p>
          <w:p w14:paraId="050EF772" w14:textId="77777777" w:rsidR="00FF1581" w:rsidRPr="008442CC" w:rsidRDefault="00FF1581" w:rsidP="00270DEA">
            <w:pPr>
              <w:jc w:val="center"/>
              <w:rPr>
                <w:sz w:val="20"/>
                <w:szCs w:val="20"/>
              </w:rPr>
            </w:pPr>
            <w:r w:rsidRPr="008442CC">
              <w:rPr>
                <w:sz w:val="20"/>
                <w:szCs w:val="20"/>
              </w:rPr>
              <w:t>2018</w:t>
            </w:r>
          </w:p>
        </w:tc>
        <w:tc>
          <w:tcPr>
            <w:tcW w:w="2838" w:type="dxa"/>
          </w:tcPr>
          <w:p w14:paraId="2A379413" w14:textId="77777777" w:rsidR="00FF1581" w:rsidRPr="008442CC" w:rsidRDefault="00FF1581" w:rsidP="00270DEA">
            <w:pPr>
              <w:jc w:val="both"/>
              <w:rPr>
                <w:sz w:val="20"/>
                <w:szCs w:val="20"/>
              </w:rPr>
            </w:pPr>
            <w:r w:rsidRPr="008442CC">
              <w:rPr>
                <w:sz w:val="20"/>
                <w:szCs w:val="20"/>
              </w:rPr>
              <w:t>EU Welcome advisor</w:t>
            </w:r>
          </w:p>
        </w:tc>
        <w:tc>
          <w:tcPr>
            <w:tcW w:w="2552" w:type="dxa"/>
          </w:tcPr>
          <w:p w14:paraId="31387791" w14:textId="77777777" w:rsidR="00FF1581" w:rsidRPr="008442CC" w:rsidRDefault="00FF1581" w:rsidP="00270DEA">
            <w:pPr>
              <w:jc w:val="both"/>
              <w:rPr>
                <w:sz w:val="20"/>
                <w:szCs w:val="20"/>
              </w:rPr>
            </w:pPr>
            <w:r w:rsidRPr="008442CC">
              <w:rPr>
                <w:sz w:val="20"/>
                <w:szCs w:val="20"/>
              </w:rPr>
              <w:t>-Official advice provider</w:t>
            </w:r>
          </w:p>
          <w:p w14:paraId="5E4FC745" w14:textId="77777777" w:rsidR="00FF1581" w:rsidRPr="008442CC" w:rsidRDefault="00FF1581" w:rsidP="00270DEA">
            <w:pPr>
              <w:jc w:val="both"/>
              <w:rPr>
                <w:sz w:val="20"/>
                <w:szCs w:val="20"/>
              </w:rPr>
            </w:pPr>
            <w:r w:rsidRPr="008442CC">
              <w:rPr>
                <w:sz w:val="20"/>
                <w:szCs w:val="20"/>
              </w:rPr>
              <w:t>-Non-Polish</w:t>
            </w:r>
          </w:p>
        </w:tc>
        <w:tc>
          <w:tcPr>
            <w:tcW w:w="1418" w:type="dxa"/>
          </w:tcPr>
          <w:p w14:paraId="359C9ADA" w14:textId="77777777" w:rsidR="00FF1581" w:rsidRPr="008442CC" w:rsidRDefault="00FF1581" w:rsidP="00270DEA">
            <w:pPr>
              <w:jc w:val="both"/>
              <w:rPr>
                <w:sz w:val="20"/>
                <w:szCs w:val="20"/>
              </w:rPr>
            </w:pPr>
            <w:r w:rsidRPr="008442CC">
              <w:rPr>
                <w:sz w:val="20"/>
                <w:szCs w:val="20"/>
              </w:rPr>
              <w:t>English</w:t>
            </w:r>
          </w:p>
        </w:tc>
      </w:tr>
      <w:tr w:rsidR="00601CE0" w:rsidRPr="008442CC" w14:paraId="27872BD6" w14:textId="77777777" w:rsidTr="00FF1581">
        <w:tc>
          <w:tcPr>
            <w:tcW w:w="509" w:type="dxa"/>
            <w:vAlign w:val="center"/>
          </w:tcPr>
          <w:p w14:paraId="56DCF2DF" w14:textId="77777777" w:rsidR="00FF1581" w:rsidRPr="008442CC" w:rsidRDefault="00FF1581" w:rsidP="00270DEA">
            <w:pPr>
              <w:jc w:val="center"/>
              <w:rPr>
                <w:sz w:val="20"/>
                <w:szCs w:val="20"/>
              </w:rPr>
            </w:pPr>
            <w:r w:rsidRPr="008442CC">
              <w:rPr>
                <w:sz w:val="20"/>
                <w:szCs w:val="20"/>
              </w:rPr>
              <w:t>3</w:t>
            </w:r>
          </w:p>
        </w:tc>
        <w:tc>
          <w:tcPr>
            <w:tcW w:w="1183" w:type="dxa"/>
            <w:vAlign w:val="center"/>
          </w:tcPr>
          <w:p w14:paraId="755E4ADF" w14:textId="77777777" w:rsidR="00FF1581" w:rsidRPr="008442CC" w:rsidRDefault="00FF1581" w:rsidP="00270DEA">
            <w:pPr>
              <w:jc w:val="center"/>
              <w:rPr>
                <w:sz w:val="20"/>
                <w:szCs w:val="20"/>
              </w:rPr>
            </w:pPr>
            <w:r w:rsidRPr="008442CC">
              <w:rPr>
                <w:sz w:val="20"/>
                <w:szCs w:val="20"/>
              </w:rPr>
              <w:t>18 July 2018</w:t>
            </w:r>
          </w:p>
        </w:tc>
        <w:tc>
          <w:tcPr>
            <w:tcW w:w="2838" w:type="dxa"/>
          </w:tcPr>
          <w:p w14:paraId="3D6B4280" w14:textId="77777777" w:rsidR="00FF1581" w:rsidRPr="008442CC" w:rsidRDefault="00FF1581" w:rsidP="00270DEA">
            <w:pPr>
              <w:jc w:val="both"/>
              <w:rPr>
                <w:sz w:val="20"/>
                <w:szCs w:val="20"/>
              </w:rPr>
            </w:pPr>
            <w:r w:rsidRPr="008442CC">
              <w:rPr>
                <w:sz w:val="20"/>
                <w:szCs w:val="20"/>
              </w:rPr>
              <w:t>Southampton City Council, Engagement Officers (3)</w:t>
            </w:r>
          </w:p>
        </w:tc>
        <w:tc>
          <w:tcPr>
            <w:tcW w:w="2552" w:type="dxa"/>
          </w:tcPr>
          <w:p w14:paraId="56E2FB25" w14:textId="77777777" w:rsidR="00FF1581" w:rsidRPr="008442CC" w:rsidRDefault="00FF1581" w:rsidP="00270DEA">
            <w:pPr>
              <w:jc w:val="both"/>
              <w:rPr>
                <w:sz w:val="20"/>
                <w:szCs w:val="20"/>
              </w:rPr>
            </w:pPr>
            <w:r w:rsidRPr="008442CC">
              <w:rPr>
                <w:sz w:val="20"/>
                <w:szCs w:val="20"/>
              </w:rPr>
              <w:t>-Body with extensive contact with the Polish community</w:t>
            </w:r>
          </w:p>
          <w:p w14:paraId="5CC9A1B1" w14:textId="77777777" w:rsidR="00FF1581" w:rsidRPr="008442CC" w:rsidRDefault="00FF1581" w:rsidP="00270DEA">
            <w:pPr>
              <w:jc w:val="both"/>
              <w:rPr>
                <w:sz w:val="20"/>
                <w:szCs w:val="20"/>
              </w:rPr>
            </w:pPr>
            <w:r w:rsidRPr="008442CC">
              <w:rPr>
                <w:sz w:val="20"/>
                <w:szCs w:val="20"/>
              </w:rPr>
              <w:t>-Non-Polish</w:t>
            </w:r>
          </w:p>
        </w:tc>
        <w:tc>
          <w:tcPr>
            <w:tcW w:w="1418" w:type="dxa"/>
          </w:tcPr>
          <w:p w14:paraId="3E4CE8AE" w14:textId="77777777" w:rsidR="00FF1581" w:rsidRPr="008442CC" w:rsidRDefault="00FF1581" w:rsidP="00270DEA">
            <w:pPr>
              <w:jc w:val="both"/>
              <w:rPr>
                <w:sz w:val="20"/>
                <w:szCs w:val="20"/>
              </w:rPr>
            </w:pPr>
            <w:r w:rsidRPr="008442CC">
              <w:rPr>
                <w:sz w:val="20"/>
                <w:szCs w:val="20"/>
              </w:rPr>
              <w:t>English</w:t>
            </w:r>
          </w:p>
        </w:tc>
      </w:tr>
      <w:tr w:rsidR="00601CE0" w:rsidRPr="008442CC" w14:paraId="5C6154CD" w14:textId="77777777" w:rsidTr="00FF1581">
        <w:tc>
          <w:tcPr>
            <w:tcW w:w="509" w:type="dxa"/>
            <w:vAlign w:val="center"/>
          </w:tcPr>
          <w:p w14:paraId="07A9754E" w14:textId="77777777" w:rsidR="00FF1581" w:rsidRPr="008442CC" w:rsidRDefault="00FF1581" w:rsidP="00270DEA">
            <w:pPr>
              <w:jc w:val="center"/>
              <w:rPr>
                <w:sz w:val="20"/>
                <w:szCs w:val="20"/>
              </w:rPr>
            </w:pPr>
            <w:r w:rsidRPr="008442CC">
              <w:rPr>
                <w:sz w:val="20"/>
                <w:szCs w:val="20"/>
              </w:rPr>
              <w:t>4</w:t>
            </w:r>
          </w:p>
        </w:tc>
        <w:tc>
          <w:tcPr>
            <w:tcW w:w="1183" w:type="dxa"/>
            <w:vAlign w:val="center"/>
          </w:tcPr>
          <w:p w14:paraId="0B05EC88" w14:textId="77777777" w:rsidR="00FF1581" w:rsidRPr="008442CC" w:rsidRDefault="00FF1581" w:rsidP="00270DEA">
            <w:pPr>
              <w:jc w:val="center"/>
              <w:rPr>
                <w:sz w:val="20"/>
                <w:szCs w:val="20"/>
              </w:rPr>
            </w:pPr>
            <w:r w:rsidRPr="008442CC">
              <w:rPr>
                <w:sz w:val="20"/>
                <w:szCs w:val="20"/>
              </w:rPr>
              <w:t>11 July 2018</w:t>
            </w:r>
          </w:p>
        </w:tc>
        <w:tc>
          <w:tcPr>
            <w:tcW w:w="2838" w:type="dxa"/>
          </w:tcPr>
          <w:p w14:paraId="7D4FE3E9" w14:textId="77777777" w:rsidR="00FF1581" w:rsidRPr="008442CC" w:rsidRDefault="00FF1581" w:rsidP="00270DEA">
            <w:pPr>
              <w:jc w:val="both"/>
              <w:rPr>
                <w:sz w:val="20"/>
                <w:szCs w:val="20"/>
              </w:rPr>
            </w:pPr>
            <w:r w:rsidRPr="008442CC">
              <w:rPr>
                <w:sz w:val="20"/>
                <w:szCs w:val="20"/>
              </w:rPr>
              <w:t>Priest</w:t>
            </w:r>
          </w:p>
        </w:tc>
        <w:tc>
          <w:tcPr>
            <w:tcW w:w="2552" w:type="dxa"/>
          </w:tcPr>
          <w:p w14:paraId="7CE75EEC" w14:textId="77777777" w:rsidR="00FF1581" w:rsidRPr="008442CC" w:rsidRDefault="00FF1581" w:rsidP="00270DEA">
            <w:pPr>
              <w:jc w:val="both"/>
              <w:rPr>
                <w:sz w:val="20"/>
                <w:szCs w:val="20"/>
              </w:rPr>
            </w:pPr>
            <w:r w:rsidRPr="008442CC">
              <w:rPr>
                <w:sz w:val="20"/>
                <w:szCs w:val="20"/>
              </w:rPr>
              <w:t>-Body with extensive contact with the Polish community</w:t>
            </w:r>
          </w:p>
          <w:p w14:paraId="5331788C" w14:textId="77777777" w:rsidR="00FF1581" w:rsidRPr="008442CC" w:rsidRDefault="00FF1581" w:rsidP="00270DEA">
            <w:pPr>
              <w:jc w:val="both"/>
              <w:rPr>
                <w:sz w:val="20"/>
                <w:szCs w:val="20"/>
              </w:rPr>
            </w:pPr>
            <w:r w:rsidRPr="008442CC">
              <w:rPr>
                <w:sz w:val="20"/>
                <w:szCs w:val="20"/>
              </w:rPr>
              <w:t>-Non-Polish</w:t>
            </w:r>
          </w:p>
        </w:tc>
        <w:tc>
          <w:tcPr>
            <w:tcW w:w="1418" w:type="dxa"/>
          </w:tcPr>
          <w:p w14:paraId="2BEA7398" w14:textId="77777777" w:rsidR="00FF1581" w:rsidRPr="008442CC" w:rsidRDefault="00FF1581" w:rsidP="00270DEA">
            <w:pPr>
              <w:jc w:val="both"/>
              <w:rPr>
                <w:sz w:val="20"/>
                <w:szCs w:val="20"/>
              </w:rPr>
            </w:pPr>
            <w:r w:rsidRPr="008442CC">
              <w:rPr>
                <w:sz w:val="20"/>
                <w:szCs w:val="20"/>
              </w:rPr>
              <w:t>English</w:t>
            </w:r>
          </w:p>
        </w:tc>
      </w:tr>
      <w:tr w:rsidR="00601CE0" w:rsidRPr="008442CC" w14:paraId="78E307AB" w14:textId="77777777" w:rsidTr="00FF1581">
        <w:tc>
          <w:tcPr>
            <w:tcW w:w="509" w:type="dxa"/>
            <w:vAlign w:val="center"/>
          </w:tcPr>
          <w:p w14:paraId="1CFF1A5C" w14:textId="77777777" w:rsidR="00FF1581" w:rsidRPr="008442CC" w:rsidRDefault="00FF1581" w:rsidP="00270DEA">
            <w:pPr>
              <w:jc w:val="center"/>
              <w:rPr>
                <w:sz w:val="20"/>
                <w:szCs w:val="20"/>
              </w:rPr>
            </w:pPr>
            <w:r w:rsidRPr="008442CC">
              <w:rPr>
                <w:sz w:val="20"/>
                <w:szCs w:val="20"/>
              </w:rPr>
              <w:t>5</w:t>
            </w:r>
          </w:p>
        </w:tc>
        <w:tc>
          <w:tcPr>
            <w:tcW w:w="1183" w:type="dxa"/>
            <w:vAlign w:val="center"/>
          </w:tcPr>
          <w:p w14:paraId="01A305C1" w14:textId="77777777" w:rsidR="00FF1581" w:rsidRPr="008442CC" w:rsidRDefault="00FF1581" w:rsidP="00270DEA">
            <w:pPr>
              <w:jc w:val="center"/>
              <w:rPr>
                <w:sz w:val="20"/>
                <w:szCs w:val="20"/>
              </w:rPr>
            </w:pPr>
            <w:r w:rsidRPr="008442CC">
              <w:rPr>
                <w:sz w:val="20"/>
                <w:szCs w:val="20"/>
              </w:rPr>
              <w:t>23 June 2018</w:t>
            </w:r>
          </w:p>
        </w:tc>
        <w:tc>
          <w:tcPr>
            <w:tcW w:w="2838" w:type="dxa"/>
          </w:tcPr>
          <w:p w14:paraId="662077C8" w14:textId="77777777" w:rsidR="00FF1581" w:rsidRPr="008442CC" w:rsidRDefault="00FF1581" w:rsidP="00270DEA">
            <w:pPr>
              <w:jc w:val="both"/>
              <w:rPr>
                <w:sz w:val="20"/>
                <w:szCs w:val="20"/>
              </w:rPr>
            </w:pPr>
            <w:r w:rsidRPr="008442CC">
              <w:rPr>
                <w:sz w:val="20"/>
                <w:szCs w:val="20"/>
              </w:rPr>
              <w:t>Principal of Polish School</w:t>
            </w:r>
          </w:p>
        </w:tc>
        <w:tc>
          <w:tcPr>
            <w:tcW w:w="2552" w:type="dxa"/>
          </w:tcPr>
          <w:p w14:paraId="06A0161E" w14:textId="77777777" w:rsidR="00FF1581" w:rsidRPr="008442CC" w:rsidRDefault="00FF1581" w:rsidP="00270DEA">
            <w:pPr>
              <w:jc w:val="both"/>
              <w:rPr>
                <w:sz w:val="20"/>
                <w:szCs w:val="20"/>
              </w:rPr>
            </w:pPr>
            <w:r w:rsidRPr="008442CC">
              <w:rPr>
                <w:sz w:val="20"/>
                <w:szCs w:val="20"/>
              </w:rPr>
              <w:t>-Body with extensive contact with the Polish community</w:t>
            </w:r>
          </w:p>
          <w:p w14:paraId="467D2F66" w14:textId="77777777" w:rsidR="00FF1581" w:rsidRPr="008442CC" w:rsidRDefault="00FF1581" w:rsidP="00270DEA">
            <w:pPr>
              <w:jc w:val="both"/>
              <w:rPr>
                <w:sz w:val="20"/>
                <w:szCs w:val="20"/>
              </w:rPr>
            </w:pPr>
            <w:r w:rsidRPr="008442CC">
              <w:rPr>
                <w:sz w:val="20"/>
                <w:szCs w:val="20"/>
              </w:rPr>
              <w:t>-Polish</w:t>
            </w:r>
          </w:p>
        </w:tc>
        <w:tc>
          <w:tcPr>
            <w:tcW w:w="1418" w:type="dxa"/>
          </w:tcPr>
          <w:p w14:paraId="4B90463A" w14:textId="77777777" w:rsidR="00FF1581" w:rsidRPr="008442CC" w:rsidRDefault="00FF1581" w:rsidP="00270DEA">
            <w:pPr>
              <w:jc w:val="both"/>
              <w:rPr>
                <w:sz w:val="20"/>
                <w:szCs w:val="20"/>
              </w:rPr>
            </w:pPr>
            <w:r w:rsidRPr="008442CC">
              <w:rPr>
                <w:sz w:val="20"/>
                <w:szCs w:val="20"/>
              </w:rPr>
              <w:t>Polish</w:t>
            </w:r>
          </w:p>
        </w:tc>
      </w:tr>
      <w:tr w:rsidR="00601CE0" w:rsidRPr="008442CC" w14:paraId="26ED74AF" w14:textId="77777777" w:rsidTr="00FF1581">
        <w:tc>
          <w:tcPr>
            <w:tcW w:w="509" w:type="dxa"/>
            <w:vAlign w:val="center"/>
          </w:tcPr>
          <w:p w14:paraId="38AA1AD7" w14:textId="77777777" w:rsidR="00FF1581" w:rsidRPr="008442CC" w:rsidRDefault="00FF1581" w:rsidP="00270DEA">
            <w:pPr>
              <w:jc w:val="center"/>
              <w:rPr>
                <w:sz w:val="20"/>
                <w:szCs w:val="20"/>
              </w:rPr>
            </w:pPr>
            <w:r w:rsidRPr="008442CC">
              <w:rPr>
                <w:sz w:val="20"/>
                <w:szCs w:val="20"/>
              </w:rPr>
              <w:t>6</w:t>
            </w:r>
          </w:p>
        </w:tc>
        <w:tc>
          <w:tcPr>
            <w:tcW w:w="1183" w:type="dxa"/>
            <w:vAlign w:val="center"/>
          </w:tcPr>
          <w:p w14:paraId="70D47D59" w14:textId="77777777" w:rsidR="00FF1581" w:rsidRPr="008442CC" w:rsidRDefault="00FF1581" w:rsidP="00270DEA">
            <w:pPr>
              <w:jc w:val="center"/>
              <w:rPr>
                <w:sz w:val="20"/>
                <w:szCs w:val="20"/>
              </w:rPr>
            </w:pPr>
            <w:r w:rsidRPr="008442CC">
              <w:rPr>
                <w:sz w:val="20"/>
                <w:szCs w:val="20"/>
              </w:rPr>
              <w:t>26 June 2018</w:t>
            </w:r>
          </w:p>
        </w:tc>
        <w:tc>
          <w:tcPr>
            <w:tcW w:w="2838" w:type="dxa"/>
          </w:tcPr>
          <w:p w14:paraId="22D9B7F8" w14:textId="77777777" w:rsidR="00FF1581" w:rsidRPr="008442CC" w:rsidRDefault="00FF1581" w:rsidP="00270DEA">
            <w:pPr>
              <w:jc w:val="both"/>
              <w:rPr>
                <w:sz w:val="20"/>
                <w:szCs w:val="20"/>
              </w:rPr>
            </w:pPr>
            <w:r w:rsidRPr="008442CC">
              <w:rPr>
                <w:sz w:val="20"/>
                <w:szCs w:val="20"/>
              </w:rPr>
              <w:t>Teacher at Polish School</w:t>
            </w:r>
          </w:p>
        </w:tc>
        <w:tc>
          <w:tcPr>
            <w:tcW w:w="2552" w:type="dxa"/>
          </w:tcPr>
          <w:p w14:paraId="157369A8" w14:textId="77777777" w:rsidR="00FF1581" w:rsidRPr="008442CC" w:rsidRDefault="00FF1581" w:rsidP="00270DEA">
            <w:pPr>
              <w:jc w:val="both"/>
              <w:rPr>
                <w:sz w:val="20"/>
                <w:szCs w:val="20"/>
              </w:rPr>
            </w:pPr>
            <w:r w:rsidRPr="008442CC">
              <w:rPr>
                <w:sz w:val="20"/>
                <w:szCs w:val="20"/>
              </w:rPr>
              <w:t>-Body with extensive contact with the Polish community</w:t>
            </w:r>
          </w:p>
          <w:p w14:paraId="07A90D3A" w14:textId="77777777" w:rsidR="00FF1581" w:rsidRPr="008442CC" w:rsidRDefault="00FF1581" w:rsidP="00270DEA">
            <w:pPr>
              <w:jc w:val="both"/>
              <w:rPr>
                <w:sz w:val="20"/>
                <w:szCs w:val="20"/>
              </w:rPr>
            </w:pPr>
            <w:r w:rsidRPr="008442CC">
              <w:rPr>
                <w:sz w:val="20"/>
                <w:szCs w:val="20"/>
              </w:rPr>
              <w:t>-Polish</w:t>
            </w:r>
          </w:p>
        </w:tc>
        <w:tc>
          <w:tcPr>
            <w:tcW w:w="1418" w:type="dxa"/>
          </w:tcPr>
          <w:p w14:paraId="7B6D3093" w14:textId="77777777" w:rsidR="00FF1581" w:rsidRPr="008442CC" w:rsidRDefault="00FF1581" w:rsidP="00270DEA">
            <w:pPr>
              <w:jc w:val="both"/>
              <w:rPr>
                <w:sz w:val="20"/>
                <w:szCs w:val="20"/>
              </w:rPr>
            </w:pPr>
            <w:r w:rsidRPr="008442CC">
              <w:rPr>
                <w:sz w:val="20"/>
                <w:szCs w:val="20"/>
              </w:rPr>
              <w:t>Polish</w:t>
            </w:r>
          </w:p>
        </w:tc>
      </w:tr>
      <w:tr w:rsidR="00FF1581" w:rsidRPr="008442CC" w14:paraId="6E3EFCA3" w14:textId="77777777" w:rsidTr="00FF1581">
        <w:tc>
          <w:tcPr>
            <w:tcW w:w="509" w:type="dxa"/>
            <w:vAlign w:val="center"/>
          </w:tcPr>
          <w:p w14:paraId="7EA22C05" w14:textId="77777777" w:rsidR="00FF1581" w:rsidRPr="008442CC" w:rsidRDefault="00FF1581" w:rsidP="00270DEA">
            <w:pPr>
              <w:jc w:val="center"/>
              <w:rPr>
                <w:sz w:val="20"/>
                <w:szCs w:val="20"/>
              </w:rPr>
            </w:pPr>
            <w:r w:rsidRPr="008442CC">
              <w:rPr>
                <w:sz w:val="20"/>
                <w:szCs w:val="20"/>
              </w:rPr>
              <w:t>7</w:t>
            </w:r>
          </w:p>
        </w:tc>
        <w:tc>
          <w:tcPr>
            <w:tcW w:w="1183" w:type="dxa"/>
            <w:vAlign w:val="center"/>
          </w:tcPr>
          <w:p w14:paraId="2E7FC2D7" w14:textId="77777777" w:rsidR="00FF1581" w:rsidRPr="008442CC" w:rsidRDefault="00FF1581" w:rsidP="00270DEA">
            <w:pPr>
              <w:jc w:val="center"/>
              <w:rPr>
                <w:sz w:val="20"/>
                <w:szCs w:val="20"/>
              </w:rPr>
            </w:pPr>
            <w:r w:rsidRPr="008442CC">
              <w:rPr>
                <w:sz w:val="20"/>
                <w:szCs w:val="20"/>
              </w:rPr>
              <w:t>29 July 2018</w:t>
            </w:r>
          </w:p>
        </w:tc>
        <w:tc>
          <w:tcPr>
            <w:tcW w:w="2838" w:type="dxa"/>
          </w:tcPr>
          <w:p w14:paraId="766271DE" w14:textId="77777777" w:rsidR="00FF1581" w:rsidRPr="008442CC" w:rsidRDefault="00FF1581" w:rsidP="00270DEA">
            <w:pPr>
              <w:jc w:val="both"/>
              <w:rPr>
                <w:sz w:val="20"/>
                <w:szCs w:val="20"/>
              </w:rPr>
            </w:pPr>
            <w:r w:rsidRPr="008442CC">
              <w:rPr>
                <w:sz w:val="20"/>
                <w:szCs w:val="20"/>
              </w:rPr>
              <w:t>Director of Public Relations and Marketing agency specializing in the Polish community</w:t>
            </w:r>
          </w:p>
        </w:tc>
        <w:tc>
          <w:tcPr>
            <w:tcW w:w="2552" w:type="dxa"/>
          </w:tcPr>
          <w:p w14:paraId="39B74198" w14:textId="77777777" w:rsidR="00FF1581" w:rsidRPr="008442CC" w:rsidRDefault="00FF1581" w:rsidP="00270DEA">
            <w:pPr>
              <w:jc w:val="both"/>
              <w:rPr>
                <w:sz w:val="20"/>
                <w:szCs w:val="20"/>
              </w:rPr>
            </w:pPr>
            <w:r w:rsidRPr="008442CC">
              <w:rPr>
                <w:sz w:val="20"/>
                <w:szCs w:val="20"/>
              </w:rPr>
              <w:t>-Body with extensive contact with the Polish community</w:t>
            </w:r>
          </w:p>
          <w:p w14:paraId="465C2615" w14:textId="77777777" w:rsidR="00FF1581" w:rsidRPr="008442CC" w:rsidRDefault="00FF1581" w:rsidP="00270DEA">
            <w:pPr>
              <w:jc w:val="both"/>
              <w:rPr>
                <w:sz w:val="20"/>
                <w:szCs w:val="20"/>
              </w:rPr>
            </w:pPr>
            <w:r w:rsidRPr="008442CC">
              <w:rPr>
                <w:sz w:val="20"/>
                <w:szCs w:val="20"/>
              </w:rPr>
              <w:t>-Dual: Polish/UK</w:t>
            </w:r>
          </w:p>
        </w:tc>
        <w:tc>
          <w:tcPr>
            <w:tcW w:w="1418" w:type="dxa"/>
          </w:tcPr>
          <w:p w14:paraId="582DC081" w14:textId="77777777" w:rsidR="00FF1581" w:rsidRPr="008442CC" w:rsidRDefault="00FF1581" w:rsidP="00270DEA">
            <w:pPr>
              <w:jc w:val="both"/>
              <w:rPr>
                <w:sz w:val="20"/>
                <w:szCs w:val="20"/>
              </w:rPr>
            </w:pPr>
            <w:r w:rsidRPr="008442CC">
              <w:rPr>
                <w:sz w:val="20"/>
                <w:szCs w:val="20"/>
              </w:rPr>
              <w:t>English</w:t>
            </w:r>
          </w:p>
        </w:tc>
      </w:tr>
    </w:tbl>
    <w:p w14:paraId="474C39A4" w14:textId="77777777" w:rsidR="00765305" w:rsidRPr="008442CC" w:rsidRDefault="00765305" w:rsidP="00765305">
      <w:pPr>
        <w:rPr>
          <w:b/>
        </w:rPr>
      </w:pPr>
    </w:p>
    <w:p w14:paraId="524C1C33" w14:textId="77777777" w:rsidR="00765305" w:rsidRPr="008442CC" w:rsidRDefault="00765305" w:rsidP="00765305">
      <w:pPr>
        <w:rPr>
          <w:b/>
        </w:rPr>
      </w:pPr>
      <w:r w:rsidRPr="008442CC">
        <w:rPr>
          <w:b/>
        </w:rPr>
        <w:br w:type="page"/>
      </w:r>
    </w:p>
    <w:p w14:paraId="4CE29F47" w14:textId="77777777" w:rsidR="00765305" w:rsidRPr="008442CC" w:rsidRDefault="00765305" w:rsidP="00765305">
      <w:pPr>
        <w:ind w:left="-709"/>
        <w:jc w:val="both"/>
        <w:rPr>
          <w:b/>
        </w:rPr>
      </w:pPr>
      <w:r w:rsidRPr="008442CC">
        <w:rPr>
          <w:b/>
        </w:rPr>
        <w:lastRenderedPageBreak/>
        <w:t>Table A4. Survey questions on Polish nationals experiences and feelings in the two relevant periods (2014-15 and 2016-17).</w:t>
      </w:r>
    </w:p>
    <w:p w14:paraId="2D053CF6" w14:textId="77777777" w:rsidR="00765305" w:rsidRPr="008442CC" w:rsidRDefault="00765305" w:rsidP="00765305">
      <w:pPr>
        <w:ind w:left="-709"/>
        <w:rPr>
          <w:sz w:val="20"/>
          <w:szCs w:val="20"/>
        </w:rPr>
      </w:pPr>
    </w:p>
    <w:tbl>
      <w:tblPr>
        <w:tblpPr w:leftFromText="180" w:rightFromText="180" w:vertAnchor="page" w:horzAnchor="margin" w:tblpXSpec="center" w:tblpY="2412"/>
        <w:tblW w:w="1002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29"/>
      </w:tblGrid>
      <w:tr w:rsidR="00601CE0" w:rsidRPr="008442CC" w14:paraId="570FA16D" w14:textId="77777777" w:rsidTr="00C810D9">
        <w:trPr>
          <w:trHeight w:val="293"/>
        </w:trPr>
        <w:tc>
          <w:tcPr>
            <w:tcW w:w="10029" w:type="dxa"/>
            <w:vMerge w:val="restart"/>
            <w:shd w:val="clear" w:color="auto" w:fill="auto"/>
            <w:hideMark/>
          </w:tcPr>
          <w:p w14:paraId="3D007EDC" w14:textId="77777777" w:rsidR="00765305" w:rsidRPr="008442CC" w:rsidRDefault="00765305" w:rsidP="00C810D9">
            <w:pPr>
              <w:rPr>
                <w:rFonts w:ascii="Calibri" w:eastAsia="Times New Roman" w:hAnsi="Calibri" w:cs="Calibri"/>
                <w:sz w:val="20"/>
                <w:szCs w:val="20"/>
              </w:rPr>
            </w:pPr>
            <w:r w:rsidRPr="008442CC">
              <w:rPr>
                <w:rFonts w:ascii="Calibri" w:eastAsia="Calibri" w:hAnsi="Calibri" w:cs="Calibri"/>
                <w:b/>
                <w:sz w:val="20"/>
                <w:szCs w:val="20"/>
              </w:rPr>
              <w:t>Q1.</w:t>
            </w:r>
            <w:r w:rsidRPr="008442CC">
              <w:rPr>
                <w:rFonts w:ascii="Calibri" w:eastAsia="Calibri" w:hAnsi="Calibri" w:cs="Calibri"/>
                <w:sz w:val="20"/>
                <w:szCs w:val="20"/>
              </w:rPr>
              <w:t xml:space="preserve"> Did you feel welcome in the UK in the period [2014-15] / [2016-17]?</w:t>
            </w:r>
          </w:p>
        </w:tc>
      </w:tr>
      <w:tr w:rsidR="00601CE0" w:rsidRPr="008442CC" w14:paraId="4F1607E0" w14:textId="77777777" w:rsidTr="00C810D9">
        <w:trPr>
          <w:trHeight w:val="293"/>
        </w:trPr>
        <w:tc>
          <w:tcPr>
            <w:tcW w:w="10029" w:type="dxa"/>
            <w:vMerge/>
            <w:hideMark/>
          </w:tcPr>
          <w:p w14:paraId="0DB0B4D5" w14:textId="77777777" w:rsidR="00765305" w:rsidRPr="008442CC" w:rsidRDefault="00765305" w:rsidP="00C810D9">
            <w:pPr>
              <w:rPr>
                <w:rFonts w:ascii="Calibri" w:eastAsia="Times New Roman" w:hAnsi="Calibri" w:cs="Calibri"/>
                <w:sz w:val="20"/>
                <w:szCs w:val="20"/>
              </w:rPr>
            </w:pPr>
          </w:p>
        </w:tc>
      </w:tr>
      <w:tr w:rsidR="00601CE0" w:rsidRPr="008442CC" w14:paraId="730B307F" w14:textId="77777777" w:rsidTr="00C810D9">
        <w:trPr>
          <w:trHeight w:val="293"/>
        </w:trPr>
        <w:tc>
          <w:tcPr>
            <w:tcW w:w="10029" w:type="dxa"/>
            <w:vMerge w:val="restart"/>
            <w:shd w:val="clear" w:color="auto" w:fill="auto"/>
            <w:hideMark/>
          </w:tcPr>
          <w:p w14:paraId="1B38F491" w14:textId="77777777" w:rsidR="00765305" w:rsidRPr="008442CC" w:rsidRDefault="00765305" w:rsidP="00C810D9">
            <w:pPr>
              <w:rPr>
                <w:rFonts w:ascii="Calibri" w:eastAsia="Times New Roman" w:hAnsi="Calibri" w:cs="Calibri"/>
                <w:sz w:val="20"/>
                <w:szCs w:val="20"/>
              </w:rPr>
            </w:pPr>
            <w:r w:rsidRPr="008442CC">
              <w:rPr>
                <w:rFonts w:ascii="Calibri" w:eastAsia="Calibri" w:hAnsi="Calibri" w:cs="Calibri"/>
                <w:b/>
                <w:sz w:val="20"/>
                <w:szCs w:val="20"/>
              </w:rPr>
              <w:t>Q2.</w:t>
            </w:r>
            <w:r w:rsidRPr="008442CC">
              <w:rPr>
                <w:rFonts w:ascii="Calibri" w:eastAsia="Calibri" w:hAnsi="Calibri" w:cs="Calibri"/>
                <w:sz w:val="20"/>
                <w:szCs w:val="20"/>
              </w:rPr>
              <w:t xml:space="preserve"> Did you ever consider </w:t>
            </w:r>
            <w:r w:rsidRPr="008442CC">
              <w:rPr>
                <w:rFonts w:ascii="Calibri" w:eastAsia="Calibri" w:hAnsi="Calibri" w:cs="Calibri"/>
                <w:b/>
                <w:bCs/>
                <w:sz w:val="20"/>
                <w:szCs w:val="20"/>
              </w:rPr>
              <w:t>going back to your country</w:t>
            </w:r>
            <w:r w:rsidRPr="008442CC">
              <w:rPr>
                <w:rFonts w:ascii="Calibri" w:eastAsia="Calibri" w:hAnsi="Calibri" w:cs="Calibri"/>
                <w:sz w:val="20"/>
                <w:szCs w:val="20"/>
              </w:rPr>
              <w:t xml:space="preserve"> in the period [2014-15] / [2016-17]?</w:t>
            </w:r>
          </w:p>
        </w:tc>
      </w:tr>
      <w:tr w:rsidR="00601CE0" w:rsidRPr="008442CC" w14:paraId="196B1E4B" w14:textId="77777777" w:rsidTr="00C810D9">
        <w:trPr>
          <w:trHeight w:val="293"/>
        </w:trPr>
        <w:tc>
          <w:tcPr>
            <w:tcW w:w="10029" w:type="dxa"/>
            <w:vMerge/>
            <w:hideMark/>
          </w:tcPr>
          <w:p w14:paraId="0F505F77" w14:textId="77777777" w:rsidR="00765305" w:rsidRPr="008442CC" w:rsidRDefault="00765305" w:rsidP="00C810D9">
            <w:pPr>
              <w:rPr>
                <w:rFonts w:ascii="Calibri" w:eastAsia="Times New Roman" w:hAnsi="Calibri" w:cs="Calibri"/>
                <w:sz w:val="20"/>
                <w:szCs w:val="20"/>
              </w:rPr>
            </w:pPr>
          </w:p>
        </w:tc>
      </w:tr>
      <w:tr w:rsidR="00601CE0" w:rsidRPr="008442CC" w14:paraId="6BC6F3DF" w14:textId="77777777" w:rsidTr="00C810D9">
        <w:trPr>
          <w:trHeight w:val="293"/>
        </w:trPr>
        <w:tc>
          <w:tcPr>
            <w:tcW w:w="10029" w:type="dxa"/>
            <w:vMerge w:val="restart"/>
            <w:shd w:val="clear" w:color="auto" w:fill="auto"/>
            <w:hideMark/>
          </w:tcPr>
          <w:p w14:paraId="3D75D05A" w14:textId="77777777" w:rsidR="00765305" w:rsidRPr="008442CC" w:rsidRDefault="00765305" w:rsidP="00C810D9">
            <w:pPr>
              <w:rPr>
                <w:rFonts w:ascii="Calibri" w:eastAsia="Times New Roman" w:hAnsi="Calibri" w:cs="Calibri"/>
                <w:sz w:val="20"/>
                <w:szCs w:val="20"/>
              </w:rPr>
            </w:pPr>
            <w:r w:rsidRPr="008442CC">
              <w:rPr>
                <w:rFonts w:ascii="Calibri" w:eastAsia="Calibri" w:hAnsi="Calibri" w:cs="Calibri"/>
                <w:b/>
                <w:sz w:val="20"/>
                <w:szCs w:val="20"/>
              </w:rPr>
              <w:t>Q3.</w:t>
            </w:r>
            <w:r w:rsidRPr="008442CC">
              <w:rPr>
                <w:rFonts w:ascii="Calibri" w:eastAsia="Calibri" w:hAnsi="Calibri" w:cs="Calibri"/>
                <w:sz w:val="20"/>
                <w:szCs w:val="20"/>
              </w:rPr>
              <w:t xml:space="preserve"> </w:t>
            </w:r>
            <w:r w:rsidRPr="008442CC">
              <w:rPr>
                <w:rFonts w:ascii="Times New Roman" w:eastAsia="Calibri" w:hAnsi="Times New Roman" w:cs="Times New Roman"/>
                <w:sz w:val="20"/>
                <w:szCs w:val="20"/>
              </w:rPr>
              <w:t xml:space="preserve"> </w:t>
            </w:r>
            <w:r w:rsidRPr="008442CC">
              <w:rPr>
                <w:rFonts w:ascii="Calibri" w:eastAsia="Calibri" w:hAnsi="Calibri" w:cs="Calibri"/>
                <w:sz w:val="20"/>
                <w:szCs w:val="20"/>
              </w:rPr>
              <w:t xml:space="preserve">If you considered going back to your country in the period [2014-15] / [2016-17], </w:t>
            </w:r>
            <w:r w:rsidRPr="008442CC">
              <w:rPr>
                <w:rFonts w:ascii="Calibri" w:eastAsia="Calibri" w:hAnsi="Calibri" w:cs="Calibri"/>
                <w:b/>
                <w:bCs/>
                <w:sz w:val="20"/>
                <w:szCs w:val="20"/>
              </w:rPr>
              <w:t>please explain why.</w:t>
            </w:r>
          </w:p>
        </w:tc>
      </w:tr>
      <w:tr w:rsidR="00601CE0" w:rsidRPr="008442CC" w14:paraId="275F53FB" w14:textId="77777777" w:rsidTr="00C810D9">
        <w:trPr>
          <w:trHeight w:val="293"/>
        </w:trPr>
        <w:tc>
          <w:tcPr>
            <w:tcW w:w="10029" w:type="dxa"/>
            <w:vMerge/>
            <w:hideMark/>
          </w:tcPr>
          <w:p w14:paraId="4A86906C" w14:textId="77777777" w:rsidR="00765305" w:rsidRPr="008442CC" w:rsidRDefault="00765305" w:rsidP="00C810D9">
            <w:pPr>
              <w:rPr>
                <w:rFonts w:ascii="Calibri" w:eastAsia="Times New Roman" w:hAnsi="Calibri" w:cs="Calibri"/>
                <w:sz w:val="20"/>
                <w:szCs w:val="20"/>
              </w:rPr>
            </w:pPr>
          </w:p>
        </w:tc>
      </w:tr>
      <w:tr w:rsidR="00601CE0" w:rsidRPr="008442CC" w14:paraId="2DED633A" w14:textId="77777777" w:rsidTr="00C810D9">
        <w:trPr>
          <w:trHeight w:val="293"/>
        </w:trPr>
        <w:tc>
          <w:tcPr>
            <w:tcW w:w="10029" w:type="dxa"/>
            <w:vMerge w:val="restart"/>
            <w:shd w:val="clear" w:color="auto" w:fill="auto"/>
            <w:hideMark/>
          </w:tcPr>
          <w:p w14:paraId="0F25885F" w14:textId="77777777" w:rsidR="00765305" w:rsidRPr="008442CC" w:rsidRDefault="00765305" w:rsidP="00C810D9">
            <w:pPr>
              <w:rPr>
                <w:rFonts w:ascii="Calibri" w:eastAsia="Times New Roman" w:hAnsi="Calibri" w:cs="Calibri"/>
                <w:sz w:val="20"/>
                <w:szCs w:val="20"/>
              </w:rPr>
            </w:pPr>
            <w:r w:rsidRPr="008442CC">
              <w:rPr>
                <w:rFonts w:ascii="Calibri" w:eastAsia="Calibri" w:hAnsi="Calibri" w:cs="Calibri"/>
                <w:b/>
                <w:sz w:val="20"/>
                <w:szCs w:val="20"/>
              </w:rPr>
              <w:t>Q</w:t>
            </w:r>
            <w:r w:rsidRPr="008442CC">
              <w:rPr>
                <w:rFonts w:ascii="Calibri" w:eastAsia="Times New Roman" w:hAnsi="Calibri" w:cs="Calibri"/>
                <w:b/>
                <w:sz w:val="20"/>
                <w:szCs w:val="20"/>
              </w:rPr>
              <w:t>4.</w:t>
            </w:r>
            <w:r w:rsidRPr="008442CC">
              <w:rPr>
                <w:rFonts w:ascii="Calibri" w:eastAsia="Times New Roman" w:hAnsi="Calibri" w:cs="Calibri"/>
                <w:sz w:val="20"/>
                <w:szCs w:val="20"/>
              </w:rPr>
              <w:t xml:space="preserve"> </w:t>
            </w:r>
            <w:r w:rsidRPr="008442CC">
              <w:rPr>
                <w:rFonts w:ascii="Times New Roman" w:eastAsia="Times New Roman" w:hAnsi="Times New Roman" w:cs="Times New Roman"/>
                <w:sz w:val="20"/>
                <w:szCs w:val="20"/>
              </w:rPr>
              <w:t xml:space="preserve"> </w:t>
            </w:r>
            <w:r w:rsidRPr="008442CC">
              <w:rPr>
                <w:rFonts w:ascii="Calibri" w:eastAsia="Times New Roman" w:hAnsi="Calibri" w:cs="Calibri"/>
                <w:sz w:val="20"/>
                <w:szCs w:val="20"/>
              </w:rPr>
              <w:t xml:space="preserve">In </w:t>
            </w:r>
            <w:r w:rsidRPr="008442CC">
              <w:rPr>
                <w:rFonts w:ascii="Calibri" w:eastAsia="Calibri" w:hAnsi="Calibri" w:cs="Calibri"/>
                <w:sz w:val="20"/>
                <w:szCs w:val="20"/>
              </w:rPr>
              <w:t>[2014-15] / [2016-17]</w:t>
            </w:r>
            <w:r w:rsidRPr="008442CC">
              <w:rPr>
                <w:rFonts w:ascii="Calibri" w:eastAsia="Times New Roman" w:hAnsi="Calibri" w:cs="Calibri"/>
                <w:sz w:val="20"/>
                <w:szCs w:val="20"/>
              </w:rPr>
              <w:t xml:space="preserve">, how often did others </w:t>
            </w:r>
            <w:r w:rsidRPr="008442CC">
              <w:rPr>
                <w:rFonts w:ascii="Calibri" w:eastAsia="Times New Roman" w:hAnsi="Calibri" w:cs="Calibri"/>
                <w:b/>
                <w:bCs/>
                <w:sz w:val="20"/>
                <w:szCs w:val="20"/>
              </w:rPr>
              <w:t>avoided contact</w:t>
            </w:r>
            <w:r w:rsidRPr="008442CC">
              <w:rPr>
                <w:rFonts w:ascii="Calibri" w:eastAsia="Times New Roman" w:hAnsi="Calibri" w:cs="Calibri"/>
                <w:sz w:val="20"/>
                <w:szCs w:val="20"/>
              </w:rPr>
              <w:t xml:space="preserve"> with you because of your foreign origin?</w:t>
            </w:r>
          </w:p>
        </w:tc>
      </w:tr>
      <w:tr w:rsidR="00601CE0" w:rsidRPr="008442CC" w14:paraId="5329771E" w14:textId="77777777" w:rsidTr="00C810D9">
        <w:trPr>
          <w:trHeight w:val="293"/>
        </w:trPr>
        <w:tc>
          <w:tcPr>
            <w:tcW w:w="10029" w:type="dxa"/>
            <w:vMerge/>
            <w:hideMark/>
          </w:tcPr>
          <w:p w14:paraId="07048330" w14:textId="77777777" w:rsidR="00765305" w:rsidRPr="008442CC" w:rsidRDefault="00765305" w:rsidP="00C810D9">
            <w:pPr>
              <w:rPr>
                <w:rFonts w:ascii="Calibri" w:eastAsia="Times New Roman" w:hAnsi="Calibri" w:cs="Calibri"/>
                <w:sz w:val="20"/>
                <w:szCs w:val="20"/>
              </w:rPr>
            </w:pPr>
          </w:p>
        </w:tc>
      </w:tr>
      <w:tr w:rsidR="00601CE0" w:rsidRPr="008442CC" w14:paraId="35DE2099" w14:textId="77777777" w:rsidTr="00C810D9">
        <w:trPr>
          <w:trHeight w:val="484"/>
        </w:trPr>
        <w:tc>
          <w:tcPr>
            <w:tcW w:w="10029" w:type="dxa"/>
            <w:vMerge w:val="restart"/>
            <w:shd w:val="clear" w:color="auto" w:fill="auto"/>
            <w:hideMark/>
          </w:tcPr>
          <w:p w14:paraId="78CB99F4" w14:textId="77777777" w:rsidR="00765305" w:rsidRPr="008442CC" w:rsidRDefault="00765305" w:rsidP="00C810D9">
            <w:pPr>
              <w:spacing w:after="240"/>
              <w:rPr>
                <w:rFonts w:ascii="Calibri" w:eastAsia="Times New Roman" w:hAnsi="Calibri" w:cs="Calibri"/>
                <w:sz w:val="20"/>
                <w:szCs w:val="20"/>
              </w:rPr>
            </w:pPr>
            <w:r w:rsidRPr="008442CC">
              <w:rPr>
                <w:rFonts w:ascii="Calibri" w:eastAsia="Calibri" w:hAnsi="Calibri" w:cs="Calibri"/>
                <w:b/>
                <w:sz w:val="20"/>
                <w:szCs w:val="20"/>
              </w:rPr>
              <w:t>Q</w:t>
            </w:r>
            <w:r w:rsidRPr="008442CC">
              <w:rPr>
                <w:rFonts w:ascii="Calibri" w:eastAsia="Times New Roman" w:hAnsi="Calibri" w:cs="Calibri"/>
                <w:b/>
                <w:sz w:val="20"/>
                <w:szCs w:val="20"/>
              </w:rPr>
              <w:t>5.</w:t>
            </w:r>
            <w:r w:rsidRPr="008442CC">
              <w:rPr>
                <w:rFonts w:ascii="Calibri" w:eastAsia="Times New Roman" w:hAnsi="Calibri" w:cs="Calibri"/>
                <w:sz w:val="20"/>
                <w:szCs w:val="20"/>
              </w:rPr>
              <w:t xml:space="preserve"> </w:t>
            </w:r>
            <w:r w:rsidRPr="008442CC">
              <w:rPr>
                <w:rFonts w:ascii="Times New Roman" w:eastAsia="Times New Roman" w:hAnsi="Times New Roman" w:cs="Times New Roman"/>
                <w:sz w:val="20"/>
                <w:szCs w:val="20"/>
              </w:rPr>
              <w:t xml:space="preserve"> </w:t>
            </w:r>
            <w:r w:rsidRPr="008442CC">
              <w:rPr>
                <w:rFonts w:ascii="Calibri" w:eastAsia="Times New Roman" w:hAnsi="Calibri" w:cs="Calibri"/>
                <w:sz w:val="20"/>
                <w:szCs w:val="20"/>
              </w:rPr>
              <w:t xml:space="preserve">In </w:t>
            </w:r>
            <w:r w:rsidRPr="008442CC">
              <w:rPr>
                <w:rFonts w:ascii="Calibri" w:eastAsia="Calibri" w:hAnsi="Calibri" w:cs="Calibri"/>
                <w:sz w:val="20"/>
                <w:szCs w:val="20"/>
              </w:rPr>
              <w:t>[2014-15] / [2016-17]</w:t>
            </w:r>
            <w:r w:rsidRPr="008442CC">
              <w:rPr>
                <w:rFonts w:ascii="Calibri" w:eastAsia="Times New Roman" w:hAnsi="Calibri" w:cs="Calibri"/>
                <w:sz w:val="20"/>
                <w:szCs w:val="20"/>
              </w:rPr>
              <w:t xml:space="preserve">, how often were you made feel as though </w:t>
            </w:r>
            <w:r w:rsidRPr="008442CC">
              <w:rPr>
                <w:rFonts w:ascii="Calibri" w:eastAsia="Times New Roman" w:hAnsi="Calibri" w:cs="Calibri"/>
                <w:b/>
                <w:bCs/>
                <w:sz w:val="20"/>
                <w:szCs w:val="20"/>
              </w:rPr>
              <w:t>you don’t fit in</w:t>
            </w:r>
            <w:r w:rsidRPr="008442CC">
              <w:rPr>
                <w:rFonts w:ascii="Calibri" w:eastAsia="Times New Roman" w:hAnsi="Calibri" w:cs="Calibri"/>
                <w:sz w:val="20"/>
                <w:szCs w:val="20"/>
              </w:rPr>
              <w:t xml:space="preserve"> because of your dress, speech, or other characteristics related to your foreign origin?</w:t>
            </w:r>
          </w:p>
        </w:tc>
      </w:tr>
      <w:tr w:rsidR="00601CE0" w:rsidRPr="008442CC" w14:paraId="701AA6FD" w14:textId="77777777" w:rsidTr="00C810D9">
        <w:trPr>
          <w:trHeight w:val="293"/>
        </w:trPr>
        <w:tc>
          <w:tcPr>
            <w:tcW w:w="10029" w:type="dxa"/>
            <w:vMerge/>
            <w:hideMark/>
          </w:tcPr>
          <w:p w14:paraId="25956A45" w14:textId="77777777" w:rsidR="00765305" w:rsidRPr="008442CC" w:rsidRDefault="00765305" w:rsidP="00C810D9">
            <w:pPr>
              <w:rPr>
                <w:rFonts w:ascii="Calibri" w:eastAsia="Times New Roman" w:hAnsi="Calibri" w:cs="Calibri"/>
                <w:sz w:val="20"/>
                <w:szCs w:val="20"/>
              </w:rPr>
            </w:pPr>
          </w:p>
        </w:tc>
      </w:tr>
      <w:tr w:rsidR="00601CE0" w:rsidRPr="008442CC" w14:paraId="163C887E" w14:textId="77777777" w:rsidTr="00C810D9">
        <w:trPr>
          <w:trHeight w:val="244"/>
        </w:trPr>
        <w:tc>
          <w:tcPr>
            <w:tcW w:w="10029" w:type="dxa"/>
            <w:shd w:val="clear" w:color="auto" w:fill="auto"/>
            <w:hideMark/>
          </w:tcPr>
          <w:p w14:paraId="49853484" w14:textId="77777777" w:rsidR="00765305" w:rsidRPr="008442CC" w:rsidRDefault="00765305" w:rsidP="00C810D9">
            <w:pPr>
              <w:rPr>
                <w:rFonts w:ascii="Calibri" w:eastAsia="Times New Roman" w:hAnsi="Calibri" w:cs="Calibri"/>
                <w:sz w:val="20"/>
                <w:szCs w:val="20"/>
              </w:rPr>
            </w:pPr>
            <w:r w:rsidRPr="008442CC">
              <w:rPr>
                <w:rFonts w:ascii="Calibri" w:eastAsia="Calibri" w:hAnsi="Calibri" w:cs="Calibri"/>
                <w:b/>
                <w:sz w:val="20"/>
                <w:szCs w:val="20"/>
              </w:rPr>
              <w:t>Q</w:t>
            </w:r>
            <w:r w:rsidRPr="008442CC">
              <w:rPr>
                <w:rFonts w:ascii="Calibri" w:eastAsia="Times New Roman" w:hAnsi="Calibri" w:cs="Calibri"/>
                <w:b/>
                <w:sz w:val="20"/>
                <w:szCs w:val="20"/>
              </w:rPr>
              <w:t>6.</w:t>
            </w:r>
            <w:r w:rsidRPr="008442CC">
              <w:rPr>
                <w:rFonts w:ascii="Calibri" w:eastAsia="Times New Roman" w:hAnsi="Calibri" w:cs="Calibri"/>
                <w:sz w:val="20"/>
                <w:szCs w:val="20"/>
              </w:rPr>
              <w:t xml:space="preserve"> In </w:t>
            </w:r>
            <w:r w:rsidRPr="008442CC">
              <w:rPr>
                <w:rFonts w:ascii="Calibri" w:eastAsia="Calibri" w:hAnsi="Calibri" w:cs="Calibri"/>
                <w:sz w:val="20"/>
                <w:szCs w:val="20"/>
              </w:rPr>
              <w:t>[2014-15] / [2016-17]</w:t>
            </w:r>
            <w:r w:rsidRPr="008442CC">
              <w:rPr>
                <w:rFonts w:ascii="Calibri" w:eastAsia="Times New Roman" w:hAnsi="Calibri" w:cs="Calibri"/>
                <w:sz w:val="20"/>
                <w:szCs w:val="20"/>
              </w:rPr>
              <w:t xml:space="preserve">, how often was it </w:t>
            </w:r>
            <w:r w:rsidRPr="008442CC">
              <w:rPr>
                <w:rFonts w:ascii="Calibri" w:eastAsia="Times New Roman" w:hAnsi="Calibri" w:cs="Calibri"/>
                <w:b/>
                <w:bCs/>
                <w:sz w:val="20"/>
                <w:szCs w:val="20"/>
              </w:rPr>
              <w:t>implied or suggested that because of your foreign origin you must be</w:t>
            </w:r>
            <w:r w:rsidRPr="008442CC">
              <w:rPr>
                <w:rFonts w:ascii="Calibri" w:eastAsia="Times New Roman" w:hAnsi="Calibri" w:cs="Calibri"/>
                <w:sz w:val="20"/>
                <w:szCs w:val="20"/>
              </w:rPr>
              <w:t>:</w:t>
            </w:r>
          </w:p>
        </w:tc>
      </w:tr>
      <w:tr w:rsidR="00601CE0" w:rsidRPr="008442CC" w14:paraId="457C5C53" w14:textId="77777777" w:rsidTr="00C810D9">
        <w:trPr>
          <w:trHeight w:val="20"/>
        </w:trPr>
        <w:tc>
          <w:tcPr>
            <w:tcW w:w="10029" w:type="dxa"/>
            <w:shd w:val="clear" w:color="auto" w:fill="auto"/>
            <w:noWrap/>
            <w:hideMark/>
          </w:tcPr>
          <w:p w14:paraId="2B4D09C4" w14:textId="77777777" w:rsidR="00765305" w:rsidRPr="008442CC" w:rsidRDefault="00765305" w:rsidP="00C810D9">
            <w:pPr>
              <w:rPr>
                <w:rFonts w:ascii="Calibri" w:eastAsia="Times New Roman" w:hAnsi="Calibri" w:cs="Calibri"/>
                <w:sz w:val="20"/>
                <w:szCs w:val="20"/>
              </w:rPr>
            </w:pPr>
            <w:r w:rsidRPr="008442CC">
              <w:rPr>
                <w:rFonts w:ascii="Calibri" w:eastAsia="Times New Roman" w:hAnsi="Calibri" w:cs="Calibri"/>
                <w:sz w:val="20"/>
                <w:szCs w:val="20"/>
              </w:rPr>
              <w:t>a. Dishonest?</w:t>
            </w:r>
          </w:p>
        </w:tc>
      </w:tr>
      <w:tr w:rsidR="00601CE0" w:rsidRPr="008442CC" w14:paraId="37107FB7" w14:textId="77777777" w:rsidTr="00C810D9">
        <w:trPr>
          <w:trHeight w:val="20"/>
        </w:trPr>
        <w:tc>
          <w:tcPr>
            <w:tcW w:w="10029" w:type="dxa"/>
            <w:shd w:val="clear" w:color="auto" w:fill="auto"/>
            <w:noWrap/>
            <w:hideMark/>
          </w:tcPr>
          <w:p w14:paraId="4EEEB7DD" w14:textId="77777777" w:rsidR="00765305" w:rsidRPr="008442CC" w:rsidRDefault="00765305" w:rsidP="00C810D9">
            <w:pPr>
              <w:rPr>
                <w:rFonts w:ascii="Calibri" w:eastAsia="Times New Roman" w:hAnsi="Calibri" w:cs="Calibri"/>
                <w:sz w:val="20"/>
                <w:szCs w:val="20"/>
              </w:rPr>
            </w:pPr>
            <w:r w:rsidRPr="008442CC">
              <w:rPr>
                <w:rFonts w:ascii="Calibri" w:eastAsia="Times New Roman" w:hAnsi="Calibri" w:cs="Times New Roman"/>
                <w:sz w:val="20"/>
                <w:szCs w:val="20"/>
              </w:rPr>
              <w:t>b. Violent or dangerous?</w:t>
            </w:r>
          </w:p>
        </w:tc>
      </w:tr>
      <w:tr w:rsidR="00601CE0" w:rsidRPr="008442CC" w14:paraId="19D30EA2" w14:textId="77777777" w:rsidTr="00C810D9">
        <w:trPr>
          <w:trHeight w:val="20"/>
        </w:trPr>
        <w:tc>
          <w:tcPr>
            <w:tcW w:w="10029" w:type="dxa"/>
            <w:shd w:val="clear" w:color="auto" w:fill="auto"/>
            <w:noWrap/>
            <w:hideMark/>
          </w:tcPr>
          <w:p w14:paraId="0F004E93" w14:textId="77777777" w:rsidR="00765305" w:rsidRPr="008442CC" w:rsidRDefault="00765305" w:rsidP="00C810D9">
            <w:pPr>
              <w:rPr>
                <w:rFonts w:ascii="Calibri" w:eastAsia="Times New Roman" w:hAnsi="Calibri" w:cs="Calibri"/>
                <w:sz w:val="20"/>
                <w:szCs w:val="20"/>
              </w:rPr>
            </w:pPr>
            <w:r w:rsidRPr="008442CC">
              <w:rPr>
                <w:rFonts w:ascii="Calibri" w:eastAsia="Times New Roman" w:hAnsi="Calibri" w:cs="Times New Roman"/>
                <w:sz w:val="20"/>
                <w:szCs w:val="20"/>
              </w:rPr>
              <w:t>c. Dirty?</w:t>
            </w:r>
          </w:p>
        </w:tc>
      </w:tr>
      <w:tr w:rsidR="00601CE0" w:rsidRPr="008442CC" w14:paraId="00A181D1" w14:textId="77777777" w:rsidTr="00C810D9">
        <w:trPr>
          <w:trHeight w:val="20"/>
        </w:trPr>
        <w:tc>
          <w:tcPr>
            <w:tcW w:w="10029" w:type="dxa"/>
            <w:shd w:val="clear" w:color="auto" w:fill="auto"/>
            <w:noWrap/>
            <w:hideMark/>
          </w:tcPr>
          <w:p w14:paraId="50E51D4A" w14:textId="77777777" w:rsidR="00765305" w:rsidRPr="008442CC" w:rsidRDefault="00765305" w:rsidP="00C810D9">
            <w:pPr>
              <w:rPr>
                <w:rFonts w:ascii="Calibri" w:eastAsia="Times New Roman" w:hAnsi="Calibri" w:cs="Calibri"/>
                <w:sz w:val="20"/>
                <w:szCs w:val="20"/>
              </w:rPr>
            </w:pPr>
            <w:r w:rsidRPr="008442CC">
              <w:rPr>
                <w:rFonts w:ascii="Calibri" w:eastAsia="Times New Roman" w:hAnsi="Calibri" w:cs="Times New Roman"/>
                <w:sz w:val="20"/>
                <w:szCs w:val="20"/>
              </w:rPr>
              <w:t>d. Lazy?</w:t>
            </w:r>
          </w:p>
        </w:tc>
      </w:tr>
      <w:tr w:rsidR="00601CE0" w:rsidRPr="008442CC" w14:paraId="7F366051" w14:textId="77777777" w:rsidTr="00C810D9">
        <w:trPr>
          <w:trHeight w:val="20"/>
        </w:trPr>
        <w:tc>
          <w:tcPr>
            <w:tcW w:w="10029" w:type="dxa"/>
            <w:shd w:val="clear" w:color="auto" w:fill="auto"/>
            <w:noWrap/>
            <w:hideMark/>
          </w:tcPr>
          <w:p w14:paraId="4EFDF1E9" w14:textId="77777777" w:rsidR="00765305" w:rsidRPr="008442CC" w:rsidRDefault="00765305" w:rsidP="00C810D9">
            <w:pPr>
              <w:rPr>
                <w:rFonts w:ascii="Calibri" w:eastAsia="Times New Roman" w:hAnsi="Calibri" w:cs="Calibri"/>
                <w:sz w:val="20"/>
                <w:szCs w:val="20"/>
              </w:rPr>
            </w:pPr>
            <w:r w:rsidRPr="008442CC">
              <w:rPr>
                <w:rFonts w:ascii="Calibri" w:eastAsia="Calibri" w:hAnsi="Calibri" w:cs="Calibri"/>
                <w:sz w:val="20"/>
                <w:szCs w:val="20"/>
              </w:rPr>
              <w:t>e. Willing to accept lower wages?</w:t>
            </w:r>
          </w:p>
        </w:tc>
      </w:tr>
      <w:tr w:rsidR="00601CE0" w:rsidRPr="008442CC" w14:paraId="5554C5DF" w14:textId="77777777" w:rsidTr="00C810D9">
        <w:trPr>
          <w:trHeight w:val="20"/>
        </w:trPr>
        <w:tc>
          <w:tcPr>
            <w:tcW w:w="10029" w:type="dxa"/>
            <w:shd w:val="clear" w:color="auto" w:fill="auto"/>
            <w:noWrap/>
            <w:hideMark/>
          </w:tcPr>
          <w:p w14:paraId="641A0593" w14:textId="77777777" w:rsidR="00765305" w:rsidRPr="008442CC" w:rsidRDefault="00765305" w:rsidP="00C810D9">
            <w:pPr>
              <w:spacing w:after="240"/>
              <w:rPr>
                <w:rFonts w:ascii="Calibri" w:eastAsia="Times New Roman" w:hAnsi="Calibri" w:cs="Calibri"/>
                <w:sz w:val="20"/>
                <w:szCs w:val="20"/>
              </w:rPr>
            </w:pPr>
            <w:r w:rsidRPr="008442CC">
              <w:rPr>
                <w:rFonts w:ascii="Calibri" w:eastAsia="Times New Roman" w:hAnsi="Calibri" w:cs="Calibri"/>
                <w:sz w:val="20"/>
                <w:szCs w:val="20"/>
              </w:rPr>
              <w:t>f. Taking advantage of the UK benefit system?</w:t>
            </w:r>
          </w:p>
        </w:tc>
      </w:tr>
      <w:tr w:rsidR="00601CE0" w:rsidRPr="008442CC" w14:paraId="6B3EA4E8" w14:textId="77777777" w:rsidTr="00C810D9">
        <w:trPr>
          <w:trHeight w:val="293"/>
        </w:trPr>
        <w:tc>
          <w:tcPr>
            <w:tcW w:w="10029" w:type="dxa"/>
            <w:vMerge w:val="restart"/>
            <w:shd w:val="clear" w:color="auto" w:fill="auto"/>
            <w:hideMark/>
          </w:tcPr>
          <w:p w14:paraId="3037E450" w14:textId="77777777" w:rsidR="00765305" w:rsidRPr="008442CC" w:rsidRDefault="00765305" w:rsidP="00C810D9">
            <w:pPr>
              <w:rPr>
                <w:rFonts w:ascii="Calibri" w:eastAsia="Times New Roman" w:hAnsi="Calibri" w:cs="Calibri"/>
                <w:sz w:val="20"/>
                <w:szCs w:val="20"/>
              </w:rPr>
            </w:pPr>
            <w:r w:rsidRPr="008442CC">
              <w:rPr>
                <w:rFonts w:ascii="Calibri" w:eastAsia="Calibri" w:hAnsi="Calibri" w:cs="Calibri"/>
                <w:b/>
                <w:sz w:val="20"/>
                <w:szCs w:val="20"/>
              </w:rPr>
              <w:t>Q</w:t>
            </w:r>
            <w:r w:rsidRPr="008442CC">
              <w:rPr>
                <w:rFonts w:ascii="Calibri" w:eastAsia="Times New Roman" w:hAnsi="Calibri" w:cs="Calibri"/>
                <w:b/>
                <w:sz w:val="20"/>
                <w:szCs w:val="20"/>
              </w:rPr>
              <w:t>7.</w:t>
            </w:r>
            <w:r w:rsidRPr="008442CC">
              <w:rPr>
                <w:rFonts w:ascii="Times New Roman" w:eastAsia="Times New Roman" w:hAnsi="Times New Roman" w:cs="Times New Roman"/>
                <w:sz w:val="20"/>
                <w:szCs w:val="20"/>
              </w:rPr>
              <w:t> </w:t>
            </w:r>
            <w:r w:rsidRPr="008442CC">
              <w:rPr>
                <w:rFonts w:ascii="Calibri" w:eastAsia="Times New Roman" w:hAnsi="Calibri" w:cs="Calibri"/>
                <w:sz w:val="20"/>
                <w:szCs w:val="20"/>
              </w:rPr>
              <w:t xml:space="preserve">In </w:t>
            </w:r>
            <w:r w:rsidRPr="008442CC">
              <w:rPr>
                <w:rFonts w:ascii="Calibri" w:eastAsia="Calibri" w:hAnsi="Calibri" w:cs="Calibri"/>
                <w:sz w:val="20"/>
                <w:szCs w:val="20"/>
              </w:rPr>
              <w:t>[2014-15] / [2016-17]</w:t>
            </w:r>
            <w:r w:rsidRPr="008442CC">
              <w:rPr>
                <w:rFonts w:ascii="Calibri" w:eastAsia="Times New Roman" w:hAnsi="Calibri" w:cs="Calibri"/>
                <w:sz w:val="20"/>
                <w:szCs w:val="20"/>
              </w:rPr>
              <w:t xml:space="preserve">, how often were you subjected to </w:t>
            </w:r>
            <w:r w:rsidRPr="008442CC">
              <w:rPr>
                <w:rFonts w:ascii="Calibri" w:eastAsia="Times New Roman" w:hAnsi="Calibri" w:cs="Calibri"/>
                <w:b/>
                <w:bCs/>
                <w:sz w:val="20"/>
                <w:szCs w:val="20"/>
              </w:rPr>
              <w:t>offensive comments</w:t>
            </w:r>
            <w:r w:rsidRPr="008442CC">
              <w:rPr>
                <w:rFonts w:ascii="Calibri" w:eastAsia="Times New Roman" w:hAnsi="Calibri" w:cs="Calibri"/>
                <w:sz w:val="20"/>
                <w:szCs w:val="20"/>
              </w:rPr>
              <w:t xml:space="preserve"> about your foreign origin (e.g. stereotypic statements, offensive jokes), spoken either in your presence or behind your back?</w:t>
            </w:r>
          </w:p>
        </w:tc>
      </w:tr>
      <w:tr w:rsidR="00601CE0" w:rsidRPr="008442CC" w14:paraId="5D8D3024" w14:textId="77777777" w:rsidTr="00C810D9">
        <w:trPr>
          <w:trHeight w:val="293"/>
        </w:trPr>
        <w:tc>
          <w:tcPr>
            <w:tcW w:w="10029" w:type="dxa"/>
            <w:vMerge/>
            <w:hideMark/>
          </w:tcPr>
          <w:p w14:paraId="5D493BEF" w14:textId="77777777" w:rsidR="00765305" w:rsidRPr="008442CC" w:rsidRDefault="00765305" w:rsidP="00C810D9">
            <w:pPr>
              <w:rPr>
                <w:rFonts w:ascii="Calibri" w:eastAsia="Times New Roman" w:hAnsi="Calibri" w:cs="Calibri"/>
                <w:sz w:val="20"/>
                <w:szCs w:val="20"/>
              </w:rPr>
            </w:pPr>
          </w:p>
        </w:tc>
      </w:tr>
      <w:tr w:rsidR="00601CE0" w:rsidRPr="008442CC" w14:paraId="27EA4C8D" w14:textId="77777777" w:rsidTr="00C810D9">
        <w:trPr>
          <w:trHeight w:val="293"/>
        </w:trPr>
        <w:tc>
          <w:tcPr>
            <w:tcW w:w="10029" w:type="dxa"/>
            <w:vMerge/>
            <w:hideMark/>
          </w:tcPr>
          <w:p w14:paraId="0C7CB9A3" w14:textId="77777777" w:rsidR="00765305" w:rsidRPr="008442CC" w:rsidRDefault="00765305" w:rsidP="00C810D9">
            <w:pPr>
              <w:rPr>
                <w:rFonts w:ascii="Calibri" w:eastAsia="Times New Roman" w:hAnsi="Calibri" w:cs="Calibri"/>
                <w:sz w:val="20"/>
                <w:szCs w:val="20"/>
              </w:rPr>
            </w:pPr>
          </w:p>
        </w:tc>
      </w:tr>
      <w:tr w:rsidR="00601CE0" w:rsidRPr="008442CC" w14:paraId="04960B31" w14:textId="77777777" w:rsidTr="00C810D9">
        <w:trPr>
          <w:trHeight w:val="484"/>
        </w:trPr>
        <w:tc>
          <w:tcPr>
            <w:tcW w:w="10029" w:type="dxa"/>
            <w:vMerge w:val="restart"/>
            <w:shd w:val="clear" w:color="auto" w:fill="auto"/>
            <w:hideMark/>
          </w:tcPr>
          <w:p w14:paraId="628788C0" w14:textId="77777777" w:rsidR="00765305" w:rsidRPr="008442CC" w:rsidRDefault="00765305" w:rsidP="00C810D9">
            <w:pPr>
              <w:spacing w:after="240"/>
              <w:rPr>
                <w:rFonts w:ascii="Calibri" w:eastAsia="Times New Roman" w:hAnsi="Calibri" w:cs="Calibri"/>
                <w:sz w:val="20"/>
                <w:szCs w:val="20"/>
              </w:rPr>
            </w:pPr>
            <w:r w:rsidRPr="008442CC">
              <w:rPr>
                <w:rFonts w:ascii="Calibri" w:eastAsia="Calibri" w:hAnsi="Calibri" w:cs="Calibri"/>
                <w:b/>
                <w:sz w:val="20"/>
                <w:szCs w:val="20"/>
              </w:rPr>
              <w:t>Q</w:t>
            </w:r>
            <w:r w:rsidRPr="008442CC">
              <w:rPr>
                <w:rFonts w:ascii="Calibri" w:eastAsia="Times New Roman" w:hAnsi="Calibri" w:cs="Calibri"/>
                <w:b/>
                <w:sz w:val="20"/>
                <w:szCs w:val="20"/>
              </w:rPr>
              <w:t>8.</w:t>
            </w:r>
            <w:r w:rsidRPr="008442CC">
              <w:rPr>
                <w:rFonts w:ascii="Times New Roman" w:eastAsia="Times New Roman" w:hAnsi="Times New Roman" w:cs="Times New Roman"/>
                <w:sz w:val="20"/>
                <w:szCs w:val="20"/>
              </w:rPr>
              <w:t xml:space="preserve"> </w:t>
            </w:r>
            <w:r w:rsidRPr="008442CC">
              <w:rPr>
                <w:rFonts w:ascii="Calibri" w:eastAsia="Times New Roman" w:hAnsi="Calibri" w:cs="Calibri"/>
                <w:sz w:val="20"/>
                <w:szCs w:val="20"/>
              </w:rPr>
              <w:t xml:space="preserve">In </w:t>
            </w:r>
            <w:r w:rsidRPr="008442CC">
              <w:rPr>
                <w:rFonts w:ascii="Calibri" w:eastAsia="Calibri" w:hAnsi="Calibri" w:cs="Calibri"/>
                <w:sz w:val="20"/>
                <w:szCs w:val="20"/>
              </w:rPr>
              <w:t>[2014-15] / [2016-17]</w:t>
            </w:r>
            <w:r w:rsidRPr="008442CC">
              <w:rPr>
                <w:rFonts w:ascii="Calibri" w:eastAsia="Times New Roman" w:hAnsi="Calibri" w:cs="Calibri"/>
                <w:sz w:val="20"/>
                <w:szCs w:val="20"/>
              </w:rPr>
              <w:t xml:space="preserve">, how often were you </w:t>
            </w:r>
            <w:r w:rsidRPr="008442CC">
              <w:rPr>
                <w:rFonts w:ascii="Calibri" w:eastAsia="Times New Roman" w:hAnsi="Calibri" w:cs="Calibri"/>
                <w:b/>
                <w:bCs/>
                <w:sz w:val="20"/>
                <w:szCs w:val="20"/>
              </w:rPr>
              <w:t>denied access to a public facility or organization</w:t>
            </w:r>
            <w:r w:rsidRPr="008442CC">
              <w:rPr>
                <w:rFonts w:ascii="Calibri" w:eastAsia="Times New Roman" w:hAnsi="Calibri" w:cs="Calibri"/>
                <w:sz w:val="20"/>
                <w:szCs w:val="20"/>
              </w:rPr>
              <w:t xml:space="preserve"> because of your foreign origin?</w:t>
            </w:r>
          </w:p>
        </w:tc>
      </w:tr>
      <w:tr w:rsidR="00601CE0" w:rsidRPr="008442CC" w14:paraId="7D17D82E" w14:textId="77777777" w:rsidTr="00C810D9">
        <w:trPr>
          <w:trHeight w:val="293"/>
        </w:trPr>
        <w:tc>
          <w:tcPr>
            <w:tcW w:w="10029" w:type="dxa"/>
            <w:vMerge/>
            <w:hideMark/>
          </w:tcPr>
          <w:p w14:paraId="0B37F753" w14:textId="77777777" w:rsidR="00765305" w:rsidRPr="008442CC" w:rsidRDefault="00765305" w:rsidP="00C810D9">
            <w:pPr>
              <w:rPr>
                <w:rFonts w:ascii="Calibri" w:eastAsia="Times New Roman" w:hAnsi="Calibri" w:cs="Calibri"/>
                <w:sz w:val="20"/>
                <w:szCs w:val="20"/>
              </w:rPr>
            </w:pPr>
          </w:p>
        </w:tc>
      </w:tr>
      <w:tr w:rsidR="00601CE0" w:rsidRPr="008442CC" w14:paraId="6066A3AF" w14:textId="77777777" w:rsidTr="00C810D9">
        <w:trPr>
          <w:trHeight w:val="244"/>
        </w:trPr>
        <w:tc>
          <w:tcPr>
            <w:tcW w:w="10029" w:type="dxa"/>
            <w:shd w:val="clear" w:color="auto" w:fill="auto"/>
            <w:hideMark/>
          </w:tcPr>
          <w:p w14:paraId="16CD6349" w14:textId="77777777" w:rsidR="00765305" w:rsidRPr="008442CC" w:rsidRDefault="00765305" w:rsidP="00C810D9">
            <w:pPr>
              <w:rPr>
                <w:rFonts w:ascii="Calibri" w:eastAsia="Times New Roman" w:hAnsi="Calibri" w:cs="Calibri"/>
                <w:sz w:val="20"/>
                <w:szCs w:val="20"/>
              </w:rPr>
            </w:pPr>
            <w:r w:rsidRPr="008442CC">
              <w:rPr>
                <w:rFonts w:ascii="Calibri" w:eastAsia="Calibri" w:hAnsi="Calibri" w:cs="Calibri"/>
                <w:b/>
                <w:sz w:val="20"/>
                <w:szCs w:val="20"/>
              </w:rPr>
              <w:t>Q9.</w:t>
            </w:r>
            <w:r w:rsidRPr="008442CC">
              <w:rPr>
                <w:rFonts w:ascii="Times New Roman" w:eastAsia="Calibri" w:hAnsi="Times New Roman" w:cs="Times New Roman"/>
                <w:sz w:val="20"/>
                <w:szCs w:val="20"/>
              </w:rPr>
              <w:t xml:space="preserve"> </w:t>
            </w:r>
            <w:r w:rsidRPr="008442CC">
              <w:rPr>
                <w:rFonts w:ascii="Calibri" w:eastAsia="Calibri" w:hAnsi="Calibri" w:cs="Calibri"/>
                <w:sz w:val="20"/>
                <w:szCs w:val="20"/>
              </w:rPr>
              <w:t xml:space="preserve">In [2014-15] / [2016-17], how often did you receive </w:t>
            </w:r>
            <w:r w:rsidRPr="008442CC">
              <w:rPr>
                <w:rFonts w:ascii="Calibri" w:eastAsia="Calibri" w:hAnsi="Calibri" w:cs="Calibri"/>
                <w:b/>
                <w:bCs/>
                <w:sz w:val="20"/>
                <w:szCs w:val="20"/>
              </w:rPr>
              <w:t xml:space="preserve">unfair treatment </w:t>
            </w:r>
            <w:r w:rsidRPr="008442CC">
              <w:rPr>
                <w:rFonts w:ascii="Calibri" w:eastAsia="Calibri" w:hAnsi="Calibri" w:cs="Calibri"/>
                <w:sz w:val="20"/>
                <w:szCs w:val="20"/>
              </w:rPr>
              <w:t>because of your foreign origin:</w:t>
            </w:r>
          </w:p>
        </w:tc>
      </w:tr>
      <w:tr w:rsidR="00601CE0" w:rsidRPr="008442CC" w14:paraId="5DFB7D67" w14:textId="77777777" w:rsidTr="00C810D9">
        <w:trPr>
          <w:trHeight w:val="246"/>
        </w:trPr>
        <w:tc>
          <w:tcPr>
            <w:tcW w:w="10029" w:type="dxa"/>
            <w:shd w:val="clear" w:color="auto" w:fill="auto"/>
            <w:noWrap/>
            <w:hideMark/>
          </w:tcPr>
          <w:p w14:paraId="5CA26B4E" w14:textId="77777777" w:rsidR="00765305" w:rsidRPr="008442CC" w:rsidRDefault="00765305" w:rsidP="00C810D9">
            <w:pPr>
              <w:rPr>
                <w:rFonts w:ascii="Calibri" w:eastAsia="Times New Roman" w:hAnsi="Calibri" w:cs="Calibri"/>
                <w:sz w:val="20"/>
                <w:szCs w:val="20"/>
              </w:rPr>
            </w:pPr>
            <w:r w:rsidRPr="008442CC">
              <w:rPr>
                <w:rFonts w:ascii="Calibri" w:eastAsia="Times New Roman" w:hAnsi="Calibri" w:cs="Calibri"/>
                <w:sz w:val="20"/>
                <w:szCs w:val="20"/>
              </w:rPr>
              <w:t>a. From school officials?</w:t>
            </w:r>
          </w:p>
        </w:tc>
      </w:tr>
      <w:tr w:rsidR="00601CE0" w:rsidRPr="008442CC" w14:paraId="64B708AF" w14:textId="77777777" w:rsidTr="00C810D9">
        <w:trPr>
          <w:trHeight w:val="20"/>
        </w:trPr>
        <w:tc>
          <w:tcPr>
            <w:tcW w:w="10029" w:type="dxa"/>
            <w:shd w:val="clear" w:color="auto" w:fill="auto"/>
            <w:noWrap/>
            <w:hideMark/>
          </w:tcPr>
          <w:p w14:paraId="1406D21B" w14:textId="77777777" w:rsidR="00765305" w:rsidRPr="008442CC" w:rsidRDefault="00765305" w:rsidP="00C810D9">
            <w:pPr>
              <w:rPr>
                <w:rFonts w:ascii="Calibri" w:eastAsia="Times New Roman" w:hAnsi="Calibri" w:cs="Calibri"/>
                <w:sz w:val="20"/>
                <w:szCs w:val="20"/>
              </w:rPr>
            </w:pPr>
            <w:r w:rsidRPr="008442CC">
              <w:rPr>
                <w:rFonts w:ascii="Calibri" w:eastAsia="Calibri" w:hAnsi="Calibri" w:cs="Calibri"/>
                <w:sz w:val="20"/>
                <w:szCs w:val="20"/>
              </w:rPr>
              <w:t>b.</w:t>
            </w:r>
            <w:r w:rsidRPr="008442CC">
              <w:rPr>
                <w:rFonts w:ascii="Times New Roman" w:eastAsia="Calibri" w:hAnsi="Times New Roman" w:cs="Times New Roman"/>
                <w:sz w:val="20"/>
                <w:szCs w:val="20"/>
              </w:rPr>
              <w:t xml:space="preserve"> </w:t>
            </w:r>
            <w:r w:rsidRPr="008442CC">
              <w:rPr>
                <w:rFonts w:ascii="Calibri" w:eastAsia="Calibri" w:hAnsi="Calibri" w:cs="Calibri"/>
                <w:sz w:val="20"/>
                <w:szCs w:val="20"/>
              </w:rPr>
              <w:t>From school pupils or their families (towards you or your children)?</w:t>
            </w:r>
          </w:p>
        </w:tc>
      </w:tr>
      <w:tr w:rsidR="00601CE0" w:rsidRPr="008442CC" w14:paraId="73A96D10" w14:textId="77777777" w:rsidTr="00C810D9">
        <w:trPr>
          <w:trHeight w:val="20"/>
        </w:trPr>
        <w:tc>
          <w:tcPr>
            <w:tcW w:w="10029" w:type="dxa"/>
            <w:shd w:val="clear" w:color="auto" w:fill="auto"/>
            <w:noWrap/>
            <w:hideMark/>
          </w:tcPr>
          <w:p w14:paraId="5CD50839" w14:textId="77777777" w:rsidR="00765305" w:rsidRPr="008442CC" w:rsidRDefault="00765305" w:rsidP="00C810D9">
            <w:pPr>
              <w:rPr>
                <w:rFonts w:ascii="Calibri" w:eastAsia="Times New Roman" w:hAnsi="Calibri" w:cs="Calibri"/>
                <w:sz w:val="20"/>
                <w:szCs w:val="20"/>
              </w:rPr>
            </w:pPr>
            <w:r w:rsidRPr="008442CC">
              <w:rPr>
                <w:rFonts w:ascii="Calibri" w:eastAsia="Times New Roman" w:hAnsi="Calibri" w:cs="Calibri"/>
                <w:sz w:val="20"/>
                <w:szCs w:val="20"/>
              </w:rPr>
              <w:t>c. From service people (e.g., waiters, bank tellers, security guards?</w:t>
            </w:r>
          </w:p>
        </w:tc>
      </w:tr>
      <w:tr w:rsidR="00601CE0" w:rsidRPr="008442CC" w14:paraId="6F188757" w14:textId="77777777" w:rsidTr="00C810D9">
        <w:trPr>
          <w:trHeight w:val="20"/>
        </w:trPr>
        <w:tc>
          <w:tcPr>
            <w:tcW w:w="10029" w:type="dxa"/>
            <w:shd w:val="clear" w:color="auto" w:fill="auto"/>
            <w:noWrap/>
            <w:hideMark/>
          </w:tcPr>
          <w:p w14:paraId="45C9F067" w14:textId="77777777" w:rsidR="00765305" w:rsidRPr="008442CC" w:rsidRDefault="00765305" w:rsidP="00C810D9">
            <w:pPr>
              <w:rPr>
                <w:rFonts w:ascii="Calibri" w:eastAsia="Times New Roman" w:hAnsi="Calibri" w:cs="Calibri"/>
                <w:sz w:val="20"/>
                <w:szCs w:val="20"/>
              </w:rPr>
            </w:pPr>
            <w:r w:rsidRPr="008442CC">
              <w:rPr>
                <w:rFonts w:ascii="Calibri" w:eastAsia="Calibri" w:hAnsi="Calibri" w:cs="Calibri"/>
                <w:sz w:val="20"/>
                <w:szCs w:val="20"/>
              </w:rPr>
              <w:t>d.</w:t>
            </w:r>
            <w:r w:rsidRPr="008442CC">
              <w:rPr>
                <w:rFonts w:ascii="Times New Roman" w:eastAsia="Calibri" w:hAnsi="Times New Roman" w:cs="Times New Roman"/>
                <w:sz w:val="20"/>
                <w:szCs w:val="20"/>
              </w:rPr>
              <w:t xml:space="preserve"> </w:t>
            </w:r>
            <w:r w:rsidRPr="008442CC">
              <w:rPr>
                <w:rFonts w:ascii="Calibri" w:eastAsia="Calibri" w:hAnsi="Calibri" w:cs="Calibri"/>
                <w:sz w:val="20"/>
                <w:szCs w:val="20"/>
              </w:rPr>
              <w:t>From work colleagues (e.g. boss, supervisor, peer workers)?</w:t>
            </w:r>
          </w:p>
        </w:tc>
      </w:tr>
      <w:tr w:rsidR="00601CE0" w:rsidRPr="008442CC" w14:paraId="5F853F49" w14:textId="77777777" w:rsidTr="00C810D9">
        <w:trPr>
          <w:trHeight w:val="20"/>
        </w:trPr>
        <w:tc>
          <w:tcPr>
            <w:tcW w:w="10029" w:type="dxa"/>
            <w:shd w:val="clear" w:color="auto" w:fill="auto"/>
            <w:noWrap/>
            <w:hideMark/>
          </w:tcPr>
          <w:p w14:paraId="1B0D1256" w14:textId="77777777" w:rsidR="00765305" w:rsidRPr="008442CC" w:rsidRDefault="00765305" w:rsidP="00C810D9">
            <w:pPr>
              <w:spacing w:after="240"/>
              <w:rPr>
                <w:rFonts w:ascii="Calibri" w:eastAsia="Times New Roman" w:hAnsi="Calibri" w:cs="Calibri"/>
                <w:sz w:val="20"/>
                <w:szCs w:val="20"/>
              </w:rPr>
            </w:pPr>
            <w:r w:rsidRPr="008442CC">
              <w:rPr>
                <w:rFonts w:ascii="Calibri" w:eastAsia="Calibri" w:hAnsi="Calibri" w:cs="Calibri"/>
                <w:sz w:val="20"/>
                <w:szCs w:val="20"/>
              </w:rPr>
              <w:t>e.</w:t>
            </w:r>
            <w:r w:rsidRPr="008442CC">
              <w:rPr>
                <w:rFonts w:ascii="Times New Roman" w:eastAsia="Calibri" w:hAnsi="Times New Roman" w:cs="Times New Roman"/>
                <w:sz w:val="20"/>
                <w:szCs w:val="20"/>
              </w:rPr>
              <w:t xml:space="preserve"> </w:t>
            </w:r>
            <w:r w:rsidRPr="008442CC">
              <w:rPr>
                <w:rFonts w:ascii="Calibri" w:eastAsia="Calibri" w:hAnsi="Calibri" w:cs="Calibri"/>
                <w:sz w:val="20"/>
                <w:szCs w:val="20"/>
              </w:rPr>
              <w:t>In access to housing (e.g. when trying to rent or buy a property)?</w:t>
            </w:r>
          </w:p>
        </w:tc>
      </w:tr>
      <w:tr w:rsidR="00601CE0" w:rsidRPr="008442CC" w14:paraId="6003D8BB" w14:textId="77777777" w:rsidTr="00C810D9">
        <w:trPr>
          <w:trHeight w:val="230"/>
        </w:trPr>
        <w:tc>
          <w:tcPr>
            <w:tcW w:w="10029" w:type="dxa"/>
            <w:shd w:val="clear" w:color="auto" w:fill="auto"/>
            <w:hideMark/>
          </w:tcPr>
          <w:p w14:paraId="15D9CFC1" w14:textId="77777777" w:rsidR="00765305" w:rsidRPr="008442CC" w:rsidRDefault="00765305" w:rsidP="00C810D9">
            <w:pPr>
              <w:rPr>
                <w:rFonts w:ascii="Calibri" w:eastAsia="Times New Roman" w:hAnsi="Calibri" w:cs="Calibri"/>
                <w:sz w:val="20"/>
                <w:szCs w:val="20"/>
              </w:rPr>
            </w:pPr>
            <w:r w:rsidRPr="008442CC">
              <w:rPr>
                <w:rFonts w:ascii="Calibri" w:eastAsia="Calibri" w:hAnsi="Calibri" w:cs="Calibri"/>
                <w:b/>
                <w:sz w:val="20"/>
                <w:szCs w:val="20"/>
              </w:rPr>
              <w:t>Q</w:t>
            </w:r>
            <w:r w:rsidRPr="008442CC">
              <w:rPr>
                <w:rFonts w:ascii="Calibri" w:eastAsia="Times New Roman" w:hAnsi="Calibri" w:cs="Calibri"/>
                <w:b/>
                <w:sz w:val="20"/>
                <w:szCs w:val="20"/>
              </w:rPr>
              <w:t>10.</w:t>
            </w:r>
            <w:r w:rsidRPr="008442CC">
              <w:rPr>
                <w:rFonts w:ascii="Times New Roman" w:eastAsia="Times New Roman" w:hAnsi="Times New Roman" w:cs="Times New Roman"/>
                <w:sz w:val="20"/>
                <w:szCs w:val="20"/>
              </w:rPr>
              <w:t xml:space="preserve"> </w:t>
            </w:r>
            <w:r w:rsidRPr="008442CC">
              <w:rPr>
                <w:rFonts w:ascii="Calibri" w:eastAsia="Times New Roman" w:hAnsi="Calibri" w:cs="Calibri"/>
                <w:sz w:val="20"/>
                <w:szCs w:val="20"/>
              </w:rPr>
              <w:t xml:space="preserve">In </w:t>
            </w:r>
            <w:r w:rsidRPr="008442CC">
              <w:rPr>
                <w:rFonts w:ascii="Calibri" w:eastAsia="Calibri" w:hAnsi="Calibri" w:cs="Calibri"/>
                <w:sz w:val="20"/>
                <w:szCs w:val="20"/>
              </w:rPr>
              <w:t>[2014-15] / [2016-17]</w:t>
            </w:r>
            <w:r w:rsidRPr="008442CC">
              <w:rPr>
                <w:rFonts w:ascii="Calibri" w:eastAsia="Times New Roman" w:hAnsi="Calibri" w:cs="Calibri"/>
                <w:sz w:val="20"/>
                <w:szCs w:val="20"/>
              </w:rPr>
              <w:t xml:space="preserve">, how often did others </w:t>
            </w:r>
            <w:r w:rsidRPr="008442CC">
              <w:rPr>
                <w:rFonts w:ascii="Calibri" w:eastAsia="Times New Roman" w:hAnsi="Calibri" w:cs="Calibri"/>
                <w:b/>
                <w:bCs/>
                <w:sz w:val="20"/>
                <w:szCs w:val="20"/>
              </w:rPr>
              <w:t>threatened to</w:t>
            </w:r>
            <w:r w:rsidRPr="008442CC">
              <w:rPr>
                <w:rFonts w:ascii="Calibri" w:eastAsia="Times New Roman" w:hAnsi="Calibri" w:cs="Calibri"/>
                <w:sz w:val="20"/>
                <w:szCs w:val="20"/>
              </w:rPr>
              <w:t>:</w:t>
            </w:r>
          </w:p>
        </w:tc>
      </w:tr>
      <w:tr w:rsidR="00601CE0" w:rsidRPr="008442CC" w14:paraId="6F854B77" w14:textId="77777777" w:rsidTr="00C810D9">
        <w:trPr>
          <w:trHeight w:val="20"/>
        </w:trPr>
        <w:tc>
          <w:tcPr>
            <w:tcW w:w="10029" w:type="dxa"/>
            <w:shd w:val="clear" w:color="auto" w:fill="auto"/>
            <w:noWrap/>
            <w:hideMark/>
          </w:tcPr>
          <w:p w14:paraId="0E9E71ED" w14:textId="77777777" w:rsidR="00765305" w:rsidRPr="008442CC" w:rsidRDefault="00765305" w:rsidP="00C810D9">
            <w:pPr>
              <w:rPr>
                <w:rFonts w:ascii="Calibri" w:eastAsia="Times New Roman" w:hAnsi="Calibri" w:cs="Calibri"/>
                <w:sz w:val="20"/>
                <w:szCs w:val="20"/>
              </w:rPr>
            </w:pPr>
            <w:r w:rsidRPr="008442CC">
              <w:rPr>
                <w:rFonts w:ascii="Calibri" w:eastAsia="Times New Roman" w:hAnsi="Calibri" w:cs="Times New Roman"/>
                <w:sz w:val="20"/>
                <w:szCs w:val="20"/>
              </w:rPr>
              <w:t xml:space="preserve">a. Hurt </w:t>
            </w:r>
            <w:r w:rsidRPr="008442CC">
              <w:rPr>
                <w:rFonts w:ascii="Calibri" w:eastAsia="Times New Roman" w:hAnsi="Calibri" w:cs="Calibri"/>
                <w:b/>
                <w:bCs/>
                <w:sz w:val="20"/>
                <w:szCs w:val="20"/>
              </w:rPr>
              <w:t>you</w:t>
            </w:r>
            <w:r w:rsidRPr="008442CC">
              <w:rPr>
                <w:rFonts w:ascii="Calibri" w:eastAsia="Times New Roman" w:hAnsi="Calibri" w:cs="Calibri"/>
                <w:sz w:val="20"/>
                <w:szCs w:val="20"/>
              </w:rPr>
              <w:t xml:space="preserve"> because of your foreign origin?</w:t>
            </w:r>
          </w:p>
        </w:tc>
      </w:tr>
      <w:tr w:rsidR="00601CE0" w:rsidRPr="008442CC" w14:paraId="7312F961" w14:textId="77777777" w:rsidTr="00C810D9">
        <w:trPr>
          <w:trHeight w:val="20"/>
        </w:trPr>
        <w:tc>
          <w:tcPr>
            <w:tcW w:w="10029" w:type="dxa"/>
            <w:shd w:val="clear" w:color="auto" w:fill="auto"/>
            <w:noWrap/>
            <w:hideMark/>
          </w:tcPr>
          <w:p w14:paraId="67AD012D" w14:textId="77777777" w:rsidR="00765305" w:rsidRPr="008442CC" w:rsidRDefault="00765305" w:rsidP="00C810D9">
            <w:pPr>
              <w:rPr>
                <w:rFonts w:ascii="Calibri" w:eastAsia="Times New Roman" w:hAnsi="Calibri" w:cs="Calibri"/>
                <w:sz w:val="20"/>
                <w:szCs w:val="20"/>
              </w:rPr>
            </w:pPr>
            <w:r w:rsidRPr="008442CC">
              <w:rPr>
                <w:rFonts w:ascii="Calibri" w:eastAsia="Times New Roman" w:hAnsi="Calibri" w:cs="Times New Roman"/>
                <w:sz w:val="20"/>
                <w:szCs w:val="20"/>
              </w:rPr>
              <w:t xml:space="preserve">b. Damage </w:t>
            </w:r>
            <w:r w:rsidRPr="008442CC">
              <w:rPr>
                <w:rFonts w:ascii="Calibri" w:eastAsia="Times New Roman" w:hAnsi="Calibri" w:cs="Calibri"/>
                <w:b/>
                <w:bCs/>
                <w:sz w:val="20"/>
                <w:szCs w:val="20"/>
              </w:rPr>
              <w:t>your property</w:t>
            </w:r>
            <w:r w:rsidRPr="008442CC">
              <w:rPr>
                <w:rFonts w:ascii="Calibri" w:eastAsia="Times New Roman" w:hAnsi="Calibri" w:cs="Calibri"/>
                <w:sz w:val="20"/>
                <w:szCs w:val="20"/>
              </w:rPr>
              <w:t xml:space="preserve"> (e.g. house, car, etc.) because of your foreign origin?</w:t>
            </w:r>
          </w:p>
        </w:tc>
      </w:tr>
      <w:tr w:rsidR="00601CE0" w:rsidRPr="008442CC" w14:paraId="2CF2A997" w14:textId="77777777" w:rsidTr="00C810D9">
        <w:trPr>
          <w:trHeight w:val="20"/>
        </w:trPr>
        <w:tc>
          <w:tcPr>
            <w:tcW w:w="10029" w:type="dxa"/>
            <w:shd w:val="clear" w:color="auto" w:fill="auto"/>
            <w:noWrap/>
            <w:hideMark/>
          </w:tcPr>
          <w:p w14:paraId="39F5FCDE" w14:textId="77777777" w:rsidR="00765305" w:rsidRPr="008442CC" w:rsidRDefault="00765305" w:rsidP="00C810D9">
            <w:pPr>
              <w:rPr>
                <w:rFonts w:ascii="Calibri" w:eastAsia="Times New Roman" w:hAnsi="Calibri" w:cs="Calibri"/>
                <w:sz w:val="20"/>
                <w:szCs w:val="20"/>
              </w:rPr>
            </w:pPr>
            <w:r w:rsidRPr="008442CC">
              <w:rPr>
                <w:rFonts w:ascii="Calibri" w:eastAsia="Times New Roman" w:hAnsi="Calibri" w:cs="Calibri"/>
                <w:sz w:val="20"/>
                <w:szCs w:val="20"/>
              </w:rPr>
              <w:t> </w:t>
            </w:r>
          </w:p>
        </w:tc>
      </w:tr>
      <w:tr w:rsidR="00601CE0" w:rsidRPr="008442CC" w14:paraId="4130BB55" w14:textId="77777777" w:rsidTr="00C810D9">
        <w:trPr>
          <w:trHeight w:val="20"/>
        </w:trPr>
        <w:tc>
          <w:tcPr>
            <w:tcW w:w="10029" w:type="dxa"/>
            <w:shd w:val="clear" w:color="auto" w:fill="auto"/>
            <w:noWrap/>
            <w:hideMark/>
          </w:tcPr>
          <w:p w14:paraId="7460D0A2" w14:textId="77777777" w:rsidR="00765305" w:rsidRPr="008442CC" w:rsidRDefault="00765305" w:rsidP="00C810D9">
            <w:pPr>
              <w:rPr>
                <w:rFonts w:ascii="Calibri" w:eastAsia="Times New Roman" w:hAnsi="Calibri" w:cs="Calibri"/>
                <w:sz w:val="20"/>
                <w:szCs w:val="20"/>
              </w:rPr>
            </w:pPr>
            <w:r w:rsidRPr="008442CC">
              <w:rPr>
                <w:rFonts w:ascii="Calibri" w:eastAsia="Calibri" w:hAnsi="Calibri" w:cs="Calibri"/>
                <w:b/>
                <w:sz w:val="20"/>
                <w:szCs w:val="20"/>
              </w:rPr>
              <w:t>Q</w:t>
            </w:r>
            <w:r w:rsidRPr="008442CC">
              <w:rPr>
                <w:rFonts w:ascii="Calibri" w:eastAsia="Times New Roman" w:hAnsi="Calibri" w:cs="Calibri"/>
                <w:b/>
                <w:sz w:val="20"/>
                <w:szCs w:val="20"/>
              </w:rPr>
              <w:t>11.</w:t>
            </w:r>
            <w:r w:rsidRPr="008442CC">
              <w:rPr>
                <w:rFonts w:ascii="Times New Roman" w:eastAsia="Times New Roman" w:hAnsi="Times New Roman" w:cs="Times New Roman"/>
                <w:sz w:val="20"/>
                <w:szCs w:val="20"/>
              </w:rPr>
              <w:t xml:space="preserve"> </w:t>
            </w:r>
            <w:r w:rsidRPr="008442CC">
              <w:rPr>
                <w:rFonts w:ascii="Calibri" w:eastAsia="Times New Roman" w:hAnsi="Calibri" w:cs="Calibri"/>
                <w:sz w:val="20"/>
                <w:szCs w:val="20"/>
              </w:rPr>
              <w:t xml:space="preserve">In </w:t>
            </w:r>
            <w:r w:rsidRPr="008442CC">
              <w:rPr>
                <w:rFonts w:ascii="Calibri" w:eastAsia="Calibri" w:hAnsi="Calibri" w:cs="Calibri"/>
                <w:sz w:val="20"/>
                <w:szCs w:val="20"/>
              </w:rPr>
              <w:t>[2014-15] / [2016-17]</w:t>
            </w:r>
            <w:r w:rsidRPr="008442CC">
              <w:rPr>
                <w:rFonts w:ascii="Calibri" w:eastAsia="Times New Roman" w:hAnsi="Calibri" w:cs="Calibri"/>
                <w:sz w:val="20"/>
                <w:szCs w:val="20"/>
              </w:rPr>
              <w:t>, how often did someone:</w:t>
            </w:r>
          </w:p>
        </w:tc>
      </w:tr>
      <w:tr w:rsidR="00601CE0" w:rsidRPr="008442CC" w14:paraId="6BA29130" w14:textId="77777777" w:rsidTr="00C810D9">
        <w:trPr>
          <w:trHeight w:val="20"/>
        </w:trPr>
        <w:tc>
          <w:tcPr>
            <w:tcW w:w="10029" w:type="dxa"/>
            <w:shd w:val="clear" w:color="auto" w:fill="auto"/>
            <w:noWrap/>
            <w:hideMark/>
          </w:tcPr>
          <w:p w14:paraId="058F75B0" w14:textId="77777777" w:rsidR="00765305" w:rsidRPr="008442CC" w:rsidRDefault="00765305" w:rsidP="00C810D9">
            <w:pPr>
              <w:rPr>
                <w:rFonts w:ascii="Calibri" w:eastAsia="Times New Roman" w:hAnsi="Calibri" w:cs="Calibri"/>
                <w:sz w:val="20"/>
                <w:szCs w:val="20"/>
              </w:rPr>
            </w:pPr>
            <w:r w:rsidRPr="008442CC">
              <w:rPr>
                <w:rFonts w:ascii="Calibri" w:eastAsia="Times New Roman" w:hAnsi="Calibri" w:cs="Times New Roman"/>
                <w:sz w:val="20"/>
                <w:szCs w:val="20"/>
              </w:rPr>
              <w:t xml:space="preserve">a. Damaged </w:t>
            </w:r>
            <w:r w:rsidRPr="008442CC">
              <w:rPr>
                <w:rFonts w:ascii="Calibri" w:eastAsia="Times New Roman" w:hAnsi="Calibri" w:cs="Calibri"/>
                <w:b/>
                <w:bCs/>
                <w:sz w:val="20"/>
                <w:szCs w:val="20"/>
              </w:rPr>
              <w:t>your property</w:t>
            </w:r>
            <w:r w:rsidRPr="008442CC">
              <w:rPr>
                <w:rFonts w:ascii="Calibri" w:eastAsia="Times New Roman" w:hAnsi="Calibri" w:cs="Calibri"/>
                <w:sz w:val="20"/>
                <w:szCs w:val="20"/>
              </w:rPr>
              <w:t xml:space="preserve"> (e.g. house, car, etc.) (or intended to) because of your foreign origin?</w:t>
            </w:r>
          </w:p>
        </w:tc>
      </w:tr>
      <w:tr w:rsidR="00601CE0" w:rsidRPr="008442CC" w14:paraId="274F8CE1" w14:textId="77777777" w:rsidTr="00C810D9">
        <w:trPr>
          <w:trHeight w:val="20"/>
        </w:trPr>
        <w:tc>
          <w:tcPr>
            <w:tcW w:w="10029" w:type="dxa"/>
            <w:shd w:val="clear" w:color="auto" w:fill="auto"/>
            <w:noWrap/>
            <w:hideMark/>
          </w:tcPr>
          <w:p w14:paraId="56A8DDBD" w14:textId="77777777" w:rsidR="00765305" w:rsidRPr="008442CC" w:rsidRDefault="00765305" w:rsidP="00C810D9">
            <w:pPr>
              <w:rPr>
                <w:rFonts w:ascii="Calibri" w:eastAsia="Times New Roman" w:hAnsi="Calibri" w:cs="Calibri"/>
                <w:sz w:val="20"/>
                <w:szCs w:val="20"/>
              </w:rPr>
            </w:pPr>
            <w:r w:rsidRPr="008442CC">
              <w:rPr>
                <w:rFonts w:ascii="Calibri" w:eastAsia="Times New Roman" w:hAnsi="Calibri" w:cs="Calibri"/>
                <w:sz w:val="20"/>
                <w:szCs w:val="20"/>
              </w:rPr>
              <w:t> </w:t>
            </w:r>
            <w:r w:rsidRPr="008442CC">
              <w:rPr>
                <w:rFonts w:ascii="Calibri" w:eastAsia="Times New Roman" w:hAnsi="Calibri" w:cs="Times New Roman"/>
                <w:sz w:val="20"/>
                <w:szCs w:val="20"/>
              </w:rPr>
              <w:t xml:space="preserve">b. Hurt </w:t>
            </w:r>
            <w:r w:rsidRPr="008442CC">
              <w:rPr>
                <w:rFonts w:ascii="Calibri" w:eastAsia="Times New Roman" w:hAnsi="Calibri" w:cs="Calibri"/>
                <w:b/>
                <w:bCs/>
                <w:sz w:val="20"/>
                <w:szCs w:val="20"/>
              </w:rPr>
              <w:t xml:space="preserve">you </w:t>
            </w:r>
            <w:r w:rsidRPr="008442CC">
              <w:rPr>
                <w:rFonts w:ascii="Calibri" w:eastAsia="Times New Roman" w:hAnsi="Calibri" w:cs="Calibri"/>
                <w:sz w:val="20"/>
                <w:szCs w:val="20"/>
              </w:rPr>
              <w:t>physically (or intended to) because of your foreign origin?</w:t>
            </w:r>
          </w:p>
        </w:tc>
      </w:tr>
      <w:tr w:rsidR="00601CE0" w:rsidRPr="008442CC" w14:paraId="6D485C42" w14:textId="77777777" w:rsidTr="00C810D9">
        <w:trPr>
          <w:trHeight w:val="20"/>
        </w:trPr>
        <w:tc>
          <w:tcPr>
            <w:tcW w:w="10029" w:type="dxa"/>
            <w:shd w:val="clear" w:color="auto" w:fill="auto"/>
            <w:noWrap/>
            <w:hideMark/>
          </w:tcPr>
          <w:p w14:paraId="31DC58D3" w14:textId="77777777" w:rsidR="00765305" w:rsidRPr="008442CC" w:rsidRDefault="00765305" w:rsidP="00C810D9">
            <w:pPr>
              <w:rPr>
                <w:rFonts w:ascii="Calibri" w:eastAsia="Times New Roman" w:hAnsi="Calibri" w:cs="Calibri"/>
                <w:sz w:val="20"/>
                <w:szCs w:val="20"/>
              </w:rPr>
            </w:pPr>
            <w:r w:rsidRPr="008442CC">
              <w:rPr>
                <w:rFonts w:ascii="Calibri" w:eastAsia="Times New Roman" w:hAnsi="Calibri" w:cs="Calibri"/>
                <w:sz w:val="20"/>
                <w:szCs w:val="20"/>
              </w:rPr>
              <w:t> </w:t>
            </w:r>
          </w:p>
        </w:tc>
      </w:tr>
    </w:tbl>
    <w:p w14:paraId="0C08465E" w14:textId="77777777" w:rsidR="00765305" w:rsidRPr="008442CC" w:rsidRDefault="00765305" w:rsidP="00765305">
      <w:pPr>
        <w:ind w:left="-709"/>
        <w:rPr>
          <w:sz w:val="20"/>
          <w:szCs w:val="20"/>
        </w:rPr>
      </w:pPr>
    </w:p>
    <w:p w14:paraId="34803753" w14:textId="77777777" w:rsidR="00765305" w:rsidRPr="008442CC" w:rsidRDefault="00765305" w:rsidP="00765305">
      <w:pPr>
        <w:ind w:left="-709"/>
        <w:rPr>
          <w:b/>
        </w:rPr>
      </w:pPr>
      <w:r w:rsidRPr="008442CC">
        <w:rPr>
          <w:sz w:val="20"/>
          <w:szCs w:val="20"/>
        </w:rPr>
        <w:t>Note</w:t>
      </w:r>
      <w:r w:rsidRPr="008442CC">
        <w:t>:</w:t>
      </w:r>
      <w:r w:rsidRPr="008442CC">
        <w:rPr>
          <w:b/>
        </w:rPr>
        <w:t xml:space="preserve"> </w:t>
      </w:r>
      <w:r w:rsidRPr="008442CC">
        <w:rPr>
          <w:sz w:val="20"/>
          <w:szCs w:val="20"/>
        </w:rPr>
        <w:t>For Q1 and Q2, participants chose between ‘yes’ and ‘no’; for Q3 the answer was open text; for Q4-Q11 participants chose between 1 (never), 2, 3 (sometimes), 4 or 5 (very often).</w:t>
      </w:r>
    </w:p>
    <w:p w14:paraId="35D74751" w14:textId="77777777" w:rsidR="00765305" w:rsidRPr="008442CC" w:rsidRDefault="00765305" w:rsidP="00765305">
      <w:pPr>
        <w:rPr>
          <w:b/>
        </w:rPr>
      </w:pPr>
    </w:p>
    <w:p w14:paraId="1ED7B1F0" w14:textId="77777777" w:rsidR="00765305" w:rsidRPr="008442CC" w:rsidRDefault="00765305" w:rsidP="00765305">
      <w:pPr>
        <w:rPr>
          <w:b/>
        </w:rPr>
      </w:pPr>
    </w:p>
    <w:p w14:paraId="53D210EA" w14:textId="77777777" w:rsidR="00765305" w:rsidRPr="008442CC" w:rsidRDefault="00765305" w:rsidP="00765305">
      <w:pPr>
        <w:rPr>
          <w:b/>
        </w:rPr>
        <w:sectPr w:rsidR="00765305" w:rsidRPr="008442CC" w:rsidSect="00AB573B">
          <w:footerReference w:type="even" r:id="rId9"/>
          <w:footerReference w:type="default" r:id="rId10"/>
          <w:pgSz w:w="11900" w:h="16840"/>
          <w:pgMar w:top="1417" w:right="1701" w:bottom="1417" w:left="1701" w:header="708" w:footer="708" w:gutter="0"/>
          <w:cols w:space="708"/>
          <w:docGrid w:linePitch="360"/>
        </w:sectPr>
      </w:pPr>
    </w:p>
    <w:p w14:paraId="3CDFBAD9" w14:textId="77777777" w:rsidR="00765305" w:rsidRPr="008442CC" w:rsidRDefault="00765305" w:rsidP="00765305">
      <w:pPr>
        <w:jc w:val="both"/>
        <w:rPr>
          <w:b/>
        </w:rPr>
      </w:pPr>
      <w:r w:rsidRPr="008442CC">
        <w:rPr>
          <w:b/>
        </w:rPr>
        <w:lastRenderedPageBreak/>
        <w:t>Table A5. Survey questions and derived variables.</w:t>
      </w:r>
    </w:p>
    <w:p w14:paraId="6E0FE880" w14:textId="77777777" w:rsidR="00765305" w:rsidRPr="008442CC" w:rsidRDefault="00765305" w:rsidP="00765305">
      <w:pPr>
        <w:jc w:val="both"/>
        <w:rPr>
          <w:b/>
        </w:rPr>
      </w:pPr>
    </w:p>
    <w:tbl>
      <w:tblPr>
        <w:tblW w:w="12564" w:type="dxa"/>
        <w:tblLook w:val="04A0" w:firstRow="1" w:lastRow="0" w:firstColumn="1" w:lastColumn="0" w:noHBand="0" w:noVBand="1"/>
      </w:tblPr>
      <w:tblGrid>
        <w:gridCol w:w="1060"/>
        <w:gridCol w:w="1500"/>
        <w:gridCol w:w="673"/>
        <w:gridCol w:w="977"/>
        <w:gridCol w:w="1470"/>
        <w:gridCol w:w="262"/>
        <w:gridCol w:w="673"/>
        <w:gridCol w:w="977"/>
        <w:gridCol w:w="1470"/>
        <w:gridCol w:w="262"/>
        <w:gridCol w:w="1520"/>
        <w:gridCol w:w="1720"/>
      </w:tblGrid>
      <w:tr w:rsidR="00601CE0" w:rsidRPr="008442CC" w14:paraId="57C67058" w14:textId="77777777" w:rsidTr="00C810D9">
        <w:trPr>
          <w:trHeight w:val="320"/>
        </w:trPr>
        <w:tc>
          <w:tcPr>
            <w:tcW w:w="1060" w:type="dxa"/>
            <w:vMerge w:val="restart"/>
            <w:tcBorders>
              <w:top w:val="single" w:sz="12" w:space="0" w:color="auto"/>
              <w:left w:val="nil"/>
              <w:bottom w:val="double" w:sz="6" w:space="0" w:color="000000"/>
              <w:right w:val="nil"/>
            </w:tcBorders>
            <w:shd w:val="clear" w:color="000000" w:fill="FFFFFF"/>
            <w:noWrap/>
            <w:vAlign w:val="center"/>
            <w:hideMark/>
          </w:tcPr>
          <w:p w14:paraId="73577640"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Question</w:t>
            </w:r>
          </w:p>
        </w:tc>
        <w:tc>
          <w:tcPr>
            <w:tcW w:w="1500" w:type="dxa"/>
            <w:vMerge w:val="restart"/>
            <w:tcBorders>
              <w:top w:val="single" w:sz="12" w:space="0" w:color="auto"/>
              <w:left w:val="nil"/>
              <w:bottom w:val="double" w:sz="6" w:space="0" w:color="000000"/>
              <w:right w:val="nil"/>
            </w:tcBorders>
            <w:shd w:val="clear" w:color="000000" w:fill="FFFFFF"/>
            <w:noWrap/>
            <w:vAlign w:val="center"/>
            <w:hideMark/>
          </w:tcPr>
          <w:p w14:paraId="7D6069E9"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Vulnerability</w:t>
            </w:r>
          </w:p>
        </w:tc>
        <w:tc>
          <w:tcPr>
            <w:tcW w:w="3120" w:type="dxa"/>
            <w:gridSpan w:val="3"/>
            <w:tcBorders>
              <w:top w:val="single" w:sz="12" w:space="0" w:color="auto"/>
              <w:left w:val="nil"/>
              <w:bottom w:val="single" w:sz="4" w:space="0" w:color="auto"/>
              <w:right w:val="nil"/>
            </w:tcBorders>
            <w:shd w:val="clear" w:color="000000" w:fill="FFFFFF"/>
            <w:noWrap/>
            <w:vAlign w:val="center"/>
            <w:hideMark/>
          </w:tcPr>
          <w:p w14:paraId="76CC08CD" w14:textId="77777777" w:rsidR="00765305" w:rsidRPr="008442CC" w:rsidRDefault="00765305" w:rsidP="00C810D9">
            <w:pPr>
              <w:jc w:val="center"/>
              <w:rPr>
                <w:rFonts w:eastAsia="Times New Roman" w:cstheme="minorHAnsi"/>
                <w:b/>
                <w:bCs/>
                <w:sz w:val="20"/>
                <w:szCs w:val="20"/>
              </w:rPr>
            </w:pPr>
            <w:r w:rsidRPr="008442CC">
              <w:rPr>
                <w:rFonts w:eastAsia="Times New Roman" w:cstheme="minorHAnsi"/>
                <w:b/>
                <w:bCs/>
                <w:sz w:val="20"/>
                <w:szCs w:val="20"/>
              </w:rPr>
              <w:t>2014-15</w:t>
            </w:r>
          </w:p>
        </w:tc>
        <w:tc>
          <w:tcPr>
            <w:tcW w:w="262" w:type="dxa"/>
            <w:tcBorders>
              <w:top w:val="single" w:sz="12" w:space="0" w:color="auto"/>
              <w:left w:val="nil"/>
              <w:bottom w:val="nil"/>
              <w:right w:val="nil"/>
            </w:tcBorders>
            <w:shd w:val="clear" w:color="000000" w:fill="FFFFFF"/>
            <w:noWrap/>
            <w:vAlign w:val="center"/>
            <w:hideMark/>
          </w:tcPr>
          <w:p w14:paraId="0C7A95BD"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3120" w:type="dxa"/>
            <w:gridSpan w:val="3"/>
            <w:tcBorders>
              <w:top w:val="single" w:sz="12" w:space="0" w:color="auto"/>
              <w:left w:val="nil"/>
              <w:bottom w:val="single" w:sz="4" w:space="0" w:color="auto"/>
              <w:right w:val="nil"/>
            </w:tcBorders>
            <w:shd w:val="clear" w:color="000000" w:fill="FFFFFF"/>
            <w:noWrap/>
            <w:vAlign w:val="center"/>
            <w:hideMark/>
          </w:tcPr>
          <w:p w14:paraId="55CF317A" w14:textId="77777777" w:rsidR="00765305" w:rsidRPr="008442CC" w:rsidRDefault="00765305" w:rsidP="00C810D9">
            <w:pPr>
              <w:jc w:val="center"/>
              <w:rPr>
                <w:rFonts w:eastAsia="Times New Roman" w:cstheme="minorHAnsi"/>
                <w:b/>
                <w:bCs/>
                <w:sz w:val="20"/>
                <w:szCs w:val="20"/>
              </w:rPr>
            </w:pPr>
            <w:r w:rsidRPr="008442CC">
              <w:rPr>
                <w:rFonts w:eastAsia="Times New Roman" w:cstheme="minorHAnsi"/>
                <w:b/>
                <w:bCs/>
                <w:sz w:val="20"/>
                <w:szCs w:val="20"/>
              </w:rPr>
              <w:t>2016-17</w:t>
            </w:r>
          </w:p>
        </w:tc>
        <w:tc>
          <w:tcPr>
            <w:tcW w:w="262" w:type="dxa"/>
            <w:tcBorders>
              <w:top w:val="single" w:sz="12" w:space="0" w:color="auto"/>
              <w:left w:val="nil"/>
              <w:bottom w:val="nil"/>
              <w:right w:val="nil"/>
            </w:tcBorders>
            <w:shd w:val="clear" w:color="000000" w:fill="FFFFFF"/>
            <w:noWrap/>
            <w:vAlign w:val="center"/>
            <w:hideMark/>
          </w:tcPr>
          <w:p w14:paraId="08A9E98B"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1520" w:type="dxa"/>
            <w:vMerge w:val="restart"/>
            <w:tcBorders>
              <w:top w:val="single" w:sz="12" w:space="0" w:color="auto"/>
              <w:left w:val="nil"/>
              <w:bottom w:val="double" w:sz="6" w:space="0" w:color="000000"/>
              <w:right w:val="nil"/>
            </w:tcBorders>
            <w:shd w:val="clear" w:color="000000" w:fill="FFFFFF"/>
            <w:noWrap/>
            <w:vAlign w:val="center"/>
            <w:hideMark/>
          </w:tcPr>
          <w:p w14:paraId="79713343"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t-test</w:t>
            </w:r>
          </w:p>
        </w:tc>
        <w:tc>
          <w:tcPr>
            <w:tcW w:w="1720" w:type="dxa"/>
            <w:vMerge w:val="restart"/>
            <w:tcBorders>
              <w:top w:val="single" w:sz="12" w:space="0" w:color="auto"/>
              <w:left w:val="nil"/>
              <w:bottom w:val="double" w:sz="6" w:space="0" w:color="000000"/>
              <w:right w:val="nil"/>
            </w:tcBorders>
            <w:shd w:val="clear" w:color="000000" w:fill="FFFFFF"/>
            <w:vAlign w:val="center"/>
            <w:hideMark/>
          </w:tcPr>
          <w:p w14:paraId="06C89345"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Wilcoxon matched-pairs</w:t>
            </w:r>
          </w:p>
        </w:tc>
      </w:tr>
      <w:tr w:rsidR="00601CE0" w:rsidRPr="008442CC" w14:paraId="4FACA1C4" w14:textId="77777777" w:rsidTr="00C810D9">
        <w:trPr>
          <w:trHeight w:val="320"/>
        </w:trPr>
        <w:tc>
          <w:tcPr>
            <w:tcW w:w="1060" w:type="dxa"/>
            <w:vMerge/>
            <w:tcBorders>
              <w:top w:val="single" w:sz="12" w:space="0" w:color="auto"/>
              <w:left w:val="nil"/>
              <w:bottom w:val="double" w:sz="6" w:space="0" w:color="000000"/>
              <w:right w:val="nil"/>
            </w:tcBorders>
            <w:vAlign w:val="center"/>
            <w:hideMark/>
          </w:tcPr>
          <w:p w14:paraId="72D0B53C" w14:textId="77777777" w:rsidR="00765305" w:rsidRPr="008442CC" w:rsidRDefault="00765305" w:rsidP="00C810D9">
            <w:pPr>
              <w:rPr>
                <w:rFonts w:eastAsia="Times New Roman" w:cstheme="minorHAnsi"/>
                <w:sz w:val="20"/>
                <w:szCs w:val="20"/>
              </w:rPr>
            </w:pPr>
          </w:p>
        </w:tc>
        <w:tc>
          <w:tcPr>
            <w:tcW w:w="1500" w:type="dxa"/>
            <w:vMerge/>
            <w:tcBorders>
              <w:top w:val="single" w:sz="12" w:space="0" w:color="auto"/>
              <w:left w:val="nil"/>
              <w:bottom w:val="double" w:sz="6" w:space="0" w:color="000000"/>
              <w:right w:val="nil"/>
            </w:tcBorders>
            <w:vAlign w:val="center"/>
            <w:hideMark/>
          </w:tcPr>
          <w:p w14:paraId="4BC5B3C2" w14:textId="77777777" w:rsidR="00765305" w:rsidRPr="008442CC" w:rsidRDefault="00765305" w:rsidP="00C810D9">
            <w:pPr>
              <w:rPr>
                <w:rFonts w:eastAsia="Times New Roman" w:cstheme="minorHAnsi"/>
                <w:sz w:val="20"/>
                <w:szCs w:val="20"/>
              </w:rPr>
            </w:pPr>
          </w:p>
        </w:tc>
        <w:tc>
          <w:tcPr>
            <w:tcW w:w="673" w:type="dxa"/>
            <w:tcBorders>
              <w:top w:val="nil"/>
              <w:left w:val="nil"/>
              <w:bottom w:val="double" w:sz="6" w:space="0" w:color="auto"/>
              <w:right w:val="nil"/>
            </w:tcBorders>
            <w:shd w:val="clear" w:color="000000" w:fill="FFFFFF"/>
            <w:noWrap/>
            <w:vAlign w:val="center"/>
            <w:hideMark/>
          </w:tcPr>
          <w:p w14:paraId="7A8E0824" w14:textId="77777777" w:rsidR="00765305" w:rsidRPr="008442CC" w:rsidRDefault="00765305" w:rsidP="00C810D9">
            <w:pPr>
              <w:jc w:val="center"/>
              <w:rPr>
                <w:rFonts w:eastAsia="Times New Roman" w:cstheme="minorHAnsi"/>
                <w:sz w:val="20"/>
                <w:szCs w:val="20"/>
              </w:rPr>
            </w:pPr>
            <w:proofErr w:type="spellStart"/>
            <w:r w:rsidRPr="008442CC">
              <w:rPr>
                <w:rFonts w:eastAsia="Times New Roman" w:cstheme="minorHAnsi"/>
                <w:sz w:val="20"/>
                <w:szCs w:val="20"/>
              </w:rPr>
              <w:t>Obs</w:t>
            </w:r>
            <w:proofErr w:type="spellEnd"/>
          </w:p>
        </w:tc>
        <w:tc>
          <w:tcPr>
            <w:tcW w:w="977" w:type="dxa"/>
            <w:tcBorders>
              <w:top w:val="nil"/>
              <w:left w:val="nil"/>
              <w:bottom w:val="double" w:sz="6" w:space="0" w:color="auto"/>
              <w:right w:val="nil"/>
            </w:tcBorders>
            <w:shd w:val="clear" w:color="000000" w:fill="FFFFFF"/>
            <w:noWrap/>
            <w:vAlign w:val="center"/>
            <w:hideMark/>
          </w:tcPr>
          <w:p w14:paraId="35DB5825"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Mean</w:t>
            </w:r>
          </w:p>
        </w:tc>
        <w:tc>
          <w:tcPr>
            <w:tcW w:w="1470" w:type="dxa"/>
            <w:tcBorders>
              <w:top w:val="nil"/>
              <w:left w:val="nil"/>
              <w:bottom w:val="double" w:sz="6" w:space="0" w:color="auto"/>
              <w:right w:val="nil"/>
            </w:tcBorders>
            <w:shd w:val="clear" w:color="000000" w:fill="FFFFFF"/>
            <w:noWrap/>
            <w:vAlign w:val="center"/>
            <w:hideMark/>
          </w:tcPr>
          <w:p w14:paraId="3AD16214"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Std. Dev.</w:t>
            </w:r>
          </w:p>
        </w:tc>
        <w:tc>
          <w:tcPr>
            <w:tcW w:w="262" w:type="dxa"/>
            <w:tcBorders>
              <w:top w:val="nil"/>
              <w:left w:val="nil"/>
              <w:bottom w:val="double" w:sz="6" w:space="0" w:color="auto"/>
              <w:right w:val="nil"/>
            </w:tcBorders>
            <w:shd w:val="clear" w:color="000000" w:fill="FFFFFF"/>
            <w:noWrap/>
            <w:vAlign w:val="center"/>
            <w:hideMark/>
          </w:tcPr>
          <w:p w14:paraId="0DAC5C8E" w14:textId="77777777" w:rsidR="00765305" w:rsidRPr="008442CC" w:rsidRDefault="00765305" w:rsidP="00C810D9">
            <w:pPr>
              <w:jc w:val="center"/>
              <w:rPr>
                <w:rFonts w:eastAsia="Times New Roman" w:cstheme="minorHAnsi"/>
                <w:sz w:val="20"/>
                <w:szCs w:val="20"/>
              </w:rPr>
            </w:pPr>
          </w:p>
        </w:tc>
        <w:tc>
          <w:tcPr>
            <w:tcW w:w="673" w:type="dxa"/>
            <w:tcBorders>
              <w:top w:val="nil"/>
              <w:left w:val="nil"/>
              <w:bottom w:val="double" w:sz="6" w:space="0" w:color="auto"/>
              <w:right w:val="nil"/>
            </w:tcBorders>
            <w:shd w:val="clear" w:color="000000" w:fill="FFFFFF"/>
            <w:noWrap/>
            <w:vAlign w:val="center"/>
            <w:hideMark/>
          </w:tcPr>
          <w:p w14:paraId="28676B69" w14:textId="77777777" w:rsidR="00765305" w:rsidRPr="008442CC" w:rsidRDefault="00765305" w:rsidP="00C810D9">
            <w:pPr>
              <w:jc w:val="center"/>
              <w:rPr>
                <w:rFonts w:eastAsia="Times New Roman" w:cstheme="minorHAnsi"/>
                <w:sz w:val="20"/>
                <w:szCs w:val="20"/>
              </w:rPr>
            </w:pPr>
            <w:proofErr w:type="spellStart"/>
            <w:r w:rsidRPr="008442CC">
              <w:rPr>
                <w:rFonts w:eastAsia="Times New Roman" w:cstheme="minorHAnsi"/>
                <w:sz w:val="20"/>
                <w:szCs w:val="20"/>
              </w:rPr>
              <w:t>Obs</w:t>
            </w:r>
            <w:proofErr w:type="spellEnd"/>
          </w:p>
        </w:tc>
        <w:tc>
          <w:tcPr>
            <w:tcW w:w="977" w:type="dxa"/>
            <w:tcBorders>
              <w:top w:val="nil"/>
              <w:left w:val="nil"/>
              <w:bottom w:val="double" w:sz="6" w:space="0" w:color="auto"/>
              <w:right w:val="nil"/>
            </w:tcBorders>
            <w:shd w:val="clear" w:color="000000" w:fill="FFFFFF"/>
            <w:noWrap/>
            <w:vAlign w:val="center"/>
            <w:hideMark/>
          </w:tcPr>
          <w:p w14:paraId="22905AFC"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Mean</w:t>
            </w:r>
          </w:p>
        </w:tc>
        <w:tc>
          <w:tcPr>
            <w:tcW w:w="1470" w:type="dxa"/>
            <w:tcBorders>
              <w:top w:val="nil"/>
              <w:left w:val="nil"/>
              <w:bottom w:val="double" w:sz="6" w:space="0" w:color="auto"/>
              <w:right w:val="nil"/>
            </w:tcBorders>
            <w:shd w:val="clear" w:color="000000" w:fill="FFFFFF"/>
            <w:noWrap/>
            <w:vAlign w:val="center"/>
            <w:hideMark/>
          </w:tcPr>
          <w:p w14:paraId="16FF4619"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Std. Dev.</w:t>
            </w:r>
          </w:p>
        </w:tc>
        <w:tc>
          <w:tcPr>
            <w:tcW w:w="262" w:type="dxa"/>
            <w:tcBorders>
              <w:top w:val="nil"/>
              <w:left w:val="nil"/>
              <w:bottom w:val="double" w:sz="6" w:space="0" w:color="auto"/>
              <w:right w:val="nil"/>
            </w:tcBorders>
            <w:shd w:val="clear" w:color="000000" w:fill="FFFFFF"/>
            <w:noWrap/>
            <w:vAlign w:val="center"/>
            <w:hideMark/>
          </w:tcPr>
          <w:p w14:paraId="5A30EAAC" w14:textId="77777777" w:rsidR="00765305" w:rsidRPr="008442CC" w:rsidRDefault="00765305" w:rsidP="00C810D9">
            <w:pPr>
              <w:jc w:val="center"/>
              <w:rPr>
                <w:rFonts w:eastAsia="Times New Roman" w:cstheme="minorHAnsi"/>
                <w:sz w:val="20"/>
                <w:szCs w:val="20"/>
              </w:rPr>
            </w:pPr>
          </w:p>
        </w:tc>
        <w:tc>
          <w:tcPr>
            <w:tcW w:w="1520" w:type="dxa"/>
            <w:vMerge/>
            <w:tcBorders>
              <w:top w:val="single" w:sz="12" w:space="0" w:color="auto"/>
              <w:left w:val="nil"/>
              <w:bottom w:val="double" w:sz="6" w:space="0" w:color="000000"/>
              <w:right w:val="nil"/>
            </w:tcBorders>
            <w:vAlign w:val="center"/>
            <w:hideMark/>
          </w:tcPr>
          <w:p w14:paraId="21A7AE2A" w14:textId="77777777" w:rsidR="00765305" w:rsidRPr="008442CC" w:rsidRDefault="00765305" w:rsidP="00C810D9">
            <w:pPr>
              <w:jc w:val="center"/>
              <w:rPr>
                <w:rFonts w:eastAsia="Times New Roman" w:cstheme="minorHAnsi"/>
                <w:sz w:val="20"/>
                <w:szCs w:val="20"/>
              </w:rPr>
            </w:pPr>
          </w:p>
        </w:tc>
        <w:tc>
          <w:tcPr>
            <w:tcW w:w="1720" w:type="dxa"/>
            <w:vMerge/>
            <w:tcBorders>
              <w:top w:val="single" w:sz="12" w:space="0" w:color="auto"/>
              <w:left w:val="nil"/>
              <w:bottom w:val="double" w:sz="6" w:space="0" w:color="000000"/>
              <w:right w:val="nil"/>
            </w:tcBorders>
            <w:vAlign w:val="center"/>
            <w:hideMark/>
          </w:tcPr>
          <w:p w14:paraId="38D14764" w14:textId="77777777" w:rsidR="00765305" w:rsidRPr="008442CC" w:rsidRDefault="00765305" w:rsidP="00C810D9">
            <w:pPr>
              <w:jc w:val="center"/>
              <w:rPr>
                <w:rFonts w:eastAsia="Times New Roman" w:cstheme="minorHAnsi"/>
                <w:sz w:val="20"/>
                <w:szCs w:val="20"/>
              </w:rPr>
            </w:pPr>
          </w:p>
        </w:tc>
      </w:tr>
      <w:tr w:rsidR="00601CE0" w:rsidRPr="008442CC" w14:paraId="4DA852DE" w14:textId="77777777" w:rsidTr="00C810D9">
        <w:trPr>
          <w:trHeight w:val="320"/>
        </w:trPr>
        <w:tc>
          <w:tcPr>
            <w:tcW w:w="1060" w:type="dxa"/>
            <w:tcBorders>
              <w:top w:val="nil"/>
              <w:left w:val="nil"/>
              <w:bottom w:val="nil"/>
              <w:right w:val="nil"/>
            </w:tcBorders>
            <w:shd w:val="clear" w:color="000000" w:fill="FFFFFF"/>
            <w:noWrap/>
            <w:vAlign w:val="center"/>
            <w:hideMark/>
          </w:tcPr>
          <w:p w14:paraId="2CC6BF43"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Q1</w:t>
            </w:r>
          </w:p>
        </w:tc>
        <w:tc>
          <w:tcPr>
            <w:tcW w:w="1500" w:type="dxa"/>
            <w:tcBorders>
              <w:top w:val="nil"/>
              <w:left w:val="nil"/>
              <w:bottom w:val="nil"/>
              <w:right w:val="nil"/>
            </w:tcBorders>
            <w:shd w:val="clear" w:color="000000" w:fill="FFFFFF"/>
            <w:noWrap/>
            <w:hideMark/>
          </w:tcPr>
          <w:p w14:paraId="5FA425C2"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Subjective</w:t>
            </w:r>
          </w:p>
        </w:tc>
        <w:tc>
          <w:tcPr>
            <w:tcW w:w="673" w:type="dxa"/>
            <w:tcBorders>
              <w:top w:val="nil"/>
              <w:left w:val="nil"/>
              <w:bottom w:val="nil"/>
              <w:right w:val="nil"/>
            </w:tcBorders>
            <w:shd w:val="clear" w:color="000000" w:fill="FFFFFF"/>
            <w:noWrap/>
            <w:vAlign w:val="center"/>
            <w:hideMark/>
          </w:tcPr>
          <w:p w14:paraId="37497B10"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1902EAC2"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0,87</w:t>
            </w:r>
          </w:p>
        </w:tc>
        <w:tc>
          <w:tcPr>
            <w:tcW w:w="1470" w:type="dxa"/>
            <w:tcBorders>
              <w:top w:val="nil"/>
              <w:left w:val="nil"/>
              <w:bottom w:val="nil"/>
              <w:right w:val="nil"/>
            </w:tcBorders>
            <w:shd w:val="clear" w:color="000000" w:fill="FFFFFF"/>
            <w:noWrap/>
            <w:vAlign w:val="center"/>
            <w:hideMark/>
          </w:tcPr>
          <w:p w14:paraId="1FF4D511"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0,337</w:t>
            </w:r>
          </w:p>
        </w:tc>
        <w:tc>
          <w:tcPr>
            <w:tcW w:w="262" w:type="dxa"/>
            <w:tcBorders>
              <w:top w:val="nil"/>
              <w:left w:val="nil"/>
              <w:bottom w:val="nil"/>
              <w:right w:val="nil"/>
            </w:tcBorders>
            <w:shd w:val="clear" w:color="000000" w:fill="FFFFFF"/>
            <w:noWrap/>
            <w:vAlign w:val="center"/>
            <w:hideMark/>
          </w:tcPr>
          <w:p w14:paraId="0E9EB6AF" w14:textId="77777777" w:rsidR="00765305" w:rsidRPr="008442CC" w:rsidRDefault="00765305" w:rsidP="00C810D9">
            <w:pPr>
              <w:jc w:val="center"/>
              <w:rPr>
                <w:rFonts w:eastAsia="Times New Roman" w:cstheme="minorHAnsi"/>
                <w:sz w:val="20"/>
                <w:szCs w:val="20"/>
              </w:rPr>
            </w:pPr>
          </w:p>
        </w:tc>
        <w:tc>
          <w:tcPr>
            <w:tcW w:w="673" w:type="dxa"/>
            <w:tcBorders>
              <w:top w:val="nil"/>
              <w:left w:val="nil"/>
              <w:bottom w:val="nil"/>
              <w:right w:val="nil"/>
            </w:tcBorders>
            <w:shd w:val="clear" w:color="000000" w:fill="FFFFFF"/>
            <w:noWrap/>
            <w:vAlign w:val="center"/>
            <w:hideMark/>
          </w:tcPr>
          <w:p w14:paraId="79D31251"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317296DA"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0,76</w:t>
            </w:r>
          </w:p>
        </w:tc>
        <w:tc>
          <w:tcPr>
            <w:tcW w:w="1470" w:type="dxa"/>
            <w:tcBorders>
              <w:top w:val="nil"/>
              <w:left w:val="nil"/>
              <w:bottom w:val="nil"/>
              <w:right w:val="nil"/>
            </w:tcBorders>
            <w:shd w:val="clear" w:color="000000" w:fill="FFFFFF"/>
            <w:noWrap/>
            <w:vAlign w:val="center"/>
            <w:hideMark/>
          </w:tcPr>
          <w:p w14:paraId="1411F28E"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0,430</w:t>
            </w:r>
          </w:p>
        </w:tc>
        <w:tc>
          <w:tcPr>
            <w:tcW w:w="262" w:type="dxa"/>
            <w:tcBorders>
              <w:top w:val="nil"/>
              <w:left w:val="nil"/>
              <w:bottom w:val="nil"/>
              <w:right w:val="nil"/>
            </w:tcBorders>
            <w:shd w:val="clear" w:color="000000" w:fill="FFFFFF"/>
            <w:noWrap/>
            <w:vAlign w:val="center"/>
            <w:hideMark/>
          </w:tcPr>
          <w:p w14:paraId="0F92DE65" w14:textId="77777777" w:rsidR="00765305" w:rsidRPr="008442CC" w:rsidRDefault="00765305" w:rsidP="00C810D9">
            <w:pPr>
              <w:jc w:val="center"/>
              <w:rPr>
                <w:rFonts w:eastAsia="Times New Roman" w:cstheme="minorHAnsi"/>
                <w:sz w:val="20"/>
                <w:szCs w:val="20"/>
              </w:rPr>
            </w:pPr>
          </w:p>
        </w:tc>
        <w:tc>
          <w:tcPr>
            <w:tcW w:w="1520" w:type="dxa"/>
            <w:tcBorders>
              <w:top w:val="nil"/>
              <w:left w:val="nil"/>
              <w:bottom w:val="nil"/>
              <w:right w:val="nil"/>
            </w:tcBorders>
            <w:shd w:val="clear" w:color="000000" w:fill="FFFFFF"/>
            <w:noWrap/>
            <w:vAlign w:val="center"/>
            <w:hideMark/>
          </w:tcPr>
          <w:p w14:paraId="106A93FF"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0.004 ***</w:t>
            </w:r>
          </w:p>
        </w:tc>
        <w:tc>
          <w:tcPr>
            <w:tcW w:w="1720" w:type="dxa"/>
            <w:tcBorders>
              <w:top w:val="nil"/>
              <w:left w:val="nil"/>
              <w:bottom w:val="nil"/>
              <w:right w:val="nil"/>
            </w:tcBorders>
            <w:shd w:val="clear" w:color="000000" w:fill="FFFFFF"/>
            <w:noWrap/>
            <w:vAlign w:val="center"/>
            <w:hideMark/>
          </w:tcPr>
          <w:p w14:paraId="63BC662A"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0.005 ***</w:t>
            </w:r>
          </w:p>
        </w:tc>
      </w:tr>
      <w:tr w:rsidR="00601CE0" w:rsidRPr="008442CC" w14:paraId="0CED5152" w14:textId="77777777" w:rsidTr="00C810D9">
        <w:trPr>
          <w:trHeight w:val="300"/>
        </w:trPr>
        <w:tc>
          <w:tcPr>
            <w:tcW w:w="1060" w:type="dxa"/>
            <w:tcBorders>
              <w:top w:val="nil"/>
              <w:left w:val="nil"/>
              <w:bottom w:val="nil"/>
              <w:right w:val="nil"/>
            </w:tcBorders>
            <w:shd w:val="clear" w:color="000000" w:fill="FFFFFF"/>
            <w:noWrap/>
            <w:vAlign w:val="center"/>
            <w:hideMark/>
          </w:tcPr>
          <w:p w14:paraId="4D7FE0EB"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Q2</w:t>
            </w:r>
          </w:p>
        </w:tc>
        <w:tc>
          <w:tcPr>
            <w:tcW w:w="1500" w:type="dxa"/>
            <w:tcBorders>
              <w:top w:val="nil"/>
              <w:left w:val="nil"/>
              <w:bottom w:val="nil"/>
              <w:right w:val="nil"/>
            </w:tcBorders>
            <w:shd w:val="clear" w:color="000000" w:fill="FFFFFF"/>
            <w:noWrap/>
            <w:hideMark/>
          </w:tcPr>
          <w:p w14:paraId="3DE48225"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Subjective</w:t>
            </w:r>
          </w:p>
        </w:tc>
        <w:tc>
          <w:tcPr>
            <w:tcW w:w="673" w:type="dxa"/>
            <w:tcBorders>
              <w:top w:val="nil"/>
              <w:left w:val="nil"/>
              <w:bottom w:val="nil"/>
              <w:right w:val="nil"/>
            </w:tcBorders>
            <w:shd w:val="clear" w:color="000000" w:fill="FFFFFF"/>
            <w:noWrap/>
            <w:vAlign w:val="center"/>
            <w:hideMark/>
          </w:tcPr>
          <w:p w14:paraId="02619911"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115</w:t>
            </w:r>
          </w:p>
        </w:tc>
        <w:tc>
          <w:tcPr>
            <w:tcW w:w="977" w:type="dxa"/>
            <w:tcBorders>
              <w:top w:val="nil"/>
              <w:left w:val="nil"/>
              <w:bottom w:val="nil"/>
              <w:right w:val="nil"/>
            </w:tcBorders>
            <w:shd w:val="clear" w:color="000000" w:fill="FFFFFF"/>
            <w:noWrap/>
            <w:vAlign w:val="center"/>
            <w:hideMark/>
          </w:tcPr>
          <w:p w14:paraId="7539C98F"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0,16</w:t>
            </w:r>
          </w:p>
        </w:tc>
        <w:tc>
          <w:tcPr>
            <w:tcW w:w="1470" w:type="dxa"/>
            <w:tcBorders>
              <w:top w:val="nil"/>
              <w:left w:val="nil"/>
              <w:bottom w:val="nil"/>
              <w:right w:val="nil"/>
            </w:tcBorders>
            <w:shd w:val="clear" w:color="000000" w:fill="FFFFFF"/>
            <w:noWrap/>
            <w:vAlign w:val="center"/>
            <w:hideMark/>
          </w:tcPr>
          <w:p w14:paraId="44F66F7B"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0,365</w:t>
            </w:r>
          </w:p>
        </w:tc>
        <w:tc>
          <w:tcPr>
            <w:tcW w:w="262" w:type="dxa"/>
            <w:tcBorders>
              <w:top w:val="nil"/>
              <w:left w:val="nil"/>
              <w:bottom w:val="nil"/>
              <w:right w:val="nil"/>
            </w:tcBorders>
            <w:shd w:val="clear" w:color="000000" w:fill="FFFFFF"/>
            <w:noWrap/>
            <w:vAlign w:val="center"/>
            <w:hideMark/>
          </w:tcPr>
          <w:p w14:paraId="3D1FAE41" w14:textId="77777777" w:rsidR="00765305" w:rsidRPr="008442CC" w:rsidRDefault="00765305" w:rsidP="00C810D9">
            <w:pPr>
              <w:jc w:val="center"/>
              <w:rPr>
                <w:rFonts w:eastAsia="Times New Roman" w:cstheme="minorHAnsi"/>
                <w:sz w:val="20"/>
                <w:szCs w:val="20"/>
              </w:rPr>
            </w:pPr>
          </w:p>
        </w:tc>
        <w:tc>
          <w:tcPr>
            <w:tcW w:w="673" w:type="dxa"/>
            <w:tcBorders>
              <w:top w:val="nil"/>
              <w:left w:val="nil"/>
              <w:bottom w:val="nil"/>
              <w:right w:val="nil"/>
            </w:tcBorders>
            <w:shd w:val="clear" w:color="000000" w:fill="FFFFFF"/>
            <w:noWrap/>
            <w:vAlign w:val="center"/>
            <w:hideMark/>
          </w:tcPr>
          <w:p w14:paraId="036CD506"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0134FFC1"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0,31</w:t>
            </w:r>
          </w:p>
        </w:tc>
        <w:tc>
          <w:tcPr>
            <w:tcW w:w="1470" w:type="dxa"/>
            <w:tcBorders>
              <w:top w:val="nil"/>
              <w:left w:val="nil"/>
              <w:bottom w:val="nil"/>
              <w:right w:val="nil"/>
            </w:tcBorders>
            <w:shd w:val="clear" w:color="000000" w:fill="FFFFFF"/>
            <w:noWrap/>
            <w:vAlign w:val="center"/>
            <w:hideMark/>
          </w:tcPr>
          <w:p w14:paraId="694447E8"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0,465</w:t>
            </w:r>
          </w:p>
        </w:tc>
        <w:tc>
          <w:tcPr>
            <w:tcW w:w="262" w:type="dxa"/>
            <w:tcBorders>
              <w:top w:val="nil"/>
              <w:left w:val="nil"/>
              <w:bottom w:val="nil"/>
              <w:right w:val="nil"/>
            </w:tcBorders>
            <w:shd w:val="clear" w:color="000000" w:fill="FFFFFF"/>
            <w:noWrap/>
            <w:vAlign w:val="center"/>
            <w:hideMark/>
          </w:tcPr>
          <w:p w14:paraId="7B878358" w14:textId="77777777" w:rsidR="00765305" w:rsidRPr="008442CC" w:rsidRDefault="00765305" w:rsidP="00C810D9">
            <w:pPr>
              <w:jc w:val="center"/>
              <w:rPr>
                <w:rFonts w:eastAsia="Times New Roman" w:cstheme="minorHAnsi"/>
                <w:sz w:val="20"/>
                <w:szCs w:val="20"/>
              </w:rPr>
            </w:pPr>
          </w:p>
        </w:tc>
        <w:tc>
          <w:tcPr>
            <w:tcW w:w="1520" w:type="dxa"/>
            <w:tcBorders>
              <w:top w:val="nil"/>
              <w:left w:val="nil"/>
              <w:bottom w:val="nil"/>
              <w:right w:val="nil"/>
            </w:tcBorders>
            <w:shd w:val="clear" w:color="000000" w:fill="FFFFFF"/>
            <w:noWrap/>
            <w:vAlign w:val="center"/>
            <w:hideMark/>
          </w:tcPr>
          <w:p w14:paraId="18C6BA23"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0.001 ***</w:t>
            </w:r>
          </w:p>
        </w:tc>
        <w:tc>
          <w:tcPr>
            <w:tcW w:w="1720" w:type="dxa"/>
            <w:tcBorders>
              <w:top w:val="nil"/>
              <w:left w:val="nil"/>
              <w:bottom w:val="nil"/>
              <w:right w:val="nil"/>
            </w:tcBorders>
            <w:shd w:val="clear" w:color="000000" w:fill="FFFFFF"/>
            <w:noWrap/>
            <w:vAlign w:val="center"/>
            <w:hideMark/>
          </w:tcPr>
          <w:p w14:paraId="1ADF8B3D"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0.001 ***</w:t>
            </w:r>
          </w:p>
        </w:tc>
      </w:tr>
      <w:tr w:rsidR="00601CE0" w:rsidRPr="008442CC" w14:paraId="70CF658F" w14:textId="77777777" w:rsidTr="00C810D9">
        <w:trPr>
          <w:trHeight w:val="300"/>
        </w:trPr>
        <w:tc>
          <w:tcPr>
            <w:tcW w:w="1060" w:type="dxa"/>
            <w:tcBorders>
              <w:top w:val="nil"/>
              <w:left w:val="nil"/>
              <w:bottom w:val="nil"/>
              <w:right w:val="nil"/>
            </w:tcBorders>
            <w:shd w:val="clear" w:color="000000" w:fill="FFFFFF"/>
            <w:noWrap/>
            <w:vAlign w:val="center"/>
            <w:hideMark/>
          </w:tcPr>
          <w:p w14:paraId="07556613"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Q4</w:t>
            </w:r>
          </w:p>
        </w:tc>
        <w:tc>
          <w:tcPr>
            <w:tcW w:w="1500" w:type="dxa"/>
            <w:tcBorders>
              <w:top w:val="nil"/>
              <w:left w:val="nil"/>
              <w:bottom w:val="nil"/>
              <w:right w:val="nil"/>
            </w:tcBorders>
            <w:shd w:val="clear" w:color="000000" w:fill="FFFFFF"/>
            <w:noWrap/>
            <w:hideMark/>
          </w:tcPr>
          <w:p w14:paraId="72398B9D"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Objective</w:t>
            </w:r>
          </w:p>
        </w:tc>
        <w:tc>
          <w:tcPr>
            <w:tcW w:w="673" w:type="dxa"/>
            <w:tcBorders>
              <w:top w:val="nil"/>
              <w:left w:val="nil"/>
              <w:bottom w:val="nil"/>
              <w:right w:val="nil"/>
            </w:tcBorders>
            <w:shd w:val="clear" w:color="000000" w:fill="FFFFFF"/>
            <w:noWrap/>
            <w:vAlign w:val="center"/>
            <w:hideMark/>
          </w:tcPr>
          <w:p w14:paraId="24AE0664"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4337E3A6"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1,34</w:t>
            </w:r>
          </w:p>
        </w:tc>
        <w:tc>
          <w:tcPr>
            <w:tcW w:w="1470" w:type="dxa"/>
            <w:tcBorders>
              <w:top w:val="nil"/>
              <w:left w:val="nil"/>
              <w:bottom w:val="nil"/>
              <w:right w:val="nil"/>
            </w:tcBorders>
            <w:shd w:val="clear" w:color="000000" w:fill="FFFFFF"/>
            <w:noWrap/>
            <w:vAlign w:val="center"/>
            <w:hideMark/>
          </w:tcPr>
          <w:p w14:paraId="52252F6B"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0,734</w:t>
            </w:r>
          </w:p>
        </w:tc>
        <w:tc>
          <w:tcPr>
            <w:tcW w:w="262" w:type="dxa"/>
            <w:tcBorders>
              <w:top w:val="nil"/>
              <w:left w:val="nil"/>
              <w:bottom w:val="nil"/>
              <w:right w:val="nil"/>
            </w:tcBorders>
            <w:shd w:val="clear" w:color="000000" w:fill="FFFFFF"/>
            <w:noWrap/>
            <w:vAlign w:val="center"/>
            <w:hideMark/>
          </w:tcPr>
          <w:p w14:paraId="77990D16" w14:textId="77777777" w:rsidR="00765305" w:rsidRPr="008442CC" w:rsidRDefault="00765305" w:rsidP="00C810D9">
            <w:pPr>
              <w:jc w:val="center"/>
              <w:rPr>
                <w:rFonts w:eastAsia="Times New Roman" w:cstheme="minorHAnsi"/>
                <w:sz w:val="20"/>
                <w:szCs w:val="20"/>
              </w:rPr>
            </w:pPr>
          </w:p>
        </w:tc>
        <w:tc>
          <w:tcPr>
            <w:tcW w:w="673" w:type="dxa"/>
            <w:tcBorders>
              <w:top w:val="nil"/>
              <w:left w:val="nil"/>
              <w:bottom w:val="nil"/>
              <w:right w:val="nil"/>
            </w:tcBorders>
            <w:shd w:val="clear" w:color="000000" w:fill="FFFFFF"/>
            <w:noWrap/>
            <w:vAlign w:val="center"/>
            <w:hideMark/>
          </w:tcPr>
          <w:p w14:paraId="4597F070"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70EFE4CE"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1,46</w:t>
            </w:r>
          </w:p>
        </w:tc>
        <w:tc>
          <w:tcPr>
            <w:tcW w:w="1470" w:type="dxa"/>
            <w:tcBorders>
              <w:top w:val="nil"/>
              <w:left w:val="nil"/>
              <w:bottom w:val="nil"/>
              <w:right w:val="nil"/>
            </w:tcBorders>
            <w:shd w:val="clear" w:color="000000" w:fill="FFFFFF"/>
            <w:noWrap/>
            <w:vAlign w:val="center"/>
            <w:hideMark/>
          </w:tcPr>
          <w:p w14:paraId="3E29B729"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0,888</w:t>
            </w:r>
          </w:p>
        </w:tc>
        <w:tc>
          <w:tcPr>
            <w:tcW w:w="262" w:type="dxa"/>
            <w:tcBorders>
              <w:top w:val="nil"/>
              <w:left w:val="nil"/>
              <w:bottom w:val="nil"/>
              <w:right w:val="nil"/>
            </w:tcBorders>
            <w:shd w:val="clear" w:color="000000" w:fill="FFFFFF"/>
            <w:noWrap/>
            <w:vAlign w:val="center"/>
            <w:hideMark/>
          </w:tcPr>
          <w:p w14:paraId="61647157" w14:textId="77777777" w:rsidR="00765305" w:rsidRPr="008442CC" w:rsidRDefault="00765305" w:rsidP="00C810D9">
            <w:pPr>
              <w:jc w:val="center"/>
              <w:rPr>
                <w:rFonts w:eastAsia="Times New Roman" w:cstheme="minorHAnsi"/>
                <w:sz w:val="20"/>
                <w:szCs w:val="20"/>
              </w:rPr>
            </w:pPr>
          </w:p>
        </w:tc>
        <w:tc>
          <w:tcPr>
            <w:tcW w:w="1520" w:type="dxa"/>
            <w:tcBorders>
              <w:top w:val="nil"/>
              <w:left w:val="nil"/>
              <w:bottom w:val="nil"/>
              <w:right w:val="nil"/>
            </w:tcBorders>
            <w:shd w:val="clear" w:color="000000" w:fill="FFFFFF"/>
            <w:noWrap/>
            <w:vAlign w:val="center"/>
            <w:hideMark/>
          </w:tcPr>
          <w:p w14:paraId="655D0174"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0.080 *</w:t>
            </w:r>
          </w:p>
        </w:tc>
        <w:tc>
          <w:tcPr>
            <w:tcW w:w="1720" w:type="dxa"/>
            <w:tcBorders>
              <w:top w:val="nil"/>
              <w:left w:val="nil"/>
              <w:bottom w:val="nil"/>
              <w:right w:val="nil"/>
            </w:tcBorders>
            <w:shd w:val="clear" w:color="000000" w:fill="FFFFFF"/>
            <w:noWrap/>
            <w:vAlign w:val="center"/>
            <w:hideMark/>
          </w:tcPr>
          <w:p w14:paraId="3C0D99BB"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0.074 *</w:t>
            </w:r>
          </w:p>
        </w:tc>
      </w:tr>
      <w:tr w:rsidR="00601CE0" w:rsidRPr="008442CC" w14:paraId="4EBD6456" w14:textId="77777777" w:rsidTr="00C810D9">
        <w:trPr>
          <w:trHeight w:val="300"/>
        </w:trPr>
        <w:tc>
          <w:tcPr>
            <w:tcW w:w="1060" w:type="dxa"/>
            <w:tcBorders>
              <w:top w:val="nil"/>
              <w:left w:val="nil"/>
              <w:bottom w:val="nil"/>
              <w:right w:val="nil"/>
            </w:tcBorders>
            <w:shd w:val="clear" w:color="000000" w:fill="FFFFFF"/>
            <w:noWrap/>
            <w:vAlign w:val="center"/>
            <w:hideMark/>
          </w:tcPr>
          <w:p w14:paraId="5F781BDA"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Q5</w:t>
            </w:r>
          </w:p>
        </w:tc>
        <w:tc>
          <w:tcPr>
            <w:tcW w:w="1500" w:type="dxa"/>
            <w:tcBorders>
              <w:top w:val="nil"/>
              <w:left w:val="nil"/>
              <w:bottom w:val="nil"/>
              <w:right w:val="nil"/>
            </w:tcBorders>
            <w:shd w:val="clear" w:color="000000" w:fill="FFFFFF"/>
            <w:noWrap/>
            <w:hideMark/>
          </w:tcPr>
          <w:p w14:paraId="1DD1729C"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Subjective</w:t>
            </w:r>
          </w:p>
        </w:tc>
        <w:tc>
          <w:tcPr>
            <w:tcW w:w="673" w:type="dxa"/>
            <w:tcBorders>
              <w:top w:val="nil"/>
              <w:left w:val="nil"/>
              <w:bottom w:val="nil"/>
              <w:right w:val="nil"/>
            </w:tcBorders>
            <w:shd w:val="clear" w:color="000000" w:fill="FFFFFF"/>
            <w:noWrap/>
            <w:vAlign w:val="center"/>
            <w:hideMark/>
          </w:tcPr>
          <w:p w14:paraId="07267A2E"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114</w:t>
            </w:r>
          </w:p>
        </w:tc>
        <w:tc>
          <w:tcPr>
            <w:tcW w:w="977" w:type="dxa"/>
            <w:tcBorders>
              <w:top w:val="nil"/>
              <w:left w:val="nil"/>
              <w:bottom w:val="nil"/>
              <w:right w:val="nil"/>
            </w:tcBorders>
            <w:shd w:val="clear" w:color="000000" w:fill="FFFFFF"/>
            <w:noWrap/>
            <w:vAlign w:val="center"/>
            <w:hideMark/>
          </w:tcPr>
          <w:p w14:paraId="6A29F054"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1,50</w:t>
            </w:r>
          </w:p>
        </w:tc>
        <w:tc>
          <w:tcPr>
            <w:tcW w:w="1470" w:type="dxa"/>
            <w:tcBorders>
              <w:top w:val="nil"/>
              <w:left w:val="nil"/>
              <w:bottom w:val="nil"/>
              <w:right w:val="nil"/>
            </w:tcBorders>
            <w:shd w:val="clear" w:color="000000" w:fill="FFFFFF"/>
            <w:noWrap/>
            <w:vAlign w:val="center"/>
            <w:hideMark/>
          </w:tcPr>
          <w:p w14:paraId="65F5BA81"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0,895</w:t>
            </w:r>
          </w:p>
        </w:tc>
        <w:tc>
          <w:tcPr>
            <w:tcW w:w="262" w:type="dxa"/>
            <w:tcBorders>
              <w:top w:val="nil"/>
              <w:left w:val="nil"/>
              <w:bottom w:val="nil"/>
              <w:right w:val="nil"/>
            </w:tcBorders>
            <w:shd w:val="clear" w:color="000000" w:fill="FFFFFF"/>
            <w:noWrap/>
            <w:vAlign w:val="center"/>
            <w:hideMark/>
          </w:tcPr>
          <w:p w14:paraId="1F00C799" w14:textId="77777777" w:rsidR="00765305" w:rsidRPr="008442CC" w:rsidRDefault="00765305" w:rsidP="00C810D9">
            <w:pPr>
              <w:jc w:val="center"/>
              <w:rPr>
                <w:rFonts w:eastAsia="Times New Roman" w:cstheme="minorHAnsi"/>
                <w:sz w:val="20"/>
                <w:szCs w:val="20"/>
              </w:rPr>
            </w:pPr>
          </w:p>
        </w:tc>
        <w:tc>
          <w:tcPr>
            <w:tcW w:w="673" w:type="dxa"/>
            <w:tcBorders>
              <w:top w:val="nil"/>
              <w:left w:val="nil"/>
              <w:bottom w:val="nil"/>
              <w:right w:val="nil"/>
            </w:tcBorders>
            <w:shd w:val="clear" w:color="000000" w:fill="FFFFFF"/>
            <w:noWrap/>
            <w:vAlign w:val="center"/>
            <w:hideMark/>
          </w:tcPr>
          <w:p w14:paraId="7BF5FF29"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115</w:t>
            </w:r>
          </w:p>
        </w:tc>
        <w:tc>
          <w:tcPr>
            <w:tcW w:w="977" w:type="dxa"/>
            <w:tcBorders>
              <w:top w:val="nil"/>
              <w:left w:val="nil"/>
              <w:bottom w:val="nil"/>
              <w:right w:val="nil"/>
            </w:tcBorders>
            <w:shd w:val="clear" w:color="000000" w:fill="FFFFFF"/>
            <w:noWrap/>
            <w:vAlign w:val="center"/>
            <w:hideMark/>
          </w:tcPr>
          <w:p w14:paraId="274ACC25"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1,74</w:t>
            </w:r>
          </w:p>
        </w:tc>
        <w:tc>
          <w:tcPr>
            <w:tcW w:w="1470" w:type="dxa"/>
            <w:tcBorders>
              <w:top w:val="nil"/>
              <w:left w:val="nil"/>
              <w:bottom w:val="nil"/>
              <w:right w:val="nil"/>
            </w:tcBorders>
            <w:shd w:val="clear" w:color="000000" w:fill="FFFFFF"/>
            <w:noWrap/>
            <w:vAlign w:val="center"/>
            <w:hideMark/>
          </w:tcPr>
          <w:p w14:paraId="7B8671D8"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1,140</w:t>
            </w:r>
          </w:p>
        </w:tc>
        <w:tc>
          <w:tcPr>
            <w:tcW w:w="262" w:type="dxa"/>
            <w:tcBorders>
              <w:top w:val="nil"/>
              <w:left w:val="nil"/>
              <w:bottom w:val="nil"/>
              <w:right w:val="nil"/>
            </w:tcBorders>
            <w:shd w:val="clear" w:color="000000" w:fill="FFFFFF"/>
            <w:noWrap/>
            <w:vAlign w:val="center"/>
            <w:hideMark/>
          </w:tcPr>
          <w:p w14:paraId="6FCA5377" w14:textId="77777777" w:rsidR="00765305" w:rsidRPr="008442CC" w:rsidRDefault="00765305" w:rsidP="00C810D9">
            <w:pPr>
              <w:jc w:val="center"/>
              <w:rPr>
                <w:rFonts w:eastAsia="Times New Roman" w:cstheme="minorHAnsi"/>
                <w:sz w:val="20"/>
                <w:szCs w:val="20"/>
              </w:rPr>
            </w:pPr>
          </w:p>
        </w:tc>
        <w:tc>
          <w:tcPr>
            <w:tcW w:w="1520" w:type="dxa"/>
            <w:tcBorders>
              <w:top w:val="nil"/>
              <w:left w:val="nil"/>
              <w:bottom w:val="nil"/>
              <w:right w:val="nil"/>
            </w:tcBorders>
            <w:shd w:val="clear" w:color="000000" w:fill="FFFFFF"/>
            <w:noWrap/>
            <w:vAlign w:val="center"/>
            <w:hideMark/>
          </w:tcPr>
          <w:p w14:paraId="3FF100EE"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0.007 ***</w:t>
            </w:r>
          </w:p>
        </w:tc>
        <w:tc>
          <w:tcPr>
            <w:tcW w:w="1720" w:type="dxa"/>
            <w:tcBorders>
              <w:top w:val="nil"/>
              <w:left w:val="nil"/>
              <w:bottom w:val="nil"/>
              <w:right w:val="nil"/>
            </w:tcBorders>
            <w:shd w:val="clear" w:color="000000" w:fill="FFFFFF"/>
            <w:noWrap/>
            <w:vAlign w:val="center"/>
            <w:hideMark/>
          </w:tcPr>
          <w:p w14:paraId="1BBD7850"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0.007 ***</w:t>
            </w:r>
          </w:p>
        </w:tc>
      </w:tr>
      <w:tr w:rsidR="00601CE0" w:rsidRPr="008442CC" w14:paraId="419CB660" w14:textId="77777777" w:rsidTr="00C810D9">
        <w:trPr>
          <w:trHeight w:val="300"/>
        </w:trPr>
        <w:tc>
          <w:tcPr>
            <w:tcW w:w="1060" w:type="dxa"/>
            <w:tcBorders>
              <w:top w:val="nil"/>
              <w:left w:val="nil"/>
              <w:bottom w:val="nil"/>
              <w:right w:val="nil"/>
            </w:tcBorders>
            <w:shd w:val="clear" w:color="000000" w:fill="FFFFFF"/>
            <w:noWrap/>
            <w:vAlign w:val="center"/>
            <w:hideMark/>
          </w:tcPr>
          <w:p w14:paraId="52BF17D3"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Q6 a</w:t>
            </w:r>
          </w:p>
        </w:tc>
        <w:tc>
          <w:tcPr>
            <w:tcW w:w="1500" w:type="dxa"/>
            <w:tcBorders>
              <w:top w:val="nil"/>
              <w:left w:val="nil"/>
              <w:bottom w:val="nil"/>
              <w:right w:val="nil"/>
            </w:tcBorders>
            <w:shd w:val="clear" w:color="000000" w:fill="FFFFFF"/>
            <w:noWrap/>
            <w:hideMark/>
          </w:tcPr>
          <w:p w14:paraId="0801D8AA"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Subjective</w:t>
            </w:r>
          </w:p>
        </w:tc>
        <w:tc>
          <w:tcPr>
            <w:tcW w:w="673" w:type="dxa"/>
            <w:tcBorders>
              <w:top w:val="nil"/>
              <w:left w:val="nil"/>
              <w:bottom w:val="nil"/>
              <w:right w:val="nil"/>
            </w:tcBorders>
            <w:shd w:val="clear" w:color="000000" w:fill="FFFFFF"/>
            <w:noWrap/>
            <w:vAlign w:val="center"/>
            <w:hideMark/>
          </w:tcPr>
          <w:p w14:paraId="49E1B186"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72642B42"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1,44</w:t>
            </w:r>
          </w:p>
        </w:tc>
        <w:tc>
          <w:tcPr>
            <w:tcW w:w="1470" w:type="dxa"/>
            <w:tcBorders>
              <w:top w:val="nil"/>
              <w:left w:val="nil"/>
              <w:bottom w:val="nil"/>
              <w:right w:val="nil"/>
            </w:tcBorders>
            <w:shd w:val="clear" w:color="000000" w:fill="FFFFFF"/>
            <w:noWrap/>
            <w:vAlign w:val="center"/>
            <w:hideMark/>
          </w:tcPr>
          <w:p w14:paraId="07DC6B0E"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0,878</w:t>
            </w:r>
          </w:p>
        </w:tc>
        <w:tc>
          <w:tcPr>
            <w:tcW w:w="262" w:type="dxa"/>
            <w:tcBorders>
              <w:top w:val="nil"/>
              <w:left w:val="nil"/>
              <w:bottom w:val="nil"/>
              <w:right w:val="nil"/>
            </w:tcBorders>
            <w:shd w:val="clear" w:color="000000" w:fill="FFFFFF"/>
            <w:noWrap/>
            <w:vAlign w:val="center"/>
            <w:hideMark/>
          </w:tcPr>
          <w:p w14:paraId="2E03B71A" w14:textId="77777777" w:rsidR="00765305" w:rsidRPr="008442CC" w:rsidRDefault="00765305" w:rsidP="00C810D9">
            <w:pPr>
              <w:jc w:val="center"/>
              <w:rPr>
                <w:rFonts w:eastAsia="Times New Roman" w:cstheme="minorHAnsi"/>
                <w:sz w:val="20"/>
                <w:szCs w:val="20"/>
              </w:rPr>
            </w:pPr>
          </w:p>
        </w:tc>
        <w:tc>
          <w:tcPr>
            <w:tcW w:w="673" w:type="dxa"/>
            <w:tcBorders>
              <w:top w:val="nil"/>
              <w:left w:val="nil"/>
              <w:bottom w:val="nil"/>
              <w:right w:val="nil"/>
            </w:tcBorders>
            <w:shd w:val="clear" w:color="000000" w:fill="FFFFFF"/>
            <w:noWrap/>
            <w:vAlign w:val="center"/>
            <w:hideMark/>
          </w:tcPr>
          <w:p w14:paraId="5F943111"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532B4419"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1,52</w:t>
            </w:r>
          </w:p>
        </w:tc>
        <w:tc>
          <w:tcPr>
            <w:tcW w:w="1470" w:type="dxa"/>
            <w:tcBorders>
              <w:top w:val="nil"/>
              <w:left w:val="nil"/>
              <w:bottom w:val="nil"/>
              <w:right w:val="nil"/>
            </w:tcBorders>
            <w:shd w:val="clear" w:color="000000" w:fill="FFFFFF"/>
            <w:noWrap/>
            <w:vAlign w:val="center"/>
            <w:hideMark/>
          </w:tcPr>
          <w:p w14:paraId="3DE054A4"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1,059</w:t>
            </w:r>
          </w:p>
        </w:tc>
        <w:tc>
          <w:tcPr>
            <w:tcW w:w="262" w:type="dxa"/>
            <w:tcBorders>
              <w:top w:val="nil"/>
              <w:left w:val="nil"/>
              <w:bottom w:val="nil"/>
              <w:right w:val="nil"/>
            </w:tcBorders>
            <w:shd w:val="clear" w:color="000000" w:fill="FFFFFF"/>
            <w:noWrap/>
            <w:vAlign w:val="center"/>
            <w:hideMark/>
          </w:tcPr>
          <w:p w14:paraId="621BDE15" w14:textId="77777777" w:rsidR="00765305" w:rsidRPr="008442CC" w:rsidRDefault="00765305" w:rsidP="00C810D9">
            <w:pPr>
              <w:jc w:val="center"/>
              <w:rPr>
                <w:rFonts w:eastAsia="Times New Roman" w:cstheme="minorHAnsi"/>
                <w:sz w:val="20"/>
                <w:szCs w:val="20"/>
              </w:rPr>
            </w:pPr>
          </w:p>
        </w:tc>
        <w:tc>
          <w:tcPr>
            <w:tcW w:w="1520" w:type="dxa"/>
            <w:tcBorders>
              <w:top w:val="nil"/>
              <w:left w:val="nil"/>
              <w:bottom w:val="nil"/>
              <w:right w:val="nil"/>
            </w:tcBorders>
            <w:shd w:val="clear" w:color="000000" w:fill="FFFFFF"/>
            <w:noWrap/>
            <w:vAlign w:val="center"/>
            <w:hideMark/>
          </w:tcPr>
          <w:p w14:paraId="6223C8E8"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0,227</w:t>
            </w:r>
          </w:p>
        </w:tc>
        <w:tc>
          <w:tcPr>
            <w:tcW w:w="1720" w:type="dxa"/>
            <w:tcBorders>
              <w:top w:val="nil"/>
              <w:left w:val="nil"/>
              <w:bottom w:val="nil"/>
              <w:right w:val="nil"/>
            </w:tcBorders>
            <w:shd w:val="clear" w:color="000000" w:fill="FFFFFF"/>
            <w:noWrap/>
            <w:vAlign w:val="center"/>
            <w:hideMark/>
          </w:tcPr>
          <w:p w14:paraId="11DF6119"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0,179</w:t>
            </w:r>
          </w:p>
        </w:tc>
      </w:tr>
      <w:tr w:rsidR="00601CE0" w:rsidRPr="008442CC" w14:paraId="17E8AEAA" w14:textId="77777777" w:rsidTr="00C810D9">
        <w:trPr>
          <w:trHeight w:val="300"/>
        </w:trPr>
        <w:tc>
          <w:tcPr>
            <w:tcW w:w="1060" w:type="dxa"/>
            <w:tcBorders>
              <w:top w:val="nil"/>
              <w:left w:val="nil"/>
              <w:bottom w:val="nil"/>
              <w:right w:val="nil"/>
            </w:tcBorders>
            <w:shd w:val="clear" w:color="000000" w:fill="FFFFFF"/>
            <w:noWrap/>
            <w:vAlign w:val="center"/>
            <w:hideMark/>
          </w:tcPr>
          <w:p w14:paraId="340D66DA"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Q6 b</w:t>
            </w:r>
          </w:p>
        </w:tc>
        <w:tc>
          <w:tcPr>
            <w:tcW w:w="1500" w:type="dxa"/>
            <w:tcBorders>
              <w:top w:val="nil"/>
              <w:left w:val="nil"/>
              <w:bottom w:val="nil"/>
              <w:right w:val="nil"/>
            </w:tcBorders>
            <w:shd w:val="clear" w:color="000000" w:fill="FFFFFF"/>
            <w:noWrap/>
            <w:hideMark/>
          </w:tcPr>
          <w:p w14:paraId="012F9B35"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Subjective</w:t>
            </w:r>
          </w:p>
        </w:tc>
        <w:tc>
          <w:tcPr>
            <w:tcW w:w="673" w:type="dxa"/>
            <w:tcBorders>
              <w:top w:val="nil"/>
              <w:left w:val="nil"/>
              <w:bottom w:val="nil"/>
              <w:right w:val="nil"/>
            </w:tcBorders>
            <w:shd w:val="clear" w:color="000000" w:fill="FFFFFF"/>
            <w:noWrap/>
            <w:vAlign w:val="center"/>
            <w:hideMark/>
          </w:tcPr>
          <w:p w14:paraId="1A61E3D9"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386EBA06"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1,18</w:t>
            </w:r>
          </w:p>
        </w:tc>
        <w:tc>
          <w:tcPr>
            <w:tcW w:w="1470" w:type="dxa"/>
            <w:tcBorders>
              <w:top w:val="nil"/>
              <w:left w:val="nil"/>
              <w:bottom w:val="nil"/>
              <w:right w:val="nil"/>
            </w:tcBorders>
            <w:shd w:val="clear" w:color="000000" w:fill="FFFFFF"/>
            <w:noWrap/>
            <w:vAlign w:val="center"/>
            <w:hideMark/>
          </w:tcPr>
          <w:p w14:paraId="0AE35462"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0,537</w:t>
            </w:r>
          </w:p>
        </w:tc>
        <w:tc>
          <w:tcPr>
            <w:tcW w:w="262" w:type="dxa"/>
            <w:tcBorders>
              <w:top w:val="nil"/>
              <w:left w:val="nil"/>
              <w:bottom w:val="nil"/>
              <w:right w:val="nil"/>
            </w:tcBorders>
            <w:shd w:val="clear" w:color="000000" w:fill="FFFFFF"/>
            <w:noWrap/>
            <w:vAlign w:val="center"/>
            <w:hideMark/>
          </w:tcPr>
          <w:p w14:paraId="4E28E774" w14:textId="77777777" w:rsidR="00765305" w:rsidRPr="008442CC" w:rsidRDefault="00765305" w:rsidP="00C810D9">
            <w:pPr>
              <w:jc w:val="center"/>
              <w:rPr>
                <w:rFonts w:eastAsia="Times New Roman" w:cstheme="minorHAnsi"/>
                <w:sz w:val="20"/>
                <w:szCs w:val="20"/>
              </w:rPr>
            </w:pPr>
          </w:p>
        </w:tc>
        <w:tc>
          <w:tcPr>
            <w:tcW w:w="673" w:type="dxa"/>
            <w:tcBorders>
              <w:top w:val="nil"/>
              <w:left w:val="nil"/>
              <w:bottom w:val="nil"/>
              <w:right w:val="nil"/>
            </w:tcBorders>
            <w:shd w:val="clear" w:color="000000" w:fill="FFFFFF"/>
            <w:noWrap/>
            <w:vAlign w:val="center"/>
            <w:hideMark/>
          </w:tcPr>
          <w:p w14:paraId="12441B4B"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115</w:t>
            </w:r>
          </w:p>
        </w:tc>
        <w:tc>
          <w:tcPr>
            <w:tcW w:w="977" w:type="dxa"/>
            <w:tcBorders>
              <w:top w:val="nil"/>
              <w:left w:val="nil"/>
              <w:bottom w:val="nil"/>
              <w:right w:val="nil"/>
            </w:tcBorders>
            <w:shd w:val="clear" w:color="000000" w:fill="FFFFFF"/>
            <w:noWrap/>
            <w:vAlign w:val="center"/>
            <w:hideMark/>
          </w:tcPr>
          <w:p w14:paraId="59D7D107"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1,30</w:t>
            </w:r>
          </w:p>
        </w:tc>
        <w:tc>
          <w:tcPr>
            <w:tcW w:w="1470" w:type="dxa"/>
            <w:tcBorders>
              <w:top w:val="nil"/>
              <w:left w:val="nil"/>
              <w:bottom w:val="nil"/>
              <w:right w:val="nil"/>
            </w:tcBorders>
            <w:shd w:val="clear" w:color="000000" w:fill="FFFFFF"/>
            <w:noWrap/>
            <w:vAlign w:val="center"/>
            <w:hideMark/>
          </w:tcPr>
          <w:p w14:paraId="477AF001"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0,649</w:t>
            </w:r>
          </w:p>
        </w:tc>
        <w:tc>
          <w:tcPr>
            <w:tcW w:w="262" w:type="dxa"/>
            <w:tcBorders>
              <w:top w:val="nil"/>
              <w:left w:val="nil"/>
              <w:bottom w:val="nil"/>
              <w:right w:val="nil"/>
            </w:tcBorders>
            <w:shd w:val="clear" w:color="000000" w:fill="FFFFFF"/>
            <w:noWrap/>
            <w:vAlign w:val="center"/>
            <w:hideMark/>
          </w:tcPr>
          <w:p w14:paraId="525636DF" w14:textId="77777777" w:rsidR="00765305" w:rsidRPr="008442CC" w:rsidRDefault="00765305" w:rsidP="00C810D9">
            <w:pPr>
              <w:jc w:val="center"/>
              <w:rPr>
                <w:rFonts w:eastAsia="Times New Roman" w:cstheme="minorHAnsi"/>
                <w:sz w:val="20"/>
                <w:szCs w:val="20"/>
              </w:rPr>
            </w:pPr>
          </w:p>
        </w:tc>
        <w:tc>
          <w:tcPr>
            <w:tcW w:w="1520" w:type="dxa"/>
            <w:tcBorders>
              <w:top w:val="nil"/>
              <w:left w:val="nil"/>
              <w:bottom w:val="nil"/>
              <w:right w:val="nil"/>
            </w:tcBorders>
            <w:shd w:val="clear" w:color="000000" w:fill="FFFFFF"/>
            <w:noWrap/>
            <w:vAlign w:val="center"/>
            <w:hideMark/>
          </w:tcPr>
          <w:p w14:paraId="5083E10D"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0.023 **</w:t>
            </w:r>
          </w:p>
        </w:tc>
        <w:tc>
          <w:tcPr>
            <w:tcW w:w="1720" w:type="dxa"/>
            <w:tcBorders>
              <w:top w:val="nil"/>
              <w:left w:val="nil"/>
              <w:bottom w:val="nil"/>
              <w:right w:val="nil"/>
            </w:tcBorders>
            <w:shd w:val="clear" w:color="000000" w:fill="FFFFFF"/>
            <w:noWrap/>
            <w:vAlign w:val="center"/>
            <w:hideMark/>
          </w:tcPr>
          <w:p w14:paraId="6E5D99F8"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0.018 **</w:t>
            </w:r>
          </w:p>
        </w:tc>
      </w:tr>
      <w:tr w:rsidR="00601CE0" w:rsidRPr="008442CC" w14:paraId="4B8AAAB0" w14:textId="77777777" w:rsidTr="00C810D9">
        <w:trPr>
          <w:trHeight w:val="300"/>
        </w:trPr>
        <w:tc>
          <w:tcPr>
            <w:tcW w:w="1060" w:type="dxa"/>
            <w:tcBorders>
              <w:top w:val="nil"/>
              <w:left w:val="nil"/>
              <w:bottom w:val="nil"/>
              <w:right w:val="nil"/>
            </w:tcBorders>
            <w:shd w:val="clear" w:color="000000" w:fill="FFFFFF"/>
            <w:noWrap/>
            <w:vAlign w:val="center"/>
            <w:hideMark/>
          </w:tcPr>
          <w:p w14:paraId="54817511"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Q6 c</w:t>
            </w:r>
          </w:p>
        </w:tc>
        <w:tc>
          <w:tcPr>
            <w:tcW w:w="1500" w:type="dxa"/>
            <w:tcBorders>
              <w:top w:val="nil"/>
              <w:left w:val="nil"/>
              <w:bottom w:val="nil"/>
              <w:right w:val="nil"/>
            </w:tcBorders>
            <w:shd w:val="clear" w:color="000000" w:fill="FFFFFF"/>
            <w:noWrap/>
            <w:hideMark/>
          </w:tcPr>
          <w:p w14:paraId="0574E7B1"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Subjective</w:t>
            </w:r>
          </w:p>
        </w:tc>
        <w:tc>
          <w:tcPr>
            <w:tcW w:w="673" w:type="dxa"/>
            <w:tcBorders>
              <w:top w:val="nil"/>
              <w:left w:val="nil"/>
              <w:bottom w:val="nil"/>
              <w:right w:val="nil"/>
            </w:tcBorders>
            <w:shd w:val="clear" w:color="000000" w:fill="FFFFFF"/>
            <w:noWrap/>
            <w:vAlign w:val="center"/>
            <w:hideMark/>
          </w:tcPr>
          <w:p w14:paraId="70E934F5"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3DA19C08"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1,07</w:t>
            </w:r>
          </w:p>
        </w:tc>
        <w:tc>
          <w:tcPr>
            <w:tcW w:w="1470" w:type="dxa"/>
            <w:tcBorders>
              <w:top w:val="nil"/>
              <w:left w:val="nil"/>
              <w:bottom w:val="nil"/>
              <w:right w:val="nil"/>
            </w:tcBorders>
            <w:shd w:val="clear" w:color="000000" w:fill="FFFFFF"/>
            <w:noWrap/>
            <w:vAlign w:val="center"/>
            <w:hideMark/>
          </w:tcPr>
          <w:p w14:paraId="7BEBB0A6"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0,367</w:t>
            </w:r>
          </w:p>
        </w:tc>
        <w:tc>
          <w:tcPr>
            <w:tcW w:w="262" w:type="dxa"/>
            <w:tcBorders>
              <w:top w:val="nil"/>
              <w:left w:val="nil"/>
              <w:bottom w:val="nil"/>
              <w:right w:val="nil"/>
            </w:tcBorders>
            <w:shd w:val="clear" w:color="000000" w:fill="FFFFFF"/>
            <w:noWrap/>
            <w:vAlign w:val="center"/>
            <w:hideMark/>
          </w:tcPr>
          <w:p w14:paraId="1BE4D707" w14:textId="77777777" w:rsidR="00765305" w:rsidRPr="008442CC" w:rsidRDefault="00765305" w:rsidP="00C810D9">
            <w:pPr>
              <w:jc w:val="center"/>
              <w:rPr>
                <w:rFonts w:eastAsia="Times New Roman" w:cstheme="minorHAnsi"/>
                <w:sz w:val="20"/>
                <w:szCs w:val="20"/>
              </w:rPr>
            </w:pPr>
          </w:p>
        </w:tc>
        <w:tc>
          <w:tcPr>
            <w:tcW w:w="673" w:type="dxa"/>
            <w:tcBorders>
              <w:top w:val="nil"/>
              <w:left w:val="nil"/>
              <w:bottom w:val="nil"/>
              <w:right w:val="nil"/>
            </w:tcBorders>
            <w:shd w:val="clear" w:color="000000" w:fill="FFFFFF"/>
            <w:noWrap/>
            <w:vAlign w:val="center"/>
            <w:hideMark/>
          </w:tcPr>
          <w:p w14:paraId="3519F1CC"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3F5DF92C"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1,12</w:t>
            </w:r>
          </w:p>
        </w:tc>
        <w:tc>
          <w:tcPr>
            <w:tcW w:w="1470" w:type="dxa"/>
            <w:tcBorders>
              <w:top w:val="nil"/>
              <w:left w:val="nil"/>
              <w:bottom w:val="nil"/>
              <w:right w:val="nil"/>
            </w:tcBorders>
            <w:shd w:val="clear" w:color="000000" w:fill="FFFFFF"/>
            <w:noWrap/>
            <w:vAlign w:val="center"/>
            <w:hideMark/>
          </w:tcPr>
          <w:p w14:paraId="132CF390"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0,478</w:t>
            </w:r>
          </w:p>
        </w:tc>
        <w:tc>
          <w:tcPr>
            <w:tcW w:w="262" w:type="dxa"/>
            <w:tcBorders>
              <w:top w:val="nil"/>
              <w:left w:val="nil"/>
              <w:bottom w:val="nil"/>
              <w:right w:val="nil"/>
            </w:tcBorders>
            <w:shd w:val="clear" w:color="000000" w:fill="FFFFFF"/>
            <w:noWrap/>
            <w:vAlign w:val="center"/>
            <w:hideMark/>
          </w:tcPr>
          <w:p w14:paraId="3E88A857" w14:textId="77777777" w:rsidR="00765305" w:rsidRPr="008442CC" w:rsidRDefault="00765305" w:rsidP="00C810D9">
            <w:pPr>
              <w:jc w:val="center"/>
              <w:rPr>
                <w:rFonts w:eastAsia="Times New Roman" w:cstheme="minorHAnsi"/>
                <w:sz w:val="20"/>
                <w:szCs w:val="20"/>
              </w:rPr>
            </w:pPr>
          </w:p>
        </w:tc>
        <w:tc>
          <w:tcPr>
            <w:tcW w:w="1520" w:type="dxa"/>
            <w:tcBorders>
              <w:top w:val="nil"/>
              <w:left w:val="nil"/>
              <w:bottom w:val="nil"/>
              <w:right w:val="nil"/>
            </w:tcBorders>
            <w:shd w:val="clear" w:color="000000" w:fill="FFFFFF"/>
            <w:noWrap/>
            <w:vAlign w:val="center"/>
            <w:hideMark/>
          </w:tcPr>
          <w:p w14:paraId="1BAEE0F5"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0.057 *</w:t>
            </w:r>
          </w:p>
        </w:tc>
        <w:tc>
          <w:tcPr>
            <w:tcW w:w="1720" w:type="dxa"/>
            <w:tcBorders>
              <w:top w:val="nil"/>
              <w:left w:val="nil"/>
              <w:bottom w:val="nil"/>
              <w:right w:val="nil"/>
            </w:tcBorders>
            <w:shd w:val="clear" w:color="000000" w:fill="FFFFFF"/>
            <w:noWrap/>
            <w:vAlign w:val="center"/>
            <w:hideMark/>
          </w:tcPr>
          <w:p w14:paraId="1EF8D832"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0.046 **</w:t>
            </w:r>
          </w:p>
        </w:tc>
      </w:tr>
      <w:tr w:rsidR="00601CE0" w:rsidRPr="008442CC" w14:paraId="6854348B" w14:textId="77777777" w:rsidTr="00C810D9">
        <w:trPr>
          <w:trHeight w:val="300"/>
        </w:trPr>
        <w:tc>
          <w:tcPr>
            <w:tcW w:w="1060" w:type="dxa"/>
            <w:tcBorders>
              <w:top w:val="nil"/>
              <w:left w:val="nil"/>
              <w:bottom w:val="nil"/>
              <w:right w:val="nil"/>
            </w:tcBorders>
            <w:shd w:val="clear" w:color="000000" w:fill="FFFFFF"/>
            <w:noWrap/>
            <w:vAlign w:val="center"/>
            <w:hideMark/>
          </w:tcPr>
          <w:p w14:paraId="21C30871"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Q6 d</w:t>
            </w:r>
          </w:p>
        </w:tc>
        <w:tc>
          <w:tcPr>
            <w:tcW w:w="1500" w:type="dxa"/>
            <w:tcBorders>
              <w:top w:val="nil"/>
              <w:left w:val="nil"/>
              <w:bottom w:val="nil"/>
              <w:right w:val="nil"/>
            </w:tcBorders>
            <w:shd w:val="clear" w:color="000000" w:fill="FFFFFF"/>
            <w:noWrap/>
            <w:hideMark/>
          </w:tcPr>
          <w:p w14:paraId="52279D1C"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Subjective</w:t>
            </w:r>
          </w:p>
        </w:tc>
        <w:tc>
          <w:tcPr>
            <w:tcW w:w="673" w:type="dxa"/>
            <w:tcBorders>
              <w:top w:val="nil"/>
              <w:left w:val="nil"/>
              <w:bottom w:val="nil"/>
              <w:right w:val="nil"/>
            </w:tcBorders>
            <w:shd w:val="clear" w:color="000000" w:fill="FFFFFF"/>
            <w:noWrap/>
            <w:vAlign w:val="center"/>
            <w:hideMark/>
          </w:tcPr>
          <w:p w14:paraId="54C30EA4"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5A1590C1"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1,14</w:t>
            </w:r>
          </w:p>
        </w:tc>
        <w:tc>
          <w:tcPr>
            <w:tcW w:w="1470" w:type="dxa"/>
            <w:tcBorders>
              <w:top w:val="nil"/>
              <w:left w:val="nil"/>
              <w:bottom w:val="nil"/>
              <w:right w:val="nil"/>
            </w:tcBorders>
            <w:shd w:val="clear" w:color="000000" w:fill="FFFFFF"/>
            <w:noWrap/>
            <w:vAlign w:val="center"/>
            <w:hideMark/>
          </w:tcPr>
          <w:p w14:paraId="085F1A87"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0,509</w:t>
            </w:r>
          </w:p>
        </w:tc>
        <w:tc>
          <w:tcPr>
            <w:tcW w:w="262" w:type="dxa"/>
            <w:tcBorders>
              <w:top w:val="nil"/>
              <w:left w:val="nil"/>
              <w:bottom w:val="nil"/>
              <w:right w:val="nil"/>
            </w:tcBorders>
            <w:shd w:val="clear" w:color="000000" w:fill="FFFFFF"/>
            <w:noWrap/>
            <w:vAlign w:val="center"/>
            <w:hideMark/>
          </w:tcPr>
          <w:p w14:paraId="43895B6C" w14:textId="77777777" w:rsidR="00765305" w:rsidRPr="008442CC" w:rsidRDefault="00765305" w:rsidP="00C810D9">
            <w:pPr>
              <w:jc w:val="center"/>
              <w:rPr>
                <w:rFonts w:eastAsia="Times New Roman" w:cstheme="minorHAnsi"/>
                <w:sz w:val="20"/>
                <w:szCs w:val="20"/>
              </w:rPr>
            </w:pPr>
          </w:p>
        </w:tc>
        <w:tc>
          <w:tcPr>
            <w:tcW w:w="673" w:type="dxa"/>
            <w:tcBorders>
              <w:top w:val="nil"/>
              <w:left w:val="nil"/>
              <w:bottom w:val="nil"/>
              <w:right w:val="nil"/>
            </w:tcBorders>
            <w:shd w:val="clear" w:color="000000" w:fill="FFFFFF"/>
            <w:noWrap/>
            <w:vAlign w:val="center"/>
            <w:hideMark/>
          </w:tcPr>
          <w:p w14:paraId="078528C9"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1A7A65BD"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1,13</w:t>
            </w:r>
          </w:p>
        </w:tc>
        <w:tc>
          <w:tcPr>
            <w:tcW w:w="1470" w:type="dxa"/>
            <w:tcBorders>
              <w:top w:val="nil"/>
              <w:left w:val="nil"/>
              <w:bottom w:val="nil"/>
              <w:right w:val="nil"/>
            </w:tcBorders>
            <w:shd w:val="clear" w:color="000000" w:fill="FFFFFF"/>
            <w:noWrap/>
            <w:vAlign w:val="center"/>
            <w:hideMark/>
          </w:tcPr>
          <w:p w14:paraId="649DB868"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0,568</w:t>
            </w:r>
          </w:p>
        </w:tc>
        <w:tc>
          <w:tcPr>
            <w:tcW w:w="262" w:type="dxa"/>
            <w:tcBorders>
              <w:top w:val="nil"/>
              <w:left w:val="nil"/>
              <w:bottom w:val="nil"/>
              <w:right w:val="nil"/>
            </w:tcBorders>
            <w:shd w:val="clear" w:color="000000" w:fill="FFFFFF"/>
            <w:noWrap/>
            <w:vAlign w:val="center"/>
            <w:hideMark/>
          </w:tcPr>
          <w:p w14:paraId="11B86931" w14:textId="77777777" w:rsidR="00765305" w:rsidRPr="008442CC" w:rsidRDefault="00765305" w:rsidP="00C810D9">
            <w:pPr>
              <w:jc w:val="center"/>
              <w:rPr>
                <w:rFonts w:eastAsia="Times New Roman" w:cstheme="minorHAnsi"/>
                <w:sz w:val="20"/>
                <w:szCs w:val="20"/>
              </w:rPr>
            </w:pPr>
          </w:p>
        </w:tc>
        <w:tc>
          <w:tcPr>
            <w:tcW w:w="1520" w:type="dxa"/>
            <w:tcBorders>
              <w:top w:val="nil"/>
              <w:left w:val="nil"/>
              <w:bottom w:val="nil"/>
              <w:right w:val="nil"/>
            </w:tcBorders>
            <w:shd w:val="clear" w:color="000000" w:fill="FFFFFF"/>
            <w:noWrap/>
            <w:vAlign w:val="center"/>
            <w:hideMark/>
          </w:tcPr>
          <w:p w14:paraId="6AA8367E"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0,863</w:t>
            </w:r>
          </w:p>
        </w:tc>
        <w:tc>
          <w:tcPr>
            <w:tcW w:w="1720" w:type="dxa"/>
            <w:tcBorders>
              <w:top w:val="nil"/>
              <w:left w:val="nil"/>
              <w:bottom w:val="nil"/>
              <w:right w:val="nil"/>
            </w:tcBorders>
            <w:shd w:val="clear" w:color="000000" w:fill="FFFFFF"/>
            <w:noWrap/>
            <w:vAlign w:val="center"/>
            <w:hideMark/>
          </w:tcPr>
          <w:p w14:paraId="523F7ABB"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0,730</w:t>
            </w:r>
          </w:p>
        </w:tc>
      </w:tr>
      <w:tr w:rsidR="00601CE0" w:rsidRPr="008442CC" w14:paraId="5D945B6F" w14:textId="77777777" w:rsidTr="00C810D9">
        <w:trPr>
          <w:trHeight w:val="300"/>
        </w:trPr>
        <w:tc>
          <w:tcPr>
            <w:tcW w:w="1060" w:type="dxa"/>
            <w:tcBorders>
              <w:top w:val="nil"/>
              <w:left w:val="nil"/>
              <w:bottom w:val="nil"/>
              <w:right w:val="nil"/>
            </w:tcBorders>
            <w:shd w:val="clear" w:color="000000" w:fill="FFFFFF"/>
            <w:noWrap/>
            <w:vAlign w:val="center"/>
            <w:hideMark/>
          </w:tcPr>
          <w:p w14:paraId="0170A5D2"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Q6 e</w:t>
            </w:r>
          </w:p>
        </w:tc>
        <w:tc>
          <w:tcPr>
            <w:tcW w:w="1500" w:type="dxa"/>
            <w:tcBorders>
              <w:top w:val="nil"/>
              <w:left w:val="nil"/>
              <w:bottom w:val="nil"/>
              <w:right w:val="nil"/>
            </w:tcBorders>
            <w:shd w:val="clear" w:color="000000" w:fill="FFFFFF"/>
            <w:noWrap/>
            <w:hideMark/>
          </w:tcPr>
          <w:p w14:paraId="59961D4A"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Subjective</w:t>
            </w:r>
          </w:p>
        </w:tc>
        <w:tc>
          <w:tcPr>
            <w:tcW w:w="673" w:type="dxa"/>
            <w:tcBorders>
              <w:top w:val="nil"/>
              <w:left w:val="nil"/>
              <w:bottom w:val="nil"/>
              <w:right w:val="nil"/>
            </w:tcBorders>
            <w:shd w:val="clear" w:color="000000" w:fill="FFFFFF"/>
            <w:noWrap/>
            <w:vAlign w:val="center"/>
            <w:hideMark/>
          </w:tcPr>
          <w:p w14:paraId="6EEE7BF8"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4E16C776"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1,94</w:t>
            </w:r>
          </w:p>
        </w:tc>
        <w:tc>
          <w:tcPr>
            <w:tcW w:w="1470" w:type="dxa"/>
            <w:tcBorders>
              <w:top w:val="nil"/>
              <w:left w:val="nil"/>
              <w:bottom w:val="nil"/>
              <w:right w:val="nil"/>
            </w:tcBorders>
            <w:shd w:val="clear" w:color="000000" w:fill="FFFFFF"/>
            <w:noWrap/>
            <w:vAlign w:val="center"/>
            <w:hideMark/>
          </w:tcPr>
          <w:p w14:paraId="5AEEE922"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1,294</w:t>
            </w:r>
          </w:p>
        </w:tc>
        <w:tc>
          <w:tcPr>
            <w:tcW w:w="262" w:type="dxa"/>
            <w:tcBorders>
              <w:top w:val="nil"/>
              <w:left w:val="nil"/>
              <w:bottom w:val="nil"/>
              <w:right w:val="nil"/>
            </w:tcBorders>
            <w:shd w:val="clear" w:color="000000" w:fill="FFFFFF"/>
            <w:noWrap/>
            <w:vAlign w:val="center"/>
            <w:hideMark/>
          </w:tcPr>
          <w:p w14:paraId="1A72B371" w14:textId="77777777" w:rsidR="00765305" w:rsidRPr="008442CC" w:rsidRDefault="00765305" w:rsidP="00C810D9">
            <w:pPr>
              <w:jc w:val="center"/>
              <w:rPr>
                <w:rFonts w:eastAsia="Times New Roman" w:cstheme="minorHAnsi"/>
                <w:sz w:val="20"/>
                <w:szCs w:val="20"/>
              </w:rPr>
            </w:pPr>
          </w:p>
        </w:tc>
        <w:tc>
          <w:tcPr>
            <w:tcW w:w="673" w:type="dxa"/>
            <w:tcBorders>
              <w:top w:val="nil"/>
              <w:left w:val="nil"/>
              <w:bottom w:val="nil"/>
              <w:right w:val="nil"/>
            </w:tcBorders>
            <w:shd w:val="clear" w:color="000000" w:fill="FFFFFF"/>
            <w:noWrap/>
            <w:vAlign w:val="center"/>
            <w:hideMark/>
          </w:tcPr>
          <w:p w14:paraId="3D5AB3B8"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5BAD6020"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1,91</w:t>
            </w:r>
          </w:p>
        </w:tc>
        <w:tc>
          <w:tcPr>
            <w:tcW w:w="1470" w:type="dxa"/>
            <w:tcBorders>
              <w:top w:val="nil"/>
              <w:left w:val="nil"/>
              <w:bottom w:val="nil"/>
              <w:right w:val="nil"/>
            </w:tcBorders>
            <w:shd w:val="clear" w:color="000000" w:fill="FFFFFF"/>
            <w:noWrap/>
            <w:vAlign w:val="center"/>
            <w:hideMark/>
          </w:tcPr>
          <w:p w14:paraId="254D9401"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1,361</w:t>
            </w:r>
          </w:p>
        </w:tc>
        <w:tc>
          <w:tcPr>
            <w:tcW w:w="262" w:type="dxa"/>
            <w:tcBorders>
              <w:top w:val="nil"/>
              <w:left w:val="nil"/>
              <w:bottom w:val="nil"/>
              <w:right w:val="nil"/>
            </w:tcBorders>
            <w:shd w:val="clear" w:color="000000" w:fill="FFFFFF"/>
            <w:noWrap/>
            <w:vAlign w:val="center"/>
            <w:hideMark/>
          </w:tcPr>
          <w:p w14:paraId="2C339ED1" w14:textId="77777777" w:rsidR="00765305" w:rsidRPr="008442CC" w:rsidRDefault="00765305" w:rsidP="00C810D9">
            <w:pPr>
              <w:jc w:val="center"/>
              <w:rPr>
                <w:rFonts w:eastAsia="Times New Roman" w:cstheme="minorHAnsi"/>
                <w:sz w:val="20"/>
                <w:szCs w:val="20"/>
              </w:rPr>
            </w:pPr>
          </w:p>
        </w:tc>
        <w:tc>
          <w:tcPr>
            <w:tcW w:w="1520" w:type="dxa"/>
            <w:tcBorders>
              <w:top w:val="nil"/>
              <w:left w:val="nil"/>
              <w:bottom w:val="nil"/>
              <w:right w:val="nil"/>
            </w:tcBorders>
            <w:shd w:val="clear" w:color="000000" w:fill="FFFFFF"/>
            <w:noWrap/>
            <w:vAlign w:val="center"/>
            <w:hideMark/>
          </w:tcPr>
          <w:p w14:paraId="53607118"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0,777</w:t>
            </w:r>
          </w:p>
        </w:tc>
        <w:tc>
          <w:tcPr>
            <w:tcW w:w="1720" w:type="dxa"/>
            <w:tcBorders>
              <w:top w:val="nil"/>
              <w:left w:val="nil"/>
              <w:bottom w:val="nil"/>
              <w:right w:val="nil"/>
            </w:tcBorders>
            <w:shd w:val="clear" w:color="000000" w:fill="FFFFFF"/>
            <w:noWrap/>
            <w:vAlign w:val="center"/>
            <w:hideMark/>
          </w:tcPr>
          <w:p w14:paraId="35DF9643"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0,952</w:t>
            </w:r>
          </w:p>
        </w:tc>
      </w:tr>
      <w:tr w:rsidR="00601CE0" w:rsidRPr="008442CC" w14:paraId="411756CF" w14:textId="77777777" w:rsidTr="00C810D9">
        <w:trPr>
          <w:trHeight w:val="300"/>
        </w:trPr>
        <w:tc>
          <w:tcPr>
            <w:tcW w:w="1060" w:type="dxa"/>
            <w:tcBorders>
              <w:top w:val="nil"/>
              <w:left w:val="nil"/>
              <w:bottom w:val="nil"/>
              <w:right w:val="nil"/>
            </w:tcBorders>
            <w:shd w:val="clear" w:color="000000" w:fill="FFFFFF"/>
            <w:noWrap/>
            <w:vAlign w:val="center"/>
            <w:hideMark/>
          </w:tcPr>
          <w:p w14:paraId="1F849C06"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Q6 f</w:t>
            </w:r>
          </w:p>
        </w:tc>
        <w:tc>
          <w:tcPr>
            <w:tcW w:w="1500" w:type="dxa"/>
            <w:tcBorders>
              <w:top w:val="nil"/>
              <w:left w:val="nil"/>
              <w:bottom w:val="nil"/>
              <w:right w:val="nil"/>
            </w:tcBorders>
            <w:shd w:val="clear" w:color="000000" w:fill="FFFFFF"/>
            <w:noWrap/>
            <w:hideMark/>
          </w:tcPr>
          <w:p w14:paraId="3D625ED5"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Subjective</w:t>
            </w:r>
          </w:p>
        </w:tc>
        <w:tc>
          <w:tcPr>
            <w:tcW w:w="673" w:type="dxa"/>
            <w:tcBorders>
              <w:top w:val="nil"/>
              <w:left w:val="nil"/>
              <w:bottom w:val="nil"/>
              <w:right w:val="nil"/>
            </w:tcBorders>
            <w:shd w:val="clear" w:color="000000" w:fill="FFFFFF"/>
            <w:noWrap/>
            <w:vAlign w:val="center"/>
            <w:hideMark/>
          </w:tcPr>
          <w:p w14:paraId="01DCE441"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122D410C"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1,76</w:t>
            </w:r>
          </w:p>
        </w:tc>
        <w:tc>
          <w:tcPr>
            <w:tcW w:w="1470" w:type="dxa"/>
            <w:tcBorders>
              <w:top w:val="nil"/>
              <w:left w:val="nil"/>
              <w:bottom w:val="nil"/>
              <w:right w:val="nil"/>
            </w:tcBorders>
            <w:shd w:val="clear" w:color="000000" w:fill="FFFFFF"/>
            <w:noWrap/>
            <w:vAlign w:val="center"/>
            <w:hideMark/>
          </w:tcPr>
          <w:p w14:paraId="6D251C03"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1,177</w:t>
            </w:r>
          </w:p>
        </w:tc>
        <w:tc>
          <w:tcPr>
            <w:tcW w:w="262" w:type="dxa"/>
            <w:tcBorders>
              <w:top w:val="nil"/>
              <w:left w:val="nil"/>
              <w:bottom w:val="nil"/>
              <w:right w:val="nil"/>
            </w:tcBorders>
            <w:shd w:val="clear" w:color="000000" w:fill="FFFFFF"/>
            <w:noWrap/>
            <w:vAlign w:val="center"/>
            <w:hideMark/>
          </w:tcPr>
          <w:p w14:paraId="43B087D7" w14:textId="77777777" w:rsidR="00765305" w:rsidRPr="008442CC" w:rsidRDefault="00765305" w:rsidP="00C810D9">
            <w:pPr>
              <w:jc w:val="center"/>
              <w:rPr>
                <w:rFonts w:eastAsia="Times New Roman" w:cstheme="minorHAnsi"/>
                <w:sz w:val="20"/>
                <w:szCs w:val="20"/>
              </w:rPr>
            </w:pPr>
          </w:p>
        </w:tc>
        <w:tc>
          <w:tcPr>
            <w:tcW w:w="673" w:type="dxa"/>
            <w:tcBorders>
              <w:top w:val="nil"/>
              <w:left w:val="nil"/>
              <w:bottom w:val="nil"/>
              <w:right w:val="nil"/>
            </w:tcBorders>
            <w:shd w:val="clear" w:color="000000" w:fill="FFFFFF"/>
            <w:noWrap/>
            <w:vAlign w:val="center"/>
            <w:hideMark/>
          </w:tcPr>
          <w:p w14:paraId="66581A8B"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5CFF45B9"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1,87</w:t>
            </w:r>
          </w:p>
        </w:tc>
        <w:tc>
          <w:tcPr>
            <w:tcW w:w="1470" w:type="dxa"/>
            <w:tcBorders>
              <w:top w:val="nil"/>
              <w:left w:val="nil"/>
              <w:bottom w:val="nil"/>
              <w:right w:val="nil"/>
            </w:tcBorders>
            <w:shd w:val="clear" w:color="000000" w:fill="FFFFFF"/>
            <w:noWrap/>
            <w:vAlign w:val="center"/>
            <w:hideMark/>
          </w:tcPr>
          <w:p w14:paraId="4822B461"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1,322</w:t>
            </w:r>
          </w:p>
        </w:tc>
        <w:tc>
          <w:tcPr>
            <w:tcW w:w="262" w:type="dxa"/>
            <w:tcBorders>
              <w:top w:val="nil"/>
              <w:left w:val="nil"/>
              <w:bottom w:val="nil"/>
              <w:right w:val="nil"/>
            </w:tcBorders>
            <w:shd w:val="clear" w:color="000000" w:fill="FFFFFF"/>
            <w:noWrap/>
            <w:vAlign w:val="center"/>
            <w:hideMark/>
          </w:tcPr>
          <w:p w14:paraId="766ED5D6" w14:textId="77777777" w:rsidR="00765305" w:rsidRPr="008442CC" w:rsidRDefault="00765305" w:rsidP="00C810D9">
            <w:pPr>
              <w:jc w:val="center"/>
              <w:rPr>
                <w:rFonts w:eastAsia="Times New Roman" w:cstheme="minorHAnsi"/>
                <w:sz w:val="20"/>
                <w:szCs w:val="20"/>
              </w:rPr>
            </w:pPr>
          </w:p>
        </w:tc>
        <w:tc>
          <w:tcPr>
            <w:tcW w:w="1520" w:type="dxa"/>
            <w:tcBorders>
              <w:top w:val="nil"/>
              <w:left w:val="nil"/>
              <w:bottom w:val="nil"/>
              <w:right w:val="nil"/>
            </w:tcBorders>
            <w:shd w:val="clear" w:color="000000" w:fill="FFFFFF"/>
            <w:noWrap/>
            <w:vAlign w:val="center"/>
            <w:hideMark/>
          </w:tcPr>
          <w:p w14:paraId="150E6277"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0,118</w:t>
            </w:r>
          </w:p>
        </w:tc>
        <w:tc>
          <w:tcPr>
            <w:tcW w:w="1720" w:type="dxa"/>
            <w:tcBorders>
              <w:top w:val="nil"/>
              <w:left w:val="nil"/>
              <w:bottom w:val="nil"/>
              <w:right w:val="nil"/>
            </w:tcBorders>
            <w:shd w:val="clear" w:color="000000" w:fill="FFFFFF"/>
            <w:noWrap/>
            <w:vAlign w:val="center"/>
            <w:hideMark/>
          </w:tcPr>
          <w:p w14:paraId="63E41C1C"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0.063 *</w:t>
            </w:r>
          </w:p>
        </w:tc>
      </w:tr>
      <w:tr w:rsidR="00601CE0" w:rsidRPr="008442CC" w14:paraId="445637D5" w14:textId="77777777" w:rsidTr="00C810D9">
        <w:trPr>
          <w:trHeight w:val="300"/>
        </w:trPr>
        <w:tc>
          <w:tcPr>
            <w:tcW w:w="1060" w:type="dxa"/>
            <w:tcBorders>
              <w:top w:val="nil"/>
              <w:left w:val="nil"/>
              <w:bottom w:val="nil"/>
              <w:right w:val="nil"/>
            </w:tcBorders>
            <w:shd w:val="clear" w:color="000000" w:fill="FFFFFF"/>
            <w:noWrap/>
            <w:vAlign w:val="center"/>
            <w:hideMark/>
          </w:tcPr>
          <w:p w14:paraId="376A079C"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Q7</w:t>
            </w:r>
          </w:p>
        </w:tc>
        <w:tc>
          <w:tcPr>
            <w:tcW w:w="1500" w:type="dxa"/>
            <w:tcBorders>
              <w:top w:val="nil"/>
              <w:left w:val="nil"/>
              <w:bottom w:val="nil"/>
              <w:right w:val="nil"/>
            </w:tcBorders>
            <w:shd w:val="clear" w:color="000000" w:fill="FFFFFF"/>
            <w:noWrap/>
            <w:hideMark/>
          </w:tcPr>
          <w:p w14:paraId="79B2BF4A"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Objective</w:t>
            </w:r>
          </w:p>
        </w:tc>
        <w:tc>
          <w:tcPr>
            <w:tcW w:w="673" w:type="dxa"/>
            <w:tcBorders>
              <w:top w:val="nil"/>
              <w:left w:val="nil"/>
              <w:bottom w:val="nil"/>
              <w:right w:val="nil"/>
            </w:tcBorders>
            <w:shd w:val="clear" w:color="000000" w:fill="FFFFFF"/>
            <w:noWrap/>
            <w:vAlign w:val="center"/>
            <w:hideMark/>
          </w:tcPr>
          <w:p w14:paraId="59616EFF"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09EC02E2"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1,61</w:t>
            </w:r>
          </w:p>
        </w:tc>
        <w:tc>
          <w:tcPr>
            <w:tcW w:w="1470" w:type="dxa"/>
            <w:tcBorders>
              <w:top w:val="nil"/>
              <w:left w:val="nil"/>
              <w:bottom w:val="nil"/>
              <w:right w:val="nil"/>
            </w:tcBorders>
            <w:shd w:val="clear" w:color="000000" w:fill="FFFFFF"/>
            <w:noWrap/>
            <w:vAlign w:val="center"/>
            <w:hideMark/>
          </w:tcPr>
          <w:p w14:paraId="3E374E33"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0,911</w:t>
            </w:r>
          </w:p>
        </w:tc>
        <w:tc>
          <w:tcPr>
            <w:tcW w:w="262" w:type="dxa"/>
            <w:tcBorders>
              <w:top w:val="nil"/>
              <w:left w:val="nil"/>
              <w:bottom w:val="nil"/>
              <w:right w:val="nil"/>
            </w:tcBorders>
            <w:shd w:val="clear" w:color="000000" w:fill="FFFFFF"/>
            <w:noWrap/>
            <w:vAlign w:val="center"/>
            <w:hideMark/>
          </w:tcPr>
          <w:p w14:paraId="6ABFD9E9" w14:textId="77777777" w:rsidR="00765305" w:rsidRPr="008442CC" w:rsidRDefault="00765305" w:rsidP="00C810D9">
            <w:pPr>
              <w:jc w:val="center"/>
              <w:rPr>
                <w:rFonts w:eastAsia="Times New Roman" w:cstheme="minorHAnsi"/>
                <w:sz w:val="20"/>
                <w:szCs w:val="20"/>
              </w:rPr>
            </w:pPr>
          </w:p>
        </w:tc>
        <w:tc>
          <w:tcPr>
            <w:tcW w:w="673" w:type="dxa"/>
            <w:tcBorders>
              <w:top w:val="nil"/>
              <w:left w:val="nil"/>
              <w:bottom w:val="nil"/>
              <w:right w:val="nil"/>
            </w:tcBorders>
            <w:shd w:val="clear" w:color="000000" w:fill="FFFFFF"/>
            <w:noWrap/>
            <w:vAlign w:val="center"/>
            <w:hideMark/>
          </w:tcPr>
          <w:p w14:paraId="5D17A240"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6EB84C96"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1,84</w:t>
            </w:r>
          </w:p>
        </w:tc>
        <w:tc>
          <w:tcPr>
            <w:tcW w:w="1470" w:type="dxa"/>
            <w:tcBorders>
              <w:top w:val="nil"/>
              <w:left w:val="nil"/>
              <w:bottom w:val="nil"/>
              <w:right w:val="nil"/>
            </w:tcBorders>
            <w:shd w:val="clear" w:color="000000" w:fill="FFFFFF"/>
            <w:noWrap/>
            <w:vAlign w:val="center"/>
            <w:hideMark/>
          </w:tcPr>
          <w:p w14:paraId="2F5F0071"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1,139</w:t>
            </w:r>
          </w:p>
        </w:tc>
        <w:tc>
          <w:tcPr>
            <w:tcW w:w="262" w:type="dxa"/>
            <w:tcBorders>
              <w:top w:val="nil"/>
              <w:left w:val="nil"/>
              <w:bottom w:val="nil"/>
              <w:right w:val="nil"/>
            </w:tcBorders>
            <w:shd w:val="clear" w:color="000000" w:fill="FFFFFF"/>
            <w:noWrap/>
            <w:vAlign w:val="center"/>
            <w:hideMark/>
          </w:tcPr>
          <w:p w14:paraId="6AA0C2E5" w14:textId="77777777" w:rsidR="00765305" w:rsidRPr="008442CC" w:rsidRDefault="00765305" w:rsidP="00C810D9">
            <w:pPr>
              <w:jc w:val="center"/>
              <w:rPr>
                <w:rFonts w:eastAsia="Times New Roman" w:cstheme="minorHAnsi"/>
                <w:sz w:val="20"/>
                <w:szCs w:val="20"/>
              </w:rPr>
            </w:pPr>
          </w:p>
        </w:tc>
        <w:tc>
          <w:tcPr>
            <w:tcW w:w="1520" w:type="dxa"/>
            <w:tcBorders>
              <w:top w:val="nil"/>
              <w:left w:val="nil"/>
              <w:bottom w:val="nil"/>
              <w:right w:val="nil"/>
            </w:tcBorders>
            <w:shd w:val="clear" w:color="000000" w:fill="FFFFFF"/>
            <w:noWrap/>
            <w:vAlign w:val="center"/>
            <w:hideMark/>
          </w:tcPr>
          <w:p w14:paraId="3461AED9"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0.019 **</w:t>
            </w:r>
          </w:p>
        </w:tc>
        <w:tc>
          <w:tcPr>
            <w:tcW w:w="1720" w:type="dxa"/>
            <w:tcBorders>
              <w:top w:val="nil"/>
              <w:left w:val="nil"/>
              <w:bottom w:val="nil"/>
              <w:right w:val="nil"/>
            </w:tcBorders>
            <w:shd w:val="clear" w:color="000000" w:fill="FFFFFF"/>
            <w:noWrap/>
            <w:vAlign w:val="center"/>
            <w:hideMark/>
          </w:tcPr>
          <w:p w14:paraId="227D84A3"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0.032 **</w:t>
            </w:r>
          </w:p>
        </w:tc>
      </w:tr>
      <w:tr w:rsidR="00601CE0" w:rsidRPr="008442CC" w14:paraId="5A6F267A" w14:textId="77777777" w:rsidTr="00C810D9">
        <w:trPr>
          <w:trHeight w:val="300"/>
        </w:trPr>
        <w:tc>
          <w:tcPr>
            <w:tcW w:w="1060" w:type="dxa"/>
            <w:tcBorders>
              <w:top w:val="nil"/>
              <w:left w:val="nil"/>
              <w:bottom w:val="nil"/>
              <w:right w:val="nil"/>
            </w:tcBorders>
            <w:shd w:val="clear" w:color="000000" w:fill="FFFFFF"/>
            <w:noWrap/>
            <w:vAlign w:val="center"/>
            <w:hideMark/>
          </w:tcPr>
          <w:p w14:paraId="3AA8BF52"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Q8</w:t>
            </w:r>
          </w:p>
        </w:tc>
        <w:tc>
          <w:tcPr>
            <w:tcW w:w="1500" w:type="dxa"/>
            <w:tcBorders>
              <w:top w:val="nil"/>
              <w:left w:val="nil"/>
              <w:bottom w:val="nil"/>
              <w:right w:val="nil"/>
            </w:tcBorders>
            <w:shd w:val="clear" w:color="000000" w:fill="FFFFFF"/>
            <w:noWrap/>
            <w:hideMark/>
          </w:tcPr>
          <w:p w14:paraId="76C07791"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Subjective</w:t>
            </w:r>
          </w:p>
        </w:tc>
        <w:tc>
          <w:tcPr>
            <w:tcW w:w="673" w:type="dxa"/>
            <w:tcBorders>
              <w:top w:val="nil"/>
              <w:left w:val="nil"/>
              <w:bottom w:val="nil"/>
              <w:right w:val="nil"/>
            </w:tcBorders>
            <w:shd w:val="clear" w:color="000000" w:fill="FFFFFF"/>
            <w:noWrap/>
            <w:vAlign w:val="center"/>
            <w:hideMark/>
          </w:tcPr>
          <w:p w14:paraId="50B7DA27"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3838FA56"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1,09</w:t>
            </w:r>
          </w:p>
        </w:tc>
        <w:tc>
          <w:tcPr>
            <w:tcW w:w="1470" w:type="dxa"/>
            <w:tcBorders>
              <w:top w:val="nil"/>
              <w:left w:val="nil"/>
              <w:bottom w:val="nil"/>
              <w:right w:val="nil"/>
            </w:tcBorders>
            <w:shd w:val="clear" w:color="000000" w:fill="FFFFFF"/>
            <w:noWrap/>
            <w:vAlign w:val="center"/>
            <w:hideMark/>
          </w:tcPr>
          <w:p w14:paraId="7CE88BDB"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0,417</w:t>
            </w:r>
          </w:p>
        </w:tc>
        <w:tc>
          <w:tcPr>
            <w:tcW w:w="262" w:type="dxa"/>
            <w:tcBorders>
              <w:top w:val="nil"/>
              <w:left w:val="nil"/>
              <w:bottom w:val="nil"/>
              <w:right w:val="nil"/>
            </w:tcBorders>
            <w:shd w:val="clear" w:color="000000" w:fill="FFFFFF"/>
            <w:noWrap/>
            <w:vAlign w:val="center"/>
            <w:hideMark/>
          </w:tcPr>
          <w:p w14:paraId="004A4FDE" w14:textId="77777777" w:rsidR="00765305" w:rsidRPr="008442CC" w:rsidRDefault="00765305" w:rsidP="00C810D9">
            <w:pPr>
              <w:jc w:val="center"/>
              <w:rPr>
                <w:rFonts w:eastAsia="Times New Roman" w:cstheme="minorHAnsi"/>
                <w:sz w:val="20"/>
                <w:szCs w:val="20"/>
              </w:rPr>
            </w:pPr>
          </w:p>
        </w:tc>
        <w:tc>
          <w:tcPr>
            <w:tcW w:w="673" w:type="dxa"/>
            <w:tcBorders>
              <w:top w:val="nil"/>
              <w:left w:val="nil"/>
              <w:bottom w:val="nil"/>
              <w:right w:val="nil"/>
            </w:tcBorders>
            <w:shd w:val="clear" w:color="000000" w:fill="FFFFFF"/>
            <w:noWrap/>
            <w:vAlign w:val="center"/>
            <w:hideMark/>
          </w:tcPr>
          <w:p w14:paraId="3DE69C24"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5300D62A"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1,10</w:t>
            </w:r>
          </w:p>
        </w:tc>
        <w:tc>
          <w:tcPr>
            <w:tcW w:w="1470" w:type="dxa"/>
            <w:tcBorders>
              <w:top w:val="nil"/>
              <w:left w:val="nil"/>
              <w:bottom w:val="nil"/>
              <w:right w:val="nil"/>
            </w:tcBorders>
            <w:shd w:val="clear" w:color="000000" w:fill="FFFFFF"/>
            <w:noWrap/>
            <w:vAlign w:val="center"/>
            <w:hideMark/>
          </w:tcPr>
          <w:p w14:paraId="6224DD40"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0,482</w:t>
            </w:r>
          </w:p>
        </w:tc>
        <w:tc>
          <w:tcPr>
            <w:tcW w:w="262" w:type="dxa"/>
            <w:tcBorders>
              <w:top w:val="nil"/>
              <w:left w:val="nil"/>
              <w:bottom w:val="nil"/>
              <w:right w:val="nil"/>
            </w:tcBorders>
            <w:shd w:val="clear" w:color="000000" w:fill="FFFFFF"/>
            <w:noWrap/>
            <w:vAlign w:val="center"/>
            <w:hideMark/>
          </w:tcPr>
          <w:p w14:paraId="3B48D1D8" w14:textId="77777777" w:rsidR="00765305" w:rsidRPr="008442CC" w:rsidRDefault="00765305" w:rsidP="00C810D9">
            <w:pPr>
              <w:jc w:val="center"/>
              <w:rPr>
                <w:rFonts w:eastAsia="Times New Roman" w:cstheme="minorHAnsi"/>
                <w:sz w:val="20"/>
                <w:szCs w:val="20"/>
              </w:rPr>
            </w:pPr>
          </w:p>
        </w:tc>
        <w:tc>
          <w:tcPr>
            <w:tcW w:w="1520" w:type="dxa"/>
            <w:tcBorders>
              <w:top w:val="nil"/>
              <w:left w:val="nil"/>
              <w:bottom w:val="nil"/>
              <w:right w:val="nil"/>
            </w:tcBorders>
            <w:shd w:val="clear" w:color="000000" w:fill="FFFFFF"/>
            <w:noWrap/>
            <w:vAlign w:val="center"/>
            <w:hideMark/>
          </w:tcPr>
          <w:p w14:paraId="73A70D07"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0,798</w:t>
            </w:r>
          </w:p>
        </w:tc>
        <w:tc>
          <w:tcPr>
            <w:tcW w:w="1720" w:type="dxa"/>
            <w:tcBorders>
              <w:top w:val="nil"/>
              <w:left w:val="nil"/>
              <w:bottom w:val="nil"/>
              <w:right w:val="nil"/>
            </w:tcBorders>
            <w:shd w:val="clear" w:color="000000" w:fill="FFFFFF"/>
            <w:noWrap/>
            <w:vAlign w:val="center"/>
            <w:hideMark/>
          </w:tcPr>
          <w:p w14:paraId="6AABC345"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0,741</w:t>
            </w:r>
          </w:p>
        </w:tc>
      </w:tr>
      <w:tr w:rsidR="00601CE0" w:rsidRPr="008442CC" w14:paraId="34C45D1D" w14:textId="77777777" w:rsidTr="00C810D9">
        <w:trPr>
          <w:trHeight w:val="300"/>
        </w:trPr>
        <w:tc>
          <w:tcPr>
            <w:tcW w:w="1060" w:type="dxa"/>
            <w:tcBorders>
              <w:top w:val="nil"/>
              <w:left w:val="nil"/>
              <w:bottom w:val="nil"/>
              <w:right w:val="nil"/>
            </w:tcBorders>
            <w:shd w:val="clear" w:color="000000" w:fill="FFFFFF"/>
            <w:noWrap/>
            <w:vAlign w:val="center"/>
            <w:hideMark/>
          </w:tcPr>
          <w:p w14:paraId="7523EC2F"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Q9 a</w:t>
            </w:r>
          </w:p>
        </w:tc>
        <w:tc>
          <w:tcPr>
            <w:tcW w:w="1500" w:type="dxa"/>
            <w:tcBorders>
              <w:top w:val="nil"/>
              <w:left w:val="nil"/>
              <w:bottom w:val="nil"/>
              <w:right w:val="nil"/>
            </w:tcBorders>
            <w:shd w:val="clear" w:color="000000" w:fill="FFFFFF"/>
            <w:noWrap/>
            <w:hideMark/>
          </w:tcPr>
          <w:p w14:paraId="7E28CD6B"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Subjective</w:t>
            </w:r>
          </w:p>
        </w:tc>
        <w:tc>
          <w:tcPr>
            <w:tcW w:w="673" w:type="dxa"/>
            <w:tcBorders>
              <w:top w:val="nil"/>
              <w:left w:val="nil"/>
              <w:bottom w:val="nil"/>
              <w:right w:val="nil"/>
            </w:tcBorders>
            <w:shd w:val="clear" w:color="000000" w:fill="FFFFFF"/>
            <w:noWrap/>
            <w:vAlign w:val="center"/>
            <w:hideMark/>
          </w:tcPr>
          <w:p w14:paraId="7E5D75EE"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113</w:t>
            </w:r>
          </w:p>
        </w:tc>
        <w:tc>
          <w:tcPr>
            <w:tcW w:w="977" w:type="dxa"/>
            <w:tcBorders>
              <w:top w:val="nil"/>
              <w:left w:val="nil"/>
              <w:bottom w:val="nil"/>
              <w:right w:val="nil"/>
            </w:tcBorders>
            <w:shd w:val="clear" w:color="000000" w:fill="FFFFFF"/>
            <w:noWrap/>
            <w:vAlign w:val="center"/>
            <w:hideMark/>
          </w:tcPr>
          <w:p w14:paraId="62823999"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1,19</w:t>
            </w:r>
          </w:p>
        </w:tc>
        <w:tc>
          <w:tcPr>
            <w:tcW w:w="1470" w:type="dxa"/>
            <w:tcBorders>
              <w:top w:val="nil"/>
              <w:left w:val="nil"/>
              <w:bottom w:val="nil"/>
              <w:right w:val="nil"/>
            </w:tcBorders>
            <w:shd w:val="clear" w:color="000000" w:fill="FFFFFF"/>
            <w:noWrap/>
            <w:vAlign w:val="center"/>
            <w:hideMark/>
          </w:tcPr>
          <w:p w14:paraId="38E89273"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0,635</w:t>
            </w:r>
          </w:p>
        </w:tc>
        <w:tc>
          <w:tcPr>
            <w:tcW w:w="262" w:type="dxa"/>
            <w:tcBorders>
              <w:top w:val="nil"/>
              <w:left w:val="nil"/>
              <w:bottom w:val="nil"/>
              <w:right w:val="nil"/>
            </w:tcBorders>
            <w:shd w:val="clear" w:color="000000" w:fill="FFFFFF"/>
            <w:noWrap/>
            <w:vAlign w:val="center"/>
            <w:hideMark/>
          </w:tcPr>
          <w:p w14:paraId="4D4726E2" w14:textId="77777777" w:rsidR="00765305" w:rsidRPr="008442CC" w:rsidRDefault="00765305" w:rsidP="00C810D9">
            <w:pPr>
              <w:jc w:val="center"/>
              <w:rPr>
                <w:rFonts w:eastAsia="Times New Roman" w:cstheme="minorHAnsi"/>
                <w:sz w:val="20"/>
                <w:szCs w:val="20"/>
              </w:rPr>
            </w:pPr>
          </w:p>
        </w:tc>
        <w:tc>
          <w:tcPr>
            <w:tcW w:w="673" w:type="dxa"/>
            <w:tcBorders>
              <w:top w:val="nil"/>
              <w:left w:val="nil"/>
              <w:bottom w:val="nil"/>
              <w:right w:val="nil"/>
            </w:tcBorders>
            <w:shd w:val="clear" w:color="000000" w:fill="FFFFFF"/>
            <w:noWrap/>
            <w:vAlign w:val="center"/>
            <w:hideMark/>
          </w:tcPr>
          <w:p w14:paraId="3DAB9587"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115</w:t>
            </w:r>
          </w:p>
        </w:tc>
        <w:tc>
          <w:tcPr>
            <w:tcW w:w="977" w:type="dxa"/>
            <w:tcBorders>
              <w:top w:val="nil"/>
              <w:left w:val="nil"/>
              <w:bottom w:val="nil"/>
              <w:right w:val="nil"/>
            </w:tcBorders>
            <w:shd w:val="clear" w:color="000000" w:fill="FFFFFF"/>
            <w:noWrap/>
            <w:vAlign w:val="center"/>
            <w:hideMark/>
          </w:tcPr>
          <w:p w14:paraId="7A942552"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1,21</w:t>
            </w:r>
          </w:p>
        </w:tc>
        <w:tc>
          <w:tcPr>
            <w:tcW w:w="1470" w:type="dxa"/>
            <w:tcBorders>
              <w:top w:val="nil"/>
              <w:left w:val="nil"/>
              <w:bottom w:val="nil"/>
              <w:right w:val="nil"/>
            </w:tcBorders>
            <w:shd w:val="clear" w:color="000000" w:fill="FFFFFF"/>
            <w:noWrap/>
            <w:vAlign w:val="center"/>
            <w:hideMark/>
          </w:tcPr>
          <w:p w14:paraId="2068AD5B"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0,628</w:t>
            </w:r>
          </w:p>
        </w:tc>
        <w:tc>
          <w:tcPr>
            <w:tcW w:w="262" w:type="dxa"/>
            <w:tcBorders>
              <w:top w:val="nil"/>
              <w:left w:val="nil"/>
              <w:bottom w:val="nil"/>
              <w:right w:val="nil"/>
            </w:tcBorders>
            <w:shd w:val="clear" w:color="000000" w:fill="FFFFFF"/>
            <w:noWrap/>
            <w:vAlign w:val="center"/>
            <w:hideMark/>
          </w:tcPr>
          <w:p w14:paraId="6ACF4B8E" w14:textId="77777777" w:rsidR="00765305" w:rsidRPr="008442CC" w:rsidRDefault="00765305" w:rsidP="00C810D9">
            <w:pPr>
              <w:jc w:val="center"/>
              <w:rPr>
                <w:rFonts w:eastAsia="Times New Roman" w:cstheme="minorHAnsi"/>
                <w:sz w:val="20"/>
                <w:szCs w:val="20"/>
              </w:rPr>
            </w:pPr>
          </w:p>
        </w:tc>
        <w:tc>
          <w:tcPr>
            <w:tcW w:w="1520" w:type="dxa"/>
            <w:tcBorders>
              <w:top w:val="nil"/>
              <w:left w:val="nil"/>
              <w:bottom w:val="nil"/>
              <w:right w:val="nil"/>
            </w:tcBorders>
            <w:shd w:val="clear" w:color="000000" w:fill="FFFFFF"/>
            <w:noWrap/>
            <w:vAlign w:val="center"/>
            <w:hideMark/>
          </w:tcPr>
          <w:p w14:paraId="2D927C13"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0,408</w:t>
            </w:r>
          </w:p>
        </w:tc>
        <w:tc>
          <w:tcPr>
            <w:tcW w:w="1720" w:type="dxa"/>
            <w:tcBorders>
              <w:top w:val="nil"/>
              <w:left w:val="nil"/>
              <w:bottom w:val="nil"/>
              <w:right w:val="nil"/>
            </w:tcBorders>
            <w:shd w:val="clear" w:color="000000" w:fill="FFFFFF"/>
            <w:noWrap/>
            <w:vAlign w:val="center"/>
            <w:hideMark/>
          </w:tcPr>
          <w:p w14:paraId="67AEB78C"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0,520</w:t>
            </w:r>
          </w:p>
        </w:tc>
      </w:tr>
      <w:tr w:rsidR="00601CE0" w:rsidRPr="008442CC" w14:paraId="6827078F" w14:textId="77777777" w:rsidTr="00C810D9">
        <w:trPr>
          <w:trHeight w:val="300"/>
        </w:trPr>
        <w:tc>
          <w:tcPr>
            <w:tcW w:w="1060" w:type="dxa"/>
            <w:tcBorders>
              <w:top w:val="nil"/>
              <w:left w:val="nil"/>
              <w:bottom w:val="nil"/>
              <w:right w:val="nil"/>
            </w:tcBorders>
            <w:shd w:val="clear" w:color="000000" w:fill="FFFFFF"/>
            <w:noWrap/>
            <w:vAlign w:val="center"/>
            <w:hideMark/>
          </w:tcPr>
          <w:p w14:paraId="6C34E08C"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Q9 b</w:t>
            </w:r>
          </w:p>
        </w:tc>
        <w:tc>
          <w:tcPr>
            <w:tcW w:w="1500" w:type="dxa"/>
            <w:tcBorders>
              <w:top w:val="nil"/>
              <w:left w:val="nil"/>
              <w:bottom w:val="nil"/>
              <w:right w:val="nil"/>
            </w:tcBorders>
            <w:shd w:val="clear" w:color="000000" w:fill="FFFFFF"/>
            <w:noWrap/>
            <w:hideMark/>
          </w:tcPr>
          <w:p w14:paraId="439751D8"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Objective</w:t>
            </w:r>
          </w:p>
        </w:tc>
        <w:tc>
          <w:tcPr>
            <w:tcW w:w="673" w:type="dxa"/>
            <w:tcBorders>
              <w:top w:val="nil"/>
              <w:left w:val="nil"/>
              <w:bottom w:val="nil"/>
              <w:right w:val="nil"/>
            </w:tcBorders>
            <w:shd w:val="clear" w:color="000000" w:fill="FFFFFF"/>
            <w:noWrap/>
            <w:vAlign w:val="center"/>
            <w:hideMark/>
          </w:tcPr>
          <w:p w14:paraId="1F2BB665"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112</w:t>
            </w:r>
          </w:p>
        </w:tc>
        <w:tc>
          <w:tcPr>
            <w:tcW w:w="977" w:type="dxa"/>
            <w:tcBorders>
              <w:top w:val="nil"/>
              <w:left w:val="nil"/>
              <w:bottom w:val="nil"/>
              <w:right w:val="nil"/>
            </w:tcBorders>
            <w:shd w:val="clear" w:color="000000" w:fill="FFFFFF"/>
            <w:noWrap/>
            <w:vAlign w:val="center"/>
            <w:hideMark/>
          </w:tcPr>
          <w:p w14:paraId="6B00FBE2"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1,22</w:t>
            </w:r>
          </w:p>
        </w:tc>
        <w:tc>
          <w:tcPr>
            <w:tcW w:w="1470" w:type="dxa"/>
            <w:tcBorders>
              <w:top w:val="nil"/>
              <w:left w:val="nil"/>
              <w:bottom w:val="nil"/>
              <w:right w:val="nil"/>
            </w:tcBorders>
            <w:shd w:val="clear" w:color="000000" w:fill="FFFFFF"/>
            <w:noWrap/>
            <w:vAlign w:val="center"/>
            <w:hideMark/>
          </w:tcPr>
          <w:p w14:paraId="1FCBF9FA"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0,611</w:t>
            </w:r>
          </w:p>
        </w:tc>
        <w:tc>
          <w:tcPr>
            <w:tcW w:w="262" w:type="dxa"/>
            <w:tcBorders>
              <w:top w:val="nil"/>
              <w:left w:val="nil"/>
              <w:bottom w:val="nil"/>
              <w:right w:val="nil"/>
            </w:tcBorders>
            <w:shd w:val="clear" w:color="000000" w:fill="FFFFFF"/>
            <w:noWrap/>
            <w:vAlign w:val="center"/>
            <w:hideMark/>
          </w:tcPr>
          <w:p w14:paraId="6F419C72" w14:textId="77777777" w:rsidR="00765305" w:rsidRPr="008442CC" w:rsidRDefault="00765305" w:rsidP="00C810D9">
            <w:pPr>
              <w:jc w:val="center"/>
              <w:rPr>
                <w:rFonts w:eastAsia="Times New Roman" w:cstheme="minorHAnsi"/>
                <w:sz w:val="20"/>
                <w:szCs w:val="20"/>
              </w:rPr>
            </w:pPr>
          </w:p>
        </w:tc>
        <w:tc>
          <w:tcPr>
            <w:tcW w:w="673" w:type="dxa"/>
            <w:tcBorders>
              <w:top w:val="nil"/>
              <w:left w:val="nil"/>
              <w:bottom w:val="nil"/>
              <w:right w:val="nil"/>
            </w:tcBorders>
            <w:shd w:val="clear" w:color="000000" w:fill="FFFFFF"/>
            <w:noWrap/>
            <w:vAlign w:val="center"/>
            <w:hideMark/>
          </w:tcPr>
          <w:p w14:paraId="431BBD32"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112</w:t>
            </w:r>
          </w:p>
        </w:tc>
        <w:tc>
          <w:tcPr>
            <w:tcW w:w="977" w:type="dxa"/>
            <w:tcBorders>
              <w:top w:val="nil"/>
              <w:left w:val="nil"/>
              <w:bottom w:val="nil"/>
              <w:right w:val="nil"/>
            </w:tcBorders>
            <w:shd w:val="clear" w:color="000000" w:fill="FFFFFF"/>
            <w:noWrap/>
            <w:vAlign w:val="center"/>
            <w:hideMark/>
          </w:tcPr>
          <w:p w14:paraId="1A3603B4"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1,33</w:t>
            </w:r>
          </w:p>
        </w:tc>
        <w:tc>
          <w:tcPr>
            <w:tcW w:w="1470" w:type="dxa"/>
            <w:tcBorders>
              <w:top w:val="nil"/>
              <w:left w:val="nil"/>
              <w:bottom w:val="nil"/>
              <w:right w:val="nil"/>
            </w:tcBorders>
            <w:shd w:val="clear" w:color="000000" w:fill="FFFFFF"/>
            <w:noWrap/>
            <w:vAlign w:val="center"/>
            <w:hideMark/>
          </w:tcPr>
          <w:p w14:paraId="2538D062"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0,752</w:t>
            </w:r>
          </w:p>
        </w:tc>
        <w:tc>
          <w:tcPr>
            <w:tcW w:w="262" w:type="dxa"/>
            <w:tcBorders>
              <w:top w:val="nil"/>
              <w:left w:val="nil"/>
              <w:bottom w:val="nil"/>
              <w:right w:val="nil"/>
            </w:tcBorders>
            <w:shd w:val="clear" w:color="000000" w:fill="FFFFFF"/>
            <w:noWrap/>
            <w:vAlign w:val="center"/>
            <w:hideMark/>
          </w:tcPr>
          <w:p w14:paraId="0F9EF7BA" w14:textId="77777777" w:rsidR="00765305" w:rsidRPr="008442CC" w:rsidRDefault="00765305" w:rsidP="00C810D9">
            <w:pPr>
              <w:jc w:val="center"/>
              <w:rPr>
                <w:rFonts w:eastAsia="Times New Roman" w:cstheme="minorHAnsi"/>
                <w:sz w:val="20"/>
                <w:szCs w:val="20"/>
              </w:rPr>
            </w:pPr>
          </w:p>
        </w:tc>
        <w:tc>
          <w:tcPr>
            <w:tcW w:w="1520" w:type="dxa"/>
            <w:tcBorders>
              <w:top w:val="nil"/>
              <w:left w:val="nil"/>
              <w:bottom w:val="nil"/>
              <w:right w:val="nil"/>
            </w:tcBorders>
            <w:shd w:val="clear" w:color="000000" w:fill="FFFFFF"/>
            <w:noWrap/>
            <w:vAlign w:val="center"/>
            <w:hideMark/>
          </w:tcPr>
          <w:p w14:paraId="60924FEB"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0.033 **</w:t>
            </w:r>
          </w:p>
        </w:tc>
        <w:tc>
          <w:tcPr>
            <w:tcW w:w="1720" w:type="dxa"/>
            <w:tcBorders>
              <w:top w:val="nil"/>
              <w:left w:val="nil"/>
              <w:bottom w:val="nil"/>
              <w:right w:val="nil"/>
            </w:tcBorders>
            <w:shd w:val="clear" w:color="000000" w:fill="FFFFFF"/>
            <w:noWrap/>
            <w:vAlign w:val="center"/>
            <w:hideMark/>
          </w:tcPr>
          <w:p w14:paraId="6810D0CC"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0.009 ***</w:t>
            </w:r>
          </w:p>
        </w:tc>
      </w:tr>
      <w:tr w:rsidR="00601CE0" w:rsidRPr="008442CC" w14:paraId="0BBF3248" w14:textId="77777777" w:rsidTr="00C810D9">
        <w:trPr>
          <w:trHeight w:val="300"/>
        </w:trPr>
        <w:tc>
          <w:tcPr>
            <w:tcW w:w="1060" w:type="dxa"/>
            <w:tcBorders>
              <w:top w:val="nil"/>
              <w:left w:val="nil"/>
              <w:bottom w:val="nil"/>
              <w:right w:val="nil"/>
            </w:tcBorders>
            <w:shd w:val="clear" w:color="000000" w:fill="FFFFFF"/>
            <w:noWrap/>
            <w:vAlign w:val="center"/>
            <w:hideMark/>
          </w:tcPr>
          <w:p w14:paraId="3C59F6E7"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Q9 c</w:t>
            </w:r>
          </w:p>
        </w:tc>
        <w:tc>
          <w:tcPr>
            <w:tcW w:w="1500" w:type="dxa"/>
            <w:tcBorders>
              <w:top w:val="nil"/>
              <w:left w:val="nil"/>
              <w:bottom w:val="nil"/>
              <w:right w:val="nil"/>
            </w:tcBorders>
            <w:shd w:val="clear" w:color="000000" w:fill="FFFFFF"/>
            <w:noWrap/>
            <w:hideMark/>
          </w:tcPr>
          <w:p w14:paraId="6261E2B8"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Objective</w:t>
            </w:r>
          </w:p>
        </w:tc>
        <w:tc>
          <w:tcPr>
            <w:tcW w:w="673" w:type="dxa"/>
            <w:tcBorders>
              <w:top w:val="nil"/>
              <w:left w:val="nil"/>
              <w:bottom w:val="nil"/>
              <w:right w:val="nil"/>
            </w:tcBorders>
            <w:shd w:val="clear" w:color="000000" w:fill="FFFFFF"/>
            <w:noWrap/>
            <w:vAlign w:val="center"/>
            <w:hideMark/>
          </w:tcPr>
          <w:p w14:paraId="60438EC6"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112</w:t>
            </w:r>
          </w:p>
        </w:tc>
        <w:tc>
          <w:tcPr>
            <w:tcW w:w="977" w:type="dxa"/>
            <w:tcBorders>
              <w:top w:val="nil"/>
              <w:left w:val="nil"/>
              <w:bottom w:val="nil"/>
              <w:right w:val="nil"/>
            </w:tcBorders>
            <w:shd w:val="clear" w:color="000000" w:fill="FFFFFF"/>
            <w:noWrap/>
            <w:vAlign w:val="center"/>
            <w:hideMark/>
          </w:tcPr>
          <w:p w14:paraId="1AC92B48"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1,30</w:t>
            </w:r>
          </w:p>
        </w:tc>
        <w:tc>
          <w:tcPr>
            <w:tcW w:w="1470" w:type="dxa"/>
            <w:tcBorders>
              <w:top w:val="nil"/>
              <w:left w:val="nil"/>
              <w:bottom w:val="nil"/>
              <w:right w:val="nil"/>
            </w:tcBorders>
            <w:shd w:val="clear" w:color="000000" w:fill="FFFFFF"/>
            <w:noWrap/>
            <w:vAlign w:val="center"/>
            <w:hideMark/>
          </w:tcPr>
          <w:p w14:paraId="328E2B78"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0,733</w:t>
            </w:r>
          </w:p>
        </w:tc>
        <w:tc>
          <w:tcPr>
            <w:tcW w:w="262" w:type="dxa"/>
            <w:tcBorders>
              <w:top w:val="nil"/>
              <w:left w:val="nil"/>
              <w:bottom w:val="nil"/>
              <w:right w:val="nil"/>
            </w:tcBorders>
            <w:shd w:val="clear" w:color="000000" w:fill="FFFFFF"/>
            <w:noWrap/>
            <w:vAlign w:val="center"/>
            <w:hideMark/>
          </w:tcPr>
          <w:p w14:paraId="13266AEC" w14:textId="77777777" w:rsidR="00765305" w:rsidRPr="008442CC" w:rsidRDefault="00765305" w:rsidP="00C810D9">
            <w:pPr>
              <w:jc w:val="center"/>
              <w:rPr>
                <w:rFonts w:eastAsia="Times New Roman" w:cstheme="minorHAnsi"/>
                <w:sz w:val="20"/>
                <w:szCs w:val="20"/>
              </w:rPr>
            </w:pPr>
          </w:p>
        </w:tc>
        <w:tc>
          <w:tcPr>
            <w:tcW w:w="673" w:type="dxa"/>
            <w:tcBorders>
              <w:top w:val="nil"/>
              <w:left w:val="nil"/>
              <w:bottom w:val="nil"/>
              <w:right w:val="nil"/>
            </w:tcBorders>
            <w:shd w:val="clear" w:color="000000" w:fill="FFFFFF"/>
            <w:noWrap/>
            <w:vAlign w:val="center"/>
            <w:hideMark/>
          </w:tcPr>
          <w:p w14:paraId="43E0886C"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115</w:t>
            </w:r>
          </w:p>
        </w:tc>
        <w:tc>
          <w:tcPr>
            <w:tcW w:w="977" w:type="dxa"/>
            <w:tcBorders>
              <w:top w:val="nil"/>
              <w:left w:val="nil"/>
              <w:bottom w:val="nil"/>
              <w:right w:val="nil"/>
            </w:tcBorders>
            <w:shd w:val="clear" w:color="000000" w:fill="FFFFFF"/>
            <w:noWrap/>
            <w:vAlign w:val="center"/>
            <w:hideMark/>
          </w:tcPr>
          <w:p w14:paraId="17DE62EA"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1,41</w:t>
            </w:r>
          </w:p>
        </w:tc>
        <w:tc>
          <w:tcPr>
            <w:tcW w:w="1470" w:type="dxa"/>
            <w:tcBorders>
              <w:top w:val="nil"/>
              <w:left w:val="nil"/>
              <w:bottom w:val="nil"/>
              <w:right w:val="nil"/>
            </w:tcBorders>
            <w:shd w:val="clear" w:color="000000" w:fill="FFFFFF"/>
            <w:noWrap/>
            <w:vAlign w:val="center"/>
            <w:hideMark/>
          </w:tcPr>
          <w:p w14:paraId="49857004"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0,897</w:t>
            </w:r>
          </w:p>
        </w:tc>
        <w:tc>
          <w:tcPr>
            <w:tcW w:w="262" w:type="dxa"/>
            <w:tcBorders>
              <w:top w:val="nil"/>
              <w:left w:val="nil"/>
              <w:bottom w:val="nil"/>
              <w:right w:val="nil"/>
            </w:tcBorders>
            <w:shd w:val="clear" w:color="000000" w:fill="FFFFFF"/>
            <w:noWrap/>
            <w:vAlign w:val="center"/>
            <w:hideMark/>
          </w:tcPr>
          <w:p w14:paraId="1F272E75" w14:textId="77777777" w:rsidR="00765305" w:rsidRPr="008442CC" w:rsidRDefault="00765305" w:rsidP="00C810D9">
            <w:pPr>
              <w:jc w:val="center"/>
              <w:rPr>
                <w:rFonts w:eastAsia="Times New Roman" w:cstheme="minorHAnsi"/>
                <w:sz w:val="20"/>
                <w:szCs w:val="20"/>
              </w:rPr>
            </w:pPr>
          </w:p>
        </w:tc>
        <w:tc>
          <w:tcPr>
            <w:tcW w:w="1520" w:type="dxa"/>
            <w:tcBorders>
              <w:top w:val="nil"/>
              <w:left w:val="nil"/>
              <w:bottom w:val="nil"/>
              <w:right w:val="nil"/>
            </w:tcBorders>
            <w:shd w:val="clear" w:color="000000" w:fill="FFFFFF"/>
            <w:noWrap/>
            <w:vAlign w:val="center"/>
            <w:hideMark/>
          </w:tcPr>
          <w:p w14:paraId="3D2E12A6"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0.032 **</w:t>
            </w:r>
          </w:p>
        </w:tc>
        <w:tc>
          <w:tcPr>
            <w:tcW w:w="1720" w:type="dxa"/>
            <w:tcBorders>
              <w:top w:val="nil"/>
              <w:left w:val="nil"/>
              <w:bottom w:val="nil"/>
              <w:right w:val="nil"/>
            </w:tcBorders>
            <w:shd w:val="clear" w:color="000000" w:fill="FFFFFF"/>
            <w:noWrap/>
            <w:vAlign w:val="center"/>
            <w:hideMark/>
          </w:tcPr>
          <w:p w14:paraId="2B8E4379"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0.049 **</w:t>
            </w:r>
          </w:p>
        </w:tc>
      </w:tr>
      <w:tr w:rsidR="00601CE0" w:rsidRPr="008442CC" w14:paraId="65F8FAD1" w14:textId="77777777" w:rsidTr="00C810D9">
        <w:trPr>
          <w:trHeight w:val="300"/>
        </w:trPr>
        <w:tc>
          <w:tcPr>
            <w:tcW w:w="1060" w:type="dxa"/>
            <w:tcBorders>
              <w:top w:val="nil"/>
              <w:left w:val="nil"/>
              <w:bottom w:val="nil"/>
              <w:right w:val="nil"/>
            </w:tcBorders>
            <w:shd w:val="clear" w:color="000000" w:fill="FFFFFF"/>
            <w:noWrap/>
            <w:vAlign w:val="center"/>
            <w:hideMark/>
          </w:tcPr>
          <w:p w14:paraId="40F8A5E9"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Q9 d</w:t>
            </w:r>
          </w:p>
        </w:tc>
        <w:tc>
          <w:tcPr>
            <w:tcW w:w="1500" w:type="dxa"/>
            <w:tcBorders>
              <w:top w:val="nil"/>
              <w:left w:val="nil"/>
              <w:bottom w:val="nil"/>
              <w:right w:val="nil"/>
            </w:tcBorders>
            <w:shd w:val="clear" w:color="000000" w:fill="FFFFFF"/>
            <w:noWrap/>
            <w:hideMark/>
          </w:tcPr>
          <w:p w14:paraId="1E01A680"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Objective</w:t>
            </w:r>
          </w:p>
        </w:tc>
        <w:tc>
          <w:tcPr>
            <w:tcW w:w="673" w:type="dxa"/>
            <w:tcBorders>
              <w:top w:val="nil"/>
              <w:left w:val="nil"/>
              <w:bottom w:val="nil"/>
              <w:right w:val="nil"/>
            </w:tcBorders>
            <w:shd w:val="clear" w:color="000000" w:fill="FFFFFF"/>
            <w:noWrap/>
            <w:vAlign w:val="center"/>
            <w:hideMark/>
          </w:tcPr>
          <w:p w14:paraId="405D4196"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54A9DD1A"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1,74</w:t>
            </w:r>
          </w:p>
        </w:tc>
        <w:tc>
          <w:tcPr>
            <w:tcW w:w="1470" w:type="dxa"/>
            <w:tcBorders>
              <w:top w:val="nil"/>
              <w:left w:val="nil"/>
              <w:bottom w:val="nil"/>
              <w:right w:val="nil"/>
            </w:tcBorders>
            <w:shd w:val="clear" w:color="000000" w:fill="FFFFFF"/>
            <w:noWrap/>
            <w:vAlign w:val="center"/>
            <w:hideMark/>
          </w:tcPr>
          <w:p w14:paraId="1393FE79"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1,128</w:t>
            </w:r>
          </w:p>
        </w:tc>
        <w:tc>
          <w:tcPr>
            <w:tcW w:w="262" w:type="dxa"/>
            <w:tcBorders>
              <w:top w:val="nil"/>
              <w:left w:val="nil"/>
              <w:bottom w:val="nil"/>
              <w:right w:val="nil"/>
            </w:tcBorders>
            <w:shd w:val="clear" w:color="000000" w:fill="FFFFFF"/>
            <w:noWrap/>
            <w:vAlign w:val="center"/>
            <w:hideMark/>
          </w:tcPr>
          <w:p w14:paraId="2F961B22" w14:textId="77777777" w:rsidR="00765305" w:rsidRPr="008442CC" w:rsidRDefault="00765305" w:rsidP="00C810D9">
            <w:pPr>
              <w:jc w:val="center"/>
              <w:rPr>
                <w:rFonts w:eastAsia="Times New Roman" w:cstheme="minorHAnsi"/>
                <w:sz w:val="20"/>
                <w:szCs w:val="20"/>
              </w:rPr>
            </w:pPr>
          </w:p>
        </w:tc>
        <w:tc>
          <w:tcPr>
            <w:tcW w:w="673" w:type="dxa"/>
            <w:tcBorders>
              <w:top w:val="nil"/>
              <w:left w:val="nil"/>
              <w:bottom w:val="nil"/>
              <w:right w:val="nil"/>
            </w:tcBorders>
            <w:shd w:val="clear" w:color="000000" w:fill="FFFFFF"/>
            <w:noWrap/>
            <w:vAlign w:val="center"/>
            <w:hideMark/>
          </w:tcPr>
          <w:p w14:paraId="2C9BC384"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6EA86276"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1,81</w:t>
            </w:r>
          </w:p>
        </w:tc>
        <w:tc>
          <w:tcPr>
            <w:tcW w:w="1470" w:type="dxa"/>
            <w:tcBorders>
              <w:top w:val="nil"/>
              <w:left w:val="nil"/>
              <w:bottom w:val="nil"/>
              <w:right w:val="nil"/>
            </w:tcBorders>
            <w:shd w:val="clear" w:color="000000" w:fill="FFFFFF"/>
            <w:noWrap/>
            <w:vAlign w:val="center"/>
            <w:hideMark/>
          </w:tcPr>
          <w:p w14:paraId="4CD63BF5"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1,208</w:t>
            </w:r>
          </w:p>
        </w:tc>
        <w:tc>
          <w:tcPr>
            <w:tcW w:w="262" w:type="dxa"/>
            <w:tcBorders>
              <w:top w:val="nil"/>
              <w:left w:val="nil"/>
              <w:bottom w:val="nil"/>
              <w:right w:val="nil"/>
            </w:tcBorders>
            <w:shd w:val="clear" w:color="000000" w:fill="FFFFFF"/>
            <w:noWrap/>
            <w:vAlign w:val="center"/>
            <w:hideMark/>
          </w:tcPr>
          <w:p w14:paraId="51C6FFD8" w14:textId="77777777" w:rsidR="00765305" w:rsidRPr="008442CC" w:rsidRDefault="00765305" w:rsidP="00C810D9">
            <w:pPr>
              <w:jc w:val="center"/>
              <w:rPr>
                <w:rFonts w:eastAsia="Times New Roman" w:cstheme="minorHAnsi"/>
                <w:sz w:val="20"/>
                <w:szCs w:val="20"/>
              </w:rPr>
            </w:pPr>
          </w:p>
        </w:tc>
        <w:tc>
          <w:tcPr>
            <w:tcW w:w="1520" w:type="dxa"/>
            <w:tcBorders>
              <w:top w:val="nil"/>
              <w:left w:val="nil"/>
              <w:bottom w:val="nil"/>
              <w:right w:val="nil"/>
            </w:tcBorders>
            <w:shd w:val="clear" w:color="000000" w:fill="FFFFFF"/>
            <w:noWrap/>
            <w:vAlign w:val="center"/>
            <w:hideMark/>
          </w:tcPr>
          <w:p w14:paraId="5A51D324"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0,327</w:t>
            </w:r>
          </w:p>
        </w:tc>
        <w:tc>
          <w:tcPr>
            <w:tcW w:w="1720" w:type="dxa"/>
            <w:tcBorders>
              <w:top w:val="nil"/>
              <w:left w:val="nil"/>
              <w:bottom w:val="nil"/>
              <w:right w:val="nil"/>
            </w:tcBorders>
            <w:shd w:val="clear" w:color="000000" w:fill="FFFFFF"/>
            <w:noWrap/>
            <w:vAlign w:val="center"/>
            <w:hideMark/>
          </w:tcPr>
          <w:p w14:paraId="101DE579"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0,356</w:t>
            </w:r>
          </w:p>
        </w:tc>
      </w:tr>
      <w:tr w:rsidR="00601CE0" w:rsidRPr="008442CC" w14:paraId="50230DE0" w14:textId="77777777" w:rsidTr="00C810D9">
        <w:trPr>
          <w:trHeight w:val="300"/>
        </w:trPr>
        <w:tc>
          <w:tcPr>
            <w:tcW w:w="1060" w:type="dxa"/>
            <w:tcBorders>
              <w:top w:val="nil"/>
              <w:left w:val="nil"/>
              <w:bottom w:val="nil"/>
              <w:right w:val="nil"/>
            </w:tcBorders>
            <w:shd w:val="clear" w:color="000000" w:fill="FFFFFF"/>
            <w:noWrap/>
            <w:vAlign w:val="center"/>
            <w:hideMark/>
          </w:tcPr>
          <w:p w14:paraId="1BBB160B"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Q9 e</w:t>
            </w:r>
          </w:p>
        </w:tc>
        <w:tc>
          <w:tcPr>
            <w:tcW w:w="1500" w:type="dxa"/>
            <w:tcBorders>
              <w:top w:val="nil"/>
              <w:left w:val="nil"/>
              <w:bottom w:val="nil"/>
              <w:right w:val="nil"/>
            </w:tcBorders>
            <w:shd w:val="clear" w:color="000000" w:fill="FFFFFF"/>
            <w:noWrap/>
            <w:hideMark/>
          </w:tcPr>
          <w:p w14:paraId="73496FF8"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Objective</w:t>
            </w:r>
          </w:p>
        </w:tc>
        <w:tc>
          <w:tcPr>
            <w:tcW w:w="673" w:type="dxa"/>
            <w:tcBorders>
              <w:top w:val="nil"/>
              <w:left w:val="nil"/>
              <w:bottom w:val="nil"/>
              <w:right w:val="nil"/>
            </w:tcBorders>
            <w:shd w:val="clear" w:color="000000" w:fill="FFFFFF"/>
            <w:noWrap/>
            <w:vAlign w:val="center"/>
            <w:hideMark/>
          </w:tcPr>
          <w:p w14:paraId="63598456"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7C36D232"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1,45</w:t>
            </w:r>
          </w:p>
        </w:tc>
        <w:tc>
          <w:tcPr>
            <w:tcW w:w="1470" w:type="dxa"/>
            <w:tcBorders>
              <w:top w:val="nil"/>
              <w:left w:val="nil"/>
              <w:bottom w:val="nil"/>
              <w:right w:val="nil"/>
            </w:tcBorders>
            <w:shd w:val="clear" w:color="000000" w:fill="FFFFFF"/>
            <w:noWrap/>
            <w:vAlign w:val="center"/>
            <w:hideMark/>
          </w:tcPr>
          <w:p w14:paraId="5E2ACB23"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0,936</w:t>
            </w:r>
          </w:p>
        </w:tc>
        <w:tc>
          <w:tcPr>
            <w:tcW w:w="262" w:type="dxa"/>
            <w:tcBorders>
              <w:top w:val="nil"/>
              <w:left w:val="nil"/>
              <w:bottom w:val="nil"/>
              <w:right w:val="nil"/>
            </w:tcBorders>
            <w:shd w:val="clear" w:color="000000" w:fill="FFFFFF"/>
            <w:noWrap/>
            <w:vAlign w:val="center"/>
            <w:hideMark/>
          </w:tcPr>
          <w:p w14:paraId="2ABFEB09" w14:textId="77777777" w:rsidR="00765305" w:rsidRPr="008442CC" w:rsidRDefault="00765305" w:rsidP="00C810D9">
            <w:pPr>
              <w:jc w:val="center"/>
              <w:rPr>
                <w:rFonts w:eastAsia="Times New Roman" w:cstheme="minorHAnsi"/>
                <w:sz w:val="20"/>
                <w:szCs w:val="20"/>
              </w:rPr>
            </w:pPr>
          </w:p>
        </w:tc>
        <w:tc>
          <w:tcPr>
            <w:tcW w:w="673" w:type="dxa"/>
            <w:tcBorders>
              <w:top w:val="nil"/>
              <w:left w:val="nil"/>
              <w:bottom w:val="nil"/>
              <w:right w:val="nil"/>
            </w:tcBorders>
            <w:shd w:val="clear" w:color="000000" w:fill="FFFFFF"/>
            <w:noWrap/>
            <w:vAlign w:val="center"/>
            <w:hideMark/>
          </w:tcPr>
          <w:p w14:paraId="1FA892A3"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115</w:t>
            </w:r>
          </w:p>
        </w:tc>
        <w:tc>
          <w:tcPr>
            <w:tcW w:w="977" w:type="dxa"/>
            <w:tcBorders>
              <w:top w:val="nil"/>
              <w:left w:val="nil"/>
              <w:bottom w:val="nil"/>
              <w:right w:val="nil"/>
            </w:tcBorders>
            <w:shd w:val="clear" w:color="000000" w:fill="FFFFFF"/>
            <w:noWrap/>
            <w:vAlign w:val="center"/>
            <w:hideMark/>
          </w:tcPr>
          <w:p w14:paraId="210E2CF1"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1,50</w:t>
            </w:r>
          </w:p>
        </w:tc>
        <w:tc>
          <w:tcPr>
            <w:tcW w:w="1470" w:type="dxa"/>
            <w:tcBorders>
              <w:top w:val="nil"/>
              <w:left w:val="nil"/>
              <w:bottom w:val="nil"/>
              <w:right w:val="nil"/>
            </w:tcBorders>
            <w:shd w:val="clear" w:color="000000" w:fill="FFFFFF"/>
            <w:noWrap/>
            <w:vAlign w:val="center"/>
            <w:hideMark/>
          </w:tcPr>
          <w:p w14:paraId="37DED618"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0,977</w:t>
            </w:r>
          </w:p>
        </w:tc>
        <w:tc>
          <w:tcPr>
            <w:tcW w:w="262" w:type="dxa"/>
            <w:tcBorders>
              <w:top w:val="nil"/>
              <w:left w:val="nil"/>
              <w:bottom w:val="nil"/>
              <w:right w:val="nil"/>
            </w:tcBorders>
            <w:shd w:val="clear" w:color="000000" w:fill="FFFFFF"/>
            <w:noWrap/>
            <w:vAlign w:val="center"/>
            <w:hideMark/>
          </w:tcPr>
          <w:p w14:paraId="7AC82790" w14:textId="77777777" w:rsidR="00765305" w:rsidRPr="008442CC" w:rsidRDefault="00765305" w:rsidP="00C810D9">
            <w:pPr>
              <w:jc w:val="center"/>
              <w:rPr>
                <w:rFonts w:eastAsia="Times New Roman" w:cstheme="minorHAnsi"/>
                <w:sz w:val="20"/>
                <w:szCs w:val="20"/>
              </w:rPr>
            </w:pPr>
          </w:p>
        </w:tc>
        <w:tc>
          <w:tcPr>
            <w:tcW w:w="1520" w:type="dxa"/>
            <w:tcBorders>
              <w:top w:val="nil"/>
              <w:left w:val="nil"/>
              <w:bottom w:val="nil"/>
              <w:right w:val="nil"/>
            </w:tcBorders>
            <w:shd w:val="clear" w:color="000000" w:fill="FFFFFF"/>
            <w:noWrap/>
            <w:vAlign w:val="center"/>
            <w:hideMark/>
          </w:tcPr>
          <w:p w14:paraId="6BA2BF23"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0,499</w:t>
            </w:r>
          </w:p>
        </w:tc>
        <w:tc>
          <w:tcPr>
            <w:tcW w:w="1720" w:type="dxa"/>
            <w:tcBorders>
              <w:top w:val="nil"/>
              <w:left w:val="nil"/>
              <w:bottom w:val="nil"/>
              <w:right w:val="nil"/>
            </w:tcBorders>
            <w:shd w:val="clear" w:color="000000" w:fill="FFFFFF"/>
            <w:noWrap/>
            <w:vAlign w:val="center"/>
            <w:hideMark/>
          </w:tcPr>
          <w:p w14:paraId="5D8B9D6C"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0,169</w:t>
            </w:r>
          </w:p>
        </w:tc>
      </w:tr>
      <w:tr w:rsidR="00601CE0" w:rsidRPr="008442CC" w14:paraId="7AEE5D2A" w14:textId="77777777" w:rsidTr="00C810D9">
        <w:trPr>
          <w:trHeight w:val="300"/>
        </w:trPr>
        <w:tc>
          <w:tcPr>
            <w:tcW w:w="1060" w:type="dxa"/>
            <w:tcBorders>
              <w:top w:val="nil"/>
              <w:left w:val="nil"/>
              <w:bottom w:val="nil"/>
              <w:right w:val="nil"/>
            </w:tcBorders>
            <w:shd w:val="clear" w:color="000000" w:fill="FFFFFF"/>
            <w:noWrap/>
            <w:vAlign w:val="center"/>
            <w:hideMark/>
          </w:tcPr>
          <w:p w14:paraId="6BD83BD0"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Q10 a</w:t>
            </w:r>
          </w:p>
        </w:tc>
        <w:tc>
          <w:tcPr>
            <w:tcW w:w="1500" w:type="dxa"/>
            <w:tcBorders>
              <w:top w:val="nil"/>
              <w:left w:val="nil"/>
              <w:bottom w:val="nil"/>
              <w:right w:val="nil"/>
            </w:tcBorders>
            <w:shd w:val="clear" w:color="000000" w:fill="FFFFFF"/>
            <w:noWrap/>
            <w:hideMark/>
          </w:tcPr>
          <w:p w14:paraId="617B9AEA"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Objective</w:t>
            </w:r>
          </w:p>
        </w:tc>
        <w:tc>
          <w:tcPr>
            <w:tcW w:w="673" w:type="dxa"/>
            <w:tcBorders>
              <w:top w:val="nil"/>
              <w:left w:val="nil"/>
              <w:bottom w:val="nil"/>
              <w:right w:val="nil"/>
            </w:tcBorders>
            <w:shd w:val="clear" w:color="000000" w:fill="FFFFFF"/>
            <w:noWrap/>
            <w:vAlign w:val="center"/>
            <w:hideMark/>
          </w:tcPr>
          <w:p w14:paraId="5DF2E2B1"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115</w:t>
            </w:r>
          </w:p>
        </w:tc>
        <w:tc>
          <w:tcPr>
            <w:tcW w:w="977" w:type="dxa"/>
            <w:tcBorders>
              <w:top w:val="nil"/>
              <w:left w:val="nil"/>
              <w:bottom w:val="nil"/>
              <w:right w:val="nil"/>
            </w:tcBorders>
            <w:shd w:val="clear" w:color="000000" w:fill="FFFFFF"/>
            <w:noWrap/>
            <w:vAlign w:val="center"/>
            <w:hideMark/>
          </w:tcPr>
          <w:p w14:paraId="49EF786B"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1470" w:type="dxa"/>
            <w:tcBorders>
              <w:top w:val="nil"/>
              <w:left w:val="nil"/>
              <w:bottom w:val="nil"/>
              <w:right w:val="nil"/>
            </w:tcBorders>
            <w:shd w:val="clear" w:color="000000" w:fill="FFFFFF"/>
            <w:noWrap/>
            <w:vAlign w:val="center"/>
            <w:hideMark/>
          </w:tcPr>
          <w:p w14:paraId="02EB6BBA"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0,571</w:t>
            </w:r>
          </w:p>
        </w:tc>
        <w:tc>
          <w:tcPr>
            <w:tcW w:w="262" w:type="dxa"/>
            <w:tcBorders>
              <w:top w:val="nil"/>
              <w:left w:val="nil"/>
              <w:bottom w:val="nil"/>
              <w:right w:val="nil"/>
            </w:tcBorders>
            <w:shd w:val="clear" w:color="000000" w:fill="FFFFFF"/>
            <w:noWrap/>
            <w:vAlign w:val="center"/>
            <w:hideMark/>
          </w:tcPr>
          <w:p w14:paraId="1C9083A8" w14:textId="77777777" w:rsidR="00765305" w:rsidRPr="008442CC" w:rsidRDefault="00765305" w:rsidP="00C810D9">
            <w:pPr>
              <w:jc w:val="center"/>
              <w:rPr>
                <w:rFonts w:eastAsia="Times New Roman" w:cstheme="minorHAnsi"/>
                <w:sz w:val="20"/>
                <w:szCs w:val="20"/>
              </w:rPr>
            </w:pPr>
          </w:p>
        </w:tc>
        <w:tc>
          <w:tcPr>
            <w:tcW w:w="673" w:type="dxa"/>
            <w:tcBorders>
              <w:top w:val="nil"/>
              <w:left w:val="nil"/>
              <w:bottom w:val="nil"/>
              <w:right w:val="nil"/>
            </w:tcBorders>
            <w:shd w:val="clear" w:color="000000" w:fill="FFFFFF"/>
            <w:noWrap/>
            <w:vAlign w:val="center"/>
            <w:hideMark/>
          </w:tcPr>
          <w:p w14:paraId="6F1789A4"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75083F9A"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1470" w:type="dxa"/>
            <w:tcBorders>
              <w:top w:val="nil"/>
              <w:left w:val="nil"/>
              <w:bottom w:val="nil"/>
              <w:right w:val="nil"/>
            </w:tcBorders>
            <w:shd w:val="clear" w:color="000000" w:fill="FFFFFF"/>
            <w:noWrap/>
            <w:vAlign w:val="center"/>
            <w:hideMark/>
          </w:tcPr>
          <w:p w14:paraId="587CEDDB"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0,553</w:t>
            </w:r>
          </w:p>
        </w:tc>
        <w:tc>
          <w:tcPr>
            <w:tcW w:w="262" w:type="dxa"/>
            <w:tcBorders>
              <w:top w:val="nil"/>
              <w:left w:val="nil"/>
              <w:bottom w:val="nil"/>
              <w:right w:val="nil"/>
            </w:tcBorders>
            <w:shd w:val="clear" w:color="000000" w:fill="FFFFFF"/>
            <w:noWrap/>
            <w:vAlign w:val="center"/>
            <w:hideMark/>
          </w:tcPr>
          <w:p w14:paraId="4BBDCE96" w14:textId="77777777" w:rsidR="00765305" w:rsidRPr="008442CC" w:rsidRDefault="00765305" w:rsidP="00C810D9">
            <w:pPr>
              <w:jc w:val="center"/>
              <w:rPr>
                <w:rFonts w:eastAsia="Times New Roman" w:cstheme="minorHAnsi"/>
                <w:sz w:val="20"/>
                <w:szCs w:val="20"/>
              </w:rPr>
            </w:pPr>
          </w:p>
        </w:tc>
        <w:tc>
          <w:tcPr>
            <w:tcW w:w="1520" w:type="dxa"/>
            <w:tcBorders>
              <w:top w:val="nil"/>
              <w:left w:val="nil"/>
              <w:bottom w:val="nil"/>
              <w:right w:val="nil"/>
            </w:tcBorders>
            <w:shd w:val="clear" w:color="000000" w:fill="FFFFFF"/>
            <w:noWrap/>
            <w:vAlign w:val="center"/>
            <w:hideMark/>
          </w:tcPr>
          <w:p w14:paraId="4BAB3D23"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1,000</w:t>
            </w:r>
          </w:p>
        </w:tc>
        <w:tc>
          <w:tcPr>
            <w:tcW w:w="1720" w:type="dxa"/>
            <w:tcBorders>
              <w:top w:val="nil"/>
              <w:left w:val="nil"/>
              <w:bottom w:val="nil"/>
              <w:right w:val="nil"/>
            </w:tcBorders>
            <w:shd w:val="clear" w:color="000000" w:fill="FFFFFF"/>
            <w:noWrap/>
            <w:vAlign w:val="center"/>
            <w:hideMark/>
          </w:tcPr>
          <w:p w14:paraId="03555018"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1,000</w:t>
            </w:r>
          </w:p>
        </w:tc>
      </w:tr>
      <w:tr w:rsidR="00601CE0" w:rsidRPr="008442CC" w14:paraId="33E24DFA" w14:textId="77777777" w:rsidTr="00C810D9">
        <w:trPr>
          <w:trHeight w:val="300"/>
        </w:trPr>
        <w:tc>
          <w:tcPr>
            <w:tcW w:w="1060" w:type="dxa"/>
            <w:tcBorders>
              <w:top w:val="nil"/>
              <w:left w:val="nil"/>
              <w:bottom w:val="nil"/>
              <w:right w:val="nil"/>
            </w:tcBorders>
            <w:shd w:val="clear" w:color="000000" w:fill="FFFFFF"/>
            <w:noWrap/>
            <w:vAlign w:val="center"/>
            <w:hideMark/>
          </w:tcPr>
          <w:p w14:paraId="25791A29"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Q10 b</w:t>
            </w:r>
          </w:p>
        </w:tc>
        <w:tc>
          <w:tcPr>
            <w:tcW w:w="1500" w:type="dxa"/>
            <w:tcBorders>
              <w:top w:val="nil"/>
              <w:left w:val="nil"/>
              <w:bottom w:val="nil"/>
              <w:right w:val="nil"/>
            </w:tcBorders>
            <w:shd w:val="clear" w:color="000000" w:fill="FFFFFF"/>
            <w:noWrap/>
            <w:hideMark/>
          </w:tcPr>
          <w:p w14:paraId="31ED51B7"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Objective</w:t>
            </w:r>
          </w:p>
        </w:tc>
        <w:tc>
          <w:tcPr>
            <w:tcW w:w="673" w:type="dxa"/>
            <w:tcBorders>
              <w:top w:val="nil"/>
              <w:left w:val="nil"/>
              <w:bottom w:val="nil"/>
              <w:right w:val="nil"/>
            </w:tcBorders>
            <w:shd w:val="clear" w:color="000000" w:fill="FFFFFF"/>
            <w:noWrap/>
            <w:vAlign w:val="center"/>
            <w:hideMark/>
          </w:tcPr>
          <w:p w14:paraId="7864A382"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47E19DC0"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1,10</w:t>
            </w:r>
          </w:p>
        </w:tc>
        <w:tc>
          <w:tcPr>
            <w:tcW w:w="1470" w:type="dxa"/>
            <w:tcBorders>
              <w:top w:val="nil"/>
              <w:left w:val="nil"/>
              <w:bottom w:val="nil"/>
              <w:right w:val="nil"/>
            </w:tcBorders>
            <w:shd w:val="clear" w:color="000000" w:fill="FFFFFF"/>
            <w:noWrap/>
            <w:vAlign w:val="center"/>
            <w:hideMark/>
          </w:tcPr>
          <w:p w14:paraId="356D9B67"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0,517</w:t>
            </w:r>
          </w:p>
        </w:tc>
        <w:tc>
          <w:tcPr>
            <w:tcW w:w="262" w:type="dxa"/>
            <w:tcBorders>
              <w:top w:val="nil"/>
              <w:left w:val="nil"/>
              <w:bottom w:val="nil"/>
              <w:right w:val="nil"/>
            </w:tcBorders>
            <w:shd w:val="clear" w:color="000000" w:fill="FFFFFF"/>
            <w:noWrap/>
            <w:vAlign w:val="center"/>
            <w:hideMark/>
          </w:tcPr>
          <w:p w14:paraId="48EF914A" w14:textId="77777777" w:rsidR="00765305" w:rsidRPr="008442CC" w:rsidRDefault="00765305" w:rsidP="00C810D9">
            <w:pPr>
              <w:jc w:val="center"/>
              <w:rPr>
                <w:rFonts w:eastAsia="Times New Roman" w:cstheme="minorHAnsi"/>
                <w:sz w:val="20"/>
                <w:szCs w:val="20"/>
              </w:rPr>
            </w:pPr>
          </w:p>
        </w:tc>
        <w:tc>
          <w:tcPr>
            <w:tcW w:w="673" w:type="dxa"/>
            <w:tcBorders>
              <w:top w:val="nil"/>
              <w:left w:val="nil"/>
              <w:bottom w:val="nil"/>
              <w:right w:val="nil"/>
            </w:tcBorders>
            <w:shd w:val="clear" w:color="000000" w:fill="FFFFFF"/>
            <w:noWrap/>
            <w:vAlign w:val="center"/>
            <w:hideMark/>
          </w:tcPr>
          <w:p w14:paraId="29A599AD"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51055ADD"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1,11</w:t>
            </w:r>
          </w:p>
        </w:tc>
        <w:tc>
          <w:tcPr>
            <w:tcW w:w="1470" w:type="dxa"/>
            <w:tcBorders>
              <w:top w:val="nil"/>
              <w:left w:val="nil"/>
              <w:bottom w:val="nil"/>
              <w:right w:val="nil"/>
            </w:tcBorders>
            <w:shd w:val="clear" w:color="000000" w:fill="FFFFFF"/>
            <w:noWrap/>
            <w:vAlign w:val="center"/>
            <w:hideMark/>
          </w:tcPr>
          <w:p w14:paraId="557BA208"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0,524</w:t>
            </w:r>
          </w:p>
        </w:tc>
        <w:tc>
          <w:tcPr>
            <w:tcW w:w="262" w:type="dxa"/>
            <w:tcBorders>
              <w:top w:val="nil"/>
              <w:left w:val="nil"/>
              <w:bottom w:val="nil"/>
              <w:right w:val="nil"/>
            </w:tcBorders>
            <w:shd w:val="clear" w:color="000000" w:fill="FFFFFF"/>
            <w:noWrap/>
            <w:vAlign w:val="center"/>
            <w:hideMark/>
          </w:tcPr>
          <w:p w14:paraId="0303ED45" w14:textId="77777777" w:rsidR="00765305" w:rsidRPr="008442CC" w:rsidRDefault="00765305" w:rsidP="00C810D9">
            <w:pPr>
              <w:jc w:val="center"/>
              <w:rPr>
                <w:rFonts w:eastAsia="Times New Roman" w:cstheme="minorHAnsi"/>
                <w:sz w:val="20"/>
                <w:szCs w:val="20"/>
              </w:rPr>
            </w:pPr>
          </w:p>
        </w:tc>
        <w:tc>
          <w:tcPr>
            <w:tcW w:w="1520" w:type="dxa"/>
            <w:tcBorders>
              <w:top w:val="nil"/>
              <w:left w:val="nil"/>
              <w:bottom w:val="nil"/>
              <w:right w:val="nil"/>
            </w:tcBorders>
            <w:shd w:val="clear" w:color="000000" w:fill="FFFFFF"/>
            <w:noWrap/>
            <w:vAlign w:val="center"/>
            <w:hideMark/>
          </w:tcPr>
          <w:p w14:paraId="48B213CF"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0,843</w:t>
            </w:r>
          </w:p>
        </w:tc>
        <w:tc>
          <w:tcPr>
            <w:tcW w:w="1720" w:type="dxa"/>
            <w:tcBorders>
              <w:top w:val="nil"/>
              <w:left w:val="nil"/>
              <w:bottom w:val="nil"/>
              <w:right w:val="nil"/>
            </w:tcBorders>
            <w:shd w:val="clear" w:color="000000" w:fill="FFFFFF"/>
            <w:noWrap/>
            <w:vAlign w:val="center"/>
            <w:hideMark/>
          </w:tcPr>
          <w:p w14:paraId="72AEB853"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0,994</w:t>
            </w:r>
          </w:p>
        </w:tc>
      </w:tr>
      <w:tr w:rsidR="00601CE0" w:rsidRPr="008442CC" w14:paraId="231E3EA4" w14:textId="77777777" w:rsidTr="00C810D9">
        <w:trPr>
          <w:trHeight w:val="300"/>
        </w:trPr>
        <w:tc>
          <w:tcPr>
            <w:tcW w:w="1060" w:type="dxa"/>
            <w:tcBorders>
              <w:top w:val="nil"/>
              <w:left w:val="nil"/>
              <w:bottom w:val="nil"/>
              <w:right w:val="nil"/>
            </w:tcBorders>
            <w:shd w:val="clear" w:color="000000" w:fill="FFFFFF"/>
            <w:noWrap/>
            <w:vAlign w:val="center"/>
            <w:hideMark/>
          </w:tcPr>
          <w:p w14:paraId="0BD6332F"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Q11 a</w:t>
            </w:r>
          </w:p>
        </w:tc>
        <w:tc>
          <w:tcPr>
            <w:tcW w:w="1500" w:type="dxa"/>
            <w:tcBorders>
              <w:top w:val="nil"/>
              <w:left w:val="nil"/>
              <w:bottom w:val="nil"/>
              <w:right w:val="nil"/>
            </w:tcBorders>
            <w:shd w:val="clear" w:color="000000" w:fill="FFFFFF"/>
            <w:noWrap/>
            <w:hideMark/>
          </w:tcPr>
          <w:p w14:paraId="337650DD"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Objective</w:t>
            </w:r>
          </w:p>
        </w:tc>
        <w:tc>
          <w:tcPr>
            <w:tcW w:w="673" w:type="dxa"/>
            <w:tcBorders>
              <w:top w:val="nil"/>
              <w:left w:val="nil"/>
              <w:bottom w:val="nil"/>
              <w:right w:val="nil"/>
            </w:tcBorders>
            <w:shd w:val="clear" w:color="000000" w:fill="FFFFFF"/>
            <w:noWrap/>
            <w:vAlign w:val="center"/>
            <w:hideMark/>
          </w:tcPr>
          <w:p w14:paraId="5D09105D"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3FC5B712"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1,09</w:t>
            </w:r>
          </w:p>
        </w:tc>
        <w:tc>
          <w:tcPr>
            <w:tcW w:w="1470" w:type="dxa"/>
            <w:tcBorders>
              <w:top w:val="nil"/>
              <w:left w:val="nil"/>
              <w:bottom w:val="nil"/>
              <w:right w:val="nil"/>
            </w:tcBorders>
            <w:shd w:val="clear" w:color="000000" w:fill="FFFFFF"/>
            <w:noWrap/>
            <w:vAlign w:val="center"/>
            <w:hideMark/>
          </w:tcPr>
          <w:p w14:paraId="1F0D0DF9"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0,395</w:t>
            </w:r>
          </w:p>
        </w:tc>
        <w:tc>
          <w:tcPr>
            <w:tcW w:w="262" w:type="dxa"/>
            <w:tcBorders>
              <w:top w:val="nil"/>
              <w:left w:val="nil"/>
              <w:bottom w:val="nil"/>
              <w:right w:val="nil"/>
            </w:tcBorders>
            <w:shd w:val="clear" w:color="000000" w:fill="FFFFFF"/>
            <w:noWrap/>
            <w:vAlign w:val="center"/>
            <w:hideMark/>
          </w:tcPr>
          <w:p w14:paraId="52DDDA87" w14:textId="77777777" w:rsidR="00765305" w:rsidRPr="008442CC" w:rsidRDefault="00765305" w:rsidP="00C810D9">
            <w:pPr>
              <w:jc w:val="center"/>
              <w:rPr>
                <w:rFonts w:eastAsia="Times New Roman" w:cstheme="minorHAnsi"/>
                <w:sz w:val="20"/>
                <w:szCs w:val="20"/>
              </w:rPr>
            </w:pPr>
          </w:p>
        </w:tc>
        <w:tc>
          <w:tcPr>
            <w:tcW w:w="673" w:type="dxa"/>
            <w:tcBorders>
              <w:top w:val="nil"/>
              <w:left w:val="nil"/>
              <w:bottom w:val="nil"/>
              <w:right w:val="nil"/>
            </w:tcBorders>
            <w:shd w:val="clear" w:color="000000" w:fill="FFFFFF"/>
            <w:noWrap/>
            <w:vAlign w:val="center"/>
            <w:hideMark/>
          </w:tcPr>
          <w:p w14:paraId="24155B6A"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nil"/>
              <w:right w:val="nil"/>
            </w:tcBorders>
            <w:shd w:val="clear" w:color="000000" w:fill="FFFFFF"/>
            <w:noWrap/>
            <w:vAlign w:val="center"/>
            <w:hideMark/>
          </w:tcPr>
          <w:p w14:paraId="6260BA56"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1,08</w:t>
            </w:r>
          </w:p>
        </w:tc>
        <w:tc>
          <w:tcPr>
            <w:tcW w:w="1470" w:type="dxa"/>
            <w:tcBorders>
              <w:top w:val="nil"/>
              <w:left w:val="nil"/>
              <w:bottom w:val="nil"/>
              <w:right w:val="nil"/>
            </w:tcBorders>
            <w:shd w:val="clear" w:color="000000" w:fill="FFFFFF"/>
            <w:noWrap/>
            <w:vAlign w:val="center"/>
            <w:hideMark/>
          </w:tcPr>
          <w:p w14:paraId="33D9645D"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0,353</w:t>
            </w:r>
          </w:p>
        </w:tc>
        <w:tc>
          <w:tcPr>
            <w:tcW w:w="262" w:type="dxa"/>
            <w:tcBorders>
              <w:top w:val="nil"/>
              <w:left w:val="nil"/>
              <w:bottom w:val="nil"/>
              <w:right w:val="nil"/>
            </w:tcBorders>
            <w:shd w:val="clear" w:color="000000" w:fill="FFFFFF"/>
            <w:noWrap/>
            <w:vAlign w:val="center"/>
            <w:hideMark/>
          </w:tcPr>
          <w:p w14:paraId="35EC0593" w14:textId="77777777" w:rsidR="00765305" w:rsidRPr="008442CC" w:rsidRDefault="00765305" w:rsidP="00C810D9">
            <w:pPr>
              <w:jc w:val="center"/>
              <w:rPr>
                <w:rFonts w:eastAsia="Times New Roman" w:cstheme="minorHAnsi"/>
                <w:sz w:val="20"/>
                <w:szCs w:val="20"/>
              </w:rPr>
            </w:pPr>
          </w:p>
        </w:tc>
        <w:tc>
          <w:tcPr>
            <w:tcW w:w="1520" w:type="dxa"/>
            <w:tcBorders>
              <w:top w:val="nil"/>
              <w:left w:val="nil"/>
              <w:bottom w:val="nil"/>
              <w:right w:val="nil"/>
            </w:tcBorders>
            <w:shd w:val="clear" w:color="000000" w:fill="FFFFFF"/>
            <w:noWrap/>
            <w:vAlign w:val="center"/>
            <w:hideMark/>
          </w:tcPr>
          <w:p w14:paraId="3A9E9E50"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0,672</w:t>
            </w:r>
          </w:p>
        </w:tc>
        <w:tc>
          <w:tcPr>
            <w:tcW w:w="1720" w:type="dxa"/>
            <w:tcBorders>
              <w:top w:val="nil"/>
              <w:left w:val="nil"/>
              <w:bottom w:val="nil"/>
              <w:right w:val="nil"/>
            </w:tcBorders>
            <w:shd w:val="clear" w:color="000000" w:fill="FFFFFF"/>
            <w:noWrap/>
            <w:vAlign w:val="center"/>
            <w:hideMark/>
          </w:tcPr>
          <w:p w14:paraId="722C2898"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0,703</w:t>
            </w:r>
          </w:p>
        </w:tc>
      </w:tr>
      <w:tr w:rsidR="00601CE0" w:rsidRPr="008442CC" w14:paraId="15D10F5E" w14:textId="77777777" w:rsidTr="00C810D9">
        <w:trPr>
          <w:trHeight w:val="320"/>
        </w:trPr>
        <w:tc>
          <w:tcPr>
            <w:tcW w:w="1060" w:type="dxa"/>
            <w:tcBorders>
              <w:top w:val="nil"/>
              <w:left w:val="nil"/>
              <w:bottom w:val="single" w:sz="12" w:space="0" w:color="auto"/>
              <w:right w:val="nil"/>
            </w:tcBorders>
            <w:shd w:val="clear" w:color="000000" w:fill="FFFFFF"/>
            <w:noWrap/>
            <w:vAlign w:val="center"/>
            <w:hideMark/>
          </w:tcPr>
          <w:p w14:paraId="5A55D0F3"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Q11 b</w:t>
            </w:r>
          </w:p>
        </w:tc>
        <w:tc>
          <w:tcPr>
            <w:tcW w:w="1500" w:type="dxa"/>
            <w:tcBorders>
              <w:top w:val="nil"/>
              <w:left w:val="nil"/>
              <w:bottom w:val="single" w:sz="12" w:space="0" w:color="auto"/>
              <w:right w:val="nil"/>
            </w:tcBorders>
            <w:shd w:val="clear" w:color="000000" w:fill="FFFFFF"/>
            <w:noWrap/>
            <w:hideMark/>
          </w:tcPr>
          <w:p w14:paraId="293DDD09"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Objective</w:t>
            </w:r>
          </w:p>
        </w:tc>
        <w:tc>
          <w:tcPr>
            <w:tcW w:w="673" w:type="dxa"/>
            <w:tcBorders>
              <w:top w:val="nil"/>
              <w:left w:val="nil"/>
              <w:bottom w:val="single" w:sz="12" w:space="0" w:color="auto"/>
              <w:right w:val="nil"/>
            </w:tcBorders>
            <w:shd w:val="clear" w:color="000000" w:fill="FFFFFF"/>
            <w:noWrap/>
            <w:vAlign w:val="center"/>
            <w:hideMark/>
          </w:tcPr>
          <w:p w14:paraId="4555652E"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single" w:sz="12" w:space="0" w:color="auto"/>
              <w:right w:val="nil"/>
            </w:tcBorders>
            <w:shd w:val="clear" w:color="000000" w:fill="FFFFFF"/>
            <w:noWrap/>
            <w:vAlign w:val="center"/>
            <w:hideMark/>
          </w:tcPr>
          <w:p w14:paraId="7817776A"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1,11</w:t>
            </w:r>
          </w:p>
        </w:tc>
        <w:tc>
          <w:tcPr>
            <w:tcW w:w="1470" w:type="dxa"/>
            <w:tcBorders>
              <w:top w:val="nil"/>
              <w:left w:val="nil"/>
              <w:bottom w:val="single" w:sz="12" w:space="0" w:color="auto"/>
              <w:right w:val="nil"/>
            </w:tcBorders>
            <w:shd w:val="clear" w:color="000000" w:fill="FFFFFF"/>
            <w:noWrap/>
            <w:vAlign w:val="center"/>
            <w:hideMark/>
          </w:tcPr>
          <w:p w14:paraId="374D1851"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0,524</w:t>
            </w:r>
          </w:p>
        </w:tc>
        <w:tc>
          <w:tcPr>
            <w:tcW w:w="262" w:type="dxa"/>
            <w:tcBorders>
              <w:top w:val="nil"/>
              <w:left w:val="nil"/>
              <w:bottom w:val="single" w:sz="12" w:space="0" w:color="auto"/>
              <w:right w:val="nil"/>
            </w:tcBorders>
            <w:shd w:val="clear" w:color="000000" w:fill="FFFFFF"/>
            <w:noWrap/>
            <w:vAlign w:val="center"/>
            <w:hideMark/>
          </w:tcPr>
          <w:p w14:paraId="23AAAA2D" w14:textId="77777777" w:rsidR="00765305" w:rsidRPr="008442CC" w:rsidRDefault="00765305" w:rsidP="00C810D9">
            <w:pPr>
              <w:jc w:val="center"/>
              <w:rPr>
                <w:rFonts w:eastAsia="Times New Roman" w:cstheme="minorHAnsi"/>
                <w:sz w:val="20"/>
                <w:szCs w:val="20"/>
              </w:rPr>
            </w:pPr>
          </w:p>
        </w:tc>
        <w:tc>
          <w:tcPr>
            <w:tcW w:w="673" w:type="dxa"/>
            <w:tcBorders>
              <w:top w:val="nil"/>
              <w:left w:val="nil"/>
              <w:bottom w:val="single" w:sz="12" w:space="0" w:color="auto"/>
              <w:right w:val="nil"/>
            </w:tcBorders>
            <w:shd w:val="clear" w:color="000000" w:fill="FFFFFF"/>
            <w:noWrap/>
            <w:vAlign w:val="center"/>
            <w:hideMark/>
          </w:tcPr>
          <w:p w14:paraId="654F5683"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116</w:t>
            </w:r>
          </w:p>
        </w:tc>
        <w:tc>
          <w:tcPr>
            <w:tcW w:w="977" w:type="dxa"/>
            <w:tcBorders>
              <w:top w:val="nil"/>
              <w:left w:val="nil"/>
              <w:bottom w:val="single" w:sz="12" w:space="0" w:color="auto"/>
              <w:right w:val="nil"/>
            </w:tcBorders>
            <w:shd w:val="clear" w:color="000000" w:fill="FFFFFF"/>
            <w:noWrap/>
            <w:vAlign w:val="center"/>
            <w:hideMark/>
          </w:tcPr>
          <w:p w14:paraId="2FB6DB73"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1,15</w:t>
            </w:r>
          </w:p>
        </w:tc>
        <w:tc>
          <w:tcPr>
            <w:tcW w:w="1470" w:type="dxa"/>
            <w:tcBorders>
              <w:top w:val="nil"/>
              <w:left w:val="nil"/>
              <w:bottom w:val="single" w:sz="12" w:space="0" w:color="auto"/>
              <w:right w:val="nil"/>
            </w:tcBorders>
            <w:shd w:val="clear" w:color="000000" w:fill="FFFFFF"/>
            <w:noWrap/>
            <w:vAlign w:val="center"/>
            <w:hideMark/>
          </w:tcPr>
          <w:p w14:paraId="150D87EC"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0,548</w:t>
            </w:r>
          </w:p>
        </w:tc>
        <w:tc>
          <w:tcPr>
            <w:tcW w:w="262" w:type="dxa"/>
            <w:tcBorders>
              <w:top w:val="nil"/>
              <w:left w:val="nil"/>
              <w:bottom w:val="single" w:sz="12" w:space="0" w:color="auto"/>
              <w:right w:val="nil"/>
            </w:tcBorders>
            <w:shd w:val="clear" w:color="000000" w:fill="FFFFFF"/>
            <w:noWrap/>
            <w:vAlign w:val="center"/>
            <w:hideMark/>
          </w:tcPr>
          <w:p w14:paraId="4324249A" w14:textId="77777777" w:rsidR="00765305" w:rsidRPr="008442CC" w:rsidRDefault="00765305" w:rsidP="00C810D9">
            <w:pPr>
              <w:jc w:val="center"/>
              <w:rPr>
                <w:rFonts w:eastAsia="Times New Roman" w:cstheme="minorHAnsi"/>
                <w:sz w:val="20"/>
                <w:szCs w:val="20"/>
              </w:rPr>
            </w:pPr>
          </w:p>
        </w:tc>
        <w:tc>
          <w:tcPr>
            <w:tcW w:w="1520" w:type="dxa"/>
            <w:tcBorders>
              <w:top w:val="nil"/>
              <w:left w:val="nil"/>
              <w:bottom w:val="single" w:sz="12" w:space="0" w:color="auto"/>
              <w:right w:val="nil"/>
            </w:tcBorders>
            <w:shd w:val="clear" w:color="000000" w:fill="FFFFFF"/>
            <w:noWrap/>
            <w:vAlign w:val="center"/>
            <w:hideMark/>
          </w:tcPr>
          <w:p w14:paraId="5C9D06CE"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0,319</w:t>
            </w:r>
          </w:p>
        </w:tc>
        <w:tc>
          <w:tcPr>
            <w:tcW w:w="1720" w:type="dxa"/>
            <w:tcBorders>
              <w:top w:val="nil"/>
              <w:left w:val="nil"/>
              <w:bottom w:val="single" w:sz="12" w:space="0" w:color="auto"/>
              <w:right w:val="nil"/>
            </w:tcBorders>
            <w:shd w:val="clear" w:color="000000" w:fill="FFFFFF"/>
            <w:noWrap/>
            <w:vAlign w:val="center"/>
            <w:hideMark/>
          </w:tcPr>
          <w:p w14:paraId="0F1AE508" w14:textId="77777777" w:rsidR="00765305" w:rsidRPr="008442CC" w:rsidRDefault="00765305" w:rsidP="00C810D9">
            <w:pPr>
              <w:jc w:val="center"/>
              <w:rPr>
                <w:rFonts w:eastAsia="Times New Roman" w:cstheme="minorHAnsi"/>
                <w:sz w:val="20"/>
                <w:szCs w:val="20"/>
              </w:rPr>
            </w:pPr>
            <w:r w:rsidRPr="008442CC">
              <w:rPr>
                <w:rFonts w:eastAsia="Times New Roman" w:cstheme="minorHAnsi"/>
                <w:sz w:val="20"/>
                <w:szCs w:val="20"/>
              </w:rPr>
              <w:t>0,210</w:t>
            </w:r>
          </w:p>
        </w:tc>
      </w:tr>
      <w:tr w:rsidR="00601CE0" w:rsidRPr="008442CC" w14:paraId="2AA4BB0F" w14:textId="77777777" w:rsidTr="00C810D9">
        <w:trPr>
          <w:trHeight w:val="320"/>
        </w:trPr>
        <w:tc>
          <w:tcPr>
            <w:tcW w:w="1060" w:type="dxa"/>
            <w:tcBorders>
              <w:top w:val="nil"/>
              <w:left w:val="nil"/>
              <w:bottom w:val="nil"/>
              <w:right w:val="nil"/>
            </w:tcBorders>
            <w:shd w:val="clear" w:color="000000" w:fill="FFFFFF"/>
            <w:noWrap/>
            <w:vAlign w:val="center"/>
            <w:hideMark/>
          </w:tcPr>
          <w:p w14:paraId="10474A1D"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xml:space="preserve">Notes: </w:t>
            </w:r>
          </w:p>
        </w:tc>
        <w:tc>
          <w:tcPr>
            <w:tcW w:w="1500" w:type="dxa"/>
            <w:tcBorders>
              <w:top w:val="nil"/>
              <w:left w:val="nil"/>
              <w:bottom w:val="nil"/>
              <w:right w:val="nil"/>
            </w:tcBorders>
            <w:shd w:val="clear" w:color="000000" w:fill="FFFFFF"/>
            <w:noWrap/>
            <w:vAlign w:val="center"/>
            <w:hideMark/>
          </w:tcPr>
          <w:p w14:paraId="19F30085" w14:textId="77777777" w:rsidR="00765305" w:rsidRPr="008442CC" w:rsidRDefault="00765305" w:rsidP="00C810D9">
            <w:pPr>
              <w:jc w:val="center"/>
              <w:rPr>
                <w:rFonts w:eastAsia="Times New Roman" w:cstheme="minorHAnsi"/>
                <w:sz w:val="20"/>
                <w:szCs w:val="20"/>
              </w:rPr>
            </w:pPr>
          </w:p>
        </w:tc>
        <w:tc>
          <w:tcPr>
            <w:tcW w:w="673" w:type="dxa"/>
            <w:tcBorders>
              <w:top w:val="nil"/>
              <w:left w:val="nil"/>
              <w:bottom w:val="nil"/>
              <w:right w:val="nil"/>
            </w:tcBorders>
            <w:shd w:val="clear" w:color="000000" w:fill="FFFFFF"/>
            <w:noWrap/>
            <w:vAlign w:val="center"/>
            <w:hideMark/>
          </w:tcPr>
          <w:p w14:paraId="1A67BAD2"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977" w:type="dxa"/>
            <w:tcBorders>
              <w:top w:val="nil"/>
              <w:left w:val="nil"/>
              <w:bottom w:val="nil"/>
              <w:right w:val="nil"/>
            </w:tcBorders>
            <w:shd w:val="clear" w:color="000000" w:fill="FFFFFF"/>
            <w:noWrap/>
            <w:vAlign w:val="center"/>
            <w:hideMark/>
          </w:tcPr>
          <w:p w14:paraId="1876CF3A"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1470" w:type="dxa"/>
            <w:tcBorders>
              <w:top w:val="nil"/>
              <w:left w:val="nil"/>
              <w:bottom w:val="nil"/>
              <w:right w:val="nil"/>
            </w:tcBorders>
            <w:shd w:val="clear" w:color="000000" w:fill="FFFFFF"/>
            <w:noWrap/>
            <w:vAlign w:val="center"/>
            <w:hideMark/>
          </w:tcPr>
          <w:p w14:paraId="20F89BBF"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262" w:type="dxa"/>
            <w:tcBorders>
              <w:top w:val="nil"/>
              <w:left w:val="nil"/>
              <w:bottom w:val="nil"/>
              <w:right w:val="nil"/>
            </w:tcBorders>
            <w:shd w:val="clear" w:color="000000" w:fill="FFFFFF"/>
            <w:noWrap/>
            <w:vAlign w:val="center"/>
            <w:hideMark/>
          </w:tcPr>
          <w:p w14:paraId="7C7BA049"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673" w:type="dxa"/>
            <w:tcBorders>
              <w:top w:val="nil"/>
              <w:left w:val="nil"/>
              <w:bottom w:val="nil"/>
              <w:right w:val="nil"/>
            </w:tcBorders>
            <w:shd w:val="clear" w:color="000000" w:fill="FFFFFF"/>
            <w:noWrap/>
            <w:vAlign w:val="center"/>
            <w:hideMark/>
          </w:tcPr>
          <w:p w14:paraId="2DC10FAD"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977" w:type="dxa"/>
            <w:tcBorders>
              <w:top w:val="nil"/>
              <w:left w:val="nil"/>
              <w:bottom w:val="nil"/>
              <w:right w:val="nil"/>
            </w:tcBorders>
            <w:shd w:val="clear" w:color="000000" w:fill="FFFFFF"/>
            <w:noWrap/>
            <w:vAlign w:val="center"/>
            <w:hideMark/>
          </w:tcPr>
          <w:p w14:paraId="62831CC3"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1470" w:type="dxa"/>
            <w:tcBorders>
              <w:top w:val="nil"/>
              <w:left w:val="nil"/>
              <w:bottom w:val="nil"/>
              <w:right w:val="nil"/>
            </w:tcBorders>
            <w:shd w:val="clear" w:color="000000" w:fill="FFFFFF"/>
            <w:noWrap/>
            <w:vAlign w:val="center"/>
            <w:hideMark/>
          </w:tcPr>
          <w:p w14:paraId="5AF35887"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262" w:type="dxa"/>
            <w:tcBorders>
              <w:top w:val="nil"/>
              <w:left w:val="nil"/>
              <w:bottom w:val="nil"/>
              <w:right w:val="nil"/>
            </w:tcBorders>
            <w:shd w:val="clear" w:color="000000" w:fill="FFFFFF"/>
            <w:noWrap/>
            <w:vAlign w:val="center"/>
            <w:hideMark/>
          </w:tcPr>
          <w:p w14:paraId="44981E44"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1520" w:type="dxa"/>
            <w:tcBorders>
              <w:top w:val="nil"/>
              <w:left w:val="nil"/>
              <w:bottom w:val="nil"/>
              <w:right w:val="nil"/>
            </w:tcBorders>
            <w:shd w:val="clear" w:color="000000" w:fill="FFFFFF"/>
            <w:noWrap/>
            <w:vAlign w:val="center"/>
            <w:hideMark/>
          </w:tcPr>
          <w:p w14:paraId="1ACDEDC6"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1720" w:type="dxa"/>
            <w:tcBorders>
              <w:top w:val="nil"/>
              <w:left w:val="nil"/>
              <w:bottom w:val="nil"/>
              <w:right w:val="nil"/>
            </w:tcBorders>
            <w:shd w:val="clear" w:color="000000" w:fill="FFFFFF"/>
            <w:noWrap/>
            <w:vAlign w:val="center"/>
            <w:hideMark/>
          </w:tcPr>
          <w:p w14:paraId="69277AF3"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r>
      <w:tr w:rsidR="00601CE0" w:rsidRPr="008442CC" w14:paraId="7FB31792" w14:textId="77777777" w:rsidTr="00C810D9">
        <w:trPr>
          <w:trHeight w:val="300"/>
        </w:trPr>
        <w:tc>
          <w:tcPr>
            <w:tcW w:w="5680" w:type="dxa"/>
            <w:gridSpan w:val="5"/>
            <w:tcBorders>
              <w:top w:val="nil"/>
              <w:left w:val="nil"/>
              <w:bottom w:val="nil"/>
              <w:right w:val="nil"/>
            </w:tcBorders>
            <w:shd w:val="clear" w:color="000000" w:fill="FFFFFF"/>
            <w:noWrap/>
            <w:vAlign w:val="center"/>
            <w:hideMark/>
          </w:tcPr>
          <w:p w14:paraId="0CA8EED1"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Denotes that the test-statistic is significant at the 10% level.</w:t>
            </w:r>
          </w:p>
        </w:tc>
        <w:tc>
          <w:tcPr>
            <w:tcW w:w="262" w:type="dxa"/>
            <w:tcBorders>
              <w:top w:val="nil"/>
              <w:left w:val="nil"/>
              <w:bottom w:val="nil"/>
              <w:right w:val="nil"/>
            </w:tcBorders>
            <w:shd w:val="clear" w:color="000000" w:fill="FFFFFF"/>
            <w:noWrap/>
            <w:vAlign w:val="center"/>
            <w:hideMark/>
          </w:tcPr>
          <w:p w14:paraId="47DE7C86"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673" w:type="dxa"/>
            <w:tcBorders>
              <w:top w:val="nil"/>
              <w:left w:val="nil"/>
              <w:bottom w:val="nil"/>
              <w:right w:val="nil"/>
            </w:tcBorders>
            <w:shd w:val="clear" w:color="000000" w:fill="FFFFFF"/>
            <w:noWrap/>
            <w:vAlign w:val="center"/>
            <w:hideMark/>
          </w:tcPr>
          <w:p w14:paraId="3D5C0E27"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977" w:type="dxa"/>
            <w:tcBorders>
              <w:top w:val="nil"/>
              <w:left w:val="nil"/>
              <w:bottom w:val="nil"/>
              <w:right w:val="nil"/>
            </w:tcBorders>
            <w:shd w:val="clear" w:color="000000" w:fill="FFFFFF"/>
            <w:noWrap/>
            <w:vAlign w:val="center"/>
            <w:hideMark/>
          </w:tcPr>
          <w:p w14:paraId="0F97B01C"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1470" w:type="dxa"/>
            <w:tcBorders>
              <w:top w:val="nil"/>
              <w:left w:val="nil"/>
              <w:bottom w:val="nil"/>
              <w:right w:val="nil"/>
            </w:tcBorders>
            <w:shd w:val="clear" w:color="000000" w:fill="FFFFFF"/>
            <w:noWrap/>
            <w:vAlign w:val="center"/>
            <w:hideMark/>
          </w:tcPr>
          <w:p w14:paraId="494BCFA7"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262" w:type="dxa"/>
            <w:tcBorders>
              <w:top w:val="nil"/>
              <w:left w:val="nil"/>
              <w:bottom w:val="nil"/>
              <w:right w:val="nil"/>
            </w:tcBorders>
            <w:shd w:val="clear" w:color="000000" w:fill="FFFFFF"/>
            <w:noWrap/>
            <w:vAlign w:val="center"/>
            <w:hideMark/>
          </w:tcPr>
          <w:p w14:paraId="7C6A1D52"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1520" w:type="dxa"/>
            <w:tcBorders>
              <w:top w:val="nil"/>
              <w:left w:val="nil"/>
              <w:bottom w:val="nil"/>
              <w:right w:val="nil"/>
            </w:tcBorders>
            <w:shd w:val="clear" w:color="000000" w:fill="FFFFFF"/>
            <w:noWrap/>
            <w:vAlign w:val="center"/>
            <w:hideMark/>
          </w:tcPr>
          <w:p w14:paraId="0DF3C2F6"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1720" w:type="dxa"/>
            <w:tcBorders>
              <w:top w:val="nil"/>
              <w:left w:val="nil"/>
              <w:bottom w:val="nil"/>
              <w:right w:val="nil"/>
            </w:tcBorders>
            <w:shd w:val="clear" w:color="000000" w:fill="FFFFFF"/>
            <w:noWrap/>
            <w:vAlign w:val="center"/>
            <w:hideMark/>
          </w:tcPr>
          <w:p w14:paraId="5B8B07B2"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r>
      <w:tr w:rsidR="00601CE0" w:rsidRPr="008442CC" w14:paraId="2BD24594" w14:textId="77777777" w:rsidTr="00C810D9">
        <w:trPr>
          <w:trHeight w:val="300"/>
        </w:trPr>
        <w:tc>
          <w:tcPr>
            <w:tcW w:w="3233" w:type="dxa"/>
            <w:gridSpan w:val="3"/>
            <w:tcBorders>
              <w:top w:val="nil"/>
              <w:left w:val="nil"/>
              <w:bottom w:val="nil"/>
              <w:right w:val="nil"/>
            </w:tcBorders>
            <w:shd w:val="clear" w:color="000000" w:fill="FFFFFF"/>
            <w:noWrap/>
            <w:vAlign w:val="center"/>
            <w:hideMark/>
          </w:tcPr>
          <w:p w14:paraId="149C2910"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Significant at the 5% level.</w:t>
            </w:r>
          </w:p>
        </w:tc>
        <w:tc>
          <w:tcPr>
            <w:tcW w:w="977" w:type="dxa"/>
            <w:tcBorders>
              <w:top w:val="nil"/>
              <w:left w:val="nil"/>
              <w:bottom w:val="nil"/>
              <w:right w:val="nil"/>
            </w:tcBorders>
            <w:shd w:val="clear" w:color="000000" w:fill="FFFFFF"/>
            <w:noWrap/>
            <w:vAlign w:val="center"/>
            <w:hideMark/>
          </w:tcPr>
          <w:p w14:paraId="45E00961"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1470" w:type="dxa"/>
            <w:tcBorders>
              <w:top w:val="nil"/>
              <w:left w:val="nil"/>
              <w:bottom w:val="nil"/>
              <w:right w:val="nil"/>
            </w:tcBorders>
            <w:shd w:val="clear" w:color="000000" w:fill="FFFFFF"/>
            <w:noWrap/>
            <w:vAlign w:val="center"/>
            <w:hideMark/>
          </w:tcPr>
          <w:p w14:paraId="3ED49B6A"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262" w:type="dxa"/>
            <w:tcBorders>
              <w:top w:val="nil"/>
              <w:left w:val="nil"/>
              <w:bottom w:val="nil"/>
              <w:right w:val="nil"/>
            </w:tcBorders>
            <w:shd w:val="clear" w:color="000000" w:fill="FFFFFF"/>
            <w:noWrap/>
            <w:vAlign w:val="center"/>
            <w:hideMark/>
          </w:tcPr>
          <w:p w14:paraId="7D5B0ECA"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673" w:type="dxa"/>
            <w:tcBorders>
              <w:top w:val="nil"/>
              <w:left w:val="nil"/>
              <w:bottom w:val="nil"/>
              <w:right w:val="nil"/>
            </w:tcBorders>
            <w:shd w:val="clear" w:color="000000" w:fill="FFFFFF"/>
            <w:noWrap/>
            <w:vAlign w:val="center"/>
            <w:hideMark/>
          </w:tcPr>
          <w:p w14:paraId="2953610E"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977" w:type="dxa"/>
            <w:tcBorders>
              <w:top w:val="nil"/>
              <w:left w:val="nil"/>
              <w:bottom w:val="nil"/>
              <w:right w:val="nil"/>
            </w:tcBorders>
            <w:shd w:val="clear" w:color="000000" w:fill="FFFFFF"/>
            <w:noWrap/>
            <w:vAlign w:val="center"/>
            <w:hideMark/>
          </w:tcPr>
          <w:p w14:paraId="7EBF31B8"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1470" w:type="dxa"/>
            <w:tcBorders>
              <w:top w:val="nil"/>
              <w:left w:val="nil"/>
              <w:bottom w:val="nil"/>
              <w:right w:val="nil"/>
            </w:tcBorders>
            <w:shd w:val="clear" w:color="000000" w:fill="FFFFFF"/>
            <w:noWrap/>
            <w:vAlign w:val="center"/>
            <w:hideMark/>
          </w:tcPr>
          <w:p w14:paraId="07E365AB"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262" w:type="dxa"/>
            <w:tcBorders>
              <w:top w:val="nil"/>
              <w:left w:val="nil"/>
              <w:bottom w:val="nil"/>
              <w:right w:val="nil"/>
            </w:tcBorders>
            <w:shd w:val="clear" w:color="000000" w:fill="FFFFFF"/>
            <w:noWrap/>
            <w:vAlign w:val="center"/>
            <w:hideMark/>
          </w:tcPr>
          <w:p w14:paraId="39C0147B"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1520" w:type="dxa"/>
            <w:tcBorders>
              <w:top w:val="nil"/>
              <w:left w:val="nil"/>
              <w:bottom w:val="nil"/>
              <w:right w:val="nil"/>
            </w:tcBorders>
            <w:shd w:val="clear" w:color="000000" w:fill="FFFFFF"/>
            <w:noWrap/>
            <w:vAlign w:val="center"/>
            <w:hideMark/>
          </w:tcPr>
          <w:p w14:paraId="18DE97D7"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1720" w:type="dxa"/>
            <w:tcBorders>
              <w:top w:val="nil"/>
              <w:left w:val="nil"/>
              <w:bottom w:val="nil"/>
              <w:right w:val="nil"/>
            </w:tcBorders>
            <w:shd w:val="clear" w:color="000000" w:fill="FFFFFF"/>
            <w:noWrap/>
            <w:vAlign w:val="center"/>
            <w:hideMark/>
          </w:tcPr>
          <w:p w14:paraId="2E73CED3"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r>
      <w:tr w:rsidR="00601CE0" w:rsidRPr="008442CC" w14:paraId="686918CE" w14:textId="77777777" w:rsidTr="00C810D9">
        <w:trPr>
          <w:trHeight w:val="300"/>
        </w:trPr>
        <w:tc>
          <w:tcPr>
            <w:tcW w:w="3233" w:type="dxa"/>
            <w:gridSpan w:val="3"/>
            <w:tcBorders>
              <w:top w:val="nil"/>
              <w:left w:val="nil"/>
              <w:bottom w:val="nil"/>
              <w:right w:val="nil"/>
            </w:tcBorders>
            <w:shd w:val="clear" w:color="000000" w:fill="FFFFFF"/>
            <w:noWrap/>
            <w:vAlign w:val="center"/>
            <w:hideMark/>
          </w:tcPr>
          <w:p w14:paraId="3CC3F8D6"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Significant at the 1% level.</w:t>
            </w:r>
          </w:p>
        </w:tc>
        <w:tc>
          <w:tcPr>
            <w:tcW w:w="977" w:type="dxa"/>
            <w:tcBorders>
              <w:top w:val="nil"/>
              <w:left w:val="nil"/>
              <w:bottom w:val="nil"/>
              <w:right w:val="nil"/>
            </w:tcBorders>
            <w:shd w:val="clear" w:color="000000" w:fill="FFFFFF"/>
            <w:noWrap/>
            <w:vAlign w:val="center"/>
            <w:hideMark/>
          </w:tcPr>
          <w:p w14:paraId="452DFAD1"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1470" w:type="dxa"/>
            <w:tcBorders>
              <w:top w:val="nil"/>
              <w:left w:val="nil"/>
              <w:bottom w:val="nil"/>
              <w:right w:val="nil"/>
            </w:tcBorders>
            <w:shd w:val="clear" w:color="000000" w:fill="FFFFFF"/>
            <w:noWrap/>
            <w:vAlign w:val="center"/>
            <w:hideMark/>
          </w:tcPr>
          <w:p w14:paraId="0FFBEBEF"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262" w:type="dxa"/>
            <w:tcBorders>
              <w:top w:val="nil"/>
              <w:left w:val="nil"/>
              <w:bottom w:val="nil"/>
              <w:right w:val="nil"/>
            </w:tcBorders>
            <w:shd w:val="clear" w:color="000000" w:fill="FFFFFF"/>
            <w:noWrap/>
            <w:vAlign w:val="center"/>
            <w:hideMark/>
          </w:tcPr>
          <w:p w14:paraId="4E96F8A7"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673" w:type="dxa"/>
            <w:tcBorders>
              <w:top w:val="nil"/>
              <w:left w:val="nil"/>
              <w:bottom w:val="nil"/>
              <w:right w:val="nil"/>
            </w:tcBorders>
            <w:shd w:val="clear" w:color="000000" w:fill="FFFFFF"/>
            <w:noWrap/>
            <w:vAlign w:val="center"/>
            <w:hideMark/>
          </w:tcPr>
          <w:p w14:paraId="10CE0DCA"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977" w:type="dxa"/>
            <w:tcBorders>
              <w:top w:val="nil"/>
              <w:left w:val="nil"/>
              <w:bottom w:val="nil"/>
              <w:right w:val="nil"/>
            </w:tcBorders>
            <w:shd w:val="clear" w:color="000000" w:fill="FFFFFF"/>
            <w:noWrap/>
            <w:vAlign w:val="center"/>
            <w:hideMark/>
          </w:tcPr>
          <w:p w14:paraId="4BF3C02B"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1470" w:type="dxa"/>
            <w:tcBorders>
              <w:top w:val="nil"/>
              <w:left w:val="nil"/>
              <w:bottom w:val="nil"/>
              <w:right w:val="nil"/>
            </w:tcBorders>
            <w:shd w:val="clear" w:color="000000" w:fill="FFFFFF"/>
            <w:noWrap/>
            <w:vAlign w:val="center"/>
            <w:hideMark/>
          </w:tcPr>
          <w:p w14:paraId="61201DE4"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262" w:type="dxa"/>
            <w:tcBorders>
              <w:top w:val="nil"/>
              <w:left w:val="nil"/>
              <w:bottom w:val="nil"/>
              <w:right w:val="nil"/>
            </w:tcBorders>
            <w:shd w:val="clear" w:color="000000" w:fill="FFFFFF"/>
            <w:noWrap/>
            <w:vAlign w:val="center"/>
            <w:hideMark/>
          </w:tcPr>
          <w:p w14:paraId="28279FBA"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1520" w:type="dxa"/>
            <w:tcBorders>
              <w:top w:val="nil"/>
              <w:left w:val="nil"/>
              <w:bottom w:val="nil"/>
              <w:right w:val="nil"/>
            </w:tcBorders>
            <w:shd w:val="clear" w:color="000000" w:fill="FFFFFF"/>
            <w:noWrap/>
            <w:vAlign w:val="center"/>
            <w:hideMark/>
          </w:tcPr>
          <w:p w14:paraId="13276BA1"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c>
          <w:tcPr>
            <w:tcW w:w="1720" w:type="dxa"/>
            <w:tcBorders>
              <w:top w:val="nil"/>
              <w:left w:val="nil"/>
              <w:bottom w:val="nil"/>
              <w:right w:val="nil"/>
            </w:tcBorders>
            <w:shd w:val="clear" w:color="000000" w:fill="FFFFFF"/>
            <w:noWrap/>
            <w:vAlign w:val="center"/>
            <w:hideMark/>
          </w:tcPr>
          <w:p w14:paraId="6A58B6C8" w14:textId="77777777" w:rsidR="00765305" w:rsidRPr="008442CC" w:rsidRDefault="00765305" w:rsidP="00C810D9">
            <w:pPr>
              <w:rPr>
                <w:rFonts w:eastAsia="Times New Roman" w:cstheme="minorHAnsi"/>
                <w:sz w:val="20"/>
                <w:szCs w:val="20"/>
              </w:rPr>
            </w:pPr>
            <w:r w:rsidRPr="008442CC">
              <w:rPr>
                <w:rFonts w:eastAsia="Times New Roman" w:cstheme="minorHAnsi"/>
                <w:sz w:val="20"/>
                <w:szCs w:val="20"/>
              </w:rPr>
              <w:t> </w:t>
            </w:r>
          </w:p>
        </w:tc>
      </w:tr>
    </w:tbl>
    <w:p w14:paraId="0A79F525" w14:textId="6B5F2806" w:rsidR="00FF1581" w:rsidRPr="008442CC" w:rsidRDefault="00FF1581" w:rsidP="00E21643">
      <w:pPr>
        <w:spacing w:after="240"/>
        <w:jc w:val="both"/>
        <w:rPr>
          <w:rFonts w:ascii="Calibri" w:hAnsi="Calibri" w:cs="Calibri"/>
          <w:b/>
          <w:bCs/>
        </w:rPr>
      </w:pPr>
      <w:r w:rsidRPr="008442CC">
        <w:rPr>
          <w:rFonts w:ascii="Calibri" w:hAnsi="Calibri" w:cs="Calibri"/>
          <w:b/>
          <w:bCs/>
        </w:rPr>
        <w:lastRenderedPageBreak/>
        <w:t xml:space="preserve">Table A6. </w:t>
      </w:r>
      <w:proofErr w:type="spellStart"/>
      <w:r w:rsidRPr="008442CC">
        <w:rPr>
          <w:rFonts w:ascii="Calibri" w:hAnsi="Calibri" w:cs="Calibri"/>
          <w:b/>
          <w:bCs/>
        </w:rPr>
        <w:t>Cronbah’s</w:t>
      </w:r>
      <w:proofErr w:type="spellEnd"/>
      <w:r w:rsidRPr="008442CC">
        <w:rPr>
          <w:rFonts w:ascii="Calibri" w:hAnsi="Calibri" w:cs="Calibri"/>
          <w:b/>
          <w:bCs/>
        </w:rPr>
        <w:t xml:space="preserve"> alpha coefficients.</w:t>
      </w:r>
    </w:p>
    <w:p w14:paraId="2F188DD5" w14:textId="1AECD37C" w:rsidR="00FF1581" w:rsidRPr="008442CC" w:rsidRDefault="00FF1581" w:rsidP="00E21643">
      <w:pPr>
        <w:spacing w:after="240"/>
        <w:jc w:val="both"/>
        <w:rPr>
          <w:rFonts w:ascii="Calibri" w:hAnsi="Calibri" w:cs="Calibri"/>
        </w:rPr>
      </w:pPr>
      <w:r w:rsidRPr="008442CC">
        <w:rPr>
          <w:rFonts w:ascii="Calibri" w:hAnsi="Calibri" w:cs="Calibri"/>
        </w:rPr>
        <w:t>(</w:t>
      </w:r>
      <w:r w:rsidRPr="008442CC">
        <w:rPr>
          <w:rFonts w:ascii="Calibri" w:eastAsia="Times New Roman" w:hAnsi="Calibri" w:cs="Calibri"/>
          <w:sz w:val="22"/>
          <w:szCs w:val="22"/>
          <w:lang w:val="en-US"/>
        </w:rPr>
        <w:t>Test scale = mean(standardized items))</w:t>
      </w:r>
    </w:p>
    <w:tbl>
      <w:tblPr>
        <w:tblW w:w="10546" w:type="dxa"/>
        <w:tblLook w:val="04A0" w:firstRow="1" w:lastRow="0" w:firstColumn="1" w:lastColumn="0" w:noHBand="0" w:noVBand="1"/>
      </w:tblPr>
      <w:tblGrid>
        <w:gridCol w:w="1351"/>
        <w:gridCol w:w="1100"/>
        <w:gridCol w:w="1235"/>
        <w:gridCol w:w="1100"/>
        <w:gridCol w:w="1100"/>
        <w:gridCol w:w="1360"/>
        <w:gridCol w:w="1100"/>
        <w:gridCol w:w="1100"/>
        <w:gridCol w:w="1100"/>
      </w:tblGrid>
      <w:tr w:rsidR="00601CE0" w:rsidRPr="008442CC" w14:paraId="10ABAA4C" w14:textId="77777777" w:rsidTr="008F5CC2">
        <w:trPr>
          <w:trHeight w:val="320"/>
        </w:trPr>
        <w:tc>
          <w:tcPr>
            <w:tcW w:w="1351" w:type="dxa"/>
            <w:tcBorders>
              <w:top w:val="nil"/>
              <w:left w:val="nil"/>
              <w:bottom w:val="nil"/>
              <w:right w:val="nil"/>
            </w:tcBorders>
            <w:shd w:val="clear" w:color="auto" w:fill="auto"/>
            <w:noWrap/>
            <w:vAlign w:val="center"/>
            <w:hideMark/>
          </w:tcPr>
          <w:p w14:paraId="4A747B66" w14:textId="75E07235" w:rsidR="00FF1581" w:rsidRPr="008442CC" w:rsidRDefault="00FF1581" w:rsidP="008F5CC2">
            <w:pPr>
              <w:jc w:val="center"/>
              <w:rPr>
                <w:rFonts w:ascii="Arial" w:eastAsia="Times New Roman" w:hAnsi="Arial" w:cs="Arial"/>
                <w:b/>
                <w:bCs/>
              </w:rPr>
            </w:pPr>
            <w:r w:rsidRPr="008442CC">
              <w:rPr>
                <w:rFonts w:ascii="Calibri" w:eastAsia="Times New Roman" w:hAnsi="Calibri" w:cs="Calibri"/>
                <w:b/>
                <w:bCs/>
                <w:sz w:val="22"/>
                <w:szCs w:val="22"/>
                <w:lang w:val="en-US"/>
              </w:rPr>
              <w:t>Period 2014-15</w:t>
            </w:r>
          </w:p>
        </w:tc>
        <w:tc>
          <w:tcPr>
            <w:tcW w:w="1100" w:type="dxa"/>
            <w:tcBorders>
              <w:top w:val="nil"/>
              <w:left w:val="nil"/>
              <w:bottom w:val="nil"/>
              <w:right w:val="nil"/>
            </w:tcBorders>
            <w:shd w:val="clear" w:color="000000" w:fill="FFFFFF"/>
            <w:noWrap/>
            <w:vAlign w:val="center"/>
            <w:hideMark/>
          </w:tcPr>
          <w:p w14:paraId="71AEDD35" w14:textId="346A8FFF" w:rsidR="00FF1581" w:rsidRPr="008442CC" w:rsidRDefault="00FF1581" w:rsidP="008F5CC2">
            <w:pPr>
              <w:jc w:val="center"/>
              <w:rPr>
                <w:rFonts w:ascii="Calibri" w:eastAsia="Times New Roman" w:hAnsi="Calibri" w:cs="Calibri"/>
                <w:sz w:val="22"/>
                <w:szCs w:val="22"/>
                <w:lang w:val="en-US"/>
              </w:rPr>
            </w:pPr>
          </w:p>
        </w:tc>
        <w:tc>
          <w:tcPr>
            <w:tcW w:w="1235" w:type="dxa"/>
            <w:tcBorders>
              <w:top w:val="nil"/>
              <w:left w:val="nil"/>
              <w:bottom w:val="nil"/>
              <w:right w:val="nil"/>
            </w:tcBorders>
            <w:shd w:val="clear" w:color="000000" w:fill="FFFFFF"/>
            <w:noWrap/>
            <w:vAlign w:val="center"/>
            <w:hideMark/>
          </w:tcPr>
          <w:p w14:paraId="5C691C55" w14:textId="77230A84" w:rsidR="00FF1581" w:rsidRPr="008442CC" w:rsidRDefault="00FF1581" w:rsidP="008F5CC2">
            <w:pPr>
              <w:jc w:val="center"/>
              <w:rPr>
                <w:rFonts w:ascii="Calibri" w:eastAsia="Times New Roman" w:hAnsi="Calibri" w:cs="Calibri"/>
                <w:sz w:val="22"/>
                <w:szCs w:val="22"/>
                <w:lang w:val="en-US"/>
              </w:rPr>
            </w:pPr>
          </w:p>
        </w:tc>
        <w:tc>
          <w:tcPr>
            <w:tcW w:w="1100" w:type="dxa"/>
            <w:tcBorders>
              <w:top w:val="nil"/>
              <w:left w:val="nil"/>
              <w:bottom w:val="nil"/>
              <w:right w:val="nil"/>
            </w:tcBorders>
            <w:shd w:val="clear" w:color="000000" w:fill="FFFFFF"/>
            <w:noWrap/>
            <w:vAlign w:val="center"/>
            <w:hideMark/>
          </w:tcPr>
          <w:p w14:paraId="049C3916" w14:textId="059F4FFD" w:rsidR="00FF1581" w:rsidRPr="008442CC" w:rsidRDefault="00FF1581" w:rsidP="008F5CC2">
            <w:pPr>
              <w:jc w:val="center"/>
              <w:rPr>
                <w:rFonts w:ascii="Calibri" w:eastAsia="Times New Roman" w:hAnsi="Calibri" w:cs="Calibri"/>
                <w:sz w:val="22"/>
                <w:szCs w:val="22"/>
                <w:lang w:val="en-US"/>
              </w:rPr>
            </w:pPr>
          </w:p>
        </w:tc>
        <w:tc>
          <w:tcPr>
            <w:tcW w:w="1100" w:type="dxa"/>
            <w:tcBorders>
              <w:top w:val="nil"/>
              <w:left w:val="nil"/>
              <w:bottom w:val="nil"/>
              <w:right w:val="nil"/>
            </w:tcBorders>
            <w:shd w:val="clear" w:color="000000" w:fill="FFFFFF"/>
            <w:noWrap/>
            <w:vAlign w:val="center"/>
            <w:hideMark/>
          </w:tcPr>
          <w:p w14:paraId="7846C64C" w14:textId="4BCC5628" w:rsidR="00FF1581" w:rsidRPr="008442CC" w:rsidRDefault="00FF1581" w:rsidP="008F5CC2">
            <w:pPr>
              <w:jc w:val="center"/>
              <w:rPr>
                <w:rFonts w:ascii="Calibri" w:eastAsia="Times New Roman" w:hAnsi="Calibri" w:cs="Calibri"/>
                <w:sz w:val="22"/>
                <w:szCs w:val="22"/>
                <w:lang w:val="en-US"/>
              </w:rPr>
            </w:pPr>
          </w:p>
        </w:tc>
        <w:tc>
          <w:tcPr>
            <w:tcW w:w="1360" w:type="dxa"/>
            <w:tcBorders>
              <w:top w:val="nil"/>
              <w:left w:val="nil"/>
              <w:bottom w:val="nil"/>
              <w:right w:val="nil"/>
            </w:tcBorders>
            <w:shd w:val="clear" w:color="000000" w:fill="FFFFFF"/>
            <w:noWrap/>
            <w:vAlign w:val="center"/>
            <w:hideMark/>
          </w:tcPr>
          <w:p w14:paraId="4E32527C" w14:textId="66649E60" w:rsidR="00FF1581" w:rsidRPr="008442CC" w:rsidRDefault="00FF1581" w:rsidP="008F5CC2">
            <w:pPr>
              <w:jc w:val="center"/>
              <w:rPr>
                <w:rFonts w:ascii="Calibri" w:eastAsia="Times New Roman" w:hAnsi="Calibri" w:cs="Calibri"/>
                <w:b/>
                <w:bCs/>
                <w:sz w:val="22"/>
                <w:szCs w:val="22"/>
                <w:lang w:val="en-US"/>
              </w:rPr>
            </w:pPr>
            <w:r w:rsidRPr="008442CC">
              <w:rPr>
                <w:rFonts w:ascii="Calibri" w:eastAsia="Times New Roman" w:hAnsi="Calibri" w:cs="Calibri"/>
                <w:b/>
                <w:bCs/>
                <w:sz w:val="22"/>
                <w:szCs w:val="22"/>
                <w:lang w:val="en-US"/>
              </w:rPr>
              <w:t>Period 2016-17</w:t>
            </w:r>
          </w:p>
        </w:tc>
        <w:tc>
          <w:tcPr>
            <w:tcW w:w="1100" w:type="dxa"/>
            <w:tcBorders>
              <w:top w:val="nil"/>
              <w:left w:val="nil"/>
              <w:bottom w:val="nil"/>
              <w:right w:val="nil"/>
            </w:tcBorders>
            <w:shd w:val="clear" w:color="000000" w:fill="FFFFFF"/>
            <w:noWrap/>
            <w:vAlign w:val="center"/>
            <w:hideMark/>
          </w:tcPr>
          <w:p w14:paraId="7B934911" w14:textId="44A39B2F" w:rsidR="00FF1581" w:rsidRPr="008442CC" w:rsidRDefault="00FF1581" w:rsidP="008F5CC2">
            <w:pPr>
              <w:jc w:val="center"/>
              <w:rPr>
                <w:rFonts w:ascii="Calibri" w:eastAsia="Times New Roman" w:hAnsi="Calibri" w:cs="Calibri"/>
                <w:sz w:val="22"/>
                <w:szCs w:val="22"/>
                <w:lang w:val="en-US"/>
              </w:rPr>
            </w:pPr>
          </w:p>
        </w:tc>
        <w:tc>
          <w:tcPr>
            <w:tcW w:w="1100" w:type="dxa"/>
            <w:tcBorders>
              <w:top w:val="nil"/>
              <w:left w:val="nil"/>
              <w:bottom w:val="nil"/>
              <w:right w:val="nil"/>
            </w:tcBorders>
            <w:shd w:val="clear" w:color="000000" w:fill="FFFFFF"/>
            <w:noWrap/>
            <w:vAlign w:val="center"/>
            <w:hideMark/>
          </w:tcPr>
          <w:p w14:paraId="5C671233" w14:textId="5385454C" w:rsidR="00FF1581" w:rsidRPr="008442CC" w:rsidRDefault="00FF1581" w:rsidP="008F5CC2">
            <w:pPr>
              <w:jc w:val="center"/>
              <w:rPr>
                <w:rFonts w:ascii="Calibri" w:eastAsia="Times New Roman" w:hAnsi="Calibri" w:cs="Calibri"/>
                <w:sz w:val="22"/>
                <w:szCs w:val="22"/>
                <w:lang w:val="en-US"/>
              </w:rPr>
            </w:pPr>
          </w:p>
        </w:tc>
        <w:tc>
          <w:tcPr>
            <w:tcW w:w="1100" w:type="dxa"/>
            <w:tcBorders>
              <w:top w:val="nil"/>
              <w:left w:val="nil"/>
              <w:bottom w:val="nil"/>
              <w:right w:val="nil"/>
            </w:tcBorders>
            <w:shd w:val="clear" w:color="000000" w:fill="FFFFFF"/>
            <w:noWrap/>
            <w:vAlign w:val="center"/>
            <w:hideMark/>
          </w:tcPr>
          <w:p w14:paraId="4C9F2718" w14:textId="4BFA0458" w:rsidR="00FF1581" w:rsidRPr="008442CC" w:rsidRDefault="00FF1581" w:rsidP="008F5CC2">
            <w:pPr>
              <w:jc w:val="center"/>
              <w:rPr>
                <w:rFonts w:ascii="Calibri" w:eastAsia="Times New Roman" w:hAnsi="Calibri" w:cs="Calibri"/>
                <w:sz w:val="22"/>
                <w:szCs w:val="22"/>
                <w:lang w:val="en-US"/>
              </w:rPr>
            </w:pPr>
          </w:p>
        </w:tc>
      </w:tr>
      <w:tr w:rsidR="00601CE0" w:rsidRPr="008442CC" w14:paraId="630CC735" w14:textId="77777777" w:rsidTr="008F5CC2">
        <w:trPr>
          <w:trHeight w:val="320"/>
        </w:trPr>
        <w:tc>
          <w:tcPr>
            <w:tcW w:w="1351" w:type="dxa"/>
            <w:tcBorders>
              <w:top w:val="nil"/>
              <w:left w:val="nil"/>
              <w:bottom w:val="double" w:sz="6" w:space="0" w:color="auto"/>
              <w:right w:val="nil"/>
            </w:tcBorders>
            <w:shd w:val="clear" w:color="000000" w:fill="FFFFFF"/>
            <w:noWrap/>
            <w:vAlign w:val="center"/>
            <w:hideMark/>
          </w:tcPr>
          <w:p w14:paraId="397FCA6A" w14:textId="77777777" w:rsidR="00FF1581" w:rsidRPr="008442CC" w:rsidRDefault="00FF1581" w:rsidP="008F5CC2">
            <w:pPr>
              <w:jc w:val="center"/>
              <w:rPr>
                <w:rFonts w:ascii="Calibri" w:eastAsia="Times New Roman" w:hAnsi="Calibri" w:cs="Calibri"/>
                <w:sz w:val="22"/>
                <w:szCs w:val="22"/>
                <w:lang w:val="es-ES"/>
              </w:rPr>
            </w:pPr>
            <w:proofErr w:type="spellStart"/>
            <w:r w:rsidRPr="008442CC">
              <w:rPr>
                <w:rFonts w:ascii="Calibri" w:eastAsia="Times New Roman" w:hAnsi="Calibri" w:cs="Calibri"/>
                <w:sz w:val="22"/>
                <w:szCs w:val="22"/>
                <w:lang w:val="es-ES"/>
              </w:rPr>
              <w:t>Item</w:t>
            </w:r>
            <w:proofErr w:type="spellEnd"/>
          </w:p>
        </w:tc>
        <w:tc>
          <w:tcPr>
            <w:tcW w:w="1100" w:type="dxa"/>
            <w:tcBorders>
              <w:top w:val="nil"/>
              <w:left w:val="nil"/>
              <w:bottom w:val="double" w:sz="6" w:space="0" w:color="auto"/>
              <w:right w:val="nil"/>
            </w:tcBorders>
            <w:shd w:val="clear" w:color="000000" w:fill="FFFFFF"/>
            <w:noWrap/>
            <w:vAlign w:val="center"/>
            <w:hideMark/>
          </w:tcPr>
          <w:p w14:paraId="76852251" w14:textId="77777777" w:rsidR="00FF1581" w:rsidRPr="008442CC" w:rsidRDefault="00FF1581" w:rsidP="008F5CC2">
            <w:pPr>
              <w:jc w:val="center"/>
              <w:rPr>
                <w:rFonts w:ascii="Calibri" w:eastAsia="Times New Roman" w:hAnsi="Calibri" w:cs="Calibri"/>
                <w:sz w:val="22"/>
                <w:szCs w:val="22"/>
                <w:lang w:val="es-ES"/>
              </w:rPr>
            </w:pPr>
            <w:proofErr w:type="spellStart"/>
            <w:r w:rsidRPr="008442CC">
              <w:rPr>
                <w:rFonts w:ascii="Calibri" w:eastAsia="Times New Roman" w:hAnsi="Calibri" w:cs="Calibri"/>
                <w:sz w:val="22"/>
                <w:szCs w:val="22"/>
                <w:lang w:val="es-ES"/>
              </w:rPr>
              <w:t>Obs</w:t>
            </w:r>
            <w:proofErr w:type="spellEnd"/>
          </w:p>
        </w:tc>
        <w:tc>
          <w:tcPr>
            <w:tcW w:w="1235" w:type="dxa"/>
            <w:tcBorders>
              <w:top w:val="nil"/>
              <w:left w:val="nil"/>
              <w:bottom w:val="double" w:sz="6" w:space="0" w:color="auto"/>
              <w:right w:val="nil"/>
            </w:tcBorders>
            <w:shd w:val="clear" w:color="000000" w:fill="FFFFFF"/>
            <w:noWrap/>
            <w:vAlign w:val="center"/>
            <w:hideMark/>
          </w:tcPr>
          <w:p w14:paraId="6C826726" w14:textId="77777777" w:rsidR="00FF1581" w:rsidRPr="008442CC" w:rsidRDefault="00FF1581" w:rsidP="008F5CC2">
            <w:pPr>
              <w:jc w:val="center"/>
              <w:rPr>
                <w:rFonts w:ascii="Calibri" w:eastAsia="Times New Roman" w:hAnsi="Calibri" w:cs="Calibri"/>
                <w:sz w:val="22"/>
                <w:szCs w:val="22"/>
                <w:lang w:val="es-ES"/>
              </w:rPr>
            </w:pPr>
            <w:proofErr w:type="spellStart"/>
            <w:r w:rsidRPr="008442CC">
              <w:rPr>
                <w:rFonts w:ascii="Calibri" w:eastAsia="Times New Roman" w:hAnsi="Calibri" w:cs="Calibri"/>
                <w:sz w:val="22"/>
                <w:szCs w:val="22"/>
                <w:lang w:val="es-ES"/>
              </w:rPr>
              <w:t>Sign</w:t>
            </w:r>
            <w:proofErr w:type="spellEnd"/>
          </w:p>
        </w:tc>
        <w:tc>
          <w:tcPr>
            <w:tcW w:w="1100" w:type="dxa"/>
            <w:tcBorders>
              <w:top w:val="nil"/>
              <w:left w:val="nil"/>
              <w:bottom w:val="double" w:sz="6" w:space="0" w:color="auto"/>
              <w:right w:val="nil"/>
            </w:tcBorders>
            <w:shd w:val="clear" w:color="000000" w:fill="FFFFFF"/>
            <w:noWrap/>
            <w:vAlign w:val="center"/>
            <w:hideMark/>
          </w:tcPr>
          <w:p w14:paraId="011EFD8A" w14:textId="77777777" w:rsidR="00FF1581" w:rsidRPr="008442CC" w:rsidRDefault="00FF1581" w:rsidP="00FF1581">
            <w:pPr>
              <w:jc w:val="center"/>
              <w:rPr>
                <w:rFonts w:ascii="Calibri" w:eastAsia="Times New Roman" w:hAnsi="Calibri" w:cs="Calibri"/>
                <w:sz w:val="22"/>
                <w:szCs w:val="22"/>
                <w:lang w:val="es-ES"/>
              </w:rPr>
            </w:pPr>
            <w:proofErr w:type="spellStart"/>
            <w:r w:rsidRPr="008442CC">
              <w:rPr>
                <w:rFonts w:ascii="Calibri" w:eastAsia="Times New Roman" w:hAnsi="Calibri" w:cs="Calibri"/>
                <w:sz w:val="22"/>
                <w:szCs w:val="22"/>
                <w:lang w:val="es-ES"/>
              </w:rPr>
              <w:t>alpha</w:t>
            </w:r>
            <w:proofErr w:type="spellEnd"/>
          </w:p>
        </w:tc>
        <w:tc>
          <w:tcPr>
            <w:tcW w:w="1100" w:type="dxa"/>
            <w:tcBorders>
              <w:top w:val="nil"/>
              <w:left w:val="nil"/>
              <w:bottom w:val="nil"/>
              <w:right w:val="nil"/>
            </w:tcBorders>
            <w:shd w:val="clear" w:color="000000" w:fill="FFFFFF"/>
            <w:noWrap/>
            <w:vAlign w:val="center"/>
            <w:hideMark/>
          </w:tcPr>
          <w:p w14:paraId="1CF13EB3" w14:textId="6E246266" w:rsidR="00FF1581" w:rsidRPr="008442CC" w:rsidRDefault="00FF1581" w:rsidP="008F5CC2">
            <w:pPr>
              <w:jc w:val="center"/>
              <w:rPr>
                <w:rFonts w:ascii="Calibri" w:eastAsia="Times New Roman" w:hAnsi="Calibri" w:cs="Calibri"/>
                <w:sz w:val="22"/>
                <w:szCs w:val="22"/>
                <w:lang w:val="es-ES"/>
              </w:rPr>
            </w:pPr>
          </w:p>
        </w:tc>
        <w:tc>
          <w:tcPr>
            <w:tcW w:w="1360" w:type="dxa"/>
            <w:tcBorders>
              <w:top w:val="nil"/>
              <w:left w:val="nil"/>
              <w:bottom w:val="double" w:sz="6" w:space="0" w:color="auto"/>
              <w:right w:val="nil"/>
            </w:tcBorders>
            <w:shd w:val="clear" w:color="000000" w:fill="FFFFFF"/>
            <w:noWrap/>
            <w:vAlign w:val="center"/>
            <w:hideMark/>
          </w:tcPr>
          <w:p w14:paraId="6DFF08E8" w14:textId="77777777" w:rsidR="00FF1581" w:rsidRPr="008442CC" w:rsidRDefault="00FF1581" w:rsidP="008F5CC2">
            <w:pPr>
              <w:jc w:val="center"/>
              <w:rPr>
                <w:rFonts w:ascii="Calibri" w:eastAsia="Times New Roman" w:hAnsi="Calibri" w:cs="Calibri"/>
                <w:sz w:val="22"/>
                <w:szCs w:val="22"/>
                <w:lang w:val="es-ES"/>
              </w:rPr>
            </w:pPr>
            <w:proofErr w:type="spellStart"/>
            <w:r w:rsidRPr="008442CC">
              <w:rPr>
                <w:rFonts w:ascii="Calibri" w:eastAsia="Times New Roman" w:hAnsi="Calibri" w:cs="Calibri"/>
                <w:sz w:val="22"/>
                <w:szCs w:val="22"/>
                <w:lang w:val="es-ES"/>
              </w:rPr>
              <w:t>Item</w:t>
            </w:r>
            <w:proofErr w:type="spellEnd"/>
          </w:p>
        </w:tc>
        <w:tc>
          <w:tcPr>
            <w:tcW w:w="1100" w:type="dxa"/>
            <w:tcBorders>
              <w:top w:val="nil"/>
              <w:left w:val="nil"/>
              <w:bottom w:val="double" w:sz="6" w:space="0" w:color="auto"/>
              <w:right w:val="nil"/>
            </w:tcBorders>
            <w:shd w:val="clear" w:color="000000" w:fill="FFFFFF"/>
            <w:noWrap/>
            <w:vAlign w:val="center"/>
            <w:hideMark/>
          </w:tcPr>
          <w:p w14:paraId="6C05943E" w14:textId="77777777" w:rsidR="00FF1581" w:rsidRPr="008442CC" w:rsidRDefault="00FF1581" w:rsidP="008F5CC2">
            <w:pPr>
              <w:jc w:val="center"/>
              <w:rPr>
                <w:rFonts w:ascii="Calibri" w:eastAsia="Times New Roman" w:hAnsi="Calibri" w:cs="Calibri"/>
                <w:sz w:val="22"/>
                <w:szCs w:val="22"/>
                <w:lang w:val="es-ES"/>
              </w:rPr>
            </w:pPr>
            <w:proofErr w:type="spellStart"/>
            <w:r w:rsidRPr="008442CC">
              <w:rPr>
                <w:rFonts w:ascii="Calibri" w:eastAsia="Times New Roman" w:hAnsi="Calibri" w:cs="Calibri"/>
                <w:sz w:val="22"/>
                <w:szCs w:val="22"/>
                <w:lang w:val="es-ES"/>
              </w:rPr>
              <w:t>Obs</w:t>
            </w:r>
            <w:proofErr w:type="spellEnd"/>
          </w:p>
        </w:tc>
        <w:tc>
          <w:tcPr>
            <w:tcW w:w="1100" w:type="dxa"/>
            <w:tcBorders>
              <w:top w:val="nil"/>
              <w:left w:val="nil"/>
              <w:bottom w:val="double" w:sz="6" w:space="0" w:color="auto"/>
              <w:right w:val="nil"/>
            </w:tcBorders>
            <w:shd w:val="clear" w:color="000000" w:fill="FFFFFF"/>
            <w:noWrap/>
            <w:vAlign w:val="center"/>
            <w:hideMark/>
          </w:tcPr>
          <w:p w14:paraId="2D14FC98" w14:textId="77777777" w:rsidR="00FF1581" w:rsidRPr="008442CC" w:rsidRDefault="00FF1581" w:rsidP="008F5CC2">
            <w:pPr>
              <w:jc w:val="center"/>
              <w:rPr>
                <w:rFonts w:ascii="Calibri" w:eastAsia="Times New Roman" w:hAnsi="Calibri" w:cs="Calibri"/>
                <w:sz w:val="22"/>
                <w:szCs w:val="22"/>
                <w:lang w:val="es-ES"/>
              </w:rPr>
            </w:pPr>
            <w:proofErr w:type="spellStart"/>
            <w:r w:rsidRPr="008442CC">
              <w:rPr>
                <w:rFonts w:ascii="Calibri" w:eastAsia="Times New Roman" w:hAnsi="Calibri" w:cs="Calibri"/>
                <w:sz w:val="22"/>
                <w:szCs w:val="22"/>
                <w:lang w:val="es-ES"/>
              </w:rPr>
              <w:t>Sign</w:t>
            </w:r>
            <w:proofErr w:type="spellEnd"/>
          </w:p>
        </w:tc>
        <w:tc>
          <w:tcPr>
            <w:tcW w:w="1100" w:type="dxa"/>
            <w:tcBorders>
              <w:top w:val="nil"/>
              <w:left w:val="nil"/>
              <w:bottom w:val="double" w:sz="6" w:space="0" w:color="auto"/>
              <w:right w:val="nil"/>
            </w:tcBorders>
            <w:shd w:val="clear" w:color="000000" w:fill="FFFFFF"/>
            <w:noWrap/>
            <w:vAlign w:val="center"/>
            <w:hideMark/>
          </w:tcPr>
          <w:p w14:paraId="4AF2E374" w14:textId="77777777" w:rsidR="00FF1581" w:rsidRPr="008442CC" w:rsidRDefault="00FF1581" w:rsidP="00FF1581">
            <w:pPr>
              <w:jc w:val="center"/>
              <w:rPr>
                <w:rFonts w:ascii="Calibri" w:eastAsia="Times New Roman" w:hAnsi="Calibri" w:cs="Calibri"/>
                <w:sz w:val="22"/>
                <w:szCs w:val="22"/>
                <w:lang w:val="es-ES"/>
              </w:rPr>
            </w:pPr>
            <w:proofErr w:type="spellStart"/>
            <w:r w:rsidRPr="008442CC">
              <w:rPr>
                <w:rFonts w:ascii="Calibri" w:eastAsia="Times New Roman" w:hAnsi="Calibri" w:cs="Calibri"/>
                <w:sz w:val="22"/>
                <w:szCs w:val="22"/>
                <w:lang w:val="es-ES"/>
              </w:rPr>
              <w:t>alpha</w:t>
            </w:r>
            <w:proofErr w:type="spellEnd"/>
          </w:p>
        </w:tc>
      </w:tr>
      <w:tr w:rsidR="00601CE0" w:rsidRPr="008442CC" w14:paraId="48FF2BE5" w14:textId="77777777" w:rsidTr="008F5CC2">
        <w:trPr>
          <w:trHeight w:val="320"/>
        </w:trPr>
        <w:tc>
          <w:tcPr>
            <w:tcW w:w="1351" w:type="dxa"/>
            <w:tcBorders>
              <w:top w:val="nil"/>
              <w:left w:val="nil"/>
              <w:bottom w:val="nil"/>
              <w:right w:val="nil"/>
            </w:tcBorders>
            <w:shd w:val="clear" w:color="000000" w:fill="FFFFFF"/>
            <w:noWrap/>
            <w:vAlign w:val="center"/>
            <w:hideMark/>
          </w:tcPr>
          <w:p w14:paraId="7C4335EF"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q1_1415</w:t>
            </w:r>
          </w:p>
        </w:tc>
        <w:tc>
          <w:tcPr>
            <w:tcW w:w="1100" w:type="dxa"/>
            <w:tcBorders>
              <w:top w:val="nil"/>
              <w:left w:val="nil"/>
              <w:bottom w:val="nil"/>
              <w:right w:val="nil"/>
            </w:tcBorders>
            <w:shd w:val="clear" w:color="000000" w:fill="FFFFFF"/>
            <w:noWrap/>
            <w:vAlign w:val="center"/>
            <w:hideMark/>
          </w:tcPr>
          <w:p w14:paraId="3979116E"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235" w:type="dxa"/>
            <w:tcBorders>
              <w:top w:val="nil"/>
              <w:left w:val="nil"/>
              <w:bottom w:val="nil"/>
              <w:right w:val="nil"/>
            </w:tcBorders>
            <w:shd w:val="clear" w:color="000000" w:fill="FFFFFF"/>
            <w:noWrap/>
            <w:vAlign w:val="center"/>
            <w:hideMark/>
          </w:tcPr>
          <w:p w14:paraId="749E6952"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236F3D42"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0,916</w:t>
            </w:r>
          </w:p>
        </w:tc>
        <w:tc>
          <w:tcPr>
            <w:tcW w:w="1100" w:type="dxa"/>
            <w:tcBorders>
              <w:top w:val="nil"/>
              <w:left w:val="nil"/>
              <w:bottom w:val="nil"/>
              <w:right w:val="nil"/>
            </w:tcBorders>
            <w:shd w:val="clear" w:color="000000" w:fill="FFFFFF"/>
            <w:noWrap/>
            <w:vAlign w:val="center"/>
            <w:hideMark/>
          </w:tcPr>
          <w:p w14:paraId="7D8DC70B" w14:textId="04DFD733" w:rsidR="00FF1581" w:rsidRPr="008442CC" w:rsidRDefault="00FF1581" w:rsidP="008F5CC2">
            <w:pPr>
              <w:jc w:val="center"/>
              <w:rPr>
                <w:rFonts w:ascii="Calibri" w:eastAsia="Times New Roman" w:hAnsi="Calibri" w:cs="Calibri"/>
                <w:sz w:val="22"/>
                <w:szCs w:val="22"/>
                <w:lang w:val="es-ES"/>
              </w:rPr>
            </w:pPr>
          </w:p>
        </w:tc>
        <w:tc>
          <w:tcPr>
            <w:tcW w:w="1360" w:type="dxa"/>
            <w:tcBorders>
              <w:top w:val="nil"/>
              <w:left w:val="nil"/>
              <w:bottom w:val="nil"/>
              <w:right w:val="nil"/>
            </w:tcBorders>
            <w:shd w:val="clear" w:color="000000" w:fill="FFFFFF"/>
            <w:noWrap/>
            <w:vAlign w:val="center"/>
            <w:hideMark/>
          </w:tcPr>
          <w:p w14:paraId="4319E86F"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q1_1617</w:t>
            </w:r>
          </w:p>
        </w:tc>
        <w:tc>
          <w:tcPr>
            <w:tcW w:w="1100" w:type="dxa"/>
            <w:tcBorders>
              <w:top w:val="nil"/>
              <w:left w:val="nil"/>
              <w:bottom w:val="nil"/>
              <w:right w:val="nil"/>
            </w:tcBorders>
            <w:shd w:val="clear" w:color="000000" w:fill="FFFFFF"/>
            <w:noWrap/>
            <w:vAlign w:val="center"/>
            <w:hideMark/>
          </w:tcPr>
          <w:p w14:paraId="53F6B27B"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100" w:type="dxa"/>
            <w:tcBorders>
              <w:top w:val="nil"/>
              <w:left w:val="nil"/>
              <w:bottom w:val="nil"/>
              <w:right w:val="nil"/>
            </w:tcBorders>
            <w:shd w:val="clear" w:color="000000" w:fill="FFFFFF"/>
            <w:noWrap/>
            <w:vAlign w:val="center"/>
            <w:hideMark/>
          </w:tcPr>
          <w:p w14:paraId="3A29EF74"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1124B9F8"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0,934</w:t>
            </w:r>
          </w:p>
        </w:tc>
      </w:tr>
      <w:tr w:rsidR="00601CE0" w:rsidRPr="008442CC" w14:paraId="602966D5" w14:textId="77777777" w:rsidTr="008F5CC2">
        <w:trPr>
          <w:trHeight w:val="300"/>
        </w:trPr>
        <w:tc>
          <w:tcPr>
            <w:tcW w:w="1351" w:type="dxa"/>
            <w:tcBorders>
              <w:top w:val="nil"/>
              <w:left w:val="nil"/>
              <w:bottom w:val="nil"/>
              <w:right w:val="nil"/>
            </w:tcBorders>
            <w:shd w:val="clear" w:color="000000" w:fill="FFFFFF"/>
            <w:noWrap/>
            <w:vAlign w:val="center"/>
            <w:hideMark/>
          </w:tcPr>
          <w:p w14:paraId="0043D101"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q2_1415</w:t>
            </w:r>
          </w:p>
        </w:tc>
        <w:tc>
          <w:tcPr>
            <w:tcW w:w="1100" w:type="dxa"/>
            <w:tcBorders>
              <w:top w:val="nil"/>
              <w:left w:val="nil"/>
              <w:bottom w:val="nil"/>
              <w:right w:val="nil"/>
            </w:tcBorders>
            <w:shd w:val="clear" w:color="000000" w:fill="FFFFFF"/>
            <w:noWrap/>
            <w:vAlign w:val="center"/>
            <w:hideMark/>
          </w:tcPr>
          <w:p w14:paraId="44B5BA8D"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115</w:t>
            </w:r>
          </w:p>
        </w:tc>
        <w:tc>
          <w:tcPr>
            <w:tcW w:w="1235" w:type="dxa"/>
            <w:tcBorders>
              <w:top w:val="nil"/>
              <w:left w:val="nil"/>
              <w:bottom w:val="nil"/>
              <w:right w:val="nil"/>
            </w:tcBorders>
            <w:shd w:val="clear" w:color="000000" w:fill="FFFFFF"/>
            <w:noWrap/>
            <w:vAlign w:val="center"/>
            <w:hideMark/>
          </w:tcPr>
          <w:p w14:paraId="0AC28CFE"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4C863852"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0,924</w:t>
            </w:r>
          </w:p>
        </w:tc>
        <w:tc>
          <w:tcPr>
            <w:tcW w:w="1100" w:type="dxa"/>
            <w:tcBorders>
              <w:top w:val="nil"/>
              <w:left w:val="nil"/>
              <w:bottom w:val="nil"/>
              <w:right w:val="nil"/>
            </w:tcBorders>
            <w:shd w:val="clear" w:color="000000" w:fill="FFFFFF"/>
            <w:noWrap/>
            <w:vAlign w:val="center"/>
            <w:hideMark/>
          </w:tcPr>
          <w:p w14:paraId="542B90C2" w14:textId="1A4F619F" w:rsidR="00FF1581" w:rsidRPr="008442CC" w:rsidRDefault="00FF1581" w:rsidP="008F5CC2">
            <w:pPr>
              <w:jc w:val="center"/>
              <w:rPr>
                <w:rFonts w:ascii="Calibri" w:eastAsia="Times New Roman" w:hAnsi="Calibri" w:cs="Calibri"/>
                <w:sz w:val="22"/>
                <w:szCs w:val="22"/>
                <w:lang w:val="es-ES"/>
              </w:rPr>
            </w:pPr>
          </w:p>
        </w:tc>
        <w:tc>
          <w:tcPr>
            <w:tcW w:w="1360" w:type="dxa"/>
            <w:tcBorders>
              <w:top w:val="nil"/>
              <w:left w:val="nil"/>
              <w:bottom w:val="nil"/>
              <w:right w:val="nil"/>
            </w:tcBorders>
            <w:shd w:val="clear" w:color="000000" w:fill="FFFFFF"/>
            <w:noWrap/>
            <w:vAlign w:val="center"/>
            <w:hideMark/>
          </w:tcPr>
          <w:p w14:paraId="265D3CB1"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q2_1617</w:t>
            </w:r>
          </w:p>
        </w:tc>
        <w:tc>
          <w:tcPr>
            <w:tcW w:w="1100" w:type="dxa"/>
            <w:tcBorders>
              <w:top w:val="nil"/>
              <w:left w:val="nil"/>
              <w:bottom w:val="nil"/>
              <w:right w:val="nil"/>
            </w:tcBorders>
            <w:shd w:val="clear" w:color="000000" w:fill="FFFFFF"/>
            <w:noWrap/>
            <w:vAlign w:val="center"/>
            <w:hideMark/>
          </w:tcPr>
          <w:p w14:paraId="61EE2073"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100" w:type="dxa"/>
            <w:tcBorders>
              <w:top w:val="nil"/>
              <w:left w:val="nil"/>
              <w:bottom w:val="nil"/>
              <w:right w:val="nil"/>
            </w:tcBorders>
            <w:shd w:val="clear" w:color="000000" w:fill="FFFFFF"/>
            <w:noWrap/>
            <w:vAlign w:val="center"/>
            <w:hideMark/>
          </w:tcPr>
          <w:p w14:paraId="075FC6EE"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756C8B50"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0,937</w:t>
            </w:r>
          </w:p>
        </w:tc>
      </w:tr>
      <w:tr w:rsidR="00601CE0" w:rsidRPr="008442CC" w14:paraId="64FED73C" w14:textId="77777777" w:rsidTr="008F5CC2">
        <w:trPr>
          <w:trHeight w:val="300"/>
        </w:trPr>
        <w:tc>
          <w:tcPr>
            <w:tcW w:w="1351" w:type="dxa"/>
            <w:tcBorders>
              <w:top w:val="nil"/>
              <w:left w:val="nil"/>
              <w:bottom w:val="nil"/>
              <w:right w:val="nil"/>
            </w:tcBorders>
            <w:shd w:val="clear" w:color="000000" w:fill="FFFFFF"/>
            <w:noWrap/>
            <w:vAlign w:val="center"/>
            <w:hideMark/>
          </w:tcPr>
          <w:p w14:paraId="2F5AF370"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q4_1415</w:t>
            </w:r>
          </w:p>
        </w:tc>
        <w:tc>
          <w:tcPr>
            <w:tcW w:w="1100" w:type="dxa"/>
            <w:tcBorders>
              <w:top w:val="nil"/>
              <w:left w:val="nil"/>
              <w:bottom w:val="nil"/>
              <w:right w:val="nil"/>
            </w:tcBorders>
            <w:shd w:val="clear" w:color="000000" w:fill="FFFFFF"/>
            <w:noWrap/>
            <w:vAlign w:val="center"/>
            <w:hideMark/>
          </w:tcPr>
          <w:p w14:paraId="4F39E568"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235" w:type="dxa"/>
            <w:tcBorders>
              <w:top w:val="nil"/>
              <w:left w:val="nil"/>
              <w:bottom w:val="nil"/>
              <w:right w:val="nil"/>
            </w:tcBorders>
            <w:shd w:val="clear" w:color="000000" w:fill="FFFFFF"/>
            <w:noWrap/>
            <w:vAlign w:val="center"/>
            <w:hideMark/>
          </w:tcPr>
          <w:p w14:paraId="7B2298D3"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0CD19EC9"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0,913</w:t>
            </w:r>
          </w:p>
        </w:tc>
        <w:tc>
          <w:tcPr>
            <w:tcW w:w="1100" w:type="dxa"/>
            <w:tcBorders>
              <w:top w:val="nil"/>
              <w:left w:val="nil"/>
              <w:bottom w:val="nil"/>
              <w:right w:val="nil"/>
            </w:tcBorders>
            <w:shd w:val="clear" w:color="000000" w:fill="FFFFFF"/>
            <w:noWrap/>
            <w:vAlign w:val="center"/>
            <w:hideMark/>
          </w:tcPr>
          <w:p w14:paraId="60C5483B" w14:textId="7260DD09" w:rsidR="00FF1581" w:rsidRPr="008442CC" w:rsidRDefault="00FF1581" w:rsidP="008F5CC2">
            <w:pPr>
              <w:jc w:val="center"/>
              <w:rPr>
                <w:rFonts w:ascii="Calibri" w:eastAsia="Times New Roman" w:hAnsi="Calibri" w:cs="Calibri"/>
                <w:sz w:val="22"/>
                <w:szCs w:val="22"/>
                <w:lang w:val="es-ES"/>
              </w:rPr>
            </w:pPr>
          </w:p>
        </w:tc>
        <w:tc>
          <w:tcPr>
            <w:tcW w:w="1360" w:type="dxa"/>
            <w:tcBorders>
              <w:top w:val="nil"/>
              <w:left w:val="nil"/>
              <w:bottom w:val="nil"/>
              <w:right w:val="nil"/>
            </w:tcBorders>
            <w:shd w:val="clear" w:color="000000" w:fill="FFFFFF"/>
            <w:noWrap/>
            <w:vAlign w:val="center"/>
            <w:hideMark/>
          </w:tcPr>
          <w:p w14:paraId="0B70D6A7"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q4_1617</w:t>
            </w:r>
          </w:p>
        </w:tc>
        <w:tc>
          <w:tcPr>
            <w:tcW w:w="1100" w:type="dxa"/>
            <w:tcBorders>
              <w:top w:val="nil"/>
              <w:left w:val="nil"/>
              <w:bottom w:val="nil"/>
              <w:right w:val="nil"/>
            </w:tcBorders>
            <w:shd w:val="clear" w:color="000000" w:fill="FFFFFF"/>
            <w:noWrap/>
            <w:vAlign w:val="center"/>
            <w:hideMark/>
          </w:tcPr>
          <w:p w14:paraId="02E788A2"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100" w:type="dxa"/>
            <w:tcBorders>
              <w:top w:val="nil"/>
              <w:left w:val="nil"/>
              <w:bottom w:val="nil"/>
              <w:right w:val="nil"/>
            </w:tcBorders>
            <w:shd w:val="clear" w:color="000000" w:fill="FFFFFF"/>
            <w:noWrap/>
            <w:vAlign w:val="center"/>
            <w:hideMark/>
          </w:tcPr>
          <w:p w14:paraId="077158AA"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009165E6"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0,930</w:t>
            </w:r>
          </w:p>
        </w:tc>
      </w:tr>
      <w:tr w:rsidR="00601CE0" w:rsidRPr="008442CC" w14:paraId="46FECBBB" w14:textId="77777777" w:rsidTr="008F5CC2">
        <w:trPr>
          <w:trHeight w:val="300"/>
        </w:trPr>
        <w:tc>
          <w:tcPr>
            <w:tcW w:w="1351" w:type="dxa"/>
            <w:tcBorders>
              <w:top w:val="nil"/>
              <w:left w:val="nil"/>
              <w:bottom w:val="nil"/>
              <w:right w:val="nil"/>
            </w:tcBorders>
            <w:shd w:val="clear" w:color="000000" w:fill="FFFFFF"/>
            <w:noWrap/>
            <w:vAlign w:val="center"/>
            <w:hideMark/>
          </w:tcPr>
          <w:p w14:paraId="1F93F8DC"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q5_1415</w:t>
            </w:r>
          </w:p>
        </w:tc>
        <w:tc>
          <w:tcPr>
            <w:tcW w:w="1100" w:type="dxa"/>
            <w:tcBorders>
              <w:top w:val="nil"/>
              <w:left w:val="nil"/>
              <w:bottom w:val="nil"/>
              <w:right w:val="nil"/>
            </w:tcBorders>
            <w:shd w:val="clear" w:color="000000" w:fill="FFFFFF"/>
            <w:noWrap/>
            <w:vAlign w:val="center"/>
            <w:hideMark/>
          </w:tcPr>
          <w:p w14:paraId="0ABEC99F"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114</w:t>
            </w:r>
          </w:p>
        </w:tc>
        <w:tc>
          <w:tcPr>
            <w:tcW w:w="1235" w:type="dxa"/>
            <w:tcBorders>
              <w:top w:val="nil"/>
              <w:left w:val="nil"/>
              <w:bottom w:val="nil"/>
              <w:right w:val="nil"/>
            </w:tcBorders>
            <w:shd w:val="clear" w:color="000000" w:fill="FFFFFF"/>
            <w:noWrap/>
            <w:vAlign w:val="center"/>
            <w:hideMark/>
          </w:tcPr>
          <w:p w14:paraId="544986FE"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15F173D2"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0,913</w:t>
            </w:r>
          </w:p>
        </w:tc>
        <w:tc>
          <w:tcPr>
            <w:tcW w:w="1100" w:type="dxa"/>
            <w:tcBorders>
              <w:top w:val="nil"/>
              <w:left w:val="nil"/>
              <w:bottom w:val="nil"/>
              <w:right w:val="nil"/>
            </w:tcBorders>
            <w:shd w:val="clear" w:color="000000" w:fill="FFFFFF"/>
            <w:noWrap/>
            <w:vAlign w:val="center"/>
            <w:hideMark/>
          </w:tcPr>
          <w:p w14:paraId="6AF509D7" w14:textId="090C9F07" w:rsidR="00FF1581" w:rsidRPr="008442CC" w:rsidRDefault="00FF1581" w:rsidP="008F5CC2">
            <w:pPr>
              <w:jc w:val="center"/>
              <w:rPr>
                <w:rFonts w:ascii="Calibri" w:eastAsia="Times New Roman" w:hAnsi="Calibri" w:cs="Calibri"/>
                <w:sz w:val="22"/>
                <w:szCs w:val="22"/>
                <w:lang w:val="es-ES"/>
              </w:rPr>
            </w:pPr>
          </w:p>
        </w:tc>
        <w:tc>
          <w:tcPr>
            <w:tcW w:w="1360" w:type="dxa"/>
            <w:tcBorders>
              <w:top w:val="nil"/>
              <w:left w:val="nil"/>
              <w:bottom w:val="nil"/>
              <w:right w:val="nil"/>
            </w:tcBorders>
            <w:shd w:val="clear" w:color="000000" w:fill="FFFFFF"/>
            <w:noWrap/>
            <w:vAlign w:val="center"/>
            <w:hideMark/>
          </w:tcPr>
          <w:p w14:paraId="5587730B"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q5_1617</w:t>
            </w:r>
          </w:p>
        </w:tc>
        <w:tc>
          <w:tcPr>
            <w:tcW w:w="1100" w:type="dxa"/>
            <w:tcBorders>
              <w:top w:val="nil"/>
              <w:left w:val="nil"/>
              <w:bottom w:val="nil"/>
              <w:right w:val="nil"/>
            </w:tcBorders>
            <w:shd w:val="clear" w:color="000000" w:fill="FFFFFF"/>
            <w:noWrap/>
            <w:vAlign w:val="center"/>
            <w:hideMark/>
          </w:tcPr>
          <w:p w14:paraId="4855433D"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115</w:t>
            </w:r>
          </w:p>
        </w:tc>
        <w:tc>
          <w:tcPr>
            <w:tcW w:w="1100" w:type="dxa"/>
            <w:tcBorders>
              <w:top w:val="nil"/>
              <w:left w:val="nil"/>
              <w:bottom w:val="nil"/>
              <w:right w:val="nil"/>
            </w:tcBorders>
            <w:shd w:val="clear" w:color="000000" w:fill="FFFFFF"/>
            <w:noWrap/>
            <w:vAlign w:val="center"/>
            <w:hideMark/>
          </w:tcPr>
          <w:p w14:paraId="0A0157A0"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5C9B259C"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0,930</w:t>
            </w:r>
          </w:p>
        </w:tc>
      </w:tr>
      <w:tr w:rsidR="00601CE0" w:rsidRPr="008442CC" w14:paraId="3B568A43" w14:textId="77777777" w:rsidTr="008F5CC2">
        <w:trPr>
          <w:trHeight w:val="300"/>
        </w:trPr>
        <w:tc>
          <w:tcPr>
            <w:tcW w:w="1351" w:type="dxa"/>
            <w:tcBorders>
              <w:top w:val="nil"/>
              <w:left w:val="nil"/>
              <w:bottom w:val="nil"/>
              <w:right w:val="nil"/>
            </w:tcBorders>
            <w:shd w:val="clear" w:color="000000" w:fill="FFFFFF"/>
            <w:noWrap/>
            <w:vAlign w:val="center"/>
            <w:hideMark/>
          </w:tcPr>
          <w:p w14:paraId="37DA9AA7"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q6a_1415</w:t>
            </w:r>
          </w:p>
        </w:tc>
        <w:tc>
          <w:tcPr>
            <w:tcW w:w="1100" w:type="dxa"/>
            <w:tcBorders>
              <w:top w:val="nil"/>
              <w:left w:val="nil"/>
              <w:bottom w:val="nil"/>
              <w:right w:val="nil"/>
            </w:tcBorders>
            <w:shd w:val="clear" w:color="000000" w:fill="FFFFFF"/>
            <w:noWrap/>
            <w:vAlign w:val="center"/>
            <w:hideMark/>
          </w:tcPr>
          <w:p w14:paraId="586BCAB7"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235" w:type="dxa"/>
            <w:tcBorders>
              <w:top w:val="nil"/>
              <w:left w:val="nil"/>
              <w:bottom w:val="nil"/>
              <w:right w:val="nil"/>
            </w:tcBorders>
            <w:shd w:val="clear" w:color="000000" w:fill="FFFFFF"/>
            <w:noWrap/>
            <w:vAlign w:val="center"/>
            <w:hideMark/>
          </w:tcPr>
          <w:p w14:paraId="3A4CA459"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14962117"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0,914</w:t>
            </w:r>
          </w:p>
        </w:tc>
        <w:tc>
          <w:tcPr>
            <w:tcW w:w="1100" w:type="dxa"/>
            <w:tcBorders>
              <w:top w:val="nil"/>
              <w:left w:val="nil"/>
              <w:bottom w:val="nil"/>
              <w:right w:val="nil"/>
            </w:tcBorders>
            <w:shd w:val="clear" w:color="000000" w:fill="FFFFFF"/>
            <w:noWrap/>
            <w:vAlign w:val="center"/>
            <w:hideMark/>
          </w:tcPr>
          <w:p w14:paraId="5E8026E0" w14:textId="443D93A7" w:rsidR="00FF1581" w:rsidRPr="008442CC" w:rsidRDefault="00FF1581" w:rsidP="008F5CC2">
            <w:pPr>
              <w:jc w:val="center"/>
              <w:rPr>
                <w:rFonts w:ascii="Calibri" w:eastAsia="Times New Roman" w:hAnsi="Calibri" w:cs="Calibri"/>
                <w:sz w:val="22"/>
                <w:szCs w:val="22"/>
                <w:lang w:val="es-ES"/>
              </w:rPr>
            </w:pPr>
          </w:p>
        </w:tc>
        <w:tc>
          <w:tcPr>
            <w:tcW w:w="1360" w:type="dxa"/>
            <w:tcBorders>
              <w:top w:val="nil"/>
              <w:left w:val="nil"/>
              <w:bottom w:val="nil"/>
              <w:right w:val="nil"/>
            </w:tcBorders>
            <w:shd w:val="clear" w:color="000000" w:fill="FFFFFF"/>
            <w:noWrap/>
            <w:vAlign w:val="center"/>
            <w:hideMark/>
          </w:tcPr>
          <w:p w14:paraId="75605010"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q6a_1617</w:t>
            </w:r>
          </w:p>
        </w:tc>
        <w:tc>
          <w:tcPr>
            <w:tcW w:w="1100" w:type="dxa"/>
            <w:tcBorders>
              <w:top w:val="nil"/>
              <w:left w:val="nil"/>
              <w:bottom w:val="nil"/>
              <w:right w:val="nil"/>
            </w:tcBorders>
            <w:shd w:val="clear" w:color="000000" w:fill="FFFFFF"/>
            <w:noWrap/>
            <w:vAlign w:val="center"/>
            <w:hideMark/>
          </w:tcPr>
          <w:p w14:paraId="0AEC7D36"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100" w:type="dxa"/>
            <w:tcBorders>
              <w:top w:val="nil"/>
              <w:left w:val="nil"/>
              <w:bottom w:val="nil"/>
              <w:right w:val="nil"/>
            </w:tcBorders>
            <w:shd w:val="clear" w:color="000000" w:fill="FFFFFF"/>
            <w:noWrap/>
            <w:vAlign w:val="center"/>
            <w:hideMark/>
          </w:tcPr>
          <w:p w14:paraId="2D8C3CC9"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08A4F4F8"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0,930</w:t>
            </w:r>
          </w:p>
        </w:tc>
      </w:tr>
      <w:tr w:rsidR="00601CE0" w:rsidRPr="008442CC" w14:paraId="0776E3B0" w14:textId="77777777" w:rsidTr="008F5CC2">
        <w:trPr>
          <w:trHeight w:val="300"/>
        </w:trPr>
        <w:tc>
          <w:tcPr>
            <w:tcW w:w="1351" w:type="dxa"/>
            <w:tcBorders>
              <w:top w:val="nil"/>
              <w:left w:val="nil"/>
              <w:bottom w:val="nil"/>
              <w:right w:val="nil"/>
            </w:tcBorders>
            <w:shd w:val="clear" w:color="000000" w:fill="FFFFFF"/>
            <w:noWrap/>
            <w:vAlign w:val="center"/>
            <w:hideMark/>
          </w:tcPr>
          <w:p w14:paraId="020300B7"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q6b_1415</w:t>
            </w:r>
          </w:p>
        </w:tc>
        <w:tc>
          <w:tcPr>
            <w:tcW w:w="1100" w:type="dxa"/>
            <w:tcBorders>
              <w:top w:val="nil"/>
              <w:left w:val="nil"/>
              <w:bottom w:val="nil"/>
              <w:right w:val="nil"/>
            </w:tcBorders>
            <w:shd w:val="clear" w:color="000000" w:fill="FFFFFF"/>
            <w:noWrap/>
            <w:vAlign w:val="center"/>
            <w:hideMark/>
          </w:tcPr>
          <w:p w14:paraId="483F0DD3"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235" w:type="dxa"/>
            <w:tcBorders>
              <w:top w:val="nil"/>
              <w:left w:val="nil"/>
              <w:bottom w:val="nil"/>
              <w:right w:val="nil"/>
            </w:tcBorders>
            <w:shd w:val="clear" w:color="000000" w:fill="FFFFFF"/>
            <w:noWrap/>
            <w:vAlign w:val="center"/>
            <w:hideMark/>
          </w:tcPr>
          <w:p w14:paraId="36022AFA"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0CA365B7"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0,921</w:t>
            </w:r>
          </w:p>
        </w:tc>
        <w:tc>
          <w:tcPr>
            <w:tcW w:w="1100" w:type="dxa"/>
            <w:tcBorders>
              <w:top w:val="nil"/>
              <w:left w:val="nil"/>
              <w:bottom w:val="nil"/>
              <w:right w:val="nil"/>
            </w:tcBorders>
            <w:shd w:val="clear" w:color="000000" w:fill="FFFFFF"/>
            <w:noWrap/>
            <w:vAlign w:val="center"/>
            <w:hideMark/>
          </w:tcPr>
          <w:p w14:paraId="7381D826" w14:textId="09564BC8" w:rsidR="00FF1581" w:rsidRPr="008442CC" w:rsidRDefault="00FF1581" w:rsidP="008F5CC2">
            <w:pPr>
              <w:jc w:val="center"/>
              <w:rPr>
                <w:rFonts w:ascii="Calibri" w:eastAsia="Times New Roman" w:hAnsi="Calibri" w:cs="Calibri"/>
                <w:sz w:val="22"/>
                <w:szCs w:val="22"/>
                <w:lang w:val="es-ES"/>
              </w:rPr>
            </w:pPr>
          </w:p>
        </w:tc>
        <w:tc>
          <w:tcPr>
            <w:tcW w:w="1360" w:type="dxa"/>
            <w:tcBorders>
              <w:top w:val="nil"/>
              <w:left w:val="nil"/>
              <w:bottom w:val="nil"/>
              <w:right w:val="nil"/>
            </w:tcBorders>
            <w:shd w:val="clear" w:color="000000" w:fill="FFFFFF"/>
            <w:noWrap/>
            <w:vAlign w:val="center"/>
            <w:hideMark/>
          </w:tcPr>
          <w:p w14:paraId="574E0C42"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q6b_1617</w:t>
            </w:r>
          </w:p>
        </w:tc>
        <w:tc>
          <w:tcPr>
            <w:tcW w:w="1100" w:type="dxa"/>
            <w:tcBorders>
              <w:top w:val="nil"/>
              <w:left w:val="nil"/>
              <w:bottom w:val="nil"/>
              <w:right w:val="nil"/>
            </w:tcBorders>
            <w:shd w:val="clear" w:color="000000" w:fill="FFFFFF"/>
            <w:noWrap/>
            <w:vAlign w:val="center"/>
            <w:hideMark/>
          </w:tcPr>
          <w:p w14:paraId="683933E3"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115</w:t>
            </w:r>
          </w:p>
        </w:tc>
        <w:tc>
          <w:tcPr>
            <w:tcW w:w="1100" w:type="dxa"/>
            <w:tcBorders>
              <w:top w:val="nil"/>
              <w:left w:val="nil"/>
              <w:bottom w:val="nil"/>
              <w:right w:val="nil"/>
            </w:tcBorders>
            <w:shd w:val="clear" w:color="000000" w:fill="FFFFFF"/>
            <w:noWrap/>
            <w:vAlign w:val="center"/>
            <w:hideMark/>
          </w:tcPr>
          <w:p w14:paraId="75888B97"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3F85B4D3"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0,933</w:t>
            </w:r>
          </w:p>
        </w:tc>
      </w:tr>
      <w:tr w:rsidR="00601CE0" w:rsidRPr="008442CC" w14:paraId="077871D6" w14:textId="77777777" w:rsidTr="008F5CC2">
        <w:trPr>
          <w:trHeight w:val="300"/>
        </w:trPr>
        <w:tc>
          <w:tcPr>
            <w:tcW w:w="1351" w:type="dxa"/>
            <w:tcBorders>
              <w:top w:val="nil"/>
              <w:left w:val="nil"/>
              <w:bottom w:val="nil"/>
              <w:right w:val="nil"/>
            </w:tcBorders>
            <w:shd w:val="clear" w:color="000000" w:fill="FFFFFF"/>
            <w:noWrap/>
            <w:vAlign w:val="center"/>
            <w:hideMark/>
          </w:tcPr>
          <w:p w14:paraId="77099307"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q6c_1415</w:t>
            </w:r>
          </w:p>
        </w:tc>
        <w:tc>
          <w:tcPr>
            <w:tcW w:w="1100" w:type="dxa"/>
            <w:tcBorders>
              <w:top w:val="nil"/>
              <w:left w:val="nil"/>
              <w:bottom w:val="nil"/>
              <w:right w:val="nil"/>
            </w:tcBorders>
            <w:shd w:val="clear" w:color="000000" w:fill="FFFFFF"/>
            <w:noWrap/>
            <w:vAlign w:val="center"/>
            <w:hideMark/>
          </w:tcPr>
          <w:p w14:paraId="455A674F"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235" w:type="dxa"/>
            <w:tcBorders>
              <w:top w:val="nil"/>
              <w:left w:val="nil"/>
              <w:bottom w:val="nil"/>
              <w:right w:val="nil"/>
            </w:tcBorders>
            <w:shd w:val="clear" w:color="000000" w:fill="FFFFFF"/>
            <w:noWrap/>
            <w:vAlign w:val="center"/>
            <w:hideMark/>
          </w:tcPr>
          <w:p w14:paraId="383A0D9A"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3E3CD5BB"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0,921</w:t>
            </w:r>
          </w:p>
        </w:tc>
        <w:tc>
          <w:tcPr>
            <w:tcW w:w="1100" w:type="dxa"/>
            <w:tcBorders>
              <w:top w:val="nil"/>
              <w:left w:val="nil"/>
              <w:bottom w:val="nil"/>
              <w:right w:val="nil"/>
            </w:tcBorders>
            <w:shd w:val="clear" w:color="000000" w:fill="FFFFFF"/>
            <w:noWrap/>
            <w:vAlign w:val="center"/>
            <w:hideMark/>
          </w:tcPr>
          <w:p w14:paraId="3EE03AAB" w14:textId="4EA5F087" w:rsidR="00FF1581" w:rsidRPr="008442CC" w:rsidRDefault="00FF1581" w:rsidP="008F5CC2">
            <w:pPr>
              <w:jc w:val="center"/>
              <w:rPr>
                <w:rFonts w:ascii="Calibri" w:eastAsia="Times New Roman" w:hAnsi="Calibri" w:cs="Calibri"/>
                <w:sz w:val="22"/>
                <w:szCs w:val="22"/>
                <w:lang w:val="es-ES"/>
              </w:rPr>
            </w:pPr>
          </w:p>
        </w:tc>
        <w:tc>
          <w:tcPr>
            <w:tcW w:w="1360" w:type="dxa"/>
            <w:tcBorders>
              <w:top w:val="nil"/>
              <w:left w:val="nil"/>
              <w:bottom w:val="nil"/>
              <w:right w:val="nil"/>
            </w:tcBorders>
            <w:shd w:val="clear" w:color="000000" w:fill="FFFFFF"/>
            <w:noWrap/>
            <w:vAlign w:val="center"/>
            <w:hideMark/>
          </w:tcPr>
          <w:p w14:paraId="3B37781B"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q6c_1617</w:t>
            </w:r>
          </w:p>
        </w:tc>
        <w:tc>
          <w:tcPr>
            <w:tcW w:w="1100" w:type="dxa"/>
            <w:tcBorders>
              <w:top w:val="nil"/>
              <w:left w:val="nil"/>
              <w:bottom w:val="nil"/>
              <w:right w:val="nil"/>
            </w:tcBorders>
            <w:shd w:val="clear" w:color="000000" w:fill="FFFFFF"/>
            <w:noWrap/>
            <w:vAlign w:val="center"/>
            <w:hideMark/>
          </w:tcPr>
          <w:p w14:paraId="5A07704F"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100" w:type="dxa"/>
            <w:tcBorders>
              <w:top w:val="nil"/>
              <w:left w:val="nil"/>
              <w:bottom w:val="nil"/>
              <w:right w:val="nil"/>
            </w:tcBorders>
            <w:shd w:val="clear" w:color="000000" w:fill="FFFFFF"/>
            <w:noWrap/>
            <w:vAlign w:val="center"/>
            <w:hideMark/>
          </w:tcPr>
          <w:p w14:paraId="6A6C71FF"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6C4AAA69"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0,931</w:t>
            </w:r>
          </w:p>
        </w:tc>
      </w:tr>
      <w:tr w:rsidR="00601CE0" w:rsidRPr="008442CC" w14:paraId="6DF83CDD" w14:textId="77777777" w:rsidTr="008F5CC2">
        <w:trPr>
          <w:trHeight w:val="300"/>
        </w:trPr>
        <w:tc>
          <w:tcPr>
            <w:tcW w:w="1351" w:type="dxa"/>
            <w:tcBorders>
              <w:top w:val="nil"/>
              <w:left w:val="nil"/>
              <w:bottom w:val="nil"/>
              <w:right w:val="nil"/>
            </w:tcBorders>
            <w:shd w:val="clear" w:color="000000" w:fill="FFFFFF"/>
            <w:noWrap/>
            <w:vAlign w:val="center"/>
            <w:hideMark/>
          </w:tcPr>
          <w:p w14:paraId="32B3E39A"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q6d_1415</w:t>
            </w:r>
          </w:p>
        </w:tc>
        <w:tc>
          <w:tcPr>
            <w:tcW w:w="1100" w:type="dxa"/>
            <w:tcBorders>
              <w:top w:val="nil"/>
              <w:left w:val="nil"/>
              <w:bottom w:val="nil"/>
              <w:right w:val="nil"/>
            </w:tcBorders>
            <w:shd w:val="clear" w:color="000000" w:fill="FFFFFF"/>
            <w:noWrap/>
            <w:vAlign w:val="center"/>
            <w:hideMark/>
          </w:tcPr>
          <w:p w14:paraId="3A2F6203"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235" w:type="dxa"/>
            <w:tcBorders>
              <w:top w:val="nil"/>
              <w:left w:val="nil"/>
              <w:bottom w:val="nil"/>
              <w:right w:val="nil"/>
            </w:tcBorders>
            <w:shd w:val="clear" w:color="000000" w:fill="FFFFFF"/>
            <w:noWrap/>
            <w:vAlign w:val="center"/>
            <w:hideMark/>
          </w:tcPr>
          <w:p w14:paraId="46CFE97A"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1C16338D"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0,918</w:t>
            </w:r>
          </w:p>
        </w:tc>
        <w:tc>
          <w:tcPr>
            <w:tcW w:w="1100" w:type="dxa"/>
            <w:tcBorders>
              <w:top w:val="nil"/>
              <w:left w:val="nil"/>
              <w:bottom w:val="nil"/>
              <w:right w:val="nil"/>
            </w:tcBorders>
            <w:shd w:val="clear" w:color="000000" w:fill="FFFFFF"/>
            <w:noWrap/>
            <w:vAlign w:val="center"/>
            <w:hideMark/>
          </w:tcPr>
          <w:p w14:paraId="1AC46A2A" w14:textId="4F093FB6" w:rsidR="00FF1581" w:rsidRPr="008442CC" w:rsidRDefault="00FF1581" w:rsidP="008F5CC2">
            <w:pPr>
              <w:jc w:val="center"/>
              <w:rPr>
                <w:rFonts w:ascii="Calibri" w:eastAsia="Times New Roman" w:hAnsi="Calibri" w:cs="Calibri"/>
                <w:sz w:val="22"/>
                <w:szCs w:val="22"/>
                <w:lang w:val="es-ES"/>
              </w:rPr>
            </w:pPr>
          </w:p>
        </w:tc>
        <w:tc>
          <w:tcPr>
            <w:tcW w:w="1360" w:type="dxa"/>
            <w:tcBorders>
              <w:top w:val="nil"/>
              <w:left w:val="nil"/>
              <w:bottom w:val="nil"/>
              <w:right w:val="nil"/>
            </w:tcBorders>
            <w:shd w:val="clear" w:color="000000" w:fill="FFFFFF"/>
            <w:noWrap/>
            <w:vAlign w:val="center"/>
            <w:hideMark/>
          </w:tcPr>
          <w:p w14:paraId="7C297ABC"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q6d_1617</w:t>
            </w:r>
          </w:p>
        </w:tc>
        <w:tc>
          <w:tcPr>
            <w:tcW w:w="1100" w:type="dxa"/>
            <w:tcBorders>
              <w:top w:val="nil"/>
              <w:left w:val="nil"/>
              <w:bottom w:val="nil"/>
              <w:right w:val="nil"/>
            </w:tcBorders>
            <w:shd w:val="clear" w:color="000000" w:fill="FFFFFF"/>
            <w:noWrap/>
            <w:vAlign w:val="center"/>
            <w:hideMark/>
          </w:tcPr>
          <w:p w14:paraId="5E568850"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100" w:type="dxa"/>
            <w:tcBorders>
              <w:top w:val="nil"/>
              <w:left w:val="nil"/>
              <w:bottom w:val="nil"/>
              <w:right w:val="nil"/>
            </w:tcBorders>
            <w:shd w:val="clear" w:color="000000" w:fill="FFFFFF"/>
            <w:noWrap/>
            <w:vAlign w:val="center"/>
            <w:hideMark/>
          </w:tcPr>
          <w:p w14:paraId="38B85561"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4CEAFCFC"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0,937</w:t>
            </w:r>
          </w:p>
        </w:tc>
      </w:tr>
      <w:tr w:rsidR="00601CE0" w:rsidRPr="008442CC" w14:paraId="6A0E5FF1" w14:textId="77777777" w:rsidTr="008F5CC2">
        <w:trPr>
          <w:trHeight w:val="300"/>
        </w:trPr>
        <w:tc>
          <w:tcPr>
            <w:tcW w:w="1351" w:type="dxa"/>
            <w:tcBorders>
              <w:top w:val="nil"/>
              <w:left w:val="nil"/>
              <w:bottom w:val="nil"/>
              <w:right w:val="nil"/>
            </w:tcBorders>
            <w:shd w:val="clear" w:color="000000" w:fill="FFFFFF"/>
            <w:noWrap/>
            <w:vAlign w:val="center"/>
            <w:hideMark/>
          </w:tcPr>
          <w:p w14:paraId="6743EB03"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q6e_1415</w:t>
            </w:r>
          </w:p>
        </w:tc>
        <w:tc>
          <w:tcPr>
            <w:tcW w:w="1100" w:type="dxa"/>
            <w:tcBorders>
              <w:top w:val="nil"/>
              <w:left w:val="nil"/>
              <w:bottom w:val="nil"/>
              <w:right w:val="nil"/>
            </w:tcBorders>
            <w:shd w:val="clear" w:color="000000" w:fill="FFFFFF"/>
            <w:noWrap/>
            <w:vAlign w:val="center"/>
            <w:hideMark/>
          </w:tcPr>
          <w:p w14:paraId="339BAE54"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235" w:type="dxa"/>
            <w:tcBorders>
              <w:top w:val="nil"/>
              <w:left w:val="nil"/>
              <w:bottom w:val="nil"/>
              <w:right w:val="nil"/>
            </w:tcBorders>
            <w:shd w:val="clear" w:color="000000" w:fill="FFFFFF"/>
            <w:noWrap/>
            <w:vAlign w:val="center"/>
            <w:hideMark/>
          </w:tcPr>
          <w:p w14:paraId="767B96FE"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3B928F1C"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0,915</w:t>
            </w:r>
          </w:p>
        </w:tc>
        <w:tc>
          <w:tcPr>
            <w:tcW w:w="1100" w:type="dxa"/>
            <w:tcBorders>
              <w:top w:val="nil"/>
              <w:left w:val="nil"/>
              <w:bottom w:val="nil"/>
              <w:right w:val="nil"/>
            </w:tcBorders>
            <w:shd w:val="clear" w:color="000000" w:fill="FFFFFF"/>
            <w:noWrap/>
            <w:vAlign w:val="center"/>
            <w:hideMark/>
          </w:tcPr>
          <w:p w14:paraId="0088F187" w14:textId="30DE0CB3" w:rsidR="00FF1581" w:rsidRPr="008442CC" w:rsidRDefault="00FF1581" w:rsidP="008F5CC2">
            <w:pPr>
              <w:jc w:val="center"/>
              <w:rPr>
                <w:rFonts w:ascii="Calibri" w:eastAsia="Times New Roman" w:hAnsi="Calibri" w:cs="Calibri"/>
                <w:sz w:val="22"/>
                <w:szCs w:val="22"/>
                <w:lang w:val="es-ES"/>
              </w:rPr>
            </w:pPr>
          </w:p>
        </w:tc>
        <w:tc>
          <w:tcPr>
            <w:tcW w:w="1360" w:type="dxa"/>
            <w:tcBorders>
              <w:top w:val="nil"/>
              <w:left w:val="nil"/>
              <w:bottom w:val="nil"/>
              <w:right w:val="nil"/>
            </w:tcBorders>
            <w:shd w:val="clear" w:color="000000" w:fill="FFFFFF"/>
            <w:noWrap/>
            <w:vAlign w:val="center"/>
            <w:hideMark/>
          </w:tcPr>
          <w:p w14:paraId="20A67F0B"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q6e_1617</w:t>
            </w:r>
          </w:p>
        </w:tc>
        <w:tc>
          <w:tcPr>
            <w:tcW w:w="1100" w:type="dxa"/>
            <w:tcBorders>
              <w:top w:val="nil"/>
              <w:left w:val="nil"/>
              <w:bottom w:val="nil"/>
              <w:right w:val="nil"/>
            </w:tcBorders>
            <w:shd w:val="clear" w:color="000000" w:fill="FFFFFF"/>
            <w:noWrap/>
            <w:vAlign w:val="center"/>
            <w:hideMark/>
          </w:tcPr>
          <w:p w14:paraId="2E6488EA"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100" w:type="dxa"/>
            <w:tcBorders>
              <w:top w:val="nil"/>
              <w:left w:val="nil"/>
              <w:bottom w:val="nil"/>
              <w:right w:val="nil"/>
            </w:tcBorders>
            <w:shd w:val="clear" w:color="000000" w:fill="FFFFFF"/>
            <w:noWrap/>
            <w:vAlign w:val="center"/>
            <w:hideMark/>
          </w:tcPr>
          <w:p w14:paraId="61E535A9"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11EDC795"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0,931</w:t>
            </w:r>
          </w:p>
        </w:tc>
      </w:tr>
      <w:tr w:rsidR="00601CE0" w:rsidRPr="008442CC" w14:paraId="73DF8123" w14:textId="77777777" w:rsidTr="008F5CC2">
        <w:trPr>
          <w:trHeight w:val="300"/>
        </w:trPr>
        <w:tc>
          <w:tcPr>
            <w:tcW w:w="1351" w:type="dxa"/>
            <w:tcBorders>
              <w:top w:val="nil"/>
              <w:left w:val="nil"/>
              <w:bottom w:val="nil"/>
              <w:right w:val="nil"/>
            </w:tcBorders>
            <w:shd w:val="clear" w:color="000000" w:fill="FFFFFF"/>
            <w:noWrap/>
            <w:vAlign w:val="center"/>
            <w:hideMark/>
          </w:tcPr>
          <w:p w14:paraId="44837EF6"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q6f_1415</w:t>
            </w:r>
          </w:p>
        </w:tc>
        <w:tc>
          <w:tcPr>
            <w:tcW w:w="1100" w:type="dxa"/>
            <w:tcBorders>
              <w:top w:val="nil"/>
              <w:left w:val="nil"/>
              <w:bottom w:val="nil"/>
              <w:right w:val="nil"/>
            </w:tcBorders>
            <w:shd w:val="clear" w:color="000000" w:fill="FFFFFF"/>
            <w:noWrap/>
            <w:vAlign w:val="center"/>
            <w:hideMark/>
          </w:tcPr>
          <w:p w14:paraId="03AA781D"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235" w:type="dxa"/>
            <w:tcBorders>
              <w:top w:val="nil"/>
              <w:left w:val="nil"/>
              <w:bottom w:val="nil"/>
              <w:right w:val="nil"/>
            </w:tcBorders>
            <w:shd w:val="clear" w:color="000000" w:fill="FFFFFF"/>
            <w:noWrap/>
            <w:vAlign w:val="center"/>
            <w:hideMark/>
          </w:tcPr>
          <w:p w14:paraId="3DCEB4B8"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4A01056F"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0,915</w:t>
            </w:r>
          </w:p>
        </w:tc>
        <w:tc>
          <w:tcPr>
            <w:tcW w:w="1100" w:type="dxa"/>
            <w:tcBorders>
              <w:top w:val="nil"/>
              <w:left w:val="nil"/>
              <w:bottom w:val="nil"/>
              <w:right w:val="nil"/>
            </w:tcBorders>
            <w:shd w:val="clear" w:color="000000" w:fill="FFFFFF"/>
            <w:noWrap/>
            <w:vAlign w:val="center"/>
            <w:hideMark/>
          </w:tcPr>
          <w:p w14:paraId="243A47EC" w14:textId="5199F1DD" w:rsidR="00FF1581" w:rsidRPr="008442CC" w:rsidRDefault="00FF1581" w:rsidP="008F5CC2">
            <w:pPr>
              <w:jc w:val="center"/>
              <w:rPr>
                <w:rFonts w:ascii="Calibri" w:eastAsia="Times New Roman" w:hAnsi="Calibri" w:cs="Calibri"/>
                <w:sz w:val="22"/>
                <w:szCs w:val="22"/>
                <w:lang w:val="es-ES"/>
              </w:rPr>
            </w:pPr>
          </w:p>
        </w:tc>
        <w:tc>
          <w:tcPr>
            <w:tcW w:w="1360" w:type="dxa"/>
            <w:tcBorders>
              <w:top w:val="nil"/>
              <w:left w:val="nil"/>
              <w:bottom w:val="nil"/>
              <w:right w:val="nil"/>
            </w:tcBorders>
            <w:shd w:val="clear" w:color="000000" w:fill="FFFFFF"/>
            <w:noWrap/>
            <w:vAlign w:val="center"/>
            <w:hideMark/>
          </w:tcPr>
          <w:p w14:paraId="6AE5DEFB"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q6f_1617</w:t>
            </w:r>
          </w:p>
        </w:tc>
        <w:tc>
          <w:tcPr>
            <w:tcW w:w="1100" w:type="dxa"/>
            <w:tcBorders>
              <w:top w:val="nil"/>
              <w:left w:val="nil"/>
              <w:bottom w:val="nil"/>
              <w:right w:val="nil"/>
            </w:tcBorders>
            <w:shd w:val="clear" w:color="000000" w:fill="FFFFFF"/>
            <w:noWrap/>
            <w:vAlign w:val="center"/>
            <w:hideMark/>
          </w:tcPr>
          <w:p w14:paraId="0FA83082"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100" w:type="dxa"/>
            <w:tcBorders>
              <w:top w:val="nil"/>
              <w:left w:val="nil"/>
              <w:bottom w:val="nil"/>
              <w:right w:val="nil"/>
            </w:tcBorders>
            <w:shd w:val="clear" w:color="000000" w:fill="FFFFFF"/>
            <w:noWrap/>
            <w:vAlign w:val="center"/>
            <w:hideMark/>
          </w:tcPr>
          <w:p w14:paraId="42599F4D"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1FE01DAF"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0,930</w:t>
            </w:r>
          </w:p>
        </w:tc>
      </w:tr>
      <w:tr w:rsidR="00601CE0" w:rsidRPr="008442CC" w14:paraId="1B5002F7" w14:textId="77777777" w:rsidTr="008F5CC2">
        <w:trPr>
          <w:trHeight w:val="300"/>
        </w:trPr>
        <w:tc>
          <w:tcPr>
            <w:tcW w:w="1351" w:type="dxa"/>
            <w:tcBorders>
              <w:top w:val="nil"/>
              <w:left w:val="nil"/>
              <w:bottom w:val="nil"/>
              <w:right w:val="nil"/>
            </w:tcBorders>
            <w:shd w:val="clear" w:color="000000" w:fill="FFFFFF"/>
            <w:noWrap/>
            <w:vAlign w:val="center"/>
            <w:hideMark/>
          </w:tcPr>
          <w:p w14:paraId="606A0F41"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q7_1415</w:t>
            </w:r>
          </w:p>
        </w:tc>
        <w:tc>
          <w:tcPr>
            <w:tcW w:w="1100" w:type="dxa"/>
            <w:tcBorders>
              <w:top w:val="nil"/>
              <w:left w:val="nil"/>
              <w:bottom w:val="nil"/>
              <w:right w:val="nil"/>
            </w:tcBorders>
            <w:shd w:val="clear" w:color="000000" w:fill="FFFFFF"/>
            <w:noWrap/>
            <w:vAlign w:val="center"/>
            <w:hideMark/>
          </w:tcPr>
          <w:p w14:paraId="5FD80E0C"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235" w:type="dxa"/>
            <w:tcBorders>
              <w:top w:val="nil"/>
              <w:left w:val="nil"/>
              <w:bottom w:val="nil"/>
              <w:right w:val="nil"/>
            </w:tcBorders>
            <w:shd w:val="clear" w:color="000000" w:fill="FFFFFF"/>
            <w:noWrap/>
            <w:vAlign w:val="center"/>
            <w:hideMark/>
          </w:tcPr>
          <w:p w14:paraId="7E9FCF9A"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5055C7CB"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0,916</w:t>
            </w:r>
          </w:p>
        </w:tc>
        <w:tc>
          <w:tcPr>
            <w:tcW w:w="1100" w:type="dxa"/>
            <w:tcBorders>
              <w:top w:val="nil"/>
              <w:left w:val="nil"/>
              <w:bottom w:val="nil"/>
              <w:right w:val="nil"/>
            </w:tcBorders>
            <w:shd w:val="clear" w:color="000000" w:fill="FFFFFF"/>
            <w:noWrap/>
            <w:vAlign w:val="center"/>
            <w:hideMark/>
          </w:tcPr>
          <w:p w14:paraId="05DEA545" w14:textId="19E08607" w:rsidR="00FF1581" w:rsidRPr="008442CC" w:rsidRDefault="00FF1581" w:rsidP="008F5CC2">
            <w:pPr>
              <w:jc w:val="center"/>
              <w:rPr>
                <w:rFonts w:ascii="Calibri" w:eastAsia="Times New Roman" w:hAnsi="Calibri" w:cs="Calibri"/>
                <w:sz w:val="22"/>
                <w:szCs w:val="22"/>
                <w:lang w:val="es-ES"/>
              </w:rPr>
            </w:pPr>
          </w:p>
        </w:tc>
        <w:tc>
          <w:tcPr>
            <w:tcW w:w="1360" w:type="dxa"/>
            <w:tcBorders>
              <w:top w:val="nil"/>
              <w:left w:val="nil"/>
              <w:bottom w:val="nil"/>
              <w:right w:val="nil"/>
            </w:tcBorders>
            <w:shd w:val="clear" w:color="000000" w:fill="FFFFFF"/>
            <w:noWrap/>
            <w:vAlign w:val="center"/>
            <w:hideMark/>
          </w:tcPr>
          <w:p w14:paraId="4976F878"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q7_1617</w:t>
            </w:r>
          </w:p>
        </w:tc>
        <w:tc>
          <w:tcPr>
            <w:tcW w:w="1100" w:type="dxa"/>
            <w:tcBorders>
              <w:top w:val="nil"/>
              <w:left w:val="nil"/>
              <w:bottom w:val="nil"/>
              <w:right w:val="nil"/>
            </w:tcBorders>
            <w:shd w:val="clear" w:color="000000" w:fill="FFFFFF"/>
            <w:noWrap/>
            <w:vAlign w:val="center"/>
            <w:hideMark/>
          </w:tcPr>
          <w:p w14:paraId="7426FA78"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100" w:type="dxa"/>
            <w:tcBorders>
              <w:top w:val="nil"/>
              <w:left w:val="nil"/>
              <w:bottom w:val="nil"/>
              <w:right w:val="nil"/>
            </w:tcBorders>
            <w:shd w:val="clear" w:color="000000" w:fill="FFFFFF"/>
            <w:noWrap/>
            <w:vAlign w:val="center"/>
            <w:hideMark/>
          </w:tcPr>
          <w:p w14:paraId="1663B67F"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41B6C27D"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0,930</w:t>
            </w:r>
          </w:p>
        </w:tc>
      </w:tr>
      <w:tr w:rsidR="00601CE0" w:rsidRPr="008442CC" w14:paraId="28FB5D67" w14:textId="77777777" w:rsidTr="008F5CC2">
        <w:trPr>
          <w:trHeight w:val="300"/>
        </w:trPr>
        <w:tc>
          <w:tcPr>
            <w:tcW w:w="1351" w:type="dxa"/>
            <w:tcBorders>
              <w:top w:val="nil"/>
              <w:left w:val="nil"/>
              <w:bottom w:val="nil"/>
              <w:right w:val="nil"/>
            </w:tcBorders>
            <w:shd w:val="clear" w:color="000000" w:fill="FFFFFF"/>
            <w:noWrap/>
            <w:vAlign w:val="center"/>
            <w:hideMark/>
          </w:tcPr>
          <w:p w14:paraId="678E7121"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q8_1415</w:t>
            </w:r>
          </w:p>
        </w:tc>
        <w:tc>
          <w:tcPr>
            <w:tcW w:w="1100" w:type="dxa"/>
            <w:tcBorders>
              <w:top w:val="nil"/>
              <w:left w:val="nil"/>
              <w:bottom w:val="nil"/>
              <w:right w:val="nil"/>
            </w:tcBorders>
            <w:shd w:val="clear" w:color="000000" w:fill="FFFFFF"/>
            <w:noWrap/>
            <w:vAlign w:val="center"/>
            <w:hideMark/>
          </w:tcPr>
          <w:p w14:paraId="5E96F00E"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235" w:type="dxa"/>
            <w:tcBorders>
              <w:top w:val="nil"/>
              <w:left w:val="nil"/>
              <w:bottom w:val="nil"/>
              <w:right w:val="nil"/>
            </w:tcBorders>
            <w:shd w:val="clear" w:color="000000" w:fill="FFFFFF"/>
            <w:noWrap/>
            <w:vAlign w:val="center"/>
            <w:hideMark/>
          </w:tcPr>
          <w:p w14:paraId="5F842698"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16312603"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0,915</w:t>
            </w:r>
          </w:p>
        </w:tc>
        <w:tc>
          <w:tcPr>
            <w:tcW w:w="1100" w:type="dxa"/>
            <w:tcBorders>
              <w:top w:val="nil"/>
              <w:left w:val="nil"/>
              <w:bottom w:val="nil"/>
              <w:right w:val="nil"/>
            </w:tcBorders>
            <w:shd w:val="clear" w:color="000000" w:fill="FFFFFF"/>
            <w:noWrap/>
            <w:vAlign w:val="center"/>
            <w:hideMark/>
          </w:tcPr>
          <w:p w14:paraId="768BF8C2" w14:textId="55826CBE" w:rsidR="00FF1581" w:rsidRPr="008442CC" w:rsidRDefault="00FF1581" w:rsidP="008F5CC2">
            <w:pPr>
              <w:jc w:val="center"/>
              <w:rPr>
                <w:rFonts w:ascii="Calibri" w:eastAsia="Times New Roman" w:hAnsi="Calibri" w:cs="Calibri"/>
                <w:sz w:val="22"/>
                <w:szCs w:val="22"/>
                <w:lang w:val="es-ES"/>
              </w:rPr>
            </w:pPr>
          </w:p>
        </w:tc>
        <w:tc>
          <w:tcPr>
            <w:tcW w:w="1360" w:type="dxa"/>
            <w:tcBorders>
              <w:top w:val="nil"/>
              <w:left w:val="nil"/>
              <w:bottom w:val="nil"/>
              <w:right w:val="nil"/>
            </w:tcBorders>
            <w:shd w:val="clear" w:color="000000" w:fill="FFFFFF"/>
            <w:noWrap/>
            <w:vAlign w:val="center"/>
            <w:hideMark/>
          </w:tcPr>
          <w:p w14:paraId="72D3291A"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q8_1617</w:t>
            </w:r>
          </w:p>
        </w:tc>
        <w:tc>
          <w:tcPr>
            <w:tcW w:w="1100" w:type="dxa"/>
            <w:tcBorders>
              <w:top w:val="nil"/>
              <w:left w:val="nil"/>
              <w:bottom w:val="nil"/>
              <w:right w:val="nil"/>
            </w:tcBorders>
            <w:shd w:val="clear" w:color="000000" w:fill="FFFFFF"/>
            <w:noWrap/>
            <w:vAlign w:val="center"/>
            <w:hideMark/>
          </w:tcPr>
          <w:p w14:paraId="29DCC9C0"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100" w:type="dxa"/>
            <w:tcBorders>
              <w:top w:val="nil"/>
              <w:left w:val="nil"/>
              <w:bottom w:val="nil"/>
              <w:right w:val="nil"/>
            </w:tcBorders>
            <w:shd w:val="clear" w:color="000000" w:fill="FFFFFF"/>
            <w:noWrap/>
            <w:vAlign w:val="center"/>
            <w:hideMark/>
          </w:tcPr>
          <w:p w14:paraId="1634959B"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48420D0C"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0,931</w:t>
            </w:r>
          </w:p>
        </w:tc>
      </w:tr>
      <w:tr w:rsidR="00601CE0" w:rsidRPr="008442CC" w14:paraId="6BE040E7" w14:textId="77777777" w:rsidTr="008F5CC2">
        <w:trPr>
          <w:trHeight w:val="300"/>
        </w:trPr>
        <w:tc>
          <w:tcPr>
            <w:tcW w:w="1351" w:type="dxa"/>
            <w:tcBorders>
              <w:top w:val="nil"/>
              <w:left w:val="nil"/>
              <w:bottom w:val="nil"/>
              <w:right w:val="nil"/>
            </w:tcBorders>
            <w:shd w:val="clear" w:color="000000" w:fill="FFFFFF"/>
            <w:noWrap/>
            <w:vAlign w:val="center"/>
            <w:hideMark/>
          </w:tcPr>
          <w:p w14:paraId="4E3AFC4D"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q9a_1415</w:t>
            </w:r>
          </w:p>
        </w:tc>
        <w:tc>
          <w:tcPr>
            <w:tcW w:w="1100" w:type="dxa"/>
            <w:tcBorders>
              <w:top w:val="nil"/>
              <w:left w:val="nil"/>
              <w:bottom w:val="nil"/>
              <w:right w:val="nil"/>
            </w:tcBorders>
            <w:shd w:val="clear" w:color="000000" w:fill="FFFFFF"/>
            <w:noWrap/>
            <w:vAlign w:val="center"/>
            <w:hideMark/>
          </w:tcPr>
          <w:p w14:paraId="47EE058A"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113</w:t>
            </w:r>
          </w:p>
        </w:tc>
        <w:tc>
          <w:tcPr>
            <w:tcW w:w="1235" w:type="dxa"/>
            <w:tcBorders>
              <w:top w:val="nil"/>
              <w:left w:val="nil"/>
              <w:bottom w:val="nil"/>
              <w:right w:val="nil"/>
            </w:tcBorders>
            <w:shd w:val="clear" w:color="000000" w:fill="FFFFFF"/>
            <w:noWrap/>
            <w:vAlign w:val="center"/>
            <w:hideMark/>
          </w:tcPr>
          <w:p w14:paraId="11576ABC"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03F78370"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0,917</w:t>
            </w:r>
          </w:p>
        </w:tc>
        <w:tc>
          <w:tcPr>
            <w:tcW w:w="1100" w:type="dxa"/>
            <w:tcBorders>
              <w:top w:val="nil"/>
              <w:left w:val="nil"/>
              <w:bottom w:val="nil"/>
              <w:right w:val="nil"/>
            </w:tcBorders>
            <w:shd w:val="clear" w:color="000000" w:fill="FFFFFF"/>
            <w:noWrap/>
            <w:vAlign w:val="center"/>
            <w:hideMark/>
          </w:tcPr>
          <w:p w14:paraId="497A205A" w14:textId="0792A9B1" w:rsidR="00FF1581" w:rsidRPr="008442CC" w:rsidRDefault="00FF1581" w:rsidP="008F5CC2">
            <w:pPr>
              <w:jc w:val="center"/>
              <w:rPr>
                <w:rFonts w:ascii="Calibri" w:eastAsia="Times New Roman" w:hAnsi="Calibri" w:cs="Calibri"/>
                <w:sz w:val="22"/>
                <w:szCs w:val="22"/>
                <w:lang w:val="es-ES"/>
              </w:rPr>
            </w:pPr>
          </w:p>
        </w:tc>
        <w:tc>
          <w:tcPr>
            <w:tcW w:w="1360" w:type="dxa"/>
            <w:tcBorders>
              <w:top w:val="nil"/>
              <w:left w:val="nil"/>
              <w:bottom w:val="nil"/>
              <w:right w:val="nil"/>
            </w:tcBorders>
            <w:shd w:val="clear" w:color="000000" w:fill="FFFFFF"/>
            <w:noWrap/>
            <w:vAlign w:val="center"/>
            <w:hideMark/>
          </w:tcPr>
          <w:p w14:paraId="6D37ED2A"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q9a_1617</w:t>
            </w:r>
          </w:p>
        </w:tc>
        <w:tc>
          <w:tcPr>
            <w:tcW w:w="1100" w:type="dxa"/>
            <w:tcBorders>
              <w:top w:val="nil"/>
              <w:left w:val="nil"/>
              <w:bottom w:val="nil"/>
              <w:right w:val="nil"/>
            </w:tcBorders>
            <w:shd w:val="clear" w:color="000000" w:fill="FFFFFF"/>
            <w:noWrap/>
            <w:vAlign w:val="center"/>
            <w:hideMark/>
          </w:tcPr>
          <w:p w14:paraId="1592679C"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115</w:t>
            </w:r>
          </w:p>
        </w:tc>
        <w:tc>
          <w:tcPr>
            <w:tcW w:w="1100" w:type="dxa"/>
            <w:tcBorders>
              <w:top w:val="nil"/>
              <w:left w:val="nil"/>
              <w:bottom w:val="nil"/>
              <w:right w:val="nil"/>
            </w:tcBorders>
            <w:shd w:val="clear" w:color="000000" w:fill="FFFFFF"/>
            <w:noWrap/>
            <w:vAlign w:val="center"/>
            <w:hideMark/>
          </w:tcPr>
          <w:p w14:paraId="2C9D8F2F"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7D456FD5"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0,934</w:t>
            </w:r>
          </w:p>
        </w:tc>
      </w:tr>
      <w:tr w:rsidR="00601CE0" w:rsidRPr="008442CC" w14:paraId="670E216E" w14:textId="77777777" w:rsidTr="008F5CC2">
        <w:trPr>
          <w:trHeight w:val="300"/>
        </w:trPr>
        <w:tc>
          <w:tcPr>
            <w:tcW w:w="1351" w:type="dxa"/>
            <w:tcBorders>
              <w:top w:val="nil"/>
              <w:left w:val="nil"/>
              <w:bottom w:val="nil"/>
              <w:right w:val="nil"/>
            </w:tcBorders>
            <w:shd w:val="clear" w:color="000000" w:fill="FFFFFF"/>
            <w:noWrap/>
            <w:vAlign w:val="center"/>
            <w:hideMark/>
          </w:tcPr>
          <w:p w14:paraId="1526C7F2"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q9b_1415</w:t>
            </w:r>
          </w:p>
        </w:tc>
        <w:tc>
          <w:tcPr>
            <w:tcW w:w="1100" w:type="dxa"/>
            <w:tcBorders>
              <w:top w:val="nil"/>
              <w:left w:val="nil"/>
              <w:bottom w:val="nil"/>
              <w:right w:val="nil"/>
            </w:tcBorders>
            <w:shd w:val="clear" w:color="000000" w:fill="FFFFFF"/>
            <w:noWrap/>
            <w:vAlign w:val="center"/>
            <w:hideMark/>
          </w:tcPr>
          <w:p w14:paraId="0BD1434B"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112</w:t>
            </w:r>
          </w:p>
        </w:tc>
        <w:tc>
          <w:tcPr>
            <w:tcW w:w="1235" w:type="dxa"/>
            <w:tcBorders>
              <w:top w:val="nil"/>
              <w:left w:val="nil"/>
              <w:bottom w:val="nil"/>
              <w:right w:val="nil"/>
            </w:tcBorders>
            <w:shd w:val="clear" w:color="000000" w:fill="FFFFFF"/>
            <w:noWrap/>
            <w:vAlign w:val="center"/>
            <w:hideMark/>
          </w:tcPr>
          <w:p w14:paraId="760F4672"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51E1685A"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0,919</w:t>
            </w:r>
          </w:p>
        </w:tc>
        <w:tc>
          <w:tcPr>
            <w:tcW w:w="1100" w:type="dxa"/>
            <w:tcBorders>
              <w:top w:val="nil"/>
              <w:left w:val="nil"/>
              <w:bottom w:val="nil"/>
              <w:right w:val="nil"/>
            </w:tcBorders>
            <w:shd w:val="clear" w:color="000000" w:fill="FFFFFF"/>
            <w:noWrap/>
            <w:vAlign w:val="center"/>
            <w:hideMark/>
          </w:tcPr>
          <w:p w14:paraId="4F6D1611" w14:textId="208497A9" w:rsidR="00FF1581" w:rsidRPr="008442CC" w:rsidRDefault="00FF1581" w:rsidP="008F5CC2">
            <w:pPr>
              <w:jc w:val="center"/>
              <w:rPr>
                <w:rFonts w:ascii="Calibri" w:eastAsia="Times New Roman" w:hAnsi="Calibri" w:cs="Calibri"/>
                <w:sz w:val="22"/>
                <w:szCs w:val="22"/>
                <w:lang w:val="es-ES"/>
              </w:rPr>
            </w:pPr>
          </w:p>
        </w:tc>
        <w:tc>
          <w:tcPr>
            <w:tcW w:w="1360" w:type="dxa"/>
            <w:tcBorders>
              <w:top w:val="nil"/>
              <w:left w:val="nil"/>
              <w:bottom w:val="nil"/>
              <w:right w:val="nil"/>
            </w:tcBorders>
            <w:shd w:val="clear" w:color="000000" w:fill="FFFFFF"/>
            <w:noWrap/>
            <w:vAlign w:val="center"/>
            <w:hideMark/>
          </w:tcPr>
          <w:p w14:paraId="26F46E0F"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q9b_1617</w:t>
            </w:r>
          </w:p>
        </w:tc>
        <w:tc>
          <w:tcPr>
            <w:tcW w:w="1100" w:type="dxa"/>
            <w:tcBorders>
              <w:top w:val="nil"/>
              <w:left w:val="nil"/>
              <w:bottom w:val="nil"/>
              <w:right w:val="nil"/>
            </w:tcBorders>
            <w:shd w:val="clear" w:color="000000" w:fill="FFFFFF"/>
            <w:noWrap/>
            <w:vAlign w:val="center"/>
            <w:hideMark/>
          </w:tcPr>
          <w:p w14:paraId="0A2EEDCD"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112</w:t>
            </w:r>
          </w:p>
        </w:tc>
        <w:tc>
          <w:tcPr>
            <w:tcW w:w="1100" w:type="dxa"/>
            <w:tcBorders>
              <w:top w:val="nil"/>
              <w:left w:val="nil"/>
              <w:bottom w:val="nil"/>
              <w:right w:val="nil"/>
            </w:tcBorders>
            <w:shd w:val="clear" w:color="000000" w:fill="FFFFFF"/>
            <w:noWrap/>
            <w:vAlign w:val="center"/>
            <w:hideMark/>
          </w:tcPr>
          <w:p w14:paraId="4565755D"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1DE4A156"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0,935</w:t>
            </w:r>
          </w:p>
        </w:tc>
      </w:tr>
      <w:tr w:rsidR="00601CE0" w:rsidRPr="008442CC" w14:paraId="7D98C112" w14:textId="77777777" w:rsidTr="008F5CC2">
        <w:trPr>
          <w:trHeight w:val="300"/>
        </w:trPr>
        <w:tc>
          <w:tcPr>
            <w:tcW w:w="1351" w:type="dxa"/>
            <w:tcBorders>
              <w:top w:val="nil"/>
              <w:left w:val="nil"/>
              <w:bottom w:val="nil"/>
              <w:right w:val="nil"/>
            </w:tcBorders>
            <w:shd w:val="clear" w:color="000000" w:fill="FFFFFF"/>
            <w:noWrap/>
            <w:vAlign w:val="center"/>
            <w:hideMark/>
          </w:tcPr>
          <w:p w14:paraId="242553DA"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q9c_1415</w:t>
            </w:r>
          </w:p>
        </w:tc>
        <w:tc>
          <w:tcPr>
            <w:tcW w:w="1100" w:type="dxa"/>
            <w:tcBorders>
              <w:top w:val="nil"/>
              <w:left w:val="nil"/>
              <w:bottom w:val="nil"/>
              <w:right w:val="nil"/>
            </w:tcBorders>
            <w:shd w:val="clear" w:color="000000" w:fill="FFFFFF"/>
            <w:noWrap/>
            <w:vAlign w:val="center"/>
            <w:hideMark/>
          </w:tcPr>
          <w:p w14:paraId="470E9255"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112</w:t>
            </w:r>
          </w:p>
        </w:tc>
        <w:tc>
          <w:tcPr>
            <w:tcW w:w="1235" w:type="dxa"/>
            <w:tcBorders>
              <w:top w:val="nil"/>
              <w:left w:val="nil"/>
              <w:bottom w:val="nil"/>
              <w:right w:val="nil"/>
            </w:tcBorders>
            <w:shd w:val="clear" w:color="000000" w:fill="FFFFFF"/>
            <w:noWrap/>
            <w:vAlign w:val="center"/>
            <w:hideMark/>
          </w:tcPr>
          <w:p w14:paraId="1510B34E"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2262306E"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0,914</w:t>
            </w:r>
          </w:p>
        </w:tc>
        <w:tc>
          <w:tcPr>
            <w:tcW w:w="1100" w:type="dxa"/>
            <w:tcBorders>
              <w:top w:val="nil"/>
              <w:left w:val="nil"/>
              <w:bottom w:val="nil"/>
              <w:right w:val="nil"/>
            </w:tcBorders>
            <w:shd w:val="clear" w:color="000000" w:fill="FFFFFF"/>
            <w:noWrap/>
            <w:vAlign w:val="center"/>
            <w:hideMark/>
          </w:tcPr>
          <w:p w14:paraId="2BE8B026" w14:textId="19BAF641" w:rsidR="00FF1581" w:rsidRPr="008442CC" w:rsidRDefault="00FF1581" w:rsidP="008F5CC2">
            <w:pPr>
              <w:jc w:val="center"/>
              <w:rPr>
                <w:rFonts w:ascii="Calibri" w:eastAsia="Times New Roman" w:hAnsi="Calibri" w:cs="Calibri"/>
                <w:sz w:val="22"/>
                <w:szCs w:val="22"/>
                <w:lang w:val="es-ES"/>
              </w:rPr>
            </w:pPr>
          </w:p>
        </w:tc>
        <w:tc>
          <w:tcPr>
            <w:tcW w:w="1360" w:type="dxa"/>
            <w:tcBorders>
              <w:top w:val="nil"/>
              <w:left w:val="nil"/>
              <w:bottom w:val="nil"/>
              <w:right w:val="nil"/>
            </w:tcBorders>
            <w:shd w:val="clear" w:color="000000" w:fill="FFFFFF"/>
            <w:noWrap/>
            <w:vAlign w:val="center"/>
            <w:hideMark/>
          </w:tcPr>
          <w:p w14:paraId="18BA6086"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q9c_1617</w:t>
            </w:r>
          </w:p>
        </w:tc>
        <w:tc>
          <w:tcPr>
            <w:tcW w:w="1100" w:type="dxa"/>
            <w:tcBorders>
              <w:top w:val="nil"/>
              <w:left w:val="nil"/>
              <w:bottom w:val="nil"/>
              <w:right w:val="nil"/>
            </w:tcBorders>
            <w:shd w:val="clear" w:color="000000" w:fill="FFFFFF"/>
            <w:noWrap/>
            <w:vAlign w:val="center"/>
            <w:hideMark/>
          </w:tcPr>
          <w:p w14:paraId="4115A96E"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115</w:t>
            </w:r>
          </w:p>
        </w:tc>
        <w:tc>
          <w:tcPr>
            <w:tcW w:w="1100" w:type="dxa"/>
            <w:tcBorders>
              <w:top w:val="nil"/>
              <w:left w:val="nil"/>
              <w:bottom w:val="nil"/>
              <w:right w:val="nil"/>
            </w:tcBorders>
            <w:shd w:val="clear" w:color="000000" w:fill="FFFFFF"/>
            <w:noWrap/>
            <w:vAlign w:val="center"/>
            <w:hideMark/>
          </w:tcPr>
          <w:p w14:paraId="7711B600"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24702719"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0,931</w:t>
            </w:r>
          </w:p>
        </w:tc>
      </w:tr>
      <w:tr w:rsidR="00601CE0" w:rsidRPr="008442CC" w14:paraId="24E9BC84" w14:textId="77777777" w:rsidTr="008F5CC2">
        <w:trPr>
          <w:trHeight w:val="300"/>
        </w:trPr>
        <w:tc>
          <w:tcPr>
            <w:tcW w:w="1351" w:type="dxa"/>
            <w:tcBorders>
              <w:top w:val="nil"/>
              <w:left w:val="nil"/>
              <w:bottom w:val="nil"/>
              <w:right w:val="nil"/>
            </w:tcBorders>
            <w:shd w:val="clear" w:color="000000" w:fill="FFFFFF"/>
            <w:noWrap/>
            <w:vAlign w:val="center"/>
            <w:hideMark/>
          </w:tcPr>
          <w:p w14:paraId="6833CB52"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q9d_1415</w:t>
            </w:r>
          </w:p>
        </w:tc>
        <w:tc>
          <w:tcPr>
            <w:tcW w:w="1100" w:type="dxa"/>
            <w:tcBorders>
              <w:top w:val="nil"/>
              <w:left w:val="nil"/>
              <w:bottom w:val="nil"/>
              <w:right w:val="nil"/>
            </w:tcBorders>
            <w:shd w:val="clear" w:color="000000" w:fill="FFFFFF"/>
            <w:noWrap/>
            <w:vAlign w:val="center"/>
            <w:hideMark/>
          </w:tcPr>
          <w:p w14:paraId="260BE554"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235" w:type="dxa"/>
            <w:tcBorders>
              <w:top w:val="nil"/>
              <w:left w:val="nil"/>
              <w:bottom w:val="nil"/>
              <w:right w:val="nil"/>
            </w:tcBorders>
            <w:shd w:val="clear" w:color="000000" w:fill="FFFFFF"/>
            <w:noWrap/>
            <w:vAlign w:val="center"/>
            <w:hideMark/>
          </w:tcPr>
          <w:p w14:paraId="31698781"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699A68AF"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0,914</w:t>
            </w:r>
          </w:p>
        </w:tc>
        <w:tc>
          <w:tcPr>
            <w:tcW w:w="1100" w:type="dxa"/>
            <w:tcBorders>
              <w:top w:val="nil"/>
              <w:left w:val="nil"/>
              <w:bottom w:val="nil"/>
              <w:right w:val="nil"/>
            </w:tcBorders>
            <w:shd w:val="clear" w:color="000000" w:fill="FFFFFF"/>
            <w:noWrap/>
            <w:vAlign w:val="center"/>
            <w:hideMark/>
          </w:tcPr>
          <w:p w14:paraId="63AEFF87" w14:textId="3485D682" w:rsidR="00FF1581" w:rsidRPr="008442CC" w:rsidRDefault="00FF1581" w:rsidP="008F5CC2">
            <w:pPr>
              <w:jc w:val="center"/>
              <w:rPr>
                <w:rFonts w:ascii="Calibri" w:eastAsia="Times New Roman" w:hAnsi="Calibri" w:cs="Calibri"/>
                <w:sz w:val="22"/>
                <w:szCs w:val="22"/>
                <w:lang w:val="es-ES"/>
              </w:rPr>
            </w:pPr>
          </w:p>
        </w:tc>
        <w:tc>
          <w:tcPr>
            <w:tcW w:w="1360" w:type="dxa"/>
            <w:tcBorders>
              <w:top w:val="nil"/>
              <w:left w:val="nil"/>
              <w:bottom w:val="nil"/>
              <w:right w:val="nil"/>
            </w:tcBorders>
            <w:shd w:val="clear" w:color="000000" w:fill="FFFFFF"/>
            <w:noWrap/>
            <w:vAlign w:val="center"/>
            <w:hideMark/>
          </w:tcPr>
          <w:p w14:paraId="4B8DC4D8"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q9d_1617</w:t>
            </w:r>
          </w:p>
        </w:tc>
        <w:tc>
          <w:tcPr>
            <w:tcW w:w="1100" w:type="dxa"/>
            <w:tcBorders>
              <w:top w:val="nil"/>
              <w:left w:val="nil"/>
              <w:bottom w:val="nil"/>
              <w:right w:val="nil"/>
            </w:tcBorders>
            <w:shd w:val="clear" w:color="000000" w:fill="FFFFFF"/>
            <w:noWrap/>
            <w:vAlign w:val="center"/>
            <w:hideMark/>
          </w:tcPr>
          <w:p w14:paraId="18C57467"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100" w:type="dxa"/>
            <w:tcBorders>
              <w:top w:val="nil"/>
              <w:left w:val="nil"/>
              <w:bottom w:val="nil"/>
              <w:right w:val="nil"/>
            </w:tcBorders>
            <w:shd w:val="clear" w:color="000000" w:fill="FFFFFF"/>
            <w:noWrap/>
            <w:vAlign w:val="center"/>
            <w:hideMark/>
          </w:tcPr>
          <w:p w14:paraId="6A0F5667"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7F81781C"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0,931</w:t>
            </w:r>
          </w:p>
        </w:tc>
      </w:tr>
      <w:tr w:rsidR="00601CE0" w:rsidRPr="008442CC" w14:paraId="3EA34B50" w14:textId="77777777" w:rsidTr="008F5CC2">
        <w:trPr>
          <w:trHeight w:val="300"/>
        </w:trPr>
        <w:tc>
          <w:tcPr>
            <w:tcW w:w="1351" w:type="dxa"/>
            <w:tcBorders>
              <w:top w:val="nil"/>
              <w:left w:val="nil"/>
              <w:bottom w:val="nil"/>
              <w:right w:val="nil"/>
            </w:tcBorders>
            <w:shd w:val="clear" w:color="000000" w:fill="FFFFFF"/>
            <w:noWrap/>
            <w:vAlign w:val="center"/>
            <w:hideMark/>
          </w:tcPr>
          <w:p w14:paraId="35F1CE9F"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q9e_1415</w:t>
            </w:r>
          </w:p>
        </w:tc>
        <w:tc>
          <w:tcPr>
            <w:tcW w:w="1100" w:type="dxa"/>
            <w:tcBorders>
              <w:top w:val="nil"/>
              <w:left w:val="nil"/>
              <w:bottom w:val="nil"/>
              <w:right w:val="nil"/>
            </w:tcBorders>
            <w:shd w:val="clear" w:color="000000" w:fill="FFFFFF"/>
            <w:noWrap/>
            <w:vAlign w:val="center"/>
            <w:hideMark/>
          </w:tcPr>
          <w:p w14:paraId="18908C38"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235" w:type="dxa"/>
            <w:tcBorders>
              <w:top w:val="nil"/>
              <w:left w:val="nil"/>
              <w:bottom w:val="nil"/>
              <w:right w:val="nil"/>
            </w:tcBorders>
            <w:shd w:val="clear" w:color="000000" w:fill="FFFFFF"/>
            <w:noWrap/>
            <w:vAlign w:val="center"/>
            <w:hideMark/>
          </w:tcPr>
          <w:p w14:paraId="7C600DBE"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4E66F0D1"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0,915</w:t>
            </w:r>
          </w:p>
        </w:tc>
        <w:tc>
          <w:tcPr>
            <w:tcW w:w="1100" w:type="dxa"/>
            <w:tcBorders>
              <w:top w:val="nil"/>
              <w:left w:val="nil"/>
              <w:bottom w:val="nil"/>
              <w:right w:val="nil"/>
            </w:tcBorders>
            <w:shd w:val="clear" w:color="000000" w:fill="FFFFFF"/>
            <w:noWrap/>
            <w:vAlign w:val="center"/>
            <w:hideMark/>
          </w:tcPr>
          <w:p w14:paraId="5E31541F" w14:textId="0D830A3A" w:rsidR="00FF1581" w:rsidRPr="008442CC" w:rsidRDefault="00FF1581" w:rsidP="008F5CC2">
            <w:pPr>
              <w:jc w:val="center"/>
              <w:rPr>
                <w:rFonts w:ascii="Calibri" w:eastAsia="Times New Roman" w:hAnsi="Calibri" w:cs="Calibri"/>
                <w:sz w:val="22"/>
                <w:szCs w:val="22"/>
                <w:lang w:val="es-ES"/>
              </w:rPr>
            </w:pPr>
          </w:p>
        </w:tc>
        <w:tc>
          <w:tcPr>
            <w:tcW w:w="1360" w:type="dxa"/>
            <w:tcBorders>
              <w:top w:val="nil"/>
              <w:left w:val="nil"/>
              <w:bottom w:val="nil"/>
              <w:right w:val="nil"/>
            </w:tcBorders>
            <w:shd w:val="clear" w:color="000000" w:fill="FFFFFF"/>
            <w:noWrap/>
            <w:vAlign w:val="center"/>
            <w:hideMark/>
          </w:tcPr>
          <w:p w14:paraId="25750D11"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q9e_1617</w:t>
            </w:r>
          </w:p>
        </w:tc>
        <w:tc>
          <w:tcPr>
            <w:tcW w:w="1100" w:type="dxa"/>
            <w:tcBorders>
              <w:top w:val="nil"/>
              <w:left w:val="nil"/>
              <w:bottom w:val="nil"/>
              <w:right w:val="nil"/>
            </w:tcBorders>
            <w:shd w:val="clear" w:color="000000" w:fill="FFFFFF"/>
            <w:noWrap/>
            <w:vAlign w:val="center"/>
            <w:hideMark/>
          </w:tcPr>
          <w:p w14:paraId="16831CEB"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115</w:t>
            </w:r>
          </w:p>
        </w:tc>
        <w:tc>
          <w:tcPr>
            <w:tcW w:w="1100" w:type="dxa"/>
            <w:tcBorders>
              <w:top w:val="nil"/>
              <w:left w:val="nil"/>
              <w:bottom w:val="nil"/>
              <w:right w:val="nil"/>
            </w:tcBorders>
            <w:shd w:val="clear" w:color="000000" w:fill="FFFFFF"/>
            <w:noWrap/>
            <w:vAlign w:val="center"/>
            <w:hideMark/>
          </w:tcPr>
          <w:p w14:paraId="3EF931BF"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2D0F4A54"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0,930</w:t>
            </w:r>
          </w:p>
        </w:tc>
      </w:tr>
      <w:tr w:rsidR="00601CE0" w:rsidRPr="008442CC" w14:paraId="78007B58" w14:textId="77777777" w:rsidTr="008F5CC2">
        <w:trPr>
          <w:trHeight w:val="300"/>
        </w:trPr>
        <w:tc>
          <w:tcPr>
            <w:tcW w:w="1351" w:type="dxa"/>
            <w:tcBorders>
              <w:top w:val="nil"/>
              <w:left w:val="nil"/>
              <w:bottom w:val="nil"/>
              <w:right w:val="nil"/>
            </w:tcBorders>
            <w:shd w:val="clear" w:color="000000" w:fill="FFFFFF"/>
            <w:noWrap/>
            <w:vAlign w:val="center"/>
            <w:hideMark/>
          </w:tcPr>
          <w:p w14:paraId="198D0AE4"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q10a_1415</w:t>
            </w:r>
          </w:p>
        </w:tc>
        <w:tc>
          <w:tcPr>
            <w:tcW w:w="1100" w:type="dxa"/>
            <w:tcBorders>
              <w:top w:val="nil"/>
              <w:left w:val="nil"/>
              <w:bottom w:val="nil"/>
              <w:right w:val="nil"/>
            </w:tcBorders>
            <w:shd w:val="clear" w:color="000000" w:fill="FFFFFF"/>
            <w:noWrap/>
            <w:vAlign w:val="center"/>
            <w:hideMark/>
          </w:tcPr>
          <w:p w14:paraId="52E7839A"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115</w:t>
            </w:r>
          </w:p>
        </w:tc>
        <w:tc>
          <w:tcPr>
            <w:tcW w:w="1235" w:type="dxa"/>
            <w:tcBorders>
              <w:top w:val="nil"/>
              <w:left w:val="nil"/>
              <w:bottom w:val="nil"/>
              <w:right w:val="nil"/>
            </w:tcBorders>
            <w:shd w:val="clear" w:color="000000" w:fill="FFFFFF"/>
            <w:noWrap/>
            <w:vAlign w:val="center"/>
            <w:hideMark/>
          </w:tcPr>
          <w:p w14:paraId="16B07C52"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147E851A"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0,916</w:t>
            </w:r>
          </w:p>
        </w:tc>
        <w:tc>
          <w:tcPr>
            <w:tcW w:w="1100" w:type="dxa"/>
            <w:tcBorders>
              <w:top w:val="nil"/>
              <w:left w:val="nil"/>
              <w:bottom w:val="nil"/>
              <w:right w:val="nil"/>
            </w:tcBorders>
            <w:shd w:val="clear" w:color="000000" w:fill="FFFFFF"/>
            <w:noWrap/>
            <w:vAlign w:val="center"/>
            <w:hideMark/>
          </w:tcPr>
          <w:p w14:paraId="54C4F6A8" w14:textId="772C141B" w:rsidR="00FF1581" w:rsidRPr="008442CC" w:rsidRDefault="00FF1581" w:rsidP="008F5CC2">
            <w:pPr>
              <w:jc w:val="center"/>
              <w:rPr>
                <w:rFonts w:ascii="Calibri" w:eastAsia="Times New Roman" w:hAnsi="Calibri" w:cs="Calibri"/>
                <w:sz w:val="22"/>
                <w:szCs w:val="22"/>
                <w:lang w:val="es-ES"/>
              </w:rPr>
            </w:pPr>
          </w:p>
        </w:tc>
        <w:tc>
          <w:tcPr>
            <w:tcW w:w="1360" w:type="dxa"/>
            <w:tcBorders>
              <w:top w:val="nil"/>
              <w:left w:val="nil"/>
              <w:bottom w:val="nil"/>
              <w:right w:val="nil"/>
            </w:tcBorders>
            <w:shd w:val="clear" w:color="000000" w:fill="FFFFFF"/>
            <w:noWrap/>
            <w:vAlign w:val="center"/>
            <w:hideMark/>
          </w:tcPr>
          <w:p w14:paraId="23377E6C"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q10a_1617</w:t>
            </w:r>
          </w:p>
        </w:tc>
        <w:tc>
          <w:tcPr>
            <w:tcW w:w="1100" w:type="dxa"/>
            <w:tcBorders>
              <w:top w:val="nil"/>
              <w:left w:val="nil"/>
              <w:bottom w:val="nil"/>
              <w:right w:val="nil"/>
            </w:tcBorders>
            <w:shd w:val="clear" w:color="000000" w:fill="FFFFFF"/>
            <w:noWrap/>
            <w:vAlign w:val="center"/>
            <w:hideMark/>
          </w:tcPr>
          <w:p w14:paraId="22F9C496"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100" w:type="dxa"/>
            <w:tcBorders>
              <w:top w:val="nil"/>
              <w:left w:val="nil"/>
              <w:bottom w:val="nil"/>
              <w:right w:val="nil"/>
            </w:tcBorders>
            <w:shd w:val="clear" w:color="000000" w:fill="FFFFFF"/>
            <w:noWrap/>
            <w:vAlign w:val="center"/>
            <w:hideMark/>
          </w:tcPr>
          <w:p w14:paraId="62F76FAE"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2CB006C5"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0,932</w:t>
            </w:r>
          </w:p>
        </w:tc>
      </w:tr>
      <w:tr w:rsidR="00601CE0" w:rsidRPr="008442CC" w14:paraId="4487275C" w14:textId="77777777" w:rsidTr="008F5CC2">
        <w:trPr>
          <w:trHeight w:val="300"/>
        </w:trPr>
        <w:tc>
          <w:tcPr>
            <w:tcW w:w="1351" w:type="dxa"/>
            <w:tcBorders>
              <w:top w:val="nil"/>
              <w:left w:val="nil"/>
              <w:bottom w:val="nil"/>
              <w:right w:val="nil"/>
            </w:tcBorders>
            <w:shd w:val="clear" w:color="000000" w:fill="FFFFFF"/>
            <w:noWrap/>
            <w:vAlign w:val="center"/>
            <w:hideMark/>
          </w:tcPr>
          <w:p w14:paraId="4588DF9F"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q10b_1415</w:t>
            </w:r>
          </w:p>
        </w:tc>
        <w:tc>
          <w:tcPr>
            <w:tcW w:w="1100" w:type="dxa"/>
            <w:tcBorders>
              <w:top w:val="nil"/>
              <w:left w:val="nil"/>
              <w:bottom w:val="nil"/>
              <w:right w:val="nil"/>
            </w:tcBorders>
            <w:shd w:val="clear" w:color="000000" w:fill="FFFFFF"/>
            <w:noWrap/>
            <w:vAlign w:val="center"/>
            <w:hideMark/>
          </w:tcPr>
          <w:p w14:paraId="2EF7ABF5"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235" w:type="dxa"/>
            <w:tcBorders>
              <w:top w:val="nil"/>
              <w:left w:val="nil"/>
              <w:bottom w:val="nil"/>
              <w:right w:val="nil"/>
            </w:tcBorders>
            <w:shd w:val="clear" w:color="000000" w:fill="FFFFFF"/>
            <w:noWrap/>
            <w:vAlign w:val="center"/>
            <w:hideMark/>
          </w:tcPr>
          <w:p w14:paraId="6E8C9DA2"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4689C144"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0,917</w:t>
            </w:r>
          </w:p>
        </w:tc>
        <w:tc>
          <w:tcPr>
            <w:tcW w:w="1100" w:type="dxa"/>
            <w:tcBorders>
              <w:top w:val="nil"/>
              <w:left w:val="nil"/>
              <w:bottom w:val="nil"/>
              <w:right w:val="nil"/>
            </w:tcBorders>
            <w:shd w:val="clear" w:color="000000" w:fill="FFFFFF"/>
            <w:noWrap/>
            <w:vAlign w:val="center"/>
            <w:hideMark/>
          </w:tcPr>
          <w:p w14:paraId="2DC82DEA" w14:textId="710C431F" w:rsidR="00FF1581" w:rsidRPr="008442CC" w:rsidRDefault="00FF1581" w:rsidP="008F5CC2">
            <w:pPr>
              <w:jc w:val="center"/>
              <w:rPr>
                <w:rFonts w:ascii="Calibri" w:eastAsia="Times New Roman" w:hAnsi="Calibri" w:cs="Calibri"/>
                <w:sz w:val="22"/>
                <w:szCs w:val="22"/>
                <w:lang w:val="es-ES"/>
              </w:rPr>
            </w:pPr>
          </w:p>
        </w:tc>
        <w:tc>
          <w:tcPr>
            <w:tcW w:w="1360" w:type="dxa"/>
            <w:tcBorders>
              <w:top w:val="nil"/>
              <w:left w:val="nil"/>
              <w:bottom w:val="nil"/>
              <w:right w:val="nil"/>
            </w:tcBorders>
            <w:shd w:val="clear" w:color="000000" w:fill="FFFFFF"/>
            <w:noWrap/>
            <w:vAlign w:val="center"/>
            <w:hideMark/>
          </w:tcPr>
          <w:p w14:paraId="7396262C"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q10b_1617</w:t>
            </w:r>
          </w:p>
        </w:tc>
        <w:tc>
          <w:tcPr>
            <w:tcW w:w="1100" w:type="dxa"/>
            <w:tcBorders>
              <w:top w:val="nil"/>
              <w:left w:val="nil"/>
              <w:bottom w:val="nil"/>
              <w:right w:val="nil"/>
            </w:tcBorders>
            <w:shd w:val="clear" w:color="000000" w:fill="FFFFFF"/>
            <w:noWrap/>
            <w:vAlign w:val="center"/>
            <w:hideMark/>
          </w:tcPr>
          <w:p w14:paraId="624360B7"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100" w:type="dxa"/>
            <w:tcBorders>
              <w:top w:val="nil"/>
              <w:left w:val="nil"/>
              <w:bottom w:val="nil"/>
              <w:right w:val="nil"/>
            </w:tcBorders>
            <w:shd w:val="clear" w:color="000000" w:fill="FFFFFF"/>
            <w:noWrap/>
            <w:vAlign w:val="center"/>
            <w:hideMark/>
          </w:tcPr>
          <w:p w14:paraId="4DE23AB3"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618849E1"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0,930</w:t>
            </w:r>
          </w:p>
        </w:tc>
      </w:tr>
      <w:tr w:rsidR="00601CE0" w:rsidRPr="008442CC" w14:paraId="60EECCB6" w14:textId="77777777" w:rsidTr="008F5CC2">
        <w:trPr>
          <w:trHeight w:val="300"/>
        </w:trPr>
        <w:tc>
          <w:tcPr>
            <w:tcW w:w="1351" w:type="dxa"/>
            <w:tcBorders>
              <w:top w:val="nil"/>
              <w:left w:val="nil"/>
              <w:bottom w:val="nil"/>
              <w:right w:val="nil"/>
            </w:tcBorders>
            <w:shd w:val="clear" w:color="000000" w:fill="FFFFFF"/>
            <w:noWrap/>
            <w:vAlign w:val="center"/>
            <w:hideMark/>
          </w:tcPr>
          <w:p w14:paraId="0FFDE079"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q11a_1415</w:t>
            </w:r>
          </w:p>
        </w:tc>
        <w:tc>
          <w:tcPr>
            <w:tcW w:w="1100" w:type="dxa"/>
            <w:tcBorders>
              <w:top w:val="nil"/>
              <w:left w:val="nil"/>
              <w:bottom w:val="nil"/>
              <w:right w:val="nil"/>
            </w:tcBorders>
            <w:shd w:val="clear" w:color="000000" w:fill="FFFFFF"/>
            <w:noWrap/>
            <w:vAlign w:val="center"/>
            <w:hideMark/>
          </w:tcPr>
          <w:p w14:paraId="19993297"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235" w:type="dxa"/>
            <w:tcBorders>
              <w:top w:val="nil"/>
              <w:left w:val="nil"/>
              <w:bottom w:val="nil"/>
              <w:right w:val="nil"/>
            </w:tcBorders>
            <w:shd w:val="clear" w:color="000000" w:fill="FFFFFF"/>
            <w:noWrap/>
            <w:vAlign w:val="center"/>
            <w:hideMark/>
          </w:tcPr>
          <w:p w14:paraId="253679EA"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54B40252"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0,919</w:t>
            </w:r>
          </w:p>
        </w:tc>
        <w:tc>
          <w:tcPr>
            <w:tcW w:w="1100" w:type="dxa"/>
            <w:tcBorders>
              <w:top w:val="nil"/>
              <w:left w:val="nil"/>
              <w:bottom w:val="nil"/>
              <w:right w:val="nil"/>
            </w:tcBorders>
            <w:shd w:val="clear" w:color="000000" w:fill="FFFFFF"/>
            <w:noWrap/>
            <w:vAlign w:val="center"/>
            <w:hideMark/>
          </w:tcPr>
          <w:p w14:paraId="18C9EA38" w14:textId="7E77EB14" w:rsidR="00FF1581" w:rsidRPr="008442CC" w:rsidRDefault="00FF1581" w:rsidP="008F5CC2">
            <w:pPr>
              <w:jc w:val="center"/>
              <w:rPr>
                <w:rFonts w:ascii="Calibri" w:eastAsia="Times New Roman" w:hAnsi="Calibri" w:cs="Calibri"/>
                <w:sz w:val="22"/>
                <w:szCs w:val="22"/>
                <w:lang w:val="es-ES"/>
              </w:rPr>
            </w:pPr>
          </w:p>
        </w:tc>
        <w:tc>
          <w:tcPr>
            <w:tcW w:w="1360" w:type="dxa"/>
            <w:tcBorders>
              <w:top w:val="nil"/>
              <w:left w:val="nil"/>
              <w:bottom w:val="nil"/>
              <w:right w:val="nil"/>
            </w:tcBorders>
            <w:shd w:val="clear" w:color="000000" w:fill="FFFFFF"/>
            <w:noWrap/>
            <w:vAlign w:val="center"/>
            <w:hideMark/>
          </w:tcPr>
          <w:p w14:paraId="152B2570"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q11a_1617</w:t>
            </w:r>
          </w:p>
        </w:tc>
        <w:tc>
          <w:tcPr>
            <w:tcW w:w="1100" w:type="dxa"/>
            <w:tcBorders>
              <w:top w:val="nil"/>
              <w:left w:val="nil"/>
              <w:bottom w:val="nil"/>
              <w:right w:val="nil"/>
            </w:tcBorders>
            <w:shd w:val="clear" w:color="000000" w:fill="FFFFFF"/>
            <w:noWrap/>
            <w:vAlign w:val="center"/>
            <w:hideMark/>
          </w:tcPr>
          <w:p w14:paraId="3347EAEB"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100" w:type="dxa"/>
            <w:tcBorders>
              <w:top w:val="nil"/>
              <w:left w:val="nil"/>
              <w:bottom w:val="nil"/>
              <w:right w:val="nil"/>
            </w:tcBorders>
            <w:shd w:val="clear" w:color="000000" w:fill="FFFFFF"/>
            <w:noWrap/>
            <w:vAlign w:val="center"/>
            <w:hideMark/>
          </w:tcPr>
          <w:p w14:paraId="690BF9CF"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09AD85B3"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0,934</w:t>
            </w:r>
          </w:p>
        </w:tc>
      </w:tr>
      <w:tr w:rsidR="00601CE0" w:rsidRPr="008442CC" w14:paraId="17BE11D2" w14:textId="77777777" w:rsidTr="008F5CC2">
        <w:trPr>
          <w:trHeight w:val="300"/>
        </w:trPr>
        <w:tc>
          <w:tcPr>
            <w:tcW w:w="1351" w:type="dxa"/>
            <w:tcBorders>
              <w:top w:val="nil"/>
              <w:left w:val="nil"/>
              <w:bottom w:val="nil"/>
              <w:right w:val="nil"/>
            </w:tcBorders>
            <w:shd w:val="clear" w:color="000000" w:fill="FFFFFF"/>
            <w:noWrap/>
            <w:vAlign w:val="center"/>
            <w:hideMark/>
          </w:tcPr>
          <w:p w14:paraId="44305428"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q11b_1415</w:t>
            </w:r>
          </w:p>
        </w:tc>
        <w:tc>
          <w:tcPr>
            <w:tcW w:w="1100" w:type="dxa"/>
            <w:tcBorders>
              <w:top w:val="nil"/>
              <w:left w:val="nil"/>
              <w:bottom w:val="nil"/>
              <w:right w:val="nil"/>
            </w:tcBorders>
            <w:shd w:val="clear" w:color="000000" w:fill="FFFFFF"/>
            <w:noWrap/>
            <w:vAlign w:val="center"/>
            <w:hideMark/>
          </w:tcPr>
          <w:p w14:paraId="0D196DE8"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235" w:type="dxa"/>
            <w:tcBorders>
              <w:top w:val="nil"/>
              <w:left w:val="nil"/>
              <w:bottom w:val="nil"/>
              <w:right w:val="nil"/>
            </w:tcBorders>
            <w:shd w:val="clear" w:color="000000" w:fill="FFFFFF"/>
            <w:noWrap/>
            <w:vAlign w:val="center"/>
            <w:hideMark/>
          </w:tcPr>
          <w:p w14:paraId="239A1BEC"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32B76511"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0,915</w:t>
            </w:r>
          </w:p>
        </w:tc>
        <w:tc>
          <w:tcPr>
            <w:tcW w:w="1100" w:type="dxa"/>
            <w:tcBorders>
              <w:top w:val="nil"/>
              <w:left w:val="nil"/>
              <w:bottom w:val="nil"/>
              <w:right w:val="nil"/>
            </w:tcBorders>
            <w:shd w:val="clear" w:color="000000" w:fill="FFFFFF"/>
            <w:noWrap/>
            <w:vAlign w:val="center"/>
            <w:hideMark/>
          </w:tcPr>
          <w:p w14:paraId="40ACF8AB" w14:textId="598250FB" w:rsidR="00FF1581" w:rsidRPr="008442CC" w:rsidRDefault="00FF1581" w:rsidP="008F5CC2">
            <w:pPr>
              <w:jc w:val="center"/>
              <w:rPr>
                <w:rFonts w:ascii="Calibri" w:eastAsia="Times New Roman" w:hAnsi="Calibri" w:cs="Calibri"/>
                <w:sz w:val="22"/>
                <w:szCs w:val="22"/>
                <w:lang w:val="es-ES"/>
              </w:rPr>
            </w:pPr>
          </w:p>
        </w:tc>
        <w:tc>
          <w:tcPr>
            <w:tcW w:w="1360" w:type="dxa"/>
            <w:tcBorders>
              <w:top w:val="nil"/>
              <w:left w:val="nil"/>
              <w:bottom w:val="nil"/>
              <w:right w:val="nil"/>
            </w:tcBorders>
            <w:shd w:val="clear" w:color="000000" w:fill="FFFFFF"/>
            <w:noWrap/>
            <w:vAlign w:val="center"/>
            <w:hideMark/>
          </w:tcPr>
          <w:p w14:paraId="46CC9A80"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q11b_1617</w:t>
            </w:r>
          </w:p>
        </w:tc>
        <w:tc>
          <w:tcPr>
            <w:tcW w:w="1100" w:type="dxa"/>
            <w:tcBorders>
              <w:top w:val="nil"/>
              <w:left w:val="nil"/>
              <w:bottom w:val="nil"/>
              <w:right w:val="nil"/>
            </w:tcBorders>
            <w:shd w:val="clear" w:color="000000" w:fill="FFFFFF"/>
            <w:noWrap/>
            <w:vAlign w:val="center"/>
            <w:hideMark/>
          </w:tcPr>
          <w:p w14:paraId="32500D4C"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116</w:t>
            </w:r>
          </w:p>
        </w:tc>
        <w:tc>
          <w:tcPr>
            <w:tcW w:w="1100" w:type="dxa"/>
            <w:tcBorders>
              <w:top w:val="nil"/>
              <w:left w:val="nil"/>
              <w:bottom w:val="nil"/>
              <w:right w:val="nil"/>
            </w:tcBorders>
            <w:shd w:val="clear" w:color="000000" w:fill="FFFFFF"/>
            <w:noWrap/>
            <w:vAlign w:val="center"/>
            <w:hideMark/>
          </w:tcPr>
          <w:p w14:paraId="441AEC8F" w14:textId="77777777" w:rsidR="00FF1581" w:rsidRPr="008442CC" w:rsidRDefault="00FF1581" w:rsidP="00FF1581">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w:t>
            </w:r>
          </w:p>
        </w:tc>
        <w:tc>
          <w:tcPr>
            <w:tcW w:w="1100" w:type="dxa"/>
            <w:tcBorders>
              <w:top w:val="nil"/>
              <w:left w:val="nil"/>
              <w:bottom w:val="nil"/>
              <w:right w:val="nil"/>
            </w:tcBorders>
            <w:shd w:val="clear" w:color="000000" w:fill="FFFFFF"/>
            <w:noWrap/>
            <w:vAlign w:val="center"/>
            <w:hideMark/>
          </w:tcPr>
          <w:p w14:paraId="7870BAE0"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0,930</w:t>
            </w:r>
          </w:p>
        </w:tc>
      </w:tr>
      <w:tr w:rsidR="00601CE0" w:rsidRPr="008442CC" w14:paraId="6069D6D7" w14:textId="77777777" w:rsidTr="008F5CC2">
        <w:trPr>
          <w:trHeight w:val="320"/>
        </w:trPr>
        <w:tc>
          <w:tcPr>
            <w:tcW w:w="1351" w:type="dxa"/>
            <w:tcBorders>
              <w:top w:val="single" w:sz="4" w:space="0" w:color="auto"/>
              <w:left w:val="nil"/>
              <w:bottom w:val="single" w:sz="8" w:space="0" w:color="auto"/>
              <w:right w:val="nil"/>
            </w:tcBorders>
            <w:shd w:val="clear" w:color="000000" w:fill="FFFFFF"/>
            <w:noWrap/>
            <w:vAlign w:val="center"/>
            <w:hideMark/>
          </w:tcPr>
          <w:p w14:paraId="71BE753C"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 xml:space="preserve">Test </w:t>
            </w:r>
            <w:proofErr w:type="spellStart"/>
            <w:r w:rsidRPr="008442CC">
              <w:rPr>
                <w:rFonts w:ascii="Calibri" w:eastAsia="Times New Roman" w:hAnsi="Calibri" w:cs="Calibri"/>
                <w:sz w:val="22"/>
                <w:szCs w:val="22"/>
                <w:lang w:val="es-ES"/>
              </w:rPr>
              <w:t>scale</w:t>
            </w:r>
            <w:proofErr w:type="spellEnd"/>
          </w:p>
        </w:tc>
        <w:tc>
          <w:tcPr>
            <w:tcW w:w="1100" w:type="dxa"/>
            <w:tcBorders>
              <w:top w:val="single" w:sz="4" w:space="0" w:color="auto"/>
              <w:left w:val="nil"/>
              <w:bottom w:val="single" w:sz="8" w:space="0" w:color="auto"/>
              <w:right w:val="nil"/>
            </w:tcBorders>
            <w:shd w:val="clear" w:color="000000" w:fill="FFFFFF"/>
            <w:noWrap/>
            <w:vAlign w:val="center"/>
            <w:hideMark/>
          </w:tcPr>
          <w:p w14:paraId="32A477BB" w14:textId="77698A9E" w:rsidR="00FF1581" w:rsidRPr="008442CC" w:rsidRDefault="00FF1581" w:rsidP="008F5CC2">
            <w:pPr>
              <w:jc w:val="center"/>
              <w:rPr>
                <w:rFonts w:ascii="Calibri" w:eastAsia="Times New Roman" w:hAnsi="Calibri" w:cs="Calibri"/>
                <w:sz w:val="22"/>
                <w:szCs w:val="22"/>
                <w:lang w:val="es-ES"/>
              </w:rPr>
            </w:pPr>
          </w:p>
        </w:tc>
        <w:tc>
          <w:tcPr>
            <w:tcW w:w="1235" w:type="dxa"/>
            <w:tcBorders>
              <w:top w:val="single" w:sz="4" w:space="0" w:color="auto"/>
              <w:left w:val="nil"/>
              <w:bottom w:val="single" w:sz="8" w:space="0" w:color="auto"/>
              <w:right w:val="nil"/>
            </w:tcBorders>
            <w:shd w:val="clear" w:color="000000" w:fill="FFFFFF"/>
            <w:noWrap/>
            <w:vAlign w:val="center"/>
            <w:hideMark/>
          </w:tcPr>
          <w:p w14:paraId="6A92215D" w14:textId="26F7BCA5" w:rsidR="00FF1581" w:rsidRPr="008442CC" w:rsidRDefault="00FF1581" w:rsidP="008F5CC2">
            <w:pPr>
              <w:jc w:val="center"/>
              <w:rPr>
                <w:rFonts w:ascii="Calibri" w:eastAsia="Times New Roman" w:hAnsi="Calibri" w:cs="Calibri"/>
                <w:sz w:val="22"/>
                <w:szCs w:val="22"/>
                <w:lang w:val="es-ES"/>
              </w:rPr>
            </w:pPr>
          </w:p>
        </w:tc>
        <w:tc>
          <w:tcPr>
            <w:tcW w:w="1100" w:type="dxa"/>
            <w:tcBorders>
              <w:top w:val="single" w:sz="4" w:space="0" w:color="auto"/>
              <w:left w:val="nil"/>
              <w:bottom w:val="single" w:sz="8" w:space="0" w:color="auto"/>
              <w:right w:val="nil"/>
            </w:tcBorders>
            <w:shd w:val="clear" w:color="000000" w:fill="FFFFFF"/>
            <w:noWrap/>
            <w:vAlign w:val="center"/>
            <w:hideMark/>
          </w:tcPr>
          <w:p w14:paraId="7D6BF3D1"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0,920</w:t>
            </w:r>
          </w:p>
        </w:tc>
        <w:tc>
          <w:tcPr>
            <w:tcW w:w="1100" w:type="dxa"/>
            <w:tcBorders>
              <w:top w:val="nil"/>
              <w:left w:val="nil"/>
              <w:bottom w:val="nil"/>
              <w:right w:val="nil"/>
            </w:tcBorders>
            <w:shd w:val="clear" w:color="000000" w:fill="FFFFFF"/>
            <w:noWrap/>
            <w:vAlign w:val="center"/>
            <w:hideMark/>
          </w:tcPr>
          <w:p w14:paraId="31759E60" w14:textId="21442A17" w:rsidR="00FF1581" w:rsidRPr="008442CC" w:rsidRDefault="00FF1581" w:rsidP="008F5CC2">
            <w:pPr>
              <w:jc w:val="center"/>
              <w:rPr>
                <w:rFonts w:ascii="Calibri" w:eastAsia="Times New Roman" w:hAnsi="Calibri" w:cs="Calibri"/>
                <w:sz w:val="22"/>
                <w:szCs w:val="22"/>
                <w:lang w:val="es-ES"/>
              </w:rPr>
            </w:pPr>
          </w:p>
        </w:tc>
        <w:tc>
          <w:tcPr>
            <w:tcW w:w="1360" w:type="dxa"/>
            <w:tcBorders>
              <w:top w:val="single" w:sz="4" w:space="0" w:color="auto"/>
              <w:left w:val="nil"/>
              <w:bottom w:val="single" w:sz="8" w:space="0" w:color="auto"/>
              <w:right w:val="nil"/>
            </w:tcBorders>
            <w:shd w:val="clear" w:color="000000" w:fill="FFFFFF"/>
            <w:noWrap/>
            <w:vAlign w:val="center"/>
            <w:hideMark/>
          </w:tcPr>
          <w:p w14:paraId="08498FB0"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 xml:space="preserve">Test </w:t>
            </w:r>
            <w:proofErr w:type="spellStart"/>
            <w:r w:rsidRPr="008442CC">
              <w:rPr>
                <w:rFonts w:ascii="Calibri" w:eastAsia="Times New Roman" w:hAnsi="Calibri" w:cs="Calibri"/>
                <w:sz w:val="22"/>
                <w:szCs w:val="22"/>
                <w:lang w:val="es-ES"/>
              </w:rPr>
              <w:t>scale</w:t>
            </w:r>
            <w:proofErr w:type="spellEnd"/>
          </w:p>
        </w:tc>
        <w:tc>
          <w:tcPr>
            <w:tcW w:w="1100" w:type="dxa"/>
            <w:tcBorders>
              <w:top w:val="single" w:sz="4" w:space="0" w:color="auto"/>
              <w:left w:val="nil"/>
              <w:bottom w:val="single" w:sz="8" w:space="0" w:color="auto"/>
              <w:right w:val="nil"/>
            </w:tcBorders>
            <w:shd w:val="clear" w:color="000000" w:fill="FFFFFF"/>
            <w:noWrap/>
            <w:vAlign w:val="center"/>
            <w:hideMark/>
          </w:tcPr>
          <w:p w14:paraId="0919F901" w14:textId="4F0F8979" w:rsidR="00FF1581" w:rsidRPr="008442CC" w:rsidRDefault="00FF1581" w:rsidP="008F5CC2">
            <w:pPr>
              <w:jc w:val="center"/>
              <w:rPr>
                <w:rFonts w:ascii="Calibri" w:eastAsia="Times New Roman" w:hAnsi="Calibri" w:cs="Calibri"/>
                <w:sz w:val="22"/>
                <w:szCs w:val="22"/>
                <w:lang w:val="es-ES"/>
              </w:rPr>
            </w:pPr>
          </w:p>
        </w:tc>
        <w:tc>
          <w:tcPr>
            <w:tcW w:w="1100" w:type="dxa"/>
            <w:tcBorders>
              <w:top w:val="single" w:sz="4" w:space="0" w:color="auto"/>
              <w:left w:val="nil"/>
              <w:bottom w:val="single" w:sz="8" w:space="0" w:color="auto"/>
              <w:right w:val="nil"/>
            </w:tcBorders>
            <w:shd w:val="clear" w:color="000000" w:fill="FFFFFF"/>
            <w:noWrap/>
            <w:vAlign w:val="center"/>
            <w:hideMark/>
          </w:tcPr>
          <w:p w14:paraId="44725954" w14:textId="2219CDFC" w:rsidR="00FF1581" w:rsidRPr="008442CC" w:rsidRDefault="00FF1581" w:rsidP="008F5CC2">
            <w:pPr>
              <w:jc w:val="center"/>
              <w:rPr>
                <w:rFonts w:ascii="Calibri" w:eastAsia="Times New Roman" w:hAnsi="Calibri" w:cs="Calibri"/>
                <w:sz w:val="22"/>
                <w:szCs w:val="22"/>
                <w:lang w:val="es-ES"/>
              </w:rPr>
            </w:pPr>
          </w:p>
        </w:tc>
        <w:tc>
          <w:tcPr>
            <w:tcW w:w="1100" w:type="dxa"/>
            <w:tcBorders>
              <w:top w:val="single" w:sz="4" w:space="0" w:color="auto"/>
              <w:left w:val="nil"/>
              <w:bottom w:val="single" w:sz="8" w:space="0" w:color="auto"/>
              <w:right w:val="nil"/>
            </w:tcBorders>
            <w:shd w:val="clear" w:color="000000" w:fill="FFFFFF"/>
            <w:noWrap/>
            <w:vAlign w:val="center"/>
            <w:hideMark/>
          </w:tcPr>
          <w:p w14:paraId="0DB7D4C2" w14:textId="77777777" w:rsidR="00FF1581" w:rsidRPr="008442CC" w:rsidRDefault="00FF1581" w:rsidP="008F5CC2">
            <w:pPr>
              <w:jc w:val="center"/>
              <w:rPr>
                <w:rFonts w:ascii="Calibri" w:eastAsia="Times New Roman" w:hAnsi="Calibri" w:cs="Calibri"/>
                <w:sz w:val="22"/>
                <w:szCs w:val="22"/>
                <w:lang w:val="es-ES"/>
              </w:rPr>
            </w:pPr>
            <w:r w:rsidRPr="008442CC">
              <w:rPr>
                <w:rFonts w:ascii="Calibri" w:eastAsia="Times New Roman" w:hAnsi="Calibri" w:cs="Calibri"/>
                <w:sz w:val="22"/>
                <w:szCs w:val="22"/>
                <w:lang w:val="es-ES"/>
              </w:rPr>
              <w:t>0,935</w:t>
            </w:r>
          </w:p>
        </w:tc>
      </w:tr>
    </w:tbl>
    <w:p w14:paraId="0A2A2663" w14:textId="3F508A13" w:rsidR="00FF1581" w:rsidRPr="008442CC" w:rsidRDefault="00FF1581" w:rsidP="00E21643">
      <w:pPr>
        <w:spacing w:after="240"/>
        <w:jc w:val="both"/>
        <w:rPr>
          <w:rFonts w:ascii="Calibri" w:hAnsi="Calibri" w:cs="Calibri"/>
        </w:rPr>
        <w:sectPr w:rsidR="00FF1581" w:rsidRPr="008442CC" w:rsidSect="00765305">
          <w:footerReference w:type="even" r:id="rId11"/>
          <w:footerReference w:type="default" r:id="rId12"/>
          <w:endnotePr>
            <w:numFmt w:val="decimal"/>
          </w:endnotePr>
          <w:pgSz w:w="16840" w:h="11900" w:orient="landscape"/>
          <w:pgMar w:top="1127" w:right="1417" w:bottom="1701" w:left="1417" w:header="708" w:footer="708" w:gutter="0"/>
          <w:cols w:space="708"/>
          <w:docGrid w:linePitch="360"/>
        </w:sectPr>
      </w:pPr>
    </w:p>
    <w:p w14:paraId="2844A592" w14:textId="162929C5" w:rsidR="000960D8" w:rsidRPr="00601CE0" w:rsidRDefault="00645972" w:rsidP="007E0D23">
      <w:pPr>
        <w:rPr>
          <w:b/>
        </w:rPr>
      </w:pPr>
      <w:r w:rsidRPr="008442CC">
        <w:rPr>
          <w:b/>
        </w:rPr>
        <w:lastRenderedPageBreak/>
        <w:t>Notes</w:t>
      </w:r>
    </w:p>
    <w:sectPr w:rsidR="000960D8" w:rsidRPr="00601CE0" w:rsidSect="00AB573B">
      <w:endnotePr>
        <w:numFmt w:val="decimal"/>
      </w:endnotePr>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EC877" w14:textId="77777777" w:rsidR="00E37568" w:rsidRDefault="00E37568" w:rsidP="00B21F90">
      <w:r>
        <w:separator/>
      </w:r>
    </w:p>
  </w:endnote>
  <w:endnote w:type="continuationSeparator" w:id="0">
    <w:p w14:paraId="5F804280" w14:textId="77777777" w:rsidR="00E37568" w:rsidRDefault="00E37568" w:rsidP="00B21F90">
      <w:r>
        <w:continuationSeparator/>
      </w:r>
    </w:p>
  </w:endnote>
  <w:endnote w:id="1">
    <w:p w14:paraId="31A59A10" w14:textId="5B9F5E13" w:rsidR="00B15614" w:rsidRPr="004A554E" w:rsidRDefault="00B15614" w:rsidP="00645972">
      <w:pPr>
        <w:pStyle w:val="EndnoteText"/>
      </w:pPr>
      <w:r w:rsidRPr="007E0D23">
        <w:rPr>
          <w:rStyle w:val="FootnoteReference"/>
        </w:rPr>
        <w:endnoteRef/>
      </w:r>
      <w:r>
        <w:t xml:space="preserve"> </w:t>
      </w:r>
      <w:r w:rsidRPr="00F439F5">
        <w:rPr>
          <w:lang w:val="en-US"/>
        </w:rPr>
        <w:t xml:space="preserve">Poles are the largest </w:t>
      </w:r>
      <w:r>
        <w:rPr>
          <w:lang w:val="en-US"/>
        </w:rPr>
        <w:t>group of migrants in the UK: in 2017, 1,021,000 Poles lived in the UK (Sturge 2018:26-27).</w:t>
      </w:r>
    </w:p>
  </w:endnote>
  <w:endnote w:id="2">
    <w:p w14:paraId="5C742F75" w14:textId="533D2FCC" w:rsidR="00B15614" w:rsidRDefault="00B15614" w:rsidP="00645972">
      <w:pPr>
        <w:pStyle w:val="EndnoteText"/>
      </w:pPr>
      <w:r w:rsidRPr="00791470">
        <w:rPr>
          <w:rStyle w:val="EndnoteReference"/>
        </w:rPr>
        <w:endnoteRef/>
      </w:r>
      <w:r w:rsidRPr="00791470">
        <w:t xml:space="preserve"> </w:t>
      </w:r>
      <w:r w:rsidRPr="004D3FD3">
        <w:t xml:space="preserve">The geographical scope is limited to Southampton because this city hosts one of the largest </w:t>
      </w:r>
      <w:r>
        <w:t xml:space="preserve">Eastern European (EU8) </w:t>
      </w:r>
      <w:r w:rsidRPr="004D3FD3">
        <w:t>communities in the UK</w:t>
      </w:r>
      <w:r w:rsidRPr="00F439F5">
        <w:rPr>
          <w:lang w:val="en-US"/>
        </w:rPr>
        <w:t xml:space="preserve"> (ONS 2018, Table 2.2). The most recent </w:t>
      </w:r>
      <w:r>
        <w:rPr>
          <w:lang w:val="en-US"/>
        </w:rPr>
        <w:t>official</w:t>
      </w:r>
      <w:r w:rsidRPr="00F439F5">
        <w:rPr>
          <w:lang w:val="en-US"/>
        </w:rPr>
        <w:t xml:space="preserve"> data indicate that, in 2011, Poles accounted for approximately 3.5% of Southampton population </w:t>
      </w:r>
      <w:r w:rsidRPr="005C5D6F">
        <w:rPr>
          <w:lang w:val="en-US"/>
        </w:rPr>
        <w:t>(</w:t>
      </w:r>
      <w:r w:rsidRPr="007E0D23">
        <w:rPr>
          <w:lang w:val="en-US"/>
        </w:rPr>
        <w:t>ONS</w:t>
      </w:r>
      <w:r w:rsidRPr="005C5D6F">
        <w:rPr>
          <w:lang w:val="en-US"/>
        </w:rPr>
        <w:t xml:space="preserve"> 2011).</w:t>
      </w:r>
    </w:p>
  </w:endnote>
  <w:endnote w:id="3">
    <w:p w14:paraId="0C04864D" w14:textId="056550EC" w:rsidR="00B15614" w:rsidRPr="00932B9B" w:rsidRDefault="00B15614" w:rsidP="00645972">
      <w:pPr>
        <w:pStyle w:val="EndnoteText"/>
      </w:pPr>
      <w:r w:rsidRPr="007E0ECC">
        <w:rPr>
          <w:rStyle w:val="EndnoteReference"/>
        </w:rPr>
        <w:endnoteRef/>
      </w:r>
      <w:r w:rsidRPr="007E0ECC">
        <w:t xml:space="preserve"> See also </w:t>
      </w:r>
      <w:r w:rsidRPr="007E0D23">
        <w:t xml:space="preserve">e.g. </w:t>
      </w:r>
      <w:r w:rsidRPr="007E0ECC">
        <w:t xml:space="preserve">the UN Convention on the Rights of the Child on the vulnerability of children due to their </w:t>
      </w:r>
      <w:r>
        <w:t>“</w:t>
      </w:r>
      <w:r w:rsidRPr="007E0ECC">
        <w:t>physical and mental immaturity</w:t>
      </w:r>
      <w:r>
        <w:t>”</w:t>
      </w:r>
      <w:r w:rsidRPr="007E0ECC">
        <w:t xml:space="preserve"> (Art 20(1))</w:t>
      </w:r>
      <w:r w:rsidRPr="007E0D23">
        <w:t>.</w:t>
      </w:r>
    </w:p>
  </w:endnote>
  <w:endnote w:id="4">
    <w:p w14:paraId="7A028703" w14:textId="14F2FD23" w:rsidR="00B15614" w:rsidRDefault="00B15614" w:rsidP="00645972">
      <w:pPr>
        <w:pStyle w:val="EndnoteText"/>
      </w:pPr>
      <w:r>
        <w:rPr>
          <w:rStyle w:val="EndnoteReference"/>
        </w:rPr>
        <w:endnoteRef/>
      </w:r>
      <w:r>
        <w:t xml:space="preserve"> ECtHR, </w:t>
      </w:r>
      <w:r w:rsidRPr="00B51C30">
        <w:rPr>
          <w:i/>
        </w:rPr>
        <w:t xml:space="preserve">Chapman v the United </w:t>
      </w:r>
      <w:r w:rsidRPr="00DE5AC4">
        <w:rPr>
          <w:i/>
        </w:rPr>
        <w:t>Kingdom,</w:t>
      </w:r>
      <w:r w:rsidRPr="00DE5AC4">
        <w:t xml:space="preserve"> App. No. 27238/95(2001) para 96.</w:t>
      </w:r>
    </w:p>
  </w:endnote>
  <w:endnote w:id="5">
    <w:p w14:paraId="0557F631" w14:textId="217955FC" w:rsidR="00B15614" w:rsidRPr="007E0D23" w:rsidRDefault="00B15614" w:rsidP="00645972">
      <w:pPr>
        <w:pStyle w:val="EndnoteText"/>
        <w:rPr>
          <w:lang w:val="en-US"/>
        </w:rPr>
      </w:pPr>
      <w:r>
        <w:rPr>
          <w:rStyle w:val="EndnoteReference"/>
        </w:rPr>
        <w:endnoteRef/>
      </w:r>
      <w:r>
        <w:t xml:space="preserve"> </w:t>
      </w:r>
      <w:r w:rsidRPr="004D3FD3">
        <w:t>Timmer (2013, 152-162) has also identified other groups considered to be vulnerable by the ECtHR on account of objective characteristics</w:t>
      </w:r>
      <w:r>
        <w:t>.</w:t>
      </w:r>
    </w:p>
  </w:endnote>
  <w:endnote w:id="6">
    <w:p w14:paraId="3700B81F" w14:textId="2A9D0D1B" w:rsidR="00B15614" w:rsidRPr="00DE5AC4" w:rsidRDefault="00B15614" w:rsidP="00645972">
      <w:pPr>
        <w:pStyle w:val="EndnoteText"/>
        <w:rPr>
          <w:lang w:val="es-ES"/>
        </w:rPr>
      </w:pPr>
      <w:r>
        <w:rPr>
          <w:rStyle w:val="EndnoteReference"/>
        </w:rPr>
        <w:endnoteRef/>
      </w:r>
      <w:r w:rsidRPr="00DE5AC4">
        <w:rPr>
          <w:lang w:val="es-ES"/>
        </w:rPr>
        <w:t xml:space="preserve"> ECtHR, </w:t>
      </w:r>
      <w:r w:rsidRPr="00DE5AC4">
        <w:rPr>
          <w:i/>
          <w:lang w:val="es-ES"/>
        </w:rPr>
        <w:t>Opuz v Turkey</w:t>
      </w:r>
      <w:r w:rsidRPr="00DE5AC4">
        <w:rPr>
          <w:lang w:val="es-ES"/>
        </w:rPr>
        <w:t>, App. No. 33401/02</w:t>
      </w:r>
      <w:r>
        <w:rPr>
          <w:lang w:val="es-ES"/>
        </w:rPr>
        <w:t xml:space="preserve">, </w:t>
      </w:r>
      <w:r w:rsidRPr="00DE5AC4">
        <w:rPr>
          <w:lang w:val="es-ES"/>
        </w:rPr>
        <w:t>para 160.</w:t>
      </w:r>
    </w:p>
  </w:endnote>
  <w:endnote w:id="7">
    <w:p w14:paraId="7A4B0C07" w14:textId="48E5DEF0" w:rsidR="00B15614" w:rsidRPr="003933E0" w:rsidRDefault="00B15614" w:rsidP="00645972">
      <w:pPr>
        <w:pStyle w:val="EndnoteText"/>
        <w:rPr>
          <w:lang w:val="en-US"/>
        </w:rPr>
      </w:pPr>
      <w:r>
        <w:rPr>
          <w:rStyle w:val="EndnoteReference"/>
        </w:rPr>
        <w:endnoteRef/>
      </w:r>
      <w:r w:rsidRPr="003933E0">
        <w:rPr>
          <w:lang w:val="en-US"/>
        </w:rPr>
        <w:t xml:space="preserve"> </w:t>
      </w:r>
      <w:r>
        <w:rPr>
          <w:lang w:val="en-US"/>
        </w:rPr>
        <w:t xml:space="preserve">ECtHR, </w:t>
      </w:r>
      <w:r w:rsidRPr="003933E0">
        <w:rPr>
          <w:i/>
          <w:lang w:val="en-US"/>
        </w:rPr>
        <w:t>Tysiac v Poland</w:t>
      </w:r>
      <w:r w:rsidRPr="00DE5AC4">
        <w:rPr>
          <w:lang w:val="en-US"/>
        </w:rPr>
        <w:t>, App. No. 5410/03 (2007</w:t>
      </w:r>
      <w:r w:rsidRPr="003933E0">
        <w:rPr>
          <w:lang w:val="en-US"/>
        </w:rPr>
        <w:t xml:space="preserve">); </w:t>
      </w:r>
      <w:r w:rsidRPr="003933E0">
        <w:rPr>
          <w:i/>
          <w:lang w:val="en-US"/>
        </w:rPr>
        <w:t>RR v Poland</w:t>
      </w:r>
      <w:r w:rsidRPr="00DE5AC4">
        <w:rPr>
          <w:lang w:val="en-US"/>
        </w:rPr>
        <w:t>, App. No. 27617/04(2011</w:t>
      </w:r>
      <w:r>
        <w:rPr>
          <w:lang w:val="en-US"/>
        </w:rPr>
        <w:t>).</w:t>
      </w:r>
    </w:p>
  </w:endnote>
  <w:endnote w:id="8">
    <w:p w14:paraId="788620A2" w14:textId="7B2E9E2F" w:rsidR="00B15614" w:rsidRDefault="00B15614" w:rsidP="00645972">
      <w:pPr>
        <w:pStyle w:val="EndnoteText"/>
      </w:pPr>
      <w:r>
        <w:rPr>
          <w:rStyle w:val="EndnoteReference"/>
        </w:rPr>
        <w:endnoteRef/>
      </w:r>
      <w:r>
        <w:t xml:space="preserve"> Section 5.</w:t>
      </w:r>
    </w:p>
  </w:endnote>
  <w:endnote w:id="9">
    <w:p w14:paraId="0FE98859" w14:textId="35A68903" w:rsidR="00B15614" w:rsidRDefault="00B15614" w:rsidP="00645972">
      <w:pPr>
        <w:pStyle w:val="EndnoteText"/>
      </w:pPr>
      <w:r>
        <w:rPr>
          <w:rStyle w:val="EndnoteReference"/>
        </w:rPr>
        <w:endnoteRef/>
      </w:r>
      <w:r>
        <w:t xml:space="preserve"> See further College of Policing (2014:5).</w:t>
      </w:r>
    </w:p>
  </w:endnote>
  <w:endnote w:id="10">
    <w:p w14:paraId="558CFB85" w14:textId="6F66E0C8" w:rsidR="00B15614" w:rsidRDefault="00B15614" w:rsidP="00645972">
      <w:pPr>
        <w:pStyle w:val="EndnoteText"/>
      </w:pPr>
      <w:r>
        <w:rPr>
          <w:rStyle w:val="EndnoteReference"/>
        </w:rPr>
        <w:endnoteRef/>
      </w:r>
      <w:r>
        <w:t xml:space="preserve"> See also evidence of subjective changes reported by the Polish community in other areas of the UK in Rzepnikowska (2018), Kempny (2011).</w:t>
      </w:r>
    </w:p>
  </w:endnote>
  <w:endnote w:id="11">
    <w:p w14:paraId="15283567" w14:textId="4BCC0695" w:rsidR="00B15614" w:rsidRDefault="00B15614" w:rsidP="00645972">
      <w:pPr>
        <w:pStyle w:val="EndnoteText"/>
      </w:pPr>
      <w:r>
        <w:rPr>
          <w:rStyle w:val="EndnoteReference"/>
        </w:rPr>
        <w:endnoteRef/>
      </w:r>
      <w:r>
        <w:t xml:space="preserve"> See also Ehata and Seeleib-Kaiser (2017).</w:t>
      </w:r>
    </w:p>
  </w:endnote>
  <w:endnote w:id="12">
    <w:p w14:paraId="42957893" w14:textId="5582041B" w:rsidR="00B15614" w:rsidRDefault="00B15614" w:rsidP="00645972">
      <w:pPr>
        <w:pStyle w:val="EndnoteText"/>
      </w:pPr>
      <w:r>
        <w:rPr>
          <w:rStyle w:val="EndnoteReference"/>
        </w:rPr>
        <w:endnoteRef/>
      </w:r>
      <w:r>
        <w:t xml:space="preserve"> </w:t>
      </w:r>
      <w:r w:rsidRPr="007262CB">
        <w:t>This can be particularly disadvantageous for individuals with non-standard employment records</w:t>
      </w:r>
      <w:r>
        <w:t xml:space="preserve"> </w:t>
      </w:r>
      <w:r w:rsidRPr="007262CB">
        <w:t xml:space="preserve"> (O’Brien 2017</w:t>
      </w:r>
      <w:r>
        <w:t>:201-209</w:t>
      </w:r>
      <w:r w:rsidRPr="007262CB">
        <w:t>).</w:t>
      </w:r>
    </w:p>
  </w:endnote>
  <w:endnote w:id="13">
    <w:p w14:paraId="79288F1C" w14:textId="6FAEA1C0" w:rsidR="00B15614" w:rsidRDefault="00B15614" w:rsidP="00645972">
      <w:pPr>
        <w:pStyle w:val="EndnoteText"/>
      </w:pPr>
      <w:r>
        <w:rPr>
          <w:rStyle w:val="EndnoteReference"/>
        </w:rPr>
        <w:endnoteRef/>
      </w:r>
      <w:r>
        <w:t xml:space="preserve"> After 2010, there was also more discussion about “limiting” migration and EU migrants, especially after 2014 (Allen 2016).</w:t>
      </w:r>
    </w:p>
  </w:endnote>
  <w:endnote w:id="14">
    <w:p w14:paraId="2407115F" w14:textId="64E0C710" w:rsidR="00B15614" w:rsidRDefault="00B15614" w:rsidP="00645972">
      <w:pPr>
        <w:pStyle w:val="EndnoteText"/>
      </w:pPr>
      <w:r>
        <w:rPr>
          <w:rStyle w:val="EndnoteReference"/>
        </w:rPr>
        <w:endnoteRef/>
      </w:r>
      <w:r>
        <w:t xml:space="preserve"> Allen and Blinder (2013:3) also found that tabloids frequently used the word “immigrant” with terms that “indicate concerns around security or legality”.</w:t>
      </w:r>
    </w:p>
  </w:endnote>
  <w:endnote w:id="15">
    <w:p w14:paraId="3E322814" w14:textId="77777777" w:rsidR="00B15614" w:rsidRPr="004D3FD3" w:rsidRDefault="00B15614" w:rsidP="00645972">
      <w:pPr>
        <w:pStyle w:val="EndnoteText"/>
      </w:pPr>
      <w:r>
        <w:rPr>
          <w:rStyle w:val="EndnoteReference"/>
        </w:rPr>
        <w:endnoteRef/>
      </w:r>
      <w:r>
        <w:t xml:space="preserve"> </w:t>
      </w:r>
      <w:r w:rsidRPr="007E0D23">
        <w:t>See e.g. Allen and Blinder (2013).</w:t>
      </w:r>
    </w:p>
  </w:endnote>
  <w:endnote w:id="16">
    <w:p w14:paraId="25385472" w14:textId="77777777" w:rsidR="00B15614" w:rsidRPr="006360F3" w:rsidRDefault="00B15614" w:rsidP="00645972">
      <w:pPr>
        <w:pStyle w:val="EndnoteText"/>
      </w:pPr>
      <w:r w:rsidRPr="004D3FD3">
        <w:rPr>
          <w:rStyle w:val="EndnoteReference"/>
        </w:rPr>
        <w:endnoteRef/>
      </w:r>
      <w:r w:rsidRPr="004D3FD3">
        <w:t xml:space="preserve"> See e.g. McLelland (2016).</w:t>
      </w:r>
    </w:p>
  </w:endnote>
  <w:endnote w:id="17">
    <w:p w14:paraId="5C72D28D" w14:textId="20A13E00" w:rsidR="00B15614" w:rsidRDefault="00B15614" w:rsidP="00645972">
      <w:pPr>
        <w:pStyle w:val="EndnoteText"/>
      </w:pPr>
      <w:r>
        <w:rPr>
          <w:rStyle w:val="EndnoteReference"/>
        </w:rPr>
        <w:endnoteRef/>
      </w:r>
      <w:r>
        <w:t xml:space="preserve"> Ford and Goodwin found that reading anti-immigrant tabloid press had a statistically significant effect as a predictor of BNP support (2010). On the influence of media discourse, see Fox et al (2012), Gavin (2018).</w:t>
      </w:r>
    </w:p>
  </w:endnote>
  <w:endnote w:id="18">
    <w:p w14:paraId="3C0446DC" w14:textId="41E392FC" w:rsidR="00B15614" w:rsidRDefault="00B15614" w:rsidP="00645972">
      <w:pPr>
        <w:pStyle w:val="EndnoteText"/>
      </w:pPr>
      <w:r>
        <w:rPr>
          <w:rStyle w:val="EndnoteReference"/>
        </w:rPr>
        <w:endnoteRef/>
      </w:r>
      <w:r>
        <w:t xml:space="preserve"> On the spillover effect of extremist anti-migrant discourses on mainstream parties/press see </w:t>
      </w:r>
      <w:r w:rsidRPr="00343860">
        <w:t>Looney (2017).</w:t>
      </w:r>
    </w:p>
  </w:endnote>
  <w:endnote w:id="19">
    <w:p w14:paraId="5EF6FB17" w14:textId="0959D2AF" w:rsidR="00B15614" w:rsidRPr="00B95575" w:rsidRDefault="00B15614">
      <w:pPr>
        <w:pStyle w:val="EndnoteText"/>
      </w:pPr>
      <w:r>
        <w:rPr>
          <w:rStyle w:val="EndnoteReference"/>
        </w:rPr>
        <w:endnoteRef/>
      </w:r>
      <w:r>
        <w:t xml:space="preserve"> See also </w:t>
      </w:r>
      <w:r w:rsidRPr="00C24641">
        <w:t xml:space="preserve">Ashe and Nazroo </w:t>
      </w:r>
      <w:r>
        <w:t>(</w:t>
      </w:r>
      <w:r w:rsidRPr="00C24641">
        <w:t>2017</w:t>
      </w:r>
      <w:r>
        <w:t>).</w:t>
      </w:r>
    </w:p>
  </w:endnote>
  <w:endnote w:id="20">
    <w:p w14:paraId="04373652" w14:textId="72EE030D" w:rsidR="00B15614" w:rsidRPr="008F5CC2" w:rsidRDefault="00B15614">
      <w:pPr>
        <w:pStyle w:val="EndnoteText"/>
        <w:rPr>
          <w:lang w:val="en-US"/>
        </w:rPr>
      </w:pPr>
      <w:r>
        <w:rPr>
          <w:rStyle w:val="EndnoteReference"/>
        </w:rPr>
        <w:endnoteRef/>
      </w:r>
      <w:r>
        <w:t xml:space="preserve"> </w:t>
      </w:r>
      <w:r w:rsidRPr="008F5CC2">
        <w:rPr>
          <w:lang w:val="en-US"/>
        </w:rPr>
        <w:t xml:space="preserve">See </w:t>
      </w:r>
      <w:r w:rsidRPr="00E80589">
        <w:rPr>
          <w:lang w:val="en-US"/>
        </w:rPr>
        <w:t xml:space="preserve">also </w:t>
      </w:r>
      <w:r w:rsidRPr="00E80589">
        <w:rPr>
          <w:iCs/>
        </w:rPr>
        <w:t>Dawney (2008:13).</w:t>
      </w:r>
    </w:p>
  </w:endnote>
  <w:endnote w:id="21">
    <w:p w14:paraId="2B9CCA84" w14:textId="57B08F48" w:rsidR="00B15614" w:rsidRPr="00343860" w:rsidRDefault="00B15614" w:rsidP="00645972">
      <w:pPr>
        <w:pStyle w:val="EndnoteText"/>
        <w:rPr>
          <w:lang w:val="en-US"/>
        </w:rPr>
      </w:pPr>
      <w:r>
        <w:rPr>
          <w:rStyle w:val="EndnoteReference"/>
        </w:rPr>
        <w:endnoteRef/>
      </w:r>
      <w:r>
        <w:t xml:space="preserve"> </w:t>
      </w:r>
      <w:r w:rsidRPr="00662740">
        <w:t xml:space="preserve">Areas identified as inhabited by </w:t>
      </w:r>
      <w:r>
        <w:t>“</w:t>
      </w:r>
      <w:r w:rsidRPr="00662740">
        <w:t>poor British white people</w:t>
      </w:r>
      <w:r>
        <w:t xml:space="preserve">” </w:t>
      </w:r>
      <w:r w:rsidRPr="00662740">
        <w:t xml:space="preserve">seemed to be the most problematic but incidents were also recounted in </w:t>
      </w:r>
      <w:r>
        <w:t>“</w:t>
      </w:r>
      <w:r w:rsidRPr="00662740">
        <w:t>posh</w:t>
      </w:r>
      <w:r>
        <w:t>”</w:t>
      </w:r>
      <w:r w:rsidRPr="00662740">
        <w:t xml:space="preserve"> neighbourhoods (Rzepnikowska 2018).</w:t>
      </w:r>
    </w:p>
  </w:endnote>
  <w:endnote w:id="22">
    <w:p w14:paraId="34023888" w14:textId="77777777" w:rsidR="00B15614" w:rsidRPr="00B45BF1" w:rsidRDefault="00B15614" w:rsidP="00506871">
      <w:pPr>
        <w:pStyle w:val="EndnoteText"/>
      </w:pPr>
      <w:r>
        <w:rPr>
          <w:rStyle w:val="EndnoteReference"/>
        </w:rPr>
        <w:endnoteRef/>
      </w:r>
      <w:r>
        <w:t xml:space="preserve"> Conducted in English and Polish (n=22 participants).</w:t>
      </w:r>
    </w:p>
  </w:endnote>
  <w:endnote w:id="23">
    <w:p w14:paraId="543F8E60" w14:textId="77777777" w:rsidR="00B15614" w:rsidRDefault="00B15614" w:rsidP="00506871">
      <w:pPr>
        <w:pStyle w:val="EndnoteText"/>
      </w:pPr>
      <w:r>
        <w:rPr>
          <w:rStyle w:val="EndnoteReference"/>
        </w:rPr>
        <w:endnoteRef/>
      </w:r>
      <w:r>
        <w:t xml:space="preserve"> See Appendix, Tables A1, A2 for demographic and socio-economic data.</w:t>
      </w:r>
    </w:p>
  </w:endnote>
  <w:endnote w:id="24">
    <w:p w14:paraId="111125EC" w14:textId="334016F3" w:rsidR="004E0676" w:rsidRPr="00601CE0" w:rsidRDefault="004E0676">
      <w:pPr>
        <w:pStyle w:val="EndnoteText"/>
        <w:rPr>
          <w:lang w:val="en-US"/>
        </w:rPr>
      </w:pPr>
      <w:r>
        <w:rPr>
          <w:rStyle w:val="EndnoteReference"/>
        </w:rPr>
        <w:endnoteRef/>
      </w:r>
      <w:r>
        <w:t xml:space="preserve"> </w:t>
      </w:r>
      <w:r w:rsidRPr="00601CE0">
        <w:rPr>
          <w:lang w:val="en-US"/>
        </w:rPr>
        <w:t>See</w:t>
      </w:r>
      <w:r>
        <w:rPr>
          <w:lang w:val="en-US"/>
        </w:rPr>
        <w:t xml:space="preserve"> further Tables A1, A2.</w:t>
      </w:r>
    </w:p>
  </w:endnote>
  <w:endnote w:id="25">
    <w:p w14:paraId="2545D1F7" w14:textId="77777777" w:rsidR="00B15614" w:rsidRDefault="00B15614" w:rsidP="00506871">
      <w:pPr>
        <w:pStyle w:val="EndnoteText"/>
      </w:pPr>
      <w:r>
        <w:rPr>
          <w:rStyle w:val="EndnoteReference"/>
        </w:rPr>
        <w:endnoteRef/>
      </w:r>
      <w:r>
        <w:t xml:space="preserve"> See Appendix, Table A3.</w:t>
      </w:r>
    </w:p>
  </w:endnote>
  <w:endnote w:id="26">
    <w:p w14:paraId="41489D39" w14:textId="12EEDAC4" w:rsidR="00E80589" w:rsidRPr="00E80589" w:rsidRDefault="00E80589">
      <w:pPr>
        <w:pStyle w:val="EndnoteText"/>
      </w:pPr>
      <w:r>
        <w:rPr>
          <w:rStyle w:val="EndnoteReference"/>
        </w:rPr>
        <w:endnoteRef/>
      </w:r>
      <w:r>
        <w:t xml:space="preserve"> Questions 1 to 3, see Table A4.</w:t>
      </w:r>
    </w:p>
  </w:endnote>
  <w:endnote w:id="27">
    <w:p w14:paraId="27B442CA" w14:textId="77777777" w:rsidR="00B15614" w:rsidRPr="00F10601" w:rsidRDefault="00B15614" w:rsidP="00BB3955">
      <w:pPr>
        <w:pStyle w:val="EndnoteText"/>
      </w:pPr>
      <w:r w:rsidRPr="00F10601">
        <w:rPr>
          <w:rStyle w:val="EndnoteReference"/>
        </w:rPr>
        <w:endnoteRef/>
      </w:r>
      <w:r w:rsidRPr="00F10601">
        <w:t xml:space="preserve"> </w:t>
      </w:r>
      <w:r w:rsidRPr="00BB7D98">
        <w:rPr>
          <w:rFonts w:cs="AdvOT46dcae81"/>
        </w:rPr>
        <w:t>Except in questions 1 and 2, which were specifically introduced for this study and had dichotomous scales (‘yes’/’no’).</w:t>
      </w:r>
    </w:p>
  </w:endnote>
  <w:endnote w:id="28">
    <w:p w14:paraId="2100F6A7" w14:textId="77777777" w:rsidR="00B15614" w:rsidRPr="00990C38" w:rsidRDefault="00B15614" w:rsidP="00506871">
      <w:pPr>
        <w:pStyle w:val="EndnoteText"/>
        <w:rPr>
          <w:lang w:val="en-US"/>
        </w:rPr>
      </w:pPr>
      <w:r w:rsidRPr="00F10601">
        <w:rPr>
          <w:rStyle w:val="EndnoteReference"/>
        </w:rPr>
        <w:endnoteRef/>
      </w:r>
      <w:r w:rsidRPr="00F10601">
        <w:t xml:space="preserve"> </w:t>
      </w:r>
      <w:r w:rsidRPr="00F10601">
        <w:rPr>
          <w:lang w:val="en-US"/>
        </w:rPr>
        <w:t xml:space="preserve">According to </w:t>
      </w:r>
      <w:r w:rsidRPr="008F5CC2">
        <w:rPr>
          <w:lang w:val="en-US"/>
        </w:rPr>
        <w:t>Enoksen, (2016:75)</w:t>
      </w:r>
      <w:r w:rsidRPr="00F10601">
        <w:rPr>
          <w:lang w:val="en-US"/>
        </w:rPr>
        <w:t xml:space="preserve"> and</w:t>
      </w:r>
      <w:r w:rsidRPr="00990C38">
        <w:rPr>
          <w:lang w:val="en-US"/>
        </w:rPr>
        <w:t xml:space="preserve"> liter</w:t>
      </w:r>
      <w:r>
        <w:rPr>
          <w:lang w:val="en-US"/>
        </w:rPr>
        <w:t>ature cited therein, both direct and indirect experiences can have an influence on personal judgments’ of discrimination and crime-related judgments.</w:t>
      </w:r>
    </w:p>
  </w:endnote>
  <w:endnote w:id="29">
    <w:p w14:paraId="11C271D8" w14:textId="20FFCE7C" w:rsidR="00B15614" w:rsidRPr="008F5CC2" w:rsidRDefault="00B15614">
      <w:pPr>
        <w:pStyle w:val="EndnoteText"/>
        <w:rPr>
          <w:lang w:val="en-US"/>
        </w:rPr>
      </w:pPr>
      <w:r>
        <w:rPr>
          <w:rStyle w:val="EndnoteReference"/>
        </w:rPr>
        <w:endnoteRef/>
      </w:r>
      <w:r>
        <w:t xml:space="preserve"> </w:t>
      </w:r>
      <w:r w:rsidRPr="008F5CC2">
        <w:rPr>
          <w:lang w:val="en-US"/>
        </w:rPr>
        <w:t>21 quantitative ítems and on</w:t>
      </w:r>
      <w:r>
        <w:rPr>
          <w:lang w:val="en-US"/>
        </w:rPr>
        <w:t>e qualitative item.</w:t>
      </w:r>
    </w:p>
  </w:endnote>
  <w:endnote w:id="30">
    <w:p w14:paraId="3D032F26" w14:textId="77777777" w:rsidR="00B15614" w:rsidRPr="00697D00" w:rsidRDefault="00B15614" w:rsidP="00506871">
      <w:pPr>
        <w:pStyle w:val="EndnoteText"/>
      </w:pPr>
      <w:r>
        <w:rPr>
          <w:rStyle w:val="EndnoteReference"/>
        </w:rPr>
        <w:endnoteRef/>
      </w:r>
      <w:r>
        <w:t xml:space="preserve"> Ibid.</w:t>
      </w:r>
    </w:p>
  </w:endnote>
  <w:endnote w:id="31">
    <w:p w14:paraId="3E34A46A" w14:textId="77777777" w:rsidR="00B15614" w:rsidRPr="009175A7" w:rsidRDefault="00B15614" w:rsidP="00506871">
      <w:pPr>
        <w:pStyle w:val="EndnoteText"/>
        <w:rPr>
          <w:lang w:val="en-US"/>
        </w:rPr>
      </w:pPr>
      <w:r w:rsidRPr="009175A7">
        <w:rPr>
          <w:rStyle w:val="EndnoteReference"/>
        </w:rPr>
        <w:endnoteRef/>
      </w:r>
      <w:r w:rsidRPr="009175A7">
        <w:t xml:space="preserve"> </w:t>
      </w:r>
      <w:r w:rsidRPr="009175A7">
        <w:rPr>
          <w:bCs/>
        </w:rPr>
        <w:t>E</w:t>
      </w:r>
      <w:r w:rsidRPr="009175A7">
        <w:rPr>
          <w:bCs/>
          <w:lang w:val="en-US"/>
        </w:rPr>
        <w:t>.g. Polish shops, school and mass.</w:t>
      </w:r>
    </w:p>
  </w:endnote>
  <w:endnote w:id="32">
    <w:p w14:paraId="049447A9" w14:textId="6D25585E" w:rsidR="00B15614" w:rsidRPr="00B73A41" w:rsidRDefault="00B15614" w:rsidP="00506871">
      <w:pPr>
        <w:pStyle w:val="EndnoteText"/>
        <w:rPr>
          <w:lang w:val="en-US"/>
        </w:rPr>
      </w:pPr>
      <w:r w:rsidRPr="009175A7">
        <w:rPr>
          <w:rStyle w:val="EndnoteReference"/>
        </w:rPr>
        <w:endnoteRef/>
      </w:r>
      <w:r w:rsidRPr="009175A7">
        <w:t xml:space="preserve"> </w:t>
      </w:r>
      <w:r>
        <w:t xml:space="preserve">See </w:t>
      </w:r>
      <w:r w:rsidRPr="009175A7">
        <w:t xml:space="preserve">Tables A1, A2. While the broader use of the internet and social media is lessening the risk of </w:t>
      </w:r>
      <w:r>
        <w:t>“</w:t>
      </w:r>
      <w:r w:rsidRPr="009175A7">
        <w:t>coverage bias</w:t>
      </w:r>
      <w:r>
        <w:t>”</w:t>
      </w:r>
      <w:r w:rsidRPr="009175A7">
        <w:t xml:space="preserve"> in online </w:t>
      </w:r>
      <w:r>
        <w:t>surveys targeting</w:t>
      </w:r>
      <w:r w:rsidRPr="009175A7">
        <w:t xml:space="preserve"> migrants (</w:t>
      </w:r>
      <w:r w:rsidRPr="009175A7">
        <w:rPr>
          <w:bCs/>
          <w:lang w:val="en-US"/>
        </w:rPr>
        <w:t xml:space="preserve">McGhee et al </w:t>
      </w:r>
      <w:r w:rsidRPr="009175A7">
        <w:t>2017; Dekker and Engbersen 2014), these active targeting strategies are considered good practice for online data collection (Temple and Brown 201</w:t>
      </w:r>
      <w:r>
        <w:t>2</w:t>
      </w:r>
      <w:r w:rsidRPr="009175A7">
        <w:t>).</w:t>
      </w:r>
    </w:p>
  </w:endnote>
  <w:endnote w:id="33">
    <w:p w14:paraId="478DC701" w14:textId="77777777" w:rsidR="00B15614" w:rsidRPr="00B903EF" w:rsidRDefault="00B15614" w:rsidP="00506871">
      <w:pPr>
        <w:pStyle w:val="EndnoteText"/>
      </w:pPr>
      <w:r>
        <w:rPr>
          <w:rStyle w:val="EndnoteReference"/>
        </w:rPr>
        <w:endnoteRef/>
      </w:r>
      <w:r>
        <w:t xml:space="preserve"> See </w:t>
      </w:r>
      <w:r w:rsidRPr="009175A7">
        <w:t>Tables A1, A2.</w:t>
      </w:r>
    </w:p>
  </w:endnote>
  <w:endnote w:id="34">
    <w:p w14:paraId="25185C70" w14:textId="77777777" w:rsidR="00B15614" w:rsidRPr="00014482" w:rsidRDefault="00B15614" w:rsidP="00506871">
      <w:pPr>
        <w:pStyle w:val="EndnoteText"/>
      </w:pPr>
      <w:r w:rsidRPr="00E21643">
        <w:rPr>
          <w:rStyle w:val="EndnoteReference"/>
          <w:color w:val="000000" w:themeColor="text1"/>
        </w:rPr>
        <w:endnoteRef/>
      </w:r>
      <w:r w:rsidRPr="00E21643">
        <w:rPr>
          <w:color w:val="000000" w:themeColor="text1"/>
        </w:rPr>
        <w:t xml:space="preserve"> I.e. their stated recollection of pre-event and post-event experiences at a particular moment in time implies searching their memories, which may lead to cognitive errors.</w:t>
      </w:r>
    </w:p>
  </w:endnote>
  <w:endnote w:id="35">
    <w:p w14:paraId="4E855067" w14:textId="6EA7D83A" w:rsidR="00B15614" w:rsidRPr="00B95575" w:rsidRDefault="00B15614">
      <w:pPr>
        <w:pStyle w:val="EndnoteText"/>
      </w:pPr>
      <w:r>
        <w:rPr>
          <w:rStyle w:val="EndnoteReference"/>
        </w:rPr>
        <w:endnoteRef/>
      </w:r>
      <w:r>
        <w:t xml:space="preserve"> We denote survey participant comments by a “#”, followed by an 8-digit number.</w:t>
      </w:r>
    </w:p>
  </w:endnote>
  <w:endnote w:id="36">
    <w:p w14:paraId="3911FDE0" w14:textId="254E595A" w:rsidR="00B15614" w:rsidRPr="00B24742" w:rsidRDefault="00B15614" w:rsidP="00645972">
      <w:pPr>
        <w:pStyle w:val="EndnoteText"/>
        <w:rPr>
          <w:rFonts w:cstheme="minorHAnsi"/>
        </w:rPr>
      </w:pPr>
      <w:r w:rsidRPr="00FE17C7">
        <w:rPr>
          <w:rStyle w:val="EndnoteReference"/>
          <w:rFonts w:cstheme="minorHAnsi"/>
        </w:rPr>
        <w:endnoteRef/>
      </w:r>
      <w:r w:rsidRPr="00FE17C7">
        <w:rPr>
          <w:rFonts w:cstheme="minorHAnsi"/>
        </w:rPr>
        <w:t xml:space="preserve"> </w:t>
      </w:r>
      <w:r>
        <w:rPr>
          <w:rFonts w:cstheme="minorHAnsi"/>
        </w:rPr>
        <w:t>E</w:t>
      </w:r>
      <w:r w:rsidRPr="00FE17C7">
        <w:rPr>
          <w:rFonts w:cstheme="minorHAnsi"/>
        </w:rPr>
        <w:t>.g. Home Office (2017/18, Figure 2.2</w:t>
      </w:r>
      <w:r w:rsidRPr="007E0D23">
        <w:rPr>
          <w:rFonts w:cstheme="minorHAnsi"/>
        </w:rPr>
        <w:t>).</w:t>
      </w:r>
    </w:p>
  </w:endnote>
  <w:endnote w:id="37">
    <w:p w14:paraId="02453EA4" w14:textId="77777777" w:rsidR="00B15614" w:rsidRPr="00CF2FCA" w:rsidRDefault="00B15614" w:rsidP="00645972">
      <w:pPr>
        <w:pStyle w:val="EndnoteText"/>
        <w:rPr>
          <w:rFonts w:cstheme="minorHAnsi"/>
        </w:rPr>
      </w:pPr>
      <w:r w:rsidRPr="00981947">
        <w:rPr>
          <w:rStyle w:val="EndnoteReference"/>
          <w:rFonts w:cstheme="minorHAnsi"/>
        </w:rPr>
        <w:endnoteRef/>
      </w:r>
      <w:r w:rsidRPr="00981947">
        <w:rPr>
          <w:rFonts w:cstheme="minorHAnsi"/>
        </w:rPr>
        <w:t xml:space="preserve"> </w:t>
      </w:r>
      <w:r>
        <w:rPr>
          <w:rFonts w:cstheme="minorHAnsi"/>
        </w:rPr>
        <w:t>Marketing agency interview</w:t>
      </w:r>
      <w:r w:rsidRPr="007202C7">
        <w:rPr>
          <w:rFonts w:cstheme="minorHAnsi"/>
        </w:rPr>
        <w:t xml:space="preserve">; </w:t>
      </w:r>
      <w:r w:rsidRPr="00343860">
        <w:rPr>
          <w:rFonts w:cstheme="minorHAnsi"/>
        </w:rPr>
        <w:t>CAB</w:t>
      </w:r>
      <w:r>
        <w:rPr>
          <w:rFonts w:cstheme="minorHAnsi"/>
        </w:rPr>
        <w:t xml:space="preserve"> interview;</w:t>
      </w:r>
      <w:r w:rsidRPr="00CF2FCA">
        <w:rPr>
          <w:rFonts w:cstheme="minorHAnsi"/>
        </w:rPr>
        <w:t xml:space="preserve"> Focus Group #3.</w:t>
      </w:r>
    </w:p>
  </w:endnote>
  <w:endnote w:id="38">
    <w:p w14:paraId="3580B8E6" w14:textId="1D399E3D" w:rsidR="00B15614" w:rsidRPr="00CF2FCA" w:rsidRDefault="00B15614" w:rsidP="00645972">
      <w:pPr>
        <w:pStyle w:val="EndnoteText"/>
        <w:rPr>
          <w:rFonts w:cstheme="minorHAnsi"/>
        </w:rPr>
      </w:pPr>
      <w:r w:rsidRPr="00CF2FCA">
        <w:rPr>
          <w:rStyle w:val="EndnoteReference"/>
          <w:rFonts w:cstheme="minorHAnsi"/>
        </w:rPr>
        <w:endnoteRef/>
      </w:r>
      <w:r w:rsidRPr="00CF2FCA">
        <w:rPr>
          <w:rFonts w:cstheme="minorHAnsi"/>
        </w:rPr>
        <w:t xml:space="preserve"> </w:t>
      </w:r>
      <w:r w:rsidRPr="00343860">
        <w:rPr>
          <w:rFonts w:cstheme="minorHAnsi"/>
        </w:rPr>
        <w:t>Polish Teacher</w:t>
      </w:r>
      <w:r>
        <w:rPr>
          <w:rFonts w:cstheme="minorHAnsi"/>
        </w:rPr>
        <w:t xml:space="preserve"> interview;</w:t>
      </w:r>
      <w:r w:rsidRPr="00CF2FCA">
        <w:rPr>
          <w:rFonts w:cstheme="minorHAnsi"/>
        </w:rPr>
        <w:t xml:space="preserve"> #2910837, Focus Group #3. See also </w:t>
      </w:r>
      <w:r>
        <w:rPr>
          <w:rFonts w:cstheme="minorHAnsi"/>
        </w:rPr>
        <w:t>Table A5.</w:t>
      </w:r>
    </w:p>
  </w:endnote>
  <w:endnote w:id="39">
    <w:p w14:paraId="2642268D" w14:textId="77777777" w:rsidR="00B15614" w:rsidRPr="0013124D" w:rsidRDefault="00B15614" w:rsidP="00645972">
      <w:pPr>
        <w:pStyle w:val="EndnoteText"/>
        <w:jc w:val="both"/>
        <w:rPr>
          <w:rFonts w:cstheme="minorHAnsi"/>
        </w:rPr>
      </w:pPr>
      <w:r w:rsidRPr="00CF2FCA">
        <w:rPr>
          <w:rStyle w:val="EndnoteReference"/>
          <w:rFonts w:cstheme="minorHAnsi"/>
        </w:rPr>
        <w:endnoteRef/>
      </w:r>
      <w:r w:rsidRPr="00CF2FCA">
        <w:rPr>
          <w:rFonts w:cstheme="minorHAnsi"/>
        </w:rPr>
        <w:t xml:space="preserve"> </w:t>
      </w:r>
      <w:r w:rsidRPr="00343860">
        <w:rPr>
          <w:rFonts w:cstheme="minorHAnsi"/>
        </w:rPr>
        <w:t>CAB</w:t>
      </w:r>
      <w:r>
        <w:rPr>
          <w:rFonts w:cstheme="minorHAnsi"/>
        </w:rPr>
        <w:t xml:space="preserve"> interview;</w:t>
      </w:r>
      <w:r w:rsidRPr="00CF2FCA">
        <w:rPr>
          <w:rFonts w:cstheme="minorHAnsi"/>
        </w:rPr>
        <w:t xml:space="preserve"> Focus</w:t>
      </w:r>
      <w:r w:rsidRPr="007202C7">
        <w:rPr>
          <w:rFonts w:cstheme="minorHAnsi"/>
        </w:rPr>
        <w:t xml:space="preserve"> Group </w:t>
      </w:r>
      <w:r w:rsidRPr="0013124D">
        <w:rPr>
          <w:rFonts w:cstheme="minorHAnsi"/>
        </w:rPr>
        <w:t>#</w:t>
      </w:r>
      <w:r w:rsidRPr="00981947">
        <w:rPr>
          <w:rFonts w:cstheme="minorHAnsi"/>
        </w:rPr>
        <w:t>3.</w:t>
      </w:r>
    </w:p>
  </w:endnote>
  <w:endnote w:id="40">
    <w:p w14:paraId="52CDB548" w14:textId="77777777" w:rsidR="00B15614" w:rsidRPr="007202C7" w:rsidRDefault="00B15614" w:rsidP="00645972">
      <w:pPr>
        <w:pStyle w:val="EndnoteText"/>
        <w:rPr>
          <w:rFonts w:cstheme="minorHAnsi"/>
        </w:rPr>
      </w:pPr>
      <w:r w:rsidRPr="00981947">
        <w:rPr>
          <w:rStyle w:val="EndnoteReference"/>
          <w:rFonts w:cstheme="minorHAnsi"/>
        </w:rPr>
        <w:endnoteRef/>
      </w:r>
      <w:r w:rsidRPr="00981947">
        <w:rPr>
          <w:rFonts w:cstheme="minorHAnsi"/>
        </w:rPr>
        <w:t xml:space="preserve"> </w:t>
      </w:r>
      <w:r w:rsidRPr="007202C7">
        <w:rPr>
          <w:rFonts w:cstheme="minorHAnsi"/>
        </w:rPr>
        <w:t>CAB</w:t>
      </w:r>
      <w:r>
        <w:rPr>
          <w:rFonts w:cstheme="minorHAnsi"/>
        </w:rPr>
        <w:t xml:space="preserve"> and Polish teaching interviews;</w:t>
      </w:r>
      <w:r w:rsidRPr="007202C7">
        <w:rPr>
          <w:rFonts w:cstheme="minorHAnsi"/>
        </w:rPr>
        <w:t xml:space="preserve"> Focus Group </w:t>
      </w:r>
      <w:r w:rsidRPr="0013124D">
        <w:rPr>
          <w:rFonts w:cstheme="minorHAnsi"/>
        </w:rPr>
        <w:t>#</w:t>
      </w:r>
      <w:r w:rsidRPr="007202C7">
        <w:rPr>
          <w:rFonts w:cstheme="minorHAnsi"/>
        </w:rPr>
        <w:t>2</w:t>
      </w:r>
      <w:r>
        <w:rPr>
          <w:rFonts w:cstheme="minorHAnsi"/>
        </w:rPr>
        <w:t>.</w:t>
      </w:r>
    </w:p>
  </w:endnote>
  <w:endnote w:id="41">
    <w:p w14:paraId="38B05EA1" w14:textId="77777777" w:rsidR="00B15614" w:rsidRPr="007202C7" w:rsidRDefault="00B15614" w:rsidP="00645972">
      <w:pPr>
        <w:pStyle w:val="EndnoteText"/>
        <w:rPr>
          <w:rFonts w:cstheme="minorHAnsi"/>
        </w:rPr>
      </w:pPr>
      <w:r w:rsidRPr="00981947">
        <w:rPr>
          <w:rStyle w:val="EndnoteReference"/>
          <w:rFonts w:cstheme="minorHAnsi"/>
        </w:rPr>
        <w:endnoteRef/>
      </w:r>
      <w:r w:rsidRPr="00981947">
        <w:rPr>
          <w:rFonts w:cstheme="minorHAnsi"/>
        </w:rPr>
        <w:t xml:space="preserve"> </w:t>
      </w:r>
      <w:r w:rsidRPr="007202C7">
        <w:rPr>
          <w:rFonts w:cstheme="minorHAnsi"/>
        </w:rPr>
        <w:t>Polish Teacher</w:t>
      </w:r>
      <w:r>
        <w:rPr>
          <w:rFonts w:cstheme="minorHAnsi"/>
        </w:rPr>
        <w:t xml:space="preserve"> interview</w:t>
      </w:r>
      <w:r w:rsidRPr="007202C7">
        <w:rPr>
          <w:rFonts w:cstheme="minorHAnsi"/>
        </w:rPr>
        <w:t>.</w:t>
      </w:r>
    </w:p>
  </w:endnote>
  <w:endnote w:id="42">
    <w:p w14:paraId="612B074D" w14:textId="658FD9DD" w:rsidR="00B15614" w:rsidRPr="00CF2FCA" w:rsidRDefault="00B15614" w:rsidP="00645972">
      <w:pPr>
        <w:pStyle w:val="EndnoteText"/>
        <w:rPr>
          <w:rFonts w:cstheme="minorHAnsi"/>
        </w:rPr>
      </w:pPr>
      <w:r w:rsidRPr="00981947">
        <w:rPr>
          <w:rStyle w:val="EndnoteReference"/>
          <w:rFonts w:cstheme="minorHAnsi"/>
        </w:rPr>
        <w:endnoteRef/>
      </w:r>
      <w:r w:rsidRPr="00981947">
        <w:rPr>
          <w:rFonts w:cstheme="minorHAnsi"/>
        </w:rPr>
        <w:t xml:space="preserve"> </w:t>
      </w:r>
      <w:r w:rsidRPr="00343860">
        <w:rPr>
          <w:rFonts w:cstheme="minorHAnsi"/>
        </w:rPr>
        <w:t>#</w:t>
      </w:r>
      <w:r w:rsidRPr="00CF2FCA">
        <w:rPr>
          <w:rFonts w:cstheme="minorHAnsi"/>
        </w:rPr>
        <w:t>2931585.</w:t>
      </w:r>
    </w:p>
  </w:endnote>
  <w:endnote w:id="43">
    <w:p w14:paraId="4AC3F362" w14:textId="3435B5FE" w:rsidR="00B15614" w:rsidRPr="00CF2FCA" w:rsidRDefault="00B15614" w:rsidP="00645972">
      <w:pPr>
        <w:pStyle w:val="EndnoteText"/>
        <w:rPr>
          <w:rFonts w:cstheme="minorHAnsi"/>
        </w:rPr>
      </w:pPr>
      <w:r w:rsidRPr="00CF2FCA">
        <w:rPr>
          <w:rStyle w:val="EndnoteReference"/>
          <w:rFonts w:cstheme="minorHAnsi"/>
        </w:rPr>
        <w:endnoteRef/>
      </w:r>
      <w:r w:rsidRPr="00CF2FCA">
        <w:rPr>
          <w:rFonts w:cstheme="minorHAnsi"/>
        </w:rPr>
        <w:t xml:space="preserve"> EU Welcome interview</w:t>
      </w:r>
      <w:r>
        <w:rPr>
          <w:rFonts w:cstheme="minorHAnsi"/>
        </w:rPr>
        <w:t>; see also Table A5, Q9c</w:t>
      </w:r>
      <w:r w:rsidRPr="00CF2FCA">
        <w:rPr>
          <w:rFonts w:cstheme="minorHAnsi"/>
        </w:rPr>
        <w:t xml:space="preserve">. Incidents with landlords were </w:t>
      </w:r>
      <w:r>
        <w:rPr>
          <w:rFonts w:cstheme="minorHAnsi"/>
        </w:rPr>
        <w:t>equally</w:t>
      </w:r>
      <w:r w:rsidRPr="00CF2FCA">
        <w:rPr>
          <w:rFonts w:cstheme="minorHAnsi"/>
        </w:rPr>
        <w:t xml:space="preserve"> reported by the CAB interviewee and Focus Group </w:t>
      </w:r>
      <w:r w:rsidRPr="0013124D">
        <w:rPr>
          <w:rFonts w:cstheme="minorHAnsi"/>
        </w:rPr>
        <w:t>#</w:t>
      </w:r>
      <w:r w:rsidRPr="00CF2FCA">
        <w:rPr>
          <w:rFonts w:cstheme="minorHAnsi"/>
        </w:rPr>
        <w:t>2.</w:t>
      </w:r>
    </w:p>
  </w:endnote>
  <w:endnote w:id="44">
    <w:p w14:paraId="34F1D985" w14:textId="5AA5D3A4" w:rsidR="00B15614" w:rsidRPr="00CF2FCA" w:rsidRDefault="00B15614" w:rsidP="00645972">
      <w:pPr>
        <w:pStyle w:val="EndnoteText"/>
        <w:rPr>
          <w:rFonts w:cstheme="minorHAnsi"/>
        </w:rPr>
      </w:pPr>
      <w:r w:rsidRPr="00CF2FCA">
        <w:rPr>
          <w:rStyle w:val="EndnoteReference"/>
          <w:rFonts w:cstheme="minorHAnsi"/>
        </w:rPr>
        <w:endnoteRef/>
      </w:r>
      <w:r w:rsidRPr="00CF2FCA">
        <w:rPr>
          <w:rFonts w:cstheme="minorHAnsi"/>
        </w:rPr>
        <w:t xml:space="preserve"> #2928879.</w:t>
      </w:r>
    </w:p>
  </w:endnote>
  <w:endnote w:id="45">
    <w:p w14:paraId="3D328208" w14:textId="1E41A268" w:rsidR="00B15614" w:rsidRPr="00381C16" w:rsidRDefault="00B15614" w:rsidP="00645972">
      <w:pPr>
        <w:pStyle w:val="EndnoteText"/>
        <w:rPr>
          <w:rFonts w:cstheme="minorHAnsi"/>
        </w:rPr>
      </w:pPr>
      <w:r w:rsidRPr="00CF2FCA">
        <w:rPr>
          <w:rStyle w:val="EndnoteReference"/>
          <w:rFonts w:cstheme="minorHAnsi"/>
        </w:rPr>
        <w:endnoteRef/>
      </w:r>
      <w:r w:rsidRPr="00CF2FCA">
        <w:rPr>
          <w:rFonts w:cstheme="minorHAnsi"/>
        </w:rPr>
        <w:t xml:space="preserve"> </w:t>
      </w:r>
      <w:r w:rsidRPr="00343860">
        <w:rPr>
          <w:rFonts w:cstheme="minorHAnsi"/>
        </w:rPr>
        <w:t>#</w:t>
      </w:r>
      <w:r w:rsidRPr="00CF2FCA">
        <w:rPr>
          <w:rFonts w:cstheme="minorHAnsi"/>
        </w:rPr>
        <w:t>2910837.</w:t>
      </w:r>
      <w:r w:rsidRPr="009C51E2">
        <w:rPr>
          <w:rFonts w:cstheme="minorHAnsi"/>
        </w:rPr>
        <w:t xml:space="preserve"> </w:t>
      </w:r>
      <w:r>
        <w:rPr>
          <w:rFonts w:cstheme="minorHAnsi"/>
          <w:lang w:val="en-US"/>
        </w:rPr>
        <w:t>Another participant highlighted that “before Brexit […] there was already a lot of […] hatred towards immigrants, however people were showing […] it less. After the referendum, people started to openly express their antipathy, therefore the atmosphere has changed” [</w:t>
      </w:r>
      <w:r w:rsidRPr="001A6137">
        <w:rPr>
          <w:rFonts w:cstheme="minorHAnsi"/>
          <w:lang w:val="en-US"/>
        </w:rPr>
        <w:t>#</w:t>
      </w:r>
      <w:r>
        <w:rPr>
          <w:rFonts w:cstheme="minorHAnsi"/>
          <w:lang w:val="en-US"/>
        </w:rPr>
        <w:t>2903336]</w:t>
      </w:r>
    </w:p>
  </w:endnote>
  <w:endnote w:id="46">
    <w:p w14:paraId="55B34805" w14:textId="46784E92" w:rsidR="00B15614" w:rsidRPr="0013124D" w:rsidRDefault="00B15614" w:rsidP="00645972">
      <w:pPr>
        <w:pStyle w:val="EndnoteText"/>
        <w:rPr>
          <w:rFonts w:cstheme="minorHAnsi"/>
        </w:rPr>
      </w:pPr>
      <w:r w:rsidRPr="0013124D">
        <w:rPr>
          <w:rStyle w:val="EndnoteReference"/>
          <w:rFonts w:cstheme="minorHAnsi"/>
        </w:rPr>
        <w:endnoteRef/>
      </w:r>
      <w:r w:rsidRPr="0013124D">
        <w:rPr>
          <w:rFonts w:cstheme="minorHAnsi"/>
        </w:rPr>
        <w:t xml:space="preserve"> EU Welcome</w:t>
      </w:r>
      <w:r>
        <w:rPr>
          <w:rFonts w:cstheme="minorHAnsi"/>
        </w:rPr>
        <w:t xml:space="preserve"> interview</w:t>
      </w:r>
      <w:r w:rsidRPr="0013124D">
        <w:rPr>
          <w:rFonts w:cstheme="minorHAnsi"/>
        </w:rPr>
        <w:t>.</w:t>
      </w:r>
      <w:r w:rsidRPr="00381C16">
        <w:rPr>
          <w:rFonts w:cstheme="minorHAnsi"/>
        </w:rPr>
        <w:t xml:space="preserve"> Similar views were expressed by our CAB interviewee and Focus Gr</w:t>
      </w:r>
      <w:r w:rsidRPr="00981947">
        <w:rPr>
          <w:rFonts w:cstheme="minorHAnsi"/>
        </w:rPr>
        <w:t xml:space="preserve">oups </w:t>
      </w:r>
      <w:r w:rsidRPr="0013124D">
        <w:rPr>
          <w:rFonts w:cstheme="minorHAnsi"/>
          <w:lang w:val="en-US"/>
        </w:rPr>
        <w:t>#1</w:t>
      </w:r>
      <w:r>
        <w:rPr>
          <w:rFonts w:cstheme="minorHAnsi"/>
          <w:lang w:val="en-US"/>
        </w:rPr>
        <w:t>,</w:t>
      </w:r>
      <w:r w:rsidRPr="0013124D">
        <w:rPr>
          <w:rFonts w:cstheme="minorHAnsi"/>
          <w:lang w:val="en-US"/>
        </w:rPr>
        <w:t xml:space="preserve"> #2.</w:t>
      </w:r>
    </w:p>
  </w:endnote>
  <w:endnote w:id="47">
    <w:p w14:paraId="59DEBCDC" w14:textId="77777777" w:rsidR="00B15614" w:rsidRDefault="00B15614" w:rsidP="00645972">
      <w:pPr>
        <w:pStyle w:val="EndnoteText"/>
      </w:pPr>
      <w:r>
        <w:rPr>
          <w:rStyle w:val="EndnoteReference"/>
        </w:rPr>
        <w:endnoteRef/>
      </w:r>
      <w:r>
        <w:t xml:space="preserve"> </w:t>
      </w:r>
      <w:r w:rsidRPr="00B24742">
        <w:t>Focus Group #2</w:t>
      </w:r>
      <w:r>
        <w:t>.</w:t>
      </w:r>
    </w:p>
  </w:endnote>
  <w:endnote w:id="48">
    <w:p w14:paraId="510023FB" w14:textId="77777777" w:rsidR="00B15614" w:rsidRPr="001A6137" w:rsidRDefault="00B15614" w:rsidP="00645972">
      <w:pPr>
        <w:pStyle w:val="EndnoteText"/>
        <w:rPr>
          <w:rFonts w:cstheme="minorHAnsi"/>
        </w:rPr>
      </w:pPr>
      <w:r w:rsidRPr="001A6137">
        <w:rPr>
          <w:rStyle w:val="EndnoteReference"/>
          <w:rFonts w:cstheme="minorHAnsi"/>
        </w:rPr>
        <w:endnoteRef/>
      </w:r>
      <w:r w:rsidRPr="001A6137">
        <w:rPr>
          <w:rFonts w:cstheme="minorHAnsi"/>
        </w:rPr>
        <w:t xml:space="preserve"> Church representative</w:t>
      </w:r>
      <w:r>
        <w:rPr>
          <w:rFonts w:cstheme="minorHAnsi"/>
        </w:rPr>
        <w:t xml:space="preserve"> interview.</w:t>
      </w:r>
    </w:p>
  </w:endnote>
  <w:endnote w:id="49">
    <w:p w14:paraId="0D7128C8" w14:textId="77777777" w:rsidR="00B15614" w:rsidRDefault="00B15614" w:rsidP="00645972">
      <w:pPr>
        <w:pStyle w:val="EndnoteText"/>
      </w:pPr>
      <w:r>
        <w:rPr>
          <w:rStyle w:val="EndnoteReference"/>
        </w:rPr>
        <w:endnoteRef/>
      </w:r>
      <w:r>
        <w:t xml:space="preserve"> Focus Group </w:t>
      </w:r>
      <w:r w:rsidRPr="00B24742">
        <w:t>#2</w:t>
      </w:r>
      <w:r>
        <w:t>.</w:t>
      </w:r>
    </w:p>
  </w:endnote>
  <w:endnote w:id="50">
    <w:p w14:paraId="493636E7" w14:textId="77777777" w:rsidR="00B15614" w:rsidRDefault="00B15614" w:rsidP="00645972">
      <w:pPr>
        <w:pStyle w:val="EndnoteText"/>
      </w:pPr>
      <w:r>
        <w:rPr>
          <w:rStyle w:val="EndnoteReference"/>
        </w:rPr>
        <w:endnoteRef/>
      </w:r>
      <w:r>
        <w:t xml:space="preserve"> Similar views were expressed by Focus Group </w:t>
      </w:r>
      <w:r w:rsidRPr="00B24742">
        <w:t>#2</w:t>
      </w:r>
      <w:r>
        <w:t>.</w:t>
      </w:r>
    </w:p>
  </w:endnote>
  <w:endnote w:id="51">
    <w:p w14:paraId="5C61ECBF" w14:textId="18A6ED6A" w:rsidR="00B15614" w:rsidRDefault="00B15614" w:rsidP="00645972">
      <w:pPr>
        <w:pStyle w:val="EndnoteText"/>
      </w:pPr>
      <w:r>
        <w:rPr>
          <w:rStyle w:val="EndnoteReference"/>
        </w:rPr>
        <w:endnoteRef/>
      </w:r>
      <w:r>
        <w:t xml:space="preserve"> Section 4c.</w:t>
      </w:r>
    </w:p>
  </w:endnote>
  <w:endnote w:id="52">
    <w:p w14:paraId="7731F7C3" w14:textId="1A58E3AE" w:rsidR="00B15614" w:rsidRDefault="00B15614" w:rsidP="00645972">
      <w:pPr>
        <w:pStyle w:val="EndnoteText"/>
      </w:pPr>
      <w:r>
        <w:rPr>
          <w:rStyle w:val="EndnoteReference"/>
        </w:rPr>
        <w:endnoteRef/>
      </w:r>
      <w:r>
        <w:t xml:space="preserve"> Table A5.</w:t>
      </w:r>
    </w:p>
  </w:endnote>
  <w:endnote w:id="53">
    <w:p w14:paraId="3FE5293D" w14:textId="77777777" w:rsidR="00B15614" w:rsidRDefault="00B15614" w:rsidP="00645972">
      <w:pPr>
        <w:pStyle w:val="EndnoteText"/>
      </w:pPr>
      <w:r>
        <w:rPr>
          <w:rStyle w:val="EndnoteReference"/>
        </w:rPr>
        <w:endnoteRef/>
      </w:r>
      <w:r>
        <w:t xml:space="preserve"> EU Welcome interview.</w:t>
      </w:r>
    </w:p>
  </w:endnote>
  <w:endnote w:id="54">
    <w:p w14:paraId="0E8F863A" w14:textId="0D58918F" w:rsidR="00B15614" w:rsidRPr="007E0D23" w:rsidRDefault="00B15614" w:rsidP="00645972">
      <w:pPr>
        <w:pStyle w:val="EndnoteText"/>
        <w:rPr>
          <w:lang w:val="en-US"/>
        </w:rPr>
      </w:pPr>
      <w:r>
        <w:rPr>
          <w:rStyle w:val="EndnoteReference"/>
        </w:rPr>
        <w:endnoteRef/>
      </w:r>
      <w:r>
        <w:t xml:space="preserve"> </w:t>
      </w:r>
      <w:r w:rsidRPr="00CF2FCA">
        <w:rPr>
          <w:rFonts w:ascii="Calibri" w:eastAsia="Calibri" w:hAnsi="Calibri" w:cs="Calibri"/>
          <w:bCs/>
          <w:lang w:val="en-US"/>
        </w:rPr>
        <w:t xml:space="preserve">Focus Group </w:t>
      </w:r>
      <w:r w:rsidRPr="00CF2FCA">
        <w:rPr>
          <w:rFonts w:ascii="Calibri" w:eastAsia="Calibri" w:hAnsi="Calibri" w:cs="Calibri"/>
        </w:rPr>
        <w:t>#</w:t>
      </w:r>
      <w:r w:rsidRPr="00CF2FCA">
        <w:rPr>
          <w:rFonts w:ascii="Calibri" w:eastAsia="Calibri" w:hAnsi="Calibri" w:cs="Calibri"/>
          <w:bCs/>
          <w:lang w:val="en-US"/>
        </w:rPr>
        <w:t>2</w:t>
      </w:r>
      <w:r>
        <w:rPr>
          <w:rFonts w:ascii="Calibri" w:eastAsia="Calibri" w:hAnsi="Calibri" w:cs="Calibri"/>
          <w:bCs/>
          <w:sz w:val="22"/>
          <w:lang w:val="en-US"/>
        </w:rPr>
        <w:t>.</w:t>
      </w:r>
    </w:p>
  </w:endnote>
  <w:endnote w:id="55">
    <w:p w14:paraId="556BE386" w14:textId="77777777" w:rsidR="00B15614" w:rsidRPr="001A6137" w:rsidRDefault="00B15614" w:rsidP="00645972">
      <w:pPr>
        <w:pStyle w:val="EndnoteText"/>
        <w:rPr>
          <w:rFonts w:cstheme="minorHAnsi"/>
        </w:rPr>
      </w:pPr>
      <w:r w:rsidRPr="001A6137">
        <w:rPr>
          <w:rStyle w:val="EndnoteReference"/>
          <w:rFonts w:cstheme="minorHAnsi"/>
        </w:rPr>
        <w:endnoteRef/>
      </w:r>
      <w:r w:rsidRPr="001A6137">
        <w:rPr>
          <w:rFonts w:cstheme="minorHAnsi"/>
        </w:rPr>
        <w:t xml:space="preserve"> </w:t>
      </w:r>
      <w:r>
        <w:rPr>
          <w:rFonts w:cstheme="minorHAnsi"/>
        </w:rPr>
        <w:t>Church Representative interview.</w:t>
      </w:r>
    </w:p>
  </w:endnote>
  <w:endnote w:id="56">
    <w:p w14:paraId="270467C5" w14:textId="77777777" w:rsidR="00B15614" w:rsidRDefault="00B15614" w:rsidP="00645972">
      <w:pPr>
        <w:pStyle w:val="EndnoteText"/>
      </w:pPr>
      <w:r>
        <w:rPr>
          <w:rStyle w:val="EndnoteReference"/>
        </w:rPr>
        <w:endnoteRef/>
      </w:r>
      <w:r>
        <w:t xml:space="preserve"> EU Welcome interview.</w:t>
      </w:r>
    </w:p>
  </w:endnote>
  <w:endnote w:id="57">
    <w:p w14:paraId="6F0DAD1B" w14:textId="77777777" w:rsidR="00B15614" w:rsidRPr="001A6137" w:rsidRDefault="00B15614" w:rsidP="00645972">
      <w:pPr>
        <w:pStyle w:val="EndnoteText"/>
        <w:rPr>
          <w:rFonts w:cstheme="minorHAnsi"/>
        </w:rPr>
      </w:pPr>
      <w:r w:rsidRPr="001A6137">
        <w:rPr>
          <w:rStyle w:val="EndnoteReference"/>
          <w:rFonts w:cstheme="minorHAnsi"/>
        </w:rPr>
        <w:endnoteRef/>
      </w:r>
      <w:r w:rsidRPr="001A6137">
        <w:rPr>
          <w:rFonts w:cstheme="minorHAnsi"/>
        </w:rPr>
        <w:t xml:space="preserve"> </w:t>
      </w:r>
      <w:r>
        <w:rPr>
          <w:rFonts w:cstheme="minorHAnsi"/>
        </w:rPr>
        <w:t>Church Representative interview.</w:t>
      </w:r>
    </w:p>
  </w:endnote>
  <w:endnote w:id="58">
    <w:p w14:paraId="56A71169" w14:textId="6E181F38" w:rsidR="00B15614" w:rsidRDefault="00B15614" w:rsidP="00645972">
      <w:pPr>
        <w:pStyle w:val="EndnoteText"/>
      </w:pPr>
      <w:r>
        <w:rPr>
          <w:rStyle w:val="EndnoteReference"/>
        </w:rPr>
        <w:endnoteRef/>
      </w:r>
      <w:r>
        <w:t xml:space="preserve"> </w:t>
      </w:r>
      <w:r w:rsidRPr="007E0D23">
        <w:rPr>
          <w:rFonts w:ascii="Calibri" w:eastAsia="Calibri" w:hAnsi="Calibri" w:cs="Calibri"/>
          <w:bCs/>
          <w:lang w:val="en-US"/>
        </w:rPr>
        <w:t xml:space="preserve">Focus Group </w:t>
      </w:r>
      <w:r w:rsidRPr="007E0D23">
        <w:rPr>
          <w:rFonts w:ascii="Calibri" w:eastAsia="Calibri" w:hAnsi="Calibri" w:cs="Calibri"/>
        </w:rPr>
        <w:t>#2</w:t>
      </w:r>
      <w:r w:rsidRPr="007E0ECC">
        <w:rPr>
          <w:rFonts w:ascii="Calibri" w:eastAsia="Calibri" w:hAnsi="Calibri" w:cs="Calibri"/>
        </w:rPr>
        <w:t>.</w:t>
      </w:r>
    </w:p>
  </w:endnote>
  <w:endnote w:id="59">
    <w:p w14:paraId="7AB6DC04" w14:textId="18AB75A2" w:rsidR="00B15614" w:rsidRPr="001A6137" w:rsidRDefault="00B15614" w:rsidP="00645972">
      <w:pPr>
        <w:pStyle w:val="EndnoteText"/>
        <w:rPr>
          <w:lang w:val="en-US"/>
        </w:rPr>
      </w:pPr>
      <w:r>
        <w:rPr>
          <w:rStyle w:val="EndnoteReference"/>
        </w:rPr>
        <w:endnoteRef/>
      </w:r>
      <w:r>
        <w:t xml:space="preserve"> </w:t>
      </w:r>
      <w:r>
        <w:rPr>
          <w:rFonts w:cstheme="minorHAnsi"/>
        </w:rPr>
        <w:t xml:space="preserve">ibid; see also Remigi et al (2017) and </w:t>
      </w:r>
      <w:r w:rsidRPr="00C24641">
        <w:rPr>
          <w:rFonts w:cstheme="minorHAnsi"/>
        </w:rPr>
        <w:t>Duda-Mikulin’s (2019)</w:t>
      </w:r>
      <w:r>
        <w:rPr>
          <w:rFonts w:cstheme="minorHAnsi"/>
        </w:rPr>
        <w:t>.</w:t>
      </w:r>
    </w:p>
  </w:endnote>
  <w:endnote w:id="60">
    <w:p w14:paraId="5423855B" w14:textId="04CC8BD1" w:rsidR="00B15614" w:rsidRPr="00343860" w:rsidRDefault="00B15614" w:rsidP="00645972">
      <w:pPr>
        <w:pStyle w:val="EndnoteText"/>
        <w:rPr>
          <w:lang w:val="en-US"/>
        </w:rPr>
      </w:pPr>
      <w:r>
        <w:rPr>
          <w:rStyle w:val="EndnoteReference"/>
        </w:rPr>
        <w:endnoteRef/>
      </w:r>
      <w:r>
        <w:t xml:space="preserve"> Table A5, see also Prospect </w:t>
      </w:r>
      <w:r w:rsidRPr="00343860">
        <w:rPr>
          <w:lang w:val="en-US"/>
        </w:rPr>
        <w:t>(201</w:t>
      </w:r>
      <w:r>
        <w:rPr>
          <w:lang w:val="en-US"/>
        </w:rPr>
        <w:t>8</w:t>
      </w:r>
      <w:r w:rsidRPr="00343860">
        <w:rPr>
          <w:lang w:val="en-US"/>
        </w:rPr>
        <w:t>).</w:t>
      </w:r>
    </w:p>
  </w:endnote>
  <w:endnote w:id="61">
    <w:p w14:paraId="21296105" w14:textId="7584C424" w:rsidR="00B15614" w:rsidRDefault="00B15614" w:rsidP="00D44EC7">
      <w:pPr>
        <w:pStyle w:val="EndnoteText"/>
      </w:pPr>
      <w:r>
        <w:rPr>
          <w:rStyle w:val="EndnoteReference"/>
        </w:rPr>
        <w:endnoteRef/>
      </w:r>
      <w:r>
        <w:t xml:space="preserve"> See additional evidence in C</w:t>
      </w:r>
      <w:r w:rsidRPr="00A63B82">
        <w:t>asalicchio</w:t>
      </w:r>
      <w:r>
        <w:t xml:space="preserve"> (2019) and testimonies submitted to In </w:t>
      </w:r>
      <w:r w:rsidRPr="00A63B82">
        <w:t>https://www.ourbrexitblog.org/in-limbo-testimonies</w:t>
      </w:r>
      <w:r>
        <w:t>.</w:t>
      </w:r>
    </w:p>
  </w:endnote>
  <w:endnote w:id="62">
    <w:p w14:paraId="71BFD04B" w14:textId="77777777" w:rsidR="00B15614" w:rsidRPr="00E80589" w:rsidRDefault="00B15614" w:rsidP="00645972">
      <w:pPr>
        <w:pStyle w:val="EndnoteText"/>
        <w:rPr>
          <w:lang w:val="es-ES"/>
        </w:rPr>
      </w:pPr>
      <w:r>
        <w:rPr>
          <w:rStyle w:val="EndnoteReference"/>
        </w:rPr>
        <w:endnoteRef/>
      </w:r>
      <w:r w:rsidRPr="00E80589">
        <w:rPr>
          <w:lang w:val="es-ES"/>
        </w:rPr>
        <w:t xml:space="preserve"> CAB interview.</w:t>
      </w:r>
    </w:p>
  </w:endnote>
  <w:endnote w:id="63">
    <w:p w14:paraId="4519441C" w14:textId="3F59C3C8" w:rsidR="00B15614" w:rsidRPr="00E80589" w:rsidRDefault="00B15614" w:rsidP="00645972">
      <w:pPr>
        <w:pStyle w:val="EndnoteText"/>
        <w:rPr>
          <w:lang w:val="es-ES"/>
        </w:rPr>
      </w:pPr>
      <w:r>
        <w:rPr>
          <w:rStyle w:val="EndnoteReference"/>
        </w:rPr>
        <w:endnoteRef/>
      </w:r>
      <w:r w:rsidRPr="00E80589">
        <w:rPr>
          <w:lang w:val="es-ES"/>
        </w:rPr>
        <w:t>&lt;https://webarchive.nationalarchives.gov.uk/20080911095157/http://www.ukba.homeoffice.gov.uk/workingintheuk/eea/wrs/&gt;.</w:t>
      </w:r>
    </w:p>
  </w:endnote>
  <w:endnote w:id="64">
    <w:p w14:paraId="25D7411D" w14:textId="77777777" w:rsidR="00B15614" w:rsidRPr="00343860" w:rsidRDefault="00B15614" w:rsidP="00645972">
      <w:pPr>
        <w:pStyle w:val="EndnoteText"/>
        <w:rPr>
          <w:lang w:val="en-US"/>
        </w:rPr>
      </w:pPr>
      <w:r>
        <w:rPr>
          <w:rStyle w:val="EndnoteReference"/>
        </w:rPr>
        <w:endnoteRef/>
      </w:r>
      <w:r>
        <w:t xml:space="preserve"> </w:t>
      </w:r>
      <w:r w:rsidRPr="00343860">
        <w:rPr>
          <w:lang w:val="en-US"/>
        </w:rPr>
        <w:t>CAB interview.</w:t>
      </w:r>
    </w:p>
  </w:endnote>
  <w:endnote w:id="65">
    <w:p w14:paraId="4DE9B752" w14:textId="689A8003" w:rsidR="00B15614" w:rsidRPr="00343860" w:rsidRDefault="00B15614" w:rsidP="00645972">
      <w:pPr>
        <w:pStyle w:val="EndnoteText"/>
        <w:rPr>
          <w:lang w:val="en-US"/>
        </w:rPr>
      </w:pPr>
      <w:r>
        <w:rPr>
          <w:rStyle w:val="EndnoteReference"/>
        </w:rPr>
        <w:endnoteRef/>
      </w:r>
      <w:r>
        <w:t xml:space="preserve"> </w:t>
      </w:r>
      <w:r>
        <w:rPr>
          <w:lang w:val="en-US"/>
        </w:rPr>
        <w:t>ibid.</w:t>
      </w:r>
    </w:p>
  </w:endnote>
  <w:endnote w:id="66">
    <w:p w14:paraId="4F30B763" w14:textId="10787595" w:rsidR="00B15614" w:rsidRDefault="00B15614" w:rsidP="00645972">
      <w:pPr>
        <w:pStyle w:val="EndnoteText"/>
      </w:pPr>
      <w:r>
        <w:rPr>
          <w:rStyle w:val="EndnoteReference"/>
        </w:rPr>
        <w:endnoteRef/>
      </w:r>
      <w:r>
        <w:t xml:space="preserve"> ibid.</w:t>
      </w:r>
    </w:p>
  </w:endnote>
  <w:endnote w:id="67">
    <w:p w14:paraId="1AF82EB4" w14:textId="72827FD6" w:rsidR="00B15614" w:rsidRPr="00E80589" w:rsidRDefault="00B15614" w:rsidP="00645972">
      <w:pPr>
        <w:pStyle w:val="EndnoteText"/>
        <w:rPr>
          <w:lang w:val="en-US"/>
        </w:rPr>
      </w:pPr>
      <w:r>
        <w:rPr>
          <w:rStyle w:val="EndnoteReference"/>
        </w:rPr>
        <w:endnoteRef/>
      </w:r>
      <w:r w:rsidRPr="00E80589">
        <w:rPr>
          <w:lang w:val="en-US"/>
        </w:rPr>
        <w:t xml:space="preserve"> ibid.</w:t>
      </w:r>
    </w:p>
  </w:endnote>
  <w:endnote w:id="68">
    <w:p w14:paraId="07AE6E1D" w14:textId="20F81949" w:rsidR="00B15614" w:rsidRPr="00E80589" w:rsidRDefault="00B15614" w:rsidP="00645972">
      <w:pPr>
        <w:pStyle w:val="EndnoteText"/>
        <w:rPr>
          <w:lang w:val="en-US"/>
        </w:rPr>
      </w:pPr>
      <w:r>
        <w:rPr>
          <w:rStyle w:val="EndnoteReference"/>
        </w:rPr>
        <w:endnoteRef/>
      </w:r>
      <w:r w:rsidRPr="00E80589">
        <w:rPr>
          <w:lang w:val="en-US"/>
        </w:rPr>
        <w:t xml:space="preserve"> https://www.existentialacademy.com/esse/.</w:t>
      </w:r>
    </w:p>
    <w:p w14:paraId="15554B06" w14:textId="77777777" w:rsidR="00B15614" w:rsidRPr="00E80589" w:rsidRDefault="00B15614" w:rsidP="007E0D23">
      <w:pPr>
        <w:jc w:val="both"/>
        <w:rPr>
          <w:b/>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w:charset w:val="B1"/>
    <w:family w:val="swiss"/>
    <w:pitch w:val="variable"/>
    <w:sig w:usb0="80000A67" w:usb1="00000000" w:usb2="00000000" w:usb3="00000000" w:csb0="000001F7" w:csb1="00000000"/>
  </w:font>
  <w:font w:name="AdvOT46dcae81">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1449604"/>
      <w:docPartObj>
        <w:docPartGallery w:val="Page Numbers (Bottom of Page)"/>
        <w:docPartUnique/>
      </w:docPartObj>
    </w:sdtPr>
    <w:sdtEndPr>
      <w:rPr>
        <w:rStyle w:val="PageNumber"/>
      </w:rPr>
    </w:sdtEndPr>
    <w:sdtContent>
      <w:p w14:paraId="73603A0F" w14:textId="77777777" w:rsidR="00B15614" w:rsidRDefault="00B15614" w:rsidP="00B54D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A03B66" w14:textId="77777777" w:rsidR="00B15614" w:rsidRDefault="00B15614" w:rsidP="003933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96454064"/>
      <w:docPartObj>
        <w:docPartGallery w:val="Page Numbers (Bottom of Page)"/>
        <w:docPartUnique/>
      </w:docPartObj>
    </w:sdtPr>
    <w:sdtEndPr>
      <w:rPr>
        <w:rStyle w:val="PageNumber"/>
      </w:rPr>
    </w:sdtEndPr>
    <w:sdtContent>
      <w:p w14:paraId="63EADA35" w14:textId="77777777" w:rsidR="00B15614" w:rsidRDefault="00B15614" w:rsidP="00B54D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sdtContent>
  </w:sdt>
  <w:p w14:paraId="43C2136C" w14:textId="77777777" w:rsidR="00B15614" w:rsidRDefault="00B15614" w:rsidP="003933A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91830096"/>
      <w:docPartObj>
        <w:docPartGallery w:val="Page Numbers (Bottom of Page)"/>
        <w:docPartUnique/>
      </w:docPartObj>
    </w:sdtPr>
    <w:sdtEndPr>
      <w:rPr>
        <w:rStyle w:val="PageNumber"/>
      </w:rPr>
    </w:sdtEndPr>
    <w:sdtContent>
      <w:p w14:paraId="6D7F43CB" w14:textId="51C9693D" w:rsidR="00B15614" w:rsidRDefault="00B15614" w:rsidP="00B54D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47CC8E" w14:textId="77777777" w:rsidR="00B15614" w:rsidRDefault="00B15614" w:rsidP="003933A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60958071"/>
      <w:docPartObj>
        <w:docPartGallery w:val="Page Numbers (Bottom of Page)"/>
        <w:docPartUnique/>
      </w:docPartObj>
    </w:sdtPr>
    <w:sdtEndPr>
      <w:rPr>
        <w:rStyle w:val="PageNumber"/>
      </w:rPr>
    </w:sdtEndPr>
    <w:sdtContent>
      <w:p w14:paraId="125C3A87" w14:textId="66CE83B5" w:rsidR="00B15614" w:rsidRDefault="00B15614" w:rsidP="00B54D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sdtContent>
  </w:sdt>
  <w:p w14:paraId="7CDF01FD" w14:textId="77777777" w:rsidR="00B15614" w:rsidRDefault="00B15614" w:rsidP="003933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B06DC" w14:textId="77777777" w:rsidR="00E37568" w:rsidRDefault="00E37568" w:rsidP="00B21F90">
      <w:r>
        <w:separator/>
      </w:r>
    </w:p>
  </w:footnote>
  <w:footnote w:type="continuationSeparator" w:id="0">
    <w:p w14:paraId="017725D5" w14:textId="77777777" w:rsidR="00E37568" w:rsidRDefault="00E37568" w:rsidP="00B21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171CE"/>
    <w:multiLevelType w:val="hybridMultilevel"/>
    <w:tmpl w:val="66625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5776C"/>
    <w:multiLevelType w:val="hybridMultilevel"/>
    <w:tmpl w:val="ABD81E76"/>
    <w:lvl w:ilvl="0" w:tplc="E77E81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779C7"/>
    <w:multiLevelType w:val="hybridMultilevel"/>
    <w:tmpl w:val="F724D610"/>
    <w:lvl w:ilvl="0" w:tplc="8304A4A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81952"/>
    <w:multiLevelType w:val="hybridMultilevel"/>
    <w:tmpl w:val="8B20C554"/>
    <w:lvl w:ilvl="0" w:tplc="92428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7614D"/>
    <w:multiLevelType w:val="hybridMultilevel"/>
    <w:tmpl w:val="2C2ABC62"/>
    <w:lvl w:ilvl="0" w:tplc="C8285C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40593"/>
    <w:multiLevelType w:val="hybridMultilevel"/>
    <w:tmpl w:val="E520B4F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B07AF"/>
    <w:multiLevelType w:val="hybridMultilevel"/>
    <w:tmpl w:val="EEDADE96"/>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60C61"/>
    <w:multiLevelType w:val="hybridMultilevel"/>
    <w:tmpl w:val="76681422"/>
    <w:lvl w:ilvl="0" w:tplc="924286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E47538"/>
    <w:multiLevelType w:val="hybridMultilevel"/>
    <w:tmpl w:val="AB08E9B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FED53D3"/>
    <w:multiLevelType w:val="hybridMultilevel"/>
    <w:tmpl w:val="3F864448"/>
    <w:lvl w:ilvl="0" w:tplc="B04AB0C4">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D26CC0"/>
    <w:multiLevelType w:val="multilevel"/>
    <w:tmpl w:val="94422A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203C22"/>
    <w:multiLevelType w:val="hybridMultilevel"/>
    <w:tmpl w:val="EEDADE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5900BC"/>
    <w:multiLevelType w:val="hybridMultilevel"/>
    <w:tmpl w:val="6672C1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3F59BC"/>
    <w:multiLevelType w:val="hybridMultilevel"/>
    <w:tmpl w:val="76F2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502B7"/>
    <w:multiLevelType w:val="hybridMultilevel"/>
    <w:tmpl w:val="9DB4A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6D251D"/>
    <w:multiLevelType w:val="hybridMultilevel"/>
    <w:tmpl w:val="655C0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F15BC9"/>
    <w:multiLevelType w:val="hybridMultilevel"/>
    <w:tmpl w:val="DF14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BF45AE"/>
    <w:multiLevelType w:val="hybridMultilevel"/>
    <w:tmpl w:val="16C005AC"/>
    <w:lvl w:ilvl="0" w:tplc="9242869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1"/>
  </w:num>
  <w:num w:numId="3">
    <w:abstractNumId w:val="4"/>
  </w:num>
  <w:num w:numId="4">
    <w:abstractNumId w:val="14"/>
  </w:num>
  <w:num w:numId="5">
    <w:abstractNumId w:val="13"/>
  </w:num>
  <w:num w:numId="6">
    <w:abstractNumId w:val="16"/>
  </w:num>
  <w:num w:numId="7">
    <w:abstractNumId w:val="15"/>
  </w:num>
  <w:num w:numId="8">
    <w:abstractNumId w:val="8"/>
  </w:num>
  <w:num w:numId="9">
    <w:abstractNumId w:val="17"/>
  </w:num>
  <w:num w:numId="10">
    <w:abstractNumId w:val="10"/>
  </w:num>
  <w:num w:numId="11">
    <w:abstractNumId w:val="12"/>
  </w:num>
  <w:num w:numId="12">
    <w:abstractNumId w:val="1"/>
  </w:num>
  <w:num w:numId="13">
    <w:abstractNumId w:val="2"/>
  </w:num>
  <w:num w:numId="14">
    <w:abstractNumId w:val="7"/>
  </w:num>
  <w:num w:numId="15">
    <w:abstractNumId w:val="3"/>
  </w:num>
  <w:num w:numId="16">
    <w:abstractNumId w:val="5"/>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C2"/>
    <w:rsid w:val="00000CFA"/>
    <w:rsid w:val="0000364A"/>
    <w:rsid w:val="00003B0A"/>
    <w:rsid w:val="00011AFE"/>
    <w:rsid w:val="00011F4B"/>
    <w:rsid w:val="000121A0"/>
    <w:rsid w:val="00013235"/>
    <w:rsid w:val="00014482"/>
    <w:rsid w:val="00015477"/>
    <w:rsid w:val="00016101"/>
    <w:rsid w:val="00020B64"/>
    <w:rsid w:val="000211C5"/>
    <w:rsid w:val="00024A98"/>
    <w:rsid w:val="00031F28"/>
    <w:rsid w:val="00036D22"/>
    <w:rsid w:val="00041C42"/>
    <w:rsid w:val="00042D13"/>
    <w:rsid w:val="00060D7D"/>
    <w:rsid w:val="00061FFC"/>
    <w:rsid w:val="000662D3"/>
    <w:rsid w:val="000727AB"/>
    <w:rsid w:val="0007373D"/>
    <w:rsid w:val="0008322B"/>
    <w:rsid w:val="000850D8"/>
    <w:rsid w:val="00087F15"/>
    <w:rsid w:val="00093644"/>
    <w:rsid w:val="000960D8"/>
    <w:rsid w:val="00096464"/>
    <w:rsid w:val="000A30DE"/>
    <w:rsid w:val="000A4E0C"/>
    <w:rsid w:val="000B35B0"/>
    <w:rsid w:val="000B580A"/>
    <w:rsid w:val="000C0538"/>
    <w:rsid w:val="000C3FB5"/>
    <w:rsid w:val="000C5BBE"/>
    <w:rsid w:val="000E081B"/>
    <w:rsid w:val="000E27C2"/>
    <w:rsid w:val="000E4291"/>
    <w:rsid w:val="000F0305"/>
    <w:rsid w:val="000F455F"/>
    <w:rsid w:val="000F5ADD"/>
    <w:rsid w:val="000F5DBA"/>
    <w:rsid w:val="000F738C"/>
    <w:rsid w:val="00104344"/>
    <w:rsid w:val="00105DC2"/>
    <w:rsid w:val="001068D3"/>
    <w:rsid w:val="00116419"/>
    <w:rsid w:val="001174BC"/>
    <w:rsid w:val="00123FEE"/>
    <w:rsid w:val="001244FD"/>
    <w:rsid w:val="001346D9"/>
    <w:rsid w:val="00134B30"/>
    <w:rsid w:val="001352E7"/>
    <w:rsid w:val="00135306"/>
    <w:rsid w:val="00135FB0"/>
    <w:rsid w:val="0013706B"/>
    <w:rsid w:val="00141E0F"/>
    <w:rsid w:val="0014344B"/>
    <w:rsid w:val="001434DF"/>
    <w:rsid w:val="00150728"/>
    <w:rsid w:val="00152066"/>
    <w:rsid w:val="00156F0C"/>
    <w:rsid w:val="00161E65"/>
    <w:rsid w:val="00165BA2"/>
    <w:rsid w:val="0016765A"/>
    <w:rsid w:val="001728BD"/>
    <w:rsid w:val="00172E22"/>
    <w:rsid w:val="0017355F"/>
    <w:rsid w:val="00173F83"/>
    <w:rsid w:val="00175AFE"/>
    <w:rsid w:val="00181374"/>
    <w:rsid w:val="00181499"/>
    <w:rsid w:val="001847CD"/>
    <w:rsid w:val="00186B0E"/>
    <w:rsid w:val="00186B39"/>
    <w:rsid w:val="0018739C"/>
    <w:rsid w:val="0018778A"/>
    <w:rsid w:val="00187F58"/>
    <w:rsid w:val="00190A73"/>
    <w:rsid w:val="00192730"/>
    <w:rsid w:val="001961EF"/>
    <w:rsid w:val="0019740A"/>
    <w:rsid w:val="001A2DB0"/>
    <w:rsid w:val="001A358A"/>
    <w:rsid w:val="001A3E9D"/>
    <w:rsid w:val="001B553A"/>
    <w:rsid w:val="001B55BF"/>
    <w:rsid w:val="001D16C5"/>
    <w:rsid w:val="001D6795"/>
    <w:rsid w:val="001D6FDB"/>
    <w:rsid w:val="001E09AC"/>
    <w:rsid w:val="001E0C1B"/>
    <w:rsid w:val="001E7084"/>
    <w:rsid w:val="001F1307"/>
    <w:rsid w:val="001F2639"/>
    <w:rsid w:val="001F3FD3"/>
    <w:rsid w:val="00200E69"/>
    <w:rsid w:val="00206E8A"/>
    <w:rsid w:val="00212A55"/>
    <w:rsid w:val="002211E2"/>
    <w:rsid w:val="00225132"/>
    <w:rsid w:val="00226F4E"/>
    <w:rsid w:val="002277CA"/>
    <w:rsid w:val="00227A7E"/>
    <w:rsid w:val="00230FBC"/>
    <w:rsid w:val="002332AF"/>
    <w:rsid w:val="00233AE2"/>
    <w:rsid w:val="00245A2B"/>
    <w:rsid w:val="00253618"/>
    <w:rsid w:val="00254F94"/>
    <w:rsid w:val="00255699"/>
    <w:rsid w:val="002574EC"/>
    <w:rsid w:val="00261422"/>
    <w:rsid w:val="00261AF1"/>
    <w:rsid w:val="0026603E"/>
    <w:rsid w:val="00266C55"/>
    <w:rsid w:val="0026767E"/>
    <w:rsid w:val="00270DEA"/>
    <w:rsid w:val="0027310B"/>
    <w:rsid w:val="00292F4A"/>
    <w:rsid w:val="00296E71"/>
    <w:rsid w:val="002A217D"/>
    <w:rsid w:val="002A47A7"/>
    <w:rsid w:val="002A4DBA"/>
    <w:rsid w:val="002A5B76"/>
    <w:rsid w:val="002A5E52"/>
    <w:rsid w:val="002A6283"/>
    <w:rsid w:val="002B0AF2"/>
    <w:rsid w:val="002B7060"/>
    <w:rsid w:val="002C181F"/>
    <w:rsid w:val="002C1AEA"/>
    <w:rsid w:val="002D4D80"/>
    <w:rsid w:val="002E34E8"/>
    <w:rsid w:val="002E5672"/>
    <w:rsid w:val="002F4B07"/>
    <w:rsid w:val="002F68DC"/>
    <w:rsid w:val="00301F04"/>
    <w:rsid w:val="00302A23"/>
    <w:rsid w:val="0030408D"/>
    <w:rsid w:val="0030535A"/>
    <w:rsid w:val="00315107"/>
    <w:rsid w:val="003155F0"/>
    <w:rsid w:val="00316489"/>
    <w:rsid w:val="00316FDE"/>
    <w:rsid w:val="00323915"/>
    <w:rsid w:val="00327D11"/>
    <w:rsid w:val="00333276"/>
    <w:rsid w:val="00344259"/>
    <w:rsid w:val="00373C7E"/>
    <w:rsid w:val="00375B1D"/>
    <w:rsid w:val="003801D7"/>
    <w:rsid w:val="003912B1"/>
    <w:rsid w:val="003933A9"/>
    <w:rsid w:val="003933E0"/>
    <w:rsid w:val="00395160"/>
    <w:rsid w:val="0039591B"/>
    <w:rsid w:val="00397D80"/>
    <w:rsid w:val="003A5228"/>
    <w:rsid w:val="003A52ED"/>
    <w:rsid w:val="003A5918"/>
    <w:rsid w:val="003B3C94"/>
    <w:rsid w:val="003B518A"/>
    <w:rsid w:val="003B7143"/>
    <w:rsid w:val="003B7ACB"/>
    <w:rsid w:val="003C07C3"/>
    <w:rsid w:val="003C5A6B"/>
    <w:rsid w:val="003D63C4"/>
    <w:rsid w:val="003D720F"/>
    <w:rsid w:val="003E563D"/>
    <w:rsid w:val="003E5B7E"/>
    <w:rsid w:val="003F1396"/>
    <w:rsid w:val="003F4E5D"/>
    <w:rsid w:val="00405C82"/>
    <w:rsid w:val="00414459"/>
    <w:rsid w:val="004220E6"/>
    <w:rsid w:val="00422D8D"/>
    <w:rsid w:val="00423853"/>
    <w:rsid w:val="0042427D"/>
    <w:rsid w:val="0042641C"/>
    <w:rsid w:val="0043084D"/>
    <w:rsid w:val="00430C6E"/>
    <w:rsid w:val="00430E86"/>
    <w:rsid w:val="00437EED"/>
    <w:rsid w:val="004426A9"/>
    <w:rsid w:val="00443387"/>
    <w:rsid w:val="0044400A"/>
    <w:rsid w:val="00453FA4"/>
    <w:rsid w:val="00471A7F"/>
    <w:rsid w:val="004A175E"/>
    <w:rsid w:val="004A554E"/>
    <w:rsid w:val="004B2472"/>
    <w:rsid w:val="004B3BBD"/>
    <w:rsid w:val="004C4172"/>
    <w:rsid w:val="004C5AAC"/>
    <w:rsid w:val="004C6D4F"/>
    <w:rsid w:val="004C702F"/>
    <w:rsid w:val="004D23EB"/>
    <w:rsid w:val="004D2B8C"/>
    <w:rsid w:val="004D3FD3"/>
    <w:rsid w:val="004D5FEC"/>
    <w:rsid w:val="004D7EAF"/>
    <w:rsid w:val="004E021B"/>
    <w:rsid w:val="004E0676"/>
    <w:rsid w:val="004E324E"/>
    <w:rsid w:val="004E4B3D"/>
    <w:rsid w:val="0050261A"/>
    <w:rsid w:val="005036DB"/>
    <w:rsid w:val="005067F7"/>
    <w:rsid w:val="00506871"/>
    <w:rsid w:val="00510FFC"/>
    <w:rsid w:val="0051269B"/>
    <w:rsid w:val="00517417"/>
    <w:rsid w:val="00522CD5"/>
    <w:rsid w:val="00523987"/>
    <w:rsid w:val="00523E50"/>
    <w:rsid w:val="00525648"/>
    <w:rsid w:val="00525756"/>
    <w:rsid w:val="00531603"/>
    <w:rsid w:val="00532E63"/>
    <w:rsid w:val="00533BD4"/>
    <w:rsid w:val="00533EBB"/>
    <w:rsid w:val="0054259E"/>
    <w:rsid w:val="00543E42"/>
    <w:rsid w:val="005444A8"/>
    <w:rsid w:val="00552444"/>
    <w:rsid w:val="005526FF"/>
    <w:rsid w:val="005532CF"/>
    <w:rsid w:val="00553464"/>
    <w:rsid w:val="00564312"/>
    <w:rsid w:val="00571190"/>
    <w:rsid w:val="005711FE"/>
    <w:rsid w:val="00575179"/>
    <w:rsid w:val="00581CC6"/>
    <w:rsid w:val="00582838"/>
    <w:rsid w:val="00593CF7"/>
    <w:rsid w:val="005968E0"/>
    <w:rsid w:val="005A17E5"/>
    <w:rsid w:val="005A3B7C"/>
    <w:rsid w:val="005A4C32"/>
    <w:rsid w:val="005A7D47"/>
    <w:rsid w:val="005B4E7D"/>
    <w:rsid w:val="005B67EF"/>
    <w:rsid w:val="005C34D6"/>
    <w:rsid w:val="005C5D6F"/>
    <w:rsid w:val="005D140F"/>
    <w:rsid w:val="005D1BAD"/>
    <w:rsid w:val="005D2B8F"/>
    <w:rsid w:val="005D5D3F"/>
    <w:rsid w:val="005E0823"/>
    <w:rsid w:val="005E1BAE"/>
    <w:rsid w:val="005E1CF9"/>
    <w:rsid w:val="005E4D03"/>
    <w:rsid w:val="005F2500"/>
    <w:rsid w:val="00600581"/>
    <w:rsid w:val="00601345"/>
    <w:rsid w:val="00601CE0"/>
    <w:rsid w:val="00603636"/>
    <w:rsid w:val="0061102C"/>
    <w:rsid w:val="00615540"/>
    <w:rsid w:val="006256E8"/>
    <w:rsid w:val="00627868"/>
    <w:rsid w:val="0063081E"/>
    <w:rsid w:val="0063130B"/>
    <w:rsid w:val="00632321"/>
    <w:rsid w:val="00632C2B"/>
    <w:rsid w:val="00634784"/>
    <w:rsid w:val="006360F3"/>
    <w:rsid w:val="00636C9D"/>
    <w:rsid w:val="00640CBE"/>
    <w:rsid w:val="00645972"/>
    <w:rsid w:val="00651427"/>
    <w:rsid w:val="00657826"/>
    <w:rsid w:val="00660B68"/>
    <w:rsid w:val="00662AB8"/>
    <w:rsid w:val="0066577F"/>
    <w:rsid w:val="00667B95"/>
    <w:rsid w:val="006755BB"/>
    <w:rsid w:val="00682D66"/>
    <w:rsid w:val="006870DD"/>
    <w:rsid w:val="00687297"/>
    <w:rsid w:val="00695C57"/>
    <w:rsid w:val="006A5EB5"/>
    <w:rsid w:val="006B1463"/>
    <w:rsid w:val="006B3D18"/>
    <w:rsid w:val="006B73F1"/>
    <w:rsid w:val="006C07DB"/>
    <w:rsid w:val="006C3E43"/>
    <w:rsid w:val="006D0454"/>
    <w:rsid w:val="006D0886"/>
    <w:rsid w:val="006E010A"/>
    <w:rsid w:val="006E0F81"/>
    <w:rsid w:val="006E1AE5"/>
    <w:rsid w:val="006E3D2D"/>
    <w:rsid w:val="006F0BE3"/>
    <w:rsid w:val="006F1322"/>
    <w:rsid w:val="006F52A2"/>
    <w:rsid w:val="006F67DC"/>
    <w:rsid w:val="0070775C"/>
    <w:rsid w:val="007172BC"/>
    <w:rsid w:val="00722E63"/>
    <w:rsid w:val="007256AA"/>
    <w:rsid w:val="007262CB"/>
    <w:rsid w:val="007275CD"/>
    <w:rsid w:val="00731587"/>
    <w:rsid w:val="007336DE"/>
    <w:rsid w:val="007402F3"/>
    <w:rsid w:val="00744ACC"/>
    <w:rsid w:val="00751003"/>
    <w:rsid w:val="007511C1"/>
    <w:rsid w:val="00751201"/>
    <w:rsid w:val="00760BF8"/>
    <w:rsid w:val="00765305"/>
    <w:rsid w:val="00767861"/>
    <w:rsid w:val="007701B2"/>
    <w:rsid w:val="00774E9E"/>
    <w:rsid w:val="00776EB6"/>
    <w:rsid w:val="0078743B"/>
    <w:rsid w:val="00787521"/>
    <w:rsid w:val="007904A5"/>
    <w:rsid w:val="007911CE"/>
    <w:rsid w:val="00791470"/>
    <w:rsid w:val="00791BD2"/>
    <w:rsid w:val="00792EFA"/>
    <w:rsid w:val="007931E8"/>
    <w:rsid w:val="00794799"/>
    <w:rsid w:val="007964D6"/>
    <w:rsid w:val="007A4206"/>
    <w:rsid w:val="007A51CF"/>
    <w:rsid w:val="007A6BD5"/>
    <w:rsid w:val="007A6DD8"/>
    <w:rsid w:val="007C13EF"/>
    <w:rsid w:val="007C1B33"/>
    <w:rsid w:val="007C3022"/>
    <w:rsid w:val="007C3887"/>
    <w:rsid w:val="007C3EF4"/>
    <w:rsid w:val="007D4950"/>
    <w:rsid w:val="007D59E1"/>
    <w:rsid w:val="007D5AF5"/>
    <w:rsid w:val="007D74BE"/>
    <w:rsid w:val="007E0D23"/>
    <w:rsid w:val="007E0ECC"/>
    <w:rsid w:val="007E2A08"/>
    <w:rsid w:val="007E4ECF"/>
    <w:rsid w:val="007F3BBC"/>
    <w:rsid w:val="0081606E"/>
    <w:rsid w:val="0081759F"/>
    <w:rsid w:val="008228F4"/>
    <w:rsid w:val="00825BF3"/>
    <w:rsid w:val="00826684"/>
    <w:rsid w:val="00837183"/>
    <w:rsid w:val="00842750"/>
    <w:rsid w:val="008442CC"/>
    <w:rsid w:val="0084433B"/>
    <w:rsid w:val="00846340"/>
    <w:rsid w:val="008531A6"/>
    <w:rsid w:val="0085362A"/>
    <w:rsid w:val="0085499C"/>
    <w:rsid w:val="008653AD"/>
    <w:rsid w:val="00870982"/>
    <w:rsid w:val="00873CB4"/>
    <w:rsid w:val="00874A45"/>
    <w:rsid w:val="00877682"/>
    <w:rsid w:val="008809FD"/>
    <w:rsid w:val="0088674B"/>
    <w:rsid w:val="00887FF5"/>
    <w:rsid w:val="008905EF"/>
    <w:rsid w:val="008A35C7"/>
    <w:rsid w:val="008B44BA"/>
    <w:rsid w:val="008C00D2"/>
    <w:rsid w:val="008C0A74"/>
    <w:rsid w:val="008C50B1"/>
    <w:rsid w:val="008C6F30"/>
    <w:rsid w:val="008D3F40"/>
    <w:rsid w:val="008D6514"/>
    <w:rsid w:val="008E086F"/>
    <w:rsid w:val="008E163D"/>
    <w:rsid w:val="008E1E0B"/>
    <w:rsid w:val="008E273F"/>
    <w:rsid w:val="008E362F"/>
    <w:rsid w:val="008E53CB"/>
    <w:rsid w:val="008F0C43"/>
    <w:rsid w:val="008F330E"/>
    <w:rsid w:val="008F5596"/>
    <w:rsid w:val="008F5CC2"/>
    <w:rsid w:val="0090260F"/>
    <w:rsid w:val="00906456"/>
    <w:rsid w:val="00913734"/>
    <w:rsid w:val="00913923"/>
    <w:rsid w:val="009151A9"/>
    <w:rsid w:val="009175A7"/>
    <w:rsid w:val="00927162"/>
    <w:rsid w:val="00932B9B"/>
    <w:rsid w:val="00942840"/>
    <w:rsid w:val="009448D7"/>
    <w:rsid w:val="009470C9"/>
    <w:rsid w:val="00955B77"/>
    <w:rsid w:val="00960817"/>
    <w:rsid w:val="00961C3A"/>
    <w:rsid w:val="009625D0"/>
    <w:rsid w:val="009642EA"/>
    <w:rsid w:val="00964C57"/>
    <w:rsid w:val="009654E9"/>
    <w:rsid w:val="00971EC4"/>
    <w:rsid w:val="00984DAE"/>
    <w:rsid w:val="0098730A"/>
    <w:rsid w:val="009874D3"/>
    <w:rsid w:val="00990927"/>
    <w:rsid w:val="00992756"/>
    <w:rsid w:val="00997EB0"/>
    <w:rsid w:val="009A0518"/>
    <w:rsid w:val="009A6B55"/>
    <w:rsid w:val="009A7CBE"/>
    <w:rsid w:val="009B255A"/>
    <w:rsid w:val="009B3D30"/>
    <w:rsid w:val="009B6AA8"/>
    <w:rsid w:val="009B72EE"/>
    <w:rsid w:val="009C1016"/>
    <w:rsid w:val="009C51E2"/>
    <w:rsid w:val="009C573B"/>
    <w:rsid w:val="009D28E5"/>
    <w:rsid w:val="009D2B20"/>
    <w:rsid w:val="009D46B9"/>
    <w:rsid w:val="009E07C6"/>
    <w:rsid w:val="009E42EA"/>
    <w:rsid w:val="009F164E"/>
    <w:rsid w:val="00A07329"/>
    <w:rsid w:val="00A105D1"/>
    <w:rsid w:val="00A21F99"/>
    <w:rsid w:val="00A22014"/>
    <w:rsid w:val="00A22814"/>
    <w:rsid w:val="00A2669B"/>
    <w:rsid w:val="00A301FA"/>
    <w:rsid w:val="00A30385"/>
    <w:rsid w:val="00A30B0B"/>
    <w:rsid w:val="00A328D6"/>
    <w:rsid w:val="00A35D04"/>
    <w:rsid w:val="00A36000"/>
    <w:rsid w:val="00A371F6"/>
    <w:rsid w:val="00A373D5"/>
    <w:rsid w:val="00A410E3"/>
    <w:rsid w:val="00A44420"/>
    <w:rsid w:val="00A45463"/>
    <w:rsid w:val="00A45740"/>
    <w:rsid w:val="00A457DA"/>
    <w:rsid w:val="00A46BBD"/>
    <w:rsid w:val="00A502CC"/>
    <w:rsid w:val="00A5214B"/>
    <w:rsid w:val="00A52600"/>
    <w:rsid w:val="00A53887"/>
    <w:rsid w:val="00A56F64"/>
    <w:rsid w:val="00A63092"/>
    <w:rsid w:val="00A66FDB"/>
    <w:rsid w:val="00A70F45"/>
    <w:rsid w:val="00A7277C"/>
    <w:rsid w:val="00A75625"/>
    <w:rsid w:val="00A8408F"/>
    <w:rsid w:val="00A8424C"/>
    <w:rsid w:val="00A900E1"/>
    <w:rsid w:val="00A96453"/>
    <w:rsid w:val="00AA2C12"/>
    <w:rsid w:val="00AA59D5"/>
    <w:rsid w:val="00AB03A9"/>
    <w:rsid w:val="00AB39AA"/>
    <w:rsid w:val="00AB4345"/>
    <w:rsid w:val="00AB45E0"/>
    <w:rsid w:val="00AB4D07"/>
    <w:rsid w:val="00AB573B"/>
    <w:rsid w:val="00AB5B81"/>
    <w:rsid w:val="00AC02DD"/>
    <w:rsid w:val="00AC163B"/>
    <w:rsid w:val="00AC254D"/>
    <w:rsid w:val="00AC53E3"/>
    <w:rsid w:val="00AC6390"/>
    <w:rsid w:val="00AD0F15"/>
    <w:rsid w:val="00AD2A99"/>
    <w:rsid w:val="00AE028D"/>
    <w:rsid w:val="00AE18AA"/>
    <w:rsid w:val="00AE4679"/>
    <w:rsid w:val="00AE7EDB"/>
    <w:rsid w:val="00AF5BE9"/>
    <w:rsid w:val="00B04F08"/>
    <w:rsid w:val="00B06FAE"/>
    <w:rsid w:val="00B0758F"/>
    <w:rsid w:val="00B107C5"/>
    <w:rsid w:val="00B14537"/>
    <w:rsid w:val="00B15614"/>
    <w:rsid w:val="00B16B9B"/>
    <w:rsid w:val="00B1739D"/>
    <w:rsid w:val="00B20E6B"/>
    <w:rsid w:val="00B21F90"/>
    <w:rsid w:val="00B23421"/>
    <w:rsid w:val="00B2437C"/>
    <w:rsid w:val="00B24730"/>
    <w:rsid w:val="00B33591"/>
    <w:rsid w:val="00B35E7D"/>
    <w:rsid w:val="00B40EEC"/>
    <w:rsid w:val="00B416D1"/>
    <w:rsid w:val="00B41E55"/>
    <w:rsid w:val="00B42D26"/>
    <w:rsid w:val="00B44581"/>
    <w:rsid w:val="00B45BF1"/>
    <w:rsid w:val="00B46330"/>
    <w:rsid w:val="00B51C00"/>
    <w:rsid w:val="00B51C30"/>
    <w:rsid w:val="00B522FE"/>
    <w:rsid w:val="00B54D62"/>
    <w:rsid w:val="00B578D4"/>
    <w:rsid w:val="00B650C6"/>
    <w:rsid w:val="00B704B2"/>
    <w:rsid w:val="00B72931"/>
    <w:rsid w:val="00B73D63"/>
    <w:rsid w:val="00B80012"/>
    <w:rsid w:val="00B81DFE"/>
    <w:rsid w:val="00B903EF"/>
    <w:rsid w:val="00B90781"/>
    <w:rsid w:val="00B9325F"/>
    <w:rsid w:val="00B935E4"/>
    <w:rsid w:val="00B93A58"/>
    <w:rsid w:val="00B95575"/>
    <w:rsid w:val="00B95693"/>
    <w:rsid w:val="00B96D51"/>
    <w:rsid w:val="00BA1C2A"/>
    <w:rsid w:val="00BA7087"/>
    <w:rsid w:val="00BA7189"/>
    <w:rsid w:val="00BB3955"/>
    <w:rsid w:val="00BB5035"/>
    <w:rsid w:val="00BB6AA5"/>
    <w:rsid w:val="00BC53AD"/>
    <w:rsid w:val="00BC66CC"/>
    <w:rsid w:val="00BD1068"/>
    <w:rsid w:val="00BD65D7"/>
    <w:rsid w:val="00BD7BC1"/>
    <w:rsid w:val="00BE14A5"/>
    <w:rsid w:val="00BF2C33"/>
    <w:rsid w:val="00BF30FE"/>
    <w:rsid w:val="00C04271"/>
    <w:rsid w:val="00C046C7"/>
    <w:rsid w:val="00C063F6"/>
    <w:rsid w:val="00C1518E"/>
    <w:rsid w:val="00C166D0"/>
    <w:rsid w:val="00C2018D"/>
    <w:rsid w:val="00C24641"/>
    <w:rsid w:val="00C2551E"/>
    <w:rsid w:val="00C30028"/>
    <w:rsid w:val="00C30380"/>
    <w:rsid w:val="00C304D4"/>
    <w:rsid w:val="00C43C91"/>
    <w:rsid w:val="00C508EF"/>
    <w:rsid w:val="00C5496B"/>
    <w:rsid w:val="00C550C3"/>
    <w:rsid w:val="00C55411"/>
    <w:rsid w:val="00C55A2F"/>
    <w:rsid w:val="00C57492"/>
    <w:rsid w:val="00C61000"/>
    <w:rsid w:val="00C62A04"/>
    <w:rsid w:val="00C700C4"/>
    <w:rsid w:val="00C7147E"/>
    <w:rsid w:val="00C77DB4"/>
    <w:rsid w:val="00C810D9"/>
    <w:rsid w:val="00C83232"/>
    <w:rsid w:val="00C8721E"/>
    <w:rsid w:val="00C875EA"/>
    <w:rsid w:val="00C92DAA"/>
    <w:rsid w:val="00C9374B"/>
    <w:rsid w:val="00CA4D74"/>
    <w:rsid w:val="00CA640E"/>
    <w:rsid w:val="00CA68D0"/>
    <w:rsid w:val="00CB0513"/>
    <w:rsid w:val="00CB1E0B"/>
    <w:rsid w:val="00CB3A5A"/>
    <w:rsid w:val="00CB5CAE"/>
    <w:rsid w:val="00CD5E4E"/>
    <w:rsid w:val="00CE08A8"/>
    <w:rsid w:val="00CE3783"/>
    <w:rsid w:val="00CE4D7D"/>
    <w:rsid w:val="00CE53F4"/>
    <w:rsid w:val="00CE6EDB"/>
    <w:rsid w:val="00CF022D"/>
    <w:rsid w:val="00D02C89"/>
    <w:rsid w:val="00D046AF"/>
    <w:rsid w:val="00D05676"/>
    <w:rsid w:val="00D0787D"/>
    <w:rsid w:val="00D10A0A"/>
    <w:rsid w:val="00D12761"/>
    <w:rsid w:val="00D16B33"/>
    <w:rsid w:val="00D243A9"/>
    <w:rsid w:val="00D326E9"/>
    <w:rsid w:val="00D34397"/>
    <w:rsid w:val="00D34EF3"/>
    <w:rsid w:val="00D4311D"/>
    <w:rsid w:val="00D44EC7"/>
    <w:rsid w:val="00D50C09"/>
    <w:rsid w:val="00D53450"/>
    <w:rsid w:val="00D541C1"/>
    <w:rsid w:val="00D633FC"/>
    <w:rsid w:val="00D6533D"/>
    <w:rsid w:val="00D65C55"/>
    <w:rsid w:val="00D67834"/>
    <w:rsid w:val="00D703A8"/>
    <w:rsid w:val="00D821E3"/>
    <w:rsid w:val="00D84C98"/>
    <w:rsid w:val="00DA588B"/>
    <w:rsid w:val="00DA75F5"/>
    <w:rsid w:val="00DB0577"/>
    <w:rsid w:val="00DB10C5"/>
    <w:rsid w:val="00DB700F"/>
    <w:rsid w:val="00DC33E1"/>
    <w:rsid w:val="00DC44F8"/>
    <w:rsid w:val="00DD2D8B"/>
    <w:rsid w:val="00DD729F"/>
    <w:rsid w:val="00DE12ED"/>
    <w:rsid w:val="00DE31FC"/>
    <w:rsid w:val="00DE5AC4"/>
    <w:rsid w:val="00DF3AD4"/>
    <w:rsid w:val="00E047F2"/>
    <w:rsid w:val="00E04967"/>
    <w:rsid w:val="00E05175"/>
    <w:rsid w:val="00E103E8"/>
    <w:rsid w:val="00E1341B"/>
    <w:rsid w:val="00E174E6"/>
    <w:rsid w:val="00E21643"/>
    <w:rsid w:val="00E2167C"/>
    <w:rsid w:val="00E2426C"/>
    <w:rsid w:val="00E25BF1"/>
    <w:rsid w:val="00E260B0"/>
    <w:rsid w:val="00E2768F"/>
    <w:rsid w:val="00E35001"/>
    <w:rsid w:val="00E36626"/>
    <w:rsid w:val="00E37568"/>
    <w:rsid w:val="00E43358"/>
    <w:rsid w:val="00E5245A"/>
    <w:rsid w:val="00E52C29"/>
    <w:rsid w:val="00E56665"/>
    <w:rsid w:val="00E56DE7"/>
    <w:rsid w:val="00E71813"/>
    <w:rsid w:val="00E73748"/>
    <w:rsid w:val="00E766F8"/>
    <w:rsid w:val="00E80589"/>
    <w:rsid w:val="00E82BFB"/>
    <w:rsid w:val="00E84921"/>
    <w:rsid w:val="00EA4919"/>
    <w:rsid w:val="00EA5944"/>
    <w:rsid w:val="00EA6E05"/>
    <w:rsid w:val="00EB0D30"/>
    <w:rsid w:val="00EB0E4B"/>
    <w:rsid w:val="00EB1A76"/>
    <w:rsid w:val="00EC1348"/>
    <w:rsid w:val="00ED0D78"/>
    <w:rsid w:val="00ED2E4B"/>
    <w:rsid w:val="00ED69B0"/>
    <w:rsid w:val="00EE1B5A"/>
    <w:rsid w:val="00EE5005"/>
    <w:rsid w:val="00EE5010"/>
    <w:rsid w:val="00EE5424"/>
    <w:rsid w:val="00EF0B4B"/>
    <w:rsid w:val="00EF6827"/>
    <w:rsid w:val="00EF6C83"/>
    <w:rsid w:val="00EF7443"/>
    <w:rsid w:val="00F10601"/>
    <w:rsid w:val="00F11CFC"/>
    <w:rsid w:val="00F2174B"/>
    <w:rsid w:val="00F30A48"/>
    <w:rsid w:val="00F33777"/>
    <w:rsid w:val="00F373ED"/>
    <w:rsid w:val="00F423D3"/>
    <w:rsid w:val="00F434D6"/>
    <w:rsid w:val="00F439F5"/>
    <w:rsid w:val="00F535F7"/>
    <w:rsid w:val="00F54CF3"/>
    <w:rsid w:val="00F55410"/>
    <w:rsid w:val="00F56DA9"/>
    <w:rsid w:val="00F61FD5"/>
    <w:rsid w:val="00F6764F"/>
    <w:rsid w:val="00F677C6"/>
    <w:rsid w:val="00F67B13"/>
    <w:rsid w:val="00F67C37"/>
    <w:rsid w:val="00F7482A"/>
    <w:rsid w:val="00F77923"/>
    <w:rsid w:val="00F81135"/>
    <w:rsid w:val="00F819F5"/>
    <w:rsid w:val="00F83989"/>
    <w:rsid w:val="00F8459E"/>
    <w:rsid w:val="00F86326"/>
    <w:rsid w:val="00F86939"/>
    <w:rsid w:val="00F900BE"/>
    <w:rsid w:val="00F918E5"/>
    <w:rsid w:val="00F92C04"/>
    <w:rsid w:val="00F93158"/>
    <w:rsid w:val="00F965F5"/>
    <w:rsid w:val="00FB741B"/>
    <w:rsid w:val="00FD295C"/>
    <w:rsid w:val="00FE17C7"/>
    <w:rsid w:val="00FE4198"/>
    <w:rsid w:val="00FE7E20"/>
    <w:rsid w:val="00FF1581"/>
    <w:rsid w:val="00FF15CF"/>
    <w:rsid w:val="00FF75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C695"/>
  <w14:defaultImageDpi w14:val="32767"/>
  <w15:docId w15:val="{2A5B800D-C7B7-4B0D-874E-AC32B4E5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40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57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A45463"/>
    <w:pPr>
      <w:spacing w:before="100" w:beforeAutospacing="1" w:after="100" w:afterAutospacing="1"/>
      <w:outlineLvl w:val="3"/>
    </w:pPr>
    <w:rPr>
      <w:rFonts w:ascii="Times New Roman" w:eastAsia="Times New Roman" w:hAnsi="Times New Roman" w:cs="Times New Roman"/>
      <w:b/>
      <w:bCs/>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603"/>
    <w:pPr>
      <w:ind w:left="720"/>
      <w:contextualSpacing/>
    </w:pPr>
  </w:style>
  <w:style w:type="character" w:styleId="Hyperlink">
    <w:name w:val="Hyperlink"/>
    <w:basedOn w:val="DefaultParagraphFont"/>
    <w:uiPriority w:val="99"/>
    <w:unhideWhenUsed/>
    <w:rsid w:val="00523987"/>
    <w:rPr>
      <w:color w:val="0563C1" w:themeColor="hyperlink"/>
      <w:u w:val="single"/>
    </w:rPr>
  </w:style>
  <w:style w:type="character" w:customStyle="1" w:styleId="UnresolvedMention1">
    <w:name w:val="Unresolved Mention1"/>
    <w:basedOn w:val="DefaultParagraphFont"/>
    <w:uiPriority w:val="99"/>
    <w:rsid w:val="00523987"/>
    <w:rPr>
      <w:color w:val="605E5C"/>
      <w:shd w:val="clear" w:color="auto" w:fill="E1DFDD"/>
    </w:rPr>
  </w:style>
  <w:style w:type="paragraph" w:styleId="FootnoteText">
    <w:name w:val="footnote text"/>
    <w:basedOn w:val="Normal"/>
    <w:link w:val="FootnoteTextChar"/>
    <w:uiPriority w:val="99"/>
    <w:unhideWhenUsed/>
    <w:rsid w:val="00B21F90"/>
    <w:rPr>
      <w:sz w:val="20"/>
      <w:szCs w:val="20"/>
    </w:rPr>
  </w:style>
  <w:style w:type="character" w:customStyle="1" w:styleId="FootnoteTextChar">
    <w:name w:val="Footnote Text Char"/>
    <w:basedOn w:val="DefaultParagraphFont"/>
    <w:link w:val="FootnoteText"/>
    <w:uiPriority w:val="99"/>
    <w:rsid w:val="00B21F90"/>
    <w:rPr>
      <w:sz w:val="20"/>
      <w:szCs w:val="20"/>
    </w:rPr>
  </w:style>
  <w:style w:type="character" w:styleId="FootnoteReference">
    <w:name w:val="footnote reference"/>
    <w:basedOn w:val="EndnoteReference"/>
    <w:uiPriority w:val="99"/>
    <w:unhideWhenUsed/>
    <w:rsid w:val="00645972"/>
    <w:rPr>
      <w:u w:val="none"/>
      <w:vertAlign w:val="superscript"/>
    </w:rPr>
  </w:style>
  <w:style w:type="paragraph" w:styleId="Footer">
    <w:name w:val="footer"/>
    <w:basedOn w:val="Normal"/>
    <w:link w:val="FooterChar"/>
    <w:uiPriority w:val="99"/>
    <w:unhideWhenUsed/>
    <w:rsid w:val="003933A9"/>
    <w:pPr>
      <w:tabs>
        <w:tab w:val="center" w:pos="4419"/>
        <w:tab w:val="right" w:pos="8838"/>
      </w:tabs>
    </w:pPr>
  </w:style>
  <w:style w:type="character" w:customStyle="1" w:styleId="FooterChar">
    <w:name w:val="Footer Char"/>
    <w:basedOn w:val="DefaultParagraphFont"/>
    <w:link w:val="Footer"/>
    <w:uiPriority w:val="99"/>
    <w:rsid w:val="003933A9"/>
  </w:style>
  <w:style w:type="character" w:styleId="PageNumber">
    <w:name w:val="page number"/>
    <w:basedOn w:val="DefaultParagraphFont"/>
    <w:uiPriority w:val="99"/>
    <w:semiHidden/>
    <w:unhideWhenUsed/>
    <w:rsid w:val="003933A9"/>
  </w:style>
  <w:style w:type="paragraph" w:styleId="BalloonText">
    <w:name w:val="Balloon Text"/>
    <w:basedOn w:val="Normal"/>
    <w:link w:val="BalloonTextChar"/>
    <w:uiPriority w:val="99"/>
    <w:semiHidden/>
    <w:unhideWhenUsed/>
    <w:rsid w:val="008F5596"/>
    <w:rPr>
      <w:rFonts w:ascii="Tahoma" w:hAnsi="Tahoma" w:cs="Tahoma"/>
      <w:sz w:val="16"/>
      <w:szCs w:val="16"/>
    </w:rPr>
  </w:style>
  <w:style w:type="character" w:customStyle="1" w:styleId="BalloonTextChar">
    <w:name w:val="Balloon Text Char"/>
    <w:basedOn w:val="DefaultParagraphFont"/>
    <w:link w:val="BalloonText"/>
    <w:uiPriority w:val="99"/>
    <w:semiHidden/>
    <w:rsid w:val="008F5596"/>
    <w:rPr>
      <w:rFonts w:ascii="Tahoma" w:hAnsi="Tahoma" w:cs="Tahoma"/>
      <w:sz w:val="16"/>
      <w:szCs w:val="16"/>
    </w:rPr>
  </w:style>
  <w:style w:type="character" w:customStyle="1" w:styleId="UnresolvedMention2">
    <w:name w:val="Unresolved Mention2"/>
    <w:basedOn w:val="DefaultParagraphFont"/>
    <w:uiPriority w:val="99"/>
    <w:semiHidden/>
    <w:unhideWhenUsed/>
    <w:rsid w:val="00011F4B"/>
    <w:rPr>
      <w:color w:val="605E5C"/>
      <w:shd w:val="clear" w:color="auto" w:fill="E1DFDD"/>
    </w:rPr>
  </w:style>
  <w:style w:type="character" w:styleId="CommentReference">
    <w:name w:val="annotation reference"/>
    <w:basedOn w:val="DefaultParagraphFont"/>
    <w:uiPriority w:val="99"/>
    <w:semiHidden/>
    <w:unhideWhenUsed/>
    <w:rsid w:val="00AB4345"/>
    <w:rPr>
      <w:sz w:val="16"/>
      <w:szCs w:val="16"/>
    </w:rPr>
  </w:style>
  <w:style w:type="paragraph" w:styleId="CommentText">
    <w:name w:val="annotation text"/>
    <w:basedOn w:val="Normal"/>
    <w:link w:val="CommentTextChar"/>
    <w:uiPriority w:val="99"/>
    <w:semiHidden/>
    <w:unhideWhenUsed/>
    <w:rsid w:val="00AB4345"/>
    <w:rPr>
      <w:sz w:val="20"/>
      <w:szCs w:val="20"/>
    </w:rPr>
  </w:style>
  <w:style w:type="character" w:customStyle="1" w:styleId="CommentTextChar">
    <w:name w:val="Comment Text Char"/>
    <w:basedOn w:val="DefaultParagraphFont"/>
    <w:link w:val="CommentText"/>
    <w:uiPriority w:val="99"/>
    <w:semiHidden/>
    <w:rsid w:val="00AB4345"/>
    <w:rPr>
      <w:sz w:val="20"/>
      <w:szCs w:val="20"/>
    </w:rPr>
  </w:style>
  <w:style w:type="paragraph" w:styleId="CommentSubject">
    <w:name w:val="annotation subject"/>
    <w:basedOn w:val="CommentText"/>
    <w:next w:val="CommentText"/>
    <w:link w:val="CommentSubjectChar"/>
    <w:uiPriority w:val="99"/>
    <w:semiHidden/>
    <w:unhideWhenUsed/>
    <w:rsid w:val="00AB4345"/>
    <w:rPr>
      <w:b/>
      <w:bCs/>
    </w:rPr>
  </w:style>
  <w:style w:type="character" w:customStyle="1" w:styleId="CommentSubjectChar">
    <w:name w:val="Comment Subject Char"/>
    <w:basedOn w:val="CommentTextChar"/>
    <w:link w:val="CommentSubject"/>
    <w:uiPriority w:val="99"/>
    <w:semiHidden/>
    <w:rsid w:val="00AB4345"/>
    <w:rPr>
      <w:b/>
      <w:bCs/>
      <w:sz w:val="20"/>
      <w:szCs w:val="20"/>
    </w:rPr>
  </w:style>
  <w:style w:type="paragraph" w:styleId="NormalWeb">
    <w:name w:val="Normal (Web)"/>
    <w:basedOn w:val="Normal"/>
    <w:uiPriority w:val="99"/>
    <w:unhideWhenUsed/>
    <w:rsid w:val="00AB4345"/>
    <w:pPr>
      <w:spacing w:before="100" w:beforeAutospacing="1" w:after="100" w:afterAutospacing="1"/>
    </w:pPr>
    <w:rPr>
      <w:rFonts w:ascii="Times New Roman" w:eastAsia="Times New Roman" w:hAnsi="Times New Roman" w:cs="Times New Roman"/>
      <w:lang w:val="es-ES"/>
    </w:rPr>
  </w:style>
  <w:style w:type="character" w:styleId="FollowedHyperlink">
    <w:name w:val="FollowedHyperlink"/>
    <w:basedOn w:val="DefaultParagraphFont"/>
    <w:uiPriority w:val="99"/>
    <w:semiHidden/>
    <w:unhideWhenUsed/>
    <w:rsid w:val="00846340"/>
    <w:rPr>
      <w:color w:val="954F72" w:themeColor="followedHyperlink"/>
      <w:u w:val="single"/>
    </w:rPr>
  </w:style>
  <w:style w:type="table" w:styleId="TableGrid">
    <w:name w:val="Table Grid"/>
    <w:basedOn w:val="TableNormal"/>
    <w:uiPriority w:val="39"/>
    <w:rsid w:val="00233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45463"/>
    <w:rPr>
      <w:rFonts w:ascii="Times New Roman" w:eastAsia="Times New Roman" w:hAnsi="Times New Roman" w:cs="Times New Roman"/>
      <w:b/>
      <w:bCs/>
      <w:lang w:val="es-ES"/>
    </w:rPr>
  </w:style>
  <w:style w:type="character" w:customStyle="1" w:styleId="apple-converted-space">
    <w:name w:val="apple-converted-space"/>
    <w:basedOn w:val="DefaultParagraphFont"/>
    <w:rsid w:val="00927162"/>
  </w:style>
  <w:style w:type="paragraph" w:styleId="Revision">
    <w:name w:val="Revision"/>
    <w:hidden/>
    <w:uiPriority w:val="99"/>
    <w:semiHidden/>
    <w:rsid w:val="002A5B76"/>
  </w:style>
  <w:style w:type="character" w:customStyle="1" w:styleId="Heading1Char">
    <w:name w:val="Heading 1 Char"/>
    <w:basedOn w:val="DefaultParagraphFont"/>
    <w:link w:val="Heading1"/>
    <w:uiPriority w:val="9"/>
    <w:rsid w:val="0044400A"/>
    <w:rPr>
      <w:rFonts w:asciiTheme="majorHAnsi" w:eastAsiaTheme="majorEastAsia" w:hAnsiTheme="majorHAnsi" w:cstheme="majorBidi"/>
      <w:color w:val="2F5496" w:themeColor="accent1" w:themeShade="BF"/>
      <w:sz w:val="32"/>
      <w:szCs w:val="32"/>
    </w:rPr>
  </w:style>
  <w:style w:type="character" w:customStyle="1" w:styleId="nlmarticle-title">
    <w:name w:val="nlm_article-title"/>
    <w:basedOn w:val="DefaultParagraphFont"/>
    <w:rsid w:val="0044400A"/>
  </w:style>
  <w:style w:type="character" w:customStyle="1" w:styleId="contribdegrees">
    <w:name w:val="contribdegrees"/>
    <w:basedOn w:val="DefaultParagraphFont"/>
    <w:rsid w:val="0044400A"/>
  </w:style>
  <w:style w:type="character" w:customStyle="1" w:styleId="Heading2Char">
    <w:name w:val="Heading 2 Char"/>
    <w:basedOn w:val="DefaultParagraphFont"/>
    <w:link w:val="Heading2"/>
    <w:uiPriority w:val="9"/>
    <w:semiHidden/>
    <w:rsid w:val="00A45740"/>
    <w:rPr>
      <w:rFonts w:asciiTheme="majorHAnsi" w:eastAsiaTheme="majorEastAsia" w:hAnsiTheme="majorHAnsi" w:cstheme="majorBidi"/>
      <w:color w:val="2F5496" w:themeColor="accent1" w:themeShade="BF"/>
      <w:sz w:val="26"/>
      <w:szCs w:val="26"/>
    </w:rPr>
  </w:style>
  <w:style w:type="character" w:customStyle="1" w:styleId="titlepart">
    <w:name w:val="titlepart"/>
    <w:basedOn w:val="DefaultParagraphFont"/>
    <w:rsid w:val="00A45740"/>
  </w:style>
  <w:style w:type="character" w:customStyle="1" w:styleId="availabilityicon">
    <w:name w:val="availabilityicon"/>
    <w:basedOn w:val="DefaultParagraphFont"/>
    <w:rsid w:val="00A45740"/>
  </w:style>
  <w:style w:type="character" w:customStyle="1" w:styleId="publicationcontentepubdate">
    <w:name w:val="publicationcontentepubdate"/>
    <w:basedOn w:val="DefaultParagraphFont"/>
    <w:rsid w:val="006E0F81"/>
  </w:style>
  <w:style w:type="character" w:customStyle="1" w:styleId="articletype">
    <w:name w:val="articletype"/>
    <w:basedOn w:val="DefaultParagraphFont"/>
    <w:rsid w:val="006E0F81"/>
  </w:style>
  <w:style w:type="character" w:customStyle="1" w:styleId="crossmark">
    <w:name w:val="crossmark"/>
    <w:basedOn w:val="DefaultParagraphFont"/>
    <w:rsid w:val="006E0F81"/>
  </w:style>
  <w:style w:type="character" w:styleId="Strong">
    <w:name w:val="Strong"/>
    <w:basedOn w:val="DefaultParagraphFont"/>
    <w:uiPriority w:val="22"/>
    <w:qFormat/>
    <w:rsid w:val="007336DE"/>
    <w:rPr>
      <w:b/>
      <w:bCs/>
    </w:rPr>
  </w:style>
  <w:style w:type="character" w:customStyle="1" w:styleId="UnresolvedMention3">
    <w:name w:val="Unresolved Mention3"/>
    <w:basedOn w:val="DefaultParagraphFont"/>
    <w:uiPriority w:val="99"/>
    <w:rsid w:val="002277CA"/>
    <w:rPr>
      <w:color w:val="605E5C"/>
      <w:shd w:val="clear" w:color="auto" w:fill="E1DFDD"/>
    </w:rPr>
  </w:style>
  <w:style w:type="paragraph" w:customStyle="1" w:styleId="msonormal0">
    <w:name w:val="msonormal"/>
    <w:basedOn w:val="Normal"/>
    <w:rsid w:val="008B44BA"/>
    <w:pPr>
      <w:spacing w:before="100" w:beforeAutospacing="1" w:after="100" w:afterAutospacing="1"/>
    </w:pPr>
    <w:rPr>
      <w:rFonts w:ascii="Times New Roman" w:eastAsia="Times New Roman" w:hAnsi="Times New Roman" w:cs="Times New Roman"/>
      <w:lang w:val="es-ES"/>
    </w:rPr>
  </w:style>
  <w:style w:type="paragraph" w:customStyle="1" w:styleId="font5">
    <w:name w:val="font5"/>
    <w:basedOn w:val="Normal"/>
    <w:rsid w:val="008B44BA"/>
    <w:pPr>
      <w:spacing w:before="100" w:beforeAutospacing="1" w:after="100" w:afterAutospacing="1"/>
    </w:pPr>
    <w:rPr>
      <w:rFonts w:ascii="Calibri" w:eastAsia="Times New Roman" w:hAnsi="Calibri" w:cs="Calibri"/>
      <w:b/>
      <w:bCs/>
      <w:color w:val="000000"/>
      <w:lang w:val="es-ES"/>
    </w:rPr>
  </w:style>
  <w:style w:type="paragraph" w:customStyle="1" w:styleId="font6">
    <w:name w:val="font6"/>
    <w:basedOn w:val="Normal"/>
    <w:rsid w:val="008B44BA"/>
    <w:pPr>
      <w:spacing w:before="100" w:beforeAutospacing="1" w:after="100" w:afterAutospacing="1"/>
    </w:pPr>
    <w:rPr>
      <w:rFonts w:ascii="Calibri" w:eastAsia="Times New Roman" w:hAnsi="Calibri" w:cs="Calibri"/>
      <w:color w:val="000000"/>
      <w:lang w:val="es-ES"/>
    </w:rPr>
  </w:style>
  <w:style w:type="paragraph" w:customStyle="1" w:styleId="font7">
    <w:name w:val="font7"/>
    <w:basedOn w:val="Normal"/>
    <w:rsid w:val="008B44BA"/>
    <w:pPr>
      <w:spacing w:before="100" w:beforeAutospacing="1" w:after="100" w:afterAutospacing="1"/>
    </w:pPr>
    <w:rPr>
      <w:rFonts w:ascii="Times New Roman" w:eastAsia="Times New Roman" w:hAnsi="Times New Roman" w:cs="Times New Roman"/>
      <w:color w:val="000000"/>
      <w:sz w:val="14"/>
      <w:szCs w:val="14"/>
      <w:lang w:val="es-ES"/>
    </w:rPr>
  </w:style>
  <w:style w:type="paragraph" w:customStyle="1" w:styleId="xl65">
    <w:name w:val="xl65"/>
    <w:basedOn w:val="Normal"/>
    <w:rsid w:val="008B44BA"/>
    <w:pPr>
      <w:pBdr>
        <w:right w:val="single" w:sz="4" w:space="0" w:color="auto"/>
      </w:pBdr>
      <w:spacing w:before="100" w:beforeAutospacing="1" w:after="100" w:afterAutospacing="1"/>
    </w:pPr>
    <w:rPr>
      <w:rFonts w:ascii="Times New Roman" w:eastAsia="Times New Roman" w:hAnsi="Times New Roman" w:cs="Times New Roman"/>
      <w:lang w:val="es-ES"/>
    </w:rPr>
  </w:style>
  <w:style w:type="paragraph" w:customStyle="1" w:styleId="xl66">
    <w:name w:val="xl66"/>
    <w:basedOn w:val="Normal"/>
    <w:rsid w:val="008B44BA"/>
    <w:pPr>
      <w:pBdr>
        <w:bottom w:val="single" w:sz="4" w:space="0" w:color="auto"/>
      </w:pBdr>
      <w:spacing w:before="100" w:beforeAutospacing="1" w:after="100" w:afterAutospacing="1"/>
    </w:pPr>
    <w:rPr>
      <w:rFonts w:ascii="Times New Roman" w:eastAsia="Times New Roman" w:hAnsi="Times New Roman" w:cs="Times New Roman"/>
      <w:lang w:val="es-ES"/>
    </w:rPr>
  </w:style>
  <w:style w:type="paragraph" w:customStyle="1" w:styleId="xl67">
    <w:name w:val="xl67"/>
    <w:basedOn w:val="Normal"/>
    <w:rsid w:val="008B44BA"/>
    <w:pPr>
      <w:pBdr>
        <w:left w:val="single" w:sz="4" w:space="0" w:color="auto"/>
      </w:pBdr>
      <w:spacing w:before="100" w:beforeAutospacing="1" w:after="100" w:afterAutospacing="1"/>
    </w:pPr>
    <w:rPr>
      <w:rFonts w:ascii="Times New Roman" w:eastAsia="Times New Roman" w:hAnsi="Times New Roman" w:cs="Times New Roman"/>
      <w:lang w:val="es-ES"/>
    </w:rPr>
  </w:style>
  <w:style w:type="paragraph" w:customStyle="1" w:styleId="xl68">
    <w:name w:val="xl68"/>
    <w:basedOn w:val="Normal"/>
    <w:rsid w:val="008B44BA"/>
    <w:pPr>
      <w:pBdr>
        <w:left w:val="single" w:sz="4" w:space="0" w:color="auto"/>
        <w:bottom w:val="single" w:sz="4" w:space="0" w:color="auto"/>
      </w:pBdr>
      <w:spacing w:before="100" w:beforeAutospacing="1" w:after="100" w:afterAutospacing="1"/>
    </w:pPr>
    <w:rPr>
      <w:rFonts w:ascii="Times New Roman" w:eastAsia="Times New Roman" w:hAnsi="Times New Roman" w:cs="Times New Roman"/>
      <w:lang w:val="es-ES"/>
    </w:rPr>
  </w:style>
  <w:style w:type="paragraph" w:customStyle="1" w:styleId="xl69">
    <w:name w:val="xl69"/>
    <w:basedOn w:val="Normal"/>
    <w:rsid w:val="008B44BA"/>
    <w:pPr>
      <w:pBdr>
        <w:bottom w:val="single" w:sz="4" w:space="0" w:color="auto"/>
        <w:right w:val="single" w:sz="4" w:space="0" w:color="auto"/>
      </w:pBdr>
      <w:spacing w:before="100" w:beforeAutospacing="1" w:after="100" w:afterAutospacing="1"/>
    </w:pPr>
    <w:rPr>
      <w:rFonts w:ascii="Times New Roman" w:eastAsia="Times New Roman" w:hAnsi="Times New Roman" w:cs="Times New Roman"/>
      <w:lang w:val="es-ES"/>
    </w:rPr>
  </w:style>
  <w:style w:type="paragraph" w:customStyle="1" w:styleId="xl70">
    <w:name w:val="xl70"/>
    <w:basedOn w:val="Normal"/>
    <w:rsid w:val="008B44BA"/>
    <w:pPr>
      <w:pBdr>
        <w:left w:val="single" w:sz="4" w:space="0" w:color="auto"/>
      </w:pBdr>
      <w:spacing w:before="100" w:beforeAutospacing="1" w:after="100" w:afterAutospacing="1"/>
    </w:pPr>
    <w:rPr>
      <w:rFonts w:ascii="Times New Roman" w:eastAsia="Times New Roman" w:hAnsi="Times New Roman" w:cs="Times New Roman"/>
      <w:lang w:val="es-ES"/>
    </w:rPr>
  </w:style>
  <w:style w:type="paragraph" w:customStyle="1" w:styleId="xl71">
    <w:name w:val="xl71"/>
    <w:basedOn w:val="Normal"/>
    <w:rsid w:val="008B44BA"/>
    <w:pPr>
      <w:spacing w:before="100" w:beforeAutospacing="1" w:after="100" w:afterAutospacing="1"/>
    </w:pPr>
    <w:rPr>
      <w:rFonts w:ascii="Times New Roman" w:eastAsia="Times New Roman" w:hAnsi="Times New Roman" w:cs="Times New Roman"/>
      <w:lang w:val="es-ES"/>
    </w:rPr>
  </w:style>
  <w:style w:type="paragraph" w:customStyle="1" w:styleId="xl72">
    <w:name w:val="xl72"/>
    <w:basedOn w:val="Normal"/>
    <w:rsid w:val="008B44BA"/>
    <w:pPr>
      <w:pBdr>
        <w:right w:val="single" w:sz="4" w:space="0" w:color="auto"/>
      </w:pBdr>
      <w:spacing w:before="100" w:beforeAutospacing="1" w:after="100" w:afterAutospacing="1"/>
    </w:pPr>
    <w:rPr>
      <w:rFonts w:ascii="Times New Roman" w:eastAsia="Times New Roman" w:hAnsi="Times New Roman" w:cs="Times New Roman"/>
      <w:lang w:val="es-ES"/>
    </w:rPr>
  </w:style>
  <w:style w:type="paragraph" w:customStyle="1" w:styleId="xl73">
    <w:name w:val="xl73"/>
    <w:basedOn w:val="Normal"/>
    <w:rsid w:val="008B44BA"/>
    <w:pPr>
      <w:pBdr>
        <w:right w:val="single" w:sz="4" w:space="0" w:color="auto"/>
      </w:pBdr>
      <w:spacing w:before="100" w:beforeAutospacing="1" w:after="100" w:afterAutospacing="1"/>
      <w:ind w:firstLineChars="200" w:firstLine="200"/>
      <w:textAlignment w:val="center"/>
    </w:pPr>
    <w:rPr>
      <w:rFonts w:ascii="Times New Roman" w:eastAsia="Times New Roman" w:hAnsi="Times New Roman" w:cs="Times New Roman"/>
      <w:lang w:val="es-ES"/>
    </w:rPr>
  </w:style>
  <w:style w:type="paragraph" w:customStyle="1" w:styleId="xl74">
    <w:name w:val="xl74"/>
    <w:basedOn w:val="Normal"/>
    <w:rsid w:val="008B44BA"/>
    <w:pPr>
      <w:pBdr>
        <w:left w:val="single" w:sz="4" w:space="14" w:color="auto"/>
      </w:pBdr>
      <w:spacing w:before="100" w:beforeAutospacing="1" w:after="100" w:afterAutospacing="1"/>
      <w:ind w:firstLineChars="200" w:firstLine="200"/>
      <w:textAlignment w:val="center"/>
    </w:pPr>
    <w:rPr>
      <w:rFonts w:ascii="Times New Roman" w:eastAsia="Times New Roman" w:hAnsi="Times New Roman" w:cs="Times New Roman"/>
      <w:lang w:val="es-ES"/>
    </w:rPr>
  </w:style>
  <w:style w:type="paragraph" w:customStyle="1" w:styleId="xl75">
    <w:name w:val="xl75"/>
    <w:basedOn w:val="Normal"/>
    <w:rsid w:val="008B44BA"/>
    <w:pPr>
      <w:spacing w:before="100" w:beforeAutospacing="1" w:after="100" w:afterAutospacing="1"/>
      <w:ind w:firstLineChars="200" w:firstLine="200"/>
      <w:textAlignment w:val="center"/>
    </w:pPr>
    <w:rPr>
      <w:rFonts w:ascii="Times New Roman" w:eastAsia="Times New Roman" w:hAnsi="Times New Roman" w:cs="Times New Roman"/>
      <w:lang w:val="es-ES"/>
    </w:rPr>
  </w:style>
  <w:style w:type="paragraph" w:customStyle="1" w:styleId="xl76">
    <w:name w:val="xl76"/>
    <w:basedOn w:val="Normal"/>
    <w:rsid w:val="008B44BA"/>
    <w:pPr>
      <w:pBdr>
        <w:left w:val="single" w:sz="4" w:space="0" w:color="auto"/>
      </w:pBdr>
      <w:spacing w:before="100" w:beforeAutospacing="1" w:after="100" w:afterAutospacing="1"/>
      <w:textAlignment w:val="top"/>
    </w:pPr>
    <w:rPr>
      <w:rFonts w:ascii="Times New Roman" w:eastAsia="Times New Roman" w:hAnsi="Times New Roman" w:cs="Times New Roman"/>
      <w:lang w:val="es-ES"/>
    </w:rPr>
  </w:style>
  <w:style w:type="paragraph" w:customStyle="1" w:styleId="xl77">
    <w:name w:val="xl77"/>
    <w:basedOn w:val="Normal"/>
    <w:rsid w:val="008B44BA"/>
    <w:pPr>
      <w:spacing w:before="100" w:beforeAutospacing="1" w:after="100" w:afterAutospacing="1"/>
      <w:textAlignment w:val="top"/>
    </w:pPr>
    <w:rPr>
      <w:rFonts w:ascii="Times New Roman" w:eastAsia="Times New Roman" w:hAnsi="Times New Roman" w:cs="Times New Roman"/>
      <w:lang w:val="es-ES"/>
    </w:rPr>
  </w:style>
  <w:style w:type="paragraph" w:customStyle="1" w:styleId="xl78">
    <w:name w:val="xl78"/>
    <w:basedOn w:val="Normal"/>
    <w:rsid w:val="008B44BA"/>
    <w:pPr>
      <w:pBdr>
        <w:right w:val="single" w:sz="4" w:space="0" w:color="auto"/>
      </w:pBdr>
      <w:spacing w:before="100" w:beforeAutospacing="1" w:after="100" w:afterAutospacing="1"/>
      <w:textAlignment w:val="top"/>
    </w:pPr>
    <w:rPr>
      <w:rFonts w:ascii="Times New Roman" w:eastAsia="Times New Roman" w:hAnsi="Times New Roman" w:cs="Times New Roman"/>
      <w:lang w:val="es-ES"/>
    </w:rPr>
  </w:style>
  <w:style w:type="paragraph" w:customStyle="1" w:styleId="xl79">
    <w:name w:val="xl79"/>
    <w:basedOn w:val="Normal"/>
    <w:rsid w:val="008B44BA"/>
    <w:pPr>
      <w:pBdr>
        <w:left w:val="single" w:sz="4" w:space="0" w:color="auto"/>
      </w:pBdr>
      <w:spacing w:before="100" w:beforeAutospacing="1" w:after="100" w:afterAutospacing="1"/>
      <w:textAlignment w:val="center"/>
    </w:pPr>
    <w:rPr>
      <w:rFonts w:ascii="Times New Roman" w:eastAsia="Times New Roman" w:hAnsi="Times New Roman" w:cs="Times New Roman"/>
      <w:lang w:val="es-ES"/>
    </w:rPr>
  </w:style>
  <w:style w:type="paragraph" w:customStyle="1" w:styleId="xl80">
    <w:name w:val="xl80"/>
    <w:basedOn w:val="Normal"/>
    <w:rsid w:val="008B44BA"/>
    <w:pPr>
      <w:spacing w:before="100" w:beforeAutospacing="1" w:after="100" w:afterAutospacing="1"/>
      <w:textAlignment w:val="center"/>
    </w:pPr>
    <w:rPr>
      <w:rFonts w:ascii="Times New Roman" w:eastAsia="Times New Roman" w:hAnsi="Times New Roman" w:cs="Times New Roman"/>
      <w:lang w:val="es-ES"/>
    </w:rPr>
  </w:style>
  <w:style w:type="paragraph" w:customStyle="1" w:styleId="xl81">
    <w:name w:val="xl81"/>
    <w:basedOn w:val="Normal"/>
    <w:rsid w:val="008B44BA"/>
    <w:pPr>
      <w:pBdr>
        <w:top w:val="single" w:sz="4" w:space="0" w:color="auto"/>
      </w:pBdr>
      <w:spacing w:before="100" w:beforeAutospacing="1" w:after="100" w:afterAutospacing="1"/>
    </w:pPr>
    <w:rPr>
      <w:rFonts w:ascii="Times New Roman" w:eastAsia="Times New Roman" w:hAnsi="Times New Roman" w:cs="Times New Roman"/>
      <w:lang w:val="es-ES"/>
    </w:rPr>
  </w:style>
  <w:style w:type="paragraph" w:customStyle="1" w:styleId="xl82">
    <w:name w:val="xl82"/>
    <w:basedOn w:val="Normal"/>
    <w:rsid w:val="008B44BA"/>
    <w:pPr>
      <w:pBdr>
        <w:left w:val="single" w:sz="4" w:space="0" w:color="auto"/>
      </w:pBdr>
      <w:spacing w:before="100" w:beforeAutospacing="1" w:after="100" w:afterAutospacing="1"/>
    </w:pPr>
    <w:rPr>
      <w:rFonts w:ascii="Times New Roman" w:eastAsia="Times New Roman" w:hAnsi="Times New Roman" w:cs="Times New Roman"/>
      <w:color w:val="000000"/>
      <w:lang w:val="es-ES"/>
    </w:rPr>
  </w:style>
  <w:style w:type="paragraph" w:customStyle="1" w:styleId="xl83">
    <w:name w:val="xl83"/>
    <w:basedOn w:val="Normal"/>
    <w:rsid w:val="008B44BA"/>
    <w:pPr>
      <w:pBdr>
        <w:right w:val="single" w:sz="4" w:space="0" w:color="auto"/>
      </w:pBdr>
      <w:spacing w:before="100" w:beforeAutospacing="1" w:after="100" w:afterAutospacing="1"/>
    </w:pPr>
    <w:rPr>
      <w:rFonts w:ascii="Times New Roman" w:eastAsia="Times New Roman" w:hAnsi="Times New Roman" w:cs="Times New Roman"/>
      <w:color w:val="000000"/>
      <w:lang w:val="es-ES"/>
    </w:rPr>
  </w:style>
  <w:style w:type="paragraph" w:customStyle="1" w:styleId="xl84">
    <w:name w:val="xl84"/>
    <w:basedOn w:val="Normal"/>
    <w:rsid w:val="008B44BA"/>
    <w:pPr>
      <w:pBdr>
        <w:right w:val="single" w:sz="4" w:space="0" w:color="auto"/>
      </w:pBdr>
      <w:spacing w:before="100" w:beforeAutospacing="1" w:after="100" w:afterAutospacing="1"/>
      <w:textAlignment w:val="center"/>
    </w:pPr>
    <w:rPr>
      <w:rFonts w:ascii="Times New Roman" w:eastAsia="Times New Roman" w:hAnsi="Times New Roman" w:cs="Times New Roman"/>
      <w:b/>
      <w:bCs/>
      <w:lang w:val="es-ES"/>
    </w:rPr>
  </w:style>
  <w:style w:type="paragraph" w:customStyle="1" w:styleId="xl85">
    <w:name w:val="xl85"/>
    <w:basedOn w:val="Normal"/>
    <w:rsid w:val="008B44BA"/>
    <w:pPr>
      <w:pBdr>
        <w:left w:val="single" w:sz="4" w:space="0" w:color="auto"/>
      </w:pBdr>
      <w:spacing w:before="100" w:beforeAutospacing="1" w:after="100" w:afterAutospacing="1"/>
    </w:pPr>
    <w:rPr>
      <w:rFonts w:ascii="Times New Roman" w:eastAsia="Times New Roman" w:hAnsi="Times New Roman" w:cs="Times New Roman"/>
      <w:b/>
      <w:bCs/>
      <w:lang w:val="es-ES"/>
    </w:rPr>
  </w:style>
  <w:style w:type="paragraph" w:customStyle="1" w:styleId="xl86">
    <w:name w:val="xl86"/>
    <w:basedOn w:val="Normal"/>
    <w:rsid w:val="008B44BA"/>
    <w:pPr>
      <w:pBdr>
        <w:right w:val="single" w:sz="4" w:space="0" w:color="auto"/>
      </w:pBdr>
      <w:spacing w:before="100" w:beforeAutospacing="1" w:after="100" w:afterAutospacing="1"/>
    </w:pPr>
    <w:rPr>
      <w:rFonts w:ascii="Times New Roman" w:eastAsia="Times New Roman" w:hAnsi="Times New Roman" w:cs="Times New Roman"/>
      <w:b/>
      <w:bCs/>
      <w:lang w:val="es-ES"/>
    </w:rPr>
  </w:style>
  <w:style w:type="paragraph" w:customStyle="1" w:styleId="xl87">
    <w:name w:val="xl87"/>
    <w:basedOn w:val="Normal"/>
    <w:rsid w:val="008B44BA"/>
    <w:pPr>
      <w:pBdr>
        <w:bottom w:val="single" w:sz="4" w:space="0" w:color="auto"/>
      </w:pBdr>
      <w:spacing w:before="100" w:beforeAutospacing="1" w:after="100" w:afterAutospacing="1"/>
    </w:pPr>
    <w:rPr>
      <w:rFonts w:ascii="Times New Roman" w:eastAsia="Times New Roman" w:hAnsi="Times New Roman" w:cs="Times New Roman"/>
      <w:b/>
      <w:bCs/>
      <w:lang w:val="es-ES"/>
    </w:rPr>
  </w:style>
  <w:style w:type="paragraph" w:customStyle="1" w:styleId="xl88">
    <w:name w:val="xl88"/>
    <w:basedOn w:val="Normal"/>
    <w:rsid w:val="008B44BA"/>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lang w:val="es-ES"/>
    </w:rPr>
  </w:style>
  <w:style w:type="paragraph" w:customStyle="1" w:styleId="xl89">
    <w:name w:val="xl89"/>
    <w:basedOn w:val="Normal"/>
    <w:rsid w:val="008B44BA"/>
    <w:pPr>
      <w:pBdr>
        <w:bottom w:val="single" w:sz="4" w:space="0" w:color="auto"/>
      </w:pBdr>
      <w:spacing w:before="100" w:beforeAutospacing="1" w:after="100" w:afterAutospacing="1"/>
      <w:jc w:val="center"/>
      <w:textAlignment w:val="center"/>
    </w:pPr>
    <w:rPr>
      <w:rFonts w:ascii="Times New Roman" w:eastAsia="Times New Roman" w:hAnsi="Times New Roman" w:cs="Times New Roman"/>
      <w:b/>
      <w:bCs/>
      <w:lang w:val="es-ES"/>
    </w:rPr>
  </w:style>
  <w:style w:type="paragraph" w:customStyle="1" w:styleId="xl90">
    <w:name w:val="xl90"/>
    <w:basedOn w:val="Normal"/>
    <w:rsid w:val="008B44BA"/>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ES"/>
    </w:rPr>
  </w:style>
  <w:style w:type="paragraph" w:customStyle="1" w:styleId="xl91">
    <w:name w:val="xl91"/>
    <w:basedOn w:val="Normal"/>
    <w:rsid w:val="008B44BA"/>
    <w:pPr>
      <w:pBdr>
        <w:top w:val="single" w:sz="4" w:space="0" w:color="auto"/>
        <w:left w:val="single" w:sz="4" w:space="0" w:color="auto"/>
      </w:pBdr>
      <w:spacing w:before="100" w:beforeAutospacing="1" w:after="100" w:afterAutospacing="1"/>
    </w:pPr>
    <w:rPr>
      <w:rFonts w:ascii="Times New Roman" w:eastAsia="Times New Roman" w:hAnsi="Times New Roman" w:cs="Times New Roman"/>
      <w:lang w:val="es-ES"/>
    </w:rPr>
  </w:style>
  <w:style w:type="paragraph" w:customStyle="1" w:styleId="xl92">
    <w:name w:val="xl92"/>
    <w:basedOn w:val="Normal"/>
    <w:rsid w:val="008B44BA"/>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b/>
      <w:bCs/>
      <w:lang w:val="es-ES"/>
    </w:rPr>
  </w:style>
  <w:style w:type="paragraph" w:customStyle="1" w:styleId="xl93">
    <w:name w:val="xl93"/>
    <w:basedOn w:val="Normal"/>
    <w:rsid w:val="008B44B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ES"/>
    </w:rPr>
  </w:style>
  <w:style w:type="paragraph" w:customStyle="1" w:styleId="xl94">
    <w:name w:val="xl94"/>
    <w:basedOn w:val="Normal"/>
    <w:rsid w:val="008B44BA"/>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ES"/>
    </w:rPr>
  </w:style>
  <w:style w:type="paragraph" w:customStyle="1" w:styleId="xl95">
    <w:name w:val="xl95"/>
    <w:basedOn w:val="Normal"/>
    <w:rsid w:val="008B44BA"/>
    <w:pPr>
      <w:pBdr>
        <w:top w:val="single" w:sz="4" w:space="0" w:color="auto"/>
      </w:pBdr>
      <w:spacing w:before="100" w:beforeAutospacing="1" w:after="100" w:afterAutospacing="1"/>
    </w:pPr>
    <w:rPr>
      <w:rFonts w:ascii="Times New Roman" w:eastAsia="Times New Roman" w:hAnsi="Times New Roman" w:cs="Times New Roman"/>
      <w:b/>
      <w:bCs/>
      <w:lang w:val="es-ES"/>
    </w:rPr>
  </w:style>
  <w:style w:type="paragraph" w:customStyle="1" w:styleId="xl96">
    <w:name w:val="xl96"/>
    <w:basedOn w:val="Normal"/>
    <w:rsid w:val="008B44BA"/>
    <w:pPr>
      <w:spacing w:before="100" w:beforeAutospacing="1" w:after="100" w:afterAutospacing="1"/>
    </w:pPr>
    <w:rPr>
      <w:rFonts w:ascii="Calibri" w:eastAsia="Times New Roman" w:hAnsi="Calibri" w:cs="Calibri"/>
      <w:lang w:val="es-ES"/>
    </w:rPr>
  </w:style>
  <w:style w:type="paragraph" w:customStyle="1" w:styleId="xl97">
    <w:name w:val="xl97"/>
    <w:basedOn w:val="Normal"/>
    <w:rsid w:val="008B44BA"/>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lang w:val="es-ES"/>
    </w:rPr>
  </w:style>
  <w:style w:type="paragraph" w:customStyle="1" w:styleId="xl98">
    <w:name w:val="xl98"/>
    <w:basedOn w:val="Normal"/>
    <w:rsid w:val="008B44BA"/>
    <w:pPr>
      <w:pBdr>
        <w:right w:val="single" w:sz="4" w:space="0" w:color="auto"/>
      </w:pBdr>
      <w:spacing w:before="100" w:beforeAutospacing="1" w:after="100" w:afterAutospacing="1"/>
      <w:textAlignment w:val="top"/>
    </w:pPr>
    <w:rPr>
      <w:rFonts w:ascii="Times New Roman" w:eastAsia="Times New Roman" w:hAnsi="Times New Roman" w:cs="Times New Roman"/>
      <w:b/>
      <w:bCs/>
      <w:lang w:val="es-ES"/>
    </w:rPr>
  </w:style>
  <w:style w:type="paragraph" w:customStyle="1" w:styleId="xl99">
    <w:name w:val="xl99"/>
    <w:basedOn w:val="Normal"/>
    <w:rsid w:val="008B44BA"/>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b/>
      <w:bCs/>
      <w:lang w:val="es-ES"/>
    </w:rPr>
  </w:style>
  <w:style w:type="paragraph" w:customStyle="1" w:styleId="xl100">
    <w:name w:val="xl100"/>
    <w:basedOn w:val="Normal"/>
    <w:rsid w:val="008B44BA"/>
    <w:pPr>
      <w:pBdr>
        <w:top w:val="single" w:sz="4" w:space="0" w:color="auto"/>
        <w:right w:val="single" w:sz="4" w:space="0" w:color="auto"/>
      </w:pBdr>
      <w:spacing w:before="100" w:beforeAutospacing="1" w:after="100" w:afterAutospacing="1"/>
    </w:pPr>
    <w:rPr>
      <w:rFonts w:ascii="Times New Roman" w:eastAsia="Times New Roman" w:hAnsi="Times New Roman" w:cs="Times New Roman"/>
      <w:lang w:val="es-ES"/>
    </w:rPr>
  </w:style>
  <w:style w:type="paragraph" w:customStyle="1" w:styleId="xl101">
    <w:name w:val="xl101"/>
    <w:basedOn w:val="Normal"/>
    <w:rsid w:val="008B44BA"/>
    <w:pPr>
      <w:pBdr>
        <w:left w:val="single" w:sz="4" w:space="0" w:color="auto"/>
      </w:pBdr>
      <w:spacing w:before="100" w:beforeAutospacing="1" w:after="100" w:afterAutospacing="1"/>
      <w:textAlignment w:val="top"/>
    </w:pPr>
    <w:rPr>
      <w:rFonts w:ascii="Times New Roman" w:eastAsia="Times New Roman" w:hAnsi="Times New Roman" w:cs="Times New Roman"/>
      <w:b/>
      <w:bCs/>
      <w:lang w:val="es-ES"/>
    </w:rPr>
  </w:style>
  <w:style w:type="paragraph" w:customStyle="1" w:styleId="xl102">
    <w:name w:val="xl102"/>
    <w:basedOn w:val="Normal"/>
    <w:rsid w:val="008B44BA"/>
    <w:pPr>
      <w:pBdr>
        <w:left w:val="single" w:sz="4" w:space="0" w:color="auto"/>
      </w:pBdr>
      <w:spacing w:before="100" w:beforeAutospacing="1" w:after="100" w:afterAutospacing="1"/>
    </w:pPr>
    <w:rPr>
      <w:rFonts w:ascii="Times New Roman" w:eastAsia="Times New Roman" w:hAnsi="Times New Roman" w:cs="Times New Roman"/>
      <w:i/>
      <w:iCs/>
      <w:lang w:val="es-ES"/>
    </w:rPr>
  </w:style>
  <w:style w:type="paragraph" w:customStyle="1" w:styleId="xl103">
    <w:name w:val="xl103"/>
    <w:basedOn w:val="Normal"/>
    <w:rsid w:val="008B44BA"/>
    <w:pPr>
      <w:pBdr>
        <w:left w:val="single" w:sz="4" w:space="0" w:color="auto"/>
      </w:pBdr>
      <w:spacing w:before="100" w:beforeAutospacing="1" w:after="100" w:afterAutospacing="1"/>
      <w:textAlignment w:val="center"/>
    </w:pPr>
    <w:rPr>
      <w:rFonts w:ascii="Times New Roman" w:eastAsia="Times New Roman" w:hAnsi="Times New Roman" w:cs="Times New Roman"/>
      <w:b/>
      <w:bCs/>
      <w:lang w:val="es-ES"/>
    </w:rPr>
  </w:style>
  <w:style w:type="paragraph" w:customStyle="1" w:styleId="xl104">
    <w:name w:val="xl104"/>
    <w:basedOn w:val="Normal"/>
    <w:rsid w:val="008B44BA"/>
    <w:pPr>
      <w:pBdr>
        <w:top w:val="single" w:sz="4" w:space="0" w:color="auto"/>
        <w:right w:val="single" w:sz="4" w:space="0" w:color="auto"/>
      </w:pBdr>
      <w:spacing w:before="100" w:beforeAutospacing="1" w:after="100" w:afterAutospacing="1"/>
    </w:pPr>
    <w:rPr>
      <w:rFonts w:ascii="Times New Roman" w:eastAsia="Times New Roman" w:hAnsi="Times New Roman" w:cs="Times New Roman"/>
      <w:b/>
      <w:bCs/>
      <w:lang w:val="es-ES"/>
    </w:rPr>
  </w:style>
  <w:style w:type="paragraph" w:customStyle="1" w:styleId="xl105">
    <w:name w:val="xl105"/>
    <w:basedOn w:val="Normal"/>
    <w:rsid w:val="008B44BA"/>
    <w:pPr>
      <w:pBdr>
        <w:right w:val="single" w:sz="4" w:space="0" w:color="auto"/>
      </w:pBdr>
      <w:spacing w:before="100" w:beforeAutospacing="1" w:after="100" w:afterAutospacing="1"/>
    </w:pPr>
    <w:rPr>
      <w:rFonts w:ascii="Times New Roman" w:eastAsia="Times New Roman" w:hAnsi="Times New Roman" w:cs="Times New Roman"/>
      <w:b/>
      <w:bCs/>
      <w:lang w:val="es-ES"/>
    </w:rPr>
  </w:style>
  <w:style w:type="paragraph" w:customStyle="1" w:styleId="xl106">
    <w:name w:val="xl106"/>
    <w:basedOn w:val="Normal"/>
    <w:rsid w:val="008B44BA"/>
    <w:pPr>
      <w:pBdr>
        <w:top w:val="single" w:sz="4" w:space="0" w:color="auto"/>
        <w:left w:val="single" w:sz="4" w:space="0" w:color="auto"/>
      </w:pBdr>
      <w:spacing w:before="100" w:beforeAutospacing="1" w:after="100" w:afterAutospacing="1"/>
    </w:pPr>
    <w:rPr>
      <w:rFonts w:ascii="Times New Roman" w:eastAsia="Times New Roman" w:hAnsi="Times New Roman" w:cs="Times New Roman"/>
      <w:i/>
      <w:iCs/>
      <w:lang w:val="es-ES"/>
    </w:rPr>
  </w:style>
  <w:style w:type="paragraph" w:customStyle="1" w:styleId="xl107">
    <w:name w:val="xl107"/>
    <w:basedOn w:val="Normal"/>
    <w:rsid w:val="008B44BA"/>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lang w:val="es-ES"/>
    </w:rPr>
  </w:style>
  <w:style w:type="paragraph" w:customStyle="1" w:styleId="xl108">
    <w:name w:val="xl108"/>
    <w:basedOn w:val="Normal"/>
    <w:rsid w:val="008B44BA"/>
    <w:pPr>
      <w:pBdr>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lang w:val="es-ES"/>
    </w:rPr>
  </w:style>
  <w:style w:type="paragraph" w:customStyle="1" w:styleId="xl109">
    <w:name w:val="xl109"/>
    <w:basedOn w:val="Normal"/>
    <w:rsid w:val="008B44BA"/>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lang w:val="es-ES"/>
    </w:rPr>
  </w:style>
  <w:style w:type="paragraph" w:customStyle="1" w:styleId="xl110">
    <w:name w:val="xl110"/>
    <w:basedOn w:val="Normal"/>
    <w:rsid w:val="008B44BA"/>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ES"/>
    </w:rPr>
  </w:style>
  <w:style w:type="paragraph" w:customStyle="1" w:styleId="xl111">
    <w:name w:val="xl111"/>
    <w:basedOn w:val="Normal"/>
    <w:rsid w:val="008B44BA"/>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b/>
      <w:bCs/>
      <w:lang w:val="es-ES"/>
    </w:rPr>
  </w:style>
  <w:style w:type="paragraph" w:customStyle="1" w:styleId="xl112">
    <w:name w:val="xl112"/>
    <w:basedOn w:val="Normal"/>
    <w:rsid w:val="008B44BA"/>
    <w:pPr>
      <w:pBdr>
        <w:left w:val="single" w:sz="4" w:space="0" w:color="auto"/>
        <w:right w:val="single" w:sz="4" w:space="0" w:color="auto"/>
      </w:pBdr>
      <w:spacing w:before="100" w:beforeAutospacing="1" w:after="100" w:afterAutospacing="1"/>
    </w:pPr>
    <w:rPr>
      <w:rFonts w:ascii="Times New Roman" w:eastAsia="Times New Roman" w:hAnsi="Times New Roman" w:cs="Times New Roman"/>
      <w:lang w:val="es-ES"/>
    </w:rPr>
  </w:style>
  <w:style w:type="character" w:styleId="Emphasis">
    <w:name w:val="Emphasis"/>
    <w:basedOn w:val="DefaultParagraphFont"/>
    <w:uiPriority w:val="20"/>
    <w:qFormat/>
    <w:rsid w:val="00B935E4"/>
    <w:rPr>
      <w:i/>
      <w:iCs/>
    </w:rPr>
  </w:style>
  <w:style w:type="paragraph" w:styleId="EndnoteText">
    <w:name w:val="endnote text"/>
    <w:basedOn w:val="Normal"/>
    <w:link w:val="EndnoteTextChar"/>
    <w:uiPriority w:val="99"/>
    <w:semiHidden/>
    <w:unhideWhenUsed/>
    <w:rsid w:val="00645972"/>
    <w:rPr>
      <w:sz w:val="20"/>
      <w:szCs w:val="20"/>
    </w:rPr>
  </w:style>
  <w:style w:type="character" w:customStyle="1" w:styleId="EndnoteTextChar">
    <w:name w:val="Endnote Text Char"/>
    <w:basedOn w:val="DefaultParagraphFont"/>
    <w:link w:val="EndnoteText"/>
    <w:uiPriority w:val="99"/>
    <w:semiHidden/>
    <w:rsid w:val="00645972"/>
    <w:rPr>
      <w:sz w:val="20"/>
      <w:szCs w:val="20"/>
    </w:rPr>
  </w:style>
  <w:style w:type="character" w:styleId="EndnoteReference">
    <w:name w:val="endnote reference"/>
    <w:basedOn w:val="DefaultParagraphFont"/>
    <w:uiPriority w:val="99"/>
    <w:semiHidden/>
    <w:unhideWhenUsed/>
    <w:rsid w:val="00645972"/>
    <w:rPr>
      <w:vertAlign w:val="superscript"/>
    </w:rPr>
  </w:style>
  <w:style w:type="paragraph" w:customStyle="1" w:styleId="Style1">
    <w:name w:val="Style1"/>
    <w:basedOn w:val="FootnoteText"/>
    <w:next w:val="EndnoteText"/>
    <w:qFormat/>
    <w:rsid w:val="00645972"/>
  </w:style>
  <w:style w:type="paragraph" w:customStyle="1" w:styleId="Style2">
    <w:name w:val="Style2"/>
    <w:basedOn w:val="EndnoteText"/>
    <w:qFormat/>
    <w:rsid w:val="00645972"/>
    <w:pPr>
      <w:numPr>
        <w:numId w:val="17"/>
      </w:numPr>
    </w:pPr>
  </w:style>
  <w:style w:type="character" w:customStyle="1" w:styleId="h2">
    <w:name w:val="h2"/>
    <w:basedOn w:val="DefaultParagraphFont"/>
    <w:rsid w:val="006F67DC"/>
  </w:style>
  <w:style w:type="character" w:styleId="UnresolvedMention">
    <w:name w:val="Unresolved Mention"/>
    <w:basedOn w:val="DefaultParagraphFont"/>
    <w:uiPriority w:val="99"/>
    <w:rsid w:val="006F6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43783">
      <w:bodyDiv w:val="1"/>
      <w:marLeft w:val="0"/>
      <w:marRight w:val="0"/>
      <w:marTop w:val="0"/>
      <w:marBottom w:val="0"/>
      <w:divBdr>
        <w:top w:val="none" w:sz="0" w:space="0" w:color="auto"/>
        <w:left w:val="none" w:sz="0" w:space="0" w:color="auto"/>
        <w:bottom w:val="none" w:sz="0" w:space="0" w:color="auto"/>
        <w:right w:val="none" w:sz="0" w:space="0" w:color="auto"/>
      </w:divBdr>
      <w:divsChild>
        <w:div w:id="1791899292">
          <w:marLeft w:val="0"/>
          <w:marRight w:val="0"/>
          <w:marTop w:val="0"/>
          <w:marBottom w:val="0"/>
          <w:divBdr>
            <w:top w:val="none" w:sz="0" w:space="0" w:color="auto"/>
            <w:left w:val="none" w:sz="0" w:space="0" w:color="auto"/>
            <w:bottom w:val="none" w:sz="0" w:space="0" w:color="auto"/>
            <w:right w:val="none" w:sz="0" w:space="0" w:color="auto"/>
          </w:divBdr>
          <w:divsChild>
            <w:div w:id="1277830830">
              <w:marLeft w:val="0"/>
              <w:marRight w:val="0"/>
              <w:marTop w:val="0"/>
              <w:marBottom w:val="0"/>
              <w:divBdr>
                <w:top w:val="none" w:sz="0" w:space="0" w:color="auto"/>
                <w:left w:val="none" w:sz="0" w:space="0" w:color="auto"/>
                <w:bottom w:val="none" w:sz="0" w:space="0" w:color="auto"/>
                <w:right w:val="none" w:sz="0" w:space="0" w:color="auto"/>
              </w:divBdr>
              <w:divsChild>
                <w:div w:id="13872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1530">
      <w:bodyDiv w:val="1"/>
      <w:marLeft w:val="0"/>
      <w:marRight w:val="0"/>
      <w:marTop w:val="0"/>
      <w:marBottom w:val="0"/>
      <w:divBdr>
        <w:top w:val="none" w:sz="0" w:space="0" w:color="auto"/>
        <w:left w:val="none" w:sz="0" w:space="0" w:color="auto"/>
        <w:bottom w:val="none" w:sz="0" w:space="0" w:color="auto"/>
        <w:right w:val="none" w:sz="0" w:space="0" w:color="auto"/>
      </w:divBdr>
    </w:div>
    <w:div w:id="124198933">
      <w:bodyDiv w:val="1"/>
      <w:marLeft w:val="0"/>
      <w:marRight w:val="0"/>
      <w:marTop w:val="0"/>
      <w:marBottom w:val="0"/>
      <w:divBdr>
        <w:top w:val="none" w:sz="0" w:space="0" w:color="auto"/>
        <w:left w:val="none" w:sz="0" w:space="0" w:color="auto"/>
        <w:bottom w:val="none" w:sz="0" w:space="0" w:color="auto"/>
        <w:right w:val="none" w:sz="0" w:space="0" w:color="auto"/>
      </w:divBdr>
    </w:div>
    <w:div w:id="127168204">
      <w:bodyDiv w:val="1"/>
      <w:marLeft w:val="0"/>
      <w:marRight w:val="0"/>
      <w:marTop w:val="0"/>
      <w:marBottom w:val="0"/>
      <w:divBdr>
        <w:top w:val="none" w:sz="0" w:space="0" w:color="auto"/>
        <w:left w:val="none" w:sz="0" w:space="0" w:color="auto"/>
        <w:bottom w:val="none" w:sz="0" w:space="0" w:color="auto"/>
        <w:right w:val="none" w:sz="0" w:space="0" w:color="auto"/>
      </w:divBdr>
      <w:divsChild>
        <w:div w:id="1832595536">
          <w:marLeft w:val="0"/>
          <w:marRight w:val="0"/>
          <w:marTop w:val="0"/>
          <w:marBottom w:val="0"/>
          <w:divBdr>
            <w:top w:val="none" w:sz="0" w:space="0" w:color="auto"/>
            <w:left w:val="none" w:sz="0" w:space="0" w:color="auto"/>
            <w:bottom w:val="none" w:sz="0" w:space="0" w:color="auto"/>
            <w:right w:val="none" w:sz="0" w:space="0" w:color="auto"/>
          </w:divBdr>
          <w:divsChild>
            <w:div w:id="1012417710">
              <w:marLeft w:val="0"/>
              <w:marRight w:val="0"/>
              <w:marTop w:val="0"/>
              <w:marBottom w:val="0"/>
              <w:divBdr>
                <w:top w:val="none" w:sz="0" w:space="0" w:color="auto"/>
                <w:left w:val="none" w:sz="0" w:space="0" w:color="auto"/>
                <w:bottom w:val="none" w:sz="0" w:space="0" w:color="auto"/>
                <w:right w:val="none" w:sz="0" w:space="0" w:color="auto"/>
              </w:divBdr>
              <w:divsChild>
                <w:div w:id="12797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52788">
      <w:bodyDiv w:val="1"/>
      <w:marLeft w:val="0"/>
      <w:marRight w:val="0"/>
      <w:marTop w:val="0"/>
      <w:marBottom w:val="0"/>
      <w:divBdr>
        <w:top w:val="none" w:sz="0" w:space="0" w:color="auto"/>
        <w:left w:val="none" w:sz="0" w:space="0" w:color="auto"/>
        <w:bottom w:val="none" w:sz="0" w:space="0" w:color="auto"/>
        <w:right w:val="none" w:sz="0" w:space="0" w:color="auto"/>
      </w:divBdr>
    </w:div>
    <w:div w:id="324482911">
      <w:bodyDiv w:val="1"/>
      <w:marLeft w:val="0"/>
      <w:marRight w:val="0"/>
      <w:marTop w:val="0"/>
      <w:marBottom w:val="0"/>
      <w:divBdr>
        <w:top w:val="none" w:sz="0" w:space="0" w:color="auto"/>
        <w:left w:val="none" w:sz="0" w:space="0" w:color="auto"/>
        <w:bottom w:val="none" w:sz="0" w:space="0" w:color="auto"/>
        <w:right w:val="none" w:sz="0" w:space="0" w:color="auto"/>
      </w:divBdr>
    </w:div>
    <w:div w:id="461264249">
      <w:bodyDiv w:val="1"/>
      <w:marLeft w:val="0"/>
      <w:marRight w:val="0"/>
      <w:marTop w:val="0"/>
      <w:marBottom w:val="0"/>
      <w:divBdr>
        <w:top w:val="none" w:sz="0" w:space="0" w:color="auto"/>
        <w:left w:val="none" w:sz="0" w:space="0" w:color="auto"/>
        <w:bottom w:val="none" w:sz="0" w:space="0" w:color="auto"/>
        <w:right w:val="none" w:sz="0" w:space="0" w:color="auto"/>
      </w:divBdr>
      <w:divsChild>
        <w:div w:id="655377787">
          <w:marLeft w:val="0"/>
          <w:marRight w:val="0"/>
          <w:marTop w:val="0"/>
          <w:marBottom w:val="0"/>
          <w:divBdr>
            <w:top w:val="none" w:sz="0" w:space="0" w:color="auto"/>
            <w:left w:val="none" w:sz="0" w:space="0" w:color="auto"/>
            <w:bottom w:val="none" w:sz="0" w:space="0" w:color="auto"/>
            <w:right w:val="none" w:sz="0" w:space="0" w:color="auto"/>
          </w:divBdr>
        </w:div>
      </w:divsChild>
    </w:div>
    <w:div w:id="516769605">
      <w:bodyDiv w:val="1"/>
      <w:marLeft w:val="0"/>
      <w:marRight w:val="0"/>
      <w:marTop w:val="0"/>
      <w:marBottom w:val="0"/>
      <w:divBdr>
        <w:top w:val="none" w:sz="0" w:space="0" w:color="auto"/>
        <w:left w:val="none" w:sz="0" w:space="0" w:color="auto"/>
        <w:bottom w:val="none" w:sz="0" w:space="0" w:color="auto"/>
        <w:right w:val="none" w:sz="0" w:space="0" w:color="auto"/>
      </w:divBdr>
    </w:div>
    <w:div w:id="562522968">
      <w:bodyDiv w:val="1"/>
      <w:marLeft w:val="0"/>
      <w:marRight w:val="0"/>
      <w:marTop w:val="0"/>
      <w:marBottom w:val="0"/>
      <w:divBdr>
        <w:top w:val="none" w:sz="0" w:space="0" w:color="auto"/>
        <w:left w:val="none" w:sz="0" w:space="0" w:color="auto"/>
        <w:bottom w:val="none" w:sz="0" w:space="0" w:color="auto"/>
        <w:right w:val="none" w:sz="0" w:space="0" w:color="auto"/>
      </w:divBdr>
    </w:div>
    <w:div w:id="672031387">
      <w:bodyDiv w:val="1"/>
      <w:marLeft w:val="0"/>
      <w:marRight w:val="0"/>
      <w:marTop w:val="0"/>
      <w:marBottom w:val="0"/>
      <w:divBdr>
        <w:top w:val="none" w:sz="0" w:space="0" w:color="auto"/>
        <w:left w:val="none" w:sz="0" w:space="0" w:color="auto"/>
        <w:bottom w:val="none" w:sz="0" w:space="0" w:color="auto"/>
        <w:right w:val="none" w:sz="0" w:space="0" w:color="auto"/>
      </w:divBdr>
      <w:divsChild>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150"/>
          <w:divBdr>
            <w:top w:val="none" w:sz="0" w:space="0" w:color="auto"/>
            <w:left w:val="none" w:sz="0" w:space="0" w:color="auto"/>
            <w:bottom w:val="none" w:sz="0" w:space="0" w:color="auto"/>
            <w:right w:val="none" w:sz="0" w:space="0" w:color="auto"/>
          </w:divBdr>
          <w:divsChild>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sChild>
                    <w:div w:id="435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75151">
          <w:marLeft w:val="0"/>
          <w:marRight w:val="0"/>
          <w:marTop w:val="30"/>
          <w:marBottom w:val="105"/>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sChild>
                <w:div w:id="406924514">
                  <w:marLeft w:val="0"/>
                  <w:marRight w:val="0"/>
                  <w:marTop w:val="0"/>
                  <w:marBottom w:val="0"/>
                  <w:divBdr>
                    <w:top w:val="none" w:sz="0" w:space="0" w:color="auto"/>
                    <w:left w:val="none" w:sz="0" w:space="0" w:color="auto"/>
                    <w:bottom w:val="none" w:sz="0" w:space="0" w:color="auto"/>
                    <w:right w:val="none" w:sz="0" w:space="0" w:color="auto"/>
                  </w:divBdr>
                  <w:divsChild>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859990">
      <w:bodyDiv w:val="1"/>
      <w:marLeft w:val="0"/>
      <w:marRight w:val="0"/>
      <w:marTop w:val="0"/>
      <w:marBottom w:val="0"/>
      <w:divBdr>
        <w:top w:val="none" w:sz="0" w:space="0" w:color="auto"/>
        <w:left w:val="none" w:sz="0" w:space="0" w:color="auto"/>
        <w:bottom w:val="none" w:sz="0" w:space="0" w:color="auto"/>
        <w:right w:val="none" w:sz="0" w:space="0" w:color="auto"/>
      </w:divBdr>
    </w:div>
    <w:div w:id="794253513">
      <w:bodyDiv w:val="1"/>
      <w:marLeft w:val="0"/>
      <w:marRight w:val="0"/>
      <w:marTop w:val="0"/>
      <w:marBottom w:val="0"/>
      <w:divBdr>
        <w:top w:val="none" w:sz="0" w:space="0" w:color="auto"/>
        <w:left w:val="none" w:sz="0" w:space="0" w:color="auto"/>
        <w:bottom w:val="none" w:sz="0" w:space="0" w:color="auto"/>
        <w:right w:val="none" w:sz="0" w:space="0" w:color="auto"/>
      </w:divBdr>
      <w:divsChild>
        <w:div w:id="760570388">
          <w:marLeft w:val="0"/>
          <w:marRight w:val="0"/>
          <w:marTop w:val="0"/>
          <w:marBottom w:val="0"/>
          <w:divBdr>
            <w:top w:val="none" w:sz="0" w:space="0" w:color="auto"/>
            <w:left w:val="none" w:sz="0" w:space="0" w:color="auto"/>
            <w:bottom w:val="none" w:sz="0" w:space="0" w:color="auto"/>
            <w:right w:val="none" w:sz="0" w:space="0" w:color="auto"/>
          </w:divBdr>
          <w:divsChild>
            <w:div w:id="334723569">
              <w:marLeft w:val="0"/>
              <w:marRight w:val="0"/>
              <w:marTop w:val="0"/>
              <w:marBottom w:val="0"/>
              <w:divBdr>
                <w:top w:val="none" w:sz="0" w:space="0" w:color="auto"/>
                <w:left w:val="none" w:sz="0" w:space="0" w:color="auto"/>
                <w:bottom w:val="none" w:sz="0" w:space="0" w:color="auto"/>
                <w:right w:val="none" w:sz="0" w:space="0" w:color="auto"/>
              </w:divBdr>
              <w:divsChild>
                <w:div w:id="2909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5737">
      <w:bodyDiv w:val="1"/>
      <w:marLeft w:val="0"/>
      <w:marRight w:val="0"/>
      <w:marTop w:val="0"/>
      <w:marBottom w:val="0"/>
      <w:divBdr>
        <w:top w:val="none" w:sz="0" w:space="0" w:color="auto"/>
        <w:left w:val="none" w:sz="0" w:space="0" w:color="auto"/>
        <w:bottom w:val="none" w:sz="0" w:space="0" w:color="auto"/>
        <w:right w:val="none" w:sz="0" w:space="0" w:color="auto"/>
      </w:divBdr>
    </w:div>
    <w:div w:id="872419747">
      <w:bodyDiv w:val="1"/>
      <w:marLeft w:val="0"/>
      <w:marRight w:val="0"/>
      <w:marTop w:val="0"/>
      <w:marBottom w:val="0"/>
      <w:divBdr>
        <w:top w:val="none" w:sz="0" w:space="0" w:color="auto"/>
        <w:left w:val="none" w:sz="0" w:space="0" w:color="auto"/>
        <w:bottom w:val="none" w:sz="0" w:space="0" w:color="auto"/>
        <w:right w:val="none" w:sz="0" w:space="0" w:color="auto"/>
      </w:divBdr>
      <w:divsChild>
        <w:div w:id="989403589">
          <w:marLeft w:val="0"/>
          <w:marRight w:val="0"/>
          <w:marTop w:val="0"/>
          <w:marBottom w:val="0"/>
          <w:divBdr>
            <w:top w:val="none" w:sz="0" w:space="0" w:color="auto"/>
            <w:left w:val="none" w:sz="0" w:space="0" w:color="auto"/>
            <w:bottom w:val="none" w:sz="0" w:space="0" w:color="auto"/>
            <w:right w:val="none" w:sz="0" w:space="0" w:color="auto"/>
          </w:divBdr>
          <w:divsChild>
            <w:div w:id="2059427278">
              <w:marLeft w:val="0"/>
              <w:marRight w:val="0"/>
              <w:marTop w:val="0"/>
              <w:marBottom w:val="0"/>
              <w:divBdr>
                <w:top w:val="none" w:sz="0" w:space="0" w:color="auto"/>
                <w:left w:val="none" w:sz="0" w:space="0" w:color="auto"/>
                <w:bottom w:val="none" w:sz="0" w:space="0" w:color="auto"/>
                <w:right w:val="none" w:sz="0" w:space="0" w:color="auto"/>
              </w:divBdr>
              <w:divsChild>
                <w:div w:id="1036276708">
                  <w:marLeft w:val="0"/>
                  <w:marRight w:val="0"/>
                  <w:marTop w:val="0"/>
                  <w:marBottom w:val="0"/>
                  <w:divBdr>
                    <w:top w:val="none" w:sz="0" w:space="0" w:color="auto"/>
                    <w:left w:val="none" w:sz="0" w:space="0" w:color="auto"/>
                    <w:bottom w:val="none" w:sz="0" w:space="0" w:color="auto"/>
                    <w:right w:val="none" w:sz="0" w:space="0" w:color="auto"/>
                  </w:divBdr>
                  <w:divsChild>
                    <w:div w:id="36217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715625">
      <w:bodyDiv w:val="1"/>
      <w:marLeft w:val="0"/>
      <w:marRight w:val="0"/>
      <w:marTop w:val="0"/>
      <w:marBottom w:val="0"/>
      <w:divBdr>
        <w:top w:val="none" w:sz="0" w:space="0" w:color="auto"/>
        <w:left w:val="none" w:sz="0" w:space="0" w:color="auto"/>
        <w:bottom w:val="none" w:sz="0" w:space="0" w:color="auto"/>
        <w:right w:val="none" w:sz="0" w:space="0" w:color="auto"/>
      </w:divBdr>
      <w:divsChild>
        <w:div w:id="427042176">
          <w:marLeft w:val="0"/>
          <w:marRight w:val="0"/>
          <w:marTop w:val="0"/>
          <w:marBottom w:val="0"/>
          <w:divBdr>
            <w:top w:val="none" w:sz="0" w:space="0" w:color="auto"/>
            <w:left w:val="none" w:sz="0" w:space="0" w:color="auto"/>
            <w:bottom w:val="none" w:sz="0" w:space="0" w:color="auto"/>
            <w:right w:val="none" w:sz="0" w:space="0" w:color="auto"/>
          </w:divBdr>
          <w:divsChild>
            <w:div w:id="731082280">
              <w:marLeft w:val="0"/>
              <w:marRight w:val="0"/>
              <w:marTop w:val="0"/>
              <w:marBottom w:val="0"/>
              <w:divBdr>
                <w:top w:val="none" w:sz="0" w:space="0" w:color="auto"/>
                <w:left w:val="none" w:sz="0" w:space="0" w:color="auto"/>
                <w:bottom w:val="none" w:sz="0" w:space="0" w:color="auto"/>
                <w:right w:val="none" w:sz="0" w:space="0" w:color="auto"/>
              </w:divBdr>
              <w:divsChild>
                <w:div w:id="454177483">
                  <w:marLeft w:val="0"/>
                  <w:marRight w:val="0"/>
                  <w:marTop w:val="0"/>
                  <w:marBottom w:val="0"/>
                  <w:divBdr>
                    <w:top w:val="single" w:sz="6" w:space="0" w:color="CCCCCC"/>
                    <w:left w:val="single" w:sz="6" w:space="0" w:color="CCCCCC"/>
                    <w:bottom w:val="single" w:sz="6" w:space="0" w:color="CCCCCC"/>
                    <w:right w:val="single" w:sz="6" w:space="0" w:color="CCCCCC"/>
                  </w:divBdr>
                  <w:divsChild>
                    <w:div w:id="5596578">
                      <w:marLeft w:val="0"/>
                      <w:marRight w:val="0"/>
                      <w:marTop w:val="0"/>
                      <w:marBottom w:val="0"/>
                      <w:divBdr>
                        <w:top w:val="none" w:sz="0" w:space="0" w:color="auto"/>
                        <w:left w:val="none" w:sz="0" w:space="0" w:color="auto"/>
                        <w:bottom w:val="none" w:sz="0" w:space="0" w:color="auto"/>
                        <w:right w:val="none" w:sz="0" w:space="0" w:color="auto"/>
                      </w:divBdr>
                      <w:divsChild>
                        <w:div w:id="511070567">
                          <w:marLeft w:val="0"/>
                          <w:marRight w:val="0"/>
                          <w:marTop w:val="0"/>
                          <w:marBottom w:val="0"/>
                          <w:divBdr>
                            <w:top w:val="none" w:sz="0" w:space="0" w:color="auto"/>
                            <w:left w:val="none" w:sz="0" w:space="0" w:color="auto"/>
                            <w:bottom w:val="none" w:sz="0" w:space="0" w:color="auto"/>
                            <w:right w:val="none" w:sz="0" w:space="0" w:color="auto"/>
                          </w:divBdr>
                          <w:divsChild>
                            <w:div w:id="1347557582">
                              <w:marLeft w:val="0"/>
                              <w:marRight w:val="0"/>
                              <w:marTop w:val="0"/>
                              <w:marBottom w:val="0"/>
                              <w:divBdr>
                                <w:top w:val="none" w:sz="0" w:space="0" w:color="auto"/>
                                <w:left w:val="none" w:sz="0" w:space="0" w:color="auto"/>
                                <w:bottom w:val="none" w:sz="0" w:space="0" w:color="auto"/>
                                <w:right w:val="none" w:sz="0" w:space="0" w:color="auto"/>
                              </w:divBdr>
                              <w:divsChild>
                                <w:div w:id="7214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364675">
      <w:bodyDiv w:val="1"/>
      <w:marLeft w:val="0"/>
      <w:marRight w:val="0"/>
      <w:marTop w:val="0"/>
      <w:marBottom w:val="0"/>
      <w:divBdr>
        <w:top w:val="none" w:sz="0" w:space="0" w:color="auto"/>
        <w:left w:val="none" w:sz="0" w:space="0" w:color="auto"/>
        <w:bottom w:val="none" w:sz="0" w:space="0" w:color="auto"/>
        <w:right w:val="none" w:sz="0" w:space="0" w:color="auto"/>
      </w:divBdr>
      <w:divsChild>
        <w:div w:id="814758707">
          <w:marLeft w:val="0"/>
          <w:marRight w:val="0"/>
          <w:marTop w:val="0"/>
          <w:marBottom w:val="0"/>
          <w:divBdr>
            <w:top w:val="none" w:sz="0" w:space="0" w:color="auto"/>
            <w:left w:val="none" w:sz="0" w:space="0" w:color="auto"/>
            <w:bottom w:val="none" w:sz="0" w:space="0" w:color="auto"/>
            <w:right w:val="none" w:sz="0" w:space="0" w:color="auto"/>
          </w:divBdr>
          <w:divsChild>
            <w:div w:id="315690787">
              <w:marLeft w:val="0"/>
              <w:marRight w:val="0"/>
              <w:marTop w:val="0"/>
              <w:marBottom w:val="0"/>
              <w:divBdr>
                <w:top w:val="none" w:sz="0" w:space="0" w:color="auto"/>
                <w:left w:val="none" w:sz="0" w:space="0" w:color="auto"/>
                <w:bottom w:val="none" w:sz="0" w:space="0" w:color="auto"/>
                <w:right w:val="none" w:sz="0" w:space="0" w:color="auto"/>
              </w:divBdr>
              <w:divsChild>
                <w:div w:id="471488402">
                  <w:marLeft w:val="0"/>
                  <w:marRight w:val="0"/>
                  <w:marTop w:val="0"/>
                  <w:marBottom w:val="0"/>
                  <w:divBdr>
                    <w:top w:val="single" w:sz="6" w:space="0" w:color="CCCCCC"/>
                    <w:left w:val="single" w:sz="6" w:space="0" w:color="CCCCCC"/>
                    <w:bottom w:val="single" w:sz="6" w:space="0" w:color="CCCCCC"/>
                    <w:right w:val="single" w:sz="6" w:space="0" w:color="CCCCCC"/>
                  </w:divBdr>
                  <w:divsChild>
                    <w:div w:id="1256087206">
                      <w:marLeft w:val="0"/>
                      <w:marRight w:val="0"/>
                      <w:marTop w:val="0"/>
                      <w:marBottom w:val="0"/>
                      <w:divBdr>
                        <w:top w:val="none" w:sz="0" w:space="0" w:color="auto"/>
                        <w:left w:val="none" w:sz="0" w:space="0" w:color="auto"/>
                        <w:bottom w:val="none" w:sz="0" w:space="0" w:color="auto"/>
                        <w:right w:val="none" w:sz="0" w:space="0" w:color="auto"/>
                      </w:divBdr>
                      <w:divsChild>
                        <w:div w:id="1067456008">
                          <w:marLeft w:val="0"/>
                          <w:marRight w:val="0"/>
                          <w:marTop w:val="0"/>
                          <w:marBottom w:val="0"/>
                          <w:divBdr>
                            <w:top w:val="none" w:sz="0" w:space="0" w:color="auto"/>
                            <w:left w:val="none" w:sz="0" w:space="0" w:color="auto"/>
                            <w:bottom w:val="none" w:sz="0" w:space="0" w:color="auto"/>
                            <w:right w:val="none" w:sz="0" w:space="0" w:color="auto"/>
                          </w:divBdr>
                          <w:divsChild>
                            <w:div w:id="931089038">
                              <w:marLeft w:val="0"/>
                              <w:marRight w:val="0"/>
                              <w:marTop w:val="0"/>
                              <w:marBottom w:val="0"/>
                              <w:divBdr>
                                <w:top w:val="none" w:sz="0" w:space="0" w:color="auto"/>
                                <w:left w:val="none" w:sz="0" w:space="0" w:color="auto"/>
                                <w:bottom w:val="none" w:sz="0" w:space="0" w:color="auto"/>
                                <w:right w:val="none" w:sz="0" w:space="0" w:color="auto"/>
                              </w:divBdr>
                              <w:divsChild>
                                <w:div w:id="160919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779540">
      <w:bodyDiv w:val="1"/>
      <w:marLeft w:val="0"/>
      <w:marRight w:val="0"/>
      <w:marTop w:val="0"/>
      <w:marBottom w:val="0"/>
      <w:divBdr>
        <w:top w:val="none" w:sz="0" w:space="0" w:color="auto"/>
        <w:left w:val="none" w:sz="0" w:space="0" w:color="auto"/>
        <w:bottom w:val="none" w:sz="0" w:space="0" w:color="auto"/>
        <w:right w:val="none" w:sz="0" w:space="0" w:color="auto"/>
      </w:divBdr>
      <w:divsChild>
        <w:div w:id="1088581302">
          <w:marLeft w:val="0"/>
          <w:marRight w:val="0"/>
          <w:marTop w:val="0"/>
          <w:marBottom w:val="0"/>
          <w:divBdr>
            <w:top w:val="none" w:sz="0" w:space="0" w:color="auto"/>
            <w:left w:val="none" w:sz="0" w:space="0" w:color="auto"/>
            <w:bottom w:val="none" w:sz="0" w:space="0" w:color="auto"/>
            <w:right w:val="none" w:sz="0" w:space="0" w:color="auto"/>
          </w:divBdr>
        </w:div>
        <w:div w:id="1571884723">
          <w:marLeft w:val="0"/>
          <w:marRight w:val="0"/>
          <w:marTop w:val="0"/>
          <w:marBottom w:val="150"/>
          <w:divBdr>
            <w:top w:val="none" w:sz="0" w:space="0" w:color="auto"/>
            <w:left w:val="none" w:sz="0" w:space="0" w:color="auto"/>
            <w:bottom w:val="none" w:sz="0" w:space="0" w:color="auto"/>
            <w:right w:val="none" w:sz="0" w:space="0" w:color="auto"/>
          </w:divBdr>
        </w:div>
        <w:div w:id="1901088398">
          <w:marLeft w:val="0"/>
          <w:marRight w:val="0"/>
          <w:marTop w:val="0"/>
          <w:marBottom w:val="0"/>
          <w:divBdr>
            <w:top w:val="none" w:sz="0" w:space="0" w:color="auto"/>
            <w:left w:val="none" w:sz="0" w:space="0" w:color="auto"/>
            <w:bottom w:val="none" w:sz="0" w:space="0" w:color="auto"/>
            <w:right w:val="none" w:sz="0" w:space="0" w:color="auto"/>
          </w:divBdr>
          <w:divsChild>
            <w:div w:id="3003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62317">
      <w:bodyDiv w:val="1"/>
      <w:marLeft w:val="0"/>
      <w:marRight w:val="0"/>
      <w:marTop w:val="0"/>
      <w:marBottom w:val="0"/>
      <w:divBdr>
        <w:top w:val="none" w:sz="0" w:space="0" w:color="auto"/>
        <w:left w:val="none" w:sz="0" w:space="0" w:color="auto"/>
        <w:bottom w:val="none" w:sz="0" w:space="0" w:color="auto"/>
        <w:right w:val="none" w:sz="0" w:space="0" w:color="auto"/>
      </w:divBdr>
      <w:divsChild>
        <w:div w:id="1367222283">
          <w:marLeft w:val="0"/>
          <w:marRight w:val="0"/>
          <w:marTop w:val="0"/>
          <w:marBottom w:val="0"/>
          <w:divBdr>
            <w:top w:val="none" w:sz="0" w:space="0" w:color="auto"/>
            <w:left w:val="none" w:sz="0" w:space="0" w:color="auto"/>
            <w:bottom w:val="none" w:sz="0" w:space="0" w:color="auto"/>
            <w:right w:val="none" w:sz="0" w:space="0" w:color="auto"/>
          </w:divBdr>
          <w:divsChild>
            <w:div w:id="1657760187">
              <w:marLeft w:val="0"/>
              <w:marRight w:val="0"/>
              <w:marTop w:val="0"/>
              <w:marBottom w:val="0"/>
              <w:divBdr>
                <w:top w:val="none" w:sz="0" w:space="0" w:color="auto"/>
                <w:left w:val="none" w:sz="0" w:space="0" w:color="auto"/>
                <w:bottom w:val="none" w:sz="0" w:space="0" w:color="auto"/>
                <w:right w:val="none" w:sz="0" w:space="0" w:color="auto"/>
              </w:divBdr>
              <w:divsChild>
                <w:div w:id="12930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30518">
      <w:bodyDiv w:val="1"/>
      <w:marLeft w:val="0"/>
      <w:marRight w:val="0"/>
      <w:marTop w:val="0"/>
      <w:marBottom w:val="0"/>
      <w:divBdr>
        <w:top w:val="none" w:sz="0" w:space="0" w:color="auto"/>
        <w:left w:val="none" w:sz="0" w:space="0" w:color="auto"/>
        <w:bottom w:val="none" w:sz="0" w:space="0" w:color="auto"/>
        <w:right w:val="none" w:sz="0" w:space="0" w:color="auto"/>
      </w:divBdr>
    </w:div>
    <w:div w:id="1305156579">
      <w:bodyDiv w:val="1"/>
      <w:marLeft w:val="0"/>
      <w:marRight w:val="0"/>
      <w:marTop w:val="0"/>
      <w:marBottom w:val="0"/>
      <w:divBdr>
        <w:top w:val="none" w:sz="0" w:space="0" w:color="auto"/>
        <w:left w:val="none" w:sz="0" w:space="0" w:color="auto"/>
        <w:bottom w:val="none" w:sz="0" w:space="0" w:color="auto"/>
        <w:right w:val="none" w:sz="0" w:space="0" w:color="auto"/>
      </w:divBdr>
      <w:divsChild>
        <w:div w:id="46347029">
          <w:marLeft w:val="0"/>
          <w:marRight w:val="0"/>
          <w:marTop w:val="0"/>
          <w:marBottom w:val="0"/>
          <w:divBdr>
            <w:top w:val="none" w:sz="0" w:space="0" w:color="auto"/>
            <w:left w:val="none" w:sz="0" w:space="0" w:color="auto"/>
            <w:bottom w:val="none" w:sz="0" w:space="0" w:color="auto"/>
            <w:right w:val="none" w:sz="0" w:space="0" w:color="auto"/>
          </w:divBdr>
        </w:div>
        <w:div w:id="1286695639">
          <w:marLeft w:val="0"/>
          <w:marRight w:val="0"/>
          <w:marTop w:val="0"/>
          <w:marBottom w:val="0"/>
          <w:divBdr>
            <w:top w:val="none" w:sz="0" w:space="0" w:color="auto"/>
            <w:left w:val="none" w:sz="0" w:space="0" w:color="auto"/>
            <w:bottom w:val="none" w:sz="0" w:space="0" w:color="auto"/>
            <w:right w:val="none" w:sz="0" w:space="0" w:color="auto"/>
          </w:divBdr>
        </w:div>
        <w:div w:id="1962224005">
          <w:marLeft w:val="0"/>
          <w:marRight w:val="0"/>
          <w:marTop w:val="0"/>
          <w:marBottom w:val="0"/>
          <w:divBdr>
            <w:top w:val="none" w:sz="0" w:space="0" w:color="auto"/>
            <w:left w:val="none" w:sz="0" w:space="0" w:color="auto"/>
            <w:bottom w:val="none" w:sz="0" w:space="0" w:color="auto"/>
            <w:right w:val="none" w:sz="0" w:space="0" w:color="auto"/>
          </w:divBdr>
        </w:div>
        <w:div w:id="1510413482">
          <w:marLeft w:val="0"/>
          <w:marRight w:val="0"/>
          <w:marTop w:val="0"/>
          <w:marBottom w:val="0"/>
          <w:divBdr>
            <w:top w:val="none" w:sz="0" w:space="0" w:color="auto"/>
            <w:left w:val="none" w:sz="0" w:space="0" w:color="auto"/>
            <w:bottom w:val="none" w:sz="0" w:space="0" w:color="auto"/>
            <w:right w:val="none" w:sz="0" w:space="0" w:color="auto"/>
          </w:divBdr>
        </w:div>
      </w:divsChild>
    </w:div>
    <w:div w:id="1324091924">
      <w:bodyDiv w:val="1"/>
      <w:marLeft w:val="0"/>
      <w:marRight w:val="0"/>
      <w:marTop w:val="0"/>
      <w:marBottom w:val="0"/>
      <w:divBdr>
        <w:top w:val="none" w:sz="0" w:space="0" w:color="auto"/>
        <w:left w:val="none" w:sz="0" w:space="0" w:color="auto"/>
        <w:bottom w:val="none" w:sz="0" w:space="0" w:color="auto"/>
        <w:right w:val="none" w:sz="0" w:space="0" w:color="auto"/>
      </w:divBdr>
    </w:div>
    <w:div w:id="1370491003">
      <w:bodyDiv w:val="1"/>
      <w:marLeft w:val="0"/>
      <w:marRight w:val="0"/>
      <w:marTop w:val="0"/>
      <w:marBottom w:val="0"/>
      <w:divBdr>
        <w:top w:val="none" w:sz="0" w:space="0" w:color="auto"/>
        <w:left w:val="none" w:sz="0" w:space="0" w:color="auto"/>
        <w:bottom w:val="none" w:sz="0" w:space="0" w:color="auto"/>
        <w:right w:val="none" w:sz="0" w:space="0" w:color="auto"/>
      </w:divBdr>
      <w:divsChild>
        <w:div w:id="1116366674">
          <w:marLeft w:val="0"/>
          <w:marRight w:val="0"/>
          <w:marTop w:val="0"/>
          <w:marBottom w:val="0"/>
          <w:divBdr>
            <w:top w:val="none" w:sz="0" w:space="0" w:color="auto"/>
            <w:left w:val="none" w:sz="0" w:space="0" w:color="auto"/>
            <w:bottom w:val="none" w:sz="0" w:space="0" w:color="auto"/>
            <w:right w:val="none" w:sz="0" w:space="0" w:color="auto"/>
          </w:divBdr>
          <w:divsChild>
            <w:div w:id="3267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29410">
      <w:bodyDiv w:val="1"/>
      <w:marLeft w:val="0"/>
      <w:marRight w:val="0"/>
      <w:marTop w:val="0"/>
      <w:marBottom w:val="0"/>
      <w:divBdr>
        <w:top w:val="none" w:sz="0" w:space="0" w:color="auto"/>
        <w:left w:val="none" w:sz="0" w:space="0" w:color="auto"/>
        <w:bottom w:val="none" w:sz="0" w:space="0" w:color="auto"/>
        <w:right w:val="none" w:sz="0" w:space="0" w:color="auto"/>
      </w:divBdr>
    </w:div>
    <w:div w:id="1485003978">
      <w:bodyDiv w:val="1"/>
      <w:marLeft w:val="0"/>
      <w:marRight w:val="0"/>
      <w:marTop w:val="0"/>
      <w:marBottom w:val="0"/>
      <w:divBdr>
        <w:top w:val="none" w:sz="0" w:space="0" w:color="auto"/>
        <w:left w:val="none" w:sz="0" w:space="0" w:color="auto"/>
        <w:bottom w:val="none" w:sz="0" w:space="0" w:color="auto"/>
        <w:right w:val="none" w:sz="0" w:space="0" w:color="auto"/>
      </w:divBdr>
      <w:divsChild>
        <w:div w:id="1324502581">
          <w:marLeft w:val="0"/>
          <w:marRight w:val="0"/>
          <w:marTop w:val="0"/>
          <w:marBottom w:val="0"/>
          <w:divBdr>
            <w:top w:val="none" w:sz="0" w:space="0" w:color="auto"/>
            <w:left w:val="none" w:sz="0" w:space="0" w:color="auto"/>
            <w:bottom w:val="none" w:sz="0" w:space="0" w:color="auto"/>
            <w:right w:val="none" w:sz="0" w:space="0" w:color="auto"/>
          </w:divBdr>
          <w:divsChild>
            <w:div w:id="2130389424">
              <w:marLeft w:val="0"/>
              <w:marRight w:val="0"/>
              <w:marTop w:val="0"/>
              <w:marBottom w:val="0"/>
              <w:divBdr>
                <w:top w:val="none" w:sz="0" w:space="0" w:color="auto"/>
                <w:left w:val="none" w:sz="0" w:space="0" w:color="auto"/>
                <w:bottom w:val="none" w:sz="0" w:space="0" w:color="auto"/>
                <w:right w:val="none" w:sz="0" w:space="0" w:color="auto"/>
              </w:divBdr>
              <w:divsChild>
                <w:div w:id="1055006071">
                  <w:marLeft w:val="0"/>
                  <w:marRight w:val="0"/>
                  <w:marTop w:val="0"/>
                  <w:marBottom w:val="0"/>
                  <w:divBdr>
                    <w:top w:val="single" w:sz="6" w:space="0" w:color="CCCCCC"/>
                    <w:left w:val="single" w:sz="6" w:space="0" w:color="CCCCCC"/>
                    <w:bottom w:val="single" w:sz="6" w:space="0" w:color="CCCCCC"/>
                    <w:right w:val="single" w:sz="6" w:space="0" w:color="CCCCCC"/>
                  </w:divBdr>
                  <w:divsChild>
                    <w:div w:id="1738356124">
                      <w:marLeft w:val="0"/>
                      <w:marRight w:val="0"/>
                      <w:marTop w:val="0"/>
                      <w:marBottom w:val="0"/>
                      <w:divBdr>
                        <w:top w:val="none" w:sz="0" w:space="0" w:color="auto"/>
                        <w:left w:val="none" w:sz="0" w:space="0" w:color="auto"/>
                        <w:bottom w:val="none" w:sz="0" w:space="0" w:color="auto"/>
                        <w:right w:val="none" w:sz="0" w:space="0" w:color="auto"/>
                      </w:divBdr>
                      <w:divsChild>
                        <w:div w:id="1171530190">
                          <w:marLeft w:val="0"/>
                          <w:marRight w:val="0"/>
                          <w:marTop w:val="0"/>
                          <w:marBottom w:val="0"/>
                          <w:divBdr>
                            <w:top w:val="none" w:sz="0" w:space="0" w:color="auto"/>
                            <w:left w:val="none" w:sz="0" w:space="0" w:color="auto"/>
                            <w:bottom w:val="none" w:sz="0" w:space="0" w:color="auto"/>
                            <w:right w:val="none" w:sz="0" w:space="0" w:color="auto"/>
                          </w:divBdr>
                          <w:divsChild>
                            <w:div w:id="1147018867">
                              <w:marLeft w:val="0"/>
                              <w:marRight w:val="0"/>
                              <w:marTop w:val="0"/>
                              <w:marBottom w:val="0"/>
                              <w:divBdr>
                                <w:top w:val="none" w:sz="0" w:space="0" w:color="auto"/>
                                <w:left w:val="none" w:sz="0" w:space="0" w:color="auto"/>
                                <w:bottom w:val="none" w:sz="0" w:space="0" w:color="auto"/>
                                <w:right w:val="none" w:sz="0" w:space="0" w:color="auto"/>
                              </w:divBdr>
                              <w:divsChild>
                                <w:div w:id="10025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564759">
      <w:bodyDiv w:val="1"/>
      <w:marLeft w:val="0"/>
      <w:marRight w:val="0"/>
      <w:marTop w:val="0"/>
      <w:marBottom w:val="0"/>
      <w:divBdr>
        <w:top w:val="none" w:sz="0" w:space="0" w:color="auto"/>
        <w:left w:val="none" w:sz="0" w:space="0" w:color="auto"/>
        <w:bottom w:val="none" w:sz="0" w:space="0" w:color="auto"/>
        <w:right w:val="none" w:sz="0" w:space="0" w:color="auto"/>
      </w:divBdr>
    </w:div>
    <w:div w:id="1515655062">
      <w:bodyDiv w:val="1"/>
      <w:marLeft w:val="0"/>
      <w:marRight w:val="0"/>
      <w:marTop w:val="0"/>
      <w:marBottom w:val="0"/>
      <w:divBdr>
        <w:top w:val="none" w:sz="0" w:space="0" w:color="auto"/>
        <w:left w:val="none" w:sz="0" w:space="0" w:color="auto"/>
        <w:bottom w:val="none" w:sz="0" w:space="0" w:color="auto"/>
        <w:right w:val="none" w:sz="0" w:space="0" w:color="auto"/>
      </w:divBdr>
    </w:div>
    <w:div w:id="1675760577">
      <w:bodyDiv w:val="1"/>
      <w:marLeft w:val="0"/>
      <w:marRight w:val="0"/>
      <w:marTop w:val="0"/>
      <w:marBottom w:val="0"/>
      <w:divBdr>
        <w:top w:val="none" w:sz="0" w:space="0" w:color="auto"/>
        <w:left w:val="none" w:sz="0" w:space="0" w:color="auto"/>
        <w:bottom w:val="none" w:sz="0" w:space="0" w:color="auto"/>
        <w:right w:val="none" w:sz="0" w:space="0" w:color="auto"/>
      </w:divBdr>
    </w:div>
    <w:div w:id="1715692419">
      <w:bodyDiv w:val="1"/>
      <w:marLeft w:val="0"/>
      <w:marRight w:val="0"/>
      <w:marTop w:val="0"/>
      <w:marBottom w:val="0"/>
      <w:divBdr>
        <w:top w:val="none" w:sz="0" w:space="0" w:color="auto"/>
        <w:left w:val="none" w:sz="0" w:space="0" w:color="auto"/>
        <w:bottom w:val="none" w:sz="0" w:space="0" w:color="auto"/>
        <w:right w:val="none" w:sz="0" w:space="0" w:color="auto"/>
      </w:divBdr>
      <w:divsChild>
        <w:div w:id="1193037195">
          <w:marLeft w:val="0"/>
          <w:marRight w:val="0"/>
          <w:marTop w:val="0"/>
          <w:marBottom w:val="0"/>
          <w:divBdr>
            <w:top w:val="none" w:sz="0" w:space="0" w:color="auto"/>
            <w:left w:val="none" w:sz="0" w:space="0" w:color="auto"/>
            <w:bottom w:val="none" w:sz="0" w:space="0" w:color="auto"/>
            <w:right w:val="none" w:sz="0" w:space="0" w:color="auto"/>
          </w:divBdr>
          <w:divsChild>
            <w:div w:id="368189504">
              <w:marLeft w:val="0"/>
              <w:marRight w:val="0"/>
              <w:marTop w:val="0"/>
              <w:marBottom w:val="0"/>
              <w:divBdr>
                <w:top w:val="none" w:sz="0" w:space="0" w:color="auto"/>
                <w:left w:val="none" w:sz="0" w:space="0" w:color="auto"/>
                <w:bottom w:val="none" w:sz="0" w:space="0" w:color="auto"/>
                <w:right w:val="none" w:sz="0" w:space="0" w:color="auto"/>
              </w:divBdr>
              <w:divsChild>
                <w:div w:id="208706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12266">
      <w:bodyDiv w:val="1"/>
      <w:marLeft w:val="0"/>
      <w:marRight w:val="0"/>
      <w:marTop w:val="0"/>
      <w:marBottom w:val="0"/>
      <w:divBdr>
        <w:top w:val="none" w:sz="0" w:space="0" w:color="auto"/>
        <w:left w:val="none" w:sz="0" w:space="0" w:color="auto"/>
        <w:bottom w:val="none" w:sz="0" w:space="0" w:color="auto"/>
        <w:right w:val="none" w:sz="0" w:space="0" w:color="auto"/>
      </w:divBdr>
    </w:div>
    <w:div w:id="1749114101">
      <w:bodyDiv w:val="1"/>
      <w:marLeft w:val="0"/>
      <w:marRight w:val="0"/>
      <w:marTop w:val="0"/>
      <w:marBottom w:val="0"/>
      <w:divBdr>
        <w:top w:val="none" w:sz="0" w:space="0" w:color="auto"/>
        <w:left w:val="none" w:sz="0" w:space="0" w:color="auto"/>
        <w:bottom w:val="none" w:sz="0" w:space="0" w:color="auto"/>
        <w:right w:val="none" w:sz="0" w:space="0" w:color="auto"/>
      </w:divBdr>
    </w:div>
    <w:div w:id="1807501012">
      <w:bodyDiv w:val="1"/>
      <w:marLeft w:val="0"/>
      <w:marRight w:val="0"/>
      <w:marTop w:val="0"/>
      <w:marBottom w:val="0"/>
      <w:divBdr>
        <w:top w:val="none" w:sz="0" w:space="0" w:color="auto"/>
        <w:left w:val="none" w:sz="0" w:space="0" w:color="auto"/>
        <w:bottom w:val="none" w:sz="0" w:space="0" w:color="auto"/>
        <w:right w:val="none" w:sz="0" w:space="0" w:color="auto"/>
      </w:divBdr>
    </w:div>
    <w:div w:id="1821772941">
      <w:bodyDiv w:val="1"/>
      <w:marLeft w:val="0"/>
      <w:marRight w:val="0"/>
      <w:marTop w:val="0"/>
      <w:marBottom w:val="0"/>
      <w:divBdr>
        <w:top w:val="none" w:sz="0" w:space="0" w:color="auto"/>
        <w:left w:val="none" w:sz="0" w:space="0" w:color="auto"/>
        <w:bottom w:val="none" w:sz="0" w:space="0" w:color="auto"/>
        <w:right w:val="none" w:sz="0" w:space="0" w:color="auto"/>
      </w:divBdr>
      <w:divsChild>
        <w:div w:id="1433092600">
          <w:marLeft w:val="0"/>
          <w:marRight w:val="0"/>
          <w:marTop w:val="0"/>
          <w:marBottom w:val="0"/>
          <w:divBdr>
            <w:top w:val="none" w:sz="0" w:space="0" w:color="auto"/>
            <w:left w:val="none" w:sz="0" w:space="0" w:color="auto"/>
            <w:bottom w:val="none" w:sz="0" w:space="0" w:color="auto"/>
            <w:right w:val="none" w:sz="0" w:space="0" w:color="auto"/>
          </w:divBdr>
          <w:divsChild>
            <w:div w:id="1284920348">
              <w:marLeft w:val="0"/>
              <w:marRight w:val="0"/>
              <w:marTop w:val="0"/>
              <w:marBottom w:val="0"/>
              <w:divBdr>
                <w:top w:val="none" w:sz="0" w:space="0" w:color="auto"/>
                <w:left w:val="none" w:sz="0" w:space="0" w:color="auto"/>
                <w:bottom w:val="none" w:sz="0" w:space="0" w:color="auto"/>
                <w:right w:val="none" w:sz="0" w:space="0" w:color="auto"/>
              </w:divBdr>
              <w:divsChild>
                <w:div w:id="79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23708">
      <w:bodyDiv w:val="1"/>
      <w:marLeft w:val="0"/>
      <w:marRight w:val="0"/>
      <w:marTop w:val="0"/>
      <w:marBottom w:val="0"/>
      <w:divBdr>
        <w:top w:val="none" w:sz="0" w:space="0" w:color="auto"/>
        <w:left w:val="none" w:sz="0" w:space="0" w:color="auto"/>
        <w:bottom w:val="none" w:sz="0" w:space="0" w:color="auto"/>
        <w:right w:val="none" w:sz="0" w:space="0" w:color="auto"/>
      </w:divBdr>
    </w:div>
    <w:div w:id="1963025839">
      <w:bodyDiv w:val="1"/>
      <w:marLeft w:val="0"/>
      <w:marRight w:val="0"/>
      <w:marTop w:val="0"/>
      <w:marBottom w:val="0"/>
      <w:divBdr>
        <w:top w:val="none" w:sz="0" w:space="0" w:color="auto"/>
        <w:left w:val="none" w:sz="0" w:space="0" w:color="auto"/>
        <w:bottom w:val="none" w:sz="0" w:space="0" w:color="auto"/>
        <w:right w:val="none" w:sz="0" w:space="0" w:color="auto"/>
      </w:divBdr>
      <w:divsChild>
        <w:div w:id="870147389">
          <w:marLeft w:val="0"/>
          <w:marRight w:val="0"/>
          <w:marTop w:val="0"/>
          <w:marBottom w:val="0"/>
          <w:divBdr>
            <w:top w:val="none" w:sz="0" w:space="0" w:color="auto"/>
            <w:left w:val="none" w:sz="0" w:space="0" w:color="auto"/>
            <w:bottom w:val="none" w:sz="0" w:space="0" w:color="auto"/>
            <w:right w:val="none" w:sz="0" w:space="0" w:color="auto"/>
          </w:divBdr>
          <w:divsChild>
            <w:div w:id="463084220">
              <w:marLeft w:val="0"/>
              <w:marRight w:val="0"/>
              <w:marTop w:val="0"/>
              <w:marBottom w:val="0"/>
              <w:divBdr>
                <w:top w:val="none" w:sz="0" w:space="0" w:color="auto"/>
                <w:left w:val="none" w:sz="0" w:space="0" w:color="auto"/>
                <w:bottom w:val="none" w:sz="0" w:space="0" w:color="auto"/>
                <w:right w:val="none" w:sz="0" w:space="0" w:color="auto"/>
              </w:divBdr>
              <w:divsChild>
                <w:div w:id="1570799075">
                  <w:marLeft w:val="0"/>
                  <w:marRight w:val="0"/>
                  <w:marTop w:val="0"/>
                  <w:marBottom w:val="0"/>
                  <w:divBdr>
                    <w:top w:val="none" w:sz="0" w:space="0" w:color="auto"/>
                    <w:left w:val="none" w:sz="0" w:space="0" w:color="auto"/>
                    <w:bottom w:val="none" w:sz="0" w:space="0" w:color="auto"/>
                    <w:right w:val="none" w:sz="0" w:space="0" w:color="auto"/>
                  </w:divBdr>
                  <w:divsChild>
                    <w:div w:id="1400782448">
                      <w:marLeft w:val="0"/>
                      <w:marRight w:val="0"/>
                      <w:marTop w:val="0"/>
                      <w:marBottom w:val="0"/>
                      <w:divBdr>
                        <w:top w:val="none" w:sz="0" w:space="0" w:color="auto"/>
                        <w:left w:val="none" w:sz="0" w:space="0" w:color="auto"/>
                        <w:bottom w:val="none" w:sz="0" w:space="0" w:color="auto"/>
                        <w:right w:val="none" w:sz="0" w:space="0" w:color="auto"/>
                      </w:divBdr>
                      <w:divsChild>
                        <w:div w:id="14757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013978">
      <w:bodyDiv w:val="1"/>
      <w:marLeft w:val="0"/>
      <w:marRight w:val="0"/>
      <w:marTop w:val="0"/>
      <w:marBottom w:val="0"/>
      <w:divBdr>
        <w:top w:val="none" w:sz="0" w:space="0" w:color="auto"/>
        <w:left w:val="none" w:sz="0" w:space="0" w:color="auto"/>
        <w:bottom w:val="none" w:sz="0" w:space="0" w:color="auto"/>
        <w:right w:val="none" w:sz="0" w:space="0" w:color="auto"/>
      </w:divBdr>
    </w:div>
    <w:div w:id="1994412348">
      <w:bodyDiv w:val="1"/>
      <w:marLeft w:val="0"/>
      <w:marRight w:val="0"/>
      <w:marTop w:val="0"/>
      <w:marBottom w:val="0"/>
      <w:divBdr>
        <w:top w:val="none" w:sz="0" w:space="0" w:color="auto"/>
        <w:left w:val="none" w:sz="0" w:space="0" w:color="auto"/>
        <w:bottom w:val="none" w:sz="0" w:space="0" w:color="auto"/>
        <w:right w:val="none" w:sz="0" w:space="0" w:color="auto"/>
      </w:divBdr>
    </w:div>
    <w:div w:id="2065788683">
      <w:bodyDiv w:val="1"/>
      <w:marLeft w:val="0"/>
      <w:marRight w:val="0"/>
      <w:marTop w:val="0"/>
      <w:marBottom w:val="0"/>
      <w:divBdr>
        <w:top w:val="none" w:sz="0" w:space="0" w:color="auto"/>
        <w:left w:val="none" w:sz="0" w:space="0" w:color="auto"/>
        <w:bottom w:val="none" w:sz="0" w:space="0" w:color="auto"/>
        <w:right w:val="none" w:sz="0" w:space="0" w:color="auto"/>
      </w:divBdr>
    </w:div>
    <w:div w:id="2093700285">
      <w:bodyDiv w:val="1"/>
      <w:marLeft w:val="0"/>
      <w:marRight w:val="0"/>
      <w:marTop w:val="0"/>
      <w:marBottom w:val="0"/>
      <w:divBdr>
        <w:top w:val="none" w:sz="0" w:space="0" w:color="auto"/>
        <w:left w:val="none" w:sz="0" w:space="0" w:color="auto"/>
        <w:bottom w:val="none" w:sz="0" w:space="0" w:color="auto"/>
        <w:right w:val="none" w:sz="0" w:space="0" w:color="auto"/>
      </w:divBdr>
    </w:div>
    <w:div w:id="2104956143">
      <w:bodyDiv w:val="1"/>
      <w:marLeft w:val="0"/>
      <w:marRight w:val="0"/>
      <w:marTop w:val="0"/>
      <w:marBottom w:val="0"/>
      <w:divBdr>
        <w:top w:val="none" w:sz="0" w:space="0" w:color="auto"/>
        <w:left w:val="none" w:sz="0" w:space="0" w:color="auto"/>
        <w:bottom w:val="none" w:sz="0" w:space="0" w:color="auto"/>
        <w:right w:val="none" w:sz="0" w:space="0" w:color="auto"/>
      </w:divBdr>
      <w:divsChild>
        <w:div w:id="1530991057">
          <w:marLeft w:val="0"/>
          <w:marRight w:val="0"/>
          <w:marTop w:val="0"/>
          <w:marBottom w:val="0"/>
          <w:divBdr>
            <w:top w:val="none" w:sz="0" w:space="0" w:color="auto"/>
            <w:left w:val="none" w:sz="0" w:space="0" w:color="auto"/>
            <w:bottom w:val="none" w:sz="0" w:space="0" w:color="auto"/>
            <w:right w:val="none" w:sz="0" w:space="0" w:color="auto"/>
          </w:divBdr>
          <w:divsChild>
            <w:div w:id="1515798334">
              <w:marLeft w:val="0"/>
              <w:marRight w:val="0"/>
              <w:marTop w:val="0"/>
              <w:marBottom w:val="0"/>
              <w:divBdr>
                <w:top w:val="none" w:sz="0" w:space="0" w:color="auto"/>
                <w:left w:val="none" w:sz="0" w:space="0" w:color="auto"/>
                <w:bottom w:val="none" w:sz="0" w:space="0" w:color="auto"/>
                <w:right w:val="none" w:sz="0" w:space="0" w:color="auto"/>
              </w:divBdr>
              <w:divsChild>
                <w:div w:id="261305487">
                  <w:marLeft w:val="0"/>
                  <w:marRight w:val="0"/>
                  <w:marTop w:val="0"/>
                  <w:marBottom w:val="0"/>
                  <w:divBdr>
                    <w:top w:val="single" w:sz="6" w:space="0" w:color="CCCCCC"/>
                    <w:left w:val="single" w:sz="6" w:space="0" w:color="CCCCCC"/>
                    <w:bottom w:val="single" w:sz="6" w:space="0" w:color="CCCCCC"/>
                    <w:right w:val="single" w:sz="6" w:space="0" w:color="CCCCCC"/>
                  </w:divBdr>
                  <w:divsChild>
                    <w:div w:id="1433088264">
                      <w:marLeft w:val="0"/>
                      <w:marRight w:val="0"/>
                      <w:marTop w:val="0"/>
                      <w:marBottom w:val="0"/>
                      <w:divBdr>
                        <w:top w:val="none" w:sz="0" w:space="0" w:color="auto"/>
                        <w:left w:val="none" w:sz="0" w:space="0" w:color="auto"/>
                        <w:bottom w:val="none" w:sz="0" w:space="0" w:color="auto"/>
                        <w:right w:val="none" w:sz="0" w:space="0" w:color="auto"/>
                      </w:divBdr>
                      <w:divsChild>
                        <w:div w:id="1092167254">
                          <w:marLeft w:val="0"/>
                          <w:marRight w:val="0"/>
                          <w:marTop w:val="0"/>
                          <w:marBottom w:val="0"/>
                          <w:divBdr>
                            <w:top w:val="none" w:sz="0" w:space="0" w:color="auto"/>
                            <w:left w:val="none" w:sz="0" w:space="0" w:color="auto"/>
                            <w:bottom w:val="none" w:sz="0" w:space="0" w:color="auto"/>
                            <w:right w:val="none" w:sz="0" w:space="0" w:color="auto"/>
                          </w:divBdr>
                          <w:divsChild>
                            <w:div w:id="505825670">
                              <w:marLeft w:val="0"/>
                              <w:marRight w:val="0"/>
                              <w:marTop w:val="0"/>
                              <w:marBottom w:val="0"/>
                              <w:divBdr>
                                <w:top w:val="none" w:sz="0" w:space="0" w:color="auto"/>
                                <w:left w:val="none" w:sz="0" w:space="0" w:color="auto"/>
                                <w:bottom w:val="none" w:sz="0" w:space="0" w:color="auto"/>
                                <w:right w:val="none" w:sz="0" w:space="0" w:color="auto"/>
                              </w:divBdr>
                              <w:divsChild>
                                <w:div w:id="57589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219065">
      <w:bodyDiv w:val="1"/>
      <w:marLeft w:val="0"/>
      <w:marRight w:val="0"/>
      <w:marTop w:val="0"/>
      <w:marBottom w:val="0"/>
      <w:divBdr>
        <w:top w:val="none" w:sz="0" w:space="0" w:color="auto"/>
        <w:left w:val="none" w:sz="0" w:space="0" w:color="auto"/>
        <w:bottom w:val="none" w:sz="0" w:space="0" w:color="auto"/>
        <w:right w:val="none" w:sz="0" w:space="0" w:color="auto"/>
      </w:divBdr>
      <w:divsChild>
        <w:div w:id="1148015849">
          <w:marLeft w:val="0"/>
          <w:marRight w:val="0"/>
          <w:marTop w:val="0"/>
          <w:marBottom w:val="0"/>
          <w:divBdr>
            <w:top w:val="none" w:sz="0" w:space="0" w:color="auto"/>
            <w:left w:val="none" w:sz="0" w:space="0" w:color="auto"/>
            <w:bottom w:val="none" w:sz="0" w:space="0" w:color="auto"/>
            <w:right w:val="none" w:sz="0" w:space="0" w:color="auto"/>
          </w:divBdr>
          <w:divsChild>
            <w:div w:id="1121605106">
              <w:marLeft w:val="0"/>
              <w:marRight w:val="0"/>
              <w:marTop w:val="0"/>
              <w:marBottom w:val="0"/>
              <w:divBdr>
                <w:top w:val="none" w:sz="0" w:space="0" w:color="auto"/>
                <w:left w:val="none" w:sz="0" w:space="0" w:color="auto"/>
                <w:bottom w:val="none" w:sz="0" w:space="0" w:color="auto"/>
                <w:right w:val="none" w:sz="0" w:space="0" w:color="auto"/>
              </w:divBdr>
              <w:divsChild>
                <w:div w:id="49619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chr.org/EN/NewsEvents/Pages/DisplayNews.aspx?NewsID=23073&amp;LangI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A9296437-2758-4959-9816-E806271EE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9704</Words>
  <Characters>55318</Characters>
  <Application>Microsoft Office Word</Application>
  <DocSecurity>4</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 Lahuerta S.</dc:creator>
  <cp:keywords/>
  <dc:description/>
  <cp:lastModifiedBy>Edwards L.</cp:lastModifiedBy>
  <cp:revision>2</cp:revision>
  <cp:lastPrinted>2019-03-19T12:44:00Z</cp:lastPrinted>
  <dcterms:created xsi:type="dcterms:W3CDTF">2020-01-03T11:43:00Z</dcterms:created>
  <dcterms:modified xsi:type="dcterms:W3CDTF">2020-01-03T11:43:00Z</dcterms:modified>
</cp:coreProperties>
</file>