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EFC4B" w14:textId="7DEA654A" w:rsidR="003E54FE" w:rsidRDefault="003E54FE" w:rsidP="003E54FE">
      <w:pPr>
        <w:spacing w:line="480" w:lineRule="auto"/>
        <w:jc w:val="center"/>
        <w:rPr>
          <w:b/>
        </w:rPr>
      </w:pPr>
      <w:bookmarkStart w:id="0" w:name="_GoBack"/>
      <w:bookmarkEnd w:id="0"/>
      <w:proofErr w:type="spellStart"/>
      <w:r w:rsidRPr="003E54FE">
        <w:rPr>
          <w:rFonts w:cs="Calibri"/>
          <w:b/>
          <w:color w:val="191919"/>
          <w:lang w:val="en-US"/>
        </w:rPr>
        <w:t>Prioritising</w:t>
      </w:r>
      <w:proofErr w:type="spellEnd"/>
      <w:r w:rsidRPr="003E54FE">
        <w:rPr>
          <w:rFonts w:cs="Calibri"/>
          <w:b/>
          <w:color w:val="191919"/>
          <w:lang w:val="en-US"/>
        </w:rPr>
        <w:t xml:space="preserve"> Hepatitis C treatment in</w:t>
      </w:r>
      <w:r>
        <w:rPr>
          <w:rFonts w:cs="Calibri"/>
          <w:b/>
          <w:color w:val="191919"/>
          <w:lang w:val="en-US"/>
        </w:rPr>
        <w:t xml:space="preserve"> people with multiple injecting </w:t>
      </w:r>
      <w:r w:rsidRPr="003E54FE">
        <w:rPr>
          <w:rFonts w:cs="Calibri"/>
          <w:b/>
          <w:color w:val="191919"/>
          <w:lang w:val="en-US"/>
        </w:rPr>
        <w:t xml:space="preserve">partners </w:t>
      </w:r>
      <w:proofErr w:type="spellStart"/>
      <w:r w:rsidRPr="003E54FE">
        <w:rPr>
          <w:rFonts w:cs="Calibri"/>
          <w:b/>
          <w:color w:val="191919"/>
          <w:lang w:val="en-US"/>
        </w:rPr>
        <w:t>maximises</w:t>
      </w:r>
      <w:proofErr w:type="spellEnd"/>
      <w:r w:rsidRPr="003E54FE">
        <w:rPr>
          <w:rFonts w:cs="Calibri"/>
          <w:b/>
          <w:color w:val="191919"/>
          <w:lang w:val="en-US"/>
        </w:rPr>
        <w:t xml:space="preserve"> prevention:  </w:t>
      </w:r>
      <w:r w:rsidR="00EC357C">
        <w:rPr>
          <w:rFonts w:cs="Calibri"/>
          <w:b/>
          <w:color w:val="191919"/>
          <w:lang w:val="en-US"/>
        </w:rPr>
        <w:t xml:space="preserve">a </w:t>
      </w:r>
      <w:r w:rsidRPr="003E54FE">
        <w:rPr>
          <w:rFonts w:cs="Calibri"/>
          <w:b/>
          <w:color w:val="191919"/>
          <w:lang w:val="en-US"/>
        </w:rPr>
        <w:t>real-world network</w:t>
      </w:r>
      <w:r w:rsidR="00EC357C">
        <w:rPr>
          <w:rFonts w:cs="Calibri"/>
          <w:b/>
          <w:color w:val="191919"/>
          <w:lang w:val="en-US"/>
        </w:rPr>
        <w:t xml:space="preserve"> study</w:t>
      </w:r>
    </w:p>
    <w:p w14:paraId="7D210EF3" w14:textId="77777777" w:rsidR="003C4BC5" w:rsidRPr="003C4BC5" w:rsidRDefault="003C4BC5" w:rsidP="00075571">
      <w:pPr>
        <w:spacing w:before="100" w:beforeAutospacing="1" w:after="100" w:afterAutospacing="1" w:line="480" w:lineRule="auto"/>
        <w:jc w:val="both"/>
        <w:rPr>
          <w:rFonts w:eastAsia="Times New Roman" w:cs="Times New Roman"/>
          <w:lang w:eastAsia="en-GB"/>
        </w:rPr>
      </w:pPr>
    </w:p>
    <w:p w14:paraId="392D4048" w14:textId="7FB71ED9" w:rsidR="008732D9" w:rsidRDefault="00711874" w:rsidP="00757BD9">
      <w:pPr>
        <w:spacing w:line="480" w:lineRule="auto"/>
        <w:rPr>
          <w:b/>
          <w:u w:val="single"/>
        </w:rPr>
      </w:pPr>
      <w:r>
        <w:rPr>
          <w:b/>
          <w:u w:val="single"/>
        </w:rPr>
        <w:t>Abstract</w:t>
      </w:r>
    </w:p>
    <w:p w14:paraId="1807DCBB" w14:textId="77777777" w:rsidR="00711874" w:rsidRDefault="00711874" w:rsidP="00757BD9">
      <w:pPr>
        <w:spacing w:line="480" w:lineRule="auto"/>
        <w:rPr>
          <w:b/>
          <w:u w:val="single"/>
        </w:rPr>
      </w:pPr>
    </w:p>
    <w:p w14:paraId="1B010A79" w14:textId="58466C6B" w:rsidR="00476D4D" w:rsidRDefault="00766A91" w:rsidP="00757BD9">
      <w:pPr>
        <w:spacing w:line="480" w:lineRule="auto"/>
        <w:rPr>
          <w:b/>
        </w:rPr>
      </w:pPr>
      <w:r>
        <w:rPr>
          <w:b/>
        </w:rPr>
        <w:t>Objective</w:t>
      </w:r>
    </w:p>
    <w:p w14:paraId="6C62159F" w14:textId="4816E84D" w:rsidR="000917DB" w:rsidRDefault="00766A91" w:rsidP="00757BD9">
      <w:pPr>
        <w:spacing w:line="480" w:lineRule="auto"/>
        <w:jc w:val="both"/>
        <w:rPr>
          <w:bCs/>
          <w:szCs w:val="22"/>
        </w:rPr>
      </w:pPr>
      <w:r>
        <w:rPr>
          <w:bCs/>
          <w:szCs w:val="22"/>
        </w:rPr>
        <w:t>To</w:t>
      </w:r>
      <w:r w:rsidR="007F22C7" w:rsidRPr="003D5F06">
        <w:rPr>
          <w:bCs/>
          <w:szCs w:val="22"/>
        </w:rPr>
        <w:t xml:space="preserve"> describe </w:t>
      </w:r>
      <w:r w:rsidR="00455FD5">
        <w:rPr>
          <w:bCs/>
          <w:szCs w:val="22"/>
        </w:rPr>
        <w:t>a</w:t>
      </w:r>
      <w:r w:rsidR="002A7569">
        <w:rPr>
          <w:bCs/>
          <w:szCs w:val="22"/>
        </w:rPr>
        <w:t>n</w:t>
      </w:r>
      <w:r w:rsidR="007F22C7" w:rsidRPr="003D5F06">
        <w:rPr>
          <w:bCs/>
          <w:szCs w:val="22"/>
        </w:rPr>
        <w:t xml:space="preserve"> injecting network of PWID living in an isolated community on the Isle of Wight (UK) and the results of </w:t>
      </w:r>
      <w:proofErr w:type="spellStart"/>
      <w:proofErr w:type="gramStart"/>
      <w:r w:rsidR="007F22C7" w:rsidRPr="003D5F06">
        <w:rPr>
          <w:bCs/>
          <w:szCs w:val="22"/>
        </w:rPr>
        <w:t>a</w:t>
      </w:r>
      <w:proofErr w:type="spellEnd"/>
      <w:proofErr w:type="gramEnd"/>
      <w:r w:rsidR="007F22C7" w:rsidRPr="003D5F06">
        <w:rPr>
          <w:bCs/>
          <w:szCs w:val="22"/>
        </w:rPr>
        <w:t xml:space="preserve"> </w:t>
      </w:r>
      <w:r w:rsidR="005A7EA0">
        <w:rPr>
          <w:bCs/>
          <w:szCs w:val="22"/>
        </w:rPr>
        <w:t xml:space="preserve">agent-based </w:t>
      </w:r>
      <w:r w:rsidR="007F22C7" w:rsidRPr="003D5F06">
        <w:rPr>
          <w:bCs/>
          <w:szCs w:val="22"/>
        </w:rPr>
        <w:t>simulation</w:t>
      </w:r>
      <w:r w:rsidR="005A243E">
        <w:rPr>
          <w:bCs/>
          <w:szCs w:val="22"/>
        </w:rPr>
        <w:t>,</w:t>
      </w:r>
      <w:r w:rsidR="007F22C7" w:rsidRPr="003D5F06">
        <w:rPr>
          <w:bCs/>
          <w:szCs w:val="22"/>
        </w:rPr>
        <w:t xml:space="preserve"> testing the effect of </w:t>
      </w:r>
      <w:r>
        <w:rPr>
          <w:bCs/>
          <w:szCs w:val="22"/>
        </w:rPr>
        <w:t xml:space="preserve">Hepatitis C (HCV) </w:t>
      </w:r>
      <w:r w:rsidR="007F22C7">
        <w:rPr>
          <w:bCs/>
          <w:szCs w:val="22"/>
        </w:rPr>
        <w:t xml:space="preserve">treatment </w:t>
      </w:r>
      <w:r>
        <w:rPr>
          <w:bCs/>
          <w:szCs w:val="22"/>
        </w:rPr>
        <w:t>on transmission</w:t>
      </w:r>
      <w:r w:rsidR="005A7EA0">
        <w:rPr>
          <w:bCs/>
          <w:szCs w:val="22"/>
        </w:rPr>
        <w:t>.</w:t>
      </w:r>
    </w:p>
    <w:p w14:paraId="500DDD5C" w14:textId="77777777" w:rsidR="007F22C7" w:rsidRPr="0009239C" w:rsidRDefault="007F22C7" w:rsidP="00757BD9">
      <w:pPr>
        <w:spacing w:line="480" w:lineRule="auto"/>
        <w:jc w:val="both"/>
        <w:rPr>
          <w:bCs/>
          <w:szCs w:val="22"/>
        </w:rPr>
      </w:pPr>
    </w:p>
    <w:p w14:paraId="7DC80CB7" w14:textId="77777777" w:rsidR="000917DB" w:rsidRDefault="000917DB" w:rsidP="00757BD9">
      <w:pPr>
        <w:spacing w:line="480" w:lineRule="auto"/>
        <w:jc w:val="both"/>
        <w:rPr>
          <w:b/>
          <w:bCs/>
          <w:szCs w:val="22"/>
        </w:rPr>
      </w:pPr>
      <w:r w:rsidRPr="0009239C">
        <w:rPr>
          <w:b/>
          <w:bCs/>
          <w:szCs w:val="22"/>
        </w:rPr>
        <w:t>Method</w:t>
      </w:r>
    </w:p>
    <w:p w14:paraId="7E9CB3ED" w14:textId="1D620138" w:rsidR="000917DB" w:rsidRDefault="00766A91" w:rsidP="00757BD9">
      <w:pPr>
        <w:spacing w:line="480" w:lineRule="auto"/>
        <w:jc w:val="both"/>
        <w:rPr>
          <w:bCs/>
          <w:szCs w:val="22"/>
        </w:rPr>
      </w:pPr>
      <w:r>
        <w:t>People who inject drugs (</w:t>
      </w:r>
      <w:r w:rsidR="000917DB">
        <w:rPr>
          <w:bCs/>
          <w:szCs w:val="22"/>
        </w:rPr>
        <w:t>PWID</w:t>
      </w:r>
      <w:r>
        <w:rPr>
          <w:bCs/>
          <w:szCs w:val="22"/>
        </w:rPr>
        <w:t>)</w:t>
      </w:r>
      <w:r w:rsidR="0046793C">
        <w:rPr>
          <w:bCs/>
          <w:szCs w:val="22"/>
        </w:rPr>
        <w:t xml:space="preserve"> were identified via respondent driven sampling and recruited</w:t>
      </w:r>
      <w:r w:rsidR="000917DB">
        <w:rPr>
          <w:bCs/>
          <w:szCs w:val="22"/>
        </w:rPr>
        <w:t xml:space="preserve"> to a network </w:t>
      </w:r>
      <w:r w:rsidR="00242C7A">
        <w:rPr>
          <w:bCs/>
          <w:szCs w:val="22"/>
        </w:rPr>
        <w:t xml:space="preserve">and bio-behavioural </w:t>
      </w:r>
      <w:r w:rsidR="000917DB">
        <w:rPr>
          <w:bCs/>
          <w:szCs w:val="22"/>
        </w:rPr>
        <w:t xml:space="preserve">survey. </w:t>
      </w:r>
      <w:r w:rsidR="00711874">
        <w:rPr>
          <w:bCs/>
          <w:szCs w:val="22"/>
        </w:rPr>
        <w:t>The injecting network they described formed t</w:t>
      </w:r>
      <w:r w:rsidR="00C86346">
        <w:rPr>
          <w:bCs/>
          <w:szCs w:val="22"/>
        </w:rPr>
        <w:t>he baseline population and poten</w:t>
      </w:r>
      <w:r w:rsidR="00711874">
        <w:rPr>
          <w:bCs/>
          <w:szCs w:val="22"/>
        </w:rPr>
        <w:t>tial transmission pathways in an</w:t>
      </w:r>
      <w:r w:rsidR="005A243E">
        <w:rPr>
          <w:bCs/>
          <w:szCs w:val="22"/>
        </w:rPr>
        <w:t xml:space="preserve"> agent-</w:t>
      </w:r>
      <w:r w:rsidR="00711874">
        <w:rPr>
          <w:bCs/>
          <w:szCs w:val="22"/>
        </w:rPr>
        <w:t>based simulation of HCV transmission and the effects of treatment over 12</w:t>
      </w:r>
      <w:r w:rsidR="00B223EF">
        <w:rPr>
          <w:bCs/>
          <w:szCs w:val="22"/>
        </w:rPr>
        <w:t xml:space="preserve"> </w:t>
      </w:r>
      <w:r w:rsidR="00711874">
        <w:rPr>
          <w:bCs/>
          <w:szCs w:val="22"/>
        </w:rPr>
        <w:t>months</w:t>
      </w:r>
      <w:r w:rsidR="00C86346">
        <w:rPr>
          <w:bCs/>
          <w:szCs w:val="22"/>
        </w:rPr>
        <w:t>.</w:t>
      </w:r>
    </w:p>
    <w:p w14:paraId="2AA4983D" w14:textId="77777777" w:rsidR="000917DB" w:rsidRDefault="000917DB" w:rsidP="00757BD9">
      <w:pPr>
        <w:spacing w:line="480" w:lineRule="auto"/>
        <w:jc w:val="both"/>
        <w:rPr>
          <w:bCs/>
          <w:szCs w:val="22"/>
        </w:rPr>
      </w:pPr>
    </w:p>
    <w:p w14:paraId="333FCA81" w14:textId="10F4E89D" w:rsidR="000917DB" w:rsidRPr="003D5F06" w:rsidRDefault="00075571" w:rsidP="00757BD9">
      <w:pPr>
        <w:spacing w:line="480" w:lineRule="auto"/>
        <w:jc w:val="both"/>
        <w:rPr>
          <w:b/>
          <w:bCs/>
          <w:szCs w:val="22"/>
        </w:rPr>
      </w:pPr>
      <w:r>
        <w:rPr>
          <w:b/>
          <w:bCs/>
          <w:szCs w:val="22"/>
        </w:rPr>
        <w:t>Results</w:t>
      </w:r>
    </w:p>
    <w:p w14:paraId="47BBDCDF" w14:textId="48F21261" w:rsidR="000917DB" w:rsidRDefault="000917DB" w:rsidP="00757BD9">
      <w:pPr>
        <w:spacing w:line="480" w:lineRule="auto"/>
        <w:jc w:val="both"/>
        <w:rPr>
          <w:bCs/>
          <w:szCs w:val="22"/>
        </w:rPr>
      </w:pPr>
      <w:r w:rsidRPr="003D5F06">
        <w:rPr>
          <w:bCs/>
          <w:szCs w:val="22"/>
        </w:rPr>
        <w:t>On average each PWID had 2.6 injecting partners</w:t>
      </w:r>
      <w:r w:rsidR="0046793C">
        <w:rPr>
          <w:bCs/>
          <w:szCs w:val="22"/>
        </w:rPr>
        <w:t xml:space="preserve"> (range 0-14)</w:t>
      </w:r>
      <w:r w:rsidR="00242C7A" w:rsidRPr="003D5F06">
        <w:rPr>
          <w:bCs/>
          <w:szCs w:val="22"/>
        </w:rPr>
        <w:t xml:space="preserve"> </w:t>
      </w:r>
      <w:r w:rsidR="0046793C">
        <w:rPr>
          <w:bCs/>
          <w:szCs w:val="22"/>
        </w:rPr>
        <w:t xml:space="preserve">and </w:t>
      </w:r>
      <w:r w:rsidR="003D5F06" w:rsidRPr="003D5F06">
        <w:rPr>
          <w:bCs/>
          <w:szCs w:val="22"/>
        </w:rPr>
        <w:t>137 were connected into a single component</w:t>
      </w:r>
      <w:r w:rsidR="00711874" w:rsidRPr="003D5F06">
        <w:rPr>
          <w:bCs/>
          <w:szCs w:val="22"/>
        </w:rPr>
        <w:t>. HCV in the network was associated with a higher proportion of pos</w:t>
      </w:r>
      <w:r w:rsidR="0046793C">
        <w:rPr>
          <w:bCs/>
          <w:szCs w:val="22"/>
        </w:rPr>
        <w:t>itive injecting partners</w:t>
      </w:r>
      <w:r w:rsidR="00711874" w:rsidRPr="003D5F06">
        <w:rPr>
          <w:bCs/>
          <w:szCs w:val="22"/>
        </w:rPr>
        <w:t xml:space="preserve"> </w:t>
      </w:r>
      <w:r w:rsidR="0046793C">
        <w:rPr>
          <w:bCs/>
          <w:szCs w:val="22"/>
        </w:rPr>
        <w:t>(</w:t>
      </w:r>
      <w:r w:rsidR="00711874" w:rsidRPr="003D5F06">
        <w:rPr>
          <w:bCs/>
          <w:szCs w:val="22"/>
        </w:rPr>
        <w:t>p=0.003</w:t>
      </w:r>
      <w:r w:rsidR="003D5F06" w:rsidRPr="003D5F06">
        <w:rPr>
          <w:bCs/>
          <w:szCs w:val="22"/>
        </w:rPr>
        <w:t xml:space="preserve">) and increasing age </w:t>
      </w:r>
      <w:r w:rsidR="0046793C">
        <w:rPr>
          <w:bCs/>
          <w:szCs w:val="22"/>
        </w:rPr>
        <w:t>(</w:t>
      </w:r>
      <w:r w:rsidR="00711874" w:rsidRPr="003D5F06">
        <w:rPr>
          <w:bCs/>
          <w:szCs w:val="22"/>
        </w:rPr>
        <w:t xml:space="preserve">p=0.011). </w:t>
      </w:r>
      <w:r w:rsidR="00341D7C">
        <w:rPr>
          <w:bCs/>
          <w:szCs w:val="22"/>
        </w:rPr>
        <w:t xml:space="preserve">  The </w:t>
      </w:r>
      <w:r w:rsidRPr="003D5F06">
        <w:rPr>
          <w:bCs/>
          <w:szCs w:val="22"/>
        </w:rPr>
        <w:t>treatment of well-connected PWID led to significantly fewer new infections of HCV t</w:t>
      </w:r>
      <w:r w:rsidR="00766BF3">
        <w:rPr>
          <w:bCs/>
          <w:szCs w:val="22"/>
        </w:rPr>
        <w:t>han treating at random (10 vs. 7</w:t>
      </w:r>
      <w:r w:rsidR="00394176">
        <w:rPr>
          <w:bCs/>
          <w:szCs w:val="22"/>
        </w:rPr>
        <w:t>, p</w:t>
      </w:r>
      <w:r w:rsidRPr="003D5F06">
        <w:rPr>
          <w:bCs/>
          <w:szCs w:val="22"/>
        </w:rPr>
        <w:t>&lt;0.0</w:t>
      </w:r>
      <w:r w:rsidR="00766BF3">
        <w:rPr>
          <w:bCs/>
          <w:szCs w:val="22"/>
        </w:rPr>
        <w:t>0</w:t>
      </w:r>
      <w:r w:rsidRPr="003D5F06">
        <w:rPr>
          <w:bCs/>
          <w:szCs w:val="22"/>
        </w:rPr>
        <w:t>1).  In all scenarios less than one individual was re-infected.</w:t>
      </w:r>
    </w:p>
    <w:p w14:paraId="1BE1F47A" w14:textId="77777777" w:rsidR="00711874" w:rsidRDefault="00711874" w:rsidP="00757BD9">
      <w:pPr>
        <w:spacing w:line="480" w:lineRule="auto"/>
        <w:jc w:val="both"/>
        <w:rPr>
          <w:bCs/>
          <w:szCs w:val="22"/>
        </w:rPr>
      </w:pPr>
    </w:p>
    <w:p w14:paraId="0D1543BC" w14:textId="13107352" w:rsidR="000917DB" w:rsidRDefault="00075571" w:rsidP="00757BD9">
      <w:pPr>
        <w:spacing w:line="480" w:lineRule="auto"/>
        <w:jc w:val="both"/>
        <w:rPr>
          <w:b/>
          <w:bCs/>
          <w:szCs w:val="22"/>
        </w:rPr>
      </w:pPr>
      <w:r>
        <w:rPr>
          <w:b/>
          <w:bCs/>
          <w:szCs w:val="22"/>
        </w:rPr>
        <w:t>Conclusion</w:t>
      </w:r>
    </w:p>
    <w:p w14:paraId="3C5758DE" w14:textId="2FFB301C" w:rsidR="00D92CBD" w:rsidRDefault="002A7569" w:rsidP="00757BD9">
      <w:pPr>
        <w:spacing w:line="480" w:lineRule="auto"/>
        <w:jc w:val="both"/>
        <w:rPr>
          <w:bCs/>
          <w:szCs w:val="22"/>
        </w:rPr>
      </w:pPr>
      <w:r w:rsidRPr="002A7569">
        <w:rPr>
          <w:bCs/>
          <w:szCs w:val="22"/>
        </w:rPr>
        <w:t xml:space="preserve">In our model the preferential treatment of well-connected PWID maximised </w:t>
      </w:r>
      <w:r w:rsidR="00766A91">
        <w:rPr>
          <w:bCs/>
          <w:szCs w:val="22"/>
        </w:rPr>
        <w:t>treatment as prevention</w:t>
      </w:r>
      <w:r w:rsidRPr="002A7569">
        <w:rPr>
          <w:bCs/>
          <w:szCs w:val="22"/>
        </w:rPr>
        <w:t>. In the real-world setting</w:t>
      </w:r>
      <w:r>
        <w:rPr>
          <w:bCs/>
          <w:szCs w:val="22"/>
        </w:rPr>
        <w:t>, targeting</w:t>
      </w:r>
      <w:r w:rsidRPr="002A7569">
        <w:rPr>
          <w:bCs/>
          <w:szCs w:val="22"/>
        </w:rPr>
        <w:t xml:space="preserve"> treatment to actively injecting PWID</w:t>
      </w:r>
      <w:r>
        <w:rPr>
          <w:bCs/>
          <w:szCs w:val="22"/>
        </w:rPr>
        <w:t>,</w:t>
      </w:r>
      <w:r w:rsidRPr="002A7569">
        <w:rPr>
          <w:bCs/>
          <w:szCs w:val="22"/>
        </w:rPr>
        <w:t xml:space="preserve"> with multiple injecting partners</w:t>
      </w:r>
      <w:r w:rsidR="001408D0">
        <w:rPr>
          <w:bCs/>
          <w:szCs w:val="22"/>
        </w:rPr>
        <w:t xml:space="preserve"> may therefore represent the most</w:t>
      </w:r>
      <w:r w:rsidRPr="002A7569">
        <w:rPr>
          <w:bCs/>
          <w:szCs w:val="22"/>
        </w:rPr>
        <w:t xml:space="preserve"> efficient elimination strategy for HCV.</w:t>
      </w:r>
    </w:p>
    <w:p w14:paraId="19E387D1" w14:textId="77777777" w:rsidR="002A7569" w:rsidRDefault="002A7569" w:rsidP="00757BD9">
      <w:pPr>
        <w:spacing w:line="480" w:lineRule="auto"/>
        <w:jc w:val="both"/>
        <w:rPr>
          <w:bCs/>
          <w:szCs w:val="22"/>
        </w:rPr>
      </w:pPr>
    </w:p>
    <w:p w14:paraId="28C0659E" w14:textId="17D5537B" w:rsidR="00D92CBD" w:rsidRPr="00013888" w:rsidRDefault="00013888" w:rsidP="00757BD9">
      <w:pPr>
        <w:spacing w:line="480" w:lineRule="auto"/>
        <w:rPr>
          <w:b/>
        </w:rPr>
      </w:pPr>
      <w:r w:rsidRPr="00013888">
        <w:rPr>
          <w:b/>
        </w:rPr>
        <w:t>Key words</w:t>
      </w:r>
    </w:p>
    <w:p w14:paraId="69AFF569" w14:textId="06D8B0DD" w:rsidR="00EF5DE5" w:rsidRDefault="00013888" w:rsidP="00EF5DE5">
      <w:pPr>
        <w:spacing w:line="480" w:lineRule="auto"/>
      </w:pPr>
      <w:r w:rsidRPr="00013888">
        <w:t>Hepatitis C; Injecting network; Drug users; Disease transmission, infectious; Computer simulation; Directly acting antivirals</w:t>
      </w:r>
    </w:p>
    <w:p w14:paraId="4205CCC7" w14:textId="77777777" w:rsidR="00DC02A3" w:rsidRPr="00DC02A3" w:rsidRDefault="00DC02A3" w:rsidP="00EF5DE5">
      <w:pPr>
        <w:spacing w:line="480" w:lineRule="auto"/>
      </w:pPr>
    </w:p>
    <w:p w14:paraId="465F6EBF" w14:textId="56286556" w:rsidR="000D27F6" w:rsidRDefault="000D27F6" w:rsidP="00442EDE">
      <w:pPr>
        <w:spacing w:line="480" w:lineRule="auto"/>
        <w:rPr>
          <w:rFonts w:cs="Times"/>
          <w:b/>
          <w:color w:val="151617"/>
          <w:lang w:val="en-US"/>
        </w:rPr>
      </w:pPr>
      <w:r>
        <w:rPr>
          <w:rFonts w:cs="Times"/>
          <w:b/>
          <w:color w:val="151617"/>
          <w:lang w:val="en-US"/>
        </w:rPr>
        <w:t>Funding</w:t>
      </w:r>
    </w:p>
    <w:p w14:paraId="1AE4ACFC" w14:textId="5C356A37" w:rsidR="00442EDE" w:rsidRDefault="000D27F6" w:rsidP="00442EDE">
      <w:pPr>
        <w:spacing w:line="480" w:lineRule="auto"/>
      </w:pPr>
      <w:r>
        <w:t>This study was conducted with</w:t>
      </w:r>
      <w:r w:rsidR="00442EDE" w:rsidRPr="00BB4CDA">
        <w:t xml:space="preserve"> support from a </w:t>
      </w:r>
      <w:r w:rsidR="00442EDE" w:rsidRPr="00BB4CDA">
        <w:rPr>
          <w:rFonts w:ascii="Times" w:hAnsi="Times" w:cs="Times"/>
          <w:lang w:val="en-US"/>
        </w:rPr>
        <w:t>National Institute for Health Research (</w:t>
      </w:r>
      <w:r w:rsidR="00442EDE" w:rsidRPr="00BB4CDA">
        <w:t xml:space="preserve">NIHR) PhD fellowship and a GILEAD </w:t>
      </w:r>
      <w:r w:rsidR="00442EDE">
        <w:t xml:space="preserve">research </w:t>
      </w:r>
      <w:r w:rsidR="00442EDE" w:rsidRPr="00BB4CDA">
        <w:t>fellowship award</w:t>
      </w:r>
      <w:r>
        <w:t>.</w:t>
      </w:r>
    </w:p>
    <w:p w14:paraId="08389F25" w14:textId="77777777" w:rsidR="00DC02A3" w:rsidRPr="00BB4CDA" w:rsidRDefault="00DC02A3" w:rsidP="00442EDE">
      <w:pPr>
        <w:spacing w:line="480" w:lineRule="auto"/>
      </w:pPr>
    </w:p>
    <w:p w14:paraId="738DB47F" w14:textId="77777777" w:rsidR="00DC02A3" w:rsidRPr="003C4BC5" w:rsidRDefault="00DC02A3" w:rsidP="00DC02A3">
      <w:pPr>
        <w:spacing w:line="480" w:lineRule="auto"/>
        <w:rPr>
          <w:rFonts w:cs="Times"/>
          <w:b/>
          <w:color w:val="151617"/>
          <w:lang w:val="en-US"/>
        </w:rPr>
      </w:pPr>
      <w:r>
        <w:rPr>
          <w:rFonts w:cs="Times"/>
          <w:b/>
          <w:color w:val="151617"/>
          <w:lang w:val="en-US"/>
        </w:rPr>
        <w:t>Competing</w:t>
      </w:r>
      <w:r w:rsidRPr="003C4BC5">
        <w:rPr>
          <w:rFonts w:cs="Times"/>
          <w:b/>
          <w:color w:val="151617"/>
          <w:lang w:val="en-US"/>
        </w:rPr>
        <w:t xml:space="preserve"> interests</w:t>
      </w:r>
    </w:p>
    <w:p w14:paraId="1E5273E9" w14:textId="77777777" w:rsidR="00DC02A3" w:rsidRPr="003C4BC5" w:rsidRDefault="00DC02A3" w:rsidP="00DC02A3">
      <w:pPr>
        <w:spacing w:line="480" w:lineRule="auto"/>
        <w:rPr>
          <w:rFonts w:cs="Times"/>
          <w:color w:val="151617"/>
          <w:lang w:val="en-US"/>
        </w:rPr>
      </w:pPr>
      <w:r w:rsidRPr="003C4BC5">
        <w:rPr>
          <w:rFonts w:cs="Times"/>
          <w:color w:val="151617"/>
          <w:lang w:val="en-US"/>
        </w:rPr>
        <w:t>RB has received travel grants and a consultancy fee from GILEAD</w:t>
      </w:r>
      <w:r>
        <w:rPr>
          <w:rFonts w:cs="Times"/>
          <w:color w:val="151617"/>
          <w:lang w:val="en-US"/>
        </w:rPr>
        <w:t xml:space="preserve"> Ltd</w:t>
      </w:r>
      <w:r w:rsidRPr="003C4BC5">
        <w:rPr>
          <w:rFonts w:cs="Times"/>
          <w:color w:val="151617"/>
          <w:lang w:val="en-US"/>
        </w:rPr>
        <w:t xml:space="preserve">. LG, JP, </w:t>
      </w:r>
      <w:proofErr w:type="spellStart"/>
      <w:r w:rsidRPr="003C4BC5">
        <w:rPr>
          <w:rFonts w:cs="Times"/>
          <w:color w:val="151617"/>
          <w:lang w:val="en-US"/>
        </w:rPr>
        <w:t>PvdH</w:t>
      </w:r>
      <w:proofErr w:type="spellEnd"/>
      <w:r w:rsidRPr="003C4BC5">
        <w:rPr>
          <w:rFonts w:cs="Times"/>
          <w:color w:val="151617"/>
          <w:lang w:val="en-US"/>
        </w:rPr>
        <w:t xml:space="preserve"> and SIK have no conflicts of interest with this study. </w:t>
      </w:r>
    </w:p>
    <w:p w14:paraId="1EC0106F" w14:textId="77777777" w:rsidR="00442EDE" w:rsidRDefault="00442EDE" w:rsidP="00EF5DE5">
      <w:pPr>
        <w:spacing w:line="480" w:lineRule="auto"/>
        <w:rPr>
          <w:rFonts w:ascii="Times" w:hAnsi="Times" w:cs="Times"/>
          <w:color w:val="151617"/>
          <w:sz w:val="28"/>
          <w:szCs w:val="28"/>
          <w:lang w:val="en-US"/>
        </w:rPr>
      </w:pPr>
    </w:p>
    <w:p w14:paraId="1CC92DA3" w14:textId="79BF1EE0" w:rsidR="008836E6" w:rsidRDefault="008836E6" w:rsidP="00757BD9">
      <w:pPr>
        <w:spacing w:line="480" w:lineRule="auto"/>
        <w:rPr>
          <w:b/>
          <w:u w:val="single"/>
        </w:rPr>
      </w:pPr>
      <w:r>
        <w:rPr>
          <w:b/>
          <w:u w:val="single"/>
        </w:rPr>
        <w:br w:type="page"/>
      </w:r>
    </w:p>
    <w:p w14:paraId="688C3F7F" w14:textId="635A5DB1" w:rsidR="00D95814" w:rsidRDefault="00D95814" w:rsidP="00757BD9">
      <w:pPr>
        <w:spacing w:line="480" w:lineRule="auto"/>
        <w:rPr>
          <w:b/>
          <w:u w:val="single"/>
        </w:rPr>
      </w:pPr>
      <w:r>
        <w:rPr>
          <w:b/>
          <w:u w:val="single"/>
        </w:rPr>
        <w:lastRenderedPageBreak/>
        <w:t>Background</w:t>
      </w:r>
    </w:p>
    <w:p w14:paraId="47EE4374" w14:textId="77777777" w:rsidR="00480BD0" w:rsidRDefault="00480BD0" w:rsidP="00757BD9">
      <w:pPr>
        <w:spacing w:line="480" w:lineRule="auto"/>
        <w:rPr>
          <w:b/>
          <w:u w:val="single"/>
        </w:rPr>
      </w:pPr>
    </w:p>
    <w:p w14:paraId="0763BA14" w14:textId="54020BC4" w:rsidR="00B67496" w:rsidRDefault="00B67496" w:rsidP="00757BD9">
      <w:pPr>
        <w:spacing w:line="480" w:lineRule="auto"/>
        <w:jc w:val="both"/>
        <w:rPr>
          <w:rStyle w:val="eop"/>
          <w:rFonts w:cstheme="minorHAnsi"/>
        </w:rPr>
      </w:pPr>
      <w:r>
        <w:rPr>
          <w:szCs w:val="22"/>
        </w:rPr>
        <w:t xml:space="preserve">In recent years </w:t>
      </w:r>
      <w:r>
        <w:rPr>
          <w:rFonts w:eastAsia="Arial Unicode MS" w:cs="Arial"/>
          <w:color w:val="000000" w:themeColor="text1"/>
        </w:rPr>
        <w:t>treatment for Hepatitis C (HCV) has changed from interferon and ribavirin</w:t>
      </w:r>
      <w:r>
        <w:rPr>
          <w:rFonts w:eastAsia="Arial Unicode MS" w:cstheme="minorHAnsi"/>
          <w:color w:val="000000" w:themeColor="text1"/>
        </w:rPr>
        <w:t xml:space="preserve"> based regimes to directly acting antivirals (DAAs). DAAs lead to an effective cure (known as a sustained </w:t>
      </w:r>
      <w:proofErr w:type="spellStart"/>
      <w:r>
        <w:rPr>
          <w:rFonts w:eastAsia="Arial Unicode MS" w:cstheme="minorHAnsi"/>
          <w:color w:val="000000" w:themeColor="text1"/>
        </w:rPr>
        <w:t>virological</w:t>
      </w:r>
      <w:proofErr w:type="spellEnd"/>
      <w:r>
        <w:rPr>
          <w:rFonts w:eastAsia="Arial Unicode MS" w:cstheme="minorHAnsi"/>
          <w:color w:val="000000" w:themeColor="text1"/>
        </w:rPr>
        <w:t xml:space="preserve"> response (SVR)) in over 90% of cases and they have few side effects or contraindications.</w:t>
      </w:r>
      <w:r>
        <w:rPr>
          <w:rStyle w:val="eop"/>
          <w:rFonts w:cstheme="minorHAnsi"/>
        </w:rPr>
        <w:fldChar w:fldCharType="begin" w:fldLock="1"/>
      </w:r>
      <w:r w:rsidR="00434A69">
        <w:rPr>
          <w:rStyle w:val="eop"/>
          <w:rFonts w:cstheme="minorHAnsi"/>
        </w:rPr>
        <w:instrText>ADDIN CSL_CITATION { "citationItems" : [ { "id" : "ITEM-1", "itemData" : { "DOI" : "10.1056/NEJMoa1512612", "ISSN" : "0028-4793", "abstract" : "BackgroundIn phase 2 trials, treatment with the combination of the nucleotide polymerase inhibitor sofosbuvir and the NS5A inhibitor velpatasvir resulted in high rates of sustained virologic response in patients chronically infected with hepatitis C virus (HCV) genotype 2 or 3. MethodsWe conducted two randomized, phase 3, open-label studies involving patients who had received previous treatment for HCV genotype 2 or 3 and those who had not received such treatment, including patients with compensated cirrhosis. In one trial, patients with HCV genotype 2 were randomly assigned in a 1:1 ratio to receive sofosbuvir\u2013velpatasvir, in a once-daily, fixed-dose combination tablet (134 patients), or sofosbuvir plus weight-based ribavirin (132 patients) for 12 weeks. In a second trial, patients with HCV genotype 3 were randomly assigned in a 1:1 ratio to receive sofosbuvir\u2013velpatasvir for 12 weeks (277 patients) or sofosbuvir\u2013ribavirin for 24 weeks (275 patients). The primary end point for the two trials was a sustai...", "author" : [ { "dropping-particle" : "", "family" : "Foster", "given" : "Graham R.", "non-dropping-particle" : "", "parse-names" : false, "suffix" : "" }, { "dropping-particle" : "", "family" : "Afdhal", "given" : "Nezam", "non-dropping-particle" : "", "parse-names" : false, "suffix" : "" }, { "dropping-particle" : "", "family" : "Roberts", "given" : "Stuart K.", "non-dropping-particle" : "", "parse-names" : false, "suffix" : "" }, { "dropping-particle" : "", "family" : "Br\u00e4u", "given" : "Norbert", "non-dropping-particle" : "", "parse-names" : false, "suffix" : "" }, { "dropping-particle" : "", "family" : "Gane", "given" : "Edward J.", "non-dropping-particle" : "", "parse-names" : false, "suffix" : "" }, { "dropping-particle" : "", "family" : "Pianko", "given" : "Stephen", "non-dropping-particle" : "", "parse-names" : false, "suffix" : "" }, { "dropping-particle" : "", "family" : "Lawitz", "given" : "Eric", "non-dropping-particle" : "", "parse-names" : false, "suffix" : "" }, { "dropping-particle" : "", "family" : "Thompson", "given" : "Alex", "non-dropping-particle" : "", "parse-names" : false, "suffix" : "" }, { "dropping-particle" : "", "family" : "Shiffman", "given" : "Mitchell L.", "non-dropping-particle" : "", "parse-names" : false, "suffix" : "" }, { "dropping-particle" : "", "family" : "Cooper", "given" : "Curtis", "non-dropping-particle" : "", "parse-names" : false, "suffix" : "" }, { "dropping-particle" : "", "family" : "Towner", "given" : "William J.", "non-dropping-particle" : "", "parse-names" : false, "suffix" : "" }, { "dropping-particle" : "", "family" : "Conway", "given" : "Brian", "non-dropping-particle" : "", "parse-names" : false, "suffix" : "" }, { "dropping-particle" : "", "family" : "Ruane", "given" : "Peter", "non-dropping-particle" : "", "parse-names" : false, "suffix" : "" }, { "dropping-particle" : "", "family" : "Bourli\u00e8re", "given" : "Marc", "non-dropping-particle" : "", "parse-names" : false, "suffix" : "" }, { "dropping-particle" : "", "family" : "Asselah", "given" : "Tarik", "non-dropping-particle" : "", "parse-names" : false, "suffix" : "" }, { "dropping-particle" : "", "family" : "Berg", "given" : "Thomas", "non-dropping-particle" : "", "parse-names" : false, "suffix" : "" }, { "dropping-particle" : "", "family" : "Zeuzem", "given" : "Stefan", "non-dropping-particle" : "", "parse-names" : false, "suffix" : "" }, { "dropping-particle" : "", "family" : "Rosenberg", "given" : "William", "non-dropping-particle" : "", "parse-names" : false, "suffix" : "" }, { "dropping-particle" : "", "family" : "Agarwal", "given" : "Kosh", "non-dropping-particle" : "", "parse-names" : false, "suffix" : "" }, { "dropping-particle" : "", "family" : "Stedman", "given" : "Catherine A.M.", "non-dropping-particle" : "", "parse-names" : false, "suffix" : "" }, { "dropping-particle" : "", "family" : "Mo", "given" : "Hongmei", "non-dropping-particle" : "", "parse-names" : false, "suffix" : "" }, { "dropping-particle" : "", "family" : "Dvory-Sobol", "given" : "Hadas", "non-dropping-particle" : "", "parse-names" : false, "suffix" : "" }, { "dropping-particle" : "", "family" : "Han", "given" : "Lingling", "non-dropping-particle" : "", "parse-names" : false, "suffix" : "" }, { "dropping-particle" : "", "family" : "Wang", "given" : "Jing", "non-dropping-particle" : "", "parse-names" : false, "suffix" : "" }, { "dropping-particle" : "", "family" : "McNally", "given" : "John", "non-dropping-particle" : "", "parse-names" : false, "suffix" : "" }, { "dropping-particle" : "", "family" : "Osinusi", "given" : "Anu", "non-dropping-particle" : "", "parse-names" : false, "suffix" : "" }, { "dropping-particle" : "", "family" : "Brainard", "given" : "Diana M.", "non-dropping-particle" : "", "parse-names" : false, "suffix" : "" }, { "dropping-particle" : "", "family" : "McHutchison", "given" : "John G.", "non-dropping-particle" : "", "parse-names" : false, "suffix" : "" }, { "dropping-particle" : "", "family" : "Mazzotta", "given" : "Francesco", "non-dropping-particle" : "", "parse-names" : false, "suffix" : "" }, { "dropping-particle" : "", "family" : "Tran", "given" : "Tram T.", "non-dropping-particle" : "", "parse-names" : false, "suffix" : "" }, { "dropping-particle" : "", "family" : "Gordon", "given" : "Stuart C.", "non-dropping-particle" : "", "parse-names" : false, "suffix" : "" }, { "dropping-particle" : "", "family" : "Patel", "given" : "Keyur", "non-dropping-particle" : "", "parse-names" : false, "suffix" : "" }, { "dropping-particle" : "", "family" : "Reau", "given" : "Nancy", "non-dropping-particle" : "", "parse-names" : false, "suffix" : "" }, { "dropping-particle" : "", "family" : "Mangia", "given" : "Alessandra", "non-dropping-particle" : "", "parse-names" : false, "suffix" : "" }, { "dropping-particle" : "", "family" : "Sulkowski", "given" : "Mark", "non-dropping-particle" : "", "parse-names" : false, "suffix" : "" } ], "container-title" : "New England Journal of Medicine", "id" : "ITEM-1", "issue" : "27", "issued" : { "date-parts" : [ [ "2015", "12", "31" ] ] }, "page" : "2608-2617", "publisher" : "Massachusetts Medical Society", "title" : "Sofosbuvir and Velpatasvir for HCV Genotype 2 and 3 Infection", "type" : "article-journal", "volume" : "373" }, "uris" : [ "http://www.mendeley.com/documents/?uuid=6848514e-4ed0-3b9f-9b75-c3bae575fbe0" ] } ], "mendeley" : { "formattedCitation" : "&lt;sup&gt;1&lt;/sup&gt;", "plainTextFormattedCitation" : "1", "previouslyFormattedCitation" : "&lt;sup&gt;1&lt;/sup&gt;" }, "properties" : { "noteIndex" : 0 }, "schema" : "https://github.com/citation-style-language/schema/raw/master/csl-citation.json" }</w:instrText>
      </w:r>
      <w:r>
        <w:rPr>
          <w:rStyle w:val="eop"/>
          <w:rFonts w:cstheme="minorHAnsi"/>
        </w:rPr>
        <w:fldChar w:fldCharType="separate"/>
      </w:r>
      <w:r w:rsidR="005912F9" w:rsidRPr="005912F9">
        <w:rPr>
          <w:rStyle w:val="eop"/>
          <w:rFonts w:cstheme="minorHAnsi"/>
          <w:noProof/>
          <w:vertAlign w:val="superscript"/>
        </w:rPr>
        <w:t>1</w:t>
      </w:r>
      <w:r>
        <w:rPr>
          <w:rStyle w:val="eop"/>
          <w:rFonts w:cstheme="minorHAnsi"/>
        </w:rPr>
        <w:fldChar w:fldCharType="end"/>
      </w:r>
      <w:r>
        <w:rPr>
          <w:rStyle w:val="eop"/>
          <w:rFonts w:cstheme="minorHAnsi"/>
        </w:rPr>
        <w:t xml:space="preserve"> </w:t>
      </w:r>
      <w:r w:rsidR="00483F63">
        <w:rPr>
          <w:rStyle w:val="eop"/>
          <w:rFonts w:cstheme="minorHAnsi"/>
        </w:rPr>
        <w:t>However this requires novel</w:t>
      </w:r>
      <w:r w:rsidR="005A243E">
        <w:rPr>
          <w:rStyle w:val="eop"/>
          <w:rFonts w:cstheme="minorHAnsi"/>
        </w:rPr>
        <w:t>,</w:t>
      </w:r>
      <w:r w:rsidR="00483F63">
        <w:rPr>
          <w:rStyle w:val="eop"/>
          <w:rFonts w:cstheme="minorHAnsi"/>
        </w:rPr>
        <w:t xml:space="preserve"> effective and efficient treatment strategies that target the infected populatio</w:t>
      </w:r>
      <w:r w:rsidR="005A243E">
        <w:rPr>
          <w:rStyle w:val="eop"/>
          <w:rFonts w:cstheme="minorHAnsi"/>
        </w:rPr>
        <w:t>n</w:t>
      </w:r>
      <w:r w:rsidR="00483F63">
        <w:rPr>
          <w:rStyle w:val="eop"/>
          <w:rFonts w:cstheme="minorHAnsi"/>
        </w:rPr>
        <w:t>.</w:t>
      </w:r>
      <w:r w:rsidR="00483F63">
        <w:rPr>
          <w:rStyle w:val="eop"/>
          <w:rFonts w:cstheme="minorHAnsi"/>
        </w:rPr>
        <w:fldChar w:fldCharType="begin" w:fldLock="1"/>
      </w:r>
      <w:r w:rsidR="00483F63">
        <w:rPr>
          <w:rStyle w:val="eop"/>
          <w:rFonts w:cstheme="minorHAnsi"/>
        </w:rPr>
        <w:instrText>ADDIN CSL_CITATION { "citationItems" : [ { "id" : "ITEM-1", "itemData" : { "URL" : "http://www.who.int/hepatitis/publications/hep-elimination-by-2030-brief/en/", "accessed" : { "date-parts" : [ [ "2016", "11", "7" ] ] }, "id" : "ITEM-1", "issued" : { "date-parts" : [ [ "2017" ] ] }, "title" : "Combating hepatitis B and C to reach elimination by 2030", "type" : "webpage" }, "uris" : [ "http://www.mendeley.com/documents/?uuid=fb5049a6-a33e-4bd7-a66b-3c9aea635ee4" ] } ], "mendeley" : { "formattedCitation" : "&lt;sup&gt;2&lt;/sup&gt;", "plainTextFormattedCitation" : "2", "previouslyFormattedCitation" : "&lt;sup&gt;2&lt;/sup&gt;" }, "properties" : { "noteIndex" : 3 }, "schema" : "https://github.com/citation-style-language/schema/raw/master/csl-citation.json" }</w:instrText>
      </w:r>
      <w:r w:rsidR="00483F63">
        <w:rPr>
          <w:rStyle w:val="eop"/>
          <w:rFonts w:cstheme="minorHAnsi"/>
        </w:rPr>
        <w:fldChar w:fldCharType="separate"/>
      </w:r>
      <w:r w:rsidR="00483F63" w:rsidRPr="00053BBA">
        <w:rPr>
          <w:rStyle w:val="eop"/>
          <w:rFonts w:cstheme="minorHAnsi"/>
          <w:noProof/>
          <w:vertAlign w:val="superscript"/>
        </w:rPr>
        <w:t>2</w:t>
      </w:r>
      <w:r w:rsidR="00483F63">
        <w:rPr>
          <w:rStyle w:val="eop"/>
          <w:rFonts w:cstheme="minorHAnsi"/>
        </w:rPr>
        <w:fldChar w:fldCharType="end"/>
      </w:r>
    </w:p>
    <w:p w14:paraId="5A7ABEC3" w14:textId="77777777" w:rsidR="00932AC5" w:rsidRDefault="00932AC5" w:rsidP="00757BD9">
      <w:pPr>
        <w:spacing w:line="480" w:lineRule="auto"/>
        <w:jc w:val="both"/>
        <w:rPr>
          <w:rFonts w:eastAsia="Arial Unicode MS" w:cs="Arial"/>
          <w:color w:val="000000" w:themeColor="text1"/>
        </w:rPr>
      </w:pPr>
    </w:p>
    <w:p w14:paraId="273FB2BA" w14:textId="43C989CE" w:rsidR="00635C00" w:rsidRPr="00932AC5" w:rsidRDefault="0079348D" w:rsidP="00757BD9">
      <w:pPr>
        <w:spacing w:line="480" w:lineRule="auto"/>
        <w:jc w:val="both"/>
        <w:rPr>
          <w:rFonts w:cstheme="minorHAnsi"/>
        </w:rPr>
      </w:pPr>
      <w:r>
        <w:rPr>
          <w:rFonts w:eastAsia="Arial Unicode MS" w:cs="Arial"/>
          <w:color w:val="000000" w:themeColor="text1"/>
        </w:rPr>
        <w:t>Injecting drug use is the major contributor to the</w:t>
      </w:r>
      <w:r w:rsidR="00053BBA">
        <w:rPr>
          <w:rFonts w:eastAsia="Arial Unicode MS" w:cs="Arial"/>
          <w:color w:val="000000" w:themeColor="text1"/>
        </w:rPr>
        <w:t xml:space="preserve"> disease burden of HCV</w:t>
      </w:r>
      <w:r>
        <w:rPr>
          <w:rFonts w:eastAsia="Arial Unicode MS" w:cs="Arial"/>
          <w:color w:val="000000" w:themeColor="text1"/>
        </w:rPr>
        <w:t xml:space="preserve"> in high income countries</w:t>
      </w:r>
      <w:r w:rsidR="000E52E4">
        <w:rPr>
          <w:rFonts w:eastAsia="Arial Unicode MS" w:cs="Arial"/>
          <w:color w:val="000000" w:themeColor="text1"/>
        </w:rPr>
        <w:t xml:space="preserve"> and accounts for the</w:t>
      </w:r>
      <w:r w:rsidR="006F643D">
        <w:rPr>
          <w:rFonts w:eastAsia="Arial Unicode MS" w:cs="Arial"/>
          <w:color w:val="000000" w:themeColor="text1"/>
        </w:rPr>
        <w:t xml:space="preserve"> majority of incident infection</w:t>
      </w:r>
      <w:r>
        <w:rPr>
          <w:rFonts w:eastAsia="Arial Unicode MS" w:cs="Arial"/>
          <w:color w:val="000000" w:themeColor="text1"/>
        </w:rPr>
        <w:t>.</w:t>
      </w:r>
      <w:r w:rsidR="006F643D">
        <w:rPr>
          <w:rFonts w:eastAsia="Arial Unicode MS" w:cs="Arial"/>
          <w:color w:val="000000" w:themeColor="text1"/>
        </w:rPr>
        <w:fldChar w:fldCharType="begin" w:fldLock="1"/>
      </w:r>
      <w:r w:rsidR="00053BBA">
        <w:rPr>
          <w:rFonts w:eastAsia="Arial Unicode MS" w:cs="Arial"/>
          <w:color w:val="000000" w:themeColor="text1"/>
        </w:rPr>
        <w:instrText>ADDIN CSL_CITATION { "citationItems" : [ { "id" : "ITEM-1", "itemData" : { "DOI" : "10.1016/S1473-3099(16)30325-5", "ISSN" : "1473-3099", "abstract" : "BACKGROUND\nPrevious estimates of the burden of HIV, hepatitis B virus (HBV), and hepatitis C virus (HCV) among people who inject drugs have not included estimates of the burden attributable to the consequences of past injecting. We aimed to provide these estimates as part of the Global Burden of Disease (GBD) Study 2013. \n\nMETHODS\nWe modelled the burden of HBV and HCV (including cirrhosis and liver cancer burden) and HIV at the country, regional, and global level. We extracted United Nations data on the proportion of notified HIV cases by transmission route, and estimated the contribution of injecting drug use (IDU) to HBV and HCV disease burden by use of a cohort method that recalibrated individuals' history of IDU, and accumulated risk of HBV and HCV due to IDU. We estimated data on current IDU from a meta-analysis of HBV and HCV incidence among injecting drug users and country-level data on the incidence of HBV and HCV between 1990 and 2013. We calculated estimates of burden of disease through years of life lost (YLL), years of life lived with disability (YLD), deaths, and disability-adjusted life-years (DALYs), with 95% uncertainty intervals (UIs) calculated for each metric. \n\nFINDINGS\nIn 2013, an estimated 10\u00b708 million DALYs were attributable to previous exposure to HIV, HBV, and HCV via IDU, a four-times increase since 1990. In total in 2013, IDU was estimated to cause 4\u00b70% (2\u00b782 million DALYs, 95% UI 2\u00b74 million to 3\u00b78 million) of DALYs due to HIV, 1\u00b71% (216\u2008000, 101\u2008000\u2013338\u2008000) of DALYs due to HBV, and 39\u00b71% (7\u00b705 million, 5\u00b788 million to 8\u00b715 million) of DALYs due to HCV. IDU-attributable HIV burden was highest in low-to-middle-income countries, and IDU-attributable HCV burden was highest in high-income countries. \n\nINTERPRETATION\nIDU is a major contributor to the global burden of disease. Effective interventions to prevent and treat these important causes of health burden need to be scaled up. \n\nFUNDING\nBill &amp; Melinda Gates Foundation and Australian National Health and Medical Research Council.", "author" : [ { "dropping-particle" : "", "family" : "Degenhardt", "given" : "Louisa", "non-dropping-particle" : "", "parse-names" : false, "suffix" : "" }, { "dropping-particle" : "", "family" : "Charlson", "given" : "Fiona", "non-dropping-particle" : "", "parse-names" : false, "suffix" : "" }, { "dropping-particle" : "", "family" : "Stanaway", "given" : "Jeff", "non-dropping-particle" : "", "parse-names" : false, "suffix" : "" }, { "dropping-particle" : "", "family" : "Larney", "given" : "Sarah", "non-dropping-particle" : "", "parse-names" : false, "suffix" : "" }, { "dropping-particle" : "", "family" : "Alexander", "given" : "Lily T", "non-dropping-particle" : "", "parse-names" : false, "suffix" : "" }, { "dropping-particle" : "", "family" : "Hickman", "given" : "Matthew", "non-dropping-particle" : "", "parse-names" : false, "suffix" : "" }, { "dropping-particle" : "", "family" : "Cowie", "given" : "Benjamin", "non-dropping-particle" : "", "parse-names" : false, "suffix" : "" }, { "dropping-particle" : "", "family" : "Hall", "given" : "Wayne D", "non-dropping-particle" : "", "parse-names" : false, "suffix" : "" }, { "dropping-particle" : "", "family" : "Strang", "given" : "John", "non-dropping-particle" : "", "parse-names" : false, "suffix" : "" }, { "dropping-particle" : "", "family" : "Whiteford", "given" : "Harvey", "non-dropping-particle" : "", "parse-names" : false, "suffix" : "" }, { "dropping-particle" : "", "family" : "Vos", "given" : "Theo", "non-dropping-particle" : "", "parse-names" : false, "suffix" : "" } ], "container-title" : "The Lancet Infectious Diseases", "id" : "ITEM-1", "issue" : "12", "issued" : { "date-parts" : [ [ "2016", "12", "1" ] ] }, "page" : "1385-1398", "publisher" : "Elsevier", "title" : "Estimating the burden of disease attributable to injecting drug use as a risk factor for HIV, hepatitis C, and hepatitis B: findings from the Global Burden of Disease Study 2013", "type" : "article-journal", "volume" : "16" }, "uris" : [ "http://www.mendeley.com/documents/?uuid=055da08f-2ee1-3512-981d-23cecd82288a" ] } ], "mendeley" : { "formattedCitation" : "&lt;sup&gt;3&lt;/sup&gt;", "plainTextFormattedCitation" : "3", "previouslyFormattedCitation" : "&lt;sup&gt;3&lt;/sup&gt;" }, "properties" : { "noteIndex" : 5 }, "schema" : "https://github.com/citation-style-language/schema/raw/master/csl-citation.json" }</w:instrText>
      </w:r>
      <w:r w:rsidR="006F643D">
        <w:rPr>
          <w:rFonts w:eastAsia="Arial Unicode MS" w:cs="Arial"/>
          <w:color w:val="000000" w:themeColor="text1"/>
        </w:rPr>
        <w:fldChar w:fldCharType="separate"/>
      </w:r>
      <w:r w:rsidR="00053BBA" w:rsidRPr="00053BBA">
        <w:rPr>
          <w:rFonts w:eastAsia="Arial Unicode MS" w:cs="Arial"/>
          <w:noProof/>
          <w:color w:val="000000" w:themeColor="text1"/>
          <w:vertAlign w:val="superscript"/>
        </w:rPr>
        <w:t>3</w:t>
      </w:r>
      <w:r w:rsidR="006F643D">
        <w:rPr>
          <w:rFonts w:eastAsia="Arial Unicode MS" w:cs="Arial"/>
          <w:color w:val="000000" w:themeColor="text1"/>
        </w:rPr>
        <w:fldChar w:fldCharType="end"/>
      </w:r>
      <w:r w:rsidR="00DD2F9E">
        <w:rPr>
          <w:rFonts w:eastAsia="Arial Unicode MS" w:cs="Arial"/>
          <w:color w:val="000000" w:themeColor="text1"/>
        </w:rPr>
        <w:t xml:space="preserve"> </w:t>
      </w:r>
      <w:r w:rsidR="0037779C">
        <w:rPr>
          <w:rStyle w:val="eop"/>
          <w:rFonts w:cstheme="minorHAnsi"/>
        </w:rPr>
        <w:t xml:space="preserve">DAA treatment in PWID gives SVR rates comparable to </w:t>
      </w:r>
      <w:r w:rsidR="00932AC5">
        <w:rPr>
          <w:rStyle w:val="eop"/>
          <w:rFonts w:cstheme="minorHAnsi"/>
        </w:rPr>
        <w:t>non</w:t>
      </w:r>
      <w:r w:rsidR="0037779C">
        <w:rPr>
          <w:rStyle w:val="eop"/>
          <w:rFonts w:cstheme="minorHAnsi"/>
        </w:rPr>
        <w:t>-PWID</w:t>
      </w:r>
      <w:r w:rsidR="00932AC5">
        <w:rPr>
          <w:rStyle w:val="eop"/>
          <w:rFonts w:cstheme="minorHAnsi"/>
        </w:rPr>
        <w:t xml:space="preserve"> and</w:t>
      </w:r>
      <w:r w:rsidR="0002731A">
        <w:rPr>
          <w:rStyle w:val="eop"/>
          <w:rFonts w:cstheme="minorHAnsi"/>
        </w:rPr>
        <w:t xml:space="preserve"> </w:t>
      </w:r>
      <w:r w:rsidR="00932AC5">
        <w:rPr>
          <w:rFonts w:eastAsia="Arial Unicode MS" w:cs="Arial"/>
          <w:color w:val="000000" w:themeColor="text1"/>
        </w:rPr>
        <w:t>could</w:t>
      </w:r>
      <w:r w:rsidR="00C2667B">
        <w:rPr>
          <w:szCs w:val="22"/>
        </w:rPr>
        <w:t xml:space="preserve"> </w:t>
      </w:r>
      <w:r w:rsidR="0002731A" w:rsidRPr="00E15240">
        <w:rPr>
          <w:szCs w:val="22"/>
        </w:rPr>
        <w:t>prevent onward transmission and incident cases</w:t>
      </w:r>
      <w:r w:rsidR="00C026F1">
        <w:rPr>
          <w:szCs w:val="22"/>
        </w:rPr>
        <w:t xml:space="preserve"> of HCV</w:t>
      </w:r>
      <w:r w:rsidR="0002731A" w:rsidRPr="00E15240">
        <w:rPr>
          <w:szCs w:val="22"/>
        </w:rPr>
        <w:t xml:space="preserve"> via injecting drug use.</w:t>
      </w:r>
      <w:r w:rsidR="005E4E1A">
        <w:rPr>
          <w:szCs w:val="22"/>
        </w:rPr>
        <w:fldChar w:fldCharType="begin" w:fldLock="1"/>
      </w:r>
      <w:r w:rsidR="005E4E1A">
        <w:rPr>
          <w:szCs w:val="22"/>
        </w:rPr>
        <w:instrText>ADDIN CSL_CITATION { "citationItems" : [ { "id" : "ITEM-1", "itemData" : { "DOI" : "10.1016/S2468-1253(17)30404-1", "ISSN" : "2468-1253", "abstract" : "BACKGROUND\nDespite revised guidelines that no longer exclude people who inject drugs (PWID) from treatment for hepatitis C virus (HCV) infection, many clinicians are reluctant to treat recent PWID. This study aimed to evaluate the efficacy of sofosbuvir and velpatasvir therapy in people with chronic HCV infection and recent injection drug use. \n\nMETHODS\nIn this open-label, single-arm phase 4 trial (SIMPLIFY), we recruited participants with recent injection drug use (past 6 months) and chronic HCV genotype 1\u20136 infection from seven countries (19 sites). Participants received oral sofosbuvir (400 mg) and velpatasvir (100 mg) once daily for 12 weeks. Therapy was given in 1-week electronic blister packs to record the time and date of each dose. The primary endpoint was the proportion of patients with sustained virological response 12 weeks after completion of treatment (SVR12; defined as HCV RNA &lt;12 IU/mL), analysed in all patients who received at least one dose. This study is registered with ClinicalTrials.gov, number NCT02336139, and follow-up is ongoing to evaluate the secondary endpoint of HCV reinfection. \n\nFINDINGS\nBetween March 29, and Oct 31, 2016, we enrolled 103 participants; 29 (28%) of whom were female, nine (9%) had cirrhosis, 36 (35%) had HCV genotype 1, five (5%) had genotype 2, 60 (58%) had genotype 3, and two (2%) had genotype 4. 61 (59%) participants were receiving opioid substitution therapy during the study, 76 (74%) injected in the past month, and 27 (26%) injected at least daily in the past month. 100 (97%) of 103 participants completed treatment; two people were lost to follow-up and one person died from an overdose. There were no virological failures. 97 (94%, 95% CI 88\u201398) of 103 people achieved SVR12. Three participants with an end-of-treatment response did not have a SVR; two were lost to follow-up and one had reinfection. Drug use before and during treatment did not affect SVR12. Treatment-related adverse events were seen in 48 (47%) patients (one grade 3, no grade 4). Seven (7%) patients had at least one serious adverse event; only one such event (rhabdomyolysis, resolved) was possibly related to the therapy. One case of HCV reinfection was observed. \n\nINTERPRETATION\nHCV treatment should be offered to PWID, irrespective of ongoing drug use. Recent injection drug use should not be used as a reason to withhold reimbursement of HCV therapy. \n\nFUNDING\nGilead Sciences.", "author" : [ { "dropping-particle" : "", "family" : "Grebely", "given" : "Jason", "non-dropping-particle" : "", "parse-names" : false, "suffix" : "" }, { "dropping-particle" : "", "family" : "Dalgard", "given" : "Olav", "non-dropping-particle" : "", "parse-names" : false, "suffix" : "" }, { "dropping-particle" : "", "family" : "Conway", "given" : "Brian", "non-dropping-particle" : "", "parse-names" : false, "suffix" : "" }, { "dropping-particle" : "", "family" : "Cunningham", "given" : "Evan B", "non-dropping-particle" : "", "parse-names" : false, "suffix" : "" }, { "dropping-particle" : "", "family" : "Bruggmann", "given" : "Philip", "non-dropping-particle" : "", "parse-names" : false, "suffix" : "" }, { "dropping-particle" : "", "family" : "Hajarizadeh", "given" : "Behzad", "non-dropping-particle" : "", "parse-names" : false, "suffix" : "" }, { "dropping-particle" : "", "family" : "Amin", "given" : "Janaki", "non-dropping-particle" : "", "parse-names" : false, "suffix" : "" }, { "dropping-particle" : "", "family" : "Bruneau", "given" : "Julie", "non-dropping-particle" : "", "parse-names" : false, "suffix" : "" }, { "dropping-particle" : "", "family" : "Hellard", "given" : "Margaret", "non-dropping-particle" : "", "parse-names" : false, "suffix" : "" }, { "dropping-particle" : "", "family" : "Litwin", "given" : "Alain H", "non-dropping-particle" : "", "parse-names" : false, "suffix" : "" }, { "dropping-particle" : "", "family" : "Marks", "given" : "Philippa", "non-dropping-particle" : "", "parse-names" : false, "suffix" : "" }, { "dropping-particle" : "", "family" : "Quiene", "given" : "Sophie", "non-dropping-particle" : "", "parse-names" : false, "suffix" : "" }, { "dropping-particle" : "", "family" : "Siriragavan", "given" : "Sharmila", "non-dropping-particle" : "", "parse-names" : false, "suffix" : "" }, { "dropping-particle" : "", "family" : "Applegate", "given" : "Tanya L", "non-dropping-particle" : "", "parse-names" : false, "suffix" : "" }, { "dropping-particle" : "", "family" : "Swan", "given" : "Tracy", "non-dropping-particle" : "", "parse-names" : false, "suffix" : "" }, { "dropping-particle" : "", "family" : "Byrne", "given" : "Jude", "non-dropping-particle" : "", "parse-names" : false, "suffix" : "" }, { "dropping-particle" : "", "family" : "Lacalamita", "given" : "Melanie", "non-dropping-particle" : "", "parse-names" : false, "suffix" : "" }, { "dropping-particle" : "", "family" : "Dunlop", "given" : "Adrian", "non-dropping-particle" : "", "parse-names" : false, "suffix" : "" }, { "dropping-particle" : "V", "family" : "Matthews", "given" : "Gail", "non-dropping-particle" : "", "parse-names" : false, "suffix" : "" }, { "dropping-particle" : "", "family" : "Powis", "given" : "Jeff", "non-dropping-particle" : "", "parse-names" : false, "suffix" : "" }, { "dropping-particle" : "", "family" : "Shaw", "given" : "David", "non-dropping-particle" : "", "parse-names" : false, "suffix" : "" }, { "dropping-particle" : "", "family" : "Thurnheer", "given" : "Maria Christine", "non-dropping-particle" : "", "parse-names" : false, "suffix" : "" }, { "dropping-particle" : "", "family" : "Weltman", "given" : "Martin", "non-dropping-particle" : "", "parse-names" : false, "suffix" : "" }, { "dropping-particle" : "", "family" : "Kronborg", "given" : "Ian", "non-dropping-particle" : "", "parse-names" : false, "suffix" : "" }, { "dropping-particle" : "", "family" : "Cooper", "given" : "Curtis", "non-dropping-particle" : "", "parse-names" : false, "suffix" : "" }, { "dropping-particle" : "", "family" : "Feld", "given" : "Jordan J", "non-dropping-particle" : "", "parse-names" : false, "suffix" : "" }, { "dropping-particle" : "", "family" : "Fraser", "given" : "Chris", "non-dropping-particle" : "", "parse-names" : false, "suffix" : "" }, { "dropping-particle" : "", "family" : "Dillon", "given" : "John F", "non-dropping-particle" : "", "parse-names" : false, "suffix" : "" }, { "dropping-particle" : "", "family" : "Read", "given" : "Phillip", "non-dropping-particle" : "", "parse-names" : false, "suffix" : "" }, { "dropping-particle" : "", "family" : "Gane", "given" : "Ed", "non-dropping-particle" : "", "parse-names" : false, "suffix" : "" }, { "dropping-particle" : "", "family" : "Dore", "given" : "Gregory J", "non-dropping-particle" : "", "parse-names" : false, "suffix" : "" } ], "container-title" : "The Lancet Gastroenterology &amp; Hepatology", "id" : "ITEM-1", "issue" : "3", "issued" : { "date-parts" : [ [ "2018", "3", "1" ] ] }, "page" : "153-161", "publisher" : "Elsevier", "title" : "Sofosbuvir and velpatasvir for hepatitis C virus infection in people with recent injection drug use (SIMPLIFY): an open-label, single-arm, phase 4, multicentre trial", "type" : "article-journal", "volume" : "3" }, "uris" : [ "http://www.mendeley.com/documents/?uuid=a4eb3675-7a4c-3985-b7b4-fa94933b0808" ] }, { "id" : "ITEM-2", "itemData" : { "DOI" : "10.1136/gutjnl-2014-308166", "ISSN" : "1468-3288", "PMID" : "25378522", "abstract" : "OBJECTIVE The expense of new therapies for HCV infection may force health systems to prioritise the treatment of certain patient groups over others. Our objective was to forecast the population impact of possible prioritisation strategies for the resource-rich setting of Scotland. DESIGN We created a dynamic Markov simulation model to reflect the HCV-infected population in Scotland. We determined trends in key outcomes (e.g., incident cases of chronic infection and severe liver morbidity (SLM)) until the year 2030, according to treatment strategies involving prioritising, either: (A) persons with moderate/advanced fibrosis or (B) persons who inject drugs (PWID). RESULTS Continuing to treat the same number of patients with the same characteristics will give rise to a fall in incident infection (from 600 cases in 2015 to 440 in 2030) and a fall in SLM (from 195 cases in 2015 to 145 in 2030). Doubling treatment-uptake and prioritising PWID will reduce incident infection to negligible levels (&lt;50 cases per year) by 2025, while SLM will stabilise (at 70-75 cases per year) in 2028. Alternatively, doubling the number of patients treated, but, instead, prioritising persons with moderate/advanced fibrosis will reduce incident infection less favourably (only to 280 cases in 2030), but SLM will stabilise by 2023 (i.e., earlier than any competing strategy). CONCLUSIONS Prioritising treatment uptake among PWID will substantially impact incident transmission, however, this approach foregoes the optimal impact on SLM. Conversely, targeting those with moderate/advanced fibrosis has the greatest impact on SLM but is suboptimal in terms of averting incident infection.", "author" : [ { "dropping-particle" : "", "family" : "Innes", "given" : "Hamish", "non-dropping-particle" : "", "parse-names" : false, "suffix" : "" }, { "dropping-particle" : "", "family" : "Goldberg", "given" : "David", "non-dropping-particle" : "", "parse-names" : false, "suffix" : "" }, { "dropping-particle" : "", "family" : "Dillon", "given" : "John", "non-dropping-particle" : "", "parse-names" : false, "suffix" : "" }, { "dropping-particle" : "", "family" : "Hutchinson", "given" : "Sharon J", "non-dropping-particle" : "", "parse-names" : false, "suffix" : "" } ], "container-title" : "Gut", "id" : "ITEM-2", "issue" : "11", "issued" : { "date-parts" : [ [ "2015", "11" ] ] }, "page" : "1800-9", "publisher" : "BMJ Publishing Group Ltd and British Society of Gastroenterology", "title" : "Strategies for the treatment of Hepatitis C in an era of interferon-free therapies: what public health outcomes do we value most?", "type" : "article-journal", "volume" : "64" }, "uris" : [ "http://www.mendeley.com/documents/?uuid=d858fbcd-761f-3b4b-8be7-e623e51bc4c2" ] } ], "mendeley" : { "formattedCitation" : "&lt;sup&gt;4,5&lt;/sup&gt;", "plainTextFormattedCitation" : "4,5", "previouslyFormattedCitation" : "&lt;sup&gt;4,5&lt;/sup&gt;" }, "properties" : { "noteIndex" : 0 }, "schema" : "https://github.com/citation-style-language/schema/raw/master/csl-citation.json" }</w:instrText>
      </w:r>
      <w:r w:rsidR="005E4E1A">
        <w:rPr>
          <w:szCs w:val="22"/>
        </w:rPr>
        <w:fldChar w:fldCharType="separate"/>
      </w:r>
      <w:r w:rsidR="005E4E1A" w:rsidRPr="005E4E1A">
        <w:rPr>
          <w:noProof/>
          <w:szCs w:val="22"/>
          <w:vertAlign w:val="superscript"/>
        </w:rPr>
        <w:t>4,5</w:t>
      </w:r>
      <w:r w:rsidR="005E4E1A">
        <w:rPr>
          <w:szCs w:val="22"/>
        </w:rPr>
        <w:fldChar w:fldCharType="end"/>
      </w:r>
      <w:r w:rsidR="00DD2F9E">
        <w:rPr>
          <w:rFonts w:eastAsia="Arial Unicode MS" w:cs="Arial"/>
          <w:color w:val="000000" w:themeColor="text1"/>
        </w:rPr>
        <w:t xml:space="preserve"> </w:t>
      </w:r>
      <w:r w:rsidR="0002731A" w:rsidRPr="00E15240">
        <w:rPr>
          <w:szCs w:val="22"/>
        </w:rPr>
        <w:t>T</w:t>
      </w:r>
      <w:r w:rsidR="00932AC5">
        <w:rPr>
          <w:szCs w:val="22"/>
        </w:rPr>
        <w:t>his phenomena is t</w:t>
      </w:r>
      <w:r w:rsidR="0002731A" w:rsidRPr="00E15240">
        <w:rPr>
          <w:szCs w:val="22"/>
        </w:rPr>
        <w:t>ermed</w:t>
      </w:r>
      <w:r w:rsidR="00D7716A">
        <w:rPr>
          <w:szCs w:val="22"/>
        </w:rPr>
        <w:t xml:space="preserve"> ‘treatment as prevention’ (</w:t>
      </w:r>
      <w:proofErr w:type="spellStart"/>
      <w:r w:rsidR="00D7716A">
        <w:rPr>
          <w:szCs w:val="22"/>
        </w:rPr>
        <w:t>TasP</w:t>
      </w:r>
      <w:proofErr w:type="spellEnd"/>
      <w:r w:rsidR="00D7716A">
        <w:rPr>
          <w:szCs w:val="22"/>
        </w:rPr>
        <w:t>)</w:t>
      </w:r>
      <w:r w:rsidR="0002731A" w:rsidRPr="00E15240">
        <w:rPr>
          <w:szCs w:val="22"/>
        </w:rPr>
        <w:t xml:space="preserve"> </w:t>
      </w:r>
      <w:r w:rsidR="00932AC5">
        <w:rPr>
          <w:szCs w:val="22"/>
        </w:rPr>
        <w:t xml:space="preserve">and modelling </w:t>
      </w:r>
      <w:r w:rsidR="0002731A" w:rsidRPr="00E15240">
        <w:rPr>
          <w:szCs w:val="22"/>
        </w:rPr>
        <w:t xml:space="preserve">studies have tested </w:t>
      </w:r>
      <w:r w:rsidR="006326B3">
        <w:rPr>
          <w:szCs w:val="22"/>
        </w:rPr>
        <w:t>its potential impact</w:t>
      </w:r>
      <w:r w:rsidR="003B2CA3">
        <w:rPr>
          <w:szCs w:val="22"/>
        </w:rPr>
        <w:t>.</w:t>
      </w:r>
      <w:r w:rsidR="008678F5">
        <w:rPr>
          <w:szCs w:val="22"/>
        </w:rPr>
        <w:fldChar w:fldCharType="begin" w:fldLock="1"/>
      </w:r>
      <w:r w:rsidR="00053BBA">
        <w:rPr>
          <w:szCs w:val="22"/>
        </w:rPr>
        <w:instrText>ADDIN CSL_CITATION { "citationItems" : [ { "id" : "ITEM-1", "itemData" : { "DOI" : "10.1016/j.jhep.2010.08.029", "ISSN" : "01688278", "PMID" : "21145810", "abstract" : "BACKGROUND &amp; AIMS Hepatitis C virus antiviral treatment is effective for individual patients but few active injecting drug users are treated. We considered the utility of antiviral treatment for primary prevention of hepatitis C. METHODS A hepatitis C transmission model among injecting drug users was developed, incorporating treatment (62.5% average sustained viral response) with no retreatment after initial treatment failure, potential re-infection for those cured, equal genotype setting (genotype 1:genotype 2/3), and no immunity. In addition, we examined scenarios with varied treatment response rates, immunity, or retreatment of treatment failures. RESULTS In the baseline scenario, annually treating 10 infections per 1000 injecting drug users results in a relative decrease in hepatitis C prevalence over 10 years of 31%, 13%, or 7% for baseline (untreated endemic chronic infection) prevalences of 20%, 40%, or 60%, respectively. Sensitivity analyses show that including the potential for immunity has minimal effect on the predictions; prevalence reductions remain even if SVR is assumed to be 25% lower among active IDU than current evidence suggests; retreatment of treatment failures does not alter the short-term (&lt;5 years) projections, but does increase treatment gains within 20 years; hepatitis C free life years gained from treating active injecting drug users are projected to be higher than from treating non-injecting drug users for prevalences below 60%. CONCLUSIONS Despite the possibility of re-infection, modest rates of hepatitis C treatment among active injecting drug users could effectively reduce transmission. Evaluating and extending strategies to treat hepatitis C among active injectors are warranted.", "author" : [ { "dropping-particle" : "", "family" : "Martin", "given" : "Natasha K.", "non-dropping-particle" : "", "parse-names" : false, "suffix" : "" }, { "dropping-particle" : "", "family" : "Vickerman", "given" : "Peter", "non-dropping-particle" : "", "parse-names" : false, "suffix" : "" }, { "dropping-particle" : "", "family" : "Foster", "given" : "Graham R.", "non-dropping-particle" : "", "parse-names" : false, "suffix" : "" }, { "dropping-particle" : "", "family" : "Hutchinson", "given" : "Sharon J.", "non-dropping-particle" : "", "parse-names" : false, "suffix" : "" }, { "dropping-particle" : "", "family" : "Goldberg", "given" : "David J.", "non-dropping-particle" : "", "parse-names" : false, "suffix" : "" }, { "dropping-particle" : "", "family" : "Hickman", "given" : "Matthew", "non-dropping-particle" : "", "parse-names" : false, "suffix" : "" } ], "container-title" : "Journal of Hepatology", "id" : "ITEM-1", "issue" : "6", "issued" : { "date-parts" : [ [ "2011", "6" ] ] }, "page" : "1137-1144", "title" : "Can antiviral therapy for hepatitis C reduce the prevalence of HCV among injecting drug user populations? A modeling analysis of its prevention utility", "type" : "article-journal", "volume" : "54" }, "uris" : [ "http://www.mendeley.com/documents/?uuid=cb164e63-82fc-37a3-ba17-ca930bd7852a" ] }, { "id" : "ITEM-2", "itemData" : { "DOI" : "10.1002/hep.28227", "ISSN" : "02709139", "author" : [ { "dropping-particle" : "", "family" : "Cousien", "given" : "Anthony", "non-dropping-particle" : "", "parse-names" : false, "suffix" : "" }, { "dropping-particle" : "", "family" : "Tran", "given" : "Viet Chi", "non-dropping-particle" : "", "parse-names" : false, "suffix" : "" }, { "dropping-particle" : "", "family" : "Deuffic-Burban", "given" : "Sylvie", "non-dropping-particle" : "", "parse-names" : false, "suffix" : "" }, { "dropping-particle" : "", "family" : "Jauffret-Roustide", "given" : "Marie", "non-dropping-particle" : "", "parse-names" : false, "suffix" : "" }, { "dropping-particle" : "", "family" : "Dhersin", "given" : "Jean-St\u00e9phane", "non-dropping-particle" : "", "parse-names" : false, "suffix" : "" }, { "dropping-particle" : "", "family" : "Yazdanpanah", "given" : "Yazdan", "non-dropping-particle" : "", "parse-names" : false, "suffix" : "" } ], "container-title" : "Hepatology", "id" : "ITEM-2", "issue" : "4", "issued" : { "date-parts" : [ [ "2016", "4", "1" ] ] }, "page" : "1090-1101", "publisher" : "Wiley-Blackwell", "title" : "Hepatitis C treatment as prevention of viral transmission and liver-related morbidity in persons who inject drugs", "type" : "article-journal", "volume" : "63" }, "uris" : [ "http://www.mendeley.com/documents/?uuid=624c3f0d-d4ec-350c-89f6-6768aca416a5" ] } ], "mendeley" : { "formattedCitation" : "&lt;sup&gt;6,7&lt;/sup&gt;", "plainTextFormattedCitation" : "6,7", "previouslyFormattedCitation" : "&lt;sup&gt;6,7&lt;/sup&gt;" }, "properties" : { "noteIndex" : 3 }, "schema" : "https://github.com/citation-style-language/schema/raw/master/csl-citation.json" }</w:instrText>
      </w:r>
      <w:r w:rsidR="008678F5">
        <w:rPr>
          <w:szCs w:val="22"/>
        </w:rPr>
        <w:fldChar w:fldCharType="separate"/>
      </w:r>
      <w:r w:rsidR="00053BBA" w:rsidRPr="00053BBA">
        <w:rPr>
          <w:noProof/>
          <w:szCs w:val="22"/>
          <w:vertAlign w:val="superscript"/>
        </w:rPr>
        <w:t>6,7</w:t>
      </w:r>
      <w:r w:rsidR="008678F5">
        <w:rPr>
          <w:szCs w:val="22"/>
        </w:rPr>
        <w:fldChar w:fldCharType="end"/>
      </w:r>
      <w:r w:rsidR="00635C00">
        <w:rPr>
          <w:rFonts w:eastAsia="Arial Unicode MS" w:cs="Arial"/>
          <w:color w:val="000000" w:themeColor="text1"/>
        </w:rPr>
        <w:t xml:space="preserve"> </w:t>
      </w:r>
      <w:r w:rsidR="00635C00">
        <w:rPr>
          <w:szCs w:val="22"/>
        </w:rPr>
        <w:t>However, t</w:t>
      </w:r>
      <w:r w:rsidR="00123D73">
        <w:rPr>
          <w:szCs w:val="22"/>
        </w:rPr>
        <w:t>here</w:t>
      </w:r>
      <w:r w:rsidR="00E15240">
        <w:rPr>
          <w:szCs w:val="22"/>
        </w:rPr>
        <w:t xml:space="preserve"> </w:t>
      </w:r>
      <w:r w:rsidR="00C87F18">
        <w:rPr>
          <w:szCs w:val="22"/>
        </w:rPr>
        <w:t>are no</w:t>
      </w:r>
      <w:r w:rsidR="00E15240">
        <w:rPr>
          <w:szCs w:val="22"/>
        </w:rPr>
        <w:t xml:space="preserve"> published trials that assess the real-world effect of </w:t>
      </w:r>
      <w:proofErr w:type="spellStart"/>
      <w:r w:rsidR="00E15240">
        <w:rPr>
          <w:szCs w:val="22"/>
        </w:rPr>
        <w:t>TasP</w:t>
      </w:r>
      <w:proofErr w:type="spellEnd"/>
      <w:r w:rsidR="00C87F18">
        <w:rPr>
          <w:szCs w:val="22"/>
        </w:rPr>
        <w:t xml:space="preserve"> and the majority of </w:t>
      </w:r>
      <w:r w:rsidR="00FF792A">
        <w:rPr>
          <w:szCs w:val="22"/>
        </w:rPr>
        <w:t>studies</w:t>
      </w:r>
      <w:r w:rsidR="00E15240">
        <w:rPr>
          <w:szCs w:val="22"/>
        </w:rPr>
        <w:t xml:space="preserve"> </w:t>
      </w:r>
      <w:r w:rsidR="006326B3">
        <w:rPr>
          <w:szCs w:val="22"/>
        </w:rPr>
        <w:t>use</w:t>
      </w:r>
      <w:r w:rsidR="005B19A7">
        <w:rPr>
          <w:szCs w:val="22"/>
        </w:rPr>
        <w:t xml:space="preserve"> compartmental models</w:t>
      </w:r>
      <w:r w:rsidR="00304AC8">
        <w:rPr>
          <w:szCs w:val="22"/>
        </w:rPr>
        <w:t xml:space="preserve"> </w:t>
      </w:r>
      <w:r w:rsidR="006C6E96">
        <w:rPr>
          <w:szCs w:val="22"/>
        </w:rPr>
        <w:t>that</w:t>
      </w:r>
      <w:r w:rsidR="005B19A7">
        <w:rPr>
          <w:szCs w:val="22"/>
        </w:rPr>
        <w:t xml:space="preserve"> make assumptions about transmission pathways between PWID</w:t>
      </w:r>
      <w:r w:rsidR="00C2667B">
        <w:rPr>
          <w:szCs w:val="22"/>
        </w:rPr>
        <w:t>, which can affect their results</w:t>
      </w:r>
      <w:r w:rsidR="00DE184F">
        <w:rPr>
          <w:szCs w:val="22"/>
        </w:rPr>
        <w:t>.</w:t>
      </w:r>
      <w:r w:rsidR="00C22A60">
        <w:rPr>
          <w:szCs w:val="22"/>
        </w:rPr>
        <w:fldChar w:fldCharType="begin" w:fldLock="1"/>
      </w:r>
      <w:r w:rsidR="00053BBA">
        <w:rPr>
          <w:szCs w:val="22"/>
        </w:rPr>
        <w:instrText>ADDIN CSL_CITATION { "citationItems" : [ { "id" : "ITEM-1", "itemData" : { "DOI" : "10.1111/jvh.12337", "ISSN" : "13520504", "PMID" : "25270261", "abstract" : "Equipment sharing among people who inject drugs (PWID) is a key risk factor in infection by hepatitis C virus (HCV). Both the effectiveness and cost-effectiveness of interventions aimed at reducing HCV transmission in this population (such as opioid substitution therapy, needle exchange programmes or improved treatment) are difficult to evaluate using field surveys. Ethical issues and complicated access to the PWID population make it difficult to gather epidemiological data. In this context, mathematical modelling of HCV transmission is a useful alternative for comparing the cost and effectiveness of various interventions. Several models have been developed in the past few years. They are often based on strong hypotheses concerning the population structure. This review presents compartmental and individual-based models to underline their strengths and limits in the context of HCV infection among PWID. The final section discusses the main results of the papers.", "author" : [ { "dropping-particle" : "", "family" : "Cousien", "given" : "A.", "non-dropping-particle" : "", "parse-names" : false, "suffix" : "" }, { "dropping-particle" : "", "family" : "Tran", "given" : "V. C.", "non-dropping-particle" : "", "parse-names" : false, "suffix" : "" }, { "dropping-particle" : "", "family" : "Deuffic-Burban", "given" : "S.", "non-dropping-particle" : "", "parse-names" : false, "suffix" : "" }, { "dropping-particle" : "", "family" : "Jauffret-Roustide", "given" : "M.", "non-dropping-particle" : "", "parse-names" : false, "suffix" : "" }, { "dropping-particle" : "", "family" : "Dhersin", "given" : "J.-S.", "non-dropping-particle" : "", "parse-names" : false, "suffix" : "" }, { "dropping-particle" : "", "family" : "Yazdanpanah", "given" : "Y.", "non-dropping-particle" : "", "parse-names" : false, "suffix" : "" } ], "container-title" : "Journal of Viral Hepatitis", "id" : "ITEM-1", "issue" : "3", "issued" : { "date-parts" : [ [ "2015", "3" ] ] }, "page" : "213-229", "title" : "Dynamic modelling of hepatitis C virus transmission among people who inject drugs: a methodological review", "type" : "article-journal", "volume" : "22" }, "uris" : [ "http://www.mendeley.com/documents/?uuid=79f8f0ae-8af2-3124-9660-96a5bbd63595" ] } ], "mendeley" : { "formattedCitation" : "&lt;sup&gt;8&lt;/sup&gt;", "plainTextFormattedCitation" : "8", "previouslyFormattedCitation" : "&lt;sup&gt;8&lt;/sup&gt;" }, "properties" : { "noteIndex" : 5 }, "schema" : "https://github.com/citation-style-language/schema/raw/master/csl-citation.json" }</w:instrText>
      </w:r>
      <w:r w:rsidR="00C22A60">
        <w:rPr>
          <w:szCs w:val="22"/>
        </w:rPr>
        <w:fldChar w:fldCharType="separate"/>
      </w:r>
      <w:r w:rsidR="00053BBA" w:rsidRPr="00053BBA">
        <w:rPr>
          <w:noProof/>
          <w:szCs w:val="22"/>
          <w:vertAlign w:val="superscript"/>
        </w:rPr>
        <w:t>8</w:t>
      </w:r>
      <w:r w:rsidR="00C22A60">
        <w:rPr>
          <w:szCs w:val="22"/>
        </w:rPr>
        <w:fldChar w:fldCharType="end"/>
      </w:r>
      <w:r w:rsidR="00C87F18">
        <w:rPr>
          <w:szCs w:val="22"/>
        </w:rPr>
        <w:t xml:space="preserve"> </w:t>
      </w:r>
      <w:r w:rsidR="00C2667B">
        <w:rPr>
          <w:szCs w:val="22"/>
        </w:rPr>
        <w:t xml:space="preserve"> </w:t>
      </w:r>
    </w:p>
    <w:p w14:paraId="280FD8BC" w14:textId="77777777" w:rsidR="00635C00" w:rsidRDefault="00635C00" w:rsidP="00757BD9">
      <w:pPr>
        <w:spacing w:line="480" w:lineRule="auto"/>
        <w:jc w:val="both"/>
        <w:rPr>
          <w:szCs w:val="22"/>
        </w:rPr>
      </w:pPr>
    </w:p>
    <w:p w14:paraId="4F317C74" w14:textId="15718C32" w:rsidR="00D7716A" w:rsidRDefault="00F24030" w:rsidP="00757BD9">
      <w:pPr>
        <w:spacing w:line="480" w:lineRule="auto"/>
        <w:jc w:val="both"/>
        <w:rPr>
          <w:szCs w:val="22"/>
        </w:rPr>
      </w:pPr>
      <w:r>
        <w:rPr>
          <w:szCs w:val="22"/>
        </w:rPr>
        <w:t>A</w:t>
      </w:r>
      <w:r w:rsidR="00AC3DD4">
        <w:rPr>
          <w:szCs w:val="22"/>
        </w:rPr>
        <w:t>n HCV posit</w:t>
      </w:r>
      <w:r w:rsidR="00CE17AC">
        <w:rPr>
          <w:szCs w:val="22"/>
        </w:rPr>
        <w:t>ive PWID can only infect an uninfected</w:t>
      </w:r>
      <w:r w:rsidR="00AC3DD4">
        <w:rPr>
          <w:szCs w:val="22"/>
        </w:rPr>
        <w:t xml:space="preserve"> </w:t>
      </w:r>
      <w:r>
        <w:rPr>
          <w:szCs w:val="22"/>
        </w:rPr>
        <w:t>partner</w:t>
      </w:r>
      <w:r w:rsidR="00AC3DD4">
        <w:rPr>
          <w:szCs w:val="22"/>
        </w:rPr>
        <w:t xml:space="preserve"> with whom they </w:t>
      </w:r>
      <w:r w:rsidR="00B17777">
        <w:rPr>
          <w:szCs w:val="22"/>
        </w:rPr>
        <w:t xml:space="preserve">actually </w:t>
      </w:r>
      <w:r w:rsidR="00AC3DD4">
        <w:rPr>
          <w:szCs w:val="22"/>
        </w:rPr>
        <w:t xml:space="preserve">have </w:t>
      </w:r>
      <w:r w:rsidR="00E10B42">
        <w:rPr>
          <w:szCs w:val="22"/>
        </w:rPr>
        <w:t xml:space="preserve">an injecting partnership or </w:t>
      </w:r>
      <w:r w:rsidR="00AC3DD4">
        <w:rPr>
          <w:szCs w:val="22"/>
        </w:rPr>
        <w:t>close physical contact</w:t>
      </w:r>
      <w:r w:rsidR="00C2667B">
        <w:rPr>
          <w:szCs w:val="22"/>
        </w:rPr>
        <w:t xml:space="preserve">, therefore defining the network of relationships between PWIDs is crucial to understanding HCV transmission and the potential for </w:t>
      </w:r>
      <w:r w:rsidR="0098063A">
        <w:rPr>
          <w:szCs w:val="22"/>
        </w:rPr>
        <w:t xml:space="preserve">the </w:t>
      </w:r>
      <w:proofErr w:type="spellStart"/>
      <w:r w:rsidR="0098063A">
        <w:rPr>
          <w:szCs w:val="22"/>
        </w:rPr>
        <w:t>TasP</w:t>
      </w:r>
      <w:proofErr w:type="spellEnd"/>
      <w:r w:rsidR="0098063A">
        <w:rPr>
          <w:szCs w:val="22"/>
        </w:rPr>
        <w:t xml:space="preserve"> to be a successful strategy. </w:t>
      </w:r>
      <w:r w:rsidR="00483F63">
        <w:rPr>
          <w:szCs w:val="22"/>
        </w:rPr>
        <w:t xml:space="preserve">To date three studies have tested </w:t>
      </w:r>
      <w:proofErr w:type="spellStart"/>
      <w:r w:rsidR="00483F63">
        <w:rPr>
          <w:szCs w:val="22"/>
        </w:rPr>
        <w:t>TasP</w:t>
      </w:r>
      <w:proofErr w:type="spellEnd"/>
      <w:r w:rsidR="00483F63">
        <w:rPr>
          <w:szCs w:val="22"/>
        </w:rPr>
        <w:t xml:space="preserve"> in networks of injecting relationships within a population of PWID.</w:t>
      </w:r>
      <w:r w:rsidR="00483F63">
        <w:rPr>
          <w:szCs w:val="22"/>
        </w:rPr>
        <w:fldChar w:fldCharType="begin" w:fldLock="1"/>
      </w:r>
      <w:r w:rsidR="00483F63">
        <w:rPr>
          <w:szCs w:val="22"/>
        </w:rPr>
        <w:instrText>ADDIN CSL_CITATION { "citationItems" : [ { "id" : "ITEM-1", "itemData" : { "DOI" : "10.1038/s41598-017-01862-6", "ISSN" : "2045-2322", "PMID" : "28500290", "abstract" : "Treatment as Prevention (TasP) using directly-acting antivirals has been advocated for Hepatitis C Virus (HCV) in people who inject drugs (PWID), but treatment is expensive and TasP's effectiveness is uncertain. Previous modelling has assumed a homogeneously-mixed population or a static network lacking turnover in the population and injecting partnerships. We developed a transmission-dynamic model on a dynamic network of injecting partnerships using data from survey of injecting behaviour carried out in London, UK. We studied transmission on a novel exponential-clustered network, as well as on two simpler networks for comparison, an exponential unclustered and a random network, and found that TasP's effectiveness differs markedly. With respect to an exponential-clustered network, the random network (and homogeneously-mixed population) overestimate TasP's effectiveness, whereas the exponential-unclustered network underestimates it. For all network types TasP's effectiveness depends on whether treated patients change risk behaviour, and on treatment coverage: higher coverage requires fewer total treatments for the same health gain. Whilst TasP can greatly reduce HCV prevalence, incidence of infection, and incidence of reinfection in PWID, assessment of TasP's effectiveness needs to take account of the injecting-partnership network structure and post-treatment behaviour change, and further empirical study is required.", "author" : [ { "dropping-particle" : "", "family" : "Metzig", "given" : "Cornelia", "non-dropping-particle" : "", "parse-names" : false, "suffix" : "" }, { "dropping-particle" : "", "family" : "Surey", "given" : "Julian", "non-dropping-particle" : "", "parse-names" : false, "suffix" : "" }, { "dropping-particle" : "", "family" : "Francis", "given" : "Marie", "non-dropping-particle" : "", "parse-names" : false, "suffix" : "" }, { "dropping-particle" : "", "family" : "Conneely", "given" : "Jim", "non-dropping-particle" : "", "parse-names" : false, "suffix" : "" }, { "dropping-particle" : "", "family" : "Abubakar", "given" : "Ibrahim", "non-dropping-particle" : "", "parse-names" : false, "suffix" : "" }, { "dropping-particle" : "", "family" : "White", "given" : "Peter J", "non-dropping-particle" : "", "parse-names" : false, "suffix" : "" } ], "container-title" : "Scientific reports", "id" : "ITEM-1", "issue" : "1", "issued" : { "date-parts" : [ [ "2017", "5", "12" ] ] }, "page" : "1833", "publisher" : "Nature Publishing Group", "title" : "Impact of Hepatitis C Treatment as Prevention for People Who Inject Drugs is sensitive to contact network structure.", "type" : "article-journal", "volume" : "7" }, "uris" : [ "http://www.mendeley.com/documents/?uuid=51a916fa-0459-3edf-ad69-5dc68edd1a33" ] }, { "id" : "ITEM-2", "itemData" : { "DOI" : "10.1371/journal.pone.0078286", "ISSN" : "1932-6203", "author" : [ { "dropping-particle" : "", "family" : "Rolls", "given" : "David A.", "non-dropping-particle" : "", "parse-names" : false, "suffix" : "" }, { "dropping-particle" : "", "family" : "Sacks-Davis", "given" : "Rachel", "non-dropping-particle" : "", "parse-names" : false, "suffix" : "" }, { "dropping-particle" : "", "family" : "Jenkinson", "given" : "Rebecca", "non-dropping-particle" : "", "parse-names" : false, "suffix" : "" }, { "dropping-particle" : "", "family" : "McBryde", "given" : "Emma", "non-dropping-particle" : "", "parse-names" : false, "suffix" : "" }, { "dropping-particle" : "", "family" : "Pattison", "given" : "Philippa", "non-dropping-particle" : "", "parse-names" : false, "suffix" : "" }, { "dropping-particle" : "", "family" : "Robins", "given" : "Garry", "non-dropping-particle" : "", "parse-names" : false, "suffix" : "" }, { "dropping-particle" : "", "family" : "Hellard", "given" : "Margaret", "non-dropping-particle" : "", "parse-names" : false, "suffix" : "" } ], "container-title" : "PLoS ONE", "editor" : [ { "dropping-particle" : "", "family" : "Noymer", "given" : "Andrew", "non-dropping-particle" : "", "parse-names" : false, "suffix" : "" } ], "id" : "ITEM-2", "issue" : "11", "issued" : { "date-parts" : [ [ "2013", "11", "1" ] ] }, "page" : "e78286", "publisher" : "Public Library of Science", "title" : "Hepatitis C Transmission and Treatment in Contact Networks of People Who Inject Drugs", "type" : "article-journal", "volume" : "8" }, "uris" : [ "http://www.mendeley.com/documents/?uuid=a35a75a7-9509-30e7-b022-3a68168c2a1e" ] }, { "id" : "ITEM-3", "itemData" : { "DOI" : "10.1016/S1473-3099(17)30676-X", "ISSN" : "14733099", "PMID" : "29153265", "abstract" : "BACKGROUND Chronic infections with hepatitis C virus (HCV) and HIV are highly prevalent in the USA and concentrated in people who inject drugs. Treatment as prevention with highly effective new direct-acting antivirals is a prospective HCV elimination strategy. We used network-based modelling to analyse the effect of this strategy in HCV-infected people who inject drugs in a US city. METHODS Five graph models were fit using data from 1574 people who inject drugs in Hartford, CT, USA. We used a degree-corrected stochastic block model, based on goodness-of-fit, to model networks of injection drug users. We simulated transmission of HCV and HIV through this network with varying levels of HCV treatment coverage (0%, 3%, 6%, 12%, or 24%) and varying baseline HCV prevalence in people who inject drugs (30%, 60%, 75%, or 85%). We compared the effectiveness of seven treatment-as-prevention strategies on reducing HCV prevalence over 10 years and 20 years versus no treatment. The strategies consisted of treatment assigned to either a randomly chosen individual who injects drugs or to an individual with the highest number of injection partners. Additional strategies explored the effects of treating either none, half, or all of the injection partners of the selected individual, as well as a strategy based on respondent-driven recruitment into treatment. FINDINGS Our model estimates show that at the highest baseline HCV prevalence in people who inject drugs (85%), expansion of treatment coverage does not substantially reduce HCV prevalence for any treatment-as-prevention strategy. However, when baseline HCV prevalence is 60% or lower, treating more than 120 (12%) individuals per 1000 people who inject drugs per year would probably eliminate HCV within 10 years. On average, assigning treatment randomly to individuals who inject drugs is better than targeting individuals with the most injection partners. Treatment-as-prevention strategies that treat additional network members are among the best performing strategies and can enhance less effective strategies that target the degree (ie, the highest number of injection partners) within the network. INTERPRETATION Successful HCV treatment as prevention should incorporate the baseline HCV prevalence and will achieve the greatest benefit when coverage is sufficiently expanded. FUNDING National Institute on Drug Abuse.", "author" : [ { "dropping-particle" : "", "family" : "Zelenev", "given" : "Alexei", "non-dropping-particle" : "", "parse-names" : false, "suffix" : "" }, { "dropping-particle" : "", "family" : "Li", "given" : "Jianghong", "non-dropping-particle" : "", "parse-names" : false, "suffix" : "" }, { "dropping-particle" : "", "family" : "Mazhnaya", "given" : "Alyona", "non-dropping-particle" : "", "parse-names" : false, "suffix" : "" }, { "dropping-particle" : "", "family" : "Basu", "given" : "Sanjay", "non-dropping-particle" : "", "parse-names" : false, "suffix" : "" }, { "dropping-particle" : "", "family" : "Altice", "given" : "Frederick L", "non-dropping-particle" : "", "parse-names" : false, "suffix" : "" } ], "container-title" : "The Lancet Infectious Diseases", "id" : "ITEM-3", "issue" : "2", "issued" : { "date-parts" : [ [ "2018", "2" ] ] }, "page" : "215-224", "title" : "Hepatitis C virus treatment as prevention in an extended network of people who inject drugs in the USA: a modelling study", "type" : "article-journal", "volume" : "18" }, "uris" : [ "http://www.mendeley.com/documents/?uuid=7fd02e74-37ac-34c2-af29-52d8a9690689" ] } ], "mendeley" : { "formattedCitation" : "&lt;sup&gt;9\u201311&lt;/sup&gt;", "plainTextFormattedCitation" : "9\u201311", "previouslyFormattedCitation" : "&lt;sup&gt;9\u201311&lt;/sup&gt;" }, "properties" : { "noteIndex" : 3 }, "schema" : "https://github.com/citation-style-language/schema/raw/master/csl-citation.json" }</w:instrText>
      </w:r>
      <w:r w:rsidR="00483F63">
        <w:rPr>
          <w:szCs w:val="22"/>
        </w:rPr>
        <w:fldChar w:fldCharType="separate"/>
      </w:r>
      <w:r w:rsidR="00483F63" w:rsidRPr="00053BBA">
        <w:rPr>
          <w:noProof/>
          <w:szCs w:val="22"/>
          <w:vertAlign w:val="superscript"/>
        </w:rPr>
        <w:t>9–11</w:t>
      </w:r>
      <w:r w:rsidR="00483F63">
        <w:rPr>
          <w:szCs w:val="22"/>
        </w:rPr>
        <w:fldChar w:fldCharType="end"/>
      </w:r>
      <w:r w:rsidR="0098063A">
        <w:rPr>
          <w:szCs w:val="22"/>
        </w:rPr>
        <w:t xml:space="preserve"> One</w:t>
      </w:r>
      <w:r w:rsidR="008B1F2B">
        <w:rPr>
          <w:szCs w:val="22"/>
        </w:rPr>
        <w:t xml:space="preserve"> has tested</w:t>
      </w:r>
      <w:r w:rsidR="000B73F4">
        <w:rPr>
          <w:szCs w:val="22"/>
        </w:rPr>
        <w:t xml:space="preserve"> the effect of HCV treatment in a </w:t>
      </w:r>
      <w:r w:rsidR="00FF792A">
        <w:rPr>
          <w:szCs w:val="22"/>
        </w:rPr>
        <w:lastRenderedPageBreak/>
        <w:t>network</w:t>
      </w:r>
      <w:r w:rsidR="000B73F4">
        <w:rPr>
          <w:szCs w:val="22"/>
        </w:rPr>
        <w:t xml:space="preserve"> model containing</w:t>
      </w:r>
      <w:r w:rsidR="00FF792A">
        <w:rPr>
          <w:szCs w:val="22"/>
        </w:rPr>
        <w:t xml:space="preserve"> 1000 PWID connected together w</w:t>
      </w:r>
      <w:r w:rsidR="007E2E98">
        <w:rPr>
          <w:szCs w:val="22"/>
        </w:rPr>
        <w:t xml:space="preserve">ith a network </w:t>
      </w:r>
      <w:r w:rsidR="00FB3CE4">
        <w:rPr>
          <w:szCs w:val="22"/>
        </w:rPr>
        <w:t>topography</w:t>
      </w:r>
      <w:r w:rsidR="00FF792A">
        <w:rPr>
          <w:szCs w:val="22"/>
        </w:rPr>
        <w:t xml:space="preserve"> that </w:t>
      </w:r>
      <w:r w:rsidR="009007D2">
        <w:rPr>
          <w:szCs w:val="22"/>
        </w:rPr>
        <w:t>was based on</w:t>
      </w:r>
      <w:r w:rsidR="00FF792A">
        <w:rPr>
          <w:szCs w:val="22"/>
        </w:rPr>
        <w:t xml:space="preserve"> real-wo</w:t>
      </w:r>
      <w:r w:rsidR="007E2E98">
        <w:rPr>
          <w:szCs w:val="22"/>
        </w:rPr>
        <w:t>rld</w:t>
      </w:r>
      <w:r>
        <w:rPr>
          <w:szCs w:val="22"/>
        </w:rPr>
        <w:t xml:space="preserve"> human social networks</w:t>
      </w:r>
      <w:r w:rsidR="00635C00">
        <w:rPr>
          <w:szCs w:val="22"/>
        </w:rPr>
        <w:t>. T</w:t>
      </w:r>
      <w:r w:rsidR="000B73F4">
        <w:rPr>
          <w:szCs w:val="22"/>
        </w:rPr>
        <w:t>hey</w:t>
      </w:r>
      <w:r w:rsidR="004332B1">
        <w:rPr>
          <w:szCs w:val="22"/>
        </w:rPr>
        <w:t xml:space="preserve"> </w:t>
      </w:r>
      <w:r w:rsidR="00FF792A">
        <w:rPr>
          <w:szCs w:val="22"/>
        </w:rPr>
        <w:t xml:space="preserve">highlighted that models </w:t>
      </w:r>
      <w:r w:rsidR="00455FD5">
        <w:rPr>
          <w:szCs w:val="22"/>
        </w:rPr>
        <w:t>in which</w:t>
      </w:r>
      <w:r w:rsidR="00FF792A">
        <w:rPr>
          <w:szCs w:val="22"/>
        </w:rPr>
        <w:t xml:space="preserve"> random mixing</w:t>
      </w:r>
      <w:r w:rsidR="00E10B42">
        <w:rPr>
          <w:szCs w:val="22"/>
        </w:rPr>
        <w:t xml:space="preserve"> </w:t>
      </w:r>
      <w:r w:rsidR="008B1F2B">
        <w:rPr>
          <w:szCs w:val="22"/>
        </w:rPr>
        <w:t>is</w:t>
      </w:r>
      <w:r w:rsidR="00E10B42">
        <w:rPr>
          <w:szCs w:val="22"/>
        </w:rPr>
        <w:t xml:space="preserve"> assumed are</w:t>
      </w:r>
      <w:r w:rsidR="00FF792A">
        <w:rPr>
          <w:szCs w:val="22"/>
        </w:rPr>
        <w:t xml:space="preserve"> </w:t>
      </w:r>
      <w:r w:rsidR="00E10B42">
        <w:rPr>
          <w:szCs w:val="22"/>
        </w:rPr>
        <w:t>likely to</w:t>
      </w:r>
      <w:r w:rsidR="00FF792A">
        <w:rPr>
          <w:szCs w:val="22"/>
        </w:rPr>
        <w:t xml:space="preserve"> </w:t>
      </w:r>
      <w:r w:rsidR="00E10B42">
        <w:rPr>
          <w:szCs w:val="22"/>
        </w:rPr>
        <w:t>inaccurately</w:t>
      </w:r>
      <w:r w:rsidR="00FF792A">
        <w:rPr>
          <w:szCs w:val="22"/>
        </w:rPr>
        <w:t xml:space="preserve"> estimate the effect of TasP</w:t>
      </w:r>
      <w:r w:rsidR="00C22A60">
        <w:rPr>
          <w:szCs w:val="22"/>
        </w:rPr>
        <w:t>.</w:t>
      </w:r>
      <w:r w:rsidR="007E2E98">
        <w:rPr>
          <w:szCs w:val="22"/>
        </w:rPr>
        <w:fldChar w:fldCharType="begin" w:fldLock="1"/>
      </w:r>
      <w:r w:rsidR="00053BBA">
        <w:rPr>
          <w:szCs w:val="22"/>
        </w:rPr>
        <w:instrText>ADDIN CSL_CITATION { "citationItems" : [ { "id" : "ITEM-1", "itemData" : { "DOI" : "10.1038/s41598-017-01862-6", "ISSN" : "2045-2322", "PMID" : "28500290", "abstract" : "Treatment as Prevention (TasP) using directly-acting antivirals has been advocated for Hepatitis C Virus (HCV) in people who inject drugs (PWID), but treatment is expensive and TasP's effectiveness is uncertain. Previous modelling has assumed a homogeneously-mixed population or a static network lacking turnover in the population and injecting partnerships. We developed a transmission-dynamic model on a dynamic network of injecting partnerships using data from survey of injecting behaviour carried out in London, UK. We studied transmission on a novel exponential-clustered network, as well as on two simpler networks for comparison, an exponential unclustered and a random network, and found that TasP's effectiveness differs markedly. With respect to an exponential-clustered network, the random network (and homogeneously-mixed population) overestimate TasP's effectiveness, whereas the exponential-unclustered network underestimates it. For all network types TasP's effectiveness depends on whether treated patients change risk behaviour, and on treatment coverage: higher coverage requires fewer total treatments for the same health gain. Whilst TasP can greatly reduce HCV prevalence, incidence of infection, and incidence of reinfection in PWID, assessment of TasP's effectiveness needs to take account of the injecting-partnership network structure and post-treatment behaviour change, and further empirical study is required.", "author" : [ { "dropping-particle" : "", "family" : "Metzig", "given" : "Cornelia", "non-dropping-particle" : "", "parse-names" : false, "suffix" : "" }, { "dropping-particle" : "", "family" : "Surey", "given" : "Julian", "non-dropping-particle" : "", "parse-names" : false, "suffix" : "" }, { "dropping-particle" : "", "family" : "Francis", "given" : "Marie", "non-dropping-particle" : "", "parse-names" : false, "suffix" : "" }, { "dropping-particle" : "", "family" : "Conneely", "given" : "Jim", "non-dropping-particle" : "", "parse-names" : false, "suffix" : "" }, { "dropping-particle" : "", "family" : "Abubakar", "given" : "Ibrahim", "non-dropping-particle" : "", "parse-names" : false, "suffix" : "" }, { "dropping-particle" : "", "family" : "White", "given" : "Peter J", "non-dropping-particle" : "", "parse-names" : false, "suffix" : "" } ], "container-title" : "Scientific reports", "id" : "ITEM-1", "issue" : "1", "issued" : { "date-parts" : [ [ "2017", "5", "12" ] ] }, "page" : "1833", "publisher" : "Nature Publishing Group", "title" : "Impact of Hepatitis C Treatment as Prevention for People Who Inject Drugs is sensitive to contact network structure.", "type" : "article-journal", "volume" : "7" }, "uris" : [ "http://www.mendeley.com/documents/?uuid=51a916fa-0459-3edf-ad69-5dc68edd1a33" ] } ], "mendeley" : { "formattedCitation" : "&lt;sup&gt;9&lt;/sup&gt;", "plainTextFormattedCitation" : "9", "previouslyFormattedCitation" : "&lt;sup&gt;9&lt;/sup&gt;" }, "properties" : { "noteIndex" : 3 }, "schema" : "https://github.com/citation-style-language/schema/raw/master/csl-citation.json" }</w:instrText>
      </w:r>
      <w:r w:rsidR="007E2E98">
        <w:rPr>
          <w:szCs w:val="22"/>
        </w:rPr>
        <w:fldChar w:fldCharType="separate"/>
      </w:r>
      <w:r w:rsidR="00053BBA" w:rsidRPr="00053BBA">
        <w:rPr>
          <w:noProof/>
          <w:szCs w:val="22"/>
          <w:vertAlign w:val="superscript"/>
        </w:rPr>
        <w:t>9</w:t>
      </w:r>
      <w:r w:rsidR="007E2E98">
        <w:rPr>
          <w:szCs w:val="22"/>
        </w:rPr>
        <w:fldChar w:fldCharType="end"/>
      </w:r>
      <w:r w:rsidR="00E10B42">
        <w:rPr>
          <w:szCs w:val="22"/>
        </w:rPr>
        <w:t xml:space="preserve"> </w:t>
      </w:r>
      <w:r w:rsidR="00635C00">
        <w:rPr>
          <w:szCs w:val="22"/>
        </w:rPr>
        <w:t>Further studies, in Australia and the United States of America (USA), have</w:t>
      </w:r>
      <w:r w:rsidR="0035442B">
        <w:rPr>
          <w:szCs w:val="22"/>
        </w:rPr>
        <w:t xml:space="preserve"> </w:t>
      </w:r>
      <w:r w:rsidR="006C6E96">
        <w:rPr>
          <w:szCs w:val="22"/>
        </w:rPr>
        <w:t xml:space="preserve">assessed HCV </w:t>
      </w:r>
      <w:r w:rsidR="002767A1">
        <w:rPr>
          <w:szCs w:val="22"/>
        </w:rPr>
        <w:t xml:space="preserve">transmission and </w:t>
      </w:r>
      <w:r w:rsidR="00635C00">
        <w:rPr>
          <w:szCs w:val="22"/>
        </w:rPr>
        <w:t>treatment in</w:t>
      </w:r>
      <w:r w:rsidR="006C6E96">
        <w:rPr>
          <w:szCs w:val="22"/>
        </w:rPr>
        <w:t xml:space="preserve"> real-world network</w:t>
      </w:r>
      <w:r w:rsidR="00635C00">
        <w:rPr>
          <w:szCs w:val="22"/>
        </w:rPr>
        <w:t>s</w:t>
      </w:r>
      <w:r w:rsidR="006C6E96">
        <w:rPr>
          <w:szCs w:val="22"/>
        </w:rPr>
        <w:t xml:space="preserve"> of PWID</w:t>
      </w:r>
      <w:r w:rsidR="00123D73">
        <w:rPr>
          <w:szCs w:val="22"/>
        </w:rPr>
        <w:t>.</w:t>
      </w:r>
      <w:r w:rsidR="007E2E98">
        <w:rPr>
          <w:szCs w:val="22"/>
        </w:rPr>
        <w:fldChar w:fldCharType="begin" w:fldLock="1"/>
      </w:r>
      <w:r w:rsidR="00053BBA">
        <w:rPr>
          <w:szCs w:val="22"/>
        </w:rPr>
        <w:instrText>ADDIN CSL_CITATION { "citationItems" : [ { "id" : "ITEM-1", "itemData" : { "DOI" : "10.1016/j.jtbi.2011.12.008", "ISSN" : "00225193", "abstract" : "Hepatitis C virus (HCV) is a blood-borne virus that disproportionately affects people who inject drugs (PWIDs). Based on extensive interview and blood test data from a longitudinal study in Melbourne, Australia, we describe an individual-based transmission model for HCV spread amongst PWID. We use this model to simulate the transmission of HCV on an empirical social network of PWID. A feature of our model is that sources of infection can be both network neighbours and non-neighbours via \u201cimporting\u201d. Data-driven estimates of sharing frequency and rate of importing are provided. Compared to an appropriately calibrated fully connected network, the empirical network provides some protective effect on the time to primary infection. We also illustrate heterogeneities in incidence rate of infection, both across and within node degrees (i.e., number of network partners). We explore the reduced risk of infection from spontaneously clearing cutpoint nodes whose infection status oscillates, both in theory and in simulation. Further, we show our model-based estimate of per-event transmission probability largely agrees with previous estimates at the lower end of the range 1\u20133% commonly cited.", "author" : [ { "dropping-particle" : "", "family" : "Rolls", "given" : "D.A.", "non-dropping-particle" : "", "parse-names" : false, "suffix" : "" }, { "dropping-particle" : "", "family" : "Daraganova", "given" : "G.", "non-dropping-particle" : "", "parse-names" : false, "suffix" : "" }, { "dropping-particle" : "", "family" : "Sacks-Davis", "given" : "R.", "non-dropping-particle" : "", "parse-names" : false, "suffix" : "" }, { "dropping-particle" : "", "family" : "Hellard", "given" : "M.", "non-dropping-particle" : "", "parse-names" : false, "suffix" : "" }, { "dropping-particle" : "", "family" : "Jenkinson", "given" : "R.", "non-dropping-particle" : "", "parse-names" : false, "suffix" : "" }, { "dropping-particle" : "", "family" : "McBryde", "given" : "E.", "non-dropping-particle" : "", "parse-names" : false, "suffix" : "" }, { "dropping-particle" : "", "family" : "Pattison", "given" : "P.E.", "non-dropping-particle" : "", "parse-names" : false, "suffix" : "" }, { "dropping-particle" : "", "family" : "Robins", "given" : "G.L.", "non-dropping-particle" : "", "parse-names" : false, "suffix" : "" } ], "container-title" : "Journal of Theoretical Biology", "id" : "ITEM-1", "issued" : { "date-parts" : [ [ "2012" ] ] }, "page" : "73-87", "title" : "Modelling hepatitis C transmission over a social network of injecting drug users", "type" : "article-journal", "volume" : "297" }, "uris" : [ "http://www.mendeley.com/documents/?uuid=ddcffeac-0232-31ee-aae9-4a67f3eb7f1e" ] } ], "mendeley" : { "formattedCitation" : "&lt;sup&gt;12&lt;/sup&gt;", "plainTextFormattedCitation" : "12", "previouslyFormattedCitation" : "&lt;sup&gt;12&lt;/sup&gt;" }, "properties" : { "noteIndex" : 3 }, "schema" : "https://github.com/citation-style-language/schema/raw/master/csl-citation.json" }</w:instrText>
      </w:r>
      <w:r w:rsidR="007E2E98">
        <w:rPr>
          <w:szCs w:val="22"/>
        </w:rPr>
        <w:fldChar w:fldCharType="separate"/>
      </w:r>
      <w:r w:rsidR="00053BBA" w:rsidRPr="00053BBA">
        <w:rPr>
          <w:noProof/>
          <w:szCs w:val="22"/>
          <w:vertAlign w:val="superscript"/>
        </w:rPr>
        <w:t>12</w:t>
      </w:r>
      <w:r w:rsidR="007E2E98">
        <w:rPr>
          <w:szCs w:val="22"/>
        </w:rPr>
        <w:fldChar w:fldCharType="end"/>
      </w:r>
      <w:r w:rsidR="00123D73">
        <w:rPr>
          <w:szCs w:val="22"/>
        </w:rPr>
        <w:t xml:space="preserve"> </w:t>
      </w:r>
      <w:r w:rsidR="00635C00">
        <w:rPr>
          <w:szCs w:val="22"/>
        </w:rPr>
        <w:t xml:space="preserve">The </w:t>
      </w:r>
      <w:r w:rsidR="008B1F2B">
        <w:rPr>
          <w:szCs w:val="22"/>
        </w:rPr>
        <w:t>Australian</w:t>
      </w:r>
      <w:r w:rsidR="00635C00">
        <w:rPr>
          <w:szCs w:val="22"/>
        </w:rPr>
        <w:t xml:space="preserve"> study</w:t>
      </w:r>
      <w:r w:rsidR="000B73F4">
        <w:rPr>
          <w:szCs w:val="22"/>
        </w:rPr>
        <w:t xml:space="preserve"> showed that the empirical network </w:t>
      </w:r>
      <w:r w:rsidR="00FB3CE4">
        <w:rPr>
          <w:szCs w:val="22"/>
        </w:rPr>
        <w:t>topography</w:t>
      </w:r>
      <w:r w:rsidR="000B73F4">
        <w:rPr>
          <w:szCs w:val="22"/>
        </w:rPr>
        <w:t xml:space="preserve"> was protective against </w:t>
      </w:r>
      <w:r w:rsidR="002767A1">
        <w:rPr>
          <w:szCs w:val="22"/>
        </w:rPr>
        <w:t>HCV transmission</w:t>
      </w:r>
      <w:r w:rsidR="00635C00">
        <w:rPr>
          <w:szCs w:val="22"/>
        </w:rPr>
        <w:t xml:space="preserve"> and that this tempered the </w:t>
      </w:r>
      <w:r w:rsidR="008B1F2B">
        <w:rPr>
          <w:szCs w:val="22"/>
        </w:rPr>
        <w:t>effect</w:t>
      </w:r>
      <w:r w:rsidR="00635C00">
        <w:rPr>
          <w:szCs w:val="22"/>
        </w:rPr>
        <w:t xml:space="preserve"> of</w:t>
      </w:r>
      <w:r w:rsidR="000B73F4">
        <w:rPr>
          <w:szCs w:val="22"/>
        </w:rPr>
        <w:t xml:space="preserve"> </w:t>
      </w:r>
      <w:proofErr w:type="spellStart"/>
      <w:r w:rsidR="00D7716A">
        <w:rPr>
          <w:szCs w:val="22"/>
        </w:rPr>
        <w:t>TasP</w:t>
      </w:r>
      <w:proofErr w:type="spellEnd"/>
      <w:r w:rsidR="008B1F2B">
        <w:rPr>
          <w:szCs w:val="22"/>
        </w:rPr>
        <w:t>. Both studies showed that this effect</w:t>
      </w:r>
      <w:r w:rsidR="00D7716A">
        <w:rPr>
          <w:szCs w:val="22"/>
        </w:rPr>
        <w:t xml:space="preserve"> varied depending </w:t>
      </w:r>
      <w:r w:rsidR="008D274A">
        <w:rPr>
          <w:szCs w:val="22"/>
        </w:rPr>
        <w:t xml:space="preserve">on </w:t>
      </w:r>
      <w:r w:rsidR="00D7716A">
        <w:rPr>
          <w:szCs w:val="22"/>
        </w:rPr>
        <w:t>where in the network treatment was targeted</w:t>
      </w:r>
      <w:r w:rsidR="00123D73">
        <w:rPr>
          <w:szCs w:val="22"/>
        </w:rPr>
        <w:t>.</w:t>
      </w:r>
      <w:r w:rsidR="00DB255B">
        <w:rPr>
          <w:szCs w:val="22"/>
        </w:rPr>
        <w:fldChar w:fldCharType="begin" w:fldLock="1"/>
      </w:r>
      <w:r w:rsidR="00053BBA">
        <w:rPr>
          <w:szCs w:val="22"/>
        </w:rPr>
        <w:instrText>ADDIN CSL_CITATION { "citationItems" : [ { "id" : "ITEM-1", "itemData" : { "DOI" : "10.1002/hep.27403", "ISBN" : "1527-3350 (Electronic)\\r0270-9139 (Linking)", "ISSN" : "15273350", "PMID" : "25163856", "abstract" : "UNLABELLED: With the development of new highly efficacious direct-acting antiviral (DAA) treatments for hepatitis C virus (HCV), the concept of treatment as prevention is gaining credence. To date, the majority of mathematical models assume perfect mixing, with injectors having equal contact with all other injectors. This article explores how using a networks-based approach to treat people who inject drugs (PWID) with DAAs affects HCV prevalence. Using observational data, we parameterized an exponential random graph model containing 524 nodes. We simulated transmission of HCV through this network using a discrete time, stochastic transmission model. The effect of five treatment strategies on the prevalence of HCV was investigated; two of these strategies were (1) treat randomly selected nodes and (2) \"treat your friends,\" where an individual is chosen at random for treatment and all their infected neighbors are treated. As treatment coverage increases, HCV prevalence at 10 years reduces for both the high- and low-efficacy treatment. Within each set of parameters, the treat your friends strategy performed better than the random strategy being most marked for higher-efficacy treatment. For example, over 10 years of treating 25 per 1,000 PWID, the prevalence drops from 50% to 40% for the random strategy and to 33% for the treat your friends strategy (6.5% difference; 95% confidence interval: 5.1-8.1).\\n\\nCONCLUSION: Treat your friends is a feasible means of utilizing network strategies to improve treatment efficiency. In an era of highly efficacious and highly tolerable treatment, such an approach will benefit not just the individual, but also the community more broadly by reducing the prevalence of HCV among PWID.", "author" : [ { "dropping-particle" : "", "family" : "Hellard", "given" : "Margaret", "non-dropping-particle" : "", "parse-names" : false, "suffix" : "" }, { "dropping-particle" : "", "family" : "Rolls", "given" : "David A.", "non-dropping-particle" : "", "parse-names" : false, "suffix" : "" }, { "dropping-particle" : "", "family" : "Sacks-Davis", "given" : "Rachel", "non-dropping-particle" : "", "parse-names" : false, "suffix" : "" }, { "dropping-particle" : "", "family" : "Robins", "given" : "Garry", "non-dropping-particle" : "", "parse-names" : false, "suffix" : "" }, { "dropping-particle" : "", "family" : "Pattison", "given" : "Philippa", "non-dropping-particle" : "", "parse-names" : false, "suffix" : "" }, { "dropping-particle" : "", "family" : "Higgs", "given" : "Peter", "non-dropping-particle" : "", "parse-names" : false, "suffix" : "" }, { "dropping-particle" : "", "family" : "Aitken", "given" : "Campbell", "non-dropping-particle" : "", "parse-names" : false, "suffix" : "" }, { "dropping-particle" : "", "family" : "Mcbryde", "given" : "Emma", "non-dropping-particle" : "", "parse-names" : false, "suffix" : "" } ], "container-title" : "Hepatology", "id" : "ITEM-1", "issue" : "6", "issued" : { "date-parts" : [ [ "2014" ] ] }, "title" : "The impact of injecting networks on hepatitis C transmission and treatment in people who inject drugs", "type" : "article-journal", "volume" : "60" }, "uris" : [ "http://www.mendeley.com/documents/?uuid=a884f0f5-40e9-3131-a207-0d68bfb76cf1" ] }, { "id" : "ITEM-2", "itemData" : { "DOI" : "10.1016/S1473-3099(17)30676-X", "ISSN" : "14733099", "PMID" : "29153265", "abstract" : "BACKGROUND Chronic infections with hepatitis C virus (HCV) and HIV are highly prevalent in the USA and concentrated in people who inject drugs. Treatment as prevention with highly effective new direct-acting antivirals is a prospective HCV elimination strategy. We used network-based modelling to analyse the effect of this strategy in HCV-infected people who inject drugs in a US city. METHODS Five graph models were fit using data from 1574 people who inject drugs in Hartford, CT, USA. We used a degree-corrected stochastic block model, based on goodness-of-fit, to model networks of injection drug users. We simulated transmission of HCV and HIV through this network with varying levels of HCV treatment coverage (0%, 3%, 6%, 12%, or 24%) and varying baseline HCV prevalence in people who inject drugs (30%, 60%, 75%, or 85%). We compared the effectiveness of seven treatment-as-prevention strategies on reducing HCV prevalence over 10 years and 20 years versus no treatment. The strategies consisted of treatment assigned to either a randomly chosen individual who injects drugs or to an individual with the highest number of injection partners. Additional strategies explored the effects of treating either none, half, or all of the injection partners of the selected individual, as well as a strategy based on respondent-driven recruitment into treatment. FINDINGS Our model estimates show that at the highest baseline HCV prevalence in people who inject drugs (85%), expansion of treatment coverage does not substantially reduce HCV prevalence for any treatment-as-prevention strategy. However, when baseline HCV prevalence is 60% or lower, treating more than 120 (12%) individuals per 1000 people who inject drugs per year would probably eliminate HCV within 10 years. On average, assigning treatment randomly to individuals who inject drugs is better than targeting individuals with the most injection partners. Treatment-as-prevention strategies that treat additional network members are among the best performing strategies and can enhance less effective strategies that target the degree (ie, the highest number of injection partners) within the network. INTERPRETATION Successful HCV treatment as prevention should incorporate the baseline HCV prevalence and will achieve the greatest benefit when coverage is sufficiently expanded. FUNDING National Institute on Drug Abuse.", "author" : [ { "dropping-particle" : "", "family" : "Zelenev", "given" : "Alexei", "non-dropping-particle" : "", "parse-names" : false, "suffix" : "" }, { "dropping-particle" : "", "family" : "Li", "given" : "Jianghong", "non-dropping-particle" : "", "parse-names" : false, "suffix" : "" }, { "dropping-particle" : "", "family" : "Mazhnaya", "given" : "Alyona", "non-dropping-particle" : "", "parse-names" : false, "suffix" : "" }, { "dropping-particle" : "", "family" : "Basu", "given" : "Sanjay", "non-dropping-particle" : "", "parse-names" : false, "suffix" : "" }, { "dropping-particle" : "", "family" : "Altice", "given" : "Frederick L", "non-dropping-particle" : "", "parse-names" : false, "suffix" : "" } ], "container-title" : "The Lancet Infectious Diseases", "id" : "ITEM-2", "issue" : "2", "issued" : { "date-parts" : [ [ "2018", "2" ] ] }, "page" : "215-224", "title" : "Hepatitis C virus treatment as prevention in an extended network of people who inject drugs in the USA: a modelling study", "type" : "article-journal", "volume" : "18" }, "uris" : [ "http://www.mendeley.com/documents/?uuid=7fd02e74-37ac-34c2-af29-52d8a9690689" ] } ], "mendeley" : { "formattedCitation" : "&lt;sup&gt;11,13&lt;/sup&gt;", "plainTextFormattedCitation" : "11,13", "previouslyFormattedCitation" : "&lt;sup&gt;11,13&lt;/sup&gt;" }, "properties" : { "noteIndex" : 4 }, "schema" : "https://github.com/citation-style-language/schema/raw/master/csl-citation.json" }</w:instrText>
      </w:r>
      <w:r w:rsidR="00DB255B">
        <w:rPr>
          <w:szCs w:val="22"/>
        </w:rPr>
        <w:fldChar w:fldCharType="separate"/>
      </w:r>
      <w:r w:rsidR="00053BBA" w:rsidRPr="00053BBA">
        <w:rPr>
          <w:noProof/>
          <w:szCs w:val="22"/>
          <w:vertAlign w:val="superscript"/>
        </w:rPr>
        <w:t>11,13</w:t>
      </w:r>
      <w:r w:rsidR="00DB255B">
        <w:rPr>
          <w:szCs w:val="22"/>
        </w:rPr>
        <w:fldChar w:fldCharType="end"/>
      </w:r>
    </w:p>
    <w:p w14:paraId="2D7B6CAA" w14:textId="77777777" w:rsidR="00D7716A" w:rsidRDefault="00D7716A" w:rsidP="00757BD9">
      <w:pPr>
        <w:spacing w:line="480" w:lineRule="auto"/>
        <w:jc w:val="both"/>
        <w:rPr>
          <w:szCs w:val="22"/>
        </w:rPr>
      </w:pPr>
    </w:p>
    <w:p w14:paraId="2EB10A0C" w14:textId="5C3BCDAA" w:rsidR="005B19A7" w:rsidRPr="002767A1" w:rsidRDefault="0098063A" w:rsidP="00757BD9">
      <w:pPr>
        <w:spacing w:line="480" w:lineRule="auto"/>
        <w:jc w:val="both"/>
      </w:pPr>
      <w:r>
        <w:rPr>
          <w:szCs w:val="22"/>
        </w:rPr>
        <w:t>N</w:t>
      </w:r>
      <w:r w:rsidR="008E2D48">
        <w:rPr>
          <w:szCs w:val="22"/>
        </w:rPr>
        <w:t>etwork</w:t>
      </w:r>
      <w:r w:rsidR="00DE184F">
        <w:rPr>
          <w:szCs w:val="22"/>
        </w:rPr>
        <w:t xml:space="preserve"> </w:t>
      </w:r>
      <w:r w:rsidR="00FB3CE4">
        <w:rPr>
          <w:szCs w:val="22"/>
        </w:rPr>
        <w:t xml:space="preserve">topography </w:t>
      </w:r>
      <w:r w:rsidR="002767A1">
        <w:t>is important to HCV tra</w:t>
      </w:r>
      <w:r w:rsidR="00394176">
        <w:t>nsmission dynamics and the real-</w:t>
      </w:r>
      <w:r w:rsidR="002767A1">
        <w:t>w</w:t>
      </w:r>
      <w:r w:rsidR="006A1337">
        <w:t xml:space="preserve">orld effect of </w:t>
      </w:r>
      <w:proofErr w:type="spellStart"/>
      <w:r w:rsidR="006A1337">
        <w:t>TasP</w:t>
      </w:r>
      <w:proofErr w:type="spellEnd"/>
      <w:r>
        <w:t>,</w:t>
      </w:r>
      <w:r w:rsidR="00DE184F">
        <w:t xml:space="preserve"> but there is li</w:t>
      </w:r>
      <w:r w:rsidR="006A6D76">
        <w:t>mited</w:t>
      </w:r>
      <w:r w:rsidR="00635C00">
        <w:t xml:space="preserve"> data describing</w:t>
      </w:r>
      <w:r w:rsidR="00DE184F">
        <w:t xml:space="preserve"> </w:t>
      </w:r>
      <w:r w:rsidR="00635C00">
        <w:t>HCV transmission and treatment</w:t>
      </w:r>
      <w:r w:rsidR="00DE184F">
        <w:t xml:space="preserve"> </w:t>
      </w:r>
      <w:r w:rsidR="00635C00">
        <w:t>within these networks</w:t>
      </w:r>
      <w:r w:rsidR="00DE184F">
        <w:t>.</w:t>
      </w:r>
      <w:r w:rsidR="006A1337">
        <w:t xml:space="preserve"> To </w:t>
      </w:r>
      <w:r w:rsidR="00CF0C32">
        <w:t>help address this uncertainty</w:t>
      </w:r>
      <w:r w:rsidR="006A1337">
        <w:t xml:space="preserve"> </w:t>
      </w:r>
      <w:r w:rsidR="002767A1">
        <w:t>w</w:t>
      </w:r>
      <w:r w:rsidR="005B19A7">
        <w:t xml:space="preserve">e </w:t>
      </w:r>
      <w:r>
        <w:t xml:space="preserve">have studied </w:t>
      </w:r>
      <w:r w:rsidR="005A243E">
        <w:t xml:space="preserve">PWID on the Isle of Wight (IoW), a geographically isolated community in </w:t>
      </w:r>
      <w:r>
        <w:t>t</w:t>
      </w:r>
      <w:r w:rsidR="005B19A7">
        <w:t xml:space="preserve">he Isle of Wight (IoW) in the </w:t>
      </w:r>
      <w:r w:rsidR="00766BF3">
        <w:t>United Kingdom (</w:t>
      </w:r>
      <w:r w:rsidR="005B19A7">
        <w:t>UK</w:t>
      </w:r>
      <w:r w:rsidR="00766BF3">
        <w:t>)</w:t>
      </w:r>
      <w:r w:rsidR="005B19A7">
        <w:t>.</w:t>
      </w:r>
      <w:r w:rsidR="00932AC5">
        <w:rPr>
          <w:bCs/>
          <w:szCs w:val="22"/>
        </w:rPr>
        <w:t xml:space="preserve"> </w:t>
      </w:r>
      <w:r w:rsidR="005A243E">
        <w:rPr>
          <w:bCs/>
          <w:szCs w:val="22"/>
        </w:rPr>
        <w:t>As</w:t>
      </w:r>
      <w:r w:rsidR="005B19A7" w:rsidRPr="007D293A">
        <w:rPr>
          <w:bCs/>
          <w:szCs w:val="22"/>
        </w:rPr>
        <w:t xml:space="preserve"> a contained community within a </w:t>
      </w:r>
      <w:r w:rsidR="005B19A7">
        <w:rPr>
          <w:bCs/>
          <w:szCs w:val="22"/>
        </w:rPr>
        <w:t>rel</w:t>
      </w:r>
      <w:r w:rsidR="00E15240">
        <w:rPr>
          <w:bCs/>
          <w:szCs w:val="22"/>
        </w:rPr>
        <w:t>atively stable population</w:t>
      </w:r>
      <w:r w:rsidR="005A243E">
        <w:rPr>
          <w:bCs/>
          <w:szCs w:val="22"/>
        </w:rPr>
        <w:t>,</w:t>
      </w:r>
      <w:r w:rsidR="00E15240">
        <w:rPr>
          <w:bCs/>
          <w:szCs w:val="22"/>
        </w:rPr>
        <w:t xml:space="preserve"> the Io</w:t>
      </w:r>
      <w:r w:rsidR="005B19A7">
        <w:rPr>
          <w:bCs/>
          <w:szCs w:val="22"/>
        </w:rPr>
        <w:t>W provides</w:t>
      </w:r>
      <w:r w:rsidR="0085705D">
        <w:rPr>
          <w:bCs/>
          <w:szCs w:val="22"/>
        </w:rPr>
        <w:t xml:space="preserve"> </w:t>
      </w:r>
      <w:r>
        <w:rPr>
          <w:bCs/>
          <w:szCs w:val="22"/>
        </w:rPr>
        <w:t>a valuable</w:t>
      </w:r>
      <w:r w:rsidRPr="007D293A">
        <w:rPr>
          <w:bCs/>
          <w:szCs w:val="22"/>
        </w:rPr>
        <w:t xml:space="preserve"> </w:t>
      </w:r>
      <w:r w:rsidR="005B19A7" w:rsidRPr="007D293A">
        <w:rPr>
          <w:bCs/>
          <w:szCs w:val="22"/>
        </w:rPr>
        <w:t xml:space="preserve">opportunity </w:t>
      </w:r>
      <w:r w:rsidR="005B19A7">
        <w:rPr>
          <w:bCs/>
          <w:szCs w:val="22"/>
        </w:rPr>
        <w:t>to define a network of PWID</w:t>
      </w:r>
      <w:r>
        <w:rPr>
          <w:bCs/>
          <w:szCs w:val="22"/>
        </w:rPr>
        <w:t xml:space="preserve"> in detail</w:t>
      </w:r>
      <w:r w:rsidR="005B19A7">
        <w:rPr>
          <w:bCs/>
          <w:szCs w:val="22"/>
        </w:rPr>
        <w:t xml:space="preserve"> and</w:t>
      </w:r>
      <w:r w:rsidR="005B19A7" w:rsidRPr="007D293A">
        <w:rPr>
          <w:bCs/>
          <w:szCs w:val="22"/>
        </w:rPr>
        <w:t xml:space="preserve"> explore the effectiveness </w:t>
      </w:r>
      <w:r w:rsidR="008E2D48">
        <w:rPr>
          <w:bCs/>
          <w:szCs w:val="22"/>
        </w:rPr>
        <w:t xml:space="preserve">of </w:t>
      </w:r>
      <w:proofErr w:type="spellStart"/>
      <w:r w:rsidR="005B19A7">
        <w:rPr>
          <w:bCs/>
          <w:szCs w:val="22"/>
        </w:rPr>
        <w:t>TasP</w:t>
      </w:r>
      <w:proofErr w:type="spellEnd"/>
      <w:r w:rsidR="005B19A7">
        <w:rPr>
          <w:bCs/>
          <w:szCs w:val="22"/>
        </w:rPr>
        <w:t xml:space="preserve">. </w:t>
      </w:r>
      <w:r w:rsidR="009007D2">
        <w:rPr>
          <w:bCs/>
          <w:szCs w:val="22"/>
        </w:rPr>
        <w:t>In this paper we des</w:t>
      </w:r>
      <w:r w:rsidR="004F0FF0">
        <w:rPr>
          <w:bCs/>
          <w:szCs w:val="22"/>
        </w:rPr>
        <w:t>c</w:t>
      </w:r>
      <w:r w:rsidR="009007D2">
        <w:rPr>
          <w:bCs/>
          <w:szCs w:val="22"/>
        </w:rPr>
        <w:t xml:space="preserve">ribe </w:t>
      </w:r>
      <w:r w:rsidR="005B19A7">
        <w:rPr>
          <w:bCs/>
          <w:szCs w:val="22"/>
        </w:rPr>
        <w:t xml:space="preserve">the injecting network connecting PWID living on the IoW and then test the effect </w:t>
      </w:r>
      <w:r w:rsidR="008D274A">
        <w:rPr>
          <w:bCs/>
          <w:szCs w:val="22"/>
        </w:rPr>
        <w:t xml:space="preserve">of treatment </w:t>
      </w:r>
      <w:r w:rsidR="005B19A7">
        <w:rPr>
          <w:bCs/>
          <w:szCs w:val="22"/>
        </w:rPr>
        <w:t>within this network</w:t>
      </w:r>
      <w:r w:rsidR="008D274A">
        <w:rPr>
          <w:bCs/>
          <w:szCs w:val="22"/>
        </w:rPr>
        <w:t xml:space="preserve"> on disease transmission</w:t>
      </w:r>
      <w:r w:rsidR="005B19A7">
        <w:rPr>
          <w:bCs/>
          <w:szCs w:val="22"/>
        </w:rPr>
        <w:t>.</w:t>
      </w:r>
    </w:p>
    <w:p w14:paraId="7ECECCF6" w14:textId="601C3FD1" w:rsidR="00353CE2" w:rsidRDefault="00353CE2">
      <w:pPr>
        <w:rPr>
          <w:b/>
          <w:u w:val="single"/>
        </w:rPr>
      </w:pPr>
      <w:r>
        <w:rPr>
          <w:b/>
          <w:u w:val="single"/>
        </w:rPr>
        <w:br w:type="page"/>
      </w:r>
    </w:p>
    <w:p w14:paraId="404EE6CA" w14:textId="38380A95" w:rsidR="00B15162" w:rsidRPr="00476D4D" w:rsidRDefault="00394176" w:rsidP="00757BD9">
      <w:pPr>
        <w:spacing w:line="480" w:lineRule="auto"/>
        <w:rPr>
          <w:b/>
          <w:u w:val="single"/>
        </w:rPr>
      </w:pPr>
      <w:r>
        <w:rPr>
          <w:b/>
          <w:u w:val="single"/>
        </w:rPr>
        <w:lastRenderedPageBreak/>
        <w:t>Method</w:t>
      </w:r>
    </w:p>
    <w:p w14:paraId="11FB835A" w14:textId="77777777" w:rsidR="00476D4D" w:rsidRPr="00476D4D" w:rsidRDefault="00476D4D" w:rsidP="00757BD9">
      <w:pPr>
        <w:spacing w:line="480" w:lineRule="auto"/>
      </w:pPr>
    </w:p>
    <w:p w14:paraId="312E1BFC" w14:textId="2CDE6061" w:rsidR="00514186" w:rsidRPr="00136E52" w:rsidRDefault="00D925E8" w:rsidP="00757BD9">
      <w:pPr>
        <w:spacing w:line="480" w:lineRule="auto"/>
        <w:jc w:val="both"/>
        <w:rPr>
          <w:b/>
        </w:rPr>
      </w:pPr>
      <w:r w:rsidRPr="00F42425">
        <w:rPr>
          <w:b/>
        </w:rPr>
        <w:t>Participant recruitment</w:t>
      </w:r>
    </w:p>
    <w:p w14:paraId="1DD61840" w14:textId="22D8264D" w:rsidR="00381A5A" w:rsidRDefault="00514186" w:rsidP="00757BD9">
      <w:pPr>
        <w:spacing w:line="480" w:lineRule="auto"/>
        <w:jc w:val="both"/>
      </w:pPr>
      <w:r>
        <w:t>R</w:t>
      </w:r>
      <w:r w:rsidR="007E2E98">
        <w:t>espondent driven sampling (RDS)</w:t>
      </w:r>
      <w:r w:rsidR="00EF4FEF">
        <w:t xml:space="preserve"> </w:t>
      </w:r>
      <w:r>
        <w:t xml:space="preserve">was used to identify PWID for the study. </w:t>
      </w:r>
      <w:r w:rsidR="00C705F5">
        <w:t xml:space="preserve"> Sampling was conducted according to standard procedures and is reported against the STROBE-RDS guidelines in Supplementar</w:t>
      </w:r>
      <w:r w:rsidR="005E4E1A">
        <w:t>y A</w:t>
      </w:r>
      <w:r w:rsidR="00C705F5">
        <w:t>ppendix 1</w:t>
      </w:r>
      <w:r w:rsidR="00123D73">
        <w:t>.</w:t>
      </w:r>
      <w:r w:rsidR="003B2CA3">
        <w:fldChar w:fldCharType="begin" w:fldLock="1"/>
      </w:r>
      <w:r w:rsidR="00053BBA">
        <w:instrText>ADDIN CSL_CITATION { "citationItems" : [ { "id" : "ITEM-1", "itemData" : { "DOI" : "10.1016/j.jclinepi.2015.04.002 &lt;http://dx.doi.org/10.1016/j.jclinepi.2015.04.002&gt;", "abstract" : "OBJECTIVES: Respondent-driven sampling (RDS) is a new data collection methodology used to estimate characteristics of hard-to-reach groups, such as the HIV prevalence in drug users. Many national public health systems and international organizations rely on RDS data. However, RDS reporting quality and available reporting guidelines are inadequate. We carried out a systematic review of RDS studies and present Strengthening the Reporting of Observational Studies in Epidemiology for RDS Studies (STROBE-RDS), a checklist of essential items to present in RDS publications, justified by an explanation and elaboration document. STUDY DESIGN AND SETTING: We searched the MEDLINE (1970-2013), EMBASE (1974-2013), and Global Health (1910-2013) databases to assess the number and geographical distribution of published RDS studies. STROBE-RDS was developed based on STROBE guidelines, following Guidance for Developers of Health Research Reporting Guidelines. RESULTS: RDS has been used in over 460 studies from 69 countries, including the USA (151 studies), China (70), and India (32). STROBE-RDS includes modifications to 12 of the 22 items on the STROBE checklist. The two key areas that required modification concerned the selection of participants and statistical analysis of the sample. CONCLUSION: STROBE-RDS seeks to enhance the transparency and utility of research using RDS. If widely adopted, STROBE-RDS should improve global infectious diseases public health decision making.", "author" : [ { "dropping-particle" : "", "family" : "White", "given" : "RG", "non-dropping-particle" : "", "parse-names" : false, "suffix" : "" }, { "dropping-particle" : "", "family" : "Hakim", "given" : "AJ", "non-dropping-particle" : "", "parse-names" : false, "suffix" : "" }, { "dropping-particle" : "", "family" : "Salganik", "given" : "MJ", "non-dropping-particle" : "", "parse-names" : false, "suffix" : "" }, { "dropping-particle" : "", "family" : "Spiller", "given" : "MW", "non-dropping-particle" : "", "parse-names" : false, "suffix" : "" }, { "dropping-particle" : "", "family" : "Johnston", "given" : "LG", "non-dropping-particle" : "", "parse-names" : false, "suffix" : "" }, { "dropping-particle" : "", "family" : "Kerr", "given" : "L", "non-dropping-particle" : "", "parse-names" : false, "suffix" : "" }, { "dropping-particle" : "", "family" : "Kendall", "given" : "C", "non-dropping-particle" : "", "parse-names" : false, "suffix" : "" }, { "dropping-particle" : "", "family" : "Drake", "given" : "A", "non-dropping-particle" : "", "parse-names" : false, "suffix" : "" }, { "dropping-particle" : "", "family" : "Wilson", "given" : "D", "non-dropping-particle" : "", "parse-names" : false, "suffix" : "" }, { "dropping-particle" : "", "family" : "Orroth", "given" : "K", "non-dropping-particle" : "", "parse-names" : false, "suffix" : "" }, { "dropping-particle" : "", "family" : "Egger", "given" : "M", "non-dropping-particle" : "", "parse-names" : false, "suffix" : "" }, { "dropping-particle" : "", "family" : "Hladik", "given" : "W", "non-dropping-particle" : "", "parse-names" : false, "suffix" : "" } ], "container-title" : "Journal of clinical epidemiology", "id" : "ITEM-1", "issue" : "12", "issued" : { "date-parts" : [ [ "2015", "6", "29" ] ] }, "language" : "en", "page" : "1463-71", "publisher" : "Elsevier", "title" : "Strengthening the Reporting of Observational Studies in Epidemiology for respondent-driven sampling studies: \"STROBE-RDS\" statement.", "type" : "article-journal", "volume" : "68" }, "uris" : [ "http://www.mendeley.com/documents/?uuid=8d2b19d3-06e1-4f4b-aae7-bfa0a28ca96a" ] } ], "mendeley" : { "formattedCitation" : "&lt;sup&gt;14&lt;/sup&gt;", "plainTextFormattedCitation" : "14", "previouslyFormattedCitation" : "&lt;sup&gt;14&lt;/sup&gt;" }, "properties" : { "noteIndex" : 5 }, "schema" : "https://github.com/citation-style-language/schema/raw/master/csl-citation.json" }</w:instrText>
      </w:r>
      <w:r w:rsidR="003B2CA3">
        <w:fldChar w:fldCharType="separate"/>
      </w:r>
      <w:r w:rsidR="00053BBA" w:rsidRPr="00053BBA">
        <w:rPr>
          <w:noProof/>
          <w:vertAlign w:val="superscript"/>
        </w:rPr>
        <w:t>14</w:t>
      </w:r>
      <w:r w:rsidR="003B2CA3">
        <w:fldChar w:fldCharType="end"/>
      </w:r>
      <w:r w:rsidR="00C705F5">
        <w:t xml:space="preserve"> </w:t>
      </w:r>
      <w:r w:rsidR="00381A5A">
        <w:t>All participants completed informed written consent and the study was conducted</w:t>
      </w:r>
      <w:r w:rsidR="0012613A">
        <w:t xml:space="preserve"> with ethical approval </w:t>
      </w:r>
      <w:r w:rsidR="0012613A">
        <w:rPr>
          <w:szCs w:val="22"/>
        </w:rPr>
        <w:t>(East London REC office, REC reference number 15/LO/1076)</w:t>
      </w:r>
      <w:r w:rsidR="00304AC8">
        <w:rPr>
          <w:szCs w:val="22"/>
        </w:rPr>
        <w:t>.</w:t>
      </w:r>
      <w:r w:rsidR="003B2CA3">
        <w:rPr>
          <w:szCs w:val="22"/>
        </w:rPr>
        <w:t xml:space="preserve"> The ful</w:t>
      </w:r>
      <w:r w:rsidR="00123D73">
        <w:rPr>
          <w:szCs w:val="22"/>
        </w:rPr>
        <w:t>l study protocol is available at</w:t>
      </w:r>
      <w:r w:rsidR="00766BF3">
        <w:rPr>
          <w:szCs w:val="22"/>
        </w:rPr>
        <w:t>:</w:t>
      </w:r>
      <w:r w:rsidR="003B2CA3">
        <w:rPr>
          <w:szCs w:val="22"/>
        </w:rPr>
        <w:t xml:space="preserve"> </w:t>
      </w:r>
      <w:r w:rsidR="001D6682" w:rsidRPr="001D6682">
        <w:rPr>
          <w:szCs w:val="22"/>
        </w:rPr>
        <w:t>https://pure.soton.ac.uk/admin/workspace/personal/family/upmproject/</w:t>
      </w:r>
      <w:r w:rsidR="00766BF3">
        <w:rPr>
          <w:szCs w:val="22"/>
        </w:rPr>
        <w:t>.</w:t>
      </w:r>
    </w:p>
    <w:p w14:paraId="14B91585" w14:textId="77777777" w:rsidR="00476D4D" w:rsidRDefault="00476D4D" w:rsidP="00757BD9">
      <w:pPr>
        <w:spacing w:line="480" w:lineRule="auto"/>
        <w:jc w:val="both"/>
      </w:pPr>
    </w:p>
    <w:p w14:paraId="63FD4910" w14:textId="71783D8E" w:rsidR="00476D4D" w:rsidRPr="00136E52" w:rsidRDefault="00476D4D" w:rsidP="00757BD9">
      <w:pPr>
        <w:spacing w:line="480" w:lineRule="auto"/>
        <w:jc w:val="both"/>
        <w:rPr>
          <w:b/>
        </w:rPr>
      </w:pPr>
      <w:r w:rsidRPr="00F42425">
        <w:rPr>
          <w:b/>
        </w:rPr>
        <w:t>Social network data collection</w:t>
      </w:r>
    </w:p>
    <w:p w14:paraId="7F22431C" w14:textId="0F77C1F5" w:rsidR="00B15162" w:rsidRPr="00B77B48" w:rsidRDefault="00EF4FEF" w:rsidP="00757BD9">
      <w:pPr>
        <w:spacing w:line="480" w:lineRule="auto"/>
        <w:jc w:val="both"/>
        <w:rPr>
          <w:i/>
        </w:rPr>
      </w:pPr>
      <w:r>
        <w:t xml:space="preserve">A </w:t>
      </w:r>
      <w:r w:rsidR="00EB5B80" w:rsidRPr="004D58ED">
        <w:rPr>
          <w:szCs w:val="22"/>
        </w:rPr>
        <w:t>triangulation matrix</w:t>
      </w:r>
      <w:r>
        <w:rPr>
          <w:szCs w:val="22"/>
        </w:rPr>
        <w:t xml:space="preserve"> was used</w:t>
      </w:r>
      <w:r w:rsidR="00EB5B80" w:rsidRPr="004D58ED">
        <w:rPr>
          <w:szCs w:val="22"/>
        </w:rPr>
        <w:t xml:space="preserve"> </w:t>
      </w:r>
      <w:r>
        <w:t xml:space="preserve">to define </w:t>
      </w:r>
      <w:r w:rsidR="00B77B48">
        <w:t xml:space="preserve">the </w:t>
      </w:r>
      <w:r>
        <w:t xml:space="preserve">injecting </w:t>
      </w:r>
      <w:r w:rsidR="00B77B48">
        <w:t>partners of</w:t>
      </w:r>
      <w:r>
        <w:t xml:space="preserve"> each participant</w:t>
      </w:r>
      <w:r w:rsidR="00B77B48">
        <w:t>.</w:t>
      </w:r>
      <w:r w:rsidR="00434A69">
        <w:fldChar w:fldCharType="begin" w:fldLock="1"/>
      </w:r>
      <w:r w:rsidR="00053BBA">
        <w:instrText>ADDIN CSL_CITATION { "citationItems" : [ { "id" : "ITEM-1", "itemData" : { "ISBN" : "978-1-107-63105-2", "author" : [ { "dropping-particle" : "", "family" : "Wald", "given" : "Andreas", "non-dropping-particle" : "", "parse-names" : false, "suffix" : "" } ], "chapter-number" : "Chapter 2", "container-title" : "Mixed Methods Social Networks Research", "edition" : "1st Editio", "editor" : [ { "dropping-particle" : "", "family" : "Dominguez", "given" : "Silvia", "non-dropping-particle" : "", "parse-names" : false, "suffix" : "" }, { "dropping-particle" : "", "family" : "Hollstein", "given" : "Betina", "non-dropping-particle" : "", "parse-names" : false, "suffix" : "" } ], "id" : "ITEM-1", "issued" : { "date-parts" : [ [ "2014" ] ] }, "page" : "65-83", "publisher" : "Cambridge University Press", "publisher-place" : "New York", "title" : "Triangulation and validity of network data", "type" : "chapter" }, "uris" : [ "http://www.mendeley.com/documents/?uuid=927a5cf9-653d-4a67-a049-33432839743e" ] } ], "mendeley" : { "formattedCitation" : "&lt;sup&gt;15&lt;/sup&gt;", "plainTextFormattedCitation" : "15", "previouslyFormattedCitation" : "&lt;sup&gt;15&lt;/sup&gt;" }, "properties" : { "noteIndex" : 4 }, "schema" : "https://github.com/citation-style-language/schema/raw/master/csl-citation.json" }</w:instrText>
      </w:r>
      <w:r w:rsidR="00434A69">
        <w:fldChar w:fldCharType="separate"/>
      </w:r>
      <w:r w:rsidR="00053BBA" w:rsidRPr="00053BBA">
        <w:rPr>
          <w:noProof/>
          <w:vertAlign w:val="superscript"/>
        </w:rPr>
        <w:t>15</w:t>
      </w:r>
      <w:r w:rsidR="00434A69">
        <w:fldChar w:fldCharType="end"/>
      </w:r>
      <w:r w:rsidR="00B77B48">
        <w:t xml:space="preserve"> </w:t>
      </w:r>
      <w:r w:rsidR="00EB5B80">
        <w:t xml:space="preserve">Participants were asked to identify each </w:t>
      </w:r>
      <w:r w:rsidRPr="00EF4FEF">
        <w:t>partner</w:t>
      </w:r>
      <w:r w:rsidR="00EB5B80" w:rsidRPr="00EF4FEF">
        <w:t xml:space="preserve"> </w:t>
      </w:r>
      <w:r w:rsidR="00EB5B80">
        <w:t xml:space="preserve">by giving their </w:t>
      </w:r>
      <w:r w:rsidR="00436B0A">
        <w:t>initials</w:t>
      </w:r>
      <w:r w:rsidR="00B77B48">
        <w:t xml:space="preserve"> and demographic information. </w:t>
      </w:r>
      <w:r w:rsidR="00483F63">
        <w:t>Similar to previous studies, this information formed a code that could be</w:t>
      </w:r>
      <w:r w:rsidR="00483F63">
        <w:rPr>
          <w:i/>
        </w:rPr>
        <w:t xml:space="preserve"> </w:t>
      </w:r>
      <w:r w:rsidR="00483F63">
        <w:t>crosschecked against other matrices to identify additional relationships and PWID within the wider network that did not come forward to participate in the survey.</w:t>
      </w:r>
      <w:r w:rsidR="00483F63">
        <w:fldChar w:fldCharType="begin" w:fldLock="1"/>
      </w:r>
      <w:r w:rsidR="00483F63">
        <w:instrText>ADDIN CSL_CITATION { "citationItems" : [ { "id" : "ITEM-1", "itemData" : { "ISSN" : "0277-9536", "PMID" : "8146718", "abstract" : "The social network paradigm provides a set of concepts and methods useful for studying the structure of a population through which infectious agents transmitted during close personal contact spread, and an opportunity to develop improved disease control programs. The research discussed was a first attempt to use a social network approach to better understand factors affecting the transmission of a variety of pathogens, including hepatitis B virus (HBV) and human immunodeficiency viruses (HIV), in a population of prostitutes, injecting drug users (IDU) and their personal associates in a moderate-sized city (Colorado Springs, CO). Some of the challenges of studying large social networks in epidemiological research are described, some initial results reported and a new view of interconnections in an at risk population provided. Overall, for the first time in epidemiologic research a large number of individuals (over 600) were found connected to each other, directly or indirectly, using a network design. The average distance (along observed social relationships) between persons infected with HIV and susceptible persons was about three steps (3.1) in the core network region. All susceptibles in the core were within seven steps of HIV infection.", "author" : [ { "dropping-particle" : "", "family" : "Klovdahl", "given" : "A S", "non-dropping-particle" : "", "parse-names" : false, "suffix" : "" }, { "dropping-particle" : "", "family" : "Potterat", "given" : "J J", "non-dropping-particle" : "", "parse-names" : false, "suffix" : "" }, { "dropping-particle" : "", "family" : "Woodhouse", "given" : "D E", "non-dropping-particle" : "", "parse-names" : false, "suffix" : "" }, { "dropping-particle" : "", "family" : "Muth", "given" : "J B", "non-dropping-particle" : "", "parse-names" : false, "suffix" : "" }, { "dropping-particle" : "", "family" : "Muth", "given" : "S Q", "non-dropping-particle" : "", "parse-names" : false, "suffix" : "" }, { "dropping-particle" : "", "family" : "Darrow", "given" : "W W", "non-dropping-particle" : "", "parse-names" : false, "suffix" : "" } ], "container-title" : "Social science &amp; medicine (1982)", "id" : "ITEM-1", "issue" : "1", "issued" : { "date-parts" : [ [ "1994", "1" ] ] }, "page" : "79-88", "title" : "Social networks and infectious disease: the Colorado Springs Study.", "type" : "article-journal", "volume" : "38" }, "uris" : [ "http://www.mendeley.com/documents/?uuid=e3613bed-9e1c-4fb6-84ab-fd1017ec8892" ] } ], "mendeley" : { "formattedCitation" : "&lt;sup&gt;16&lt;/sup&gt;", "plainTextFormattedCitation" : "16", "previouslyFormattedCitation" : "&lt;sup&gt;16&lt;/sup&gt;" }, "properties" : { "noteIndex" : 4 }, "schema" : "https://github.com/citation-style-language/schema/raw/master/csl-citation.json" }</w:instrText>
      </w:r>
      <w:r w:rsidR="00483F63">
        <w:fldChar w:fldCharType="separate"/>
      </w:r>
      <w:r w:rsidR="00483F63" w:rsidRPr="00053BBA">
        <w:rPr>
          <w:noProof/>
          <w:vertAlign w:val="superscript"/>
        </w:rPr>
        <w:t>16</w:t>
      </w:r>
      <w:r w:rsidR="00483F63">
        <w:fldChar w:fldCharType="end"/>
      </w:r>
      <w:r w:rsidR="00483F63">
        <w:t xml:space="preserve"> </w:t>
      </w:r>
      <w:r w:rsidR="003B2CA3">
        <w:t>The</w:t>
      </w:r>
      <w:r w:rsidR="00436B0A">
        <w:t xml:space="preserve"> definition of an i</w:t>
      </w:r>
      <w:r w:rsidR="00D925E8">
        <w:t>njecting relationship was injecting</w:t>
      </w:r>
      <w:r w:rsidR="00436B0A">
        <w:t xml:space="preserve"> in the same time and place</w:t>
      </w:r>
      <w:r w:rsidR="00B77B48">
        <w:t xml:space="preserve"> and</w:t>
      </w:r>
      <w:r w:rsidR="00436B0A">
        <w:t xml:space="preserve"> injecting relationships were considered to be reciprocal</w:t>
      </w:r>
      <w:r w:rsidR="00B15162">
        <w:t>.</w:t>
      </w:r>
    </w:p>
    <w:p w14:paraId="0115C972" w14:textId="77777777" w:rsidR="00436B0A" w:rsidRDefault="00436B0A" w:rsidP="00757BD9">
      <w:pPr>
        <w:spacing w:line="480" w:lineRule="auto"/>
        <w:jc w:val="both"/>
      </w:pPr>
    </w:p>
    <w:p w14:paraId="43F05964" w14:textId="1A8EC069" w:rsidR="002B4E72" w:rsidRPr="00136E52" w:rsidRDefault="00EF5395" w:rsidP="00757BD9">
      <w:pPr>
        <w:spacing w:line="480" w:lineRule="auto"/>
        <w:jc w:val="both"/>
        <w:rPr>
          <w:b/>
        </w:rPr>
      </w:pPr>
      <w:r w:rsidRPr="00F42425">
        <w:rPr>
          <w:b/>
        </w:rPr>
        <w:t>A</w:t>
      </w:r>
      <w:r w:rsidR="0012613A">
        <w:rPr>
          <w:b/>
        </w:rPr>
        <w:t>ttribute</w:t>
      </w:r>
      <w:r w:rsidR="009018BF" w:rsidRPr="00F42425">
        <w:rPr>
          <w:b/>
        </w:rPr>
        <w:t xml:space="preserve"> data collection</w:t>
      </w:r>
    </w:p>
    <w:p w14:paraId="31B4AF85" w14:textId="554637A4" w:rsidR="00514186" w:rsidRDefault="00A3602E" w:rsidP="00757BD9">
      <w:pPr>
        <w:spacing w:line="480" w:lineRule="auto"/>
        <w:jc w:val="both"/>
        <w:rPr>
          <w:szCs w:val="22"/>
        </w:rPr>
      </w:pPr>
      <w:r>
        <w:t>P</w:t>
      </w:r>
      <w:r w:rsidR="00514186">
        <w:t xml:space="preserve">articipants </w:t>
      </w:r>
      <w:r w:rsidR="00514186" w:rsidRPr="001577C9">
        <w:rPr>
          <w:szCs w:val="22"/>
        </w:rPr>
        <w:t xml:space="preserve">completed a </w:t>
      </w:r>
      <w:r w:rsidR="00514186">
        <w:rPr>
          <w:szCs w:val="22"/>
        </w:rPr>
        <w:t>self-administered questionnaire</w:t>
      </w:r>
      <w:r>
        <w:rPr>
          <w:szCs w:val="22"/>
        </w:rPr>
        <w:t xml:space="preserve"> and interview based survey that collected demographic data, risk behaviour and eng</w:t>
      </w:r>
      <w:r w:rsidR="002A1228">
        <w:rPr>
          <w:szCs w:val="22"/>
        </w:rPr>
        <w:t>agement with harm reduction ser</w:t>
      </w:r>
      <w:r>
        <w:rPr>
          <w:szCs w:val="22"/>
        </w:rPr>
        <w:t>v</w:t>
      </w:r>
      <w:r w:rsidR="002A1228">
        <w:rPr>
          <w:szCs w:val="22"/>
        </w:rPr>
        <w:t>i</w:t>
      </w:r>
      <w:r>
        <w:rPr>
          <w:szCs w:val="22"/>
        </w:rPr>
        <w:t>ces</w:t>
      </w:r>
      <w:r w:rsidR="000316C4">
        <w:rPr>
          <w:szCs w:val="22"/>
        </w:rPr>
        <w:t>.</w:t>
      </w:r>
      <w:r w:rsidR="00C22A60" w:rsidRPr="001577C9">
        <w:rPr>
          <w:szCs w:val="22"/>
        </w:rPr>
        <w:fldChar w:fldCharType="begin" w:fldLock="1"/>
      </w:r>
      <w:r w:rsidR="00053BBA">
        <w:rPr>
          <w:szCs w:val="22"/>
        </w:rPr>
        <w:instrText>ADDIN CSL_CITATION { "citationItems" : [ { "id" : "ITEM-1", "itemData" : { "URL" : "http://www.emcdda.europa.eu/attachements.cfm/att_220261_EN_DRID_module_example_questionnaire_27012014.pdf", "id" : "ITEM-1", "issued" : { "date-parts" : [ [ "2014" ] ] }, "title" : "DRIG Guidance Module: Example questionnaire for bio-behavioural surveys in people who inject drugs.", "type" : "webpage" }, "uris" : [ "http://www.mendeley.com/documents/?uuid=1d508d93-bfe6-495b-8679-6c811104f081" ] } ], "mendeley" : { "formattedCitation" : "&lt;sup&gt;17&lt;/sup&gt;", "plainTextFormattedCitation" : "17", "previouslyFormattedCitation" : "&lt;sup&gt;17&lt;/sup&gt;" }, "properties" : { "noteIndex" : 0 }, "schema" : "https://github.com/citation-style-language/schema/raw/master/csl-citation.json" }</w:instrText>
      </w:r>
      <w:r w:rsidR="00C22A60" w:rsidRPr="001577C9">
        <w:rPr>
          <w:szCs w:val="22"/>
        </w:rPr>
        <w:fldChar w:fldCharType="separate"/>
      </w:r>
      <w:r w:rsidR="00053BBA" w:rsidRPr="00053BBA">
        <w:rPr>
          <w:noProof/>
          <w:szCs w:val="22"/>
          <w:vertAlign w:val="superscript"/>
        </w:rPr>
        <w:t>17</w:t>
      </w:r>
      <w:r w:rsidR="00C22A60" w:rsidRPr="001577C9">
        <w:rPr>
          <w:szCs w:val="22"/>
        </w:rPr>
        <w:fldChar w:fldCharType="end"/>
      </w:r>
      <w:r w:rsidR="000316C4">
        <w:rPr>
          <w:szCs w:val="22"/>
        </w:rPr>
        <w:t xml:space="preserve"> Participants</w:t>
      </w:r>
      <w:r>
        <w:rPr>
          <w:szCs w:val="22"/>
        </w:rPr>
        <w:t xml:space="preserve"> self-reported their HCV status and</w:t>
      </w:r>
      <w:r w:rsidR="000316C4">
        <w:rPr>
          <w:szCs w:val="22"/>
        </w:rPr>
        <w:t xml:space="preserve"> </w:t>
      </w:r>
      <w:r w:rsidR="000D277F">
        <w:rPr>
          <w:szCs w:val="22"/>
        </w:rPr>
        <w:lastRenderedPageBreak/>
        <w:t>completed</w:t>
      </w:r>
      <w:r w:rsidR="000316C4">
        <w:rPr>
          <w:szCs w:val="22"/>
        </w:rPr>
        <w:t xml:space="preserve"> </w:t>
      </w:r>
      <w:r w:rsidR="00514186">
        <w:rPr>
          <w:szCs w:val="22"/>
        </w:rPr>
        <w:t xml:space="preserve">a </w:t>
      </w:r>
      <w:r w:rsidR="00514186" w:rsidRPr="001577C9">
        <w:rPr>
          <w:szCs w:val="22"/>
        </w:rPr>
        <w:t>validated point of care test  (</w:t>
      </w:r>
      <w:proofErr w:type="spellStart"/>
      <w:r w:rsidR="00514186" w:rsidRPr="001577C9">
        <w:rPr>
          <w:szCs w:val="22"/>
        </w:rPr>
        <w:t>OraQuick</w:t>
      </w:r>
      <w:proofErr w:type="spellEnd"/>
      <w:r w:rsidR="00514186" w:rsidRPr="001577C9">
        <w:rPr>
          <w:szCs w:val="22"/>
        </w:rPr>
        <w:t xml:space="preserve"> ADVANCE</w:t>
      </w:r>
      <w:r w:rsidR="00514186" w:rsidRPr="001577C9">
        <w:rPr>
          <w:rFonts w:ascii="Lucida Grande" w:hAnsi="Lucida Grande" w:cs="Lucida Grande"/>
          <w:b/>
          <w:color w:val="000000"/>
          <w:szCs w:val="22"/>
        </w:rPr>
        <w:t>™</w:t>
      </w:r>
      <w:r w:rsidR="00514186" w:rsidRPr="001577C9">
        <w:rPr>
          <w:szCs w:val="22"/>
        </w:rPr>
        <w:t>) for HCV antibody</w:t>
      </w:r>
      <w:r w:rsidR="00C22A60">
        <w:rPr>
          <w:szCs w:val="22"/>
        </w:rPr>
        <w:t>.</w:t>
      </w:r>
      <w:r w:rsidRPr="001577C9">
        <w:rPr>
          <w:szCs w:val="22"/>
        </w:rPr>
        <w:fldChar w:fldCharType="begin" w:fldLock="1"/>
      </w:r>
      <w:r w:rsidR="00053BBA">
        <w:rPr>
          <w:szCs w:val="22"/>
        </w:rPr>
        <w:instrText>ADDIN CSL_CITATION { "citationItems" : [ { "id" : "ITEM-1", "itemData" : { "DOI" : "10.3343/alm.2013.33.3.184", "ISSN" : "2234-3814", "PMID" : "23667844", "abstract" : "BACKGROUND: A reliable rapid assay for hepatitis C virus (HCV) may be helpful in various clinical settings. We evaluated the performance of the OraQuick HCV Rapid Antibody Test (OraSure Technologies Inc., Bethlehem, PA, USA).\n\nMETHODS: Clinical sensitivity and specificity were evaluated with oral fluids and sera from 137 patients diagnosed with hepatitis C and 300 healthy blood donors in a multi-center collaborative study. The stored sera of 200 proven HCV-infected patients and 200 healthy subjects were also evaluated. Analytical sensitivity was estimated with 4 commercial seroconversion panels and 7 Korean reference panels. The performance of 4 laboratory-based tests (3 chemiluminescence assays and 1 enzyme immunoassay) and 4 rapid test kits was compared. We also assessed the interference due to bilirubin, hemoglobin, lipid, rheumatoid factor, multipara, and several viral infections.\n\nRESULTS: The clinical sensitivity and specificity of the OraQuick HCV test using oral fluid were 97.8% (95% confidence interval [CI], 93.2-99.4%) and 100% (95% CI, 98.4-100%), respectively. The clinical sensitivity using serum samples was 100%. Using the 4 seroconversion panels, the OraQuick HCV test showed results comparable to those of the laboratory-based assays; its analytical sensitivity was higher than that of the other rapid test kits. There was no cross-reactivity with common interfering factors.\n\nCONCLUSIONS: The clinical performance of the OraQuick HCV Test is comparable to that of laboratory-based tests with both serum and oral fluid. This supports the supplementary use of rapid HCV testing using oral fluid in various medical and non-medical settings.", "author" : [ { "dropping-particle" : "", "family" : "Cha", "given" : "Young Joo", "non-dropping-particle" : "", "parse-names" : false, "suffix" : "" }, { "dropping-particle" : "", "family" : "Park", "given" : "Quehn", "non-dropping-particle" : "", "parse-names" : false, "suffix" : "" }, { "dropping-particle" : "", "family" : "Kang", "given" : "Eun-Suk", "non-dropping-particle" : "", "parse-names" : false, "suffix" : "" }, { "dropping-particle" : "", "family" : "Yoo", "given" : "Byung Chul", "non-dropping-particle" : "", "parse-names" : false, "suffix" : "" }, { "dropping-particle" : "", "family" : "Park", "given" : "Kyoung Un", "non-dropping-particle" : "", "parse-names" : false, "suffix" : "" }, { "dropping-particle" : "", "family" : "Kim", "given" : "Jin-Wook", "non-dropping-particle" : "", "parse-names" : false, "suffix" : "" }, { "dropping-particle" : "", "family" : "Hwang", "given" : "Yoo-Sung", "non-dropping-particle" : "", "parse-names" : false, "suffix" : "" }, { "dropping-particle" : "", "family" : "Kim", "given" : "Myung Hee", "non-dropping-particle" : "", "parse-names" : false, "suffix" : "" } ], "container-title" : "Annals of laboratory medicine", "id" : "ITEM-1", "issue" : "3", "issued" : { "date-parts" : [ [ "2013", "5" ] ] }, "page" : "184-9", "title" : "Performance evaluation of the OraQuick hepatitis C virus rapid antibody test.", "type" : "article-journal", "volume" : "33" }, "uris" : [ "http://www.mendeley.com/documents/?uuid=dc209bf6-c151-4ad0-9a67-d43e1fca1bac" ] } ], "mendeley" : { "formattedCitation" : "&lt;sup&gt;18&lt;/sup&gt;", "plainTextFormattedCitation" : "18", "previouslyFormattedCitation" : "&lt;sup&gt;18&lt;/sup&gt;" }, "properties" : { "noteIndex" : 0 }, "schema" : "https://github.com/citation-style-language/schema/raw/master/csl-citation.json" }</w:instrText>
      </w:r>
      <w:r w:rsidRPr="001577C9">
        <w:rPr>
          <w:szCs w:val="22"/>
        </w:rPr>
        <w:fldChar w:fldCharType="separate"/>
      </w:r>
      <w:r w:rsidR="00053BBA" w:rsidRPr="00053BBA">
        <w:rPr>
          <w:noProof/>
          <w:szCs w:val="22"/>
          <w:vertAlign w:val="superscript"/>
        </w:rPr>
        <w:t>18</w:t>
      </w:r>
      <w:r w:rsidRPr="001577C9">
        <w:rPr>
          <w:szCs w:val="22"/>
        </w:rPr>
        <w:fldChar w:fldCharType="end"/>
      </w:r>
      <w:r w:rsidR="00514186">
        <w:rPr>
          <w:szCs w:val="22"/>
        </w:rPr>
        <w:t xml:space="preserve"> </w:t>
      </w:r>
    </w:p>
    <w:p w14:paraId="301F4987" w14:textId="77777777" w:rsidR="00D925E8" w:rsidRDefault="00D925E8" w:rsidP="00757BD9">
      <w:pPr>
        <w:spacing w:line="480" w:lineRule="auto"/>
        <w:jc w:val="both"/>
      </w:pPr>
    </w:p>
    <w:p w14:paraId="15BE8B1F" w14:textId="23D221A2" w:rsidR="00EF5395" w:rsidRDefault="00D925E8" w:rsidP="00757BD9">
      <w:pPr>
        <w:spacing w:line="480" w:lineRule="auto"/>
        <w:jc w:val="both"/>
      </w:pPr>
      <w:r>
        <w:t xml:space="preserve">The attributes of </w:t>
      </w:r>
      <w:r w:rsidR="00EF5395">
        <w:t>non-participant</w:t>
      </w:r>
      <w:r>
        <w:t>s</w:t>
      </w:r>
      <w:r w:rsidR="00EF5395">
        <w:t xml:space="preserve"> </w:t>
      </w:r>
      <w:r w:rsidR="000D277F">
        <w:t xml:space="preserve">identified in the network </w:t>
      </w:r>
      <w:r w:rsidR="00EF5395">
        <w:t xml:space="preserve">were limited to what </w:t>
      </w:r>
      <w:r w:rsidR="00A3602E">
        <w:t>was</w:t>
      </w:r>
      <w:r w:rsidR="00EF5395">
        <w:t xml:space="preserve"> described via peer report</w:t>
      </w:r>
      <w:r w:rsidR="00766BF3">
        <w:t>ing</w:t>
      </w:r>
      <w:r w:rsidR="00D0660D">
        <w:t xml:space="preserve">.  This </w:t>
      </w:r>
      <w:r w:rsidR="00EF5395">
        <w:t>included, a</w:t>
      </w:r>
      <w:r>
        <w:t xml:space="preserve">ge, gender, HCV status, engagement with harm reduction </w:t>
      </w:r>
      <w:r w:rsidR="00EF5395">
        <w:t xml:space="preserve">and whether they were currently injecting drugs. </w:t>
      </w:r>
      <w:r w:rsidR="00DC02A3">
        <w:t>The accuracy of HCV status peer reporting was assessed and is described in the supplementary appendix.</w:t>
      </w:r>
    </w:p>
    <w:p w14:paraId="570DEB00" w14:textId="77777777" w:rsidR="009018BF" w:rsidRDefault="009018BF" w:rsidP="00757BD9">
      <w:pPr>
        <w:spacing w:line="480" w:lineRule="auto"/>
        <w:jc w:val="both"/>
      </w:pPr>
    </w:p>
    <w:p w14:paraId="4A6B1895" w14:textId="59227927" w:rsidR="00290767" w:rsidRPr="00136E52" w:rsidRDefault="002B4E72" w:rsidP="00757BD9">
      <w:pPr>
        <w:spacing w:line="480" w:lineRule="auto"/>
        <w:jc w:val="both"/>
        <w:rPr>
          <w:b/>
        </w:rPr>
      </w:pPr>
      <w:r w:rsidRPr="00F42425">
        <w:rPr>
          <w:b/>
        </w:rPr>
        <w:t xml:space="preserve">Statistical </w:t>
      </w:r>
      <w:r w:rsidR="000D277F" w:rsidRPr="00F42425">
        <w:rPr>
          <w:b/>
        </w:rPr>
        <w:t>analysis</w:t>
      </w:r>
    </w:p>
    <w:p w14:paraId="77EC23C8" w14:textId="79054583" w:rsidR="001A540F" w:rsidRDefault="00290767" w:rsidP="00757BD9">
      <w:pPr>
        <w:spacing w:line="480" w:lineRule="auto"/>
        <w:jc w:val="both"/>
      </w:pPr>
      <w:r>
        <w:t xml:space="preserve">The injecting network was presented as a graph using </w:t>
      </w:r>
      <w:proofErr w:type="spellStart"/>
      <w:r>
        <w:t>Netdraw</w:t>
      </w:r>
      <w:proofErr w:type="spellEnd"/>
      <w:r>
        <w:t xml:space="preserve"> software</w:t>
      </w:r>
      <w:r w:rsidR="003B2CA3">
        <w:t xml:space="preserve"> </w:t>
      </w:r>
      <w:r>
        <w:t xml:space="preserve">and the adjacency matrix was uploaded to </w:t>
      </w:r>
      <w:proofErr w:type="spellStart"/>
      <w:r>
        <w:t>UCInet</w:t>
      </w:r>
      <w:proofErr w:type="spellEnd"/>
      <w:r>
        <w:t xml:space="preserve"> software</w:t>
      </w:r>
      <w:r w:rsidR="00766BF3">
        <w:t xml:space="preserve"> for further analysis</w:t>
      </w:r>
      <w:r w:rsidR="00381A5A">
        <w:t>.</w:t>
      </w:r>
      <w:r w:rsidR="00C22A60">
        <w:fldChar w:fldCharType="begin" w:fldLock="1"/>
      </w:r>
      <w:r w:rsidR="00053BBA">
        <w:instrText>ADDIN CSL_CITATION { "citationItems" : [ { "id" : "ITEM-1", "itemData" : { "author" : [ { "dropping-particle" : "", "family" : "Borgatti", "given" : "Stephen P.", "non-dropping-particle" : "", "parse-names" : false, "suffix" : "" }, { "dropping-particle" : "", "family" : "Everett", "given" : "Martin", "non-dropping-particle" : "", "parse-names" : false, "suffix" : "" }, { "dropping-particle" : "", "family" : "Freeman", "given" : "L C", "non-dropping-particle" : "", "parse-names" : false, "suffix" : "" } ], "id" : "ITEM-1", "issued" : { "date-parts" : [ [ "2002" ] ] }, "publisher-place" : "United States", "title" : "Ucinet for window: Software for social networks analysis", "type" : "patent" }, "uris" : [ "http://www.mendeley.com/documents/?uuid=eafb6b42-dd5d-471b-a74e-a6df0e069f71" ] }, { "id" : "ITEM-2", "itemData" : { "author" : [ { "dropping-particle" : "", "family" : "Borgatti", "given" : "SP", "non-dropping-particle" : "", "parse-names" : false, "suffix" : "" } ], "id" : "ITEM-2", "issued" : { "date-parts" : [ [ "2002" ] ] }, "publisher-place" : "Lexington KY", "title" : "NetDraw Software for Network Visualisation", "type" : "article" }, "uris" : [ "http://www.mendeley.com/documents/?uuid=1ee10854-46a7-4f30-8d29-d7f38a5eb83e" ] } ], "mendeley" : { "formattedCitation" : "&lt;sup&gt;19,20&lt;/sup&gt;", "plainTextFormattedCitation" : "19,20", "previouslyFormattedCitation" : "&lt;sup&gt;19,20&lt;/sup&gt;" }, "properties" : { "noteIndex" : 7 }, "schema" : "https://github.com/citation-style-language/schema/raw/master/csl-citation.json" }</w:instrText>
      </w:r>
      <w:r w:rsidR="00C22A60">
        <w:fldChar w:fldCharType="separate"/>
      </w:r>
      <w:r w:rsidR="00053BBA" w:rsidRPr="00053BBA">
        <w:rPr>
          <w:noProof/>
          <w:vertAlign w:val="superscript"/>
        </w:rPr>
        <w:t>19,20</w:t>
      </w:r>
      <w:r w:rsidR="00C22A60">
        <w:fldChar w:fldCharType="end"/>
      </w:r>
      <w:r w:rsidR="00381A5A">
        <w:t xml:space="preserve"> To te</w:t>
      </w:r>
      <w:r w:rsidR="00FB3CE4">
        <w:t>st the overall network topogr</w:t>
      </w:r>
      <w:r w:rsidR="00E23507">
        <w:t>a</w:t>
      </w:r>
      <w:r w:rsidR="00B77B48">
        <w:t>p</w:t>
      </w:r>
      <w:r w:rsidR="00FB3CE4">
        <w:t>hy</w:t>
      </w:r>
      <w:r w:rsidR="00381A5A">
        <w:t xml:space="preserve"> we used the following measures: number of components, mean </w:t>
      </w:r>
      <w:r w:rsidR="00381A5A" w:rsidRPr="00F87DE5">
        <w:rPr>
          <w:i/>
        </w:rPr>
        <w:t>degree</w:t>
      </w:r>
      <w:r w:rsidR="00381A5A">
        <w:t xml:space="preserve">, network diameter, average geodesic distance (AGD) and the clustering coefficient. </w:t>
      </w:r>
      <w:r w:rsidR="003B2CA3">
        <w:t>W</w:t>
      </w:r>
      <w:r w:rsidR="00381A5A">
        <w:t xml:space="preserve">e then compared the </w:t>
      </w:r>
      <w:r w:rsidR="00381A5A" w:rsidRPr="00CF5B5E">
        <w:t xml:space="preserve">network </w:t>
      </w:r>
      <w:r w:rsidR="00381A5A">
        <w:t>against</w:t>
      </w:r>
      <w:r w:rsidR="00381A5A" w:rsidRPr="00CF5B5E">
        <w:t xml:space="preserve"> random networks </w:t>
      </w:r>
      <w:r w:rsidR="00381A5A">
        <w:t xml:space="preserve">generated using the </w:t>
      </w:r>
      <w:proofErr w:type="spellStart"/>
      <w:r w:rsidR="00381A5A">
        <w:t>Erdos-Renyi</w:t>
      </w:r>
      <w:proofErr w:type="spellEnd"/>
      <w:r w:rsidR="00381A5A">
        <w:t xml:space="preserve"> </w:t>
      </w:r>
      <w:r w:rsidR="00381A5A" w:rsidRPr="00CF5B5E">
        <w:t>method</w:t>
      </w:r>
      <w:r w:rsidR="001A540F">
        <w:t xml:space="preserve"> where the probability (</w:t>
      </w:r>
      <m:oMath>
        <m:r>
          <w:rPr>
            <w:rFonts w:ascii="Cambria Math" w:hAnsi="Cambria Math"/>
          </w:rPr>
          <m:t>p</m:t>
        </m:r>
      </m:oMath>
      <w:r w:rsidR="001A540F">
        <w:t>) of two nodes having an injecting partnership is calculated from the mean degree distribution (</w:t>
      </w:r>
      <m:oMath>
        <m:r>
          <w:rPr>
            <w:rFonts w:ascii="Cambria Math" w:hAnsi="Cambria Math"/>
          </w:rPr>
          <m:t>d</m:t>
        </m:r>
      </m:oMath>
      <w:r w:rsidR="001A540F">
        <w:t>) and the total population size</w:t>
      </w:r>
      <w:r w:rsidR="002E20C3">
        <w:t xml:space="preserve"> </w:t>
      </w:r>
      <m:oMath>
        <m:r>
          <w:rPr>
            <w:rFonts w:ascii="Cambria Math" w:hAnsi="Cambria Math"/>
          </w:rPr>
          <m:t>(N)</m:t>
        </m:r>
      </m:oMath>
      <w:r w:rsidR="00CC2BB5">
        <w:t xml:space="preserve"> according to</w:t>
      </w:r>
      <w:r w:rsidR="0081300F">
        <w:t>:</w:t>
      </w:r>
      <w:r w:rsidR="003B2CA3">
        <w:fldChar w:fldCharType="begin" w:fldLock="1"/>
      </w:r>
      <w:r w:rsidR="00053BBA">
        <w:instrText>ADDIN CSL_CITATION { "citationItems" : [ { "id" : "ITEM-1", "itemData" : { "DOI" : "10.1.1.153.5943", "ISBN" : "1003-8507", "ISSN" : "0373-0441", "author" : [ { "dropping-particle" : "", "family" : "Erd\u00d5s", "given" : "P", "non-dropping-particle" : "", "parse-names" : false, "suffix" : "" }, { "dropping-particle" : "", "family" : "R\u00e9nyi", "given" : "A", "non-dropping-particle" : "", "parse-names" : false, "suffix" : "" } ], "container-title" : "Publications of the Mathematical Institute of the Hungarian Academy of Sciences", "id" : "ITEM-1", "issue" : "5", "issued" : { "date-parts" : [ [ "1960" ] ] }, "page" : "17-61", "title" : "On evolution of random graphs", "type" : "article-journal" }, "uris" : [ "http://www.mendeley.com/documents/?uuid=ebc79412-38f5-3137-be3b-9275a4db1f30" ] } ], "mendeley" : { "formattedCitation" : "&lt;sup&gt;21&lt;/sup&gt;", "plainTextFormattedCitation" : "21", "previouslyFormattedCitation" : "&lt;sup&gt;21&lt;/sup&gt;" }, "properties" : { "noteIndex" : 0 }, "schema" : "https://github.com/citation-style-language/schema/raw/master/csl-citation.json" }</w:instrText>
      </w:r>
      <w:r w:rsidR="003B2CA3">
        <w:fldChar w:fldCharType="separate"/>
      </w:r>
      <w:r w:rsidR="00053BBA" w:rsidRPr="00053BBA">
        <w:rPr>
          <w:noProof/>
          <w:vertAlign w:val="superscript"/>
        </w:rPr>
        <w:t>21</w:t>
      </w:r>
      <w:r w:rsidR="003B2CA3">
        <w:fldChar w:fldCharType="end"/>
      </w:r>
    </w:p>
    <w:p w14:paraId="008E2204" w14:textId="09B7457A" w:rsidR="001A540F" w:rsidRDefault="001A540F" w:rsidP="00757BD9">
      <w:pPr>
        <w:spacing w:line="480" w:lineRule="auto"/>
        <w:jc w:val="both"/>
      </w:pPr>
      <m:oMathPara>
        <m:oMath>
          <m:r>
            <w:rPr>
              <w:rFonts w:ascii="Cambria Math" w:hAnsi="Cambria Math"/>
            </w:rPr>
            <m:t>p=</m:t>
          </m:r>
          <m:f>
            <m:fPr>
              <m:ctrlPr>
                <w:rPr>
                  <w:rFonts w:ascii="Cambria Math" w:hAnsi="Cambria Math"/>
                  <w:i/>
                </w:rPr>
              </m:ctrlPr>
            </m:fPr>
            <m:num>
              <m:r>
                <w:rPr>
                  <w:rFonts w:ascii="Cambria Math" w:hAnsi="Cambria Math"/>
                </w:rPr>
                <m:t>d</m:t>
              </m:r>
            </m:num>
            <m:den>
              <m:r>
                <w:rPr>
                  <w:rFonts w:ascii="Cambria Math" w:hAnsi="Cambria Math"/>
                </w:rPr>
                <m:t>(N-1)</m:t>
              </m:r>
            </m:den>
          </m:f>
        </m:oMath>
      </m:oMathPara>
    </w:p>
    <w:p w14:paraId="536D672E" w14:textId="331EF7DC" w:rsidR="00304AC8" w:rsidRPr="00B77B48" w:rsidRDefault="00381A5A" w:rsidP="00757BD9">
      <w:pPr>
        <w:spacing w:line="480" w:lineRule="auto"/>
        <w:jc w:val="both"/>
        <w:rPr>
          <w:szCs w:val="22"/>
        </w:rPr>
      </w:pPr>
      <w:r>
        <w:t xml:space="preserve">We used </w:t>
      </w:r>
      <w:r w:rsidRPr="00BD13D6">
        <w:rPr>
          <w:i/>
        </w:rPr>
        <w:t>in-degree</w:t>
      </w:r>
      <w:r>
        <w:t xml:space="preserve"> and </w:t>
      </w:r>
      <w:r>
        <w:rPr>
          <w:szCs w:val="22"/>
        </w:rPr>
        <w:t xml:space="preserve">2-step reach centrality </w:t>
      </w:r>
      <w:r>
        <w:t xml:space="preserve">to assess a node’s position within the network. </w:t>
      </w:r>
      <w:r w:rsidR="00304AC8" w:rsidRPr="0006366F">
        <w:t>Chi</w:t>
      </w:r>
      <w:r w:rsidR="00304AC8" w:rsidRPr="006D7003">
        <w:t>-</w:t>
      </w:r>
      <w:r w:rsidR="00304AC8">
        <w:t xml:space="preserve">squared and independent </w:t>
      </w:r>
      <w:r w:rsidR="00304AC8">
        <w:rPr>
          <w:i/>
        </w:rPr>
        <w:t>t</w:t>
      </w:r>
      <w:r w:rsidR="00304AC8">
        <w:t xml:space="preserve"> tests were used to assess for significant assoc</w:t>
      </w:r>
      <w:r w:rsidR="0098063A">
        <w:t>i</w:t>
      </w:r>
      <w:r w:rsidR="00304AC8">
        <w:t xml:space="preserve">ations with HCV between individual demographic and network data. </w:t>
      </w:r>
      <w:r w:rsidR="003B2CA3">
        <w:t>Important v</w:t>
      </w:r>
      <w:r w:rsidR="00304AC8">
        <w:t xml:space="preserve">ariables </w:t>
      </w:r>
      <w:r w:rsidR="003B2CA3">
        <w:t xml:space="preserve">and those </w:t>
      </w:r>
      <w:r w:rsidR="00304AC8">
        <w:t xml:space="preserve">with a </w:t>
      </w:r>
      <w:r w:rsidR="00304AC8" w:rsidRPr="00B4177A">
        <w:rPr>
          <w:i/>
        </w:rPr>
        <w:t>p</w:t>
      </w:r>
      <w:r w:rsidR="00304AC8">
        <w:t xml:space="preserve"> of &lt;0</w:t>
      </w:r>
      <w:r w:rsidR="001D6682">
        <w:t>·</w:t>
      </w:r>
      <w:r w:rsidR="00304AC8">
        <w:t>2 were added into a logistic regression model. All analyses were conducted with SPSS</w:t>
      </w:r>
      <w:r w:rsidR="00766BF3" w:rsidRPr="00766BF3">
        <w:rPr>
          <w:rFonts w:ascii="Lucida Grande" w:hAnsi="Lucida Grande" w:cs="Lucida Grande"/>
          <w:b/>
          <w:color w:val="000000"/>
          <w:vertAlign w:val="superscript"/>
        </w:rPr>
        <w:t>®</w:t>
      </w:r>
      <w:r w:rsidR="0081300F">
        <w:t xml:space="preserve"> for M</w:t>
      </w:r>
      <w:r w:rsidR="003B2CA3">
        <w:t>ac</w:t>
      </w:r>
      <w:r w:rsidR="0081300F">
        <w:t>,</w:t>
      </w:r>
      <w:r w:rsidR="003B2CA3">
        <w:t xml:space="preserve"> version 25</w:t>
      </w:r>
      <w:r w:rsidR="00304AC8">
        <w:t>.</w:t>
      </w:r>
    </w:p>
    <w:p w14:paraId="62E5D086" w14:textId="77777777" w:rsidR="00EB5B80" w:rsidRDefault="00EB5B80" w:rsidP="00757BD9">
      <w:pPr>
        <w:spacing w:line="480" w:lineRule="auto"/>
        <w:jc w:val="both"/>
      </w:pPr>
    </w:p>
    <w:p w14:paraId="183713D6" w14:textId="7C1DDC30" w:rsidR="00C0019D" w:rsidRDefault="00321933" w:rsidP="00757BD9">
      <w:pPr>
        <w:spacing w:line="480" w:lineRule="auto"/>
        <w:jc w:val="both"/>
        <w:rPr>
          <w:i/>
        </w:rPr>
      </w:pPr>
      <w:r>
        <w:rPr>
          <w:i/>
        </w:rPr>
        <w:t>Agent-</w:t>
      </w:r>
      <w:r w:rsidR="0075058A">
        <w:rPr>
          <w:i/>
        </w:rPr>
        <w:t>based simulation</w:t>
      </w:r>
      <w:r w:rsidR="00C0019D">
        <w:rPr>
          <w:i/>
        </w:rPr>
        <w:t xml:space="preserve"> (ABS)</w:t>
      </w:r>
    </w:p>
    <w:p w14:paraId="0613863A" w14:textId="1F5D47D1" w:rsidR="00C705F5" w:rsidRDefault="00C705F5" w:rsidP="00757BD9">
      <w:pPr>
        <w:spacing w:line="480" w:lineRule="auto"/>
        <w:jc w:val="both"/>
        <w:rPr>
          <w:rFonts w:cs="Helvetica"/>
          <w:lang w:val="en-US" w:eastAsia="zh-CN"/>
        </w:rPr>
      </w:pPr>
      <w:r>
        <w:t xml:space="preserve">The simulation was conducted using </w:t>
      </w:r>
      <w:proofErr w:type="spellStart"/>
      <w:r w:rsidRPr="009E60BB">
        <w:t>Anylogic</w:t>
      </w:r>
      <w:proofErr w:type="spellEnd"/>
      <w:r w:rsidRPr="009E60BB">
        <w:t xml:space="preserve"> software </w:t>
      </w:r>
      <w:r w:rsidRPr="009E60BB">
        <w:rPr>
          <w:rFonts w:cs="Helvetica"/>
          <w:lang w:val="en-US" w:eastAsia="zh-CN"/>
        </w:rPr>
        <w:t>(</w:t>
      </w:r>
      <w:hyperlink r:id="rId8" w:history="1">
        <w:r w:rsidRPr="009E60BB">
          <w:rPr>
            <w:rFonts w:cs="Helvetica"/>
            <w:color w:val="386EFF"/>
            <w:u w:val="single" w:color="386EFF"/>
            <w:lang w:val="en-US" w:eastAsia="zh-CN"/>
          </w:rPr>
          <w:t>https://www.anylogic.com/</w:t>
        </w:r>
      </w:hyperlink>
      <w:r w:rsidRPr="009E60BB">
        <w:rPr>
          <w:rFonts w:cs="Helvetica"/>
          <w:lang w:val="en-US" w:eastAsia="zh-CN"/>
        </w:rPr>
        <w:t>)</w:t>
      </w:r>
      <w:r>
        <w:rPr>
          <w:rFonts w:cs="Helvetica"/>
          <w:lang w:val="en-US" w:eastAsia="zh-CN"/>
        </w:rPr>
        <w:t xml:space="preserve"> and it is desc</w:t>
      </w:r>
      <w:r w:rsidR="00417F1C">
        <w:rPr>
          <w:rFonts w:cs="Helvetica"/>
          <w:lang w:val="en-US" w:eastAsia="zh-CN"/>
        </w:rPr>
        <w:t>r</w:t>
      </w:r>
      <w:r>
        <w:rPr>
          <w:rFonts w:cs="Helvetica"/>
          <w:lang w:val="en-US" w:eastAsia="zh-CN"/>
        </w:rPr>
        <w:t xml:space="preserve">ibed in </w:t>
      </w:r>
      <w:r w:rsidR="00417F1C">
        <w:rPr>
          <w:rFonts w:cs="Helvetica"/>
          <w:lang w:val="en-US" w:eastAsia="zh-CN"/>
        </w:rPr>
        <w:t>more detail in the Supplementary Appendix.</w:t>
      </w:r>
    </w:p>
    <w:p w14:paraId="37706FEF" w14:textId="77777777" w:rsidR="00C705F5" w:rsidRDefault="00C705F5" w:rsidP="00757BD9">
      <w:pPr>
        <w:spacing w:line="480" w:lineRule="auto"/>
        <w:jc w:val="both"/>
        <w:rPr>
          <w:rFonts w:cs="Helvetica"/>
          <w:lang w:val="en-US" w:eastAsia="zh-CN"/>
        </w:rPr>
      </w:pPr>
    </w:p>
    <w:p w14:paraId="271A3790" w14:textId="266EDCA6" w:rsidR="00ED0686" w:rsidRPr="009E60BB" w:rsidRDefault="00432C56" w:rsidP="00757BD9">
      <w:pPr>
        <w:spacing w:line="480" w:lineRule="auto"/>
        <w:jc w:val="both"/>
      </w:pPr>
      <w:r>
        <w:t xml:space="preserve"> </w:t>
      </w:r>
      <w:r w:rsidR="0058461D" w:rsidRPr="009E60BB">
        <w:t xml:space="preserve">The </w:t>
      </w:r>
      <w:r w:rsidR="0058461D">
        <w:t>PWID</w:t>
      </w:r>
      <w:r w:rsidR="0058461D" w:rsidRPr="009E60BB">
        <w:t xml:space="preserve"> within</w:t>
      </w:r>
      <w:r w:rsidR="0058461D">
        <w:t xml:space="preserve"> the</w:t>
      </w:r>
      <w:r w:rsidR="0058461D" w:rsidRPr="009E60BB">
        <w:t xml:space="preserve"> </w:t>
      </w:r>
      <w:r w:rsidR="0058461D">
        <w:t xml:space="preserve">injecting </w:t>
      </w:r>
      <w:r w:rsidR="0058461D" w:rsidRPr="009E60BB">
        <w:t xml:space="preserve">network and their attributes </w:t>
      </w:r>
      <w:r w:rsidR="0058461D">
        <w:t>formed the ‘agents’ in the simulation and the r</w:t>
      </w:r>
      <w:r w:rsidR="0058461D" w:rsidRPr="009E60BB">
        <w:t>eal-world injecting relationships within the network (as defined above) formed the potential transmission pathways for HCV via ‘injecting events’.</w:t>
      </w:r>
      <w:r w:rsidR="00DC26E0">
        <w:t xml:space="preserve"> </w:t>
      </w:r>
    </w:p>
    <w:p w14:paraId="29FEF001" w14:textId="77777777" w:rsidR="00ED0686" w:rsidRPr="009E60BB" w:rsidRDefault="00ED0686" w:rsidP="00757BD9">
      <w:pPr>
        <w:spacing w:line="480" w:lineRule="auto"/>
        <w:jc w:val="both"/>
      </w:pPr>
    </w:p>
    <w:p w14:paraId="085882F7" w14:textId="7DE97E43" w:rsidR="00EB5B80" w:rsidRPr="00361B88" w:rsidRDefault="00EB5B80" w:rsidP="00757BD9">
      <w:pPr>
        <w:spacing w:line="480" w:lineRule="auto"/>
        <w:jc w:val="both"/>
      </w:pPr>
      <w:r w:rsidRPr="009E60BB">
        <w:t xml:space="preserve">An ‘injecting event’ in the </w:t>
      </w:r>
      <w:r w:rsidR="004A5CE3">
        <w:t>simulation</w:t>
      </w:r>
      <w:r w:rsidRPr="009E60BB">
        <w:t xml:space="preserve"> occurred when </w:t>
      </w:r>
      <w:r w:rsidR="002B2F77">
        <w:t>two nodes</w:t>
      </w:r>
      <w:r w:rsidRPr="009E60BB">
        <w:t xml:space="preserve"> injected at the same time and the same place as </w:t>
      </w:r>
      <w:r w:rsidR="00253B71">
        <w:t>each other</w:t>
      </w:r>
      <w:r w:rsidRPr="009E60BB">
        <w:t xml:space="preserve">. </w:t>
      </w:r>
      <w:r w:rsidR="00FC4400" w:rsidRPr="009E60BB">
        <w:t>The freq</w:t>
      </w:r>
      <w:r w:rsidR="00ED0686" w:rsidRPr="009E60BB">
        <w:t>uency of injecting events was as</w:t>
      </w:r>
      <w:r w:rsidR="00FC4400" w:rsidRPr="009E60BB">
        <w:t>cer</w:t>
      </w:r>
      <w:r w:rsidR="00F42425" w:rsidRPr="009E60BB">
        <w:t>t</w:t>
      </w:r>
      <w:r w:rsidR="00FC4400" w:rsidRPr="009E60BB">
        <w:t>ained from injecting frequency data in the behavioural survey responses and extr</w:t>
      </w:r>
      <w:r w:rsidR="00ED0686" w:rsidRPr="009E60BB">
        <w:t>a</w:t>
      </w:r>
      <w:r w:rsidR="00253B71">
        <w:t>polated to the whole network in the same frequency distribution</w:t>
      </w:r>
      <w:r w:rsidR="004C4259">
        <w:t>.</w:t>
      </w:r>
      <w:r w:rsidR="00FC4400" w:rsidRPr="009E60BB">
        <w:t xml:space="preserve"> </w:t>
      </w:r>
      <w:r w:rsidRPr="009E60BB">
        <w:t>It was not assumed however, that all injecting partners were present at each injection, so</w:t>
      </w:r>
      <w:r>
        <w:t xml:space="preserve"> the ‘injecting event’ frequency of HCV positive nodes within the model also accounted for the </w:t>
      </w:r>
      <w:r w:rsidR="00253B71">
        <w:t>proportion of the injecting network that was</w:t>
      </w:r>
      <w:r>
        <w:t xml:space="preserve"> typically present at the time of </w:t>
      </w:r>
      <w:r w:rsidR="00B77B48">
        <w:t xml:space="preserve">each drug </w:t>
      </w:r>
      <w:r>
        <w:t>injection</w:t>
      </w:r>
      <w:r w:rsidR="00417F1C">
        <w:t>.</w:t>
      </w:r>
      <w:r>
        <w:t xml:space="preserve"> </w:t>
      </w:r>
    </w:p>
    <w:p w14:paraId="45D09AF8" w14:textId="77777777" w:rsidR="007D4226" w:rsidRDefault="007D4226" w:rsidP="00757BD9">
      <w:pPr>
        <w:spacing w:line="480" w:lineRule="auto"/>
        <w:jc w:val="both"/>
      </w:pPr>
    </w:p>
    <w:p w14:paraId="3E340D8B" w14:textId="7C65C220" w:rsidR="00EB5B80" w:rsidRDefault="00FC4400" w:rsidP="00757BD9">
      <w:pPr>
        <w:spacing w:line="480" w:lineRule="auto"/>
        <w:jc w:val="both"/>
      </w:pPr>
      <w:r>
        <w:t>As the bio-behavioural survey responses indicated widespread</w:t>
      </w:r>
      <w:r w:rsidR="009E60BB">
        <w:t xml:space="preserve"> engagement with harm reduction</w:t>
      </w:r>
      <w:r w:rsidR="00394176">
        <w:t>,</w:t>
      </w:r>
      <w:r>
        <w:t xml:space="preserve"> w</w:t>
      </w:r>
      <w:r w:rsidR="009E60BB">
        <w:t>e</w:t>
      </w:r>
      <w:r>
        <w:t xml:space="preserve"> </w:t>
      </w:r>
      <w:r w:rsidR="00EB5B80">
        <w:t xml:space="preserve">did not assume that all ‘injecting events’ incorporated a transmission risk </w:t>
      </w:r>
      <w:r>
        <w:t xml:space="preserve">for HCV. </w:t>
      </w:r>
      <w:r w:rsidR="00EB5B80">
        <w:t xml:space="preserve">However, </w:t>
      </w:r>
      <w:r>
        <w:t>from the survey the frequency</w:t>
      </w:r>
      <w:r w:rsidR="00EB5B80">
        <w:t xml:space="preserve"> of equipment sharing </w:t>
      </w:r>
      <w:r>
        <w:t>was known and could be</w:t>
      </w:r>
      <w:r w:rsidR="00ED0686">
        <w:t xml:space="preserve"> </w:t>
      </w:r>
      <w:r>
        <w:t>applied to each injecting event with</w:t>
      </w:r>
      <w:r w:rsidR="00EB5B80">
        <w:t xml:space="preserve"> a fixed </w:t>
      </w:r>
      <w:r w:rsidR="00EB5B80">
        <w:lastRenderedPageBreak/>
        <w:t>probability</w:t>
      </w:r>
      <w:r>
        <w:t>.</w:t>
      </w:r>
      <w:r w:rsidR="00EB5B80">
        <w:t xml:space="preserve"> </w:t>
      </w:r>
      <w:r>
        <w:t>Equipment sharing was then</w:t>
      </w:r>
      <w:r w:rsidR="00EB5B80">
        <w:t xml:space="preserve"> attributed a transmission risk in accordance w</w:t>
      </w:r>
      <w:r w:rsidR="00304AC8">
        <w:t>ith recent literature (</w:t>
      </w:r>
      <w:r w:rsidR="00D450E9">
        <w:t>T</w:t>
      </w:r>
      <w:r w:rsidR="00304AC8">
        <w:t>able 1</w:t>
      </w:r>
      <w:r w:rsidR="00EB5B80">
        <w:t>)</w:t>
      </w:r>
      <w:r w:rsidR="00123D73">
        <w:t>.</w:t>
      </w:r>
      <w:r w:rsidR="00EB5B80">
        <w:fldChar w:fldCharType="begin" w:fldLock="1"/>
      </w:r>
      <w:r w:rsidR="00053BBA">
        <w:instrText>ADDIN CSL_CITATION { "citationItems" : [ { "id" : "ITEM-1", "itemData" : { "DOI" : "10.1016/j.epidem.2008.10.002", "ISSN" : "17554365", "PMID" : "20445816", "abstract" : "BACKGROUND Hepatitis C virus (HCV) causes significant morbidity and mortality in injecting drug users (IDU) worldwide. HCV vaccine candidates have shown promise for reducing the infectivity of acute infection and averting chronic infection, yet the impact of varying levels of vaccine efficacy and vaccine delivery strategies on the HCV epidemic in IDU have not been explored. METHODS We utilized extensive data on injecting behavior collected in the UFO Study of young IDU in San Francisco to construct a stochastic individual-based model that reflects heterogeneous injecting risk behavior, historical HCV trends, and existing information on viral dynamics and vaccine characteristics. RESULTS Our modeled HCV rate closely paralleled observed HCV incidence in San Francisco, with estimated incidence of 59% per person year (ppy) early in the epidemic, and 27% ppy after risk reduction was introduced. Chronic HCV infection, the clinically relevant state of HCV infection that leads to liver disease and hepatocellular cancer, was estimated at 22% ppy (\u00b1 3%) early in the epidemic and 14% ppy (\u00b1 2%) after risk reduction was introduced. We considered several scenarios, and highlight that a vaccine with 50% to 80% efficacy targeted to high-risk or sero-negative IDU at a high vaccination rate could further reduce chronic HCV incidence in IDU to 2-7% ppy 30 years after its introduction. CONCLUSIONS Our results underscore the importance of further efforts to develop both HCV vaccines and optimal systems of delivery to IDU populations.", "author" : [ { "dropping-particle" : "", "family" : "Hahn", "given" : "Judith A.", "non-dropping-particle" : "", "parse-names" : false, "suffix" : "" }, { "dropping-particle" : "", "family" : "Wylie", "given" : "Dennis", "non-dropping-particle" : "", "parse-names" : false, "suffix" : "" }, { "dropping-particle" : "", "family" : "Dill", "given" : "Jesse", "non-dropping-particle" : "", "parse-names" : false, "suffix" : "" }, { "dropping-particle" : "", "family" : "Sanchez", "given" : "Maria S.", "non-dropping-particle" : "", "parse-names" : false, "suffix" : "" }, { "dropping-particle" : "", "family" : "Lloyd-Smith", "given" : "James O.", "non-dropping-particle" : "", "parse-names" : false, "suffix" : "" }, { "dropping-particle" : "", "family" : "Page-Shafer", "given" : "Kimberly", "non-dropping-particle" : "", "parse-names" : false, "suffix" : "" }, { "dropping-particle" : "", "family" : "Getz", "given" : "Wayne M.", "non-dropping-particle" : "", "parse-names" : false, "suffix" : "" } ], "container-title" : "Epidemics", "id" : "ITEM-1", "issue" : "1", "issued" : { "date-parts" : [ [ "2009", "3" ] ] }, "page" : "47-57", "title" : "Potential impact of vaccination on the hepatitis C virus epidemic in injection drug users", "type" : "article-journal", "volume" : "1" }, "uris" : [ "http://www.mendeley.com/documents/?uuid=aec8a137-67ec-3b76-81cb-5e924139c349" ] } ], "mendeley" : { "formattedCitation" : "&lt;sup&gt;22&lt;/sup&gt;", "plainTextFormattedCitation" : "22", "previouslyFormattedCitation" : "&lt;sup&gt;22&lt;/sup&gt;" }, "properties" : { "noteIndex" : 0 }, "schema" : "https://github.com/citation-style-language/schema/raw/master/csl-citation.json" }</w:instrText>
      </w:r>
      <w:r w:rsidR="00EB5B80">
        <w:fldChar w:fldCharType="separate"/>
      </w:r>
      <w:r w:rsidR="00053BBA" w:rsidRPr="00053BBA">
        <w:rPr>
          <w:noProof/>
          <w:vertAlign w:val="superscript"/>
        </w:rPr>
        <w:t>22</w:t>
      </w:r>
      <w:r w:rsidR="00EB5B80">
        <w:fldChar w:fldCharType="end"/>
      </w:r>
    </w:p>
    <w:p w14:paraId="6ED5E539" w14:textId="77777777" w:rsidR="007D4226" w:rsidRPr="009C6B57" w:rsidRDefault="007D4226" w:rsidP="00757BD9">
      <w:pPr>
        <w:spacing w:line="480" w:lineRule="auto"/>
        <w:jc w:val="both"/>
      </w:pPr>
    </w:p>
    <w:p w14:paraId="7096F100" w14:textId="77777777" w:rsidR="00816EB7" w:rsidRDefault="00035006" w:rsidP="00757BD9">
      <w:pPr>
        <w:spacing w:line="480" w:lineRule="auto"/>
        <w:jc w:val="both"/>
      </w:pPr>
      <w:r>
        <w:t>HCV could be</w:t>
      </w:r>
      <w:r w:rsidR="00FC4400">
        <w:t xml:space="preserve"> transmitted during</w:t>
      </w:r>
      <w:r w:rsidR="00EB5B80">
        <w:t xml:space="preserve"> an ‘injecting event’ </w:t>
      </w:r>
      <w:r w:rsidR="00321933">
        <w:t>if</w:t>
      </w:r>
      <w:r>
        <w:t xml:space="preserve"> one of the nodes was HCV positive. When this occurred t</w:t>
      </w:r>
      <w:r w:rsidR="00EB5B80">
        <w:t>he susceptible individual developed acute infection, which progressed to chronic infection at 24 weeks wit</w:t>
      </w:r>
      <w:r w:rsidR="00C54050">
        <w:t>h a fixed probability (Figure</w:t>
      </w:r>
      <w:r w:rsidR="00304AC8">
        <w:t xml:space="preserve"> 1</w:t>
      </w:r>
      <w:r w:rsidR="00EB5B80">
        <w:t xml:space="preserve">). </w:t>
      </w:r>
      <w:r w:rsidR="00394176">
        <w:t>In line with other studies</w:t>
      </w:r>
      <w:r w:rsidR="00EB5B80" w:rsidRPr="007E5C7E">
        <w:t xml:space="preserve"> we did not adjust the susceptibility of infection in exposed uninfected individuals</w:t>
      </w:r>
      <w:r w:rsidR="00123D73">
        <w:t>.</w:t>
      </w:r>
      <w:r w:rsidR="00EB5B80">
        <w:fldChar w:fldCharType="begin" w:fldLock="1"/>
      </w:r>
      <w:r w:rsidR="00053BBA">
        <w:instrText>ADDIN CSL_CITATION { "citationItems" : [ { "id" : "ITEM-1", "itemData" : { "DOI" : "10.1016/j.jtbi.2011.12.008", "ISSN" : "00225193", "abstract" : "Hepatitis C virus (HCV) is a blood-borne virus that disproportionately affects people who inject drugs (PWIDs). Based on extensive interview and blood test data from a longitudinal study in Melbourne, Australia, we describe an individual-based transmission model for HCV spread amongst PWID. We use this model to simulate the transmission of HCV on an empirical social network of PWID. A feature of our model is that sources of infection can be both network neighbours and non-neighbours via \u201cimporting\u201d. Data-driven estimates of sharing frequency and rate of importing are provided. Compared to an appropriately calibrated fully connected network, the empirical network provides some protective effect on the time to primary infection. We also illustrate heterogeneities in incidence rate of infection, both across and within node degrees (i.e., number of network partners). We explore the reduced risk of infection from spontaneously clearing cutpoint nodes whose infection status oscillates, both in theory and in simulation. Further, we show our model-based estimate of per-event transmission probability largely agrees with previous estimates at the lower end of the range 1\u20133% commonly cited.", "author" : [ { "dropping-particle" : "", "family" : "Rolls", "given" : "D.A.", "non-dropping-particle" : "", "parse-names" : false, "suffix" : "" }, { "dropping-particle" : "", "family" : "Daraganova", "given" : "G.", "non-dropping-particle" : "", "parse-names" : false, "suffix" : "" }, { "dropping-particle" : "", "family" : "Sacks-Davis", "given" : "R.", "non-dropping-particle" : "", "parse-names" : false, "suffix" : "" }, { "dropping-particle" : "", "family" : "Hellard", "given" : "M.", "non-dropping-particle" : "", "parse-names" : false, "suffix" : "" }, { "dropping-particle" : "", "family" : "Jenkinson", "given" : "R.", "non-dropping-particle" : "", "parse-names" : false, "suffix" : "" }, { "dropping-particle" : "", "family" : "McBryde", "given" : "E.", "non-dropping-particle" : "", "parse-names" : false, "suffix" : "" }, { "dropping-particle" : "", "family" : "Pattison", "given" : "P.E.", "non-dropping-particle" : "", "parse-names" : false, "suffix" : "" }, { "dropping-particle" : "", "family" : "Robins", "given" : "G.L.", "non-dropping-particle" : "", "parse-names" : false, "suffix" : "" } ], "container-title" : "Journal of Theoretical Biology", "id" : "ITEM-1", "issued" : { "date-parts" : [ [ "2012" ] ] }, "page" : "73-87", "title" : "Modelling hepatitis C transmission over a social network of injecting drug users", "type" : "article-journal", "volume" : "297" }, "uris" : [ "http://www.mendeley.com/documents/?uuid=ddcffeac-0232-31ee-aae9-4a67f3eb7f1e" ] } ], "mendeley" : { "formattedCitation" : "&lt;sup&gt;12&lt;/sup&gt;", "plainTextFormattedCitation" : "12", "previouslyFormattedCitation" : "&lt;sup&gt;12&lt;/sup&gt;" }, "properties" : { "noteIndex" : 0 }, "schema" : "https://github.com/citation-style-language/schema/raw/master/csl-citation.json" }</w:instrText>
      </w:r>
      <w:r w:rsidR="00EB5B80">
        <w:fldChar w:fldCharType="separate"/>
      </w:r>
      <w:r w:rsidR="00053BBA" w:rsidRPr="00053BBA">
        <w:rPr>
          <w:noProof/>
          <w:vertAlign w:val="superscript"/>
        </w:rPr>
        <w:t>12</w:t>
      </w:r>
      <w:r w:rsidR="00EB5B80">
        <w:fldChar w:fldCharType="end"/>
      </w:r>
      <w:r w:rsidR="00000B06">
        <w:t xml:space="preserve"> </w:t>
      </w:r>
    </w:p>
    <w:p w14:paraId="00244DC0" w14:textId="77777777" w:rsidR="00816EB7" w:rsidRDefault="00816EB7" w:rsidP="00757BD9">
      <w:pPr>
        <w:spacing w:line="480" w:lineRule="auto"/>
        <w:jc w:val="both"/>
      </w:pPr>
    </w:p>
    <w:p w14:paraId="6B429B33" w14:textId="3A55516A" w:rsidR="00EB5B80" w:rsidRDefault="00000B06" w:rsidP="00757BD9">
      <w:pPr>
        <w:spacing w:line="480" w:lineRule="auto"/>
        <w:jc w:val="both"/>
      </w:pPr>
      <w:r>
        <w:t xml:space="preserve">The only way an individual could become infected with HCV in the </w:t>
      </w:r>
      <w:r w:rsidR="00816EB7">
        <w:t>simulation</w:t>
      </w:r>
      <w:r>
        <w:t xml:space="preserve"> was via an injecting rel</w:t>
      </w:r>
      <w:r w:rsidR="00816EB7">
        <w:t>ationship. We did not include an</w:t>
      </w:r>
      <w:r>
        <w:t xml:space="preserve"> ‘importation’ rate where HCV could be acquired</w:t>
      </w:r>
      <w:r w:rsidR="00816EB7">
        <w:t xml:space="preserve"> from outside the network </w:t>
      </w:r>
      <w:r w:rsidR="00BB615E">
        <w:t>because, 1)</w:t>
      </w:r>
      <w:r w:rsidR="00816EB7">
        <w:t xml:space="preserve"> the PWID population was geographically stable </w:t>
      </w:r>
      <w:r w:rsidR="00BB615E">
        <w:t xml:space="preserve">2) </w:t>
      </w:r>
      <w:r w:rsidR="00816EB7">
        <w:t xml:space="preserve">we had a high sampling fraction (see supplementary material) and </w:t>
      </w:r>
      <w:r w:rsidR="00BB615E">
        <w:t>3)</w:t>
      </w:r>
      <w:r w:rsidR="00816EB7">
        <w:t xml:space="preserve"> the time horizon for the simulation was only 12 months.</w:t>
      </w:r>
    </w:p>
    <w:p w14:paraId="1EC7A057" w14:textId="77777777" w:rsidR="007D4226" w:rsidRDefault="007D4226" w:rsidP="00757BD9">
      <w:pPr>
        <w:spacing w:line="480" w:lineRule="auto"/>
        <w:jc w:val="both"/>
      </w:pPr>
    </w:p>
    <w:p w14:paraId="08C13572" w14:textId="0254FC74" w:rsidR="00EB5B80" w:rsidRDefault="00EB5B80" w:rsidP="00757BD9">
      <w:pPr>
        <w:spacing w:line="480" w:lineRule="auto"/>
        <w:jc w:val="both"/>
      </w:pPr>
      <w:r>
        <w:t xml:space="preserve">In all </w:t>
      </w:r>
      <w:r w:rsidR="00FC4400">
        <w:t>base-case</w:t>
      </w:r>
      <w:r>
        <w:t xml:space="preserve"> scenarios one individual was treated per month, which is in keeping with </w:t>
      </w:r>
      <w:r w:rsidR="00931DB4">
        <w:t xml:space="preserve">the </w:t>
      </w:r>
      <w:r>
        <w:t>real-world capacity of loc</w:t>
      </w:r>
      <w:r w:rsidR="00931DB4">
        <w:t>al Hepatology services on the Io</w:t>
      </w:r>
      <w:r w:rsidR="00C54050">
        <w:t xml:space="preserve">W. </w:t>
      </w:r>
      <w:r w:rsidR="00766BF3">
        <w:t xml:space="preserve">For the purposes of the simulation </w:t>
      </w:r>
      <w:r w:rsidR="00C54050">
        <w:t>w</w:t>
      </w:r>
      <w:r>
        <w:t xml:space="preserve">e assumed all individuals were treatment naïve, non-cirrhotic, completed the full course of treatment and received </w:t>
      </w:r>
      <w:r w:rsidR="004C319D">
        <w:t>DAA</w:t>
      </w:r>
      <w:r w:rsidR="00766BF3">
        <w:t>s</w:t>
      </w:r>
      <w:r w:rsidR="00DC26E0">
        <w:t xml:space="preserve"> with a SVR </w:t>
      </w:r>
      <w:r>
        <w:t xml:space="preserve">rate in </w:t>
      </w:r>
      <w:r w:rsidR="00D450E9">
        <w:t>both genotypes 1 and 3 of 95% (T</w:t>
      </w:r>
      <w:r>
        <w:t xml:space="preserve">able </w:t>
      </w:r>
      <w:r w:rsidR="00C54050">
        <w:t>1</w:t>
      </w:r>
      <w:r>
        <w:t>).</w:t>
      </w:r>
    </w:p>
    <w:p w14:paraId="0AC4CED9" w14:textId="77777777" w:rsidR="0012613A" w:rsidRDefault="0012613A" w:rsidP="00757BD9">
      <w:pPr>
        <w:spacing w:line="480" w:lineRule="auto"/>
        <w:jc w:val="both"/>
      </w:pPr>
    </w:p>
    <w:p w14:paraId="0142D199" w14:textId="3E9BA7BB" w:rsidR="00ED0686" w:rsidRDefault="00ED0686" w:rsidP="00757BD9">
      <w:pPr>
        <w:spacing w:line="480" w:lineRule="auto"/>
        <w:jc w:val="both"/>
      </w:pPr>
      <w:bookmarkStart w:id="1" w:name="_Toc368238233"/>
      <w:r>
        <w:t>In keeping with ‘injecting event’ frequency, the duration of treatment and progression of infection from acute to chronic disease</w:t>
      </w:r>
      <w:r w:rsidR="004A5CE3">
        <w:t>,</w:t>
      </w:r>
      <w:r>
        <w:t xml:space="preserve"> t</w:t>
      </w:r>
      <w:r w:rsidRPr="000668E8">
        <w:t>he m</w:t>
      </w:r>
      <w:r>
        <w:t xml:space="preserve">odel cycled at weekly intervals for </w:t>
      </w:r>
      <w:r w:rsidR="00BB615E">
        <w:t>a year</w:t>
      </w:r>
      <w:r>
        <w:t xml:space="preserve">. This short time horizon is important because it was </w:t>
      </w:r>
      <w:r>
        <w:lastRenderedPageBreak/>
        <w:t>assumed that: 1) relationships did not form, change or cease during the time frame; 2) injecting behaviour remained constant and 3) individuals did not leave or join the network.</w:t>
      </w:r>
      <w:r w:rsidR="00766BF3">
        <w:t xml:space="preserve"> </w:t>
      </w:r>
    </w:p>
    <w:bookmarkEnd w:id="1"/>
    <w:p w14:paraId="68514152" w14:textId="77777777" w:rsidR="00C55221" w:rsidRDefault="00C55221" w:rsidP="00757BD9">
      <w:pPr>
        <w:spacing w:line="480" w:lineRule="auto"/>
        <w:jc w:val="both"/>
      </w:pPr>
    </w:p>
    <w:p w14:paraId="2B5D0B32" w14:textId="02C2B9B8" w:rsidR="00EB5B80" w:rsidRDefault="00EB5B80" w:rsidP="00757BD9">
      <w:pPr>
        <w:spacing w:line="480" w:lineRule="auto"/>
        <w:jc w:val="both"/>
      </w:pPr>
      <w:r w:rsidRPr="000668E8">
        <w:t xml:space="preserve">The primary outcome </w:t>
      </w:r>
      <w:r w:rsidR="00ED0686">
        <w:t xml:space="preserve">of the model </w:t>
      </w:r>
      <w:r w:rsidRPr="000668E8">
        <w:t xml:space="preserve">was </w:t>
      </w:r>
      <w:r>
        <w:t xml:space="preserve">the number of </w:t>
      </w:r>
      <w:r w:rsidR="00C54050">
        <w:t>incident</w:t>
      </w:r>
      <w:r>
        <w:t xml:space="preserve"> HCV infections at 12 months and </w:t>
      </w:r>
      <w:r w:rsidRPr="000668E8">
        <w:t xml:space="preserve">the secondary outcome was </w:t>
      </w:r>
      <w:r w:rsidR="00D450E9">
        <w:t xml:space="preserve">the </w:t>
      </w:r>
      <w:r w:rsidRPr="000668E8">
        <w:t xml:space="preserve">number of </w:t>
      </w:r>
      <w:r w:rsidR="00C54050">
        <w:t>incident</w:t>
      </w:r>
      <w:r>
        <w:t xml:space="preserve"> </w:t>
      </w:r>
      <w:r w:rsidRPr="000668E8">
        <w:t>re-infections at</w:t>
      </w:r>
      <w:r w:rsidR="00C54050">
        <w:t xml:space="preserve"> 12 months in the following three</w:t>
      </w:r>
      <w:r w:rsidRPr="000668E8">
        <w:t xml:space="preserve"> scenarios:</w:t>
      </w:r>
    </w:p>
    <w:p w14:paraId="52DEDC2C" w14:textId="77777777" w:rsidR="00ED0686" w:rsidRPr="000668E8" w:rsidRDefault="00ED0686" w:rsidP="00757BD9">
      <w:pPr>
        <w:spacing w:line="480" w:lineRule="auto"/>
        <w:jc w:val="both"/>
      </w:pPr>
    </w:p>
    <w:p w14:paraId="2B83458C" w14:textId="1D45F5B0" w:rsidR="00EB5B80" w:rsidRDefault="00EB5B80" w:rsidP="00757BD9">
      <w:pPr>
        <w:pStyle w:val="ListParagraph"/>
        <w:numPr>
          <w:ilvl w:val="0"/>
          <w:numId w:val="3"/>
        </w:numPr>
        <w:spacing w:line="480" w:lineRule="auto"/>
        <w:jc w:val="both"/>
      </w:pPr>
      <w:r>
        <w:t>If no treatment was available</w:t>
      </w:r>
    </w:p>
    <w:p w14:paraId="660FD12B" w14:textId="77777777" w:rsidR="00EB5B80" w:rsidRDefault="00EB5B80" w:rsidP="00757BD9">
      <w:pPr>
        <w:pStyle w:val="ListParagraph"/>
        <w:numPr>
          <w:ilvl w:val="0"/>
          <w:numId w:val="3"/>
        </w:numPr>
        <w:spacing w:line="480" w:lineRule="auto"/>
        <w:jc w:val="both"/>
      </w:pPr>
      <w:r>
        <w:t>If a single individual with chronic HCV was randomly selected for treatment per month</w:t>
      </w:r>
    </w:p>
    <w:p w14:paraId="06017615" w14:textId="5E1D29E9" w:rsidR="00BE1594" w:rsidRDefault="00EB5B80" w:rsidP="00BE1594">
      <w:pPr>
        <w:pStyle w:val="ListParagraph"/>
        <w:numPr>
          <w:ilvl w:val="0"/>
          <w:numId w:val="3"/>
        </w:numPr>
        <w:spacing w:line="480" w:lineRule="auto"/>
        <w:jc w:val="both"/>
      </w:pPr>
      <w:r>
        <w:t xml:space="preserve">If the individual with the greatest risk </w:t>
      </w:r>
      <w:r w:rsidRPr="008E2C5C">
        <w:rPr>
          <w:i/>
        </w:rPr>
        <w:t>degree</w:t>
      </w:r>
      <w:r>
        <w:t xml:space="preserve"> (the most injecting partners) was treated each month</w:t>
      </w:r>
    </w:p>
    <w:p w14:paraId="695E0E95" w14:textId="77777777" w:rsidR="00BE1594" w:rsidRPr="00C705F5" w:rsidRDefault="00BE1594" w:rsidP="00BE1594">
      <w:pPr>
        <w:pStyle w:val="ListParagraph"/>
        <w:spacing w:line="480" w:lineRule="auto"/>
        <w:jc w:val="both"/>
      </w:pPr>
    </w:p>
    <w:p w14:paraId="1E623D8A" w14:textId="23254F40" w:rsidR="00DC26E0" w:rsidRDefault="00BE1594" w:rsidP="00757BD9">
      <w:pPr>
        <w:spacing w:line="480" w:lineRule="auto"/>
        <w:jc w:val="both"/>
      </w:pPr>
      <w:r>
        <w:t xml:space="preserve">The number of incident infections from 50 simulations of each scenario was then compared using the independent </w:t>
      </w:r>
      <w:r w:rsidRPr="00BE1594">
        <w:rPr>
          <w:i/>
        </w:rPr>
        <w:t xml:space="preserve">t-test </w:t>
      </w:r>
      <w:r>
        <w:t>in SPSS statistics for MAC version 25.</w:t>
      </w:r>
    </w:p>
    <w:p w14:paraId="32F3C5CC" w14:textId="77777777" w:rsidR="00BE1594" w:rsidRDefault="00BE1594" w:rsidP="00757BD9">
      <w:pPr>
        <w:spacing w:line="480" w:lineRule="auto"/>
        <w:jc w:val="both"/>
      </w:pPr>
    </w:p>
    <w:p w14:paraId="39DFA86E" w14:textId="34CDD01F" w:rsidR="00DC26E0" w:rsidRPr="00DC26E0" w:rsidRDefault="00455FD5" w:rsidP="00757BD9">
      <w:pPr>
        <w:spacing w:line="480" w:lineRule="auto"/>
        <w:jc w:val="both"/>
        <w:rPr>
          <w:i/>
        </w:rPr>
      </w:pPr>
      <w:r>
        <w:rPr>
          <w:i/>
        </w:rPr>
        <w:t>Agent-based simulation</w:t>
      </w:r>
      <w:r w:rsidR="00F42425">
        <w:rPr>
          <w:i/>
        </w:rPr>
        <w:t xml:space="preserve"> s</w:t>
      </w:r>
      <w:r w:rsidR="00ED0686" w:rsidRPr="00F42425">
        <w:rPr>
          <w:i/>
        </w:rPr>
        <w:t xml:space="preserve">ensitivity analysis </w:t>
      </w:r>
    </w:p>
    <w:p w14:paraId="1318EE85" w14:textId="4A57B8CA" w:rsidR="00EF4338" w:rsidRDefault="00EB5B80" w:rsidP="00757BD9">
      <w:pPr>
        <w:spacing w:line="480" w:lineRule="auto"/>
        <w:jc w:val="both"/>
      </w:pPr>
      <w:r>
        <w:t xml:space="preserve">To account for intrinsic variability within the </w:t>
      </w:r>
      <w:r w:rsidR="00952292">
        <w:t>simulation</w:t>
      </w:r>
      <w:r>
        <w:t xml:space="preserve"> from the random assignment of injecting event frequency, treatment and HCV status (for those nodes with an undefined status at baseline), we ran 50 replications through the model until HCV </w:t>
      </w:r>
      <w:r w:rsidR="00432C56">
        <w:t>incidence</w:t>
      </w:r>
      <w:r>
        <w:t xml:space="preserve"> estimates stabilised for </w:t>
      </w:r>
      <w:r w:rsidR="00396BF5">
        <w:t xml:space="preserve">each scenario. </w:t>
      </w:r>
    </w:p>
    <w:p w14:paraId="6AFA7389" w14:textId="77777777" w:rsidR="00DC26E0" w:rsidRDefault="00DC26E0" w:rsidP="00757BD9">
      <w:pPr>
        <w:spacing w:line="480" w:lineRule="auto"/>
        <w:jc w:val="both"/>
      </w:pPr>
    </w:p>
    <w:p w14:paraId="73664506" w14:textId="019DC7C8" w:rsidR="002D3092" w:rsidRDefault="00EF4338" w:rsidP="00757BD9">
      <w:pPr>
        <w:spacing w:line="480" w:lineRule="auto"/>
        <w:jc w:val="both"/>
        <w:rPr>
          <w:rFonts w:cs="Times"/>
          <w:lang w:val="en-US"/>
        </w:rPr>
      </w:pPr>
      <w:r>
        <w:t>We tested the sensitivity of the outcomes to variations in five key</w:t>
      </w:r>
      <w:r w:rsidR="00AD7FD2">
        <w:t xml:space="preserve"> </w:t>
      </w:r>
      <w:r w:rsidR="00DC26E0">
        <w:t xml:space="preserve">parameters </w:t>
      </w:r>
      <w:r>
        <w:t xml:space="preserve">used in the </w:t>
      </w:r>
      <w:r w:rsidR="00DC26E0">
        <w:t>simulation</w:t>
      </w:r>
      <w:r w:rsidR="00417F1C">
        <w:t xml:space="preserve"> (Table 1)</w:t>
      </w:r>
      <w:r w:rsidR="00145DC5">
        <w:t>.</w:t>
      </w:r>
      <w:r>
        <w:t xml:space="preserve"> </w:t>
      </w:r>
      <w:r w:rsidRPr="004C6C18">
        <w:t xml:space="preserve">These were adjusted separately in accordance </w:t>
      </w:r>
      <w:r w:rsidRPr="004C6C18">
        <w:lastRenderedPageBreak/>
        <w:t>with the 95% confidence intervals or a pre-defined value where these were unavailable</w:t>
      </w:r>
      <w:r>
        <w:t>.</w:t>
      </w:r>
      <w:r w:rsidRPr="004C6C18">
        <w:t xml:space="preserve"> </w:t>
      </w:r>
      <w:r w:rsidR="00952292">
        <w:t>We then condu</w:t>
      </w:r>
      <w:r>
        <w:t>cted a 2</w:t>
      </w:r>
      <w:r>
        <w:rPr>
          <w:vertAlign w:val="superscript"/>
        </w:rPr>
        <w:t>k</w:t>
      </w:r>
      <w:r w:rsidR="002D3092">
        <w:t xml:space="preserve"> factorial analysis for four important transition probabilities where 32 (2</w:t>
      </w:r>
      <w:r w:rsidR="002D3092">
        <w:rPr>
          <w:vertAlign w:val="superscript"/>
        </w:rPr>
        <w:t>4</w:t>
      </w:r>
      <w:r w:rsidR="002D3092">
        <w:t>) experiments were conducted with each p</w:t>
      </w:r>
      <w:r w:rsidR="00952292">
        <w:t>arameter</w:t>
      </w:r>
      <w:r w:rsidR="002D3092">
        <w:t xml:space="preserve"> extended to its maximum or minimum value </w:t>
      </w:r>
      <w:r w:rsidR="00952292">
        <w:t>simult</w:t>
      </w:r>
      <w:r w:rsidR="002D3092" w:rsidRPr="002D3092">
        <w:t xml:space="preserve">aneously. This allowed us to identify </w:t>
      </w:r>
      <w:r w:rsidRPr="002D3092">
        <w:rPr>
          <w:rFonts w:cs="Times"/>
          <w:lang w:val="en-US"/>
        </w:rPr>
        <w:t>interactions between factors as well as their main effects.</w:t>
      </w:r>
    </w:p>
    <w:p w14:paraId="4B0D8159" w14:textId="77777777" w:rsidR="00DC26E0" w:rsidRPr="00DC26E0" w:rsidRDefault="00DC26E0" w:rsidP="00757BD9">
      <w:pPr>
        <w:spacing w:line="480" w:lineRule="auto"/>
        <w:jc w:val="both"/>
        <w:rPr>
          <w:rFonts w:cs="Times"/>
          <w:lang w:val="en-US"/>
        </w:rPr>
      </w:pPr>
    </w:p>
    <w:p w14:paraId="6547B98D" w14:textId="602810EA" w:rsidR="001B7B70" w:rsidRPr="00DC26E0" w:rsidRDefault="00F42425" w:rsidP="00757BD9">
      <w:pPr>
        <w:spacing w:line="480" w:lineRule="auto"/>
        <w:jc w:val="both"/>
        <w:rPr>
          <w:i/>
        </w:rPr>
      </w:pPr>
      <w:r w:rsidRPr="00F04332">
        <w:rPr>
          <w:i/>
        </w:rPr>
        <w:t>Management of missing data</w:t>
      </w:r>
    </w:p>
    <w:p w14:paraId="0C60B415" w14:textId="531554F6" w:rsidR="00F42425" w:rsidRDefault="00F42425" w:rsidP="00757BD9">
      <w:pPr>
        <w:spacing w:line="480" w:lineRule="auto"/>
        <w:jc w:val="both"/>
      </w:pPr>
      <w:r>
        <w:t>Due to the reliance on peer reporting, attribute</w:t>
      </w:r>
      <w:r w:rsidR="004C319D">
        <w:t xml:space="preserve"> data within the network</w:t>
      </w:r>
      <w:r>
        <w:t xml:space="preserve"> was incomplete. To account for this we used multiple imputations - where missing data are replaced with plausible values in imputed datasets and then the statistical tests rerun with each</w:t>
      </w:r>
      <w:r w:rsidR="00DF33E2">
        <w:t>.</w:t>
      </w:r>
      <w:r w:rsidR="00DF33E2">
        <w:fldChar w:fldCharType="begin" w:fldLock="1"/>
      </w:r>
      <w:r w:rsidR="00053BBA">
        <w:instrText>ADDIN CSL_CITATION { "citationItems" : [ { "id" : "ITEM-1", "itemData" : { "DOI" : "10.1002/sim.4067", "ISSN" : "02776715", "author" : [ { "dropping-particle" : "", "family" : "White", "given" : "Ian R.", "non-dropping-particle" : "", "parse-names" : false, "suffix" : "" }, { "dropping-particle" : "", "family" : "Royston", "given" : "Patrick", "non-dropping-particle" : "", "parse-names" : false, "suffix" : "" }, { "dropping-particle" : "", "family" : "Wood", "given" : "Angela M.", "non-dropping-particle" : "", "parse-names" : false, "suffix" : "" } ], "container-title" : "Statistics in Medicine", "id" : "ITEM-1", "issue" : "4", "issued" : { "date-parts" : [ [ "2011", "2", "20" ] ] }, "page" : "377-399", "publisher" : "John Wiley &amp; Sons, Ltd.", "title" : "Multiple imputation using chained equations: Issues and guidance for practice", "type" : "article-journal", "volume" : "30" }, "uris" : [ "http://www.mendeley.com/documents/?uuid=c7822f85-0b02-3787-8bf9-b930d46ceedd" ] } ], "mendeley" : { "formattedCitation" : "&lt;sup&gt;23&lt;/sup&gt;", "plainTextFormattedCitation" : "23", "previouslyFormattedCitation" : "&lt;sup&gt;23&lt;/sup&gt;" }, "properties" : { "noteIndex" : 10 }, "schema" : "https://github.com/citation-style-language/schema/raw/master/csl-citation.json" }</w:instrText>
      </w:r>
      <w:r w:rsidR="00DF33E2">
        <w:fldChar w:fldCharType="separate"/>
      </w:r>
      <w:r w:rsidR="00053BBA" w:rsidRPr="00053BBA">
        <w:rPr>
          <w:noProof/>
          <w:vertAlign w:val="superscript"/>
        </w:rPr>
        <w:t>23</w:t>
      </w:r>
      <w:r w:rsidR="00DF33E2">
        <w:fldChar w:fldCharType="end"/>
      </w:r>
      <w:r w:rsidR="004C319D">
        <w:t xml:space="preserve"> To ascertain the values we</w:t>
      </w:r>
      <w:r>
        <w:t xml:space="preserve"> constructed a multiple imputation model using the variables from the logistic regression model and an auxiliary variable, social network </w:t>
      </w:r>
      <w:r w:rsidRPr="0069455A">
        <w:rPr>
          <w:i/>
        </w:rPr>
        <w:t>in-degree</w:t>
      </w:r>
      <w:r>
        <w:rPr>
          <w:i/>
        </w:rPr>
        <w:t>,</w:t>
      </w:r>
      <w:r>
        <w:t xml:space="preserve"> which was inversely correlated with the likelihood of ‘missingness’. </w:t>
      </w:r>
    </w:p>
    <w:p w14:paraId="74E92E7E" w14:textId="77777777" w:rsidR="00F42425" w:rsidRDefault="00F42425" w:rsidP="00757BD9">
      <w:pPr>
        <w:spacing w:line="480" w:lineRule="auto"/>
        <w:jc w:val="both"/>
      </w:pPr>
    </w:p>
    <w:p w14:paraId="749B4D75" w14:textId="42906013" w:rsidR="00F42425" w:rsidRDefault="00F42425" w:rsidP="00757BD9">
      <w:pPr>
        <w:spacing w:line="480" w:lineRule="auto"/>
        <w:jc w:val="both"/>
      </w:pPr>
      <w:r>
        <w:t>In keeping with the proportion</w:t>
      </w:r>
      <w:r w:rsidR="008836E6">
        <w:t xml:space="preserve"> of missing data for HCV status</w:t>
      </w:r>
      <w:r>
        <w:t xml:space="preserve"> 30 imputation datasets</w:t>
      </w:r>
      <w:r w:rsidR="00931DB4">
        <w:t xml:space="preserve"> were created</w:t>
      </w:r>
      <w:r>
        <w:t>.</w:t>
      </w:r>
      <w:r w:rsidR="00931DB4">
        <w:t xml:space="preserve"> </w:t>
      </w:r>
      <w:r w:rsidR="003D23E1">
        <w:t>From these 30 datasets t</w:t>
      </w:r>
      <w:r w:rsidR="005E081F">
        <w:t xml:space="preserve">he mean number of HCV cases in the 52 nodes with an unknown HCV status was 12 (standard </w:t>
      </w:r>
      <w:proofErr w:type="spellStart"/>
      <w:r w:rsidR="005E081F">
        <w:t>devitation</w:t>
      </w:r>
      <w:proofErr w:type="spellEnd"/>
      <w:r w:rsidR="005E081F">
        <w:t xml:space="preserve"> 2.5). </w:t>
      </w:r>
      <w:r w:rsidR="003D23E1">
        <w:t>Therefore in each simulation HCV positivity was randomly assigned to 12 of these nodes.</w:t>
      </w:r>
    </w:p>
    <w:p w14:paraId="3D389B85" w14:textId="77777777" w:rsidR="003D2EF0" w:rsidRDefault="003D2EF0" w:rsidP="00757BD9">
      <w:pPr>
        <w:spacing w:line="480" w:lineRule="auto"/>
        <w:jc w:val="both"/>
      </w:pPr>
    </w:p>
    <w:p w14:paraId="39421B11" w14:textId="77777777" w:rsidR="00353CE2" w:rsidRDefault="00353CE2">
      <w:pPr>
        <w:rPr>
          <w:b/>
          <w:u w:val="single"/>
        </w:rPr>
      </w:pPr>
      <w:r>
        <w:rPr>
          <w:b/>
          <w:u w:val="single"/>
        </w:rPr>
        <w:br w:type="page"/>
      </w:r>
    </w:p>
    <w:p w14:paraId="5BD48818" w14:textId="5B7BD909" w:rsidR="00EB5B80" w:rsidRPr="00C63121" w:rsidRDefault="00EB5B80" w:rsidP="00757BD9">
      <w:pPr>
        <w:spacing w:line="480" w:lineRule="auto"/>
        <w:jc w:val="both"/>
        <w:rPr>
          <w:b/>
          <w:u w:val="single"/>
        </w:rPr>
      </w:pPr>
      <w:r w:rsidRPr="00C63121">
        <w:rPr>
          <w:b/>
          <w:u w:val="single"/>
        </w:rPr>
        <w:lastRenderedPageBreak/>
        <w:t>Results</w:t>
      </w:r>
    </w:p>
    <w:p w14:paraId="24061B09" w14:textId="77777777" w:rsidR="00075571" w:rsidRDefault="00075571" w:rsidP="00757BD9">
      <w:pPr>
        <w:spacing w:line="480" w:lineRule="auto"/>
        <w:jc w:val="both"/>
        <w:rPr>
          <w:sz w:val="36"/>
          <w:szCs w:val="36"/>
        </w:rPr>
      </w:pPr>
    </w:p>
    <w:p w14:paraId="47E30AD1" w14:textId="652427A0" w:rsidR="00D07ADE" w:rsidRPr="00C63121" w:rsidRDefault="009924A7" w:rsidP="00757BD9">
      <w:pPr>
        <w:spacing w:line="480" w:lineRule="auto"/>
        <w:jc w:val="both"/>
        <w:rPr>
          <w:b/>
        </w:rPr>
      </w:pPr>
      <w:r>
        <w:rPr>
          <w:b/>
        </w:rPr>
        <w:t xml:space="preserve">Injecting network </w:t>
      </w:r>
      <w:r w:rsidR="00FB3CE4">
        <w:rPr>
          <w:b/>
        </w:rPr>
        <w:t>topography</w:t>
      </w:r>
    </w:p>
    <w:p w14:paraId="27932590" w14:textId="242705EF" w:rsidR="000450D7" w:rsidRDefault="00394176" w:rsidP="00757BD9">
      <w:pPr>
        <w:spacing w:line="480" w:lineRule="auto"/>
        <w:jc w:val="both"/>
      </w:pPr>
      <w:r>
        <w:t>F</w:t>
      </w:r>
      <w:r w:rsidR="00404659">
        <w:t xml:space="preserve">ive </w:t>
      </w:r>
      <w:r w:rsidR="009230E9" w:rsidRPr="009230E9">
        <w:t>PWID</w:t>
      </w:r>
      <w:r w:rsidR="008732D9">
        <w:t xml:space="preserve">, acting </w:t>
      </w:r>
      <w:r w:rsidR="009230E9" w:rsidRPr="009230E9">
        <w:t>as</w:t>
      </w:r>
      <w:r w:rsidR="009230E9">
        <w:rPr>
          <w:i/>
        </w:rPr>
        <w:t xml:space="preserve"> seeds</w:t>
      </w:r>
      <w:r w:rsidR="008732D9">
        <w:rPr>
          <w:i/>
        </w:rPr>
        <w:t>,</w:t>
      </w:r>
      <w:r w:rsidR="00FF7025">
        <w:rPr>
          <w:i/>
        </w:rPr>
        <w:t xml:space="preserve"> </w:t>
      </w:r>
      <w:r w:rsidR="008732D9">
        <w:t>identified</w:t>
      </w:r>
      <w:r w:rsidR="00404659">
        <w:t xml:space="preserve"> 64 </w:t>
      </w:r>
      <w:r w:rsidR="009230E9">
        <w:t xml:space="preserve">other </w:t>
      </w:r>
      <w:r w:rsidR="00404659">
        <w:t xml:space="preserve">PWID for the </w:t>
      </w:r>
      <w:r w:rsidR="00931DB4">
        <w:t>bio-behavioural survey</w:t>
      </w:r>
      <w:r>
        <w:t xml:space="preserve"> via RDS</w:t>
      </w:r>
      <w:r w:rsidR="00404659">
        <w:t xml:space="preserve">. The 69 </w:t>
      </w:r>
      <w:r w:rsidR="00C83247">
        <w:t xml:space="preserve">survey </w:t>
      </w:r>
      <w:r w:rsidR="00404659">
        <w:t xml:space="preserve">participants </w:t>
      </w:r>
      <w:r w:rsidR="009230E9">
        <w:t xml:space="preserve">then </w:t>
      </w:r>
      <w:r w:rsidR="00404659">
        <w:t xml:space="preserve">described a further 110 </w:t>
      </w:r>
      <w:r w:rsidR="00B77B48" w:rsidRPr="00B77B48">
        <w:t>partners</w:t>
      </w:r>
      <w:r w:rsidR="00931DB4" w:rsidRPr="00B77B48">
        <w:t xml:space="preserve"> </w:t>
      </w:r>
      <w:r w:rsidR="00404659">
        <w:t xml:space="preserve">with complete codes who could be added </w:t>
      </w:r>
      <w:r w:rsidR="00404659" w:rsidRPr="0006366F">
        <w:t xml:space="preserve">to the adjacency matrix. </w:t>
      </w:r>
      <w:r w:rsidR="007D03C2" w:rsidRPr="0006366F">
        <w:t xml:space="preserve">The overall social network therefore contained </w:t>
      </w:r>
      <w:r w:rsidR="00D07ADE" w:rsidRPr="0006366F">
        <w:t>179 nodes</w:t>
      </w:r>
      <w:r w:rsidR="007D03C2" w:rsidRPr="0006366F">
        <w:t xml:space="preserve"> within</w:t>
      </w:r>
      <w:r w:rsidR="000450D7" w:rsidRPr="0006366F">
        <w:t xml:space="preserve"> a single component</w:t>
      </w:r>
      <w:r w:rsidR="000D6B5A" w:rsidRPr="0006366F">
        <w:t xml:space="preserve"> which</w:t>
      </w:r>
      <w:r w:rsidR="005912F9" w:rsidRPr="0006366F">
        <w:t>,</w:t>
      </w:r>
      <w:r w:rsidR="000D6B5A" w:rsidRPr="0006366F">
        <w:t xml:space="preserve"> on the basis of our population size estimates</w:t>
      </w:r>
      <w:r w:rsidR="005912F9" w:rsidRPr="0006366F">
        <w:t>,</w:t>
      </w:r>
      <w:r w:rsidR="000D6B5A" w:rsidRPr="0006366F">
        <w:t xml:space="preserve"> comprises </w:t>
      </w:r>
      <w:r w:rsidR="005912F9" w:rsidRPr="0006366F">
        <w:t>over 50%</w:t>
      </w:r>
      <w:r w:rsidR="000D6B5A" w:rsidRPr="0006366F">
        <w:t xml:space="preserve"> of</w:t>
      </w:r>
      <w:r w:rsidR="005912F9" w:rsidRPr="0006366F">
        <w:t xml:space="preserve"> the</w:t>
      </w:r>
      <w:r w:rsidR="000D6B5A" w:rsidRPr="0006366F">
        <w:t xml:space="preserve"> PWID on the IoW</w:t>
      </w:r>
      <w:r w:rsidR="002E72D6" w:rsidRPr="0006366F">
        <w:t xml:space="preserve"> (see Supplementary Appendix for method and results of population size estimates)</w:t>
      </w:r>
      <w:r w:rsidR="000450D7" w:rsidRPr="0006366F">
        <w:t>.</w:t>
      </w:r>
      <w:r w:rsidR="000450D7">
        <w:t xml:space="preserve"> </w:t>
      </w:r>
    </w:p>
    <w:p w14:paraId="5FB6AFE3" w14:textId="77777777" w:rsidR="000450D7" w:rsidRDefault="000450D7" w:rsidP="00757BD9">
      <w:pPr>
        <w:spacing w:line="480" w:lineRule="auto"/>
        <w:jc w:val="both"/>
      </w:pPr>
    </w:p>
    <w:p w14:paraId="27A17EB2" w14:textId="1F73D812" w:rsidR="003B73A8" w:rsidRDefault="007D03C2" w:rsidP="00757BD9">
      <w:pPr>
        <w:spacing w:line="480" w:lineRule="auto"/>
        <w:jc w:val="both"/>
      </w:pPr>
      <w:r>
        <w:t>When only injecting relationships</w:t>
      </w:r>
      <w:r w:rsidR="00394176">
        <w:t xml:space="preserve"> </w:t>
      </w:r>
      <w:r>
        <w:t>were included</w:t>
      </w:r>
      <w:r w:rsidR="005A243E">
        <w:t>,</w:t>
      </w:r>
      <w:r>
        <w:t xml:space="preserve"> the network fragmented into one larg</w:t>
      </w:r>
      <w:r w:rsidR="00BA0910">
        <w:t>e</w:t>
      </w:r>
      <w:r w:rsidR="009230E9">
        <w:t xml:space="preserve"> component</w:t>
      </w:r>
      <w:r w:rsidR="00BA0910">
        <w:t>, four small components and 46 isolated</w:t>
      </w:r>
      <w:r>
        <w:t xml:space="preserve"> nodes with no </w:t>
      </w:r>
      <w:r w:rsidR="000E2A2E">
        <w:t>relationships</w:t>
      </w:r>
      <w:r w:rsidR="009230E9">
        <w:t xml:space="preserve"> connecting them to</w:t>
      </w:r>
      <w:r>
        <w:t xml:space="preserve"> another node</w:t>
      </w:r>
      <w:r w:rsidR="00C54050">
        <w:t xml:space="preserve"> (Figure 2</w:t>
      </w:r>
      <w:r w:rsidR="009230E9">
        <w:t>)</w:t>
      </w:r>
      <w:r>
        <w:t xml:space="preserve">. </w:t>
      </w:r>
      <w:r w:rsidR="00FF7025">
        <w:t>The mean in-</w:t>
      </w:r>
      <w:r w:rsidR="00FF7025" w:rsidRPr="00C414EE">
        <w:rPr>
          <w:i/>
        </w:rPr>
        <w:t>degree</w:t>
      </w:r>
      <w:r w:rsidR="00FF7025">
        <w:rPr>
          <w:i/>
        </w:rPr>
        <w:t xml:space="preserve"> </w:t>
      </w:r>
      <w:r w:rsidR="00FF7025" w:rsidRPr="000178EA">
        <w:t xml:space="preserve">(number of </w:t>
      </w:r>
      <w:r w:rsidR="00B537E0">
        <w:t>injecting partnerships per node</w:t>
      </w:r>
      <w:r w:rsidR="00FF7025" w:rsidRPr="000178EA">
        <w:t>)</w:t>
      </w:r>
      <w:r w:rsidR="00B537E0">
        <w:t xml:space="preserve"> was</w:t>
      </w:r>
      <w:r w:rsidR="00FF7025">
        <w:t xml:space="preserve"> 2</w:t>
      </w:r>
      <w:r w:rsidR="0046038A">
        <w:t>·</w:t>
      </w:r>
      <w:r w:rsidR="00FF7025">
        <w:t xml:space="preserve">6 </w:t>
      </w:r>
      <w:r w:rsidR="00B537E0">
        <w:t>but this</w:t>
      </w:r>
      <w:r w:rsidR="00455FD5">
        <w:t xml:space="preserve"> had </w:t>
      </w:r>
      <w:r w:rsidR="005A243E">
        <w:t>a long-</w:t>
      </w:r>
      <w:r w:rsidR="00B537E0">
        <w:t xml:space="preserve">tailed </w:t>
      </w:r>
      <w:r w:rsidR="00455FD5">
        <w:t xml:space="preserve">frequency </w:t>
      </w:r>
      <w:r w:rsidR="00B537E0">
        <w:t>distribution</w:t>
      </w:r>
      <w:r w:rsidR="00455FD5">
        <w:t xml:space="preserve"> and ranged from 0-14</w:t>
      </w:r>
      <w:r w:rsidR="00B537E0">
        <w:t xml:space="preserve"> </w:t>
      </w:r>
      <w:r w:rsidR="00B91770">
        <w:t>(</w:t>
      </w:r>
      <w:r w:rsidR="00FF7025" w:rsidRPr="00671A90">
        <w:t>Figure</w:t>
      </w:r>
      <w:r w:rsidR="00FF7025">
        <w:t xml:space="preserve"> 3)</w:t>
      </w:r>
      <w:r w:rsidR="00B91770">
        <w:t>.</w:t>
      </w:r>
      <w:r w:rsidR="00B537E0">
        <w:t xml:space="preserve"> </w:t>
      </w:r>
    </w:p>
    <w:p w14:paraId="51030E78" w14:textId="77777777" w:rsidR="00B537E0" w:rsidRDefault="00B537E0" w:rsidP="00757BD9">
      <w:pPr>
        <w:spacing w:line="480" w:lineRule="auto"/>
        <w:jc w:val="both"/>
        <w:rPr>
          <w:rFonts w:ascii="Lucida Sans" w:eastAsia="Times New Roman" w:hAnsi="Lucida Sans" w:cs="Times New Roman"/>
          <w:sz w:val="20"/>
          <w:szCs w:val="26"/>
        </w:rPr>
      </w:pPr>
    </w:p>
    <w:p w14:paraId="48510C00" w14:textId="2E06DEBB" w:rsidR="00BB579C" w:rsidRPr="00136E52" w:rsidRDefault="009F6F74" w:rsidP="00757BD9">
      <w:pPr>
        <w:spacing w:line="480" w:lineRule="auto"/>
        <w:jc w:val="both"/>
      </w:pPr>
      <w:r w:rsidRPr="0081300F">
        <w:t>The large component contained</w:t>
      </w:r>
      <w:r w:rsidR="00EB5B80" w:rsidRPr="0081300F">
        <w:t xml:space="preserve"> </w:t>
      </w:r>
      <w:r w:rsidR="002E08BE" w:rsidRPr="0081300F">
        <w:t>137</w:t>
      </w:r>
      <w:r w:rsidR="00EB5B80" w:rsidRPr="0081300F">
        <w:t xml:space="preserve"> nodes</w:t>
      </w:r>
      <w:r w:rsidR="00FF7025" w:rsidRPr="0081300F">
        <w:t>, had a</w:t>
      </w:r>
      <w:r w:rsidR="00C6439E" w:rsidRPr="0081300F">
        <w:t xml:space="preserve"> diameter of </w:t>
      </w:r>
      <w:r w:rsidR="00455FD5">
        <w:t>eight</w:t>
      </w:r>
      <w:r w:rsidR="00FF7025" w:rsidRPr="0081300F">
        <w:t xml:space="preserve"> and an</w:t>
      </w:r>
      <w:r w:rsidR="00C6439E" w:rsidRPr="0081300F">
        <w:t xml:space="preserve"> AGD</w:t>
      </w:r>
      <w:r w:rsidR="00D450E9" w:rsidRPr="0081300F">
        <w:t xml:space="preserve"> (the average distance between any two nodes via injecting relationships)</w:t>
      </w:r>
      <w:r w:rsidR="00C6439E" w:rsidRPr="0081300F">
        <w:t xml:space="preserve"> </w:t>
      </w:r>
      <w:r w:rsidR="00FF7025" w:rsidRPr="0081300F">
        <w:t>of</w:t>
      </w:r>
      <w:r w:rsidR="00C6439E" w:rsidRPr="0081300F">
        <w:t xml:space="preserve"> 4</w:t>
      </w:r>
      <w:r w:rsidR="0046038A">
        <w:t>·</w:t>
      </w:r>
      <w:r w:rsidR="00C6439E" w:rsidRPr="0081300F">
        <w:t>24.</w:t>
      </w:r>
      <w:r w:rsidR="00C6439E">
        <w:t xml:space="preserve"> The clustering co</w:t>
      </w:r>
      <w:r w:rsidR="002E72D6">
        <w:t>-effici</w:t>
      </w:r>
      <w:r w:rsidR="00C6439E">
        <w:t xml:space="preserve">ent, which in simple terms is the proportion of </w:t>
      </w:r>
      <w:r w:rsidR="00321933">
        <w:t>occasions when</w:t>
      </w:r>
      <w:r w:rsidR="00C6439E">
        <w:t xml:space="preserve"> ‘the injecting partner of a given node’s partner is also that node’s partner</w:t>
      </w:r>
      <w:r w:rsidR="00F04332">
        <w:t>’</w:t>
      </w:r>
      <w:r w:rsidR="005A243E">
        <w:t>,</w:t>
      </w:r>
      <w:r w:rsidR="00C6439E">
        <w:t xml:space="preserve"> was 0</w:t>
      </w:r>
      <w:r w:rsidR="0046038A">
        <w:t>·</w:t>
      </w:r>
      <w:r w:rsidR="00C6439E">
        <w:t xml:space="preserve">214. </w:t>
      </w:r>
      <w:r w:rsidR="00671A90">
        <w:t>We compared the</w:t>
      </w:r>
      <w:r w:rsidR="00681D91">
        <w:t>se</w:t>
      </w:r>
      <w:r w:rsidR="00C6439E">
        <w:t xml:space="preserve"> measures</w:t>
      </w:r>
      <w:r w:rsidR="00E6643C">
        <w:t xml:space="preserve"> </w:t>
      </w:r>
      <w:r w:rsidR="00671A90">
        <w:t xml:space="preserve">against 1000 randomly generated </w:t>
      </w:r>
      <w:proofErr w:type="spellStart"/>
      <w:r w:rsidR="00455FD5" w:rsidRPr="00321933">
        <w:t>Erdos-Renyi</w:t>
      </w:r>
      <w:proofErr w:type="spellEnd"/>
      <w:r w:rsidR="00455FD5">
        <w:t xml:space="preserve"> </w:t>
      </w:r>
      <w:r w:rsidR="00671A90" w:rsidRPr="00321933">
        <w:t>networks with the same number of nodes and</w:t>
      </w:r>
      <w:r w:rsidR="00394176">
        <w:t xml:space="preserve"> </w:t>
      </w:r>
      <w:r w:rsidR="000E2A2E">
        <w:t>relationships</w:t>
      </w:r>
      <w:r w:rsidR="00671A90">
        <w:t>.</w:t>
      </w:r>
      <w:r w:rsidR="0081300F" w:rsidRPr="00321933">
        <w:fldChar w:fldCharType="begin" w:fldLock="1"/>
      </w:r>
      <w:r w:rsidR="00053BBA">
        <w:instrText>ADDIN CSL_CITATION { "citationItems" : [ { "id" : "ITEM-1", "itemData" : { "DOI" : "10.1.1.153.5943", "ISBN" : "1003-8507", "ISSN" : "0373-0441", "author" : [ { "dropping-particle" : "", "family" : "Erd\u00d5s", "given" : "P", "non-dropping-particle" : "", "parse-names" : false, "suffix" : "" }, { "dropping-particle" : "", "family" : "R\u00e9nyi", "given" : "A", "non-dropping-particle" : "", "parse-names" : false, "suffix" : "" } ], "container-title" : "Publications of the Mathematical Institute of the Hungarian Academy of Sciences", "id" : "ITEM-1", "issue" : "5", "issued" : { "date-parts" : [ [ "1960" ] ] }, "page" : "17-61", "title" : "On evolution of random graphs", "type" : "article-journal" }, "uris" : [ "http://www.mendeley.com/documents/?uuid=ebc79412-38f5-3137-be3b-9275a4db1f30" ] } ], "mendeley" : { "formattedCitation" : "&lt;sup&gt;21&lt;/sup&gt;", "plainTextFormattedCitation" : "21", "previouslyFormattedCitation" : "&lt;sup&gt;21&lt;/sup&gt;" }, "properties" : { "noteIndex" : 12 }, "schema" : "https://github.com/citation-style-language/schema/raw/master/csl-citation.json" }</w:instrText>
      </w:r>
      <w:r w:rsidR="0081300F" w:rsidRPr="00321933">
        <w:fldChar w:fldCharType="separate"/>
      </w:r>
      <w:r w:rsidR="00053BBA" w:rsidRPr="00053BBA">
        <w:rPr>
          <w:noProof/>
          <w:vertAlign w:val="superscript"/>
        </w:rPr>
        <w:t>21</w:t>
      </w:r>
      <w:r w:rsidR="0081300F" w:rsidRPr="00321933">
        <w:fldChar w:fldCharType="end"/>
      </w:r>
      <w:r w:rsidR="00671A90">
        <w:t xml:space="preserve"> </w:t>
      </w:r>
      <w:r w:rsidR="00E6643C">
        <w:t>The Io</w:t>
      </w:r>
      <w:r w:rsidR="00681D91">
        <w:t xml:space="preserve">W </w:t>
      </w:r>
      <w:r w:rsidR="00483F63">
        <w:t xml:space="preserve">network had more isolates or </w:t>
      </w:r>
      <w:r w:rsidR="00681D91">
        <w:t>nod</w:t>
      </w:r>
      <w:r w:rsidR="00483F63">
        <w:t>es without an injecting partner</w:t>
      </w:r>
      <w:r w:rsidR="00681D91">
        <w:t xml:space="preserve"> and </w:t>
      </w:r>
      <w:r w:rsidR="00681D91">
        <w:lastRenderedPageBreak/>
        <w:t>therefore contained more components than the random networks. However, other measures</w:t>
      </w:r>
      <w:r w:rsidR="0081300F">
        <w:t xml:space="preserve"> including</w:t>
      </w:r>
      <w:r w:rsidR="00C6439E">
        <w:t xml:space="preserve"> the AGD and clustering coefficient, </w:t>
      </w:r>
      <w:r w:rsidR="00681D91">
        <w:t xml:space="preserve">indicated </w:t>
      </w:r>
      <w:r w:rsidR="00C6439E">
        <w:t xml:space="preserve">that </w:t>
      </w:r>
      <w:r w:rsidR="00681D91">
        <w:t>the</w:t>
      </w:r>
      <w:r w:rsidR="00E6643C">
        <w:t xml:space="preserve"> IoW</w:t>
      </w:r>
      <w:r w:rsidR="00681D91">
        <w:t xml:space="preserve"> network was more cohesive than the random networks</w:t>
      </w:r>
      <w:r w:rsidR="002E08BE">
        <w:t xml:space="preserve"> (</w:t>
      </w:r>
      <w:r w:rsidR="00D450E9">
        <w:t>Supplementary</w:t>
      </w:r>
      <w:r w:rsidR="00F81530">
        <w:t xml:space="preserve"> Appendix</w:t>
      </w:r>
      <w:r w:rsidR="00D450E9">
        <w:t xml:space="preserve"> </w:t>
      </w:r>
      <w:r w:rsidR="00F81530">
        <w:t xml:space="preserve">- </w:t>
      </w:r>
      <w:r w:rsidR="00D450E9">
        <w:t>Figure 1</w:t>
      </w:r>
      <w:r w:rsidR="00E6643C">
        <w:t>)</w:t>
      </w:r>
      <w:r w:rsidR="00681D91">
        <w:t xml:space="preserve">. </w:t>
      </w:r>
    </w:p>
    <w:p w14:paraId="0293DA22" w14:textId="77777777" w:rsidR="00915FEE" w:rsidRDefault="00915FEE" w:rsidP="00757BD9">
      <w:pPr>
        <w:spacing w:line="480" w:lineRule="auto"/>
        <w:rPr>
          <w:b/>
        </w:rPr>
      </w:pPr>
    </w:p>
    <w:p w14:paraId="591DA13D" w14:textId="7F356634" w:rsidR="00EB5B80" w:rsidRPr="009230E9" w:rsidRDefault="009230E9" w:rsidP="00757BD9">
      <w:pPr>
        <w:spacing w:line="480" w:lineRule="auto"/>
        <w:rPr>
          <w:b/>
        </w:rPr>
      </w:pPr>
      <w:r w:rsidRPr="009230E9">
        <w:rPr>
          <w:b/>
        </w:rPr>
        <w:t>Node d</w:t>
      </w:r>
      <w:r w:rsidR="007D03C2" w:rsidRPr="009230E9">
        <w:rPr>
          <w:b/>
        </w:rPr>
        <w:t>emographic</w:t>
      </w:r>
      <w:r w:rsidRPr="009230E9">
        <w:rPr>
          <w:b/>
        </w:rPr>
        <w:t>s</w:t>
      </w:r>
      <w:r w:rsidR="007D03C2" w:rsidRPr="009230E9">
        <w:rPr>
          <w:b/>
        </w:rPr>
        <w:t xml:space="preserve"> </w:t>
      </w:r>
    </w:p>
    <w:p w14:paraId="360A1788" w14:textId="25F71BB8" w:rsidR="007D03C2" w:rsidRPr="00136E52" w:rsidRDefault="00AA6490" w:rsidP="00757BD9">
      <w:pPr>
        <w:spacing w:line="480" w:lineRule="auto"/>
        <w:jc w:val="both"/>
      </w:pPr>
      <w:r>
        <w:t>The majority of nodes in the network were male (70%), atte</w:t>
      </w:r>
      <w:r w:rsidR="00671A90">
        <w:t>nding</w:t>
      </w:r>
      <w:r>
        <w:t xml:space="preserve"> the local drug support cent</w:t>
      </w:r>
      <w:r w:rsidR="00671A90">
        <w:t>re (64%) and currently injecting</w:t>
      </w:r>
      <w:r>
        <w:t xml:space="preserve"> drugs (defined as within the last 30 days) (72%).</w:t>
      </w:r>
      <w:r w:rsidR="001B7B70">
        <w:t xml:space="preserve"> </w:t>
      </w:r>
      <w:r w:rsidR="00290767">
        <w:t>Thirty-</w:t>
      </w:r>
      <w:r>
        <w:t>eight (</w:t>
      </w:r>
      <w:r w:rsidR="000A163C">
        <w:t>30</w:t>
      </w:r>
      <w:r>
        <w:t>%) of nodes were HCV positive but 52</w:t>
      </w:r>
      <w:r w:rsidR="007D03C2">
        <w:t xml:space="preserve"> did not have a peer-reported HCV status (the person or persons that described them stated they didn’t know whether these were posit</w:t>
      </w:r>
      <w:r w:rsidR="009F6F74">
        <w:t>ive or negative). Accordingly, a multiple imputation model</w:t>
      </w:r>
      <w:r w:rsidR="007D03C2">
        <w:t xml:space="preserve"> </w:t>
      </w:r>
      <w:r w:rsidR="009F6F74">
        <w:t>was used to estimate</w:t>
      </w:r>
      <w:r w:rsidR="007D03C2">
        <w:t xml:space="preserve"> the number of these individuals that w</w:t>
      </w:r>
      <w:r w:rsidR="009F6F74">
        <w:t>ere likely to be HCV positive</w:t>
      </w:r>
      <w:r w:rsidR="007D03C2">
        <w:t xml:space="preserve">. When this was taken into account the prevalence dropped </w:t>
      </w:r>
      <w:r w:rsidR="004502FB">
        <w:t xml:space="preserve">marginally </w:t>
      </w:r>
      <w:r>
        <w:t>across the</w:t>
      </w:r>
      <w:r w:rsidR="007D03C2">
        <w:t xml:space="preserve"> </w:t>
      </w:r>
      <w:r w:rsidR="009F6F74">
        <w:t>network</w:t>
      </w:r>
      <w:r>
        <w:t xml:space="preserve"> </w:t>
      </w:r>
      <w:r w:rsidR="007D03C2">
        <w:t xml:space="preserve">to </w:t>
      </w:r>
      <w:r w:rsidR="000A163C">
        <w:t>28</w:t>
      </w:r>
      <w:r w:rsidR="007D03C2">
        <w:t>%.</w:t>
      </w:r>
    </w:p>
    <w:p w14:paraId="52D88F80" w14:textId="77777777" w:rsidR="007D03C2" w:rsidRDefault="007D03C2" w:rsidP="00757BD9">
      <w:pPr>
        <w:spacing w:line="480" w:lineRule="auto"/>
        <w:rPr>
          <w:i/>
        </w:rPr>
      </w:pPr>
    </w:p>
    <w:p w14:paraId="5171D2D2" w14:textId="17E61D39" w:rsidR="00D07ADE" w:rsidRPr="009230E9" w:rsidRDefault="00D07ADE" w:rsidP="00757BD9">
      <w:pPr>
        <w:spacing w:line="480" w:lineRule="auto"/>
        <w:rPr>
          <w:b/>
        </w:rPr>
      </w:pPr>
      <w:r w:rsidRPr="009230E9">
        <w:rPr>
          <w:b/>
        </w:rPr>
        <w:t>Associations with positive HCV status</w:t>
      </w:r>
    </w:p>
    <w:p w14:paraId="2B27C112" w14:textId="614A8024" w:rsidR="0053269B" w:rsidRDefault="00EB5B80" w:rsidP="00757BD9">
      <w:pPr>
        <w:spacing w:line="480" w:lineRule="auto"/>
        <w:jc w:val="both"/>
      </w:pPr>
      <w:r>
        <w:t>In the injecting network increasing age and the proportion of HCV positive injecting partners was significantly associated with HCV in both univariable and multivariable analysis (both p&lt;0</w:t>
      </w:r>
      <w:r w:rsidR="0046038A">
        <w:t>·</w:t>
      </w:r>
      <w:r>
        <w:t>01) (Tab</w:t>
      </w:r>
      <w:r w:rsidR="00F81530">
        <w:t>le</w:t>
      </w:r>
      <w:r>
        <w:t xml:space="preserve"> </w:t>
      </w:r>
      <w:r w:rsidR="00417F1C">
        <w:t>2 and S</w:t>
      </w:r>
      <w:r w:rsidR="00016C48">
        <w:t xml:space="preserve">upplementary </w:t>
      </w:r>
      <w:r w:rsidR="00B91770">
        <w:t>A</w:t>
      </w:r>
      <w:r w:rsidR="008B1F2B">
        <w:t>ppendix</w:t>
      </w:r>
      <w:r w:rsidR="00F81530">
        <w:t xml:space="preserve"> – Table 1</w:t>
      </w:r>
      <w:r>
        <w:t xml:space="preserve">). However, </w:t>
      </w:r>
      <w:r w:rsidR="0053269B">
        <w:t xml:space="preserve">HCV </w:t>
      </w:r>
      <w:r w:rsidR="003044E8">
        <w:t>positive nodes were not associated with the inner 2-core of the network and HCV status was</w:t>
      </w:r>
      <w:r>
        <w:t xml:space="preserve"> independent of </w:t>
      </w:r>
      <w:r w:rsidR="003044E8">
        <w:t>centrality (Table 2).</w:t>
      </w:r>
    </w:p>
    <w:p w14:paraId="25596140" w14:textId="52018828" w:rsidR="00353CE2" w:rsidRPr="009937F2" w:rsidRDefault="00353CE2" w:rsidP="00757BD9">
      <w:pPr>
        <w:spacing w:line="480" w:lineRule="auto"/>
        <w:jc w:val="both"/>
        <w:rPr>
          <w:sz w:val="18"/>
          <w:szCs w:val="18"/>
        </w:rPr>
      </w:pPr>
    </w:p>
    <w:p w14:paraId="5E0D44E4" w14:textId="13EF29C7" w:rsidR="00451985" w:rsidRPr="00136E52" w:rsidRDefault="009924A7" w:rsidP="00757BD9">
      <w:pPr>
        <w:spacing w:line="480" w:lineRule="auto"/>
        <w:rPr>
          <w:b/>
        </w:rPr>
      </w:pPr>
      <w:r w:rsidRPr="009924A7">
        <w:rPr>
          <w:b/>
        </w:rPr>
        <w:t>Testing treatment as prevention</w:t>
      </w:r>
    </w:p>
    <w:p w14:paraId="48F1D218" w14:textId="589B86D2" w:rsidR="0012463F" w:rsidRDefault="002E72D6" w:rsidP="00757BD9">
      <w:pPr>
        <w:spacing w:line="480" w:lineRule="auto"/>
        <w:jc w:val="both"/>
      </w:pPr>
      <w:r>
        <w:t xml:space="preserve">To investigate the </w:t>
      </w:r>
      <w:r w:rsidR="00455FD5">
        <w:t xml:space="preserve">potential </w:t>
      </w:r>
      <w:r>
        <w:t xml:space="preserve">effect of DAA </w:t>
      </w:r>
      <w:r w:rsidR="006536AB">
        <w:t>therapy on</w:t>
      </w:r>
      <w:r>
        <w:t xml:space="preserve"> the netw</w:t>
      </w:r>
      <w:r w:rsidR="00A17151">
        <w:t>ork over</w:t>
      </w:r>
      <w:r>
        <w:t xml:space="preserve"> 12 months we compared the number of new infection</w:t>
      </w:r>
      <w:r w:rsidR="006536AB">
        <w:t>s</w:t>
      </w:r>
      <w:r>
        <w:t xml:space="preserve"> and re</w:t>
      </w:r>
      <w:r w:rsidR="005A243E">
        <w:t>-</w:t>
      </w:r>
      <w:r>
        <w:t>i</w:t>
      </w:r>
      <w:r w:rsidR="0012463F">
        <w:t xml:space="preserve">nfections in three </w:t>
      </w:r>
      <w:r w:rsidR="0012463F">
        <w:lastRenderedPageBreak/>
        <w:t>scenarios</w:t>
      </w:r>
      <w:r>
        <w:t xml:space="preserve">. </w:t>
      </w:r>
      <w:r w:rsidR="000864D1">
        <w:t xml:space="preserve"> In Scenario 1 no treatment was given, in Scenario 2 nodes were treated at random and in Scenario 3 treatment was prioritised to nodes with higher degree centrality.</w:t>
      </w:r>
    </w:p>
    <w:p w14:paraId="5AFE41FE" w14:textId="77777777" w:rsidR="0012463F" w:rsidRDefault="0012463F" w:rsidP="00757BD9">
      <w:pPr>
        <w:spacing w:line="480" w:lineRule="auto"/>
        <w:jc w:val="both"/>
      </w:pPr>
    </w:p>
    <w:p w14:paraId="2AFFA79D" w14:textId="12AAF6AA" w:rsidR="00EB5B80" w:rsidRDefault="00BA0910" w:rsidP="00757BD9">
      <w:pPr>
        <w:spacing w:line="480" w:lineRule="auto"/>
        <w:jc w:val="both"/>
      </w:pPr>
      <w:r>
        <w:t xml:space="preserve">In the base-case analysis for </w:t>
      </w:r>
      <w:r w:rsidR="00432C56">
        <w:t>S</w:t>
      </w:r>
      <w:r w:rsidR="00794941">
        <w:t>cenario 1</w:t>
      </w:r>
      <w:r w:rsidR="00B537E0">
        <w:t xml:space="preserve"> </w:t>
      </w:r>
      <w:r w:rsidR="00794941">
        <w:t xml:space="preserve">there </w:t>
      </w:r>
      <w:r w:rsidR="00A17151">
        <w:t>was a median</w:t>
      </w:r>
      <w:r w:rsidR="00417F1C">
        <w:t xml:space="preserve"> of</w:t>
      </w:r>
      <w:r w:rsidR="00794941">
        <w:t xml:space="preserve"> 12 new HCV</w:t>
      </w:r>
      <w:r w:rsidR="00432C56">
        <w:t xml:space="preserve"> infections. </w:t>
      </w:r>
      <w:r w:rsidR="00B537E0">
        <w:t>This was compared with</w:t>
      </w:r>
      <w:r w:rsidR="00432C56">
        <w:t xml:space="preserve"> S</w:t>
      </w:r>
      <w:r w:rsidR="00794941">
        <w:t xml:space="preserve">cenario 2 </w:t>
      </w:r>
      <w:r w:rsidR="00B537E0">
        <w:t>where</w:t>
      </w:r>
      <w:r w:rsidR="00794941">
        <w:t xml:space="preserve"> there were 10 ne</w:t>
      </w:r>
      <w:r w:rsidR="00432C56">
        <w:t>w HCV infections (p=0</w:t>
      </w:r>
      <w:r w:rsidR="0046038A">
        <w:t>·</w:t>
      </w:r>
      <w:r w:rsidR="00B537E0">
        <w:t>003) and</w:t>
      </w:r>
      <w:r w:rsidR="00432C56">
        <w:t xml:space="preserve"> S</w:t>
      </w:r>
      <w:r w:rsidR="00794941">
        <w:t xml:space="preserve">cenario 3 </w:t>
      </w:r>
      <w:r w:rsidR="00B537E0">
        <w:t xml:space="preserve">where there </w:t>
      </w:r>
      <w:r w:rsidR="00432C56">
        <w:t xml:space="preserve">were </w:t>
      </w:r>
      <w:r w:rsidR="00794941">
        <w:t>7 new HCV in</w:t>
      </w:r>
      <w:r w:rsidR="005A243E">
        <w:t>fections (p</w:t>
      </w:r>
      <w:r w:rsidR="00A356D8">
        <w:t>&lt;0</w:t>
      </w:r>
      <w:r w:rsidR="0046038A">
        <w:t>·</w:t>
      </w:r>
      <w:r w:rsidR="00A356D8">
        <w:t>00</w:t>
      </w:r>
      <w:r w:rsidR="00B223EF">
        <w:t>1)</w:t>
      </w:r>
      <w:r w:rsidR="001408D0" w:rsidRPr="001408D0">
        <w:t xml:space="preserve"> </w:t>
      </w:r>
      <w:r w:rsidR="001408D0">
        <w:t>(Figure 4)</w:t>
      </w:r>
      <w:r w:rsidR="00B223EF">
        <w:t>. T</w:t>
      </w:r>
      <w:r w:rsidR="00794941">
        <w:t>reating PWID according to degree size also significantly reduced the number of incident HCV infections compare</w:t>
      </w:r>
      <w:r w:rsidR="005A243E">
        <w:t>d to treating at random (p</w:t>
      </w:r>
      <w:r w:rsidR="00A356D8">
        <w:t>&lt;0</w:t>
      </w:r>
      <w:r w:rsidR="0046038A">
        <w:t>·</w:t>
      </w:r>
      <w:r w:rsidR="00A356D8">
        <w:t>00</w:t>
      </w:r>
      <w:r w:rsidR="001408D0">
        <w:t>0</w:t>
      </w:r>
      <w:r w:rsidR="00794941">
        <w:t>1)</w:t>
      </w:r>
      <w:r w:rsidR="001408D0">
        <w:t xml:space="preserve">. </w:t>
      </w:r>
      <w:r w:rsidR="00794941">
        <w:t xml:space="preserve">In each scenario there </w:t>
      </w:r>
      <w:r w:rsidR="00F81530">
        <w:t>was less than one</w:t>
      </w:r>
      <w:r w:rsidR="00432C56">
        <w:t xml:space="preserve"> re</w:t>
      </w:r>
      <w:r w:rsidR="00117500">
        <w:t>-</w:t>
      </w:r>
      <w:r w:rsidR="00432C56">
        <w:t>infection</w:t>
      </w:r>
      <w:r w:rsidR="00794941">
        <w:t>.</w:t>
      </w:r>
    </w:p>
    <w:p w14:paraId="2CD8C0EF" w14:textId="77777777" w:rsidR="00EB5B80" w:rsidRPr="00841B25" w:rsidRDefault="00EB5B80" w:rsidP="00757BD9">
      <w:pPr>
        <w:spacing w:line="480" w:lineRule="auto"/>
      </w:pPr>
    </w:p>
    <w:p w14:paraId="15A57914" w14:textId="38152B20" w:rsidR="00BA0910" w:rsidRDefault="00FB676F" w:rsidP="00757BD9">
      <w:pPr>
        <w:spacing w:line="480" w:lineRule="auto"/>
        <w:jc w:val="both"/>
        <w:rPr>
          <w:i/>
        </w:rPr>
      </w:pPr>
      <w:r w:rsidRPr="00FB676F">
        <w:rPr>
          <w:i/>
        </w:rPr>
        <w:t>Sensitivity analysis</w:t>
      </w:r>
    </w:p>
    <w:p w14:paraId="73A083D4" w14:textId="76AC7BF5" w:rsidR="00345398" w:rsidRPr="00163F4E" w:rsidRDefault="00D45D1E" w:rsidP="00757BD9">
      <w:pPr>
        <w:spacing w:line="480" w:lineRule="auto"/>
        <w:jc w:val="both"/>
      </w:pPr>
      <w:r w:rsidRPr="00163F4E">
        <w:t>Increasing</w:t>
      </w:r>
      <w:r w:rsidR="005A243E">
        <w:t xml:space="preserve"> treatment coverage to three</w:t>
      </w:r>
      <w:r w:rsidR="00345398" w:rsidRPr="00163F4E">
        <w:t xml:space="preserve"> treatments per month (6% of the baseline infected population) decreased the number of new HCV infections in Scenario 2 from baseline (</w:t>
      </w:r>
      <w:r w:rsidR="00163F4E">
        <w:t>10</w:t>
      </w:r>
      <w:r w:rsidR="00345398" w:rsidRPr="00163F4E">
        <w:t xml:space="preserve"> vs. </w:t>
      </w:r>
      <w:r w:rsidR="00163F4E">
        <w:t>8</w:t>
      </w:r>
      <w:r w:rsidR="005A243E">
        <w:t>,</w:t>
      </w:r>
      <w:r w:rsidR="00345398" w:rsidRPr="00163F4E">
        <w:t xml:space="preserve"> p=0.049)</w:t>
      </w:r>
      <w:r w:rsidR="005A243E">
        <w:t>,</w:t>
      </w:r>
      <w:r w:rsidR="00345398" w:rsidRPr="00163F4E">
        <w:t xml:space="preserve"> although the decrease was mor</w:t>
      </w:r>
      <w:r w:rsidR="00163F4E">
        <w:t>e pronounced in Scenario 3 (7</w:t>
      </w:r>
      <w:r w:rsidR="00345398" w:rsidRPr="00163F4E">
        <w:t xml:space="preserve"> vs. </w:t>
      </w:r>
      <w:r w:rsidR="00163F4E">
        <w:t>3</w:t>
      </w:r>
      <w:r w:rsidR="00345398" w:rsidRPr="00163F4E">
        <w:t>, p&lt;0.00</w:t>
      </w:r>
      <w:r w:rsidR="001408D0">
        <w:t>0</w:t>
      </w:r>
      <w:r w:rsidR="00345398" w:rsidRPr="00163F4E">
        <w:t>1). Both treatment scenarios significantly reduced the number of new infections per month w</w:t>
      </w:r>
      <w:r w:rsidR="00384816" w:rsidRPr="00163F4E">
        <w:t>hen compared to Scenario 1 and n</w:t>
      </w:r>
      <w:r w:rsidR="005A243E">
        <w:t>etwork-</w:t>
      </w:r>
      <w:r w:rsidR="00345398" w:rsidRPr="00163F4E">
        <w:t>based treatment remained significantly more effect</w:t>
      </w:r>
      <w:r w:rsidR="00E87D7A" w:rsidRPr="00163F4E">
        <w:t>ive</w:t>
      </w:r>
      <w:r w:rsidR="00345398" w:rsidRPr="00163F4E">
        <w:t xml:space="preserve"> at preventing new infections than treating at random (p&lt;0.00</w:t>
      </w:r>
      <w:r w:rsidR="001408D0">
        <w:t>0</w:t>
      </w:r>
      <w:r w:rsidR="00345398" w:rsidRPr="00163F4E">
        <w:t xml:space="preserve">1) </w:t>
      </w:r>
      <w:r w:rsidR="00E87D7A" w:rsidRPr="00163F4E">
        <w:t>(</w:t>
      </w:r>
      <w:r w:rsidR="00345398" w:rsidRPr="00163F4E">
        <w:t>Figure 4).</w:t>
      </w:r>
    </w:p>
    <w:p w14:paraId="761A8D02" w14:textId="77777777" w:rsidR="00345398" w:rsidRDefault="00345398" w:rsidP="00757BD9">
      <w:pPr>
        <w:spacing w:line="480" w:lineRule="auto"/>
        <w:jc w:val="both"/>
        <w:rPr>
          <w:i/>
        </w:rPr>
      </w:pPr>
    </w:p>
    <w:p w14:paraId="3E1BF04B" w14:textId="1B247F23" w:rsidR="00D0712D" w:rsidRDefault="00292083" w:rsidP="00757BD9">
      <w:pPr>
        <w:spacing w:line="480" w:lineRule="auto"/>
        <w:jc w:val="both"/>
      </w:pPr>
      <w:r>
        <w:t>The 2</w:t>
      </w:r>
      <w:r>
        <w:rPr>
          <w:vertAlign w:val="superscript"/>
        </w:rPr>
        <w:t xml:space="preserve">k </w:t>
      </w:r>
      <w:r>
        <w:t xml:space="preserve">factorial </w:t>
      </w:r>
      <w:r w:rsidR="00952292">
        <w:t>analyses</w:t>
      </w:r>
      <w:r>
        <w:t xml:space="preserve"> assessed which parameters at their predetermined extreme values introduced the most variation in the simulation</w:t>
      </w:r>
      <w:r w:rsidR="00952292">
        <w:t xml:space="preserve"> (</w:t>
      </w:r>
      <w:r w:rsidR="00F8174B">
        <w:t xml:space="preserve">for values see </w:t>
      </w:r>
      <w:r w:rsidR="00D450E9">
        <w:t>Table</w:t>
      </w:r>
      <w:r w:rsidR="00D7352C">
        <w:t xml:space="preserve"> </w:t>
      </w:r>
      <w:r w:rsidR="00952292">
        <w:t>1)</w:t>
      </w:r>
      <w:r w:rsidR="00692A97">
        <w:t>. Changing t</w:t>
      </w:r>
      <w:r>
        <w:t xml:space="preserve">he </w:t>
      </w:r>
      <w:r w:rsidR="006536AB">
        <w:t xml:space="preserve">rate at which susceptible individuals acquired infection (the </w:t>
      </w:r>
      <w:r w:rsidR="00D450E9">
        <w:t>force of infection</w:t>
      </w:r>
      <w:r w:rsidR="006536AB">
        <w:t>)</w:t>
      </w:r>
      <w:r>
        <w:t xml:space="preserve"> at each injecting event accounted for 74</w:t>
      </w:r>
      <w:r w:rsidR="0046038A">
        <w:t>·</w:t>
      </w:r>
      <w:r>
        <w:t>2% of the variation, changing treatment coverage accounted for 9</w:t>
      </w:r>
      <w:r w:rsidR="0046038A">
        <w:t>·</w:t>
      </w:r>
      <w:r>
        <w:t xml:space="preserve">7% and injecting </w:t>
      </w:r>
      <w:r>
        <w:lastRenderedPageBreak/>
        <w:t>frequency for 5</w:t>
      </w:r>
      <w:r w:rsidR="0046038A">
        <w:t>·</w:t>
      </w:r>
      <w:r>
        <w:t>4%. Variation in other parameters all accounted for &lt;1%</w:t>
      </w:r>
      <w:r w:rsidR="00432C56">
        <w:t xml:space="preserve"> of the total variation</w:t>
      </w:r>
      <w:r>
        <w:t xml:space="preserve">. </w:t>
      </w:r>
    </w:p>
    <w:p w14:paraId="22013C0C" w14:textId="77777777" w:rsidR="006F0184" w:rsidRDefault="006F0184" w:rsidP="00757BD9">
      <w:pPr>
        <w:spacing w:line="480" w:lineRule="auto"/>
      </w:pPr>
    </w:p>
    <w:p w14:paraId="253D836B" w14:textId="27FE3A6A" w:rsidR="00743C79" w:rsidRDefault="00F8174B" w:rsidP="00757BD9">
      <w:pPr>
        <w:spacing w:line="480" w:lineRule="auto"/>
        <w:jc w:val="both"/>
      </w:pPr>
      <w:r>
        <w:t>Based on these results w</w:t>
      </w:r>
      <w:r w:rsidR="00545BC9">
        <w:t xml:space="preserve">e then </w:t>
      </w:r>
      <w:r w:rsidR="006536AB">
        <w:t>investigated</w:t>
      </w:r>
      <w:r w:rsidR="00545BC9">
        <w:t xml:space="preserve"> the impact of changing the </w:t>
      </w:r>
      <w:r w:rsidR="00D450E9">
        <w:t>force of infection</w:t>
      </w:r>
      <w:r w:rsidR="00D7352C">
        <w:t xml:space="preserve"> at each injecting event</w:t>
      </w:r>
      <w:r w:rsidR="00483F63">
        <w:t>. In the simulation t</w:t>
      </w:r>
      <w:r w:rsidR="001D3E9C">
        <w:t xml:space="preserve">he </w:t>
      </w:r>
      <w:r w:rsidR="00D450E9">
        <w:t>force of infection</w:t>
      </w:r>
      <w:r w:rsidR="006536AB">
        <w:t xml:space="preserve"> </w:t>
      </w:r>
      <w:r w:rsidR="001D3E9C">
        <w:t xml:space="preserve">was itself related to further parameters – the frequency of </w:t>
      </w:r>
      <w:r w:rsidR="00B14C16">
        <w:t xml:space="preserve">sharing </w:t>
      </w:r>
      <w:r w:rsidR="001D3E9C">
        <w:t>behaviours and the probability of transmission with each behaviour</w:t>
      </w:r>
      <w:r w:rsidR="000864D1">
        <w:t xml:space="preserve"> (P</w:t>
      </w:r>
      <w:r w:rsidR="00417F1C">
        <w:t>arameters 2 and 3 in Table 1)</w:t>
      </w:r>
      <w:r w:rsidR="001D3E9C">
        <w:t>. We th</w:t>
      </w:r>
      <w:r w:rsidR="00D450E9">
        <w:t>erefore</w:t>
      </w:r>
      <w:r w:rsidR="001D3E9C">
        <w:t xml:space="preserve"> </w:t>
      </w:r>
      <w:r w:rsidR="00D450E9">
        <w:t>altered</w:t>
      </w:r>
      <w:r w:rsidR="001D3E9C">
        <w:t xml:space="preserve"> each </w:t>
      </w:r>
      <w:r w:rsidR="000864D1">
        <w:t>parameter</w:t>
      </w:r>
      <w:r w:rsidR="00D450E9">
        <w:t xml:space="preserve"> separately to</w:t>
      </w:r>
      <w:r w:rsidR="00B14C16">
        <w:t xml:space="preserve"> </w:t>
      </w:r>
      <w:r w:rsidR="00D450E9">
        <w:t>the extent of their</w:t>
      </w:r>
      <w:r w:rsidR="001D3E9C">
        <w:t xml:space="preserve"> 95% confidence intervals and repeated the simulation</w:t>
      </w:r>
      <w:r w:rsidR="00D450E9">
        <w:t xml:space="preserve"> </w:t>
      </w:r>
      <w:r w:rsidR="006C5634">
        <w:t xml:space="preserve">in </w:t>
      </w:r>
      <w:r w:rsidR="000864D1">
        <w:t>seven</w:t>
      </w:r>
      <w:r w:rsidR="006C5634">
        <w:t xml:space="preserve"> new experiments</w:t>
      </w:r>
      <w:r w:rsidR="001D3E9C">
        <w:t>.</w:t>
      </w:r>
      <w:r w:rsidR="002007AA">
        <w:t xml:space="preserve"> </w:t>
      </w:r>
    </w:p>
    <w:p w14:paraId="690C787E" w14:textId="77777777" w:rsidR="00D450E9" w:rsidRDefault="00D450E9" w:rsidP="00757BD9">
      <w:pPr>
        <w:spacing w:line="480" w:lineRule="auto"/>
        <w:jc w:val="both"/>
      </w:pPr>
    </w:p>
    <w:p w14:paraId="1E77775B" w14:textId="2C08E847" w:rsidR="00D450E9" w:rsidRDefault="00D450E9" w:rsidP="00757BD9">
      <w:pPr>
        <w:spacing w:line="480" w:lineRule="auto"/>
        <w:jc w:val="both"/>
      </w:pPr>
      <w:r>
        <w:t>As expected</w:t>
      </w:r>
      <w:r w:rsidR="006C5634">
        <w:t>,</w:t>
      </w:r>
      <w:r>
        <w:t xml:space="preserve"> the number of incident </w:t>
      </w:r>
      <w:r w:rsidR="006C5634">
        <w:t xml:space="preserve">HCV </w:t>
      </w:r>
      <w:r>
        <w:t xml:space="preserve">cases </w:t>
      </w:r>
      <w:r w:rsidR="00462CA4">
        <w:t>increased</w:t>
      </w:r>
      <w:r w:rsidR="00C158A5">
        <w:t xml:space="preserve"> with the force of infection</w:t>
      </w:r>
      <w:r>
        <w:t xml:space="preserve"> in a</w:t>
      </w:r>
      <w:r w:rsidR="006C5634">
        <w:t xml:space="preserve">ll three scenarios. </w:t>
      </w:r>
      <w:r w:rsidR="00012453">
        <w:t>An increase in incident infection was most pronounced when the likelihood of transmitting HCV with receptive needle sharing increased to 0·02 and</w:t>
      </w:r>
      <w:r w:rsidR="00163F4E">
        <w:t xml:space="preserve"> at this level the statistically significant bene</w:t>
      </w:r>
      <w:r w:rsidR="005A243E">
        <w:t>fit of network-</w:t>
      </w:r>
      <w:r w:rsidR="0047455F">
        <w:t>based treatment</w:t>
      </w:r>
      <w:r w:rsidR="00163F4E">
        <w:t xml:space="preserve"> w</w:t>
      </w:r>
      <w:r w:rsidR="0047455F">
        <w:t>as</w:t>
      </w:r>
      <w:r w:rsidR="00163F4E">
        <w:t xml:space="preserve"> lost</w:t>
      </w:r>
      <w:r w:rsidR="00012453">
        <w:t>. However in all other experiments network-based treatment remained significantly more effective at preventing incident disease than random treatment (Supplementary Appendix – Table 2).</w:t>
      </w:r>
      <w:r w:rsidR="00EA5892">
        <w:t xml:space="preserve"> </w:t>
      </w:r>
      <w:r w:rsidR="006C5634">
        <w:t>By contrast</w:t>
      </w:r>
      <w:r w:rsidR="00163F4E">
        <w:t>,</w:t>
      </w:r>
      <w:r w:rsidR="006C5634">
        <w:t xml:space="preserve"> the borderline statistically </w:t>
      </w:r>
      <w:r w:rsidR="00692A97">
        <w:t xml:space="preserve">significant difference </w:t>
      </w:r>
      <w:r w:rsidR="00012453">
        <w:t>in the number of incident infect</w:t>
      </w:r>
      <w:r w:rsidR="005A243E">
        <w:t>ions when treating at random versus</w:t>
      </w:r>
      <w:r w:rsidR="00012453">
        <w:t xml:space="preserve"> not treating at all was lost in </w:t>
      </w:r>
      <w:r w:rsidR="005A243E">
        <w:t>five</w:t>
      </w:r>
      <w:r w:rsidR="006C5634">
        <w:t xml:space="preserve"> </w:t>
      </w:r>
      <w:r w:rsidR="00012453">
        <w:t xml:space="preserve">of the </w:t>
      </w:r>
      <w:r w:rsidR="006C5634">
        <w:t xml:space="preserve">experiments (Supplementary </w:t>
      </w:r>
      <w:r w:rsidR="008B1F2B">
        <w:t>Appendix</w:t>
      </w:r>
      <w:r w:rsidR="00F81530">
        <w:t xml:space="preserve"> – Table 2</w:t>
      </w:r>
      <w:r w:rsidR="006C5634">
        <w:t>).</w:t>
      </w:r>
    </w:p>
    <w:p w14:paraId="6413C358" w14:textId="77777777" w:rsidR="00EA5892" w:rsidRDefault="00EA5892" w:rsidP="00757BD9">
      <w:pPr>
        <w:spacing w:line="480" w:lineRule="auto"/>
        <w:jc w:val="both"/>
      </w:pPr>
    </w:p>
    <w:p w14:paraId="6539E587" w14:textId="6B645A7C" w:rsidR="00EA5892" w:rsidRDefault="00EA5892" w:rsidP="00757BD9">
      <w:pPr>
        <w:spacing w:line="480" w:lineRule="auto"/>
        <w:jc w:val="both"/>
      </w:pPr>
      <w:r>
        <w:t>Overall, the results of the simulation show that the treatment of HCV within the IoW injecting network did prevent onward transmission of HCV over a 12 month period. H</w:t>
      </w:r>
      <w:r w:rsidR="006536AB">
        <w:t>owever, in the base-case analysi</w:t>
      </w:r>
      <w:r>
        <w:t xml:space="preserve">s and all except one sensitivity </w:t>
      </w:r>
      <w:r>
        <w:lastRenderedPageBreak/>
        <w:t>experiment the provision of treatment to PWID with more injecting partnerships</w:t>
      </w:r>
      <w:r w:rsidR="006536AB">
        <w:t xml:space="preserve"> was significantly more effectiv</w:t>
      </w:r>
      <w:r>
        <w:t xml:space="preserve">e at preventing incident infection. </w:t>
      </w:r>
    </w:p>
    <w:p w14:paraId="549272B0" w14:textId="02C7BFAE" w:rsidR="00F8174B" w:rsidRDefault="00F8174B" w:rsidP="00757BD9">
      <w:pPr>
        <w:spacing w:line="480" w:lineRule="auto"/>
      </w:pPr>
    </w:p>
    <w:p w14:paraId="4C4C8772" w14:textId="77777777" w:rsidR="00353CE2" w:rsidRDefault="00353CE2">
      <w:pPr>
        <w:rPr>
          <w:b/>
          <w:u w:val="single"/>
        </w:rPr>
      </w:pPr>
      <w:r>
        <w:rPr>
          <w:b/>
          <w:u w:val="single"/>
        </w:rPr>
        <w:br w:type="page"/>
      </w:r>
    </w:p>
    <w:p w14:paraId="364EF837" w14:textId="1F243D33" w:rsidR="00B15162" w:rsidRPr="005E4E1A" w:rsidRDefault="00EB5B80" w:rsidP="00757BD9">
      <w:pPr>
        <w:spacing w:line="480" w:lineRule="auto"/>
        <w:rPr>
          <w:b/>
          <w:u w:val="single"/>
        </w:rPr>
      </w:pPr>
      <w:r w:rsidRPr="005E4E1A">
        <w:rPr>
          <w:b/>
          <w:u w:val="single"/>
        </w:rPr>
        <w:lastRenderedPageBreak/>
        <w:t>Discussion</w:t>
      </w:r>
    </w:p>
    <w:p w14:paraId="0E952196" w14:textId="77777777" w:rsidR="00EB5B80" w:rsidRDefault="00EB5B80" w:rsidP="00757BD9">
      <w:pPr>
        <w:spacing w:line="480" w:lineRule="auto"/>
      </w:pPr>
    </w:p>
    <w:p w14:paraId="204CE77D" w14:textId="040316C7" w:rsidR="00B232E2" w:rsidRDefault="00B232E2" w:rsidP="00757BD9">
      <w:pPr>
        <w:spacing w:line="480" w:lineRule="auto"/>
        <w:jc w:val="both"/>
      </w:pPr>
      <w:r>
        <w:t>To design an effective elimination strategy for HCV it is necessary to understand viral</w:t>
      </w:r>
      <w:r w:rsidR="00980E27">
        <w:t xml:space="preserve"> transmission and the effects of </w:t>
      </w:r>
      <w:r>
        <w:t xml:space="preserve">HCV </w:t>
      </w:r>
      <w:r w:rsidR="00980E27">
        <w:t xml:space="preserve">treatment in </w:t>
      </w:r>
      <w:r>
        <w:t xml:space="preserve">injecting networks connecting </w:t>
      </w:r>
      <w:r w:rsidR="00980E27">
        <w:t>PWID.</w:t>
      </w:r>
      <w:r w:rsidR="002C4F03">
        <w:t xml:space="preserve"> </w:t>
      </w:r>
    </w:p>
    <w:p w14:paraId="70558A24" w14:textId="77777777" w:rsidR="000864D1" w:rsidRDefault="000864D1" w:rsidP="00757BD9">
      <w:pPr>
        <w:spacing w:line="480" w:lineRule="auto"/>
        <w:jc w:val="both"/>
      </w:pPr>
    </w:p>
    <w:p w14:paraId="3E7005BD" w14:textId="23289801" w:rsidR="00B232E2" w:rsidRDefault="00B232E2" w:rsidP="00757BD9">
      <w:pPr>
        <w:spacing w:line="480" w:lineRule="auto"/>
        <w:jc w:val="both"/>
      </w:pPr>
      <w:r>
        <w:t>The simulation showed that after 12</w:t>
      </w:r>
      <w:r w:rsidR="005A243E">
        <w:t xml:space="preserve"> months, treating the most well-</w:t>
      </w:r>
      <w:r>
        <w:t xml:space="preserve">connected PWID (those with the highest ‘injecting </w:t>
      </w:r>
      <w:r w:rsidRPr="00201929">
        <w:t>degree</w:t>
      </w:r>
      <w:r>
        <w:t xml:space="preserve">’) was superior at preventing new HCV infections when compared to treating PWID at random. Importantly it showed only a modest decline in incident HCV when PWID were treated at random compared to not treated at all. </w:t>
      </w:r>
      <w:r w:rsidR="000864D1">
        <w:t xml:space="preserve"> </w:t>
      </w:r>
      <w:r w:rsidR="001C567B">
        <w:t>These finding are</w:t>
      </w:r>
      <w:r>
        <w:t xml:space="preserve"> consistent with studies that have indicated the effect of </w:t>
      </w:r>
      <w:proofErr w:type="spellStart"/>
      <w:r>
        <w:t>TasP</w:t>
      </w:r>
      <w:proofErr w:type="spellEnd"/>
      <w:r>
        <w:t xml:space="preserve"> in random mixing networks may be overestimated.</w:t>
      </w:r>
      <w:r>
        <w:fldChar w:fldCharType="begin" w:fldLock="1"/>
      </w:r>
      <w:r w:rsidR="00053BBA">
        <w:instrText>ADDIN CSL_CITATION { "citationItems" : [ { "id" : "ITEM-1", "itemData" : { "DOI" : "10.1038/s41598-017-01862-6", "ISSN" : "2045-2322", "PMID" : "28500290", "abstract" : "Treatment as Prevention (TasP) using directly-acting antivirals has been advocated for Hepatitis C Virus (HCV) in people who inject drugs (PWID), but treatment is expensive and TasP's effectiveness is uncertain. Previous modelling has assumed a homogeneously-mixed population or a static network lacking turnover in the population and injecting partnerships. We developed a transmission-dynamic model on a dynamic network of injecting partnerships using data from survey of injecting behaviour carried out in London, UK. We studied transmission on a novel exponential-clustered network, as well as on two simpler networks for comparison, an exponential unclustered and a random network, and found that TasP's effectiveness differs markedly. With respect to an exponential-clustered network, the random network (and homogeneously-mixed population) overestimate TasP's effectiveness, whereas the exponential-unclustered network underestimates it. For all network types TasP's effectiveness depends on whether treated patients change risk behaviour, and on treatment coverage: higher coverage requires fewer total treatments for the same health gain. Whilst TasP can greatly reduce HCV prevalence, incidence of infection, and incidence of reinfection in PWID, assessment of TasP's effectiveness needs to take account of the injecting-partnership network structure and post-treatment behaviour change, and further empirical study is required.", "author" : [ { "dropping-particle" : "", "family" : "Metzig", "given" : "Cornelia", "non-dropping-particle" : "", "parse-names" : false, "suffix" : "" }, { "dropping-particle" : "", "family" : "Surey", "given" : "Julian", "non-dropping-particle" : "", "parse-names" : false, "suffix" : "" }, { "dropping-particle" : "", "family" : "Francis", "given" : "Marie", "non-dropping-particle" : "", "parse-names" : false, "suffix" : "" }, { "dropping-particle" : "", "family" : "Conneely", "given" : "Jim", "non-dropping-particle" : "", "parse-names" : false, "suffix" : "" }, { "dropping-particle" : "", "family" : "Abubakar", "given" : "Ibrahim", "non-dropping-particle" : "", "parse-names" : false, "suffix" : "" }, { "dropping-particle" : "", "family" : "White", "given" : "Peter J", "non-dropping-particle" : "", "parse-names" : false, "suffix" : "" } ], "container-title" : "Scientific reports", "id" : "ITEM-1", "issue" : "1", "issued" : { "date-parts" : [ [ "2017", "5", "12" ] ] }, "page" : "1833", "publisher" : "Nature Publishing Group", "title" : "Impact of Hepatitis C Treatment as Prevention for People Who Inject Drugs is sensitive to contact network structure.", "type" : "article-journal", "volume" : "7" }, "uris" : [ "http://www.mendeley.com/documents/?uuid=51a916fa-0459-3edf-ad69-5dc68edd1a33" ] }, { "id" : "ITEM-2", "itemData" : { "DOI" : "10.1016/j.jtbi.2011.12.008", "ISSN" : "00225193", "abstract" : "Hepatitis C virus (HCV) is a blood-borne virus that disproportionately affects people who inject drugs (PWIDs). Based on extensive interview and blood test data from a longitudinal study in Melbourne, Australia, we describe an individual-based transmission model for HCV spread amongst PWID. We use this model to simulate the transmission of HCV on an empirical social network of PWID. A feature of our model is that sources of infection can be both network neighbours and non-neighbours via \u201cimporting\u201d. Data-driven estimates of sharing frequency and rate of importing are provided. Compared to an appropriately calibrated fully connected network, the empirical network provides some protective effect on the time to primary infection. We also illustrate heterogeneities in incidence rate of infection, both across and within node degrees (i.e., number of network partners). We explore the reduced risk of infection from spontaneously clearing cutpoint nodes whose infection status oscillates, both in theory and in simulation. Further, we show our model-based estimate of per-event transmission probability largely agrees with previous estimates at the lower end of the range 1\u20133% commonly cited.", "author" : [ { "dropping-particle" : "", "family" : "Rolls", "given" : "D.A.", "non-dropping-particle" : "", "parse-names" : false, "suffix" : "" }, { "dropping-particle" : "", "family" : "Daraganova", "given" : "G.", "non-dropping-particle" : "", "parse-names" : false, "suffix" : "" }, { "dropping-particle" : "", "family" : "Sacks-Davis", "given" : "R.", "non-dropping-particle" : "", "parse-names" : false, "suffix" : "" }, { "dropping-particle" : "", "family" : "Hellard", "given" : "M.", "non-dropping-particle" : "", "parse-names" : false, "suffix" : "" }, { "dropping-particle" : "", "family" : "Jenkinson", "given" : "R.", "non-dropping-particle" : "", "parse-names" : false, "suffix" : "" }, { "dropping-particle" : "", "family" : "McBryde", "given" : "E.", "non-dropping-particle" : "", "parse-names" : false, "suffix" : "" }, { "dropping-particle" : "", "family" : "Pattison", "given" : "P.E.", "non-dropping-particle" : "", "parse-names" : false, "suffix" : "" }, { "dropping-particle" : "", "family" : "Robins", "given" : "G.L.", "non-dropping-particle" : "", "parse-names" : false, "suffix" : "" } ], "container-title" : "Journal of Theoretical Biology", "id" : "ITEM-2", "issued" : { "date-parts" : [ [ "2012" ] ] }, "page" : "73-87", "title" : "Modelling hepatitis C transmission over a social network of injecting drug users", "type" : "article-journal", "volume" : "297" }, "uris" : [ "http://www.mendeley.com/documents/?uuid=ddcffeac-0232-31ee-aae9-4a67f3eb7f1e" ] } ], "mendeley" : { "formattedCitation" : "&lt;sup&gt;9,12&lt;/sup&gt;", "plainTextFormattedCitation" : "9,12", "previouslyFormattedCitation" : "&lt;sup&gt;9,12&lt;/sup&gt;" }, "properties" : { "noteIndex" : 21 }, "schema" : "https://github.com/citation-style-language/schema/raw/master/csl-citation.json" }</w:instrText>
      </w:r>
      <w:r>
        <w:fldChar w:fldCharType="separate"/>
      </w:r>
      <w:r w:rsidR="00053BBA" w:rsidRPr="00053BBA">
        <w:rPr>
          <w:noProof/>
          <w:vertAlign w:val="superscript"/>
        </w:rPr>
        <w:t>9,12</w:t>
      </w:r>
      <w:r>
        <w:fldChar w:fldCharType="end"/>
      </w:r>
      <w:r>
        <w:t xml:space="preserve"> </w:t>
      </w:r>
    </w:p>
    <w:p w14:paraId="001DD34B" w14:textId="77777777" w:rsidR="001C567B" w:rsidRDefault="001C567B" w:rsidP="00757BD9">
      <w:pPr>
        <w:spacing w:line="480" w:lineRule="auto"/>
        <w:jc w:val="both"/>
      </w:pPr>
    </w:p>
    <w:p w14:paraId="7889C17C" w14:textId="42900817" w:rsidR="00B232E2" w:rsidRDefault="001C567B" w:rsidP="00757BD9">
      <w:pPr>
        <w:spacing w:line="480" w:lineRule="auto"/>
        <w:jc w:val="both"/>
      </w:pPr>
      <w:r>
        <w:t>We are aware of two other studies that have used an empirical network-based model to investigate the tran</w:t>
      </w:r>
      <w:r w:rsidR="000864D1">
        <w:t>s</w:t>
      </w:r>
      <w:r>
        <w:t>mission and treatment of HCV</w:t>
      </w:r>
      <w:r w:rsidR="000864D1">
        <w:t xml:space="preserve"> in PWID</w:t>
      </w:r>
      <w:r>
        <w:t xml:space="preserve">. </w:t>
      </w:r>
      <w:proofErr w:type="spellStart"/>
      <w:r w:rsidR="00B232E2">
        <w:t>Hellard</w:t>
      </w:r>
      <w:proofErr w:type="spellEnd"/>
      <w:r w:rsidR="00B232E2">
        <w:t xml:space="preserve"> </w:t>
      </w:r>
      <w:r w:rsidR="00B232E2" w:rsidRPr="00B91770">
        <w:t>et al.</w:t>
      </w:r>
      <w:r w:rsidR="00B232E2">
        <w:t xml:space="preserve"> in Melbourne, Australia, demonstrated that reinfection was the main source of new infections and </w:t>
      </w:r>
      <w:r>
        <w:t xml:space="preserve">that </w:t>
      </w:r>
      <w:r w:rsidR="00B232E2">
        <w:t>therefore</w:t>
      </w:r>
      <w:r>
        <w:t xml:space="preserve"> the treatment of</w:t>
      </w:r>
      <w:r w:rsidR="00B232E2">
        <w:t xml:space="preserve"> positive individuals around the treated person, in a so-called ‘ring strategy’, was the most effective approach to TasP</w:t>
      </w:r>
      <w:r w:rsidR="005912F9">
        <w:t>.</w:t>
      </w:r>
      <w:r w:rsidR="00B232E2">
        <w:fldChar w:fldCharType="begin" w:fldLock="1"/>
      </w:r>
      <w:r w:rsidR="00053BBA">
        <w:instrText>ADDIN CSL_CITATION { "citationItems" : [ { "id" : "ITEM-1", "itemData" : { "DOI" : "10.1002/hep.27403", "ISBN" : "1527-3350 (Electronic)\\r0270-9139 (Linking)", "ISSN" : "15273350", "PMID" : "25163856", "abstract" : "UNLABELLED: With the development of new highly efficacious direct-acting antiviral (DAA) treatments for hepatitis C virus (HCV), the concept of treatment as prevention is gaining credence. To date, the majority of mathematical models assume perfect mixing, with injectors having equal contact with all other injectors. This article explores how using a networks-based approach to treat people who inject drugs (PWID) with DAAs affects HCV prevalence. Using observational data, we parameterized an exponential random graph model containing 524 nodes. We simulated transmission of HCV through this network using a discrete time, stochastic transmission model. The effect of five treatment strategies on the prevalence of HCV was investigated; two of these strategies were (1) treat randomly selected nodes and (2) \"treat your friends,\" where an individual is chosen at random for treatment and all their infected neighbors are treated. As treatment coverage increases, HCV prevalence at 10 years reduces for both the high- and low-efficacy treatment. Within each set of parameters, the treat your friends strategy performed better than the random strategy being most marked for higher-efficacy treatment. For example, over 10 years of treating 25 per 1,000 PWID, the prevalence drops from 50% to 40% for the random strategy and to 33% for the treat your friends strategy (6.5% difference; 95% confidence interval: 5.1-8.1).\\n\\nCONCLUSION: Treat your friends is a feasible means of utilizing network strategies to improve treatment efficiency. In an era of highly efficacious and highly tolerable treatment, such an approach will benefit not just the individual, but also the community more broadly by reducing the prevalence of HCV among PWID.", "author" : [ { "dropping-particle" : "", "family" : "Hellard", "given" : "Margaret", "non-dropping-particle" : "", "parse-names" : false, "suffix" : "" }, { "dropping-particle" : "", "family" : "Rolls", "given" : "David A.", "non-dropping-particle" : "", "parse-names" : false, "suffix" : "" }, { "dropping-particle" : "", "family" : "Sacks-Davis", "given" : "Rachel", "non-dropping-particle" : "", "parse-names" : false, "suffix" : "" }, { "dropping-particle" : "", "family" : "Robins", "given" : "Garry", "non-dropping-particle" : "", "parse-names" : false, "suffix" : "" }, { "dropping-particle" : "", "family" : "Pattison", "given" : "Philippa", "non-dropping-particle" : "", "parse-names" : false, "suffix" : "" }, { "dropping-particle" : "", "family" : "Higgs", "given" : "Peter", "non-dropping-particle" : "", "parse-names" : false, "suffix" : "" }, { "dropping-particle" : "", "family" : "Aitken", "given" : "Campbell", "non-dropping-particle" : "", "parse-names" : false, "suffix" : "" }, { "dropping-particle" : "", "family" : "Mcbryde", "given" : "Emma", "non-dropping-particle" : "", "parse-names" : false, "suffix" : "" } ], "container-title" : "Hepatology", "id" : "ITEM-1", "issue" : "6", "issued" : { "date-parts" : [ [ "2014" ] ] }, "title" : "The impact of injecting networks on hepatitis C transmission and treatment in people who inject drugs", "type" : "article-journal", "volume" : "60" }, "uris" : [ "http://www.mendeley.com/documents/?uuid=a884f0f5-40e9-3131-a207-0d68bfb76cf1" ] } ], "mendeley" : { "formattedCitation" : "&lt;sup&gt;13&lt;/sup&gt;", "plainTextFormattedCitation" : "13", "previouslyFormattedCitation" : "&lt;sup&gt;13&lt;/sup&gt;" }, "properties" : { "noteIndex" : 0 }, "schema" : "https://github.com/citation-style-language/schema/raw/master/csl-citation.json" }</w:instrText>
      </w:r>
      <w:r w:rsidR="00B232E2">
        <w:fldChar w:fldCharType="separate"/>
      </w:r>
      <w:r w:rsidR="00053BBA" w:rsidRPr="00053BBA">
        <w:rPr>
          <w:noProof/>
          <w:vertAlign w:val="superscript"/>
        </w:rPr>
        <w:t>13</w:t>
      </w:r>
      <w:r w:rsidR="00B232E2">
        <w:fldChar w:fldCharType="end"/>
      </w:r>
      <w:r w:rsidR="00B232E2">
        <w:t xml:space="preserve"> Indeed, they and </w:t>
      </w:r>
      <w:proofErr w:type="spellStart"/>
      <w:r w:rsidR="00B232E2">
        <w:t>Zelenev</w:t>
      </w:r>
      <w:proofErr w:type="spellEnd"/>
      <w:r w:rsidR="00B232E2">
        <w:t xml:space="preserve"> et al. showed that prioritising treatment to the most well-connected PWID was less effective than treating at random.</w:t>
      </w:r>
      <w:r w:rsidR="00B232E2">
        <w:fldChar w:fldCharType="begin" w:fldLock="1"/>
      </w:r>
      <w:r w:rsidR="00053BBA">
        <w:instrText>ADDIN CSL_CITATION { "citationItems" : [ { "id" : "ITEM-1", "itemData" : { "DOI" : "10.1002/hep.27403", "ISBN" : "1527-3350 (Electronic)\\r0270-9139 (Linking)", "ISSN" : "15273350", "PMID" : "25163856", "abstract" : "UNLABELLED: With the development of new highly efficacious direct-acting antiviral (DAA) treatments for hepatitis C virus (HCV), the concept of treatment as prevention is gaining credence. To date, the majority of mathematical models assume perfect mixing, with injectors having equal contact with all other injectors. This article explores how using a networks-based approach to treat people who inject drugs (PWID) with DAAs affects HCV prevalence. Using observational data, we parameterized an exponential random graph model containing 524 nodes. We simulated transmission of HCV through this network using a discrete time, stochastic transmission model. The effect of five treatment strategies on the prevalence of HCV was investigated; two of these strategies were (1) treat randomly selected nodes and (2) \"treat your friends,\" where an individual is chosen at random for treatment and all their infected neighbors are treated. As treatment coverage increases, HCV prevalence at 10 years reduces for both the high- and low-efficacy treatment. Within each set of parameters, the treat your friends strategy performed better than the random strategy being most marked for higher-efficacy treatment. For example, over 10 years of treating 25 per 1,000 PWID, the prevalence drops from 50% to 40% for the random strategy and to 33% for the treat your friends strategy (6.5% difference; 95% confidence interval: 5.1-8.1).\\n\\nCONCLUSION: Treat your friends is a feasible means of utilizing network strategies to improve treatment efficiency. In an era of highly efficacious and highly tolerable treatment, such an approach will benefit not just the individual, but also the community more broadly by reducing the prevalence of HCV among PWID.", "author" : [ { "dropping-particle" : "", "family" : "Hellard", "given" : "Margaret", "non-dropping-particle" : "", "parse-names" : false, "suffix" : "" }, { "dropping-particle" : "", "family" : "Rolls", "given" : "David A.", "non-dropping-particle" : "", "parse-names" : false, "suffix" : "" }, { "dropping-particle" : "", "family" : "Sacks-Davis", "given" : "Rachel", "non-dropping-particle" : "", "parse-names" : false, "suffix" : "" }, { "dropping-particle" : "", "family" : "Robins", "given" : "Garry", "non-dropping-particle" : "", "parse-names" : false, "suffix" : "" }, { "dropping-particle" : "", "family" : "Pattison", "given" : "Philippa", "non-dropping-particle" : "", "parse-names" : false, "suffix" : "" }, { "dropping-particle" : "", "family" : "Higgs", "given" : "Peter", "non-dropping-particle" : "", "parse-names" : false, "suffix" : "" }, { "dropping-particle" : "", "family" : "Aitken", "given" : "Campbell", "non-dropping-particle" : "", "parse-names" : false, "suffix" : "" }, { "dropping-particle" : "", "family" : "Mcbryde", "given" : "Emma", "non-dropping-particle" : "", "parse-names" : false, "suffix" : "" } ], "container-title" : "Hepatology", "id" : "ITEM-1", "issue" : "6", "issued" : { "date-parts" : [ [ "2014" ] ] }, "title" : "The impact of injecting networks on hepatitis C transmission and treatment in people who inject drugs", "type" : "article-journal", "volume" : "60" }, "uris" : [ "http://www.mendeley.com/documents/?uuid=a884f0f5-40e9-3131-a207-0d68bfb76cf1" ] }, { "id" : "ITEM-2", "itemData" : { "DOI" : "10.1016/S1473-3099(17)30676-X", "ISSN" : "14733099", "PMID" : "29153265", "abstract" : "BACKGROUND Chronic infections with hepatitis C virus (HCV) and HIV are highly prevalent in the USA and concentrated in people who inject drugs. Treatment as prevention with highly effective new direct-acting antivirals is a prospective HCV elimination strategy. We used network-based modelling to analyse the effect of this strategy in HCV-infected people who inject drugs in a US city. METHODS Five graph models were fit using data from 1574 people who inject drugs in Hartford, CT, USA. We used a degree-corrected stochastic block model, based on goodness-of-fit, to model networks of injection drug users. We simulated transmission of HCV and HIV through this network with varying levels of HCV treatment coverage (0%, 3%, 6%, 12%, or 24%) and varying baseline HCV prevalence in people who inject drugs (30%, 60%, 75%, or 85%). We compared the effectiveness of seven treatment-as-prevention strategies on reducing HCV prevalence over 10 years and 20 years versus no treatment. The strategies consisted of treatment assigned to either a randomly chosen individual who injects drugs or to an individual with the highest number of injection partners. Additional strategies explored the effects of treating either none, half, or all of the injection partners of the selected individual, as well as a strategy based on respondent-driven recruitment into treatment. FINDINGS Our model estimates show that at the highest baseline HCV prevalence in people who inject drugs (85%), expansion of treatment coverage does not substantially reduce HCV prevalence for any treatment-as-prevention strategy. However, when baseline HCV prevalence is 60% or lower, treating more than 120 (12%) individuals per 1000 people who inject drugs per year would probably eliminate HCV within 10 years. On average, assigning treatment randomly to individuals who inject drugs is better than targeting individuals with the most injection partners. Treatment-as-prevention strategies that treat additional network members are among the best performing strategies and can enhance less effective strategies that target the degree (ie, the highest number of injection partners) within the network. INTERPRETATION Successful HCV treatment as prevention should incorporate the baseline HCV prevalence and will achieve the greatest benefit when coverage is sufficiently expanded. FUNDING National Institute on Drug Abuse.", "author" : [ { "dropping-particle" : "", "family" : "Zelenev", "given" : "Alexei", "non-dropping-particle" : "", "parse-names" : false, "suffix" : "" }, { "dropping-particle" : "", "family" : "Li", "given" : "Jianghong", "non-dropping-particle" : "", "parse-names" : false, "suffix" : "" }, { "dropping-particle" : "", "family" : "Mazhnaya", "given" : "Alyona", "non-dropping-particle" : "", "parse-names" : false, "suffix" : "" }, { "dropping-particle" : "", "family" : "Basu", "given" : "Sanjay", "non-dropping-particle" : "", "parse-names" : false, "suffix" : "" }, { "dropping-particle" : "", "family" : "Altice", "given" : "Frederick L", "non-dropping-particle" : "", "parse-names" : false, "suffix" : "" } ], "container-title" : "The Lancet Infectious Diseases", "id" : "ITEM-2", "issue" : "2", "issued" : { "date-parts" : [ [ "2018", "2" ] ] }, "page" : "215-224", "title" : "Hepatitis C virus treatment as prevention in an extended network of people who inject drugs in the USA: a modelling study", "type" : "article-journal", "volume" : "18" }, "uris" : [ "http://www.mendeley.com/documents/?uuid=7fd02e74-37ac-34c2-af29-52d8a9690689" ] } ], "mendeley" : { "formattedCitation" : "&lt;sup&gt;11,13&lt;/sup&gt;", "plainTextFormattedCitation" : "11,13", "previouslyFormattedCitation" : "&lt;sup&gt;11,13&lt;/sup&gt;" }, "properties" : { "noteIndex" : 0 }, "schema" : "https://github.com/citation-style-language/schema/raw/master/csl-citation.json" }</w:instrText>
      </w:r>
      <w:r w:rsidR="00B232E2">
        <w:fldChar w:fldCharType="separate"/>
      </w:r>
      <w:r w:rsidR="00053BBA" w:rsidRPr="00053BBA">
        <w:rPr>
          <w:noProof/>
          <w:vertAlign w:val="superscript"/>
        </w:rPr>
        <w:t>11,13</w:t>
      </w:r>
      <w:r w:rsidR="00B232E2">
        <w:fldChar w:fldCharType="end"/>
      </w:r>
      <w:r w:rsidR="00B232E2">
        <w:t xml:space="preserve">   Both studies are different from ours in being set in larger, urban populations and report the effects of </w:t>
      </w:r>
      <w:proofErr w:type="spellStart"/>
      <w:r w:rsidR="00B232E2">
        <w:t>TasP</w:t>
      </w:r>
      <w:proofErr w:type="spellEnd"/>
      <w:r w:rsidR="00B232E2">
        <w:t xml:space="preserve"> over a longer period. However, it is possible that the contrast with our results is secondary to different underlying network topology within each model. </w:t>
      </w:r>
    </w:p>
    <w:p w14:paraId="1CA16FAE" w14:textId="77777777" w:rsidR="000864D1" w:rsidRDefault="000864D1" w:rsidP="00757BD9">
      <w:pPr>
        <w:spacing w:line="480" w:lineRule="auto"/>
        <w:jc w:val="both"/>
      </w:pPr>
    </w:p>
    <w:p w14:paraId="20AEE4B1" w14:textId="1D0A4507" w:rsidR="00B232E2" w:rsidRDefault="000864D1" w:rsidP="00757BD9">
      <w:pPr>
        <w:spacing w:line="480" w:lineRule="auto"/>
        <w:jc w:val="both"/>
      </w:pPr>
      <w:r>
        <w:t>The network that we have def</w:t>
      </w:r>
      <w:r w:rsidR="005A243E">
        <w:t>ined is cohesive and has a long-</w:t>
      </w:r>
      <w:r>
        <w:t xml:space="preserve">tailed degree size distribution. </w:t>
      </w:r>
      <w:r w:rsidR="00B232E2">
        <w:t xml:space="preserve">The Melbourne study was based on a network with a short tailed degree distribution and relatively few injecting partnerships, whereas </w:t>
      </w:r>
      <w:proofErr w:type="spellStart"/>
      <w:r w:rsidR="00B232E2">
        <w:t>Zelenev</w:t>
      </w:r>
      <w:proofErr w:type="spellEnd"/>
      <w:r w:rsidR="00B232E2">
        <w:t xml:space="preserve"> et al. modelled transmission in a network that was over 20 times less cohesive than our own.</w:t>
      </w:r>
      <w:r w:rsidR="00B232E2">
        <w:fldChar w:fldCharType="begin" w:fldLock="1"/>
      </w:r>
      <w:r w:rsidR="00757BD9">
        <w:instrText>ADDIN CSL_CITATION { "citationItems" : [ { "id" : "ITEM-1", "itemData" : { "DOI" : "10.1016/j.socnet.2013.06.003", "ISSN" : "03788733", "author" : [ { "dropping-particle" : "", "family" : "Rolls", "given" : "David A.", "non-dropping-particle" : "", "parse-names" : false, "suffix" : "" }, { "dropping-particle" : "", "family" : "Wang", "given" : "Peng", "non-dropping-particle" : "", "parse-names" : false, "suffix" : "" }, { "dropping-particle" : "", "family" : "Jenkinson", "given" : "Rebecca", "non-dropping-particle" : "", "parse-names" : false, "suffix" : "" }, { "dropping-particle" : "", "family" : "Pattison", "given" : "Phillipa E.", "non-dropping-particle" : "", "parse-names" : false, "suffix" : "" }, { "dropping-particle" : "", "family" : "Robins", "given" : "Garry L.", "non-dropping-particle" : "", "parse-names" : false, "suffix" : "" }, { "dropping-particle" : "", "family" : "Sacks-Davis", "given" : "Rachel", "non-dropping-particle" : "", "parse-names" : false, "suffix" : "" }, { "dropping-particle" : "", "family" : "Daraganova", "given" : "Galina", "non-dropping-particle" : "", "parse-names" : false, "suffix" : "" }, { "dropping-particle" : "", "family" : "Hellard", "given" : "Margaret", "non-dropping-particle" : "", "parse-names" : false, "suffix" : "" }, { "dropping-particle" : "", "family" : "McBryde", "given" : "Emma", "non-dropping-particle" : "", "parse-names" : false, "suffix" : "" } ], "container-title" : "Social Networks", "id" : "ITEM-1", "issue" : "4", "issued" : { "date-parts" : [ [ "2013", "10" ] ] }, "page" : "699-710", "title" : "Modelling a disease-relevant contact network of people who inject drugs", "type" : "article-journal", "volume" : "35" }, "uris" : [ "http://www.mendeley.com/documents/?uuid=1f7dfe51-fe19-333c-abbf-85d9e6a40d9d" ] }, { "id" : "ITEM-2", "itemData" : { "DOI" : "10.1016/S1473-3099(17)30676-X", "ISSN" : "14733099", "PMID" : "29153265", "abstract" : "BACKGROUND Chronic infections with hepatitis C virus (HCV) and HIV are highly prevalent in the USA and concentrated in people who inject drugs. Treatment as prevention with highly effective new direct-acting antivirals is a prospective HCV elimination strategy. We used network-based modelling to analyse the effect of this strategy in HCV-infected people who inject drugs in a US city. METHODS Five graph models were fit using data from 1574 people who inject drugs in Hartford, CT, USA. We used a degree-corrected stochastic block model, based on goodness-of-fit, to model networks of injection drug users. We simulated transmission of HCV and HIV through this network with varying levels of HCV treatment coverage (0%, 3%, 6%, 12%, or 24%) and varying baseline HCV prevalence in people who inject drugs (30%, 60%, 75%, or 85%). We compared the effectiveness of seven treatment-as-prevention strategies on reducing HCV prevalence over 10 years and 20 years versus no treatment. The strategies consisted of treatment assigned to either a randomly chosen individual who injects drugs or to an individual with the highest number of injection partners. Additional strategies explored the effects of treating either none, half, or all of the injection partners of the selected individual, as well as a strategy based on respondent-driven recruitment into treatment. FINDINGS Our model estimates show that at the highest baseline HCV prevalence in people who inject drugs (85%), expansion of treatment coverage does not substantially reduce HCV prevalence for any treatment-as-prevention strategy. However, when baseline HCV prevalence is 60% or lower, treating more than 120 (12%) individuals per 1000 people who inject drugs per year would probably eliminate HCV within 10 years. On average, assigning treatment randomly to individuals who inject drugs is better than targeting individuals with the most injection partners. Treatment-as-prevention strategies that treat additional network members are among the best performing strategies and can enhance less effective strategies that target the degree (ie, the highest number of injection partners) within the network. INTERPRETATION Successful HCV treatment as prevention should incorporate the baseline HCV prevalence and will achieve the greatest benefit when coverage is sufficiently expanded. FUNDING National Institute on Drug Abuse.", "author" : [ { "dropping-particle" : "", "family" : "Zelenev", "given" : "Alexei", "non-dropping-particle" : "", "parse-names" : false, "suffix" : "" }, { "dropping-particle" : "", "family" : "Li", "given" : "Jianghong", "non-dropping-particle" : "", "parse-names" : false, "suffix" : "" }, { "dropping-particle" : "", "family" : "Mazhnaya", "given" : "Alyona", "non-dropping-particle" : "", "parse-names" : false, "suffix" : "" }, { "dropping-particle" : "", "family" : "Basu", "given" : "Sanjay", "non-dropping-particle" : "", "parse-names" : false, "suffix" : "" }, { "dropping-particle" : "", "family" : "Altice", "given" : "Frederick L", "non-dropping-particle" : "", "parse-names" : false, "suffix" : "" } ], "container-title" : "The Lancet Infectious Diseases", "id" : "ITEM-2", "issue" : "2", "issued" : { "date-parts" : [ [ "2018", "2" ] ] }, "page" : "215-224", "title" : "Hepatitis C virus treatment as prevention in an extended network of people who inject drugs in the USA: a modelling study", "type" : "article-journal", "volume" : "18" }, "uris" : [ "http://www.mendeley.com/documents/?uuid=7fd02e74-37ac-34c2-af29-52d8a9690689" ] } ], "mendeley" : { "formattedCitation" : "&lt;sup&gt;11,24&lt;/sup&gt;", "plainTextFormattedCitation" : "11,24", "previouslyFormattedCitation" : "&lt;sup&gt;11,25&lt;/sup&gt;" }, "properties" : { "noteIndex" : 19 }, "schema" : "https://github.com/citation-style-language/schema/raw/master/csl-citation.json" }</w:instrText>
      </w:r>
      <w:r w:rsidR="00B232E2">
        <w:fldChar w:fldCharType="separate"/>
      </w:r>
      <w:r w:rsidR="00757BD9" w:rsidRPr="00757BD9">
        <w:rPr>
          <w:noProof/>
          <w:vertAlign w:val="superscript"/>
        </w:rPr>
        <w:t>11,24</w:t>
      </w:r>
      <w:r w:rsidR="00B232E2">
        <w:fldChar w:fldCharType="end"/>
      </w:r>
      <w:r w:rsidR="00B21B11">
        <w:t xml:space="preserve"> </w:t>
      </w:r>
      <w:r w:rsidR="00B232E2">
        <w:t xml:space="preserve">Further research is required to understand whether these differences in network topology represent heterogeneity between rural and urban population of PWID or network sampling errors. </w:t>
      </w:r>
    </w:p>
    <w:p w14:paraId="2EA5F6A3" w14:textId="546C150F" w:rsidR="00462CA4" w:rsidRDefault="00462CA4" w:rsidP="00757BD9">
      <w:pPr>
        <w:spacing w:line="480" w:lineRule="auto"/>
        <w:jc w:val="both"/>
      </w:pPr>
    </w:p>
    <w:p w14:paraId="6E4EB5BC" w14:textId="23C9A052" w:rsidR="000864D1" w:rsidRDefault="000864D1" w:rsidP="00757BD9">
      <w:pPr>
        <w:spacing w:line="480" w:lineRule="auto"/>
        <w:jc w:val="both"/>
      </w:pPr>
      <w:r>
        <w:t xml:space="preserve">Importantly however, </w:t>
      </w:r>
      <w:r w:rsidR="003425AC">
        <w:t>features of our network fit with</w:t>
      </w:r>
      <w:r>
        <w:t xml:space="preserve"> so-called ‘scale-free’ network topography that has been observed in a wide range of real-world networks</w:t>
      </w:r>
      <w:r w:rsidR="002057BD">
        <w:t xml:space="preserve"> including social networks, intra-cellular molecular communication and the internet.</w:t>
      </w:r>
      <w:r w:rsidR="003425AC">
        <w:fldChar w:fldCharType="begin" w:fldLock="1"/>
      </w:r>
      <w:r w:rsidR="00757BD9">
        <w:instrText>ADDIN CSL_CITATION { "citationItems" : [ { "id" : "ITEM-1", "itemData" : { "DOI" : "10.1038/35019019", "ISSN" : "0028-0836", "abstract" : "Error and attack tolerance of complex networks", "author" : [ { "dropping-particle" : "", "family" : "Albert", "given" : "R\u00e9ka", "non-dropping-particle" : "", "parse-names" : false, "suffix" : "" }, { "dropping-particle" : "", "family" : "Jeong", "given" : "Hawoong", "non-dropping-particle" : "", "parse-names" : false, "suffix" : "" }, { "dropping-particle" : "", "family" : "Barab\u00e1si", "given" : "Albert-L\u00e1szl\u00f3", "non-dropping-particle" : "", "parse-names" : false, "suffix" : "" } ], "container-title" : "Nature", "id" : "ITEM-1", "issue" : "6794", "issued" : { "date-parts" : [ [ "2000", "7", "27" ] ] }, "page" : "378-382", "publisher" : "Nature Publishing Group", "title" : "Error and attack tolerance of complex networks", "type" : "article-journal", "volume" : "406" }, "uris" : [ "http://www.mendeley.com/documents/?uuid=c88b1fcd-5141-3145-a312-29abe88a8020" ] } ], "mendeley" : { "formattedCitation" : "&lt;sup&gt;25&lt;/sup&gt;", "plainTextFormattedCitation" : "25", "previouslyFormattedCitation" : "&lt;sup&gt;24&lt;/sup&gt;" }, "properties" : { "noteIndex" : 23 }, "schema" : "https://github.com/citation-style-language/schema/raw/master/csl-citation.json" }</w:instrText>
      </w:r>
      <w:r w:rsidR="003425AC">
        <w:fldChar w:fldCharType="separate"/>
      </w:r>
      <w:r w:rsidR="00757BD9" w:rsidRPr="00757BD9">
        <w:rPr>
          <w:noProof/>
          <w:vertAlign w:val="superscript"/>
        </w:rPr>
        <w:t>25</w:t>
      </w:r>
      <w:r w:rsidR="003425AC">
        <w:fldChar w:fldCharType="end"/>
      </w:r>
      <w:r>
        <w:t xml:space="preserve"> Furthermore, the results of our simulation are consistent with broader mathematical literature that has de</w:t>
      </w:r>
      <w:r w:rsidR="003425AC">
        <w:t>monstrated the resilience of so-</w:t>
      </w:r>
      <w:r>
        <w:t>called ‘scale-free’ networks to random error and their paradoxical vulnerability to targeted ‘attack’ on well-connected nodes.</w:t>
      </w:r>
      <w:r>
        <w:fldChar w:fldCharType="begin" w:fldLock="1"/>
      </w:r>
      <w:r w:rsidR="00757BD9">
        <w:instrText>ADDIN CSL_CITATION { "citationItems" : [ { "id" : "ITEM-1", "itemData" : { "DOI" : "10.1038/35019019", "ISSN" : "0028-0836", "abstract" : "Error and attack tolerance of complex networks", "author" : [ { "dropping-particle" : "", "family" : "Albert", "given" : "R\u00e9ka", "non-dropping-particle" : "", "parse-names" : false, "suffix" : "" }, { "dropping-particle" : "", "family" : "Jeong", "given" : "Hawoong", "non-dropping-particle" : "", "parse-names" : false, "suffix" : "" }, { "dropping-particle" : "", "family" : "Barab\u00e1si", "given" : "Albert-L\u00e1szl\u00f3", "non-dropping-particle" : "", "parse-names" : false, "suffix" : "" } ], "container-title" : "Nature", "id" : "ITEM-1", "issue" : "6794", "issued" : { "date-parts" : [ [ "2000", "7", "27" ] ] }, "page" : "378-382", "publisher" : "Nature Publishing Group", "title" : "Error and attack tolerance of complex networks", "type" : "article-journal", "volume" : "406" }, "uris" : [ "http://www.mendeley.com/documents/?uuid=c88b1fcd-5141-3145-a312-29abe88a8020" ] } ], "mendeley" : { "formattedCitation" : "&lt;sup&gt;25&lt;/sup&gt;", "plainTextFormattedCitation" : "25", "previouslyFormattedCitation" : "&lt;sup&gt;24&lt;/sup&gt;" }, "properties" : { "noteIndex" : 23 }, "schema" : "https://github.com/citation-style-language/schema/raw/master/csl-citation.json" }</w:instrText>
      </w:r>
      <w:r>
        <w:fldChar w:fldCharType="separate"/>
      </w:r>
      <w:r w:rsidR="00757BD9" w:rsidRPr="00757BD9">
        <w:rPr>
          <w:noProof/>
          <w:vertAlign w:val="superscript"/>
        </w:rPr>
        <w:t>25</w:t>
      </w:r>
      <w:r>
        <w:fldChar w:fldCharType="end"/>
      </w:r>
    </w:p>
    <w:p w14:paraId="5C9EE16F" w14:textId="77777777" w:rsidR="000864D1" w:rsidRDefault="000864D1" w:rsidP="00757BD9">
      <w:pPr>
        <w:spacing w:line="480" w:lineRule="auto"/>
        <w:jc w:val="both"/>
      </w:pPr>
    </w:p>
    <w:p w14:paraId="6398A7A3" w14:textId="3AAEE399" w:rsidR="001F1DA5" w:rsidRDefault="00B6742D" w:rsidP="00757BD9">
      <w:pPr>
        <w:spacing w:line="480" w:lineRule="auto"/>
        <w:jc w:val="both"/>
        <w:rPr>
          <w:color w:val="FF0000"/>
        </w:rPr>
      </w:pPr>
      <w:r>
        <w:t xml:space="preserve">HCV within the </w:t>
      </w:r>
      <w:r w:rsidR="00484B27">
        <w:t xml:space="preserve">IoW </w:t>
      </w:r>
      <w:r>
        <w:t xml:space="preserve">network was significantly associated with </w:t>
      </w:r>
      <w:r w:rsidR="00FC7BEC">
        <w:t xml:space="preserve">increasing </w:t>
      </w:r>
      <w:r>
        <w:t>age and having a higher proportion of positive injecting partners</w:t>
      </w:r>
      <w:r w:rsidR="004F5769">
        <w:t>. In the UK t</w:t>
      </w:r>
      <w:r w:rsidR="00D87DDC">
        <w:t xml:space="preserve">he risk of HCV infection is known to </w:t>
      </w:r>
      <w:r w:rsidR="004F5769">
        <w:t>be lower in recent initiates of injecting drug use</w:t>
      </w:r>
      <w:r w:rsidR="001C567B">
        <w:t xml:space="preserve"> </w:t>
      </w:r>
      <w:r w:rsidR="004F5769">
        <w:t>and increase with age</w:t>
      </w:r>
      <w:r w:rsidR="00FB1C3C">
        <w:t>.</w:t>
      </w:r>
      <w:r w:rsidR="00AB3841">
        <w:fldChar w:fldCharType="begin" w:fldLock="1"/>
      </w:r>
      <w:r w:rsidR="00053BBA">
        <w:instrText>ADDIN CSL_CITATION { "citationItems" : [ { "id" : "ITEM-1", "itemData" : { "DOI" : "10.1111/j.1365-2893.2010.01297.x", "ISSN" : "1365-2893", "PMID" : "20456636", "abstract" : "Monitoring hepatitis C virus (HCV) infection among injecting drug users (IDUs) in the community is complicated by difficulties in obtaining biological specimens and biases in recruitment and follow-up. This study examined the utility of dried blood spot (DBS) specimens from IDUs recruited using respondent-driven sampling (RDS). Active IDUs underwent a computer-assisted interview and provided a DBS sample, tested for HCV antibody (anti-HCV) and HCV-RNA. HCV incidence was estimated from the proportion of anti-HCV-negative subjects found HCV-RNA-positive and estimates of the duration of this state. Results were adjusted according to RDS derived sample weights. HCV-RNA testing was performed on 288 DBS samples; 173 were anti-HCV-positive (54% weighted), of which 70 (42%, 95%CI 34-50% weighted) were RNA-negative indicating cleared infection. Among the 115 anti-HCV-negatives, 14 were RNA-positive suggesting an incidence of 38-47 per 100pyrs. Incident infections were younger than anti-HCV-negative and prevalent infections: 25 vs. 29 and 34, respectively. Incidence was highest among individuals with poor needle exchange coverage. One hundred and fourteen were genotyped (60 1a, 46 3a): a cluster of 14 had homology of &gt;98.5% including 10 incident infections. Public health surveillance of HCV among IDUs could be enhanced through the collection of DBS samples with appropriate recruitment approaches. DBS allow differentiation between individuals with cleared infections, ongoing infection and those recently infected. They also enable virus characterization at genotype and nucleotide level. This would allow surveillance to inform development of harm reduction interventions, and the international evidence base for these.", "author" : [ { "dropping-particle" : "", "family" : "Hope VD", "given" : "", "non-dropping-particle" : "", "parse-names" : false, "suffix" : "" }, { "dropping-particle" : "", "family" : "Hickman M", "given" : "", "non-dropping-particle" : "", "parse-names" : false, "suffix" : "" }, { "dropping-particle" : "", "family" : "Ngui SL", "given" : "", "non-dropping-particle" : "", "parse-names" : false, "suffix" : "" }, { "dropping-particle" : "", "family" : "Jones S", "given" : "", "non-dropping-particle" : "", "parse-names" : false, "suffix" : "" }, { "dropping-particle" : "", "family" : "Telfer M", "given" : "", "non-dropping-particle" : "", "parse-names" : false, "suffix" : "" }, { "dropping-particle" : "", "family" : "Bizzarri M", "given" : "", "non-dropping-particle" : "", "parse-names" : false, "suffix" : "" }, { "dropping-particle" : "", "family" : "Ncube F", "given" : "", "non-dropping-particle" : "", "parse-names" : false, "suffix" : "" }, { "dropping-particle" : "", "family" : "Parry JV.", "given" : "", "non-dropping-particle" : "", "parse-names" : false, "suffix" : "" }, { "dropping-particle" : "", "family" : "Hope", "given" : "V D", "non-dropping-particle" : "", "parse-names" : false, "suffix" : "" }, { "dropping-particle" : "", "family" : "Hickman", "given" : "M", "non-dropping-particle" : "", "parse-names" : false, "suffix" : "" }, { "dropping-particle" : "", "family" : "Ngui", "given" : "S L", "non-dropping-particle" : "", "parse-names" : false, "suffix" : "" }, { "dropping-particle" : "", "family" : "Jones", "given" : "S", "non-dropping-particle" : "", "parse-names" : false, "suffix" : "" }, { "dropping-particle" : "", "family" : "Telfer", "given" : "M", "non-dropping-particle" : "", "parse-names" : false, "suffix" : "" }, { "dropping-particle" : "", "family" : "Bizzarri", "given" : "M", "non-dropping-particle" : "", "parse-names" : false, "suffix" : "" }, { "dropping-particle" : "", "family" : "Ncube", "given" : "F", "non-dropping-particle" : "", "parse-names" : false, "suffix" : "" }, { "dropping-particle" : "V", "family" : "Parry", "given" : "J", "non-dropping-particle" : "", "parse-names" : false, "suffix" : "" }, { "dropping-particle" : "", "family" : "Hope VD", "given" : "", "non-dropping-particle" : "", "parse-names" : false, "suffix" : "" }, { "dropping-particle" : "", "family" : "Hickman M", "given" : "", "non-dropping-particle" : "", "parse-names" : false, "suffix" : "" }, { "dropping-particle" : "", "family" : "Ngui SL", "given" : "", "non-dropping-particle" : "", "parse-names" : false, "suffix" : "" }, { "dropping-particle" : "", "family" : "Jones S", "given" : "", "non-dropping-particle" : "", "parse-names" : false, "suffix" : "" }, { "dropping-particle" : "", "family" : "Telfer M", "given" : "", "non-dropping-particle" : "", "parse-names" : false, "suffix" : "" }, { "dropping-particle" : "", "family" : "Bizzarri M", "given" : "", "non-dropping-particle" : "", "parse-names" : false, "suffix" : "" }, { "dropping-particle" : "", "family" : "Ncube F", "given" : "", "non-dropping-particle" : "", "parse-names" : false, "suffix" : "" }, { "dropping-particle" : "", "family" : "Parry JV.", "given" : "", "non-dropping-particle" : "", "parse-names" : false, "suffix" : "" } ], "container-title" : "Journal of viral hepatitis", "id" : "ITEM-1", "issue" : "4", "issued" : { "date-parts" : [ [ "2011", "4" ] ] }, "page" : "262-70", "title" : "Measuring the incidence, prevalence and genetic relatedness of hepatitis C infections among a community recruited sample of injecting", "type" : "article-journal", "volume" : "18" }, "uris" : [ "http://www.mendeley.com/documents/?uuid=58cc91e3-ce71-4532-ab8b-b1843921cfe4" ] }, { "id" : "ITEM-2", "itemData" : { "URL" : "https://www.gov.uk/government/uploads/system/uploads/attachment_data/file/538321/hpr2316_uampwid.pdf", "accessed" : { "date-parts" : [ [ "2016", "9", "20" ] ] }, "id" : "ITEM-2", "issued" : { "date-parts" : [ [ "2016" ] ] }, "title" : "Hepatitis C in the UK", "type" : "webpage" }, "uris" : [ "http://www.mendeley.com/documents/?uuid=e3f5cb73-df4f-431e-9b8c-dbdbcbe4366d" ] } ], "mendeley" : { "formattedCitation" : "&lt;sup&gt;26,27&lt;/sup&gt;", "plainTextFormattedCitation" : "26,27", "previouslyFormattedCitation" : "&lt;sup&gt;26,27&lt;/sup&gt;" }, "properties" : { "noteIndex" : 19 }, "schema" : "https://github.com/citation-style-language/schema/raw/master/csl-citation.json" }</w:instrText>
      </w:r>
      <w:r w:rsidR="00AB3841">
        <w:fldChar w:fldCharType="separate"/>
      </w:r>
      <w:r w:rsidR="00053BBA" w:rsidRPr="00053BBA">
        <w:rPr>
          <w:noProof/>
          <w:vertAlign w:val="superscript"/>
        </w:rPr>
        <w:t>26,27</w:t>
      </w:r>
      <w:r w:rsidR="00AB3841">
        <w:fldChar w:fldCharType="end"/>
      </w:r>
      <w:r w:rsidR="00484B27">
        <w:t xml:space="preserve"> C</w:t>
      </w:r>
      <w:r w:rsidR="004F5769">
        <w:t xml:space="preserve">lustering of HCV positive cases </w:t>
      </w:r>
      <w:r w:rsidR="005912F9">
        <w:t>has also been</w:t>
      </w:r>
      <w:r w:rsidR="001F1DA5">
        <w:t xml:space="preserve"> </w:t>
      </w:r>
      <w:r w:rsidR="004F5769">
        <w:t xml:space="preserve">reported </w:t>
      </w:r>
      <w:r w:rsidR="001F1DA5">
        <w:t xml:space="preserve">by Young </w:t>
      </w:r>
      <w:r w:rsidR="001F1DA5" w:rsidRPr="003B73A8">
        <w:t>et al.</w:t>
      </w:r>
      <w:r w:rsidR="001F1DA5">
        <w:rPr>
          <w:i/>
        </w:rPr>
        <w:t xml:space="preserve"> </w:t>
      </w:r>
      <w:r w:rsidR="00201929">
        <w:t xml:space="preserve">in a rural network of PWID in the USA </w:t>
      </w:r>
      <w:r w:rsidR="001F1DA5" w:rsidRPr="001F1DA5">
        <w:t xml:space="preserve">and </w:t>
      </w:r>
      <w:r w:rsidR="006536AB">
        <w:t>similar to our study</w:t>
      </w:r>
      <w:r w:rsidR="001F1DA5" w:rsidRPr="001F1DA5">
        <w:t xml:space="preserve"> they did not demonstrate an association between</w:t>
      </w:r>
      <w:r w:rsidR="005A243E">
        <w:t xml:space="preserve"> being HCV positive and</w:t>
      </w:r>
      <w:r w:rsidR="001F1DA5">
        <w:rPr>
          <w:i/>
        </w:rPr>
        <w:t xml:space="preserve"> </w:t>
      </w:r>
      <w:r w:rsidR="006536AB">
        <w:t>a node’s overall position in the network</w:t>
      </w:r>
      <w:r w:rsidR="005A243E">
        <w:t>, whether central or peripheral.</w:t>
      </w:r>
      <w:r w:rsidR="0021509C" w:rsidRPr="0021509C">
        <w:rPr>
          <w:i/>
        </w:rPr>
        <w:fldChar w:fldCharType="begin" w:fldLock="1"/>
      </w:r>
      <w:r w:rsidR="00053BBA">
        <w:rPr>
          <w:i/>
        </w:rPr>
        <w:instrText>ADDIN CSL_CITATION { "citationItems" : [ { "id" : "ITEM-1", "itemData" : { "DOI" : "10.1017/S0950268812000696", "ISSN" : "1469-4409", "PMID" : "22717190", "abstract" : "Although social networks are known to play an important role in drug-using behaviours associated with hepatitis C virus (HCV) infection, literature on social networks and HCV is inconsistent. This exploratory study examined HCV RNA distribution within a social network of anti-HCV-positive non-medical prescription opioid users (NMPOUs) in rural Appalachia. Participants were tested serologically for HCV RNA, and behavioural, demographic, and network data were collected using interview-administered questionnaires. Multivariate analyses were performed using logistic regression. Behavioural and demographic characteristics did not differ by RNA status. In the multivariate model, recent injecting drug users (IDUs) were more likely to be RNA positive [odds ratio (OR) 4\u00b706, 95% confidence interval (CI) 1\u00b704-15\u00b783], and turnover into an IDU's drug network was significantly protective (OR 0\u00b715, 95% CI 0\u00b703-0\u00b775). This is the first study to date to examine HCV distribution in rural NMPOUs from a network perspective and demonstrates that network characteristics significantly contribute to the epidemiology of HCV in this understudied, high-risk population.", "author" : [ { "dropping-particle" : "", "family" : "Young", "given" : "A M", "non-dropping-particle" : "", "parse-names" : false, "suffix" : "" }, { "dropping-particle" : "", "family" : "Jonas", "given" : "A B", "non-dropping-particle" : "", "parse-names" : false, "suffix" : "" }, { "dropping-particle" : "", "family" : "Havens", "given" : "J R", "non-dropping-particle" : "", "parse-names" : false, "suffix" : "" } ], "container-title" : "Epidemiology and infection", "id" : "ITEM-1", "issue" : "2", "issued" : { "date-parts" : [ [ "2013", "2" ] ] }, "page" : "402-11", "title" : "Social networks and HCV viraemia in anti-HCV-positive rural drug users.", "type" : "article-journal", "volume" : "141" }, "uris" : [ "http://www.mendeley.com/documents/?uuid=3f5bfc38-3893-4145-b153-6313dd515f28" ] } ], "mendeley" : { "formattedCitation" : "&lt;sup&gt;28&lt;/sup&gt;", "plainTextFormattedCitation" : "28", "previouslyFormattedCitation" : "&lt;sup&gt;28&lt;/sup&gt;" }, "properties" : { "noteIndex" : 19 }, "schema" : "https://github.com/citation-style-language/schema/raw/master/csl-citation.json" }</w:instrText>
      </w:r>
      <w:r w:rsidR="0021509C" w:rsidRPr="0021509C">
        <w:rPr>
          <w:i/>
        </w:rPr>
        <w:fldChar w:fldCharType="separate"/>
      </w:r>
      <w:r w:rsidR="00053BBA" w:rsidRPr="00053BBA">
        <w:rPr>
          <w:noProof/>
          <w:vertAlign w:val="superscript"/>
        </w:rPr>
        <w:t>28</w:t>
      </w:r>
      <w:r w:rsidR="0021509C" w:rsidRPr="0021509C">
        <w:rPr>
          <w:i/>
        </w:rPr>
        <w:fldChar w:fldCharType="end"/>
      </w:r>
    </w:p>
    <w:p w14:paraId="693D54D5" w14:textId="6E5F46C4" w:rsidR="006A1DFF" w:rsidRDefault="006A1DFF" w:rsidP="00757BD9">
      <w:pPr>
        <w:spacing w:line="480" w:lineRule="auto"/>
        <w:jc w:val="both"/>
        <w:rPr>
          <w:color w:val="FF0000"/>
        </w:rPr>
      </w:pPr>
    </w:p>
    <w:p w14:paraId="3C12784A" w14:textId="27F6410A" w:rsidR="00AD3814" w:rsidRDefault="00475D07" w:rsidP="00757BD9">
      <w:pPr>
        <w:spacing w:line="480" w:lineRule="auto"/>
        <w:jc w:val="both"/>
      </w:pPr>
      <w:r>
        <w:lastRenderedPageBreak/>
        <w:t>The collection of social network data in PWID is challenging</w:t>
      </w:r>
      <w:r w:rsidR="00FB1C3C">
        <w:t>.</w:t>
      </w:r>
      <w:r w:rsidR="00145A5F">
        <w:t xml:space="preserve"> A strength of </w:t>
      </w:r>
      <w:r w:rsidR="00474203">
        <w:t xml:space="preserve">our </w:t>
      </w:r>
      <w:r w:rsidR="00145A5F">
        <w:t>study is that our network included a high proportion</w:t>
      </w:r>
      <w:r w:rsidR="003C1341">
        <w:t xml:space="preserve"> (over 50%)</w:t>
      </w:r>
      <w:r w:rsidR="00145A5F">
        <w:t xml:space="preserve"> of the total PWID population and </w:t>
      </w:r>
      <w:r>
        <w:t xml:space="preserve">benefited from a </w:t>
      </w:r>
      <w:r w:rsidR="00F81530">
        <w:t xml:space="preserve">natural </w:t>
      </w:r>
      <w:r w:rsidR="00921BA9">
        <w:t>g</w:t>
      </w:r>
      <w:r w:rsidR="00145A5F">
        <w:t xml:space="preserve">eographical network ‘boundary’. </w:t>
      </w:r>
      <w:r w:rsidR="009706DA">
        <w:t xml:space="preserve">However, we inevitably relied on self-reported and peer reported </w:t>
      </w:r>
      <w:r w:rsidR="0012421C">
        <w:t>information</w:t>
      </w:r>
      <w:r w:rsidR="009706DA">
        <w:t>, which</w:t>
      </w:r>
      <w:r w:rsidR="001E7DCB">
        <w:t xml:space="preserve">, </w:t>
      </w:r>
      <w:r w:rsidR="0012421C">
        <w:t>particularly</w:t>
      </w:r>
      <w:r w:rsidR="009706DA">
        <w:t xml:space="preserve"> in the case of sharing frequency</w:t>
      </w:r>
      <w:r w:rsidR="001E7DCB">
        <w:t>,</w:t>
      </w:r>
      <w:r w:rsidR="009706DA">
        <w:t xml:space="preserve"> could have introduced bias in the simulat</w:t>
      </w:r>
      <w:r w:rsidR="00434A69">
        <w:t xml:space="preserve">ion. </w:t>
      </w:r>
      <w:r w:rsidR="003C1341">
        <w:t>However, w</w:t>
      </w:r>
      <w:r w:rsidR="00434A69">
        <w:t xml:space="preserve">e </w:t>
      </w:r>
      <w:r w:rsidR="006536AB">
        <w:t>have limited</w:t>
      </w:r>
      <w:r w:rsidR="00434A69">
        <w:t xml:space="preserve"> the impact of missing network data in three ways. Firstly, we used a test for centrality (</w:t>
      </w:r>
      <w:r w:rsidR="00434A69" w:rsidRPr="003213EC">
        <w:rPr>
          <w:i/>
        </w:rPr>
        <w:t>in-degree</w:t>
      </w:r>
      <w:r w:rsidR="00434A69">
        <w:t xml:space="preserve"> centrality), which is robust in the presence of missing nodes</w:t>
      </w:r>
      <w:r w:rsidR="00831733">
        <w:t>.</w:t>
      </w:r>
      <w:r w:rsidR="00434A69">
        <w:fldChar w:fldCharType="begin" w:fldLock="1"/>
      </w:r>
      <w:r w:rsidR="00053BBA">
        <w:instrText>ADDIN CSL_CITATION { "citationItems" : [ { "id" : "ITEM-1", "itemData" : { "ISBN" : "978-0-19-530101-4", "author" : [ { "dropping-particle" : "", "family" : "Valente", "given" : "TW", "non-dropping-particle" : "", "parse-names" : false, "suffix" : "" } ], "chapter-number" : "5", "container-title" : "Social Networks and Health", "id" : "ITEM-1", "issued" : { "date-parts" : [ [ "2010" ] ] }, "page" : "81-99", "publisher" : "Oxford University Press", "publisher-place" : "New York, USA", "title" : "Centrality", "type" : "chapter" }, "uris" : [ "http://www.mendeley.com/documents/?uuid=401c2b19-42ff-4d23-a64a-f1b24197b3fe" ] } ], "mendeley" : { "formattedCitation" : "&lt;sup&gt;29&lt;/sup&gt;", "plainTextFormattedCitation" : "29", "previouslyFormattedCitation" : "&lt;sup&gt;29&lt;/sup&gt;" }, "properties" : { "noteIndex" : 0 }, "schema" : "https://github.com/citation-style-language/schema/raw/master/csl-citation.json" }</w:instrText>
      </w:r>
      <w:r w:rsidR="00434A69">
        <w:fldChar w:fldCharType="separate"/>
      </w:r>
      <w:r w:rsidR="00053BBA" w:rsidRPr="00053BBA">
        <w:rPr>
          <w:noProof/>
          <w:vertAlign w:val="superscript"/>
        </w:rPr>
        <w:t>29</w:t>
      </w:r>
      <w:r w:rsidR="00434A69">
        <w:fldChar w:fldCharType="end"/>
      </w:r>
      <w:r w:rsidR="00434A69">
        <w:t xml:space="preserve"> Secondly, we assumed all injecting relationships were reciprocal, which is a recognised way of dealing with missing relationship data and thirdly, we used RDS to recruit participants to the survey.</w:t>
      </w:r>
      <w:r w:rsidR="00831733">
        <w:fldChar w:fldCharType="begin" w:fldLock="1"/>
      </w:r>
      <w:r w:rsidR="00831733">
        <w:instrText>ADDIN CSL_CITATION { "citationItems" : [ { "id" : "ITEM-1", "itemData" : { "ISBN" : "978-1-4462-4741-9", "author" : [ { "dropping-particle" : "", "family" : "Borgatti", "given" : "SP", "non-dropping-particle" : "", "parse-names" : false, "suffix" : "" }, { "dropping-particle" : "", "family" : "Everett", "given" : "Martin", "non-dropping-particle" : "", "parse-names" : false, "suffix" : "" }, { "dropping-particle" : "", "family" : "Johnson", "given" : "JC", "non-dropping-particle" : "", "parse-names" : false, "suffix" : "" } ], "chapter-number" : "10", "container-title" : "Analyzing Social Networks", "id" : "ITEM-1", "issued" : { "date-parts" : [ [ "2013" ] ] }, "page" : "163-180", "publisher" : "SAGE Publications Ltd", "publisher-place" : "London", "title" : "Centrality", "type" : "chapter" }, "uris" : [ "http://www.mendeley.com/documents/?uuid=36d1d9b2-b2c2-4196-91e3-59cb0ad21624" ] } ], "mendeley" : { "formattedCitation" : "&lt;sup&gt;30&lt;/sup&gt;", "plainTextFormattedCitation" : "30", "previouslyFormattedCitation" : "&lt;sup&gt;30&lt;/sup&gt;" }, "properties" : { "noteIndex" : 0 }, "schema" : "https://github.com/citation-style-language/schema/raw/master/csl-citation.json" }</w:instrText>
      </w:r>
      <w:r w:rsidR="00831733">
        <w:fldChar w:fldCharType="separate"/>
      </w:r>
      <w:r w:rsidR="00831733" w:rsidRPr="00053BBA">
        <w:rPr>
          <w:noProof/>
          <w:vertAlign w:val="superscript"/>
        </w:rPr>
        <w:t>30</w:t>
      </w:r>
      <w:r w:rsidR="00831733">
        <w:fldChar w:fldCharType="end"/>
      </w:r>
      <w:r w:rsidR="00434A69">
        <w:t xml:space="preserve"> By design, this method preferentially recruits central nodes and therefore mitigates some of the impact of missing nodes</w:t>
      </w:r>
      <w:r w:rsidR="005E4E1A">
        <w:t xml:space="preserve"> and the risk of missing important relationships.</w:t>
      </w:r>
    </w:p>
    <w:p w14:paraId="3E04171F" w14:textId="77777777" w:rsidR="003C1341" w:rsidRPr="00AD3814" w:rsidRDefault="003C1341" w:rsidP="00757BD9">
      <w:pPr>
        <w:spacing w:line="480" w:lineRule="auto"/>
        <w:jc w:val="both"/>
      </w:pPr>
    </w:p>
    <w:p w14:paraId="0D13D642" w14:textId="074638F2" w:rsidR="005E3573" w:rsidRPr="003E0F87" w:rsidRDefault="000917DB" w:rsidP="00757BD9">
      <w:pPr>
        <w:spacing w:line="480" w:lineRule="auto"/>
        <w:jc w:val="both"/>
      </w:pPr>
      <w:r>
        <w:t>Our simulation</w:t>
      </w:r>
      <w:r w:rsidR="007C7D96">
        <w:t xml:space="preserve"> is ba</w:t>
      </w:r>
      <w:r w:rsidR="0047455F">
        <w:t>sed on a</w:t>
      </w:r>
      <w:r w:rsidR="007C7D96">
        <w:t xml:space="preserve"> static network</w:t>
      </w:r>
      <w:r w:rsidR="00DC7748">
        <w:t xml:space="preserve"> connecting PWID via injecting relatio</w:t>
      </w:r>
      <w:r w:rsidR="00B7001F">
        <w:t xml:space="preserve">nships at a </w:t>
      </w:r>
      <w:r w:rsidR="00921BA9">
        <w:t>snapshot</w:t>
      </w:r>
      <w:r w:rsidR="00B7001F">
        <w:t xml:space="preserve"> in time</w:t>
      </w:r>
      <w:r w:rsidR="00921BA9">
        <w:t xml:space="preserve">. </w:t>
      </w:r>
      <w:r w:rsidR="003E0F87">
        <w:t>To account for this</w:t>
      </w:r>
      <w:r w:rsidR="00E01299" w:rsidRPr="003E0F87">
        <w:t xml:space="preserve"> </w:t>
      </w:r>
      <w:r w:rsidR="003E0F87">
        <w:t xml:space="preserve">we </w:t>
      </w:r>
      <w:r>
        <w:t>set</w:t>
      </w:r>
      <w:r w:rsidR="003E0F87">
        <w:t xml:space="preserve"> the time horizon for</w:t>
      </w:r>
      <w:r w:rsidR="00E01299" w:rsidRPr="003E0F87">
        <w:t xml:space="preserve"> the </w:t>
      </w:r>
      <w:r>
        <w:t>simulation</w:t>
      </w:r>
      <w:r w:rsidR="00E01299" w:rsidRPr="003E0F87">
        <w:t xml:space="preserve"> to just a single year. </w:t>
      </w:r>
      <w:r w:rsidR="003E0F87">
        <w:t>We</w:t>
      </w:r>
      <w:r w:rsidR="00E01299" w:rsidRPr="003E0F87">
        <w:t xml:space="preserve"> felt that </w:t>
      </w:r>
      <w:r w:rsidR="00840667">
        <w:t xml:space="preserve">any </w:t>
      </w:r>
      <w:r w:rsidR="00330F1B">
        <w:t xml:space="preserve">results from </w:t>
      </w:r>
      <w:r w:rsidR="00840667">
        <w:t xml:space="preserve">an </w:t>
      </w:r>
      <w:r w:rsidR="00E01299" w:rsidRPr="003E0F87">
        <w:t>extend</w:t>
      </w:r>
      <w:r w:rsidR="00840667">
        <w:t xml:space="preserve">ed </w:t>
      </w:r>
      <w:r w:rsidR="00E01299" w:rsidRPr="003E0F87">
        <w:t>model without allowing for a turnover of injecting partners and a transition of nodes into and out of</w:t>
      </w:r>
      <w:r w:rsidR="003E0F87">
        <w:t xml:space="preserve"> the net</w:t>
      </w:r>
      <w:r w:rsidR="00AD3814">
        <w:t>work could have been misleading</w:t>
      </w:r>
      <w:r w:rsidR="00E01299" w:rsidRPr="003E0F87">
        <w:t>.</w:t>
      </w:r>
      <w:r w:rsidR="00DC7748">
        <w:t xml:space="preserve"> </w:t>
      </w:r>
      <w:r w:rsidR="00153A69">
        <w:t>E</w:t>
      </w:r>
      <w:r w:rsidR="00475D07">
        <w:t xml:space="preserve">mpirical data describing network dynamics on which such assumptions could be based is </w:t>
      </w:r>
      <w:r w:rsidR="00ED4001">
        <w:t>limited</w:t>
      </w:r>
      <w:r w:rsidR="00475D07">
        <w:t xml:space="preserve"> and we would advocate further longitudinal network research to</w:t>
      </w:r>
      <w:r w:rsidR="00921BA9">
        <w:t xml:space="preserve"> describe these dynamic phenomena</w:t>
      </w:r>
      <w:r w:rsidR="000D0856">
        <w:t>.</w:t>
      </w:r>
      <w:r w:rsidR="00475D07">
        <w:t xml:space="preserve"> </w:t>
      </w:r>
      <w:r w:rsidR="00474203">
        <w:t xml:space="preserve"> However</w:t>
      </w:r>
      <w:r w:rsidR="00117500">
        <w:t>,</w:t>
      </w:r>
      <w:r w:rsidR="00474203">
        <w:t xml:space="preserve"> even in this short timeframe we observe signi</w:t>
      </w:r>
      <w:r w:rsidR="00434A69">
        <w:t>ficant effects of treating well-</w:t>
      </w:r>
      <w:r w:rsidR="00474203">
        <w:t>connected nodes.</w:t>
      </w:r>
    </w:p>
    <w:p w14:paraId="0B26BB79" w14:textId="77777777" w:rsidR="005E3573" w:rsidRDefault="005E3573" w:rsidP="00757BD9">
      <w:pPr>
        <w:spacing w:line="480" w:lineRule="auto"/>
        <w:jc w:val="both"/>
      </w:pPr>
    </w:p>
    <w:p w14:paraId="156FCB28" w14:textId="351FE5FE" w:rsidR="00136E52" w:rsidRDefault="00226C12" w:rsidP="00757BD9">
      <w:pPr>
        <w:spacing w:line="480" w:lineRule="auto"/>
        <w:jc w:val="both"/>
      </w:pPr>
      <w:r>
        <w:lastRenderedPageBreak/>
        <w:t>This</w:t>
      </w:r>
      <w:r w:rsidR="00B7001F">
        <w:t xml:space="preserve"> study </w:t>
      </w:r>
      <w:r w:rsidR="005A243E">
        <w:t>describes</w:t>
      </w:r>
      <w:r w:rsidR="006536AB">
        <w:t xml:space="preserve"> the most complete </w:t>
      </w:r>
      <w:r w:rsidR="00F8174B">
        <w:t>injecting network of PWID</w:t>
      </w:r>
      <w:r w:rsidR="006536AB">
        <w:t xml:space="preserve"> to date</w:t>
      </w:r>
      <w:r w:rsidR="000917DB">
        <w:t xml:space="preserve"> and</w:t>
      </w:r>
      <w:r w:rsidR="006536AB">
        <w:t xml:space="preserve"> we</w:t>
      </w:r>
      <w:r w:rsidR="000917DB">
        <w:t xml:space="preserve"> </w:t>
      </w:r>
      <w:r w:rsidR="000D6B5A">
        <w:t xml:space="preserve">use this network to </w:t>
      </w:r>
      <w:r w:rsidR="00F8174B">
        <w:t xml:space="preserve">test </w:t>
      </w:r>
      <w:r w:rsidR="000D6B5A">
        <w:t xml:space="preserve">the </w:t>
      </w:r>
      <w:r w:rsidR="00F8174B">
        <w:t>effect</w:t>
      </w:r>
      <w:r w:rsidR="000D6B5A">
        <w:t>s</w:t>
      </w:r>
      <w:r w:rsidR="00F8174B">
        <w:t xml:space="preserve"> of </w:t>
      </w:r>
      <w:r w:rsidR="00B7001F">
        <w:t>treatment</w:t>
      </w:r>
      <w:r w:rsidR="00F8174B">
        <w:t xml:space="preserve"> through a simulation. </w:t>
      </w:r>
      <w:r w:rsidR="00430BA9">
        <w:t xml:space="preserve">We </w:t>
      </w:r>
      <w:r w:rsidR="00430BA9" w:rsidRPr="00430BA9">
        <w:t>demonstrate</w:t>
      </w:r>
      <w:r w:rsidR="00EE7914" w:rsidRPr="00430BA9">
        <w:t xml:space="preserve"> that </w:t>
      </w:r>
      <w:r w:rsidR="003300A4" w:rsidRPr="00430BA9">
        <w:t>PWID</w:t>
      </w:r>
      <w:r w:rsidR="00153A69">
        <w:t xml:space="preserve"> on the IoW</w:t>
      </w:r>
      <w:r w:rsidR="003300A4" w:rsidRPr="00430BA9">
        <w:t xml:space="preserve"> are</w:t>
      </w:r>
      <w:r w:rsidR="00CE17AC" w:rsidRPr="00430BA9">
        <w:t xml:space="preserve"> connected via injecting relationships into</w:t>
      </w:r>
      <w:r w:rsidR="003300A4" w:rsidRPr="00430BA9">
        <w:t xml:space="preserve"> </w:t>
      </w:r>
      <w:r w:rsidR="0012421C" w:rsidRPr="00430BA9">
        <w:t>a</w:t>
      </w:r>
      <w:r w:rsidR="000D6B5A">
        <w:t xml:space="preserve"> cohesive network with a long-tailed</w:t>
      </w:r>
      <w:r w:rsidR="0012421C" w:rsidRPr="00430BA9">
        <w:t xml:space="preserve"> </w:t>
      </w:r>
      <w:r w:rsidR="000D6B5A">
        <w:t>degree distribution.</w:t>
      </w:r>
      <w:r w:rsidR="003300A4">
        <w:t xml:space="preserve"> </w:t>
      </w:r>
      <w:r w:rsidR="005A243E">
        <w:t>Importantly, i</w:t>
      </w:r>
      <w:r w:rsidR="000D6B5A">
        <w:t>n contrast to other studies we show that</w:t>
      </w:r>
      <w:r w:rsidR="003300A4">
        <w:t xml:space="preserve"> </w:t>
      </w:r>
      <w:r w:rsidR="006A1337">
        <w:t>to maxi</w:t>
      </w:r>
      <w:r w:rsidR="00840667">
        <w:t xml:space="preserve">mise </w:t>
      </w:r>
      <w:proofErr w:type="spellStart"/>
      <w:r w:rsidR="00840667">
        <w:t>TasP</w:t>
      </w:r>
      <w:proofErr w:type="spellEnd"/>
      <w:r w:rsidR="00EE7914">
        <w:t xml:space="preserve"> </w:t>
      </w:r>
      <w:r w:rsidR="00840667">
        <w:t xml:space="preserve">clinicians should target </w:t>
      </w:r>
      <w:r w:rsidR="006A1337">
        <w:t>therapy at PWID with large personal in</w:t>
      </w:r>
      <w:r w:rsidR="00C460A3">
        <w:t>j</w:t>
      </w:r>
      <w:r w:rsidR="006A1337">
        <w:t>ecting networks.</w:t>
      </w:r>
    </w:p>
    <w:p w14:paraId="0D6CE2EC" w14:textId="77777777" w:rsidR="00136E52" w:rsidRDefault="00136E52" w:rsidP="00757BD9">
      <w:pPr>
        <w:spacing w:line="480" w:lineRule="auto"/>
        <w:jc w:val="both"/>
      </w:pPr>
    </w:p>
    <w:p w14:paraId="7247D5CF" w14:textId="2C7D890C" w:rsidR="00757BD9" w:rsidRDefault="003D2293" w:rsidP="00757BD9">
      <w:pPr>
        <w:spacing w:line="480" w:lineRule="auto"/>
      </w:pPr>
      <w:r>
        <w:br w:type="page"/>
      </w:r>
    </w:p>
    <w:p w14:paraId="33358FE1" w14:textId="32E7D265" w:rsidR="00757BD9" w:rsidRDefault="00757BD9" w:rsidP="00757BD9">
      <w:pPr>
        <w:spacing w:line="480" w:lineRule="auto"/>
        <w:rPr>
          <w:b/>
          <w:u w:val="single"/>
        </w:rPr>
      </w:pPr>
      <w:r w:rsidRPr="00757BD9">
        <w:rPr>
          <w:b/>
          <w:u w:val="single"/>
        </w:rPr>
        <w:lastRenderedPageBreak/>
        <w:t>References</w:t>
      </w:r>
    </w:p>
    <w:p w14:paraId="1DCEB2BA" w14:textId="77777777" w:rsidR="00757BD9" w:rsidRDefault="00757BD9" w:rsidP="00757BD9">
      <w:pPr>
        <w:spacing w:line="480" w:lineRule="auto"/>
        <w:rPr>
          <w:b/>
          <w:u w:val="single"/>
        </w:rPr>
      </w:pPr>
    </w:p>
    <w:p w14:paraId="23AF7D40" w14:textId="7D5C681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Pr>
          <w:b/>
          <w:u w:val="single"/>
        </w:rPr>
        <w:fldChar w:fldCharType="begin" w:fldLock="1"/>
      </w:r>
      <w:r>
        <w:rPr>
          <w:b/>
          <w:u w:val="single"/>
        </w:rPr>
        <w:instrText xml:space="preserve">ADDIN Mendeley Bibliography CSL_BIBLIOGRAPHY </w:instrText>
      </w:r>
      <w:r>
        <w:rPr>
          <w:b/>
          <w:u w:val="single"/>
        </w:rPr>
        <w:fldChar w:fldCharType="separate"/>
      </w:r>
      <w:r w:rsidRPr="00757BD9">
        <w:rPr>
          <w:rFonts w:ascii="Cambria" w:hAnsi="Cambria"/>
          <w:noProof/>
          <w:lang w:val="en-US"/>
        </w:rPr>
        <w:t xml:space="preserve">1. </w:t>
      </w:r>
      <w:r w:rsidRPr="00757BD9">
        <w:rPr>
          <w:rFonts w:ascii="Cambria" w:hAnsi="Cambria"/>
          <w:noProof/>
          <w:lang w:val="en-US"/>
        </w:rPr>
        <w:tab/>
        <w:t xml:space="preserve">Foster GR, Afdhal N, Roberts SK, et al. Sofosbuvir and Velpatasvir for HCV Genotype 2 and 3 Infection. </w:t>
      </w:r>
      <w:r w:rsidRPr="00757BD9">
        <w:rPr>
          <w:rFonts w:ascii="Cambria" w:hAnsi="Cambria"/>
          <w:i/>
          <w:iCs/>
          <w:noProof/>
          <w:lang w:val="en-US"/>
        </w:rPr>
        <w:t>N Engl J Med</w:t>
      </w:r>
      <w:r w:rsidRPr="00757BD9">
        <w:rPr>
          <w:rFonts w:ascii="Cambria" w:hAnsi="Cambria"/>
          <w:noProof/>
          <w:lang w:val="en-US"/>
        </w:rPr>
        <w:t xml:space="preserve">. 2015;373(27):2608-2617. </w:t>
      </w:r>
    </w:p>
    <w:p w14:paraId="1E64B321"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 </w:t>
      </w:r>
      <w:r w:rsidRPr="00757BD9">
        <w:rPr>
          <w:rFonts w:ascii="Cambria" w:hAnsi="Cambria"/>
          <w:noProof/>
          <w:lang w:val="en-US"/>
        </w:rPr>
        <w:tab/>
        <w:t>Combating hepatitis B and C to reach elimination by 2030. 2017. http://www.who.int/hepatitis/publications/hep-elimination-by-2030-brief/en/. Accessed November 7, 2016.</w:t>
      </w:r>
    </w:p>
    <w:p w14:paraId="1838B948" w14:textId="5D1226A0"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3. </w:t>
      </w:r>
      <w:r w:rsidRPr="00757BD9">
        <w:rPr>
          <w:rFonts w:ascii="Cambria" w:hAnsi="Cambria"/>
          <w:noProof/>
          <w:lang w:val="en-US"/>
        </w:rPr>
        <w:tab/>
        <w:t xml:space="preserve">Degenhardt L, Charlson F, Stanaway J, et al. Estimating the burden of disease attributable to injecting drug use as a risk factor for HIV, hepatitis C, and hepatitis B: findings from the Global Burden of Disease Study 2013. </w:t>
      </w:r>
      <w:r w:rsidRPr="00757BD9">
        <w:rPr>
          <w:rFonts w:ascii="Cambria" w:hAnsi="Cambria"/>
          <w:i/>
          <w:iCs/>
          <w:noProof/>
          <w:lang w:val="en-US"/>
        </w:rPr>
        <w:t>Lancet Infect Dis</w:t>
      </w:r>
      <w:r w:rsidRPr="00757BD9">
        <w:rPr>
          <w:rFonts w:ascii="Cambria" w:hAnsi="Cambria"/>
          <w:noProof/>
          <w:lang w:val="en-US"/>
        </w:rPr>
        <w:t xml:space="preserve">. 2016;16(12):1385-1398. </w:t>
      </w:r>
    </w:p>
    <w:p w14:paraId="5328ACC9" w14:textId="1C60B419"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4. </w:t>
      </w:r>
      <w:r w:rsidRPr="00757BD9">
        <w:rPr>
          <w:rFonts w:ascii="Cambria" w:hAnsi="Cambria"/>
          <w:noProof/>
          <w:lang w:val="en-US"/>
        </w:rPr>
        <w:tab/>
        <w:t xml:space="preserve">Grebely J, Dalgard O, Conway B, et al. Sofosbuvir and velpatasvir for hepatitis C virus infection in people with recent injection drug use (SIMPLIFY): an open-label, single-arm, phase 4, multicentre trial. </w:t>
      </w:r>
      <w:r w:rsidRPr="00757BD9">
        <w:rPr>
          <w:rFonts w:ascii="Cambria" w:hAnsi="Cambria"/>
          <w:i/>
          <w:iCs/>
          <w:noProof/>
          <w:lang w:val="en-US"/>
        </w:rPr>
        <w:t>Lancet Gastroenterol Hepatol</w:t>
      </w:r>
      <w:r w:rsidRPr="00757BD9">
        <w:rPr>
          <w:rFonts w:ascii="Cambria" w:hAnsi="Cambria"/>
          <w:noProof/>
          <w:lang w:val="en-US"/>
        </w:rPr>
        <w:t xml:space="preserve">. 2018;3(3):153-161. </w:t>
      </w:r>
    </w:p>
    <w:p w14:paraId="5A798C9C" w14:textId="44E9F31B"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5. </w:t>
      </w:r>
      <w:r w:rsidRPr="00757BD9">
        <w:rPr>
          <w:rFonts w:ascii="Cambria" w:hAnsi="Cambria"/>
          <w:noProof/>
          <w:lang w:val="en-US"/>
        </w:rPr>
        <w:tab/>
        <w:t xml:space="preserve">Innes H, Goldberg D, Dillon J, Hutchinson SJ. Strategies for the treatment of Hepatitis C in an era of interferon-free therapies: what public health outcomes do we value most? </w:t>
      </w:r>
      <w:r w:rsidRPr="00757BD9">
        <w:rPr>
          <w:rFonts w:ascii="Cambria" w:hAnsi="Cambria"/>
          <w:i/>
          <w:iCs/>
          <w:noProof/>
          <w:lang w:val="en-US"/>
        </w:rPr>
        <w:t>Gut</w:t>
      </w:r>
      <w:r w:rsidRPr="00757BD9">
        <w:rPr>
          <w:rFonts w:ascii="Cambria" w:hAnsi="Cambria"/>
          <w:noProof/>
          <w:lang w:val="en-US"/>
        </w:rPr>
        <w:t xml:space="preserve">. 2015;64(11):1800-1809. </w:t>
      </w:r>
    </w:p>
    <w:p w14:paraId="0414249A" w14:textId="5E202C59"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6. </w:t>
      </w:r>
      <w:r w:rsidRPr="00757BD9">
        <w:rPr>
          <w:rFonts w:ascii="Cambria" w:hAnsi="Cambria"/>
          <w:noProof/>
          <w:lang w:val="en-US"/>
        </w:rPr>
        <w:tab/>
        <w:t xml:space="preserve">Martin NK, Vickerman P, Foster GR, Hutchinson SJ, Goldberg DJ, Hickman M. Can antiviral therapy for hepatitis C reduce the prevalence of HCV among injecting drug user populations? A modeling analysis of its prevention utility. </w:t>
      </w:r>
      <w:r w:rsidRPr="00757BD9">
        <w:rPr>
          <w:rFonts w:ascii="Cambria" w:hAnsi="Cambria"/>
          <w:i/>
          <w:iCs/>
          <w:noProof/>
          <w:lang w:val="en-US"/>
        </w:rPr>
        <w:t>J Hepatol</w:t>
      </w:r>
      <w:r w:rsidRPr="00757BD9">
        <w:rPr>
          <w:rFonts w:ascii="Cambria" w:hAnsi="Cambria"/>
          <w:noProof/>
          <w:lang w:val="en-US"/>
        </w:rPr>
        <w:t xml:space="preserve">. 2011;54(6):1137-1144. </w:t>
      </w:r>
    </w:p>
    <w:p w14:paraId="13CCD8F4" w14:textId="13522E7F"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7. </w:t>
      </w:r>
      <w:r w:rsidRPr="00757BD9">
        <w:rPr>
          <w:rFonts w:ascii="Cambria" w:hAnsi="Cambria"/>
          <w:noProof/>
          <w:lang w:val="en-US"/>
        </w:rPr>
        <w:tab/>
        <w:t xml:space="preserve">Cousien A, Tran VC, Deuffic-Burban S, Jauffret-Roustide M, Dhersin J-S, Yazdanpanah Y. Hepatitis C treatment as prevention of viral transmission and liver-related morbidity in persons who inject drugs. </w:t>
      </w:r>
      <w:r w:rsidRPr="00757BD9">
        <w:rPr>
          <w:rFonts w:ascii="Cambria" w:hAnsi="Cambria"/>
          <w:i/>
          <w:iCs/>
          <w:noProof/>
          <w:lang w:val="en-US"/>
        </w:rPr>
        <w:t>Hepatology</w:t>
      </w:r>
      <w:r w:rsidRPr="00757BD9">
        <w:rPr>
          <w:rFonts w:ascii="Cambria" w:hAnsi="Cambria"/>
          <w:noProof/>
          <w:lang w:val="en-US"/>
        </w:rPr>
        <w:t xml:space="preserve">. </w:t>
      </w:r>
      <w:r w:rsidRPr="00757BD9">
        <w:rPr>
          <w:rFonts w:ascii="Cambria" w:hAnsi="Cambria"/>
          <w:noProof/>
          <w:lang w:val="en-US"/>
        </w:rPr>
        <w:lastRenderedPageBreak/>
        <w:t xml:space="preserve">2016;63(4):1090-1101. </w:t>
      </w:r>
    </w:p>
    <w:p w14:paraId="34ABB42D" w14:textId="52CE81A5"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8. </w:t>
      </w:r>
      <w:r w:rsidRPr="00757BD9">
        <w:rPr>
          <w:rFonts w:ascii="Cambria" w:hAnsi="Cambria"/>
          <w:noProof/>
          <w:lang w:val="en-US"/>
        </w:rPr>
        <w:tab/>
        <w:t xml:space="preserve">Cousien A, Tran VC, Deuffic-Burban S, Jauffret-Roustide M, Dhersin J-S, Yazdanpanah Y. Dynamic modelling of hepatitis C virus transmission among people who inject drugs: a methodological review. </w:t>
      </w:r>
      <w:r w:rsidRPr="00757BD9">
        <w:rPr>
          <w:rFonts w:ascii="Cambria" w:hAnsi="Cambria"/>
          <w:i/>
          <w:iCs/>
          <w:noProof/>
          <w:lang w:val="en-US"/>
        </w:rPr>
        <w:t>J Viral Hepat</w:t>
      </w:r>
      <w:r w:rsidRPr="00757BD9">
        <w:rPr>
          <w:rFonts w:ascii="Cambria" w:hAnsi="Cambria"/>
          <w:noProof/>
          <w:lang w:val="en-US"/>
        </w:rPr>
        <w:t xml:space="preserve">. 2015;22(3):213-229. </w:t>
      </w:r>
    </w:p>
    <w:p w14:paraId="3A2BEA48"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9. </w:t>
      </w:r>
      <w:r w:rsidRPr="00757BD9">
        <w:rPr>
          <w:rFonts w:ascii="Cambria" w:hAnsi="Cambria"/>
          <w:noProof/>
          <w:lang w:val="en-US"/>
        </w:rPr>
        <w:tab/>
        <w:t xml:space="preserve">Metzig C, Surey J, Francis M, Conneely J, Abubakar I, White PJ. Impact of Hepatitis C Treatment as Prevention for People Who Inject Drugs is sensitive to contact network structure. </w:t>
      </w:r>
      <w:r w:rsidRPr="00757BD9">
        <w:rPr>
          <w:rFonts w:ascii="Cambria" w:hAnsi="Cambria"/>
          <w:i/>
          <w:iCs/>
          <w:noProof/>
          <w:lang w:val="en-US"/>
        </w:rPr>
        <w:t>Sci Rep</w:t>
      </w:r>
      <w:r w:rsidRPr="00757BD9">
        <w:rPr>
          <w:rFonts w:ascii="Cambria" w:hAnsi="Cambria"/>
          <w:noProof/>
          <w:lang w:val="en-US"/>
        </w:rPr>
        <w:t>. 2017;7(1):1833. doi:10.1038/s41598-017-01862-6.</w:t>
      </w:r>
    </w:p>
    <w:p w14:paraId="41C78E05"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10. </w:t>
      </w:r>
      <w:r w:rsidRPr="00757BD9">
        <w:rPr>
          <w:rFonts w:ascii="Cambria" w:hAnsi="Cambria"/>
          <w:noProof/>
          <w:lang w:val="en-US"/>
        </w:rPr>
        <w:tab/>
        <w:t xml:space="preserve">Rolls DA, Sacks-Davis R, Jenkinson R, et al. Hepatitis C Transmission and Treatment in Contact Networks of People Who Inject Drugs. Noymer A, ed. </w:t>
      </w:r>
      <w:r w:rsidRPr="00757BD9">
        <w:rPr>
          <w:rFonts w:ascii="Cambria" w:hAnsi="Cambria"/>
          <w:i/>
          <w:iCs/>
          <w:noProof/>
          <w:lang w:val="en-US"/>
        </w:rPr>
        <w:t>PLoS One</w:t>
      </w:r>
      <w:r w:rsidRPr="00757BD9">
        <w:rPr>
          <w:rFonts w:ascii="Cambria" w:hAnsi="Cambria"/>
          <w:noProof/>
          <w:lang w:val="en-US"/>
        </w:rPr>
        <w:t>. 2013;8(11):e78286. doi:10.1371/journal.pone.0078286.</w:t>
      </w:r>
    </w:p>
    <w:p w14:paraId="1FA022B2" w14:textId="13DE0176"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11. </w:t>
      </w:r>
      <w:r w:rsidRPr="00757BD9">
        <w:rPr>
          <w:rFonts w:ascii="Cambria" w:hAnsi="Cambria"/>
          <w:noProof/>
          <w:lang w:val="en-US"/>
        </w:rPr>
        <w:tab/>
        <w:t xml:space="preserve">Zelenev A, Li J, Mazhnaya A, Basu S, Altice FL. Hepatitis C virus treatment as prevention in an extended network of people who inject drugs in the USA: a modelling study. </w:t>
      </w:r>
      <w:r w:rsidRPr="00757BD9">
        <w:rPr>
          <w:rFonts w:ascii="Cambria" w:hAnsi="Cambria"/>
          <w:i/>
          <w:iCs/>
          <w:noProof/>
          <w:lang w:val="en-US"/>
        </w:rPr>
        <w:t>Lancet Infect Dis</w:t>
      </w:r>
      <w:r w:rsidRPr="00757BD9">
        <w:rPr>
          <w:rFonts w:ascii="Cambria" w:hAnsi="Cambria"/>
          <w:noProof/>
          <w:lang w:val="en-US"/>
        </w:rPr>
        <w:t>. 2018;18(2):215-224.</w:t>
      </w:r>
    </w:p>
    <w:p w14:paraId="5D5FC813" w14:textId="47CC2EBF"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12. </w:t>
      </w:r>
      <w:r w:rsidRPr="00757BD9">
        <w:rPr>
          <w:rFonts w:ascii="Cambria" w:hAnsi="Cambria"/>
          <w:noProof/>
          <w:lang w:val="en-US"/>
        </w:rPr>
        <w:tab/>
        <w:t xml:space="preserve">Rolls DA, Daraganova G, Sacks-Davis R, et al. Modelling hepatitis C transmission over a social network of injecting drug users. </w:t>
      </w:r>
      <w:r w:rsidRPr="00757BD9">
        <w:rPr>
          <w:rFonts w:ascii="Cambria" w:hAnsi="Cambria"/>
          <w:i/>
          <w:iCs/>
          <w:noProof/>
          <w:lang w:val="en-US"/>
        </w:rPr>
        <w:t>J Theor Biol</w:t>
      </w:r>
      <w:r w:rsidRPr="00757BD9">
        <w:rPr>
          <w:rFonts w:ascii="Cambria" w:hAnsi="Cambria"/>
          <w:noProof/>
          <w:lang w:val="en-US"/>
        </w:rPr>
        <w:t xml:space="preserve">. 2012;297:73-87. </w:t>
      </w:r>
    </w:p>
    <w:p w14:paraId="3E8B70B2" w14:textId="10EB1711"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13. </w:t>
      </w:r>
      <w:r w:rsidRPr="00757BD9">
        <w:rPr>
          <w:rFonts w:ascii="Cambria" w:hAnsi="Cambria"/>
          <w:noProof/>
          <w:lang w:val="en-US"/>
        </w:rPr>
        <w:tab/>
        <w:t xml:space="preserve">Hellard M, Rolls DA, Sacks-Davis R, et al. The impact of injecting networks on hepatitis C transmission and treatment in people who inject drugs. </w:t>
      </w:r>
      <w:r w:rsidRPr="00757BD9">
        <w:rPr>
          <w:rFonts w:ascii="Cambria" w:hAnsi="Cambria"/>
          <w:i/>
          <w:iCs/>
          <w:noProof/>
          <w:lang w:val="en-US"/>
        </w:rPr>
        <w:t>Hepatology</w:t>
      </w:r>
      <w:r w:rsidR="00D34D58">
        <w:rPr>
          <w:rFonts w:ascii="Cambria" w:hAnsi="Cambria"/>
          <w:noProof/>
          <w:lang w:val="en-US"/>
        </w:rPr>
        <w:t>. 2014;60(6):</w:t>
      </w:r>
      <w:r w:rsidRPr="00757BD9">
        <w:rPr>
          <w:rFonts w:ascii="Cambria" w:hAnsi="Cambria"/>
          <w:noProof/>
          <w:lang w:val="en-US"/>
        </w:rPr>
        <w:t xml:space="preserve"> </w:t>
      </w:r>
      <w:r w:rsidR="00D34D58">
        <w:rPr>
          <w:rFonts w:ascii="Cambria" w:hAnsi="Cambria"/>
          <w:noProof/>
          <w:lang w:val="en-US"/>
        </w:rPr>
        <w:t>1861-1870.</w:t>
      </w:r>
    </w:p>
    <w:p w14:paraId="066F36CE" w14:textId="35E45B78"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14. </w:t>
      </w:r>
      <w:r w:rsidRPr="00757BD9">
        <w:rPr>
          <w:rFonts w:ascii="Cambria" w:hAnsi="Cambria"/>
          <w:noProof/>
          <w:lang w:val="en-US"/>
        </w:rPr>
        <w:tab/>
        <w:t xml:space="preserve">White R, Hakim A, Salganik M, et al. Strengthening the Reporting of Observational Studies in Epidemiology for respondent-driven sampling studies: “STROBE-RDS” statement. </w:t>
      </w:r>
      <w:r w:rsidRPr="00757BD9">
        <w:rPr>
          <w:rFonts w:ascii="Cambria" w:hAnsi="Cambria"/>
          <w:i/>
          <w:iCs/>
          <w:noProof/>
          <w:lang w:val="en-US"/>
        </w:rPr>
        <w:t>J Clin Epidemiol</w:t>
      </w:r>
      <w:r w:rsidRPr="00757BD9">
        <w:rPr>
          <w:rFonts w:ascii="Cambria" w:hAnsi="Cambria"/>
          <w:noProof/>
          <w:lang w:val="en-US"/>
        </w:rPr>
        <w:t>. 2015;68(12):1463-1471.</w:t>
      </w:r>
    </w:p>
    <w:p w14:paraId="73964404" w14:textId="1495D66D"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lastRenderedPageBreak/>
        <w:t xml:space="preserve">15. </w:t>
      </w:r>
      <w:r w:rsidRPr="00757BD9">
        <w:rPr>
          <w:rFonts w:ascii="Cambria" w:hAnsi="Cambria"/>
          <w:noProof/>
          <w:lang w:val="en-US"/>
        </w:rPr>
        <w:tab/>
        <w:t xml:space="preserve">Wald A. Triangulation and validity of network data. In: Dominguez S, Hollstein B, eds. </w:t>
      </w:r>
      <w:r w:rsidRPr="00757BD9">
        <w:rPr>
          <w:rFonts w:ascii="Cambria" w:hAnsi="Cambria"/>
          <w:i/>
          <w:iCs/>
          <w:noProof/>
          <w:lang w:val="en-US"/>
        </w:rPr>
        <w:t>Mixed Methods Social Networks Research</w:t>
      </w:r>
      <w:r w:rsidRPr="00757BD9">
        <w:rPr>
          <w:rFonts w:ascii="Cambria" w:hAnsi="Cambria"/>
          <w:noProof/>
          <w:lang w:val="en-US"/>
        </w:rPr>
        <w:t>. 1st Editio</w:t>
      </w:r>
      <w:r w:rsidR="00D34D58">
        <w:rPr>
          <w:rFonts w:ascii="Cambria" w:hAnsi="Cambria"/>
          <w:noProof/>
          <w:lang w:val="en-US"/>
        </w:rPr>
        <w:t>n</w:t>
      </w:r>
      <w:r w:rsidRPr="00757BD9">
        <w:rPr>
          <w:rFonts w:ascii="Cambria" w:hAnsi="Cambria"/>
          <w:noProof/>
          <w:lang w:val="en-US"/>
        </w:rPr>
        <w:t>. New York: Cambridge University Press; 2014:65-83.</w:t>
      </w:r>
    </w:p>
    <w:p w14:paraId="66BC3CB8"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16. </w:t>
      </w:r>
      <w:r w:rsidRPr="00757BD9">
        <w:rPr>
          <w:rFonts w:ascii="Cambria" w:hAnsi="Cambria"/>
          <w:noProof/>
          <w:lang w:val="en-US"/>
        </w:rPr>
        <w:tab/>
        <w:t xml:space="preserve">Klovdahl AS, Potterat JJ, Woodhouse DE, Muth JB, Muth SQ, Darrow WW. Social networks and infectious disease: the Colorado Springs Study. </w:t>
      </w:r>
      <w:r w:rsidRPr="00757BD9">
        <w:rPr>
          <w:rFonts w:ascii="Cambria" w:hAnsi="Cambria"/>
          <w:i/>
          <w:iCs/>
          <w:noProof/>
          <w:lang w:val="en-US"/>
        </w:rPr>
        <w:t>Soc Sci Med</w:t>
      </w:r>
      <w:r w:rsidRPr="00757BD9">
        <w:rPr>
          <w:rFonts w:ascii="Cambria" w:hAnsi="Cambria"/>
          <w:noProof/>
          <w:lang w:val="en-US"/>
        </w:rPr>
        <w:t>. 1994;38(1):79-88.</w:t>
      </w:r>
    </w:p>
    <w:p w14:paraId="5E725501" w14:textId="2F930F31"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17. </w:t>
      </w:r>
      <w:r w:rsidRPr="00757BD9">
        <w:rPr>
          <w:rFonts w:ascii="Cambria" w:hAnsi="Cambria"/>
          <w:noProof/>
          <w:lang w:val="en-US"/>
        </w:rPr>
        <w:tab/>
        <w:t>DRIG Guidance Module: Example questionnaire for bio-behavioural surveys in people who inject drugs. 2014. http://www.emcdda.europa.eu/attachements.cfm/att_220261_EN_DRID_module_example_questionnaire_27012014.pdf.</w:t>
      </w:r>
      <w:r w:rsidR="00D34D58">
        <w:rPr>
          <w:rFonts w:ascii="Cambria" w:hAnsi="Cambria"/>
          <w:noProof/>
          <w:lang w:val="en-US"/>
        </w:rPr>
        <w:t xml:space="preserve">  Accessed November 4</w:t>
      </w:r>
      <w:r w:rsidR="00D34D58" w:rsidRPr="00D34D58">
        <w:rPr>
          <w:rFonts w:ascii="Cambria" w:hAnsi="Cambria"/>
          <w:noProof/>
          <w:vertAlign w:val="superscript"/>
          <w:lang w:val="en-US"/>
        </w:rPr>
        <w:t>th</w:t>
      </w:r>
      <w:r w:rsidR="00D34D58">
        <w:rPr>
          <w:rFonts w:ascii="Cambria" w:hAnsi="Cambria"/>
          <w:noProof/>
          <w:lang w:val="en-US"/>
        </w:rPr>
        <w:t xml:space="preserve"> 2015.</w:t>
      </w:r>
    </w:p>
    <w:p w14:paraId="6333F25C" w14:textId="37BA889E"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18. </w:t>
      </w:r>
      <w:r w:rsidRPr="00757BD9">
        <w:rPr>
          <w:rFonts w:ascii="Cambria" w:hAnsi="Cambria"/>
          <w:noProof/>
          <w:lang w:val="en-US"/>
        </w:rPr>
        <w:tab/>
        <w:t xml:space="preserve">Cha YJ, Park Q, Kang E-S, et al. Performance evaluation of the OraQuick hepatitis C virus rapid antibody test. </w:t>
      </w:r>
      <w:r w:rsidRPr="00757BD9">
        <w:rPr>
          <w:rFonts w:ascii="Cambria" w:hAnsi="Cambria"/>
          <w:i/>
          <w:iCs/>
          <w:noProof/>
          <w:lang w:val="en-US"/>
        </w:rPr>
        <w:t>Ann Lab Med</w:t>
      </w:r>
      <w:r w:rsidRPr="00757BD9">
        <w:rPr>
          <w:rFonts w:ascii="Cambria" w:hAnsi="Cambria"/>
          <w:noProof/>
          <w:lang w:val="en-US"/>
        </w:rPr>
        <w:t xml:space="preserve">. 2013;33(3):184-189. </w:t>
      </w:r>
    </w:p>
    <w:p w14:paraId="5AE59BF2"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19. </w:t>
      </w:r>
      <w:r w:rsidRPr="00757BD9">
        <w:rPr>
          <w:rFonts w:ascii="Cambria" w:hAnsi="Cambria"/>
          <w:noProof/>
          <w:lang w:val="en-US"/>
        </w:rPr>
        <w:tab/>
        <w:t>Borgatti SP, Everett M, Freeman LC. Ucinet for window: Software for social networks analysis. 2002.</w:t>
      </w:r>
    </w:p>
    <w:p w14:paraId="359C7BAA"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20. </w:t>
      </w:r>
      <w:r w:rsidRPr="00757BD9">
        <w:rPr>
          <w:rFonts w:ascii="Cambria" w:hAnsi="Cambria"/>
          <w:noProof/>
          <w:lang w:val="en-US"/>
        </w:rPr>
        <w:tab/>
        <w:t>Borgatti S. NetDraw Software for Network Visualisation. 2002.</w:t>
      </w:r>
    </w:p>
    <w:p w14:paraId="4F41000C" w14:textId="0A17E99F"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21. </w:t>
      </w:r>
      <w:r w:rsidRPr="00757BD9">
        <w:rPr>
          <w:rFonts w:ascii="Cambria" w:hAnsi="Cambria"/>
          <w:noProof/>
          <w:lang w:val="en-US"/>
        </w:rPr>
        <w:tab/>
        <w:t xml:space="preserve">ErdÕs P, Rényi A. On evolution of random graphs. </w:t>
      </w:r>
      <w:r w:rsidRPr="00757BD9">
        <w:rPr>
          <w:rFonts w:ascii="Cambria" w:hAnsi="Cambria"/>
          <w:i/>
          <w:iCs/>
          <w:noProof/>
          <w:lang w:val="en-US"/>
        </w:rPr>
        <w:t>Publ Math Inst Hungarian Acad Sci</w:t>
      </w:r>
      <w:r w:rsidRPr="00757BD9">
        <w:rPr>
          <w:rFonts w:ascii="Cambria" w:hAnsi="Cambria"/>
          <w:noProof/>
          <w:lang w:val="en-US"/>
        </w:rPr>
        <w:t xml:space="preserve">. 1960;(5):17-61. </w:t>
      </w:r>
    </w:p>
    <w:p w14:paraId="0BABBDA8" w14:textId="526A3288"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22. </w:t>
      </w:r>
      <w:r w:rsidRPr="00757BD9">
        <w:rPr>
          <w:rFonts w:ascii="Cambria" w:hAnsi="Cambria"/>
          <w:noProof/>
          <w:lang w:val="en-US"/>
        </w:rPr>
        <w:tab/>
        <w:t xml:space="preserve">Hahn JA, Wylie D, Dill J, et al. Potential impact of vaccination on the hepatitis C virus epidemic in injection drug users. </w:t>
      </w:r>
      <w:r w:rsidRPr="00757BD9">
        <w:rPr>
          <w:rFonts w:ascii="Cambria" w:hAnsi="Cambria"/>
          <w:i/>
          <w:iCs/>
          <w:noProof/>
          <w:lang w:val="en-US"/>
        </w:rPr>
        <w:t>Epidemics</w:t>
      </w:r>
      <w:r w:rsidRPr="00757BD9">
        <w:rPr>
          <w:rFonts w:ascii="Cambria" w:hAnsi="Cambria"/>
          <w:noProof/>
          <w:lang w:val="en-US"/>
        </w:rPr>
        <w:t xml:space="preserve">. 2009;1(1):47-57. </w:t>
      </w:r>
    </w:p>
    <w:p w14:paraId="56977BB8" w14:textId="4F2166F8"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23. </w:t>
      </w:r>
      <w:r w:rsidRPr="00757BD9">
        <w:rPr>
          <w:rFonts w:ascii="Cambria" w:hAnsi="Cambria"/>
          <w:noProof/>
          <w:lang w:val="en-US"/>
        </w:rPr>
        <w:tab/>
        <w:t xml:space="preserve">White IR, Royston P, Wood AM. Multiple imputation using chained equations: Issues and guidance for practice. </w:t>
      </w:r>
      <w:r w:rsidRPr="00757BD9">
        <w:rPr>
          <w:rFonts w:ascii="Cambria" w:hAnsi="Cambria"/>
          <w:i/>
          <w:iCs/>
          <w:noProof/>
          <w:lang w:val="en-US"/>
        </w:rPr>
        <w:t>Stat Med</w:t>
      </w:r>
      <w:r w:rsidRPr="00757BD9">
        <w:rPr>
          <w:rFonts w:ascii="Cambria" w:hAnsi="Cambria"/>
          <w:noProof/>
          <w:lang w:val="en-US"/>
        </w:rPr>
        <w:t xml:space="preserve">. 2011;30(4):377-399. </w:t>
      </w:r>
    </w:p>
    <w:p w14:paraId="0C7229B3" w14:textId="4F781095"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24. </w:t>
      </w:r>
      <w:r w:rsidRPr="00757BD9">
        <w:rPr>
          <w:rFonts w:ascii="Cambria" w:hAnsi="Cambria"/>
          <w:noProof/>
          <w:lang w:val="en-US"/>
        </w:rPr>
        <w:tab/>
        <w:t xml:space="preserve">Rolls DA, Wang P, Jenkinson R, et al. Modelling a disease-relevant contact </w:t>
      </w:r>
      <w:r w:rsidRPr="00757BD9">
        <w:rPr>
          <w:rFonts w:ascii="Cambria" w:hAnsi="Cambria"/>
          <w:noProof/>
          <w:lang w:val="en-US"/>
        </w:rPr>
        <w:lastRenderedPageBreak/>
        <w:t xml:space="preserve">network of people who inject drugs. </w:t>
      </w:r>
      <w:r w:rsidRPr="00757BD9">
        <w:rPr>
          <w:rFonts w:ascii="Cambria" w:hAnsi="Cambria"/>
          <w:i/>
          <w:iCs/>
          <w:noProof/>
          <w:lang w:val="en-US"/>
        </w:rPr>
        <w:t>Soc Networks</w:t>
      </w:r>
      <w:r w:rsidRPr="00757BD9">
        <w:rPr>
          <w:rFonts w:ascii="Cambria" w:hAnsi="Cambria"/>
          <w:noProof/>
          <w:lang w:val="en-US"/>
        </w:rPr>
        <w:t xml:space="preserve">. 2013;35(4):699-710. </w:t>
      </w:r>
    </w:p>
    <w:p w14:paraId="12B66211" w14:textId="4C2111D3"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25. </w:t>
      </w:r>
      <w:r w:rsidRPr="00757BD9">
        <w:rPr>
          <w:rFonts w:ascii="Cambria" w:hAnsi="Cambria"/>
          <w:noProof/>
          <w:lang w:val="en-US"/>
        </w:rPr>
        <w:tab/>
        <w:t xml:space="preserve">Albert R, Jeong H, Barabási A-L. Error and attack tolerance of complex networks. </w:t>
      </w:r>
      <w:r w:rsidRPr="00757BD9">
        <w:rPr>
          <w:rFonts w:ascii="Cambria" w:hAnsi="Cambria"/>
          <w:i/>
          <w:iCs/>
          <w:noProof/>
          <w:lang w:val="en-US"/>
        </w:rPr>
        <w:t>Nature</w:t>
      </w:r>
      <w:r w:rsidRPr="00757BD9">
        <w:rPr>
          <w:rFonts w:ascii="Cambria" w:hAnsi="Cambria"/>
          <w:noProof/>
          <w:lang w:val="en-US"/>
        </w:rPr>
        <w:t xml:space="preserve">. 2000;406(6794):378-382. </w:t>
      </w:r>
    </w:p>
    <w:p w14:paraId="79DCD5D4" w14:textId="2BB5A27F"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26. </w:t>
      </w:r>
      <w:r w:rsidRPr="00757BD9">
        <w:rPr>
          <w:rFonts w:ascii="Cambria" w:hAnsi="Cambria"/>
          <w:noProof/>
          <w:lang w:val="en-US"/>
        </w:rPr>
        <w:tab/>
        <w:t xml:space="preserve">Hope VD, Hickman M, Ngui SL, et al. Measuring the incidence, prevalence and genetic relatedness of hepatitis C infections among a community recruited sample of injecting. </w:t>
      </w:r>
      <w:r w:rsidRPr="00757BD9">
        <w:rPr>
          <w:rFonts w:ascii="Cambria" w:hAnsi="Cambria"/>
          <w:i/>
          <w:iCs/>
          <w:noProof/>
          <w:lang w:val="en-US"/>
        </w:rPr>
        <w:t>J Viral Hepat</w:t>
      </w:r>
      <w:r w:rsidRPr="00757BD9">
        <w:rPr>
          <w:rFonts w:ascii="Cambria" w:hAnsi="Cambria"/>
          <w:noProof/>
          <w:lang w:val="en-US"/>
        </w:rPr>
        <w:t xml:space="preserve">. 2011;18(4):262-270. </w:t>
      </w:r>
    </w:p>
    <w:p w14:paraId="280413F0"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27. </w:t>
      </w:r>
      <w:r w:rsidRPr="00757BD9">
        <w:rPr>
          <w:rFonts w:ascii="Cambria" w:hAnsi="Cambria"/>
          <w:noProof/>
          <w:lang w:val="en-US"/>
        </w:rPr>
        <w:tab/>
        <w:t>Hepatitis C in the UK. 2016. https://www.gov.uk/government/uploads/system/uploads/attachment_data/file/538321/hpr2316_uampwid.pdf. Accessed September 20, 2016.</w:t>
      </w:r>
    </w:p>
    <w:p w14:paraId="3F7DA3A5" w14:textId="7227A99E"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28. </w:t>
      </w:r>
      <w:r w:rsidRPr="00757BD9">
        <w:rPr>
          <w:rFonts w:ascii="Cambria" w:hAnsi="Cambria"/>
          <w:noProof/>
          <w:lang w:val="en-US"/>
        </w:rPr>
        <w:tab/>
        <w:t xml:space="preserve">Young AM, Jonas AB, Havens JR. Social networks and HCV viraemia in anti-HCV-positive rural drug users. </w:t>
      </w:r>
      <w:r w:rsidRPr="00757BD9">
        <w:rPr>
          <w:rFonts w:ascii="Cambria" w:hAnsi="Cambria"/>
          <w:i/>
          <w:iCs/>
          <w:noProof/>
          <w:lang w:val="en-US"/>
        </w:rPr>
        <w:t>Epidemiol Infect</w:t>
      </w:r>
      <w:r w:rsidRPr="00757BD9">
        <w:rPr>
          <w:rFonts w:ascii="Cambria" w:hAnsi="Cambria"/>
          <w:noProof/>
          <w:lang w:val="en-US"/>
        </w:rPr>
        <w:t xml:space="preserve">. 2013;141(2):402-411. </w:t>
      </w:r>
    </w:p>
    <w:p w14:paraId="51FBD964"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lang w:val="en-US"/>
        </w:rPr>
      </w:pPr>
      <w:r w:rsidRPr="00757BD9">
        <w:rPr>
          <w:rFonts w:ascii="Cambria" w:hAnsi="Cambria"/>
          <w:noProof/>
          <w:lang w:val="en-US"/>
        </w:rPr>
        <w:t xml:space="preserve">29. </w:t>
      </w:r>
      <w:r w:rsidRPr="00757BD9">
        <w:rPr>
          <w:rFonts w:ascii="Cambria" w:hAnsi="Cambria"/>
          <w:noProof/>
          <w:lang w:val="en-US"/>
        </w:rPr>
        <w:tab/>
        <w:t xml:space="preserve">Valente T. Centrality. In: </w:t>
      </w:r>
      <w:r w:rsidRPr="00757BD9">
        <w:rPr>
          <w:rFonts w:ascii="Cambria" w:hAnsi="Cambria"/>
          <w:i/>
          <w:iCs/>
          <w:noProof/>
          <w:lang w:val="en-US"/>
        </w:rPr>
        <w:t>Social Networks and Health</w:t>
      </w:r>
      <w:r w:rsidRPr="00757BD9">
        <w:rPr>
          <w:rFonts w:ascii="Cambria" w:hAnsi="Cambria"/>
          <w:noProof/>
          <w:lang w:val="en-US"/>
        </w:rPr>
        <w:t>. New York, USA: Oxford University Press; 2010:81-99.</w:t>
      </w:r>
    </w:p>
    <w:p w14:paraId="45CFB31C" w14:textId="77777777" w:rsidR="00757BD9" w:rsidRPr="00757BD9" w:rsidRDefault="00757BD9" w:rsidP="00757BD9">
      <w:pPr>
        <w:widowControl w:val="0"/>
        <w:autoSpaceDE w:val="0"/>
        <w:autoSpaceDN w:val="0"/>
        <w:adjustRightInd w:val="0"/>
        <w:spacing w:line="480" w:lineRule="auto"/>
        <w:ind w:left="640" w:hanging="640"/>
        <w:rPr>
          <w:rFonts w:ascii="Cambria" w:hAnsi="Cambria"/>
          <w:noProof/>
        </w:rPr>
      </w:pPr>
      <w:r w:rsidRPr="00757BD9">
        <w:rPr>
          <w:rFonts w:ascii="Cambria" w:hAnsi="Cambria"/>
          <w:noProof/>
          <w:lang w:val="en-US"/>
        </w:rPr>
        <w:t xml:space="preserve">30. </w:t>
      </w:r>
      <w:r w:rsidRPr="00757BD9">
        <w:rPr>
          <w:rFonts w:ascii="Cambria" w:hAnsi="Cambria"/>
          <w:noProof/>
          <w:lang w:val="en-US"/>
        </w:rPr>
        <w:tab/>
        <w:t xml:space="preserve">Borgatti S, Everett M, Johnson J. Centrality. In: </w:t>
      </w:r>
      <w:r w:rsidRPr="00757BD9">
        <w:rPr>
          <w:rFonts w:ascii="Cambria" w:hAnsi="Cambria"/>
          <w:i/>
          <w:iCs/>
          <w:noProof/>
          <w:lang w:val="en-US"/>
        </w:rPr>
        <w:t>Analyzing Social Networks</w:t>
      </w:r>
      <w:r w:rsidRPr="00757BD9">
        <w:rPr>
          <w:rFonts w:ascii="Cambria" w:hAnsi="Cambria"/>
          <w:noProof/>
          <w:lang w:val="en-US"/>
        </w:rPr>
        <w:t>. London: SAGE Publications Ltd; 2013:163-180.</w:t>
      </w:r>
    </w:p>
    <w:p w14:paraId="68E11425" w14:textId="098A2642" w:rsidR="00757BD9" w:rsidRPr="00353CE2" w:rsidRDefault="00757BD9" w:rsidP="00353CE2">
      <w:pPr>
        <w:spacing w:line="480" w:lineRule="auto"/>
        <w:rPr>
          <w:b/>
          <w:u w:val="single"/>
        </w:rPr>
      </w:pPr>
      <w:r>
        <w:rPr>
          <w:b/>
          <w:u w:val="single"/>
        </w:rPr>
        <w:fldChar w:fldCharType="end"/>
      </w:r>
    </w:p>
    <w:p w14:paraId="64F15F06" w14:textId="77777777" w:rsidR="00D34D58" w:rsidRDefault="00D34D58">
      <w:pPr>
        <w:rPr>
          <w:rFonts w:eastAsia="Times New Roman" w:cs="Times New Roman"/>
          <w:b/>
        </w:rPr>
      </w:pPr>
      <w:r>
        <w:rPr>
          <w:b/>
        </w:rPr>
        <w:br w:type="page"/>
      </w:r>
    </w:p>
    <w:p w14:paraId="409926C5" w14:textId="76A2F72D" w:rsidR="00757BD9" w:rsidRPr="00353CE2" w:rsidRDefault="00757BD9" w:rsidP="00757BD9">
      <w:pPr>
        <w:pStyle w:val="Table"/>
        <w:spacing w:line="360" w:lineRule="auto"/>
        <w:jc w:val="both"/>
        <w:rPr>
          <w:rFonts w:asciiTheme="minorHAnsi" w:hAnsiTheme="minorHAnsi"/>
          <w:b/>
          <w:sz w:val="24"/>
          <w:szCs w:val="24"/>
        </w:rPr>
      </w:pPr>
      <w:r w:rsidRPr="00353CE2">
        <w:rPr>
          <w:rFonts w:asciiTheme="minorHAnsi" w:hAnsiTheme="minorHAnsi"/>
          <w:b/>
          <w:sz w:val="24"/>
          <w:szCs w:val="24"/>
        </w:rPr>
        <w:lastRenderedPageBreak/>
        <w:t xml:space="preserve">Table 1 </w:t>
      </w:r>
    </w:p>
    <w:p w14:paraId="4E7135CC" w14:textId="723CF57A" w:rsidR="00757BD9" w:rsidRPr="00353CE2" w:rsidRDefault="00757BD9" w:rsidP="00757BD9">
      <w:pPr>
        <w:pStyle w:val="Table"/>
        <w:spacing w:line="360" w:lineRule="auto"/>
        <w:jc w:val="both"/>
        <w:rPr>
          <w:rFonts w:asciiTheme="minorHAnsi" w:hAnsiTheme="minorHAnsi"/>
          <w:sz w:val="24"/>
          <w:szCs w:val="24"/>
        </w:rPr>
      </w:pPr>
      <w:r w:rsidRPr="00353CE2">
        <w:rPr>
          <w:rFonts w:asciiTheme="minorHAnsi" w:hAnsiTheme="minorHAnsi"/>
          <w:sz w:val="24"/>
          <w:szCs w:val="24"/>
        </w:rPr>
        <w:t xml:space="preserve">Transition </w:t>
      </w:r>
      <w:r w:rsidR="005A243E">
        <w:rPr>
          <w:rFonts w:asciiTheme="minorHAnsi" w:hAnsiTheme="minorHAnsi"/>
          <w:sz w:val="24"/>
          <w:szCs w:val="24"/>
        </w:rPr>
        <w:t>probabilities used in the agent-</w:t>
      </w:r>
      <w:r w:rsidRPr="00353CE2">
        <w:rPr>
          <w:rFonts w:asciiTheme="minorHAnsi" w:hAnsiTheme="minorHAnsi"/>
          <w:sz w:val="24"/>
          <w:szCs w:val="24"/>
        </w:rPr>
        <w:t>based simulation of Hepatitis C transmission and treatment in people who inject drugs on the Isle of Wight.</w:t>
      </w:r>
    </w:p>
    <w:tbl>
      <w:tblPr>
        <w:tblW w:w="7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298"/>
        <w:gridCol w:w="2112"/>
        <w:gridCol w:w="2693"/>
        <w:gridCol w:w="1985"/>
        <w:gridCol w:w="567"/>
      </w:tblGrid>
      <w:tr w:rsidR="00757BD9" w:rsidRPr="00580004" w14:paraId="6917A653" w14:textId="77777777" w:rsidTr="00757BD9">
        <w:trPr>
          <w:trHeight w:val="620"/>
        </w:trPr>
        <w:tc>
          <w:tcPr>
            <w:tcW w:w="298" w:type="dxa"/>
            <w:shd w:val="clear" w:color="auto" w:fill="auto"/>
            <w:hideMark/>
          </w:tcPr>
          <w:p w14:paraId="6829B1F7" w14:textId="77777777" w:rsidR="00757BD9" w:rsidRPr="00580004" w:rsidRDefault="00757BD9" w:rsidP="00757BD9">
            <w:pPr>
              <w:rPr>
                <w:sz w:val="20"/>
                <w:szCs w:val="20"/>
              </w:rPr>
            </w:pPr>
            <w:r w:rsidRPr="00580004">
              <w:rPr>
                <w:sz w:val="20"/>
                <w:szCs w:val="20"/>
              </w:rPr>
              <w:t> </w:t>
            </w:r>
          </w:p>
        </w:tc>
        <w:tc>
          <w:tcPr>
            <w:tcW w:w="2112" w:type="dxa"/>
            <w:shd w:val="clear" w:color="auto" w:fill="auto"/>
            <w:vAlign w:val="center"/>
            <w:hideMark/>
          </w:tcPr>
          <w:p w14:paraId="229D4F49" w14:textId="77777777" w:rsidR="00757BD9" w:rsidRPr="00580004" w:rsidRDefault="00757BD9" w:rsidP="00757BD9">
            <w:pPr>
              <w:rPr>
                <w:sz w:val="20"/>
                <w:szCs w:val="20"/>
              </w:rPr>
            </w:pPr>
            <w:r w:rsidRPr="00580004">
              <w:rPr>
                <w:sz w:val="20"/>
                <w:szCs w:val="20"/>
              </w:rPr>
              <w:t>Parameter</w:t>
            </w:r>
          </w:p>
        </w:tc>
        <w:tc>
          <w:tcPr>
            <w:tcW w:w="2693" w:type="dxa"/>
            <w:shd w:val="clear" w:color="auto" w:fill="auto"/>
            <w:vAlign w:val="center"/>
            <w:hideMark/>
          </w:tcPr>
          <w:p w14:paraId="07F77558" w14:textId="77777777" w:rsidR="00757BD9" w:rsidRPr="00580004" w:rsidRDefault="00757BD9" w:rsidP="00757BD9">
            <w:pPr>
              <w:rPr>
                <w:sz w:val="20"/>
                <w:szCs w:val="20"/>
              </w:rPr>
            </w:pPr>
            <w:r w:rsidRPr="00580004">
              <w:rPr>
                <w:sz w:val="20"/>
                <w:szCs w:val="20"/>
              </w:rPr>
              <w:t xml:space="preserve">Transition </w:t>
            </w:r>
          </w:p>
          <w:p w14:paraId="3B5D71EF" w14:textId="7CEF5527" w:rsidR="00757BD9" w:rsidRPr="00580004" w:rsidRDefault="005A243E" w:rsidP="00757BD9">
            <w:pPr>
              <w:rPr>
                <w:sz w:val="20"/>
                <w:szCs w:val="20"/>
              </w:rPr>
            </w:pPr>
            <w:r>
              <w:rPr>
                <w:sz w:val="20"/>
                <w:szCs w:val="20"/>
              </w:rPr>
              <w:t>(95% c</w:t>
            </w:r>
            <w:r w:rsidR="00757BD9">
              <w:rPr>
                <w:sz w:val="20"/>
                <w:szCs w:val="20"/>
              </w:rPr>
              <w:t xml:space="preserve">onfidence </w:t>
            </w:r>
            <w:r>
              <w:rPr>
                <w:sz w:val="20"/>
                <w:szCs w:val="20"/>
              </w:rPr>
              <w:t>i</w:t>
            </w:r>
            <w:r w:rsidR="00757BD9">
              <w:rPr>
                <w:sz w:val="20"/>
                <w:szCs w:val="20"/>
              </w:rPr>
              <w:t>nterval</w:t>
            </w:r>
            <w:r w:rsidR="00757BD9" w:rsidRPr="00580004">
              <w:rPr>
                <w:sz w:val="20"/>
                <w:szCs w:val="20"/>
              </w:rPr>
              <w:t>s)</w:t>
            </w:r>
          </w:p>
        </w:tc>
        <w:tc>
          <w:tcPr>
            <w:tcW w:w="1985" w:type="dxa"/>
            <w:vAlign w:val="center"/>
          </w:tcPr>
          <w:p w14:paraId="0AE8A3D0" w14:textId="77777777" w:rsidR="00757BD9" w:rsidRPr="00580004" w:rsidRDefault="00757BD9" w:rsidP="00757BD9">
            <w:pPr>
              <w:rPr>
                <w:sz w:val="20"/>
                <w:szCs w:val="20"/>
              </w:rPr>
            </w:pPr>
            <w:r>
              <w:rPr>
                <w:sz w:val="20"/>
                <w:szCs w:val="20"/>
              </w:rPr>
              <w:t>Value used for s</w:t>
            </w:r>
            <w:r w:rsidRPr="00580004">
              <w:rPr>
                <w:sz w:val="20"/>
                <w:szCs w:val="20"/>
              </w:rPr>
              <w:t>ensitivity analysis</w:t>
            </w:r>
          </w:p>
        </w:tc>
        <w:tc>
          <w:tcPr>
            <w:tcW w:w="567" w:type="dxa"/>
            <w:shd w:val="clear" w:color="auto" w:fill="auto"/>
            <w:vAlign w:val="center"/>
            <w:hideMark/>
          </w:tcPr>
          <w:p w14:paraId="19E108B4" w14:textId="77777777" w:rsidR="00757BD9" w:rsidRPr="00580004" w:rsidRDefault="00757BD9" w:rsidP="00757BD9">
            <w:pPr>
              <w:jc w:val="center"/>
              <w:rPr>
                <w:sz w:val="20"/>
                <w:szCs w:val="20"/>
              </w:rPr>
            </w:pPr>
            <w:r w:rsidRPr="00580004">
              <w:rPr>
                <w:sz w:val="20"/>
                <w:szCs w:val="20"/>
              </w:rPr>
              <w:t>Ref.</w:t>
            </w:r>
          </w:p>
        </w:tc>
      </w:tr>
      <w:tr w:rsidR="00757BD9" w:rsidRPr="00580004" w14:paraId="3B3B9AAD" w14:textId="77777777" w:rsidTr="00757BD9">
        <w:trPr>
          <w:trHeight w:val="320"/>
        </w:trPr>
        <w:tc>
          <w:tcPr>
            <w:tcW w:w="298" w:type="dxa"/>
            <w:shd w:val="clear" w:color="auto" w:fill="auto"/>
            <w:vAlign w:val="center"/>
            <w:hideMark/>
          </w:tcPr>
          <w:p w14:paraId="4B549C30" w14:textId="77777777" w:rsidR="00757BD9" w:rsidRPr="00580004" w:rsidRDefault="00757BD9" w:rsidP="00757BD9">
            <w:pPr>
              <w:rPr>
                <w:sz w:val="20"/>
                <w:szCs w:val="20"/>
              </w:rPr>
            </w:pPr>
            <w:r w:rsidRPr="00580004">
              <w:rPr>
                <w:sz w:val="20"/>
                <w:szCs w:val="20"/>
              </w:rPr>
              <w:t>1</w:t>
            </w:r>
          </w:p>
        </w:tc>
        <w:tc>
          <w:tcPr>
            <w:tcW w:w="2112" w:type="dxa"/>
            <w:shd w:val="clear" w:color="auto" w:fill="auto"/>
            <w:vAlign w:val="center"/>
            <w:hideMark/>
          </w:tcPr>
          <w:p w14:paraId="07F8B5B5" w14:textId="77777777" w:rsidR="00757BD9" w:rsidRPr="00580004" w:rsidRDefault="00757BD9" w:rsidP="00757BD9">
            <w:pPr>
              <w:rPr>
                <w:sz w:val="20"/>
                <w:szCs w:val="20"/>
              </w:rPr>
            </w:pPr>
            <w:r w:rsidRPr="00580004">
              <w:rPr>
                <w:sz w:val="20"/>
                <w:szCs w:val="20"/>
              </w:rPr>
              <w:t>Injecting event frequency</w:t>
            </w:r>
          </w:p>
        </w:tc>
        <w:tc>
          <w:tcPr>
            <w:tcW w:w="2693" w:type="dxa"/>
            <w:shd w:val="clear" w:color="auto" w:fill="auto"/>
            <w:vAlign w:val="center"/>
            <w:hideMark/>
          </w:tcPr>
          <w:p w14:paraId="6B5F932E" w14:textId="77777777" w:rsidR="00757BD9" w:rsidRPr="00580004" w:rsidRDefault="00757BD9" w:rsidP="00757BD9">
            <w:pPr>
              <w:rPr>
                <w:sz w:val="20"/>
                <w:szCs w:val="20"/>
              </w:rPr>
            </w:pPr>
          </w:p>
          <w:p w14:paraId="4C9E2EEA" w14:textId="77777777" w:rsidR="00757BD9" w:rsidRPr="00580004" w:rsidRDefault="00757BD9" w:rsidP="00757BD9">
            <w:pPr>
              <w:rPr>
                <w:sz w:val="20"/>
                <w:szCs w:val="20"/>
              </w:rPr>
            </w:pPr>
            <w:r w:rsidRPr="00580004">
              <w:rPr>
                <w:sz w:val="20"/>
                <w:szCs w:val="20"/>
              </w:rPr>
              <w:t>Varies according to bio-behavioural survey data</w:t>
            </w:r>
          </w:p>
          <w:p w14:paraId="6B7AB3BA" w14:textId="77777777" w:rsidR="00757BD9" w:rsidRPr="00580004" w:rsidRDefault="00757BD9" w:rsidP="00757BD9">
            <w:pPr>
              <w:rPr>
                <w:sz w:val="20"/>
                <w:szCs w:val="20"/>
              </w:rPr>
            </w:pPr>
          </w:p>
        </w:tc>
        <w:tc>
          <w:tcPr>
            <w:tcW w:w="1985" w:type="dxa"/>
            <w:vAlign w:val="center"/>
          </w:tcPr>
          <w:p w14:paraId="5D4DD5EA" w14:textId="77777777" w:rsidR="00757BD9" w:rsidRPr="00580004" w:rsidRDefault="00757BD9" w:rsidP="00757BD9">
            <w:pPr>
              <w:rPr>
                <w:sz w:val="20"/>
                <w:szCs w:val="20"/>
              </w:rPr>
            </w:pPr>
            <w:r w:rsidRPr="00580004">
              <w:rPr>
                <w:sz w:val="20"/>
                <w:szCs w:val="20"/>
              </w:rPr>
              <w:t>+/- 20%</w:t>
            </w:r>
          </w:p>
        </w:tc>
        <w:tc>
          <w:tcPr>
            <w:tcW w:w="567" w:type="dxa"/>
            <w:shd w:val="clear" w:color="auto" w:fill="auto"/>
            <w:vAlign w:val="center"/>
            <w:hideMark/>
          </w:tcPr>
          <w:p w14:paraId="0E1448DA" w14:textId="77777777" w:rsidR="00757BD9" w:rsidRPr="00580004" w:rsidRDefault="00757BD9" w:rsidP="00757BD9">
            <w:pPr>
              <w:jc w:val="center"/>
              <w:rPr>
                <w:sz w:val="20"/>
                <w:szCs w:val="20"/>
              </w:rPr>
            </w:pPr>
            <w:r w:rsidRPr="003B4936">
              <w:rPr>
                <w:rFonts w:ascii="Times" w:hAnsi="Times" w:cs="Times"/>
                <w:color w:val="151617"/>
                <w:sz w:val="16"/>
                <w:szCs w:val="16"/>
                <w:lang w:val="en-US"/>
              </w:rPr>
              <w:t>†</w:t>
            </w:r>
          </w:p>
        </w:tc>
      </w:tr>
      <w:tr w:rsidR="00757BD9" w:rsidRPr="00580004" w14:paraId="7D63E305" w14:textId="77777777" w:rsidTr="00757BD9">
        <w:trPr>
          <w:trHeight w:val="300"/>
        </w:trPr>
        <w:tc>
          <w:tcPr>
            <w:tcW w:w="298" w:type="dxa"/>
            <w:vMerge w:val="restart"/>
            <w:shd w:val="clear" w:color="auto" w:fill="auto"/>
            <w:vAlign w:val="center"/>
            <w:hideMark/>
          </w:tcPr>
          <w:p w14:paraId="78A9C3A0" w14:textId="77777777" w:rsidR="00757BD9" w:rsidRPr="00580004" w:rsidRDefault="00757BD9" w:rsidP="00757BD9">
            <w:pPr>
              <w:rPr>
                <w:sz w:val="20"/>
                <w:szCs w:val="20"/>
              </w:rPr>
            </w:pPr>
            <w:r w:rsidRPr="00580004">
              <w:rPr>
                <w:sz w:val="20"/>
                <w:szCs w:val="20"/>
              </w:rPr>
              <w:t>2</w:t>
            </w:r>
          </w:p>
        </w:tc>
        <w:tc>
          <w:tcPr>
            <w:tcW w:w="2112" w:type="dxa"/>
            <w:vMerge w:val="restart"/>
            <w:shd w:val="clear" w:color="auto" w:fill="auto"/>
            <w:vAlign w:val="center"/>
            <w:hideMark/>
          </w:tcPr>
          <w:p w14:paraId="23C2B6BB" w14:textId="77777777" w:rsidR="00757BD9" w:rsidRPr="00580004" w:rsidRDefault="00757BD9" w:rsidP="00757BD9">
            <w:pPr>
              <w:rPr>
                <w:sz w:val="20"/>
                <w:szCs w:val="20"/>
              </w:rPr>
            </w:pPr>
            <w:r w:rsidRPr="00580004">
              <w:rPr>
                <w:sz w:val="20"/>
                <w:szCs w:val="20"/>
              </w:rPr>
              <w:t>Likelihood of sharing per injecting event</w:t>
            </w:r>
          </w:p>
        </w:tc>
        <w:tc>
          <w:tcPr>
            <w:tcW w:w="2693" w:type="dxa"/>
            <w:shd w:val="clear" w:color="auto" w:fill="auto"/>
            <w:vAlign w:val="center"/>
            <w:hideMark/>
          </w:tcPr>
          <w:p w14:paraId="7FE8E318" w14:textId="77777777" w:rsidR="00757BD9" w:rsidRDefault="00757BD9" w:rsidP="00757BD9">
            <w:pPr>
              <w:rPr>
                <w:sz w:val="20"/>
                <w:szCs w:val="20"/>
              </w:rPr>
            </w:pPr>
          </w:p>
          <w:p w14:paraId="245D14A5" w14:textId="77777777" w:rsidR="00757BD9" w:rsidRDefault="00757BD9" w:rsidP="00757BD9">
            <w:pPr>
              <w:rPr>
                <w:sz w:val="20"/>
                <w:szCs w:val="20"/>
              </w:rPr>
            </w:pPr>
            <w:r w:rsidRPr="00580004">
              <w:rPr>
                <w:sz w:val="20"/>
                <w:szCs w:val="20"/>
              </w:rPr>
              <w:t>AES 0</w:t>
            </w:r>
            <w:r>
              <w:rPr>
                <w:sz w:val="20"/>
                <w:szCs w:val="20"/>
              </w:rPr>
              <w:t>·</w:t>
            </w:r>
            <w:r w:rsidRPr="00580004">
              <w:rPr>
                <w:sz w:val="20"/>
                <w:szCs w:val="20"/>
              </w:rPr>
              <w:t>40 (0</w:t>
            </w:r>
            <w:r>
              <w:rPr>
                <w:sz w:val="20"/>
                <w:szCs w:val="20"/>
              </w:rPr>
              <w:t>·</w:t>
            </w:r>
            <w:r w:rsidRPr="00580004">
              <w:rPr>
                <w:sz w:val="20"/>
                <w:szCs w:val="20"/>
              </w:rPr>
              <w:t>21-0</w:t>
            </w:r>
            <w:r>
              <w:rPr>
                <w:sz w:val="20"/>
                <w:szCs w:val="20"/>
              </w:rPr>
              <w:t>·</w:t>
            </w:r>
            <w:r w:rsidRPr="00580004">
              <w:rPr>
                <w:sz w:val="20"/>
                <w:szCs w:val="20"/>
              </w:rPr>
              <w:t>56)</w:t>
            </w:r>
          </w:p>
          <w:p w14:paraId="21EDBA69" w14:textId="77777777" w:rsidR="00757BD9" w:rsidRPr="00580004" w:rsidRDefault="00757BD9" w:rsidP="00757BD9">
            <w:pPr>
              <w:rPr>
                <w:sz w:val="20"/>
                <w:szCs w:val="20"/>
              </w:rPr>
            </w:pPr>
          </w:p>
        </w:tc>
        <w:tc>
          <w:tcPr>
            <w:tcW w:w="1985" w:type="dxa"/>
            <w:vMerge w:val="restart"/>
            <w:vAlign w:val="center"/>
          </w:tcPr>
          <w:p w14:paraId="38151806" w14:textId="77777777" w:rsidR="00757BD9" w:rsidRPr="00580004" w:rsidRDefault="00757BD9" w:rsidP="00757BD9">
            <w:pPr>
              <w:rPr>
                <w:sz w:val="20"/>
                <w:szCs w:val="20"/>
              </w:rPr>
            </w:pPr>
            <w:r w:rsidRPr="00580004">
              <w:rPr>
                <w:sz w:val="20"/>
                <w:szCs w:val="20"/>
              </w:rPr>
              <w:t>95</w:t>
            </w:r>
            <w:r>
              <w:rPr>
                <w:sz w:val="20"/>
                <w:szCs w:val="20"/>
              </w:rPr>
              <w:t>% confidence intervals</w:t>
            </w:r>
          </w:p>
        </w:tc>
        <w:tc>
          <w:tcPr>
            <w:tcW w:w="567" w:type="dxa"/>
            <w:vMerge w:val="restart"/>
            <w:shd w:val="clear" w:color="auto" w:fill="auto"/>
            <w:vAlign w:val="center"/>
            <w:hideMark/>
          </w:tcPr>
          <w:p w14:paraId="1C477BC5" w14:textId="77777777" w:rsidR="00757BD9" w:rsidRPr="00580004" w:rsidRDefault="00757BD9" w:rsidP="00757BD9">
            <w:pPr>
              <w:jc w:val="center"/>
              <w:rPr>
                <w:sz w:val="20"/>
                <w:szCs w:val="20"/>
              </w:rPr>
            </w:pPr>
            <w:r w:rsidRPr="003B4936">
              <w:rPr>
                <w:rFonts w:ascii="Times" w:hAnsi="Times" w:cs="Times"/>
                <w:color w:val="151617"/>
                <w:sz w:val="16"/>
                <w:szCs w:val="16"/>
                <w:lang w:val="en-US"/>
              </w:rPr>
              <w:t>†</w:t>
            </w:r>
          </w:p>
        </w:tc>
      </w:tr>
      <w:tr w:rsidR="00757BD9" w:rsidRPr="00580004" w14:paraId="3C537E9E" w14:textId="77777777" w:rsidTr="00757BD9">
        <w:trPr>
          <w:trHeight w:val="620"/>
        </w:trPr>
        <w:tc>
          <w:tcPr>
            <w:tcW w:w="298" w:type="dxa"/>
            <w:vMerge/>
            <w:vAlign w:val="center"/>
            <w:hideMark/>
          </w:tcPr>
          <w:p w14:paraId="7C092854" w14:textId="77777777" w:rsidR="00757BD9" w:rsidRPr="00580004" w:rsidRDefault="00757BD9" w:rsidP="00757BD9">
            <w:pPr>
              <w:rPr>
                <w:sz w:val="20"/>
                <w:szCs w:val="20"/>
              </w:rPr>
            </w:pPr>
          </w:p>
        </w:tc>
        <w:tc>
          <w:tcPr>
            <w:tcW w:w="2112" w:type="dxa"/>
            <w:vMerge/>
            <w:vAlign w:val="center"/>
            <w:hideMark/>
          </w:tcPr>
          <w:p w14:paraId="065D25EA" w14:textId="77777777" w:rsidR="00757BD9" w:rsidRPr="00580004" w:rsidRDefault="00757BD9" w:rsidP="00757BD9">
            <w:pPr>
              <w:rPr>
                <w:sz w:val="20"/>
                <w:szCs w:val="20"/>
              </w:rPr>
            </w:pPr>
          </w:p>
        </w:tc>
        <w:tc>
          <w:tcPr>
            <w:tcW w:w="2693" w:type="dxa"/>
            <w:shd w:val="clear" w:color="auto" w:fill="auto"/>
            <w:vAlign w:val="center"/>
            <w:hideMark/>
          </w:tcPr>
          <w:p w14:paraId="3E843E2D" w14:textId="77777777" w:rsidR="00757BD9" w:rsidRPr="00580004" w:rsidRDefault="00757BD9" w:rsidP="00757BD9">
            <w:pPr>
              <w:rPr>
                <w:sz w:val="20"/>
                <w:szCs w:val="20"/>
              </w:rPr>
            </w:pPr>
            <w:r w:rsidRPr="00580004">
              <w:rPr>
                <w:sz w:val="20"/>
                <w:szCs w:val="20"/>
              </w:rPr>
              <w:t>RNS 0.33 (0.16-0</w:t>
            </w:r>
            <w:r>
              <w:rPr>
                <w:sz w:val="20"/>
                <w:szCs w:val="20"/>
              </w:rPr>
              <w:t>·</w:t>
            </w:r>
            <w:r w:rsidRPr="00580004">
              <w:rPr>
                <w:sz w:val="20"/>
                <w:szCs w:val="20"/>
              </w:rPr>
              <w:t>51)</w:t>
            </w:r>
          </w:p>
        </w:tc>
        <w:tc>
          <w:tcPr>
            <w:tcW w:w="1985" w:type="dxa"/>
            <w:vMerge/>
            <w:vAlign w:val="center"/>
          </w:tcPr>
          <w:p w14:paraId="725218B7" w14:textId="77777777" w:rsidR="00757BD9" w:rsidRPr="00580004" w:rsidRDefault="00757BD9" w:rsidP="00757BD9">
            <w:pPr>
              <w:rPr>
                <w:sz w:val="20"/>
                <w:szCs w:val="20"/>
              </w:rPr>
            </w:pPr>
          </w:p>
        </w:tc>
        <w:tc>
          <w:tcPr>
            <w:tcW w:w="567" w:type="dxa"/>
            <w:vMerge/>
            <w:vAlign w:val="center"/>
            <w:hideMark/>
          </w:tcPr>
          <w:p w14:paraId="528B128D" w14:textId="77777777" w:rsidR="00757BD9" w:rsidRPr="00580004" w:rsidRDefault="00757BD9" w:rsidP="00757BD9">
            <w:pPr>
              <w:jc w:val="center"/>
              <w:rPr>
                <w:sz w:val="20"/>
                <w:szCs w:val="20"/>
              </w:rPr>
            </w:pPr>
          </w:p>
        </w:tc>
      </w:tr>
      <w:tr w:rsidR="00757BD9" w:rsidRPr="00DC26E0" w14:paraId="22C5AC80" w14:textId="77777777" w:rsidTr="00757BD9">
        <w:trPr>
          <w:trHeight w:val="610"/>
        </w:trPr>
        <w:tc>
          <w:tcPr>
            <w:tcW w:w="298" w:type="dxa"/>
            <w:vMerge w:val="restart"/>
            <w:shd w:val="clear" w:color="auto" w:fill="auto"/>
            <w:vAlign w:val="center"/>
            <w:hideMark/>
          </w:tcPr>
          <w:p w14:paraId="6A2D539B" w14:textId="77777777" w:rsidR="00757BD9" w:rsidRPr="00580004" w:rsidRDefault="00757BD9" w:rsidP="00757BD9">
            <w:pPr>
              <w:rPr>
                <w:sz w:val="20"/>
                <w:szCs w:val="20"/>
              </w:rPr>
            </w:pPr>
            <w:r w:rsidRPr="00580004">
              <w:rPr>
                <w:sz w:val="20"/>
                <w:szCs w:val="20"/>
              </w:rPr>
              <w:t>3</w:t>
            </w:r>
          </w:p>
        </w:tc>
        <w:tc>
          <w:tcPr>
            <w:tcW w:w="2112" w:type="dxa"/>
            <w:vMerge w:val="restart"/>
            <w:shd w:val="clear" w:color="auto" w:fill="auto"/>
            <w:vAlign w:val="center"/>
            <w:hideMark/>
          </w:tcPr>
          <w:p w14:paraId="67ED43D6" w14:textId="77777777" w:rsidR="00757BD9" w:rsidRPr="00580004" w:rsidRDefault="00757BD9" w:rsidP="00757BD9">
            <w:pPr>
              <w:rPr>
                <w:sz w:val="20"/>
                <w:szCs w:val="20"/>
              </w:rPr>
            </w:pPr>
            <w:r w:rsidRPr="00580004">
              <w:rPr>
                <w:sz w:val="20"/>
                <w:szCs w:val="20"/>
              </w:rPr>
              <w:t>Likelihood of developing acute infection per sharing event</w:t>
            </w:r>
          </w:p>
        </w:tc>
        <w:tc>
          <w:tcPr>
            <w:tcW w:w="2693" w:type="dxa"/>
            <w:shd w:val="clear" w:color="auto" w:fill="auto"/>
            <w:vAlign w:val="center"/>
            <w:hideMark/>
          </w:tcPr>
          <w:p w14:paraId="1450637A" w14:textId="77777777" w:rsidR="00757BD9" w:rsidRDefault="00757BD9" w:rsidP="00757BD9">
            <w:pPr>
              <w:rPr>
                <w:sz w:val="20"/>
                <w:szCs w:val="20"/>
              </w:rPr>
            </w:pPr>
          </w:p>
          <w:p w14:paraId="6B050706" w14:textId="77777777" w:rsidR="00757BD9" w:rsidRDefault="00757BD9" w:rsidP="00757BD9">
            <w:pPr>
              <w:rPr>
                <w:sz w:val="20"/>
                <w:szCs w:val="20"/>
              </w:rPr>
            </w:pPr>
            <w:r>
              <w:rPr>
                <w:sz w:val="20"/>
                <w:szCs w:val="20"/>
              </w:rPr>
              <w:t>AES 0·002</w:t>
            </w:r>
            <w:r w:rsidRPr="00580004">
              <w:rPr>
                <w:sz w:val="20"/>
                <w:szCs w:val="20"/>
              </w:rPr>
              <w:t>3</w:t>
            </w:r>
            <w:r>
              <w:rPr>
                <w:sz w:val="20"/>
                <w:szCs w:val="20"/>
              </w:rPr>
              <w:t xml:space="preserve"> (</w:t>
            </w:r>
            <w:r w:rsidRPr="00580004">
              <w:rPr>
                <w:sz w:val="20"/>
                <w:szCs w:val="20"/>
              </w:rPr>
              <w:t>0-0.006</w:t>
            </w:r>
            <w:r>
              <w:rPr>
                <w:sz w:val="20"/>
                <w:szCs w:val="20"/>
              </w:rPr>
              <w:t>)</w:t>
            </w:r>
          </w:p>
          <w:p w14:paraId="3AEB6ADD" w14:textId="77777777" w:rsidR="00757BD9" w:rsidRPr="00580004" w:rsidRDefault="00757BD9" w:rsidP="00757BD9">
            <w:pPr>
              <w:rPr>
                <w:sz w:val="20"/>
                <w:szCs w:val="20"/>
              </w:rPr>
            </w:pPr>
          </w:p>
        </w:tc>
        <w:tc>
          <w:tcPr>
            <w:tcW w:w="1985" w:type="dxa"/>
            <w:vAlign w:val="center"/>
          </w:tcPr>
          <w:p w14:paraId="746F7986" w14:textId="77777777" w:rsidR="00757BD9" w:rsidRDefault="00757BD9" w:rsidP="00757BD9">
            <w:pPr>
              <w:rPr>
                <w:sz w:val="20"/>
                <w:szCs w:val="20"/>
              </w:rPr>
            </w:pPr>
          </w:p>
          <w:p w14:paraId="7395F054" w14:textId="77777777" w:rsidR="00757BD9" w:rsidRDefault="00757BD9" w:rsidP="00757BD9">
            <w:pPr>
              <w:rPr>
                <w:sz w:val="20"/>
                <w:szCs w:val="20"/>
              </w:rPr>
            </w:pPr>
            <w:r w:rsidRPr="00580004">
              <w:rPr>
                <w:sz w:val="20"/>
                <w:szCs w:val="20"/>
              </w:rPr>
              <w:t xml:space="preserve">95% </w:t>
            </w:r>
            <w:r>
              <w:rPr>
                <w:sz w:val="20"/>
                <w:szCs w:val="20"/>
              </w:rPr>
              <w:t>confidence intervals</w:t>
            </w:r>
          </w:p>
          <w:p w14:paraId="5A31C106" w14:textId="77777777" w:rsidR="00757BD9" w:rsidRPr="00580004" w:rsidRDefault="00757BD9" w:rsidP="00757BD9">
            <w:pPr>
              <w:rPr>
                <w:sz w:val="20"/>
                <w:szCs w:val="20"/>
              </w:rPr>
            </w:pPr>
          </w:p>
        </w:tc>
        <w:tc>
          <w:tcPr>
            <w:tcW w:w="567" w:type="dxa"/>
            <w:vMerge w:val="restart"/>
            <w:shd w:val="clear" w:color="auto" w:fill="auto"/>
            <w:vAlign w:val="center"/>
            <w:hideMark/>
          </w:tcPr>
          <w:p w14:paraId="41C6DC6B" w14:textId="77777777" w:rsidR="00757BD9" w:rsidRPr="00DC26E0" w:rsidRDefault="00757BD9" w:rsidP="00757BD9">
            <w:pPr>
              <w:rPr>
                <w:sz w:val="20"/>
                <w:szCs w:val="20"/>
              </w:rPr>
            </w:pPr>
          </w:p>
          <w:p w14:paraId="0502DB87" w14:textId="77777777" w:rsidR="00757BD9" w:rsidRDefault="00757BD9" w:rsidP="00757BD9">
            <w:pPr>
              <w:jc w:val="center"/>
              <w:rPr>
                <w:sz w:val="20"/>
                <w:szCs w:val="20"/>
              </w:rPr>
            </w:pPr>
            <w:r w:rsidRPr="00DC26E0">
              <w:rPr>
                <w:sz w:val="20"/>
                <w:szCs w:val="20"/>
              </w:rPr>
              <w:fldChar w:fldCharType="begin" w:fldLock="1"/>
            </w:r>
            <w:r>
              <w:rPr>
                <w:sz w:val="20"/>
                <w:szCs w:val="20"/>
              </w:rPr>
              <w:instrText>ADDIN CSL_CITATION { "citationItems" : [ { "id" : "ITEM-1", "itemData" : { "DOI" : "10.1016/j.epidem.2008.10.002", "ISSN" : "17554365", "PMID" : "20445816", "abstract" : "BACKGROUND Hepatitis C virus (HCV) causes significant morbidity and mortality in injecting drug users (IDU) worldwide. HCV vaccine candidates have shown promise for reducing the infectivity of acute infection and averting chronic infection, yet the impact of varying levels of vaccine efficacy and vaccine delivery strategies on the HCV epidemic in IDU have not been explored. METHODS We utilized extensive data on injecting behavior collected in the UFO Study of young IDU in San Francisco to construct a stochastic individual-based model that reflects heterogeneous injecting risk behavior, historical HCV trends, and existing information on viral dynamics and vaccine characteristics. RESULTS Our modeled HCV rate closely paralleled observed HCV incidence in San Francisco, with estimated incidence of 59% per person year (ppy) early in the epidemic, and 27% ppy after risk reduction was introduced. Chronic HCV infection, the clinically relevant state of HCV infection that leads to liver disease and hepatocellular cancer, was estimated at 22% ppy (\u00b1 3%) early in the epidemic and 14% ppy (\u00b1 2%) after risk reduction was introduced. We considered several scenarios, and highlight that a vaccine with 50% to 80% efficacy targeted to high-risk or sero-negative IDU at a high vaccination rate could further reduce chronic HCV incidence in IDU to 2-7% ppy 30 years after its introduction. CONCLUSIONS Our results underscore the importance of further efforts to develop both HCV vaccines and optimal systems of delivery to IDU populations.", "author" : [ { "dropping-particle" : "", "family" : "Hahn", "given" : "Judith A.", "non-dropping-particle" : "", "parse-names" : false, "suffix" : "" }, { "dropping-particle" : "", "family" : "Wylie", "given" : "Dennis", "non-dropping-particle" : "", "parse-names" : false, "suffix" : "" }, { "dropping-particle" : "", "family" : "Dill", "given" : "Jesse", "non-dropping-particle" : "", "parse-names" : false, "suffix" : "" }, { "dropping-particle" : "", "family" : "Sanchez", "given" : "Maria S.", "non-dropping-particle" : "", "parse-names" : false, "suffix" : "" }, { "dropping-particle" : "", "family" : "Lloyd-Smith", "given" : "James O.", "non-dropping-particle" : "", "parse-names" : false, "suffix" : "" }, { "dropping-particle" : "", "family" : "Page-Shafer", "given" : "Kimberly", "non-dropping-particle" : "", "parse-names" : false, "suffix" : "" }, { "dropping-particle" : "", "family" : "Getz", "given" : "Wayne M.", "non-dropping-particle" : "", "parse-names" : false, "suffix" : "" } ], "container-title" : "Epidemics", "id" : "ITEM-1", "issue" : "1", "issued" : { "date-parts" : [ [ "2009", "3" ] ] }, "page" : "47-57", "title" : "Potential impact of vaccination on the hepatitis C virus epidemic in injection drug users", "type" : "article-journal", "volume" : "1" }, "uris" : [ "http://www.mendeley.com/documents/?uuid=aec8a137-67ec-3b76-81cb-5e924139c349" ] } ], "mendeley" : { "formattedCitation" : "&lt;sup&gt;22&lt;/sup&gt;", "plainTextFormattedCitation" : "22", "previouslyFormattedCitation" : "&lt;sup&gt;22&lt;/sup&gt;" }, "properties" : { "noteIndex" : 0 }, "schema" : "https://github.com/citation-style-language/schema/raw/master/csl-citation.json" }</w:instrText>
            </w:r>
            <w:r w:rsidRPr="00DC26E0">
              <w:rPr>
                <w:sz w:val="20"/>
                <w:szCs w:val="20"/>
              </w:rPr>
              <w:fldChar w:fldCharType="separate"/>
            </w:r>
            <w:r w:rsidRPr="00053BBA">
              <w:rPr>
                <w:noProof/>
                <w:sz w:val="20"/>
                <w:szCs w:val="20"/>
                <w:vertAlign w:val="superscript"/>
              </w:rPr>
              <w:t>22</w:t>
            </w:r>
            <w:r w:rsidRPr="00DC26E0">
              <w:rPr>
                <w:sz w:val="20"/>
                <w:szCs w:val="20"/>
              </w:rPr>
              <w:fldChar w:fldCharType="end"/>
            </w:r>
          </w:p>
          <w:p w14:paraId="59AC77AC" w14:textId="77777777" w:rsidR="00757BD9" w:rsidRDefault="00757BD9" w:rsidP="00757BD9">
            <w:pPr>
              <w:jc w:val="center"/>
              <w:rPr>
                <w:sz w:val="20"/>
                <w:szCs w:val="20"/>
              </w:rPr>
            </w:pPr>
          </w:p>
          <w:p w14:paraId="4877F313" w14:textId="77777777" w:rsidR="00757BD9" w:rsidRDefault="00757BD9" w:rsidP="00757BD9">
            <w:pPr>
              <w:rPr>
                <w:sz w:val="20"/>
                <w:szCs w:val="20"/>
              </w:rPr>
            </w:pPr>
          </w:p>
          <w:p w14:paraId="3CB507D4" w14:textId="77777777" w:rsidR="00757BD9" w:rsidRDefault="00757BD9" w:rsidP="00757BD9">
            <w:pPr>
              <w:jc w:val="center"/>
              <w:rPr>
                <w:sz w:val="20"/>
                <w:szCs w:val="20"/>
              </w:rPr>
            </w:pPr>
            <w:r w:rsidRPr="00DC26E0">
              <w:rPr>
                <w:sz w:val="20"/>
                <w:szCs w:val="20"/>
              </w:rPr>
              <w:fldChar w:fldCharType="begin" w:fldLock="1"/>
            </w:r>
            <w:r>
              <w:rPr>
                <w:sz w:val="20"/>
                <w:szCs w:val="20"/>
              </w:rPr>
              <w:instrText>ADDIN CSL_CITATION { "citationItems" : [ { "id" : "ITEM-1", "itemData" : { "DOI" : "10.1016/j.epidem.2008.10.002", "ISSN" : "17554365", "PMID" : "20445816", "abstract" : "BACKGROUND Hepatitis C virus (HCV) causes significant morbidity and mortality in injecting drug users (IDU) worldwide. HCV vaccine candidates have shown promise for reducing the infectivity of acute infection and averting chronic infection, yet the impact of varying levels of vaccine efficacy and vaccine delivery strategies on the HCV epidemic in IDU have not been explored. METHODS We utilized extensive data on injecting behavior collected in the UFO Study of young IDU in San Francisco to construct a stochastic individual-based model that reflects heterogeneous injecting risk behavior, historical HCV trends, and existing information on viral dynamics and vaccine characteristics. RESULTS Our modeled HCV rate closely paralleled observed HCV incidence in San Francisco, with estimated incidence of 59% per person year (ppy) early in the epidemic, and 27% ppy after risk reduction was introduced. Chronic HCV infection, the clinically relevant state of HCV infection that leads to liver disease and hepatocellular cancer, was estimated at 22% ppy (\u00b1 3%) early in the epidemic and 14% ppy (\u00b1 2%) after risk reduction was introduced. We considered several scenarios, and highlight that a vaccine with 50% to 80% efficacy targeted to high-risk or sero-negative IDU at a high vaccination rate could further reduce chronic HCV incidence in IDU to 2-7% ppy 30 years after its introduction. CONCLUSIONS Our results underscore the importance of further efforts to develop both HCV vaccines and optimal systems of delivery to IDU populations.", "author" : [ { "dropping-particle" : "", "family" : "Hahn", "given" : "Judith A.", "non-dropping-particle" : "", "parse-names" : false, "suffix" : "" }, { "dropping-particle" : "", "family" : "Wylie", "given" : "Dennis", "non-dropping-particle" : "", "parse-names" : false, "suffix" : "" }, { "dropping-particle" : "", "family" : "Dill", "given" : "Jesse", "non-dropping-particle" : "", "parse-names" : false, "suffix" : "" }, { "dropping-particle" : "", "family" : "Sanchez", "given" : "Maria S.", "non-dropping-particle" : "", "parse-names" : false, "suffix" : "" }, { "dropping-particle" : "", "family" : "Lloyd-Smith", "given" : "James O.", "non-dropping-particle" : "", "parse-names" : false, "suffix" : "" }, { "dropping-particle" : "", "family" : "Page-Shafer", "given" : "Kimberly", "non-dropping-particle" : "", "parse-names" : false, "suffix" : "" }, { "dropping-particle" : "", "family" : "Getz", "given" : "Wayne M.", "non-dropping-particle" : "", "parse-names" : false, "suffix" : "" } ], "container-title" : "Epidemics", "id" : "ITEM-1", "issue" : "1", "issued" : { "date-parts" : [ [ "2009", "3" ] ] }, "page" : "47-57", "title" : "Potential impact of vaccination on the hepatitis C virus epidemic in injection drug users", "type" : "article-journal", "volume" : "1" }, "uris" : [ "http://www.mendeley.com/documents/?uuid=aec8a137-67ec-3b76-81cb-5e924139c349" ] } ], "mendeley" : { "formattedCitation" : "&lt;sup&gt;22&lt;/sup&gt;", "plainTextFormattedCitation" : "22", "previouslyFormattedCitation" : "&lt;sup&gt;22&lt;/sup&gt;" }, "properties" : { "noteIndex" : 0 }, "schema" : "https://github.com/citation-style-language/schema/raw/master/csl-citation.json" }</w:instrText>
            </w:r>
            <w:r w:rsidRPr="00DC26E0">
              <w:rPr>
                <w:sz w:val="20"/>
                <w:szCs w:val="20"/>
              </w:rPr>
              <w:fldChar w:fldCharType="separate"/>
            </w:r>
            <w:r w:rsidRPr="00053BBA">
              <w:rPr>
                <w:noProof/>
                <w:sz w:val="20"/>
                <w:szCs w:val="20"/>
                <w:vertAlign w:val="superscript"/>
              </w:rPr>
              <w:t>22</w:t>
            </w:r>
            <w:r w:rsidRPr="00DC26E0">
              <w:rPr>
                <w:sz w:val="20"/>
                <w:szCs w:val="20"/>
              </w:rPr>
              <w:fldChar w:fldCharType="end"/>
            </w:r>
          </w:p>
          <w:p w14:paraId="07FA2763" w14:textId="77777777" w:rsidR="00757BD9" w:rsidRPr="00DC26E0" w:rsidRDefault="00757BD9" w:rsidP="00757BD9">
            <w:pPr>
              <w:jc w:val="center"/>
              <w:rPr>
                <w:sz w:val="20"/>
                <w:szCs w:val="20"/>
              </w:rPr>
            </w:pPr>
          </w:p>
        </w:tc>
      </w:tr>
      <w:tr w:rsidR="00757BD9" w:rsidRPr="00DC26E0" w14:paraId="07DAE6E9" w14:textId="77777777" w:rsidTr="00757BD9">
        <w:trPr>
          <w:trHeight w:val="852"/>
        </w:trPr>
        <w:tc>
          <w:tcPr>
            <w:tcW w:w="298" w:type="dxa"/>
            <w:vMerge/>
            <w:vAlign w:val="center"/>
            <w:hideMark/>
          </w:tcPr>
          <w:p w14:paraId="1477726F" w14:textId="77777777" w:rsidR="00757BD9" w:rsidRPr="00580004" w:rsidRDefault="00757BD9" w:rsidP="00757BD9">
            <w:pPr>
              <w:rPr>
                <w:sz w:val="20"/>
                <w:szCs w:val="20"/>
              </w:rPr>
            </w:pPr>
          </w:p>
        </w:tc>
        <w:tc>
          <w:tcPr>
            <w:tcW w:w="2112" w:type="dxa"/>
            <w:vMerge/>
            <w:vAlign w:val="center"/>
            <w:hideMark/>
          </w:tcPr>
          <w:p w14:paraId="456DCE30" w14:textId="77777777" w:rsidR="00757BD9" w:rsidRPr="00580004" w:rsidRDefault="00757BD9" w:rsidP="00757BD9">
            <w:pPr>
              <w:rPr>
                <w:sz w:val="20"/>
                <w:szCs w:val="20"/>
              </w:rPr>
            </w:pPr>
          </w:p>
        </w:tc>
        <w:tc>
          <w:tcPr>
            <w:tcW w:w="2693" w:type="dxa"/>
            <w:shd w:val="clear" w:color="auto" w:fill="auto"/>
            <w:vAlign w:val="center"/>
            <w:hideMark/>
          </w:tcPr>
          <w:p w14:paraId="208BD451" w14:textId="77777777" w:rsidR="00757BD9" w:rsidRPr="00580004" w:rsidRDefault="00757BD9" w:rsidP="00757BD9">
            <w:pPr>
              <w:rPr>
                <w:sz w:val="20"/>
                <w:szCs w:val="20"/>
              </w:rPr>
            </w:pPr>
            <w:r w:rsidRPr="00580004">
              <w:rPr>
                <w:sz w:val="20"/>
                <w:szCs w:val="20"/>
              </w:rPr>
              <w:t>RNS 0</w:t>
            </w:r>
            <w:r>
              <w:rPr>
                <w:sz w:val="20"/>
                <w:szCs w:val="20"/>
              </w:rPr>
              <w:t>·0073 (0.0073</w:t>
            </w:r>
            <w:r w:rsidRPr="00580004">
              <w:rPr>
                <w:sz w:val="20"/>
                <w:szCs w:val="20"/>
              </w:rPr>
              <w:t>-0.02</w:t>
            </w:r>
            <w:r>
              <w:rPr>
                <w:sz w:val="20"/>
                <w:szCs w:val="20"/>
              </w:rPr>
              <w:t>)</w:t>
            </w:r>
          </w:p>
        </w:tc>
        <w:tc>
          <w:tcPr>
            <w:tcW w:w="1985" w:type="dxa"/>
            <w:vAlign w:val="center"/>
          </w:tcPr>
          <w:p w14:paraId="2F5CE8D7" w14:textId="77777777" w:rsidR="00757BD9" w:rsidRPr="00580004" w:rsidRDefault="00757BD9" w:rsidP="00757BD9">
            <w:pPr>
              <w:rPr>
                <w:sz w:val="20"/>
                <w:szCs w:val="20"/>
              </w:rPr>
            </w:pPr>
            <w:r w:rsidRPr="00580004">
              <w:rPr>
                <w:sz w:val="20"/>
                <w:szCs w:val="20"/>
              </w:rPr>
              <w:t xml:space="preserve">95% </w:t>
            </w:r>
            <w:r>
              <w:rPr>
                <w:sz w:val="20"/>
                <w:szCs w:val="20"/>
              </w:rPr>
              <w:t>confidence intervals</w:t>
            </w:r>
          </w:p>
        </w:tc>
        <w:tc>
          <w:tcPr>
            <w:tcW w:w="567" w:type="dxa"/>
            <w:vMerge/>
            <w:vAlign w:val="center"/>
            <w:hideMark/>
          </w:tcPr>
          <w:p w14:paraId="1A5D498A" w14:textId="77777777" w:rsidR="00757BD9" w:rsidRPr="00DC26E0" w:rsidRDefault="00757BD9" w:rsidP="00757BD9">
            <w:pPr>
              <w:jc w:val="center"/>
              <w:rPr>
                <w:sz w:val="20"/>
                <w:szCs w:val="20"/>
              </w:rPr>
            </w:pPr>
          </w:p>
        </w:tc>
      </w:tr>
      <w:tr w:rsidR="00757BD9" w:rsidRPr="00DC26E0" w14:paraId="4392D818" w14:textId="77777777" w:rsidTr="00757BD9">
        <w:trPr>
          <w:trHeight w:val="910"/>
        </w:trPr>
        <w:tc>
          <w:tcPr>
            <w:tcW w:w="298" w:type="dxa"/>
            <w:shd w:val="clear" w:color="auto" w:fill="auto"/>
            <w:vAlign w:val="center"/>
            <w:hideMark/>
          </w:tcPr>
          <w:p w14:paraId="73D93FD3" w14:textId="77777777" w:rsidR="00757BD9" w:rsidRPr="00580004" w:rsidRDefault="00757BD9" w:rsidP="00757BD9">
            <w:pPr>
              <w:rPr>
                <w:sz w:val="20"/>
                <w:szCs w:val="20"/>
              </w:rPr>
            </w:pPr>
            <w:r w:rsidRPr="00580004">
              <w:rPr>
                <w:sz w:val="20"/>
                <w:szCs w:val="20"/>
              </w:rPr>
              <w:t>4</w:t>
            </w:r>
          </w:p>
        </w:tc>
        <w:tc>
          <w:tcPr>
            <w:tcW w:w="2112" w:type="dxa"/>
            <w:shd w:val="clear" w:color="auto" w:fill="auto"/>
            <w:vAlign w:val="center"/>
            <w:hideMark/>
          </w:tcPr>
          <w:p w14:paraId="707270EB" w14:textId="77777777" w:rsidR="00757BD9" w:rsidRDefault="00757BD9" w:rsidP="00757BD9">
            <w:pPr>
              <w:rPr>
                <w:sz w:val="20"/>
                <w:szCs w:val="20"/>
              </w:rPr>
            </w:pPr>
          </w:p>
          <w:p w14:paraId="7162DD88" w14:textId="77777777" w:rsidR="00757BD9" w:rsidRDefault="00757BD9" w:rsidP="00757BD9">
            <w:pPr>
              <w:rPr>
                <w:sz w:val="20"/>
                <w:szCs w:val="20"/>
              </w:rPr>
            </w:pPr>
            <w:r w:rsidRPr="00580004">
              <w:rPr>
                <w:sz w:val="20"/>
                <w:szCs w:val="20"/>
              </w:rPr>
              <w:t>Likelihood of spontaneous resolution of acute infection</w:t>
            </w:r>
          </w:p>
          <w:p w14:paraId="78D9957A" w14:textId="77777777" w:rsidR="00757BD9" w:rsidRPr="00580004" w:rsidRDefault="00757BD9" w:rsidP="00757BD9">
            <w:pPr>
              <w:rPr>
                <w:sz w:val="20"/>
                <w:szCs w:val="20"/>
              </w:rPr>
            </w:pPr>
          </w:p>
        </w:tc>
        <w:tc>
          <w:tcPr>
            <w:tcW w:w="2693" w:type="dxa"/>
            <w:shd w:val="clear" w:color="auto" w:fill="auto"/>
            <w:vAlign w:val="center"/>
            <w:hideMark/>
          </w:tcPr>
          <w:p w14:paraId="4E4858E3" w14:textId="77777777" w:rsidR="00757BD9" w:rsidRPr="00580004" w:rsidRDefault="00757BD9" w:rsidP="00757BD9">
            <w:pPr>
              <w:rPr>
                <w:sz w:val="20"/>
                <w:szCs w:val="20"/>
              </w:rPr>
            </w:pPr>
            <w:r w:rsidRPr="00580004">
              <w:rPr>
                <w:sz w:val="20"/>
                <w:szCs w:val="20"/>
              </w:rPr>
              <w:t>0</w:t>
            </w:r>
            <w:r>
              <w:rPr>
                <w:sz w:val="20"/>
                <w:szCs w:val="20"/>
              </w:rPr>
              <w:t>·</w:t>
            </w:r>
            <w:r w:rsidRPr="00580004">
              <w:rPr>
                <w:sz w:val="20"/>
                <w:szCs w:val="20"/>
              </w:rPr>
              <w:t>25 (0</w:t>
            </w:r>
            <w:r>
              <w:rPr>
                <w:sz w:val="20"/>
                <w:szCs w:val="20"/>
              </w:rPr>
              <w:t>·</w:t>
            </w:r>
            <w:r w:rsidRPr="00580004">
              <w:rPr>
                <w:sz w:val="20"/>
                <w:szCs w:val="20"/>
              </w:rPr>
              <w:t>22-0</w:t>
            </w:r>
            <w:r>
              <w:rPr>
                <w:sz w:val="20"/>
                <w:szCs w:val="20"/>
              </w:rPr>
              <w:t>·</w:t>
            </w:r>
            <w:r w:rsidRPr="00580004">
              <w:rPr>
                <w:sz w:val="20"/>
                <w:szCs w:val="20"/>
              </w:rPr>
              <w:t>29)</w:t>
            </w:r>
          </w:p>
        </w:tc>
        <w:tc>
          <w:tcPr>
            <w:tcW w:w="1985" w:type="dxa"/>
            <w:vAlign w:val="center"/>
          </w:tcPr>
          <w:p w14:paraId="4886E823" w14:textId="77777777" w:rsidR="00757BD9" w:rsidRPr="00580004" w:rsidRDefault="00757BD9" w:rsidP="00757BD9">
            <w:pPr>
              <w:rPr>
                <w:sz w:val="20"/>
                <w:szCs w:val="20"/>
              </w:rPr>
            </w:pPr>
            <w:r>
              <w:rPr>
                <w:sz w:val="20"/>
                <w:szCs w:val="20"/>
              </w:rPr>
              <w:t>95% confidence intervals</w:t>
            </w:r>
          </w:p>
        </w:tc>
        <w:tc>
          <w:tcPr>
            <w:tcW w:w="567" w:type="dxa"/>
            <w:shd w:val="clear" w:color="auto" w:fill="auto"/>
            <w:vAlign w:val="center"/>
            <w:hideMark/>
          </w:tcPr>
          <w:p w14:paraId="7A84613A" w14:textId="77777777" w:rsidR="00757BD9" w:rsidRPr="00DC26E0" w:rsidRDefault="00757BD9" w:rsidP="00757BD9">
            <w:pPr>
              <w:jc w:val="center"/>
              <w:rPr>
                <w:sz w:val="20"/>
                <w:szCs w:val="20"/>
              </w:rPr>
            </w:pPr>
            <w:r w:rsidRPr="00DC26E0">
              <w:rPr>
                <w:sz w:val="20"/>
                <w:szCs w:val="20"/>
              </w:rPr>
              <w:fldChar w:fldCharType="begin" w:fldLock="1"/>
            </w:r>
            <w:r>
              <w:rPr>
                <w:sz w:val="20"/>
                <w:szCs w:val="20"/>
              </w:rPr>
              <w:instrText>ADDIN CSL_CITATION { "citationItems" : [ { "id" : "ITEM-1", "itemData" : { "DOI" : "10.1016/j.epidem.2008.10.002", "ISSN" : "17554365", "PMID" : "20445816", "abstract" : "BACKGROUND Hepatitis C virus (HCV) causes significant morbidity and mortality in injecting drug users (IDU) worldwide. HCV vaccine candidates have shown promise for reducing the infectivity of acute infection and averting chronic infection, yet the impact of varying levels of vaccine efficacy and vaccine delivery strategies on the HCV epidemic in IDU have not been explored. METHODS We utilized extensive data on injecting behavior collected in the UFO Study of young IDU in San Francisco to construct a stochastic individual-based model that reflects heterogeneous injecting risk behavior, historical HCV trends, and existing information on viral dynamics and vaccine characteristics. RESULTS Our modeled HCV rate closely paralleled observed HCV incidence in San Francisco, with estimated incidence of 59% per person year (ppy) early in the epidemic, and 27% ppy after risk reduction was introduced. Chronic HCV infection, the clinically relevant state of HCV infection that leads to liver disease and hepatocellular cancer, was estimated at 22% ppy (\u00b1 3%) early in the epidemic and 14% ppy (\u00b1 2%) after risk reduction was introduced. We considered several scenarios, and highlight that a vaccine with 50% to 80% efficacy targeted to high-risk or sero-negative IDU at a high vaccination rate could further reduce chronic HCV incidence in IDU to 2-7% ppy 30 years after its introduction. CONCLUSIONS Our results underscore the importance of further efforts to develop both HCV vaccines and optimal systems of delivery to IDU populations.", "author" : [ { "dropping-particle" : "", "family" : "Hahn", "given" : "Judith A.", "non-dropping-particle" : "", "parse-names" : false, "suffix" : "" }, { "dropping-particle" : "", "family" : "Wylie", "given" : "Dennis", "non-dropping-particle" : "", "parse-names" : false, "suffix" : "" }, { "dropping-particle" : "", "family" : "Dill", "given" : "Jesse", "non-dropping-particle" : "", "parse-names" : false, "suffix" : "" }, { "dropping-particle" : "", "family" : "Sanchez", "given" : "Maria S.", "non-dropping-particle" : "", "parse-names" : false, "suffix" : "" }, { "dropping-particle" : "", "family" : "Lloyd-Smith", "given" : "James O.", "non-dropping-particle" : "", "parse-names" : false, "suffix" : "" }, { "dropping-particle" : "", "family" : "Page-Shafer", "given" : "Kimberly", "non-dropping-particle" : "", "parse-names" : false, "suffix" : "" }, { "dropping-particle" : "", "family" : "Getz", "given" : "Wayne M.", "non-dropping-particle" : "", "parse-names" : false, "suffix" : "" } ], "container-title" : "Epidemics", "id" : "ITEM-1", "issue" : "1", "issued" : { "date-parts" : [ [ "2009", "3" ] ] }, "page" : "47-57", "title" : "Potential impact of vaccination on the hepatitis C virus epidemic in injection drug users", "type" : "article-journal", "volume" : "1" }, "uris" : [ "http://www.mendeley.com/documents/?uuid=aec8a137-67ec-3b76-81cb-5e924139c349" ] } ], "mendeley" : { "formattedCitation" : "&lt;sup&gt;22&lt;/sup&gt;", "plainTextFormattedCitation" : "22", "previouslyFormattedCitation" : "&lt;sup&gt;22&lt;/sup&gt;" }, "properties" : { "noteIndex" : 0 }, "schema" : "https://github.com/citation-style-language/schema/raw/master/csl-citation.json" }</w:instrText>
            </w:r>
            <w:r w:rsidRPr="00DC26E0">
              <w:rPr>
                <w:sz w:val="20"/>
                <w:szCs w:val="20"/>
              </w:rPr>
              <w:fldChar w:fldCharType="separate"/>
            </w:r>
            <w:r w:rsidRPr="00053BBA">
              <w:rPr>
                <w:noProof/>
                <w:sz w:val="20"/>
                <w:szCs w:val="20"/>
                <w:vertAlign w:val="superscript"/>
              </w:rPr>
              <w:t>22</w:t>
            </w:r>
            <w:r w:rsidRPr="00DC26E0">
              <w:rPr>
                <w:sz w:val="20"/>
                <w:szCs w:val="20"/>
              </w:rPr>
              <w:fldChar w:fldCharType="end"/>
            </w:r>
          </w:p>
        </w:tc>
      </w:tr>
      <w:tr w:rsidR="00757BD9" w:rsidRPr="00DC26E0" w14:paraId="39DBAEE3" w14:textId="77777777" w:rsidTr="00757BD9">
        <w:trPr>
          <w:trHeight w:val="630"/>
        </w:trPr>
        <w:tc>
          <w:tcPr>
            <w:tcW w:w="298" w:type="dxa"/>
            <w:shd w:val="clear" w:color="auto" w:fill="auto"/>
            <w:vAlign w:val="center"/>
          </w:tcPr>
          <w:p w14:paraId="7378EB74" w14:textId="77777777" w:rsidR="00757BD9" w:rsidRPr="00EA5892" w:rsidRDefault="00757BD9" w:rsidP="00757BD9">
            <w:pPr>
              <w:rPr>
                <w:sz w:val="20"/>
                <w:szCs w:val="20"/>
              </w:rPr>
            </w:pPr>
            <w:r w:rsidRPr="00EA5892">
              <w:rPr>
                <w:sz w:val="20"/>
                <w:szCs w:val="20"/>
              </w:rPr>
              <w:t>5</w:t>
            </w:r>
          </w:p>
        </w:tc>
        <w:tc>
          <w:tcPr>
            <w:tcW w:w="2112" w:type="dxa"/>
            <w:shd w:val="clear" w:color="auto" w:fill="auto"/>
            <w:vAlign w:val="center"/>
          </w:tcPr>
          <w:p w14:paraId="00EDC013" w14:textId="77777777" w:rsidR="00757BD9" w:rsidRPr="00EA5892" w:rsidRDefault="00757BD9" w:rsidP="00757BD9">
            <w:pPr>
              <w:rPr>
                <w:sz w:val="20"/>
                <w:szCs w:val="20"/>
              </w:rPr>
            </w:pPr>
            <w:r w:rsidRPr="00EA5892">
              <w:rPr>
                <w:sz w:val="20"/>
                <w:szCs w:val="20"/>
              </w:rPr>
              <w:t>Treatment frequency</w:t>
            </w:r>
          </w:p>
        </w:tc>
        <w:tc>
          <w:tcPr>
            <w:tcW w:w="2693" w:type="dxa"/>
            <w:shd w:val="clear" w:color="auto" w:fill="auto"/>
            <w:vAlign w:val="center"/>
          </w:tcPr>
          <w:p w14:paraId="3BEE40FD" w14:textId="77777777" w:rsidR="00757BD9" w:rsidRPr="00EA5892" w:rsidRDefault="00757BD9" w:rsidP="00757BD9">
            <w:pPr>
              <w:rPr>
                <w:sz w:val="20"/>
                <w:szCs w:val="20"/>
              </w:rPr>
            </w:pPr>
            <w:r w:rsidRPr="00EA5892">
              <w:rPr>
                <w:sz w:val="20"/>
                <w:szCs w:val="20"/>
              </w:rPr>
              <w:t>1 per month (2% of cases)</w:t>
            </w:r>
            <w:r w:rsidRPr="00EA5892">
              <w:rPr>
                <w:rFonts w:ascii="Times" w:hAnsi="Times" w:cs="Times"/>
                <w:color w:val="151617"/>
                <w:sz w:val="16"/>
                <w:szCs w:val="16"/>
                <w:lang w:val="en-US"/>
              </w:rPr>
              <w:t xml:space="preserve"> </w:t>
            </w:r>
          </w:p>
        </w:tc>
        <w:tc>
          <w:tcPr>
            <w:tcW w:w="1985" w:type="dxa"/>
            <w:vAlign w:val="center"/>
          </w:tcPr>
          <w:p w14:paraId="3E400A92" w14:textId="77777777" w:rsidR="00757BD9" w:rsidRPr="00EA5892" w:rsidRDefault="00757BD9" w:rsidP="00757BD9">
            <w:pPr>
              <w:rPr>
                <w:sz w:val="20"/>
                <w:szCs w:val="20"/>
              </w:rPr>
            </w:pPr>
            <w:r w:rsidRPr="00EA5892">
              <w:rPr>
                <w:sz w:val="20"/>
                <w:szCs w:val="20"/>
              </w:rPr>
              <w:t>3 (6%)</w:t>
            </w:r>
          </w:p>
        </w:tc>
        <w:tc>
          <w:tcPr>
            <w:tcW w:w="567" w:type="dxa"/>
            <w:shd w:val="clear" w:color="auto" w:fill="auto"/>
            <w:vAlign w:val="center"/>
          </w:tcPr>
          <w:p w14:paraId="39E24E1E" w14:textId="77777777" w:rsidR="00757BD9" w:rsidRPr="00DC26E0" w:rsidRDefault="00757BD9" w:rsidP="00757BD9">
            <w:pPr>
              <w:jc w:val="center"/>
              <w:rPr>
                <w:sz w:val="20"/>
                <w:szCs w:val="20"/>
              </w:rPr>
            </w:pPr>
            <w:r w:rsidRPr="00EA5892">
              <w:rPr>
                <w:rFonts w:ascii="Times" w:hAnsi="Times" w:cs="Times"/>
                <w:color w:val="151617"/>
                <w:sz w:val="28"/>
                <w:szCs w:val="28"/>
                <w:vertAlign w:val="superscript"/>
                <w:lang w:val="en-US"/>
              </w:rPr>
              <w:t>‡</w:t>
            </w:r>
          </w:p>
        </w:tc>
      </w:tr>
      <w:tr w:rsidR="00757BD9" w:rsidRPr="00DC26E0" w14:paraId="34E157E4" w14:textId="77777777" w:rsidTr="00757BD9">
        <w:trPr>
          <w:trHeight w:val="630"/>
        </w:trPr>
        <w:tc>
          <w:tcPr>
            <w:tcW w:w="298" w:type="dxa"/>
            <w:shd w:val="clear" w:color="auto" w:fill="auto"/>
            <w:vAlign w:val="center"/>
            <w:hideMark/>
          </w:tcPr>
          <w:p w14:paraId="3BD11A13" w14:textId="77777777" w:rsidR="00757BD9" w:rsidRPr="00580004" w:rsidRDefault="00757BD9" w:rsidP="00757BD9">
            <w:pPr>
              <w:rPr>
                <w:sz w:val="20"/>
                <w:szCs w:val="20"/>
              </w:rPr>
            </w:pPr>
            <w:r>
              <w:rPr>
                <w:sz w:val="20"/>
                <w:szCs w:val="20"/>
              </w:rPr>
              <w:t>6</w:t>
            </w:r>
          </w:p>
        </w:tc>
        <w:tc>
          <w:tcPr>
            <w:tcW w:w="2112" w:type="dxa"/>
            <w:shd w:val="clear" w:color="auto" w:fill="auto"/>
            <w:vAlign w:val="center"/>
            <w:hideMark/>
          </w:tcPr>
          <w:p w14:paraId="5FE21C0C" w14:textId="77777777" w:rsidR="00757BD9" w:rsidRPr="00580004" w:rsidRDefault="00757BD9" w:rsidP="00757BD9">
            <w:pPr>
              <w:rPr>
                <w:sz w:val="20"/>
                <w:szCs w:val="20"/>
              </w:rPr>
            </w:pPr>
            <w:r w:rsidRPr="00580004">
              <w:rPr>
                <w:sz w:val="20"/>
                <w:szCs w:val="20"/>
              </w:rPr>
              <w:t>Treatment success</w:t>
            </w:r>
          </w:p>
        </w:tc>
        <w:tc>
          <w:tcPr>
            <w:tcW w:w="2693" w:type="dxa"/>
            <w:shd w:val="clear" w:color="auto" w:fill="auto"/>
            <w:vAlign w:val="center"/>
            <w:hideMark/>
          </w:tcPr>
          <w:p w14:paraId="005AEDB4" w14:textId="27E3BF28" w:rsidR="00757BD9" w:rsidRPr="00580004" w:rsidRDefault="00757BD9" w:rsidP="00757BD9">
            <w:pPr>
              <w:rPr>
                <w:sz w:val="20"/>
                <w:szCs w:val="20"/>
              </w:rPr>
            </w:pPr>
            <w:r w:rsidRPr="00580004">
              <w:rPr>
                <w:sz w:val="20"/>
                <w:szCs w:val="20"/>
              </w:rPr>
              <w:t>0</w:t>
            </w:r>
            <w:r>
              <w:rPr>
                <w:sz w:val="20"/>
                <w:szCs w:val="20"/>
              </w:rPr>
              <w:t>·</w:t>
            </w:r>
            <w:r w:rsidRPr="00580004">
              <w:rPr>
                <w:sz w:val="20"/>
                <w:szCs w:val="20"/>
              </w:rPr>
              <w:t>95 (</w:t>
            </w:r>
            <w:r w:rsidR="005A243E">
              <w:rPr>
                <w:sz w:val="20"/>
                <w:szCs w:val="20"/>
              </w:rPr>
              <w:t>0.</w:t>
            </w:r>
            <w:r w:rsidRPr="00580004">
              <w:rPr>
                <w:sz w:val="20"/>
                <w:szCs w:val="20"/>
              </w:rPr>
              <w:t>92-</w:t>
            </w:r>
            <w:r w:rsidR="005A243E">
              <w:rPr>
                <w:sz w:val="20"/>
                <w:szCs w:val="20"/>
              </w:rPr>
              <w:t>0.</w:t>
            </w:r>
            <w:r w:rsidRPr="00580004">
              <w:rPr>
                <w:sz w:val="20"/>
                <w:szCs w:val="20"/>
              </w:rPr>
              <w:t>98)</w:t>
            </w:r>
          </w:p>
        </w:tc>
        <w:tc>
          <w:tcPr>
            <w:tcW w:w="1985" w:type="dxa"/>
            <w:vAlign w:val="center"/>
          </w:tcPr>
          <w:p w14:paraId="3B5DB0BD" w14:textId="77777777" w:rsidR="00757BD9" w:rsidRDefault="00757BD9" w:rsidP="00757BD9">
            <w:pPr>
              <w:rPr>
                <w:sz w:val="20"/>
                <w:szCs w:val="20"/>
              </w:rPr>
            </w:pPr>
          </w:p>
          <w:p w14:paraId="14520BCB" w14:textId="77777777" w:rsidR="00757BD9" w:rsidRDefault="00757BD9" w:rsidP="00757BD9">
            <w:pPr>
              <w:rPr>
                <w:sz w:val="20"/>
                <w:szCs w:val="20"/>
              </w:rPr>
            </w:pPr>
            <w:r w:rsidRPr="00580004">
              <w:rPr>
                <w:sz w:val="20"/>
                <w:szCs w:val="20"/>
              </w:rPr>
              <w:t xml:space="preserve">95% </w:t>
            </w:r>
            <w:r>
              <w:rPr>
                <w:sz w:val="20"/>
                <w:szCs w:val="20"/>
              </w:rPr>
              <w:t>confidence intervals</w:t>
            </w:r>
          </w:p>
          <w:p w14:paraId="2A9B3766" w14:textId="77777777" w:rsidR="00757BD9" w:rsidRPr="00580004" w:rsidRDefault="00757BD9" w:rsidP="00757BD9">
            <w:pPr>
              <w:rPr>
                <w:sz w:val="20"/>
                <w:szCs w:val="20"/>
              </w:rPr>
            </w:pPr>
          </w:p>
        </w:tc>
        <w:tc>
          <w:tcPr>
            <w:tcW w:w="567" w:type="dxa"/>
            <w:shd w:val="clear" w:color="auto" w:fill="auto"/>
            <w:vAlign w:val="center"/>
            <w:hideMark/>
          </w:tcPr>
          <w:p w14:paraId="1FA916ED" w14:textId="77777777" w:rsidR="00757BD9" w:rsidRPr="00DC26E0" w:rsidRDefault="00757BD9" w:rsidP="00757BD9">
            <w:pPr>
              <w:jc w:val="center"/>
              <w:rPr>
                <w:sz w:val="20"/>
                <w:szCs w:val="20"/>
              </w:rPr>
            </w:pPr>
            <w:r w:rsidRPr="00DC26E0">
              <w:rPr>
                <w:sz w:val="20"/>
                <w:szCs w:val="20"/>
              </w:rPr>
              <w:fldChar w:fldCharType="begin" w:fldLock="1"/>
            </w:r>
            <w:r>
              <w:rPr>
                <w:sz w:val="20"/>
                <w:szCs w:val="20"/>
              </w:rPr>
              <w:instrText>ADDIN CSL_CITATION { "citationItems" : [ { "id" : "ITEM-1", "itemData" : { "DOI" : "10.1056/NEJMoa1512612", "ISSN" : "0028-4793", "abstract" : "BackgroundIn phase 2 trials, treatment with the combination of the nucleotide polymerase inhibitor sofosbuvir and the NS5A inhibitor velpatasvir resulted in high rates of sustained virologic response in patients chronically infected with hepatitis C virus (HCV) genotype 2 or 3. MethodsWe conducted two randomized, phase 3, open-label studies involving patients who had received previous treatment for HCV genotype 2 or 3 and those who had not received such treatment, including patients with compensated cirrhosis. In one trial, patients with HCV genotype 2 were randomly assigned in a 1:1 ratio to receive sofosbuvir\u2013velpatasvir, in a once-daily, fixed-dose combination tablet (134 patients), or sofosbuvir plus weight-based ribavirin (132 patients) for 12 weeks. In a second trial, patients with HCV genotype 3 were randomly assigned in a 1:1 ratio to receive sofosbuvir\u2013velpatasvir for 12 weeks (277 patients) or sofosbuvir\u2013ribavirin for 24 weeks (275 patients). The primary end point for the two trials was a sustai...", "author" : [ { "dropping-particle" : "", "family" : "Foster", "given" : "Graham R.", "non-dropping-particle" : "", "parse-names" : false, "suffix" : "" }, { "dropping-particle" : "", "family" : "Afdhal", "given" : "Nezam", "non-dropping-particle" : "", "parse-names" : false, "suffix" : "" }, { "dropping-particle" : "", "family" : "Roberts", "given" : "Stuart K.", "non-dropping-particle" : "", "parse-names" : false, "suffix" : "" }, { "dropping-particle" : "", "family" : "Br\u00e4u", "given" : "Norbert", "non-dropping-particle" : "", "parse-names" : false, "suffix" : "" }, { "dropping-particle" : "", "family" : "Gane", "given" : "Edward J.", "non-dropping-particle" : "", "parse-names" : false, "suffix" : "" }, { "dropping-particle" : "", "family" : "Pianko", "given" : "Stephen", "non-dropping-particle" : "", "parse-names" : false, "suffix" : "" }, { "dropping-particle" : "", "family" : "Lawitz", "given" : "Eric", "non-dropping-particle" : "", "parse-names" : false, "suffix" : "" }, { "dropping-particle" : "", "family" : "Thompson", "given" : "Alex", "non-dropping-particle" : "", "parse-names" : false, "suffix" : "" }, { "dropping-particle" : "", "family" : "Shiffman", "given" : "Mitchell L.", "non-dropping-particle" : "", "parse-names" : false, "suffix" : "" }, { "dropping-particle" : "", "family" : "Cooper", "given" : "Curtis", "non-dropping-particle" : "", "parse-names" : false, "suffix" : "" }, { "dropping-particle" : "", "family" : "Towner", "given" : "William J.", "non-dropping-particle" : "", "parse-names" : false, "suffix" : "" }, { "dropping-particle" : "", "family" : "Conway", "given" : "Brian", "non-dropping-particle" : "", "parse-names" : false, "suffix" : "" }, { "dropping-particle" : "", "family" : "Ruane", "given" : "Peter", "non-dropping-particle" : "", "parse-names" : false, "suffix" : "" }, { "dropping-particle" : "", "family" : "Bourli\u00e8re", "given" : "Marc", "non-dropping-particle" : "", "parse-names" : false, "suffix" : "" }, { "dropping-particle" : "", "family" : "Asselah", "given" : "Tarik", "non-dropping-particle" : "", "parse-names" : false, "suffix" : "" }, { "dropping-particle" : "", "family" : "Berg", "given" : "Thomas", "non-dropping-particle" : "", "parse-names" : false, "suffix" : "" }, { "dropping-particle" : "", "family" : "Zeuzem", "given" : "Stefan", "non-dropping-particle" : "", "parse-names" : false, "suffix" : "" }, { "dropping-particle" : "", "family" : "Rosenberg", "given" : "William", "non-dropping-particle" : "", "parse-names" : false, "suffix" : "" }, { "dropping-particle" : "", "family" : "Agarwal", "given" : "Kosh", "non-dropping-particle" : "", "parse-names" : false, "suffix" : "" }, { "dropping-particle" : "", "family" : "Stedman", "given" : "Catherine A.M.", "non-dropping-particle" : "", "parse-names" : false, "suffix" : "" }, { "dropping-particle" : "", "family" : "Mo", "given" : "Hongmei", "non-dropping-particle" : "", "parse-names" : false, "suffix" : "" }, { "dropping-particle" : "", "family" : "Dvory-Sobol", "given" : "Hadas", "non-dropping-particle" : "", "parse-names" : false, "suffix" : "" }, { "dropping-particle" : "", "family" : "Han", "given" : "Lingling", "non-dropping-particle" : "", "parse-names" : false, "suffix" : "" }, { "dropping-particle" : "", "family" : "Wang", "given" : "Jing", "non-dropping-particle" : "", "parse-names" : false, "suffix" : "" }, { "dropping-particle" : "", "family" : "McNally", "given" : "John", "non-dropping-particle" : "", "parse-names" : false, "suffix" : "" }, { "dropping-particle" : "", "family" : "Osinusi", "given" : "Anu", "non-dropping-particle" : "", "parse-names" : false, "suffix" : "" }, { "dropping-particle" : "", "family" : "Brainard", "given" : "Diana M.", "non-dropping-particle" : "", "parse-names" : false, "suffix" : "" }, { "dropping-particle" : "", "family" : "McHutchison", "given" : "John G.", "non-dropping-particle" : "", "parse-names" : false, "suffix" : "" }, { "dropping-particle" : "", "family" : "Mazzotta", "given" : "Francesco", "non-dropping-particle" : "", "parse-names" : false, "suffix" : "" }, { "dropping-particle" : "", "family" : "Tran", "given" : "Tram T.", "non-dropping-particle" : "", "parse-names" : false, "suffix" : "" }, { "dropping-particle" : "", "family" : "Gordon", "given" : "Stuart C.", "non-dropping-particle" : "", "parse-names" : false, "suffix" : "" }, { "dropping-particle" : "", "family" : "Patel", "given" : "Keyur", "non-dropping-particle" : "", "parse-names" : false, "suffix" : "" }, { "dropping-particle" : "", "family" : "Reau", "given" : "Nancy", "non-dropping-particle" : "", "parse-names" : false, "suffix" : "" }, { "dropping-particle" : "", "family" : "Mangia", "given" : "Alessandra", "non-dropping-particle" : "", "parse-names" : false, "suffix" : "" }, { "dropping-particle" : "", "family" : "Sulkowski", "given" : "Mark", "non-dropping-particle" : "", "parse-names" : false, "suffix" : "" } ], "container-title" : "New England Journal of Medicine", "id" : "ITEM-1", "issue" : "27", "issued" : { "date-parts" : [ [ "2015", "12", "31" ] ] }, "page" : "2608-2617", "publisher" : "Massachusetts Medical Society", "title" : "Sofosbuvir and Velpatasvir for HCV Genotype 2 and 3 Infection", "type" : "article-journal", "volume" : "373" }, "uris" : [ "http://www.mendeley.com/documents/?uuid=6848514e-4ed0-3b9f-9b75-c3bae575fbe0" ] } ], "mendeley" : { "formattedCitation" : "&lt;sup&gt;1&lt;/sup&gt;", "plainTextFormattedCitation" : "1", "previouslyFormattedCitation" : "&lt;sup&gt;1&lt;/sup&gt;" }, "properties" : { "noteIndex" : 0 }, "schema" : "https://github.com/citation-style-language/schema/raw/master/csl-citation.json" }</w:instrText>
            </w:r>
            <w:r w:rsidRPr="00DC26E0">
              <w:rPr>
                <w:sz w:val="20"/>
                <w:szCs w:val="20"/>
              </w:rPr>
              <w:fldChar w:fldCharType="separate"/>
            </w:r>
            <w:r w:rsidRPr="005912F9">
              <w:rPr>
                <w:noProof/>
                <w:sz w:val="20"/>
                <w:szCs w:val="20"/>
                <w:vertAlign w:val="superscript"/>
              </w:rPr>
              <w:t>1</w:t>
            </w:r>
            <w:r w:rsidRPr="00DC26E0">
              <w:rPr>
                <w:sz w:val="20"/>
                <w:szCs w:val="20"/>
              </w:rPr>
              <w:fldChar w:fldCharType="end"/>
            </w:r>
          </w:p>
        </w:tc>
      </w:tr>
    </w:tbl>
    <w:p w14:paraId="43F59ED8" w14:textId="77777777" w:rsidR="00757BD9" w:rsidRPr="00353CE2" w:rsidRDefault="00757BD9" w:rsidP="00353CE2">
      <w:pPr>
        <w:pStyle w:val="Table"/>
        <w:spacing w:line="480" w:lineRule="auto"/>
        <w:rPr>
          <w:rFonts w:asciiTheme="minorHAnsi" w:hAnsiTheme="minorHAnsi"/>
          <w:sz w:val="24"/>
          <w:szCs w:val="24"/>
        </w:rPr>
      </w:pPr>
      <w:r w:rsidRPr="00353CE2">
        <w:rPr>
          <w:rFonts w:asciiTheme="minorHAnsi" w:hAnsiTheme="minorHAnsi" w:cs="Times"/>
          <w:color w:val="151617"/>
          <w:sz w:val="24"/>
          <w:szCs w:val="24"/>
          <w:lang w:val="en-US"/>
        </w:rPr>
        <w:t>†</w:t>
      </w:r>
      <w:r w:rsidRPr="00353CE2">
        <w:rPr>
          <w:rFonts w:asciiTheme="minorHAnsi" w:hAnsiTheme="minorHAnsi"/>
          <w:sz w:val="24"/>
          <w:szCs w:val="24"/>
        </w:rPr>
        <w:t xml:space="preserve">Values from bio-behavioural survey results. </w:t>
      </w:r>
      <w:r w:rsidRPr="00353CE2">
        <w:rPr>
          <w:rFonts w:asciiTheme="minorHAnsi" w:hAnsiTheme="minorHAnsi" w:cs="Times"/>
          <w:color w:val="151617"/>
          <w:sz w:val="24"/>
          <w:szCs w:val="24"/>
          <w:lang w:val="en-US"/>
        </w:rPr>
        <w:t>‡Baseline value based on current real-world treatment capacity on the IoW</w:t>
      </w:r>
      <w:r w:rsidRPr="00353CE2">
        <w:rPr>
          <w:rFonts w:asciiTheme="minorHAnsi" w:hAnsiTheme="minorHAnsi"/>
          <w:sz w:val="24"/>
          <w:szCs w:val="24"/>
        </w:rPr>
        <w:t>. AES – ancillary equipment sharing, RNS – receptive needle sharing</w:t>
      </w:r>
    </w:p>
    <w:p w14:paraId="30121415" w14:textId="77777777" w:rsidR="00757BD9" w:rsidRDefault="00757BD9"/>
    <w:p w14:paraId="2F195B7A" w14:textId="48E2638E" w:rsidR="00757BD9" w:rsidRDefault="00757BD9">
      <w:r>
        <w:br w:type="page"/>
      </w:r>
    </w:p>
    <w:p w14:paraId="11DFE9F6" w14:textId="3014BE6C" w:rsidR="00757BD9" w:rsidRPr="00C85D5A" w:rsidRDefault="00757BD9" w:rsidP="00353CE2">
      <w:pPr>
        <w:pStyle w:val="Table"/>
        <w:spacing w:line="480" w:lineRule="auto"/>
        <w:jc w:val="both"/>
        <w:rPr>
          <w:rFonts w:asciiTheme="minorHAnsi" w:hAnsiTheme="minorHAnsi"/>
          <w:sz w:val="24"/>
          <w:szCs w:val="24"/>
        </w:rPr>
      </w:pPr>
      <w:bookmarkStart w:id="2" w:name="_Toc368238246"/>
      <w:r w:rsidRPr="002E08BE">
        <w:rPr>
          <w:rFonts w:asciiTheme="minorHAnsi" w:hAnsiTheme="minorHAnsi"/>
          <w:b/>
          <w:sz w:val="24"/>
          <w:szCs w:val="24"/>
        </w:rPr>
        <w:lastRenderedPageBreak/>
        <w:t xml:space="preserve">Table </w:t>
      </w:r>
      <w:r>
        <w:rPr>
          <w:rFonts w:asciiTheme="minorHAnsi" w:hAnsiTheme="minorHAnsi"/>
          <w:b/>
          <w:sz w:val="24"/>
          <w:szCs w:val="24"/>
        </w:rPr>
        <w:t>2</w:t>
      </w:r>
      <w:r w:rsidRPr="00C85D5A">
        <w:rPr>
          <w:rFonts w:asciiTheme="minorHAnsi" w:hAnsiTheme="minorHAnsi"/>
          <w:sz w:val="24"/>
          <w:szCs w:val="24"/>
        </w:rPr>
        <w:t xml:space="preserve"> </w:t>
      </w:r>
      <w:r w:rsidR="00D065FF">
        <w:rPr>
          <w:rFonts w:asciiTheme="minorHAnsi" w:hAnsiTheme="minorHAnsi"/>
          <w:sz w:val="24"/>
          <w:szCs w:val="24"/>
        </w:rPr>
        <w:t>Results of logistic regression showing association between</w:t>
      </w:r>
      <w:r w:rsidRPr="00C85D5A">
        <w:rPr>
          <w:rFonts w:asciiTheme="minorHAnsi" w:hAnsiTheme="minorHAnsi"/>
          <w:sz w:val="24"/>
          <w:szCs w:val="24"/>
        </w:rPr>
        <w:t xml:space="preserve"> demographic, behavioural and social network measur</w:t>
      </w:r>
      <w:r>
        <w:rPr>
          <w:rFonts w:asciiTheme="minorHAnsi" w:hAnsiTheme="minorHAnsi"/>
          <w:sz w:val="24"/>
          <w:szCs w:val="24"/>
        </w:rPr>
        <w:t xml:space="preserve">es </w:t>
      </w:r>
      <w:r w:rsidR="00D065FF">
        <w:rPr>
          <w:rFonts w:asciiTheme="minorHAnsi" w:hAnsiTheme="minorHAnsi"/>
          <w:sz w:val="24"/>
          <w:szCs w:val="24"/>
        </w:rPr>
        <w:t>and</w:t>
      </w:r>
      <w:r>
        <w:rPr>
          <w:rFonts w:asciiTheme="minorHAnsi" w:hAnsiTheme="minorHAnsi"/>
          <w:sz w:val="24"/>
          <w:szCs w:val="24"/>
        </w:rPr>
        <w:t xml:space="preserve"> Hepatitis C</w:t>
      </w:r>
      <w:r w:rsidRPr="00C85D5A">
        <w:rPr>
          <w:rFonts w:asciiTheme="minorHAnsi" w:hAnsiTheme="minorHAnsi"/>
          <w:sz w:val="24"/>
          <w:szCs w:val="24"/>
        </w:rPr>
        <w:t xml:space="preserve"> status </w:t>
      </w:r>
      <w:bookmarkEnd w:id="2"/>
    </w:p>
    <w:tbl>
      <w:tblPr>
        <w:tblW w:w="6536" w:type="dxa"/>
        <w:tblInd w:w="93" w:type="dxa"/>
        <w:tblLayout w:type="fixed"/>
        <w:tblLook w:val="04A0" w:firstRow="1" w:lastRow="0" w:firstColumn="1" w:lastColumn="0" w:noHBand="0" w:noVBand="1"/>
      </w:tblPr>
      <w:tblGrid>
        <w:gridCol w:w="1676"/>
        <w:gridCol w:w="2025"/>
        <w:gridCol w:w="1843"/>
        <w:gridCol w:w="992"/>
      </w:tblGrid>
      <w:tr w:rsidR="00757BD9" w:rsidRPr="00353CE2" w14:paraId="66C8B311" w14:textId="77777777" w:rsidTr="00757BD9">
        <w:trPr>
          <w:trHeight w:val="600"/>
        </w:trPr>
        <w:tc>
          <w:tcPr>
            <w:tcW w:w="1676" w:type="dxa"/>
            <w:tcBorders>
              <w:top w:val="single" w:sz="4" w:space="0" w:color="auto"/>
              <w:bottom w:val="single" w:sz="4" w:space="0" w:color="auto"/>
            </w:tcBorders>
            <w:shd w:val="clear" w:color="auto" w:fill="auto"/>
            <w:vAlign w:val="center"/>
            <w:hideMark/>
          </w:tcPr>
          <w:p w14:paraId="561F2AAD" w14:textId="77777777" w:rsidR="00757BD9" w:rsidRPr="00353CE2" w:rsidRDefault="00757BD9" w:rsidP="00757BD9">
            <w:pPr>
              <w:jc w:val="center"/>
              <w:rPr>
                <w:color w:val="000000"/>
                <w:sz w:val="20"/>
                <w:szCs w:val="20"/>
              </w:rPr>
            </w:pPr>
          </w:p>
        </w:tc>
        <w:tc>
          <w:tcPr>
            <w:tcW w:w="2025" w:type="dxa"/>
            <w:tcBorders>
              <w:top w:val="single" w:sz="4" w:space="0" w:color="auto"/>
              <w:bottom w:val="single" w:sz="4" w:space="0" w:color="auto"/>
            </w:tcBorders>
            <w:shd w:val="clear" w:color="auto" w:fill="auto"/>
            <w:vAlign w:val="center"/>
            <w:hideMark/>
          </w:tcPr>
          <w:p w14:paraId="04B5246A" w14:textId="77777777" w:rsidR="00757BD9" w:rsidRPr="00353CE2" w:rsidRDefault="00757BD9" w:rsidP="00757BD9">
            <w:pPr>
              <w:jc w:val="center"/>
              <w:rPr>
                <w:color w:val="000000"/>
                <w:sz w:val="20"/>
                <w:szCs w:val="20"/>
              </w:rPr>
            </w:pPr>
            <w:r w:rsidRPr="00353CE2">
              <w:rPr>
                <w:color w:val="000000"/>
                <w:sz w:val="20"/>
                <w:szCs w:val="20"/>
              </w:rPr>
              <w:t>HCV</w:t>
            </w:r>
          </w:p>
          <w:p w14:paraId="3442A9C3" w14:textId="6A5344AD" w:rsidR="00757BD9" w:rsidRPr="00353CE2" w:rsidRDefault="00D065FF" w:rsidP="00757BD9">
            <w:pPr>
              <w:jc w:val="center"/>
              <w:rPr>
                <w:color w:val="000000"/>
                <w:sz w:val="20"/>
                <w:szCs w:val="20"/>
              </w:rPr>
            </w:pPr>
            <w:r>
              <w:rPr>
                <w:color w:val="000000"/>
                <w:sz w:val="20"/>
                <w:szCs w:val="20"/>
              </w:rPr>
              <w:t>n/N</w:t>
            </w:r>
          </w:p>
        </w:tc>
        <w:tc>
          <w:tcPr>
            <w:tcW w:w="1843" w:type="dxa"/>
            <w:tcBorders>
              <w:top w:val="single" w:sz="4" w:space="0" w:color="auto"/>
              <w:bottom w:val="single" w:sz="4" w:space="0" w:color="auto"/>
            </w:tcBorders>
            <w:shd w:val="clear" w:color="auto" w:fill="auto"/>
            <w:vAlign w:val="center"/>
            <w:hideMark/>
          </w:tcPr>
          <w:p w14:paraId="7C775A9A" w14:textId="77777777" w:rsidR="00757BD9" w:rsidRPr="00353CE2" w:rsidRDefault="00757BD9" w:rsidP="00757BD9">
            <w:pPr>
              <w:jc w:val="center"/>
              <w:rPr>
                <w:color w:val="000000"/>
                <w:sz w:val="20"/>
                <w:szCs w:val="20"/>
              </w:rPr>
            </w:pPr>
            <w:r w:rsidRPr="00353CE2">
              <w:rPr>
                <w:color w:val="000000"/>
                <w:sz w:val="20"/>
                <w:szCs w:val="20"/>
              </w:rPr>
              <w:t>No HCV</w:t>
            </w:r>
          </w:p>
          <w:p w14:paraId="09DBD211" w14:textId="77777777" w:rsidR="00757BD9" w:rsidRPr="00353CE2" w:rsidRDefault="00757BD9" w:rsidP="00757BD9">
            <w:pPr>
              <w:jc w:val="center"/>
              <w:rPr>
                <w:color w:val="000000"/>
                <w:sz w:val="20"/>
                <w:szCs w:val="20"/>
              </w:rPr>
            </w:pPr>
            <w:r w:rsidRPr="00353CE2">
              <w:rPr>
                <w:color w:val="000000"/>
                <w:sz w:val="20"/>
                <w:szCs w:val="20"/>
              </w:rPr>
              <w:t>n/</w:t>
            </w:r>
            <w:proofErr w:type="gramStart"/>
            <w:r w:rsidRPr="00353CE2">
              <w:rPr>
                <w:color w:val="000000"/>
                <w:sz w:val="20"/>
                <w:szCs w:val="20"/>
              </w:rPr>
              <w:t>N(</w:t>
            </w:r>
            <w:proofErr w:type="gramEnd"/>
            <w:r w:rsidRPr="00353CE2">
              <w:rPr>
                <w:color w:val="000000"/>
                <w:sz w:val="20"/>
                <w:szCs w:val="20"/>
              </w:rPr>
              <w:t>%)</w:t>
            </w:r>
          </w:p>
        </w:tc>
        <w:tc>
          <w:tcPr>
            <w:tcW w:w="992" w:type="dxa"/>
            <w:tcBorders>
              <w:top w:val="single" w:sz="4" w:space="0" w:color="auto"/>
              <w:bottom w:val="single" w:sz="4" w:space="0" w:color="auto"/>
            </w:tcBorders>
            <w:shd w:val="clear" w:color="auto" w:fill="auto"/>
            <w:vAlign w:val="center"/>
            <w:hideMark/>
          </w:tcPr>
          <w:p w14:paraId="51167D10" w14:textId="77777777" w:rsidR="00757BD9" w:rsidRPr="00353CE2" w:rsidRDefault="00757BD9" w:rsidP="00757BD9">
            <w:pPr>
              <w:jc w:val="right"/>
              <w:rPr>
                <w:color w:val="000000"/>
                <w:sz w:val="20"/>
                <w:szCs w:val="20"/>
              </w:rPr>
            </w:pPr>
            <w:r w:rsidRPr="00353CE2">
              <w:rPr>
                <w:color w:val="000000"/>
                <w:sz w:val="20"/>
                <w:szCs w:val="20"/>
              </w:rPr>
              <w:t>p</w:t>
            </w:r>
            <w:r w:rsidRPr="00353CE2">
              <w:rPr>
                <w:rFonts w:cs="Times"/>
                <w:color w:val="151617"/>
                <w:sz w:val="16"/>
                <w:szCs w:val="16"/>
                <w:lang w:val="en-US"/>
              </w:rPr>
              <w:t>†</w:t>
            </w:r>
          </w:p>
        </w:tc>
      </w:tr>
      <w:tr w:rsidR="00757BD9" w:rsidRPr="00353CE2" w14:paraId="457A8619" w14:textId="77777777" w:rsidTr="00757BD9">
        <w:trPr>
          <w:trHeight w:val="300"/>
        </w:trPr>
        <w:tc>
          <w:tcPr>
            <w:tcW w:w="1676" w:type="dxa"/>
            <w:tcBorders>
              <w:top w:val="single" w:sz="4" w:space="0" w:color="auto"/>
            </w:tcBorders>
            <w:shd w:val="clear" w:color="auto" w:fill="auto"/>
            <w:vAlign w:val="center"/>
            <w:hideMark/>
          </w:tcPr>
          <w:p w14:paraId="3C8A6E5D" w14:textId="77777777" w:rsidR="00757BD9" w:rsidRPr="00353CE2" w:rsidRDefault="00757BD9" w:rsidP="00757BD9">
            <w:pPr>
              <w:rPr>
                <w:color w:val="000000"/>
                <w:sz w:val="18"/>
                <w:szCs w:val="18"/>
              </w:rPr>
            </w:pPr>
          </w:p>
          <w:p w14:paraId="25B8C1CD" w14:textId="0FD4A6EC" w:rsidR="00757BD9" w:rsidRPr="00353CE2" w:rsidRDefault="00757BD9" w:rsidP="00757BD9">
            <w:pPr>
              <w:rPr>
                <w:color w:val="000000"/>
                <w:sz w:val="18"/>
                <w:szCs w:val="18"/>
              </w:rPr>
            </w:pPr>
            <w:r w:rsidRPr="00353CE2">
              <w:rPr>
                <w:color w:val="000000"/>
                <w:sz w:val="18"/>
                <w:szCs w:val="18"/>
              </w:rPr>
              <w:t>Gender (male</w:t>
            </w:r>
            <w:r w:rsidR="00D065FF">
              <w:rPr>
                <w:color w:val="000000"/>
                <w:sz w:val="18"/>
                <w:szCs w:val="18"/>
              </w:rPr>
              <w:t xml:space="preserve"> %)</w:t>
            </w:r>
          </w:p>
        </w:tc>
        <w:tc>
          <w:tcPr>
            <w:tcW w:w="2025" w:type="dxa"/>
            <w:tcBorders>
              <w:top w:val="single" w:sz="4" w:space="0" w:color="auto"/>
            </w:tcBorders>
            <w:shd w:val="clear" w:color="auto" w:fill="auto"/>
            <w:vAlign w:val="bottom"/>
            <w:hideMark/>
          </w:tcPr>
          <w:p w14:paraId="3BEF8B0C" w14:textId="77777777" w:rsidR="00757BD9" w:rsidRPr="00353CE2" w:rsidRDefault="00757BD9" w:rsidP="00757BD9">
            <w:pPr>
              <w:jc w:val="center"/>
              <w:rPr>
                <w:color w:val="000000"/>
                <w:sz w:val="18"/>
                <w:szCs w:val="18"/>
              </w:rPr>
            </w:pPr>
            <w:r w:rsidRPr="00353CE2">
              <w:rPr>
                <w:color w:val="000000"/>
                <w:sz w:val="18"/>
                <w:szCs w:val="18"/>
              </w:rPr>
              <w:t>27/38 (71·1)</w:t>
            </w:r>
          </w:p>
        </w:tc>
        <w:tc>
          <w:tcPr>
            <w:tcW w:w="1843" w:type="dxa"/>
            <w:tcBorders>
              <w:top w:val="single" w:sz="4" w:space="0" w:color="auto"/>
            </w:tcBorders>
            <w:shd w:val="clear" w:color="auto" w:fill="auto"/>
            <w:vAlign w:val="bottom"/>
            <w:hideMark/>
          </w:tcPr>
          <w:p w14:paraId="6FB62053" w14:textId="77777777" w:rsidR="00757BD9" w:rsidRPr="00353CE2" w:rsidRDefault="00757BD9" w:rsidP="00757BD9">
            <w:pPr>
              <w:jc w:val="center"/>
              <w:rPr>
                <w:color w:val="000000"/>
                <w:sz w:val="18"/>
                <w:szCs w:val="18"/>
              </w:rPr>
            </w:pPr>
            <w:r w:rsidRPr="00353CE2">
              <w:rPr>
                <w:color w:val="000000"/>
                <w:sz w:val="18"/>
                <w:szCs w:val="18"/>
              </w:rPr>
              <w:t>63/89 (70·8)</w:t>
            </w:r>
          </w:p>
        </w:tc>
        <w:tc>
          <w:tcPr>
            <w:tcW w:w="992" w:type="dxa"/>
            <w:tcBorders>
              <w:top w:val="single" w:sz="4" w:space="0" w:color="auto"/>
            </w:tcBorders>
            <w:shd w:val="clear" w:color="auto" w:fill="auto"/>
            <w:vAlign w:val="bottom"/>
            <w:hideMark/>
          </w:tcPr>
          <w:p w14:paraId="39030F9B" w14:textId="77777777" w:rsidR="00757BD9" w:rsidRPr="00353CE2" w:rsidRDefault="00757BD9" w:rsidP="00757BD9">
            <w:pPr>
              <w:jc w:val="right"/>
              <w:rPr>
                <w:color w:val="000000"/>
                <w:sz w:val="18"/>
                <w:szCs w:val="18"/>
              </w:rPr>
            </w:pPr>
            <w:r w:rsidRPr="00353CE2">
              <w:rPr>
                <w:color w:val="000000"/>
                <w:sz w:val="18"/>
                <w:szCs w:val="18"/>
              </w:rPr>
              <w:t>0·90</w:t>
            </w:r>
          </w:p>
        </w:tc>
      </w:tr>
      <w:tr w:rsidR="00757BD9" w:rsidRPr="00353CE2" w14:paraId="3747527F" w14:textId="77777777" w:rsidTr="00757BD9">
        <w:trPr>
          <w:trHeight w:val="1200"/>
        </w:trPr>
        <w:tc>
          <w:tcPr>
            <w:tcW w:w="1676" w:type="dxa"/>
            <w:shd w:val="clear" w:color="auto" w:fill="auto"/>
            <w:vAlign w:val="center"/>
            <w:hideMark/>
          </w:tcPr>
          <w:p w14:paraId="0877504A" w14:textId="0D45825E" w:rsidR="00757BD9" w:rsidRPr="00353CE2" w:rsidRDefault="005A243E" w:rsidP="00D065FF">
            <w:pPr>
              <w:rPr>
                <w:color w:val="000000"/>
                <w:sz w:val="18"/>
                <w:szCs w:val="18"/>
              </w:rPr>
            </w:pPr>
            <w:r>
              <w:rPr>
                <w:color w:val="000000"/>
                <w:sz w:val="18"/>
                <w:szCs w:val="18"/>
              </w:rPr>
              <w:t>Mean a</w:t>
            </w:r>
            <w:r w:rsidR="00757BD9" w:rsidRPr="00353CE2">
              <w:rPr>
                <w:color w:val="000000"/>
                <w:sz w:val="18"/>
                <w:szCs w:val="18"/>
              </w:rPr>
              <w:t>ge – (</w:t>
            </w:r>
            <w:r w:rsidR="00D065FF">
              <w:rPr>
                <w:color w:val="000000"/>
                <w:sz w:val="18"/>
                <w:szCs w:val="18"/>
              </w:rPr>
              <w:t>SD</w:t>
            </w:r>
            <w:r w:rsidR="00757BD9" w:rsidRPr="00353CE2">
              <w:rPr>
                <w:color w:val="000000"/>
                <w:sz w:val="18"/>
                <w:szCs w:val="18"/>
              </w:rPr>
              <w:t>)</w:t>
            </w:r>
          </w:p>
        </w:tc>
        <w:tc>
          <w:tcPr>
            <w:tcW w:w="2025" w:type="dxa"/>
            <w:shd w:val="clear" w:color="auto" w:fill="auto"/>
            <w:vAlign w:val="center"/>
            <w:hideMark/>
          </w:tcPr>
          <w:p w14:paraId="644FED3D" w14:textId="2B3244EA" w:rsidR="00757BD9" w:rsidRPr="00353CE2" w:rsidRDefault="00757BD9" w:rsidP="00757BD9">
            <w:pPr>
              <w:jc w:val="center"/>
              <w:rPr>
                <w:color w:val="000000"/>
                <w:sz w:val="18"/>
                <w:szCs w:val="18"/>
              </w:rPr>
            </w:pPr>
            <w:r w:rsidRPr="00353CE2">
              <w:rPr>
                <w:color w:val="000000"/>
                <w:sz w:val="18"/>
                <w:szCs w:val="18"/>
              </w:rPr>
              <w:t>43·2</w:t>
            </w:r>
            <w:r w:rsidR="00D065FF">
              <w:rPr>
                <w:color w:val="000000"/>
                <w:sz w:val="18"/>
                <w:szCs w:val="18"/>
              </w:rPr>
              <w:t xml:space="preserve"> (10.9)</w:t>
            </w:r>
          </w:p>
        </w:tc>
        <w:tc>
          <w:tcPr>
            <w:tcW w:w="1843" w:type="dxa"/>
            <w:shd w:val="clear" w:color="auto" w:fill="auto"/>
            <w:vAlign w:val="center"/>
            <w:hideMark/>
          </w:tcPr>
          <w:p w14:paraId="694D2C80" w14:textId="428A8FA3" w:rsidR="00757BD9" w:rsidRPr="00353CE2" w:rsidRDefault="00757BD9" w:rsidP="00757BD9">
            <w:pPr>
              <w:jc w:val="center"/>
              <w:rPr>
                <w:color w:val="000000"/>
                <w:sz w:val="18"/>
                <w:szCs w:val="18"/>
              </w:rPr>
            </w:pPr>
            <w:r w:rsidRPr="00353CE2">
              <w:rPr>
                <w:color w:val="000000"/>
                <w:sz w:val="18"/>
                <w:szCs w:val="18"/>
              </w:rPr>
              <w:t>37·9</w:t>
            </w:r>
            <w:r w:rsidR="00D065FF">
              <w:rPr>
                <w:color w:val="000000"/>
                <w:sz w:val="18"/>
                <w:szCs w:val="18"/>
              </w:rPr>
              <w:t xml:space="preserve"> (8.3)</w:t>
            </w:r>
          </w:p>
        </w:tc>
        <w:tc>
          <w:tcPr>
            <w:tcW w:w="992" w:type="dxa"/>
            <w:shd w:val="clear" w:color="auto" w:fill="auto"/>
            <w:vAlign w:val="center"/>
            <w:hideMark/>
          </w:tcPr>
          <w:p w14:paraId="50B1278E" w14:textId="77777777" w:rsidR="00757BD9" w:rsidRPr="00353CE2" w:rsidRDefault="00757BD9" w:rsidP="00757BD9">
            <w:pPr>
              <w:jc w:val="right"/>
              <w:rPr>
                <w:color w:val="000000"/>
                <w:sz w:val="18"/>
                <w:szCs w:val="18"/>
              </w:rPr>
            </w:pPr>
            <w:r w:rsidRPr="00353CE2">
              <w:rPr>
                <w:color w:val="000000"/>
                <w:sz w:val="18"/>
                <w:szCs w:val="18"/>
              </w:rPr>
              <w:t>0·003</w:t>
            </w:r>
          </w:p>
        </w:tc>
      </w:tr>
      <w:tr w:rsidR="00757BD9" w:rsidRPr="00353CE2" w14:paraId="6DF1CD34" w14:textId="77777777" w:rsidTr="00757BD9">
        <w:trPr>
          <w:trHeight w:val="842"/>
        </w:trPr>
        <w:tc>
          <w:tcPr>
            <w:tcW w:w="1676" w:type="dxa"/>
            <w:shd w:val="clear" w:color="auto" w:fill="auto"/>
            <w:vAlign w:val="center"/>
            <w:hideMark/>
          </w:tcPr>
          <w:p w14:paraId="463498CB" w14:textId="6C0C49AD" w:rsidR="00757BD9" w:rsidRPr="00353CE2" w:rsidRDefault="00757BD9" w:rsidP="00757BD9">
            <w:pPr>
              <w:rPr>
                <w:color w:val="000000"/>
                <w:sz w:val="18"/>
                <w:szCs w:val="18"/>
              </w:rPr>
            </w:pPr>
            <w:r w:rsidRPr="00353CE2">
              <w:rPr>
                <w:color w:val="000000"/>
                <w:sz w:val="18"/>
                <w:szCs w:val="18"/>
              </w:rPr>
              <w:t>Attends DSC</w:t>
            </w:r>
            <w:r w:rsidR="00D065FF">
              <w:rPr>
                <w:color w:val="000000"/>
                <w:sz w:val="18"/>
                <w:szCs w:val="18"/>
              </w:rPr>
              <w:t xml:space="preserve"> </w:t>
            </w:r>
            <w:r w:rsidR="00D065FF" w:rsidRPr="00353CE2">
              <w:rPr>
                <w:color w:val="000000"/>
                <w:sz w:val="20"/>
                <w:szCs w:val="20"/>
              </w:rPr>
              <w:t>(%)</w:t>
            </w:r>
          </w:p>
        </w:tc>
        <w:tc>
          <w:tcPr>
            <w:tcW w:w="2025" w:type="dxa"/>
            <w:shd w:val="clear" w:color="auto" w:fill="auto"/>
            <w:vAlign w:val="center"/>
            <w:hideMark/>
          </w:tcPr>
          <w:p w14:paraId="6AD68899" w14:textId="77777777" w:rsidR="00757BD9" w:rsidRPr="00353CE2" w:rsidRDefault="00757BD9" w:rsidP="00757BD9">
            <w:pPr>
              <w:jc w:val="center"/>
              <w:rPr>
                <w:color w:val="000000"/>
                <w:sz w:val="18"/>
                <w:szCs w:val="18"/>
              </w:rPr>
            </w:pPr>
            <w:r w:rsidRPr="00353CE2">
              <w:rPr>
                <w:color w:val="000000"/>
                <w:sz w:val="18"/>
                <w:szCs w:val="18"/>
              </w:rPr>
              <w:t>26/35 (74·3)</w:t>
            </w:r>
          </w:p>
        </w:tc>
        <w:tc>
          <w:tcPr>
            <w:tcW w:w="1843" w:type="dxa"/>
            <w:shd w:val="clear" w:color="auto" w:fill="auto"/>
            <w:vAlign w:val="center"/>
            <w:hideMark/>
          </w:tcPr>
          <w:p w14:paraId="43434227" w14:textId="50367602" w:rsidR="00757BD9" w:rsidRPr="00353CE2" w:rsidRDefault="005A243E" w:rsidP="00757BD9">
            <w:pPr>
              <w:jc w:val="center"/>
              <w:rPr>
                <w:color w:val="000000"/>
                <w:sz w:val="18"/>
                <w:szCs w:val="18"/>
              </w:rPr>
            </w:pPr>
            <w:r>
              <w:rPr>
                <w:color w:val="000000"/>
                <w:sz w:val="18"/>
                <w:szCs w:val="18"/>
              </w:rPr>
              <w:t>62</w:t>
            </w:r>
            <w:r w:rsidR="00757BD9" w:rsidRPr="00353CE2">
              <w:rPr>
                <w:color w:val="000000"/>
                <w:sz w:val="18"/>
                <w:szCs w:val="18"/>
              </w:rPr>
              <w:t>/89 (69·7)</w:t>
            </w:r>
          </w:p>
        </w:tc>
        <w:tc>
          <w:tcPr>
            <w:tcW w:w="992" w:type="dxa"/>
            <w:shd w:val="clear" w:color="auto" w:fill="auto"/>
            <w:vAlign w:val="center"/>
            <w:hideMark/>
          </w:tcPr>
          <w:p w14:paraId="064DB3A7" w14:textId="77777777" w:rsidR="00757BD9" w:rsidRPr="00353CE2" w:rsidRDefault="00757BD9" w:rsidP="00757BD9">
            <w:pPr>
              <w:jc w:val="right"/>
              <w:rPr>
                <w:color w:val="000000"/>
                <w:sz w:val="18"/>
                <w:szCs w:val="18"/>
              </w:rPr>
            </w:pPr>
            <w:r w:rsidRPr="00353CE2">
              <w:rPr>
                <w:color w:val="000000"/>
                <w:sz w:val="18"/>
                <w:szCs w:val="18"/>
              </w:rPr>
              <w:t>0·61</w:t>
            </w:r>
          </w:p>
        </w:tc>
      </w:tr>
      <w:tr w:rsidR="00757BD9" w:rsidRPr="00353CE2" w14:paraId="7CC52B34" w14:textId="77777777" w:rsidTr="00757BD9">
        <w:trPr>
          <w:trHeight w:val="712"/>
        </w:trPr>
        <w:tc>
          <w:tcPr>
            <w:tcW w:w="1676" w:type="dxa"/>
            <w:tcBorders>
              <w:bottom w:val="single" w:sz="4" w:space="0" w:color="auto"/>
            </w:tcBorders>
            <w:shd w:val="clear" w:color="auto" w:fill="auto"/>
            <w:vAlign w:val="center"/>
            <w:hideMark/>
          </w:tcPr>
          <w:p w14:paraId="705A454A" w14:textId="6C14571E" w:rsidR="00757BD9" w:rsidRPr="00353CE2" w:rsidRDefault="00757BD9" w:rsidP="00757BD9">
            <w:pPr>
              <w:rPr>
                <w:color w:val="000000"/>
                <w:sz w:val="18"/>
                <w:szCs w:val="18"/>
              </w:rPr>
            </w:pPr>
            <w:r w:rsidRPr="00353CE2">
              <w:rPr>
                <w:color w:val="000000"/>
                <w:sz w:val="18"/>
                <w:szCs w:val="18"/>
              </w:rPr>
              <w:t>Current IDU</w:t>
            </w:r>
            <w:r w:rsidR="00D065FF">
              <w:rPr>
                <w:color w:val="000000"/>
                <w:sz w:val="18"/>
                <w:szCs w:val="18"/>
              </w:rPr>
              <w:t xml:space="preserve"> </w:t>
            </w:r>
            <w:r w:rsidR="00D065FF" w:rsidRPr="00353CE2">
              <w:rPr>
                <w:color w:val="000000"/>
                <w:sz w:val="20"/>
                <w:szCs w:val="20"/>
              </w:rPr>
              <w:t>(%)</w:t>
            </w:r>
          </w:p>
        </w:tc>
        <w:tc>
          <w:tcPr>
            <w:tcW w:w="2025" w:type="dxa"/>
            <w:tcBorders>
              <w:bottom w:val="single" w:sz="4" w:space="0" w:color="auto"/>
            </w:tcBorders>
            <w:shd w:val="clear" w:color="auto" w:fill="auto"/>
            <w:vAlign w:val="center"/>
            <w:hideMark/>
          </w:tcPr>
          <w:p w14:paraId="52211C65" w14:textId="77777777" w:rsidR="00757BD9" w:rsidRPr="00353CE2" w:rsidRDefault="00757BD9" w:rsidP="00757BD9">
            <w:pPr>
              <w:jc w:val="center"/>
              <w:rPr>
                <w:color w:val="000000"/>
                <w:sz w:val="18"/>
                <w:szCs w:val="18"/>
              </w:rPr>
            </w:pPr>
            <w:r w:rsidRPr="00353CE2">
              <w:rPr>
                <w:color w:val="000000"/>
                <w:sz w:val="18"/>
                <w:szCs w:val="18"/>
              </w:rPr>
              <w:t>27/37 (73·0)</w:t>
            </w:r>
          </w:p>
        </w:tc>
        <w:tc>
          <w:tcPr>
            <w:tcW w:w="1843" w:type="dxa"/>
            <w:tcBorders>
              <w:bottom w:val="single" w:sz="4" w:space="0" w:color="auto"/>
            </w:tcBorders>
            <w:shd w:val="clear" w:color="auto" w:fill="auto"/>
            <w:vAlign w:val="center"/>
            <w:hideMark/>
          </w:tcPr>
          <w:p w14:paraId="5B4B39EA" w14:textId="77777777" w:rsidR="00757BD9" w:rsidRPr="00353CE2" w:rsidRDefault="00757BD9" w:rsidP="00757BD9">
            <w:pPr>
              <w:jc w:val="center"/>
              <w:rPr>
                <w:color w:val="000000"/>
                <w:sz w:val="18"/>
                <w:szCs w:val="18"/>
              </w:rPr>
            </w:pPr>
            <w:r w:rsidRPr="00353CE2">
              <w:rPr>
                <w:color w:val="000000"/>
                <w:sz w:val="18"/>
                <w:szCs w:val="18"/>
              </w:rPr>
              <w:t>60/88 (68·2)</w:t>
            </w:r>
          </w:p>
        </w:tc>
        <w:tc>
          <w:tcPr>
            <w:tcW w:w="992" w:type="dxa"/>
            <w:tcBorders>
              <w:bottom w:val="single" w:sz="4" w:space="0" w:color="auto"/>
            </w:tcBorders>
            <w:shd w:val="clear" w:color="auto" w:fill="auto"/>
            <w:vAlign w:val="center"/>
            <w:hideMark/>
          </w:tcPr>
          <w:p w14:paraId="6FF99D12" w14:textId="77777777" w:rsidR="00757BD9" w:rsidRPr="00353CE2" w:rsidRDefault="00757BD9" w:rsidP="00757BD9">
            <w:pPr>
              <w:jc w:val="right"/>
              <w:rPr>
                <w:color w:val="000000"/>
                <w:sz w:val="18"/>
                <w:szCs w:val="18"/>
              </w:rPr>
            </w:pPr>
          </w:p>
          <w:p w14:paraId="560BBE4A" w14:textId="77777777" w:rsidR="00757BD9" w:rsidRPr="00353CE2" w:rsidRDefault="00757BD9" w:rsidP="00757BD9">
            <w:pPr>
              <w:jc w:val="right"/>
              <w:rPr>
                <w:color w:val="000000"/>
                <w:sz w:val="18"/>
                <w:szCs w:val="18"/>
              </w:rPr>
            </w:pPr>
            <w:r w:rsidRPr="00353CE2">
              <w:rPr>
                <w:color w:val="000000"/>
                <w:sz w:val="18"/>
                <w:szCs w:val="18"/>
              </w:rPr>
              <w:t>0·63</w:t>
            </w:r>
          </w:p>
          <w:p w14:paraId="1B8FF560" w14:textId="77777777" w:rsidR="00757BD9" w:rsidRPr="00353CE2" w:rsidRDefault="00757BD9" w:rsidP="00757BD9">
            <w:pPr>
              <w:jc w:val="right"/>
              <w:rPr>
                <w:color w:val="000000"/>
                <w:sz w:val="18"/>
                <w:szCs w:val="18"/>
              </w:rPr>
            </w:pPr>
          </w:p>
        </w:tc>
      </w:tr>
      <w:tr w:rsidR="00757BD9" w:rsidRPr="00353CE2" w14:paraId="46E93056" w14:textId="77777777" w:rsidTr="00757BD9">
        <w:trPr>
          <w:trHeight w:val="560"/>
        </w:trPr>
        <w:tc>
          <w:tcPr>
            <w:tcW w:w="1676" w:type="dxa"/>
            <w:tcBorders>
              <w:top w:val="single" w:sz="4" w:space="0" w:color="auto"/>
            </w:tcBorders>
            <w:shd w:val="clear" w:color="auto" w:fill="auto"/>
            <w:vAlign w:val="center"/>
            <w:hideMark/>
          </w:tcPr>
          <w:p w14:paraId="33176719" w14:textId="77777777" w:rsidR="00757BD9" w:rsidRPr="00353CE2" w:rsidRDefault="00757BD9" w:rsidP="00757BD9">
            <w:pPr>
              <w:rPr>
                <w:color w:val="000000"/>
                <w:sz w:val="18"/>
                <w:szCs w:val="18"/>
              </w:rPr>
            </w:pPr>
          </w:p>
          <w:p w14:paraId="23DAF1A4" w14:textId="50CCADE0" w:rsidR="00757BD9" w:rsidRPr="00353CE2" w:rsidRDefault="00206E1C" w:rsidP="00757BD9">
            <w:pPr>
              <w:rPr>
                <w:color w:val="000000"/>
                <w:sz w:val="18"/>
                <w:szCs w:val="18"/>
              </w:rPr>
            </w:pPr>
            <w:r>
              <w:rPr>
                <w:color w:val="000000"/>
                <w:sz w:val="18"/>
                <w:szCs w:val="18"/>
              </w:rPr>
              <w:t>Mean proportion of i</w:t>
            </w:r>
            <w:r w:rsidR="00757BD9" w:rsidRPr="00353CE2">
              <w:rPr>
                <w:color w:val="000000"/>
                <w:sz w:val="18"/>
                <w:szCs w:val="18"/>
              </w:rPr>
              <w:t xml:space="preserve">njecting partners HCV+ </w:t>
            </w:r>
            <w:r w:rsidR="00D065FF">
              <w:rPr>
                <w:color w:val="000000"/>
                <w:sz w:val="18"/>
                <w:szCs w:val="18"/>
              </w:rPr>
              <w:t>(SD)</w:t>
            </w:r>
          </w:p>
        </w:tc>
        <w:tc>
          <w:tcPr>
            <w:tcW w:w="2025" w:type="dxa"/>
            <w:tcBorders>
              <w:top w:val="single" w:sz="4" w:space="0" w:color="auto"/>
            </w:tcBorders>
            <w:shd w:val="clear" w:color="auto" w:fill="auto"/>
            <w:vAlign w:val="center"/>
            <w:hideMark/>
          </w:tcPr>
          <w:p w14:paraId="2174E5F7" w14:textId="7A4B317F" w:rsidR="00757BD9" w:rsidRPr="00353CE2" w:rsidRDefault="00757BD9" w:rsidP="00757BD9">
            <w:pPr>
              <w:jc w:val="center"/>
              <w:rPr>
                <w:color w:val="000000"/>
                <w:sz w:val="18"/>
                <w:szCs w:val="18"/>
              </w:rPr>
            </w:pPr>
            <w:r w:rsidRPr="00353CE2">
              <w:rPr>
                <w:color w:val="000000"/>
                <w:sz w:val="18"/>
                <w:szCs w:val="18"/>
              </w:rPr>
              <w:t>0·4</w:t>
            </w:r>
            <w:r w:rsidR="00D065FF">
              <w:rPr>
                <w:color w:val="000000"/>
                <w:sz w:val="18"/>
                <w:szCs w:val="18"/>
              </w:rPr>
              <w:t xml:space="preserve"> (0.4)</w:t>
            </w:r>
          </w:p>
        </w:tc>
        <w:tc>
          <w:tcPr>
            <w:tcW w:w="1843" w:type="dxa"/>
            <w:tcBorders>
              <w:top w:val="single" w:sz="4" w:space="0" w:color="auto"/>
            </w:tcBorders>
            <w:shd w:val="clear" w:color="auto" w:fill="auto"/>
            <w:vAlign w:val="center"/>
            <w:hideMark/>
          </w:tcPr>
          <w:p w14:paraId="1CA6EFDA" w14:textId="31B6BBB7" w:rsidR="00757BD9" w:rsidRPr="00353CE2" w:rsidRDefault="00757BD9" w:rsidP="00757BD9">
            <w:pPr>
              <w:jc w:val="center"/>
              <w:rPr>
                <w:color w:val="000000"/>
                <w:sz w:val="18"/>
                <w:szCs w:val="18"/>
              </w:rPr>
            </w:pPr>
            <w:r w:rsidRPr="00353CE2">
              <w:rPr>
                <w:color w:val="000000"/>
                <w:sz w:val="18"/>
                <w:szCs w:val="18"/>
              </w:rPr>
              <w:t>0·2</w:t>
            </w:r>
            <w:r w:rsidR="00D065FF">
              <w:rPr>
                <w:color w:val="000000"/>
                <w:sz w:val="18"/>
                <w:szCs w:val="18"/>
              </w:rPr>
              <w:t xml:space="preserve"> (0.3)</w:t>
            </w:r>
          </w:p>
        </w:tc>
        <w:tc>
          <w:tcPr>
            <w:tcW w:w="992" w:type="dxa"/>
            <w:tcBorders>
              <w:top w:val="single" w:sz="4" w:space="0" w:color="auto"/>
            </w:tcBorders>
            <w:shd w:val="clear" w:color="auto" w:fill="auto"/>
            <w:vAlign w:val="center"/>
            <w:hideMark/>
          </w:tcPr>
          <w:p w14:paraId="4B4C3DBC" w14:textId="77777777" w:rsidR="00757BD9" w:rsidRPr="00353CE2" w:rsidRDefault="00757BD9" w:rsidP="00757BD9">
            <w:pPr>
              <w:jc w:val="right"/>
              <w:rPr>
                <w:color w:val="000000"/>
                <w:sz w:val="18"/>
                <w:szCs w:val="18"/>
              </w:rPr>
            </w:pPr>
            <w:r w:rsidRPr="00353CE2">
              <w:rPr>
                <w:color w:val="000000"/>
                <w:sz w:val="18"/>
                <w:szCs w:val="18"/>
              </w:rPr>
              <w:t>0·006</w:t>
            </w:r>
          </w:p>
        </w:tc>
      </w:tr>
      <w:tr w:rsidR="00757BD9" w:rsidRPr="00353CE2" w14:paraId="24AC656A" w14:textId="77777777" w:rsidTr="00757BD9">
        <w:trPr>
          <w:trHeight w:val="300"/>
        </w:trPr>
        <w:tc>
          <w:tcPr>
            <w:tcW w:w="1676" w:type="dxa"/>
            <w:shd w:val="clear" w:color="auto" w:fill="auto"/>
            <w:vAlign w:val="center"/>
            <w:hideMark/>
          </w:tcPr>
          <w:p w14:paraId="7AF02150" w14:textId="77777777" w:rsidR="00757BD9" w:rsidRPr="00353CE2" w:rsidRDefault="00757BD9" w:rsidP="00757BD9">
            <w:pPr>
              <w:rPr>
                <w:color w:val="000000"/>
                <w:sz w:val="18"/>
                <w:szCs w:val="18"/>
              </w:rPr>
            </w:pPr>
          </w:p>
          <w:p w14:paraId="693B049A" w14:textId="5E6BF38F" w:rsidR="00757BD9" w:rsidRPr="00353CE2" w:rsidRDefault="00206E1C" w:rsidP="00757BD9">
            <w:pPr>
              <w:rPr>
                <w:color w:val="000000"/>
                <w:sz w:val="18"/>
                <w:szCs w:val="18"/>
              </w:rPr>
            </w:pPr>
            <w:r>
              <w:rPr>
                <w:color w:val="000000"/>
                <w:sz w:val="18"/>
                <w:szCs w:val="18"/>
              </w:rPr>
              <w:t>Mean i</w:t>
            </w:r>
            <w:r w:rsidR="00757BD9" w:rsidRPr="00353CE2">
              <w:rPr>
                <w:color w:val="000000"/>
                <w:sz w:val="18"/>
                <w:szCs w:val="18"/>
              </w:rPr>
              <w:t xml:space="preserve">njecting </w:t>
            </w:r>
            <w:r w:rsidR="00757BD9" w:rsidRPr="00353CE2">
              <w:rPr>
                <w:i/>
                <w:color w:val="000000"/>
                <w:sz w:val="18"/>
                <w:szCs w:val="18"/>
              </w:rPr>
              <w:t>degree</w:t>
            </w:r>
            <w:r w:rsidR="00D065FF">
              <w:rPr>
                <w:i/>
                <w:color w:val="000000"/>
                <w:sz w:val="18"/>
                <w:szCs w:val="18"/>
              </w:rPr>
              <w:t xml:space="preserve"> </w:t>
            </w:r>
            <w:r w:rsidR="00D065FF" w:rsidRPr="00D065FF">
              <w:rPr>
                <w:color w:val="000000"/>
                <w:sz w:val="18"/>
                <w:szCs w:val="18"/>
              </w:rPr>
              <w:t>(SD)</w:t>
            </w:r>
          </w:p>
        </w:tc>
        <w:tc>
          <w:tcPr>
            <w:tcW w:w="2025" w:type="dxa"/>
            <w:shd w:val="clear" w:color="auto" w:fill="auto"/>
            <w:vAlign w:val="center"/>
            <w:hideMark/>
          </w:tcPr>
          <w:p w14:paraId="4905EBD2" w14:textId="77777777" w:rsidR="006F0C58" w:rsidRDefault="006F0C58" w:rsidP="00757BD9">
            <w:pPr>
              <w:jc w:val="center"/>
              <w:rPr>
                <w:color w:val="000000"/>
                <w:sz w:val="18"/>
                <w:szCs w:val="18"/>
              </w:rPr>
            </w:pPr>
          </w:p>
          <w:p w14:paraId="182C829B" w14:textId="4A4C2895" w:rsidR="00757BD9" w:rsidRPr="00353CE2" w:rsidRDefault="00757BD9" w:rsidP="00757BD9">
            <w:pPr>
              <w:jc w:val="center"/>
              <w:rPr>
                <w:color w:val="000000"/>
                <w:sz w:val="18"/>
                <w:szCs w:val="18"/>
              </w:rPr>
            </w:pPr>
            <w:r w:rsidRPr="00353CE2">
              <w:rPr>
                <w:color w:val="000000"/>
                <w:sz w:val="18"/>
                <w:szCs w:val="18"/>
              </w:rPr>
              <w:t>3·3</w:t>
            </w:r>
            <w:r w:rsidR="00D065FF">
              <w:rPr>
                <w:color w:val="000000"/>
                <w:sz w:val="18"/>
                <w:szCs w:val="18"/>
              </w:rPr>
              <w:t xml:space="preserve"> (3.0)</w:t>
            </w:r>
          </w:p>
        </w:tc>
        <w:tc>
          <w:tcPr>
            <w:tcW w:w="1843" w:type="dxa"/>
            <w:shd w:val="clear" w:color="auto" w:fill="auto"/>
            <w:vAlign w:val="center"/>
            <w:hideMark/>
          </w:tcPr>
          <w:p w14:paraId="0334B5B4" w14:textId="77777777" w:rsidR="006F0C58" w:rsidRDefault="006F0C58" w:rsidP="00757BD9">
            <w:pPr>
              <w:jc w:val="center"/>
              <w:rPr>
                <w:color w:val="000000"/>
                <w:sz w:val="18"/>
                <w:szCs w:val="18"/>
              </w:rPr>
            </w:pPr>
          </w:p>
          <w:p w14:paraId="7E9B350B" w14:textId="66BDB272" w:rsidR="00757BD9" w:rsidRPr="00353CE2" w:rsidRDefault="00757BD9" w:rsidP="00757BD9">
            <w:pPr>
              <w:jc w:val="center"/>
              <w:rPr>
                <w:color w:val="000000"/>
                <w:sz w:val="18"/>
                <w:szCs w:val="18"/>
              </w:rPr>
            </w:pPr>
            <w:r w:rsidRPr="00353CE2">
              <w:rPr>
                <w:color w:val="000000"/>
                <w:sz w:val="18"/>
                <w:szCs w:val="18"/>
              </w:rPr>
              <w:t>3·3</w:t>
            </w:r>
            <w:r w:rsidR="00D065FF">
              <w:rPr>
                <w:color w:val="000000"/>
                <w:sz w:val="18"/>
                <w:szCs w:val="18"/>
              </w:rPr>
              <w:t xml:space="preserve"> (3.0)</w:t>
            </w:r>
          </w:p>
        </w:tc>
        <w:tc>
          <w:tcPr>
            <w:tcW w:w="992" w:type="dxa"/>
            <w:shd w:val="clear" w:color="auto" w:fill="auto"/>
            <w:vAlign w:val="center"/>
            <w:hideMark/>
          </w:tcPr>
          <w:p w14:paraId="182B68C6" w14:textId="77777777" w:rsidR="006F0C58" w:rsidRDefault="006F0C58" w:rsidP="00757BD9">
            <w:pPr>
              <w:jc w:val="right"/>
              <w:rPr>
                <w:color w:val="000000"/>
                <w:sz w:val="18"/>
                <w:szCs w:val="18"/>
              </w:rPr>
            </w:pPr>
          </w:p>
          <w:p w14:paraId="234EE4CE" w14:textId="77777777" w:rsidR="00757BD9" w:rsidRPr="00353CE2" w:rsidRDefault="00757BD9" w:rsidP="00757BD9">
            <w:pPr>
              <w:jc w:val="right"/>
              <w:rPr>
                <w:color w:val="000000"/>
                <w:sz w:val="18"/>
                <w:szCs w:val="18"/>
              </w:rPr>
            </w:pPr>
            <w:r w:rsidRPr="00353CE2">
              <w:rPr>
                <w:color w:val="000000"/>
                <w:sz w:val="18"/>
                <w:szCs w:val="18"/>
              </w:rPr>
              <w:t>0·95</w:t>
            </w:r>
          </w:p>
        </w:tc>
      </w:tr>
      <w:tr w:rsidR="000C687E" w:rsidRPr="00353CE2" w14:paraId="10CB8264" w14:textId="77777777" w:rsidTr="00206E1C">
        <w:trPr>
          <w:trHeight w:val="300"/>
        </w:trPr>
        <w:tc>
          <w:tcPr>
            <w:tcW w:w="1676" w:type="dxa"/>
            <w:shd w:val="clear" w:color="auto" w:fill="auto"/>
            <w:vAlign w:val="center"/>
          </w:tcPr>
          <w:p w14:paraId="71B38CDC" w14:textId="77777777" w:rsidR="000C687E" w:rsidRDefault="000C687E" w:rsidP="00757BD9">
            <w:pPr>
              <w:rPr>
                <w:color w:val="000000"/>
                <w:sz w:val="18"/>
                <w:szCs w:val="18"/>
              </w:rPr>
            </w:pPr>
          </w:p>
          <w:p w14:paraId="55E9CF3C" w14:textId="6E6B8F3C" w:rsidR="000C687E" w:rsidRPr="00353CE2" w:rsidRDefault="00206E1C" w:rsidP="00757BD9">
            <w:pPr>
              <w:rPr>
                <w:color w:val="000000"/>
                <w:sz w:val="18"/>
                <w:szCs w:val="18"/>
              </w:rPr>
            </w:pPr>
            <w:r>
              <w:rPr>
                <w:color w:val="000000"/>
                <w:sz w:val="18"/>
                <w:szCs w:val="18"/>
              </w:rPr>
              <w:t xml:space="preserve">Number in </w:t>
            </w:r>
            <w:r w:rsidR="000C687E">
              <w:rPr>
                <w:color w:val="000000"/>
                <w:sz w:val="18"/>
                <w:szCs w:val="18"/>
              </w:rPr>
              <w:t xml:space="preserve">2-core </w:t>
            </w:r>
            <w:r>
              <w:rPr>
                <w:color w:val="000000"/>
                <w:sz w:val="18"/>
                <w:szCs w:val="18"/>
              </w:rPr>
              <w:t>(%)</w:t>
            </w:r>
          </w:p>
        </w:tc>
        <w:tc>
          <w:tcPr>
            <w:tcW w:w="2025" w:type="dxa"/>
            <w:shd w:val="clear" w:color="auto" w:fill="auto"/>
            <w:vAlign w:val="center"/>
          </w:tcPr>
          <w:p w14:paraId="766C27DB" w14:textId="77777777" w:rsidR="000C687E" w:rsidRDefault="000C687E" w:rsidP="00757BD9">
            <w:pPr>
              <w:jc w:val="center"/>
              <w:rPr>
                <w:color w:val="000000"/>
                <w:sz w:val="18"/>
                <w:szCs w:val="18"/>
              </w:rPr>
            </w:pPr>
          </w:p>
          <w:p w14:paraId="05C025D7" w14:textId="3C318C74" w:rsidR="00206E1C" w:rsidRPr="00353CE2" w:rsidRDefault="00206E1C" w:rsidP="00757BD9">
            <w:pPr>
              <w:jc w:val="center"/>
              <w:rPr>
                <w:color w:val="000000"/>
                <w:sz w:val="18"/>
                <w:szCs w:val="18"/>
              </w:rPr>
            </w:pPr>
            <w:r>
              <w:rPr>
                <w:color w:val="000000"/>
                <w:sz w:val="18"/>
                <w:szCs w:val="18"/>
              </w:rPr>
              <w:t>13/38 (34</w:t>
            </w:r>
            <w:r w:rsidR="002C76DF">
              <w:rPr>
                <w:color w:val="000000"/>
                <w:sz w:val="18"/>
                <w:szCs w:val="18"/>
              </w:rPr>
              <w:t>.2</w:t>
            </w:r>
            <w:r>
              <w:rPr>
                <w:color w:val="000000"/>
                <w:sz w:val="18"/>
                <w:szCs w:val="18"/>
              </w:rPr>
              <w:t>)</w:t>
            </w:r>
          </w:p>
        </w:tc>
        <w:tc>
          <w:tcPr>
            <w:tcW w:w="1843" w:type="dxa"/>
            <w:shd w:val="clear" w:color="auto" w:fill="auto"/>
            <w:vAlign w:val="center"/>
          </w:tcPr>
          <w:p w14:paraId="34065C89" w14:textId="77777777" w:rsidR="000C687E" w:rsidRDefault="000C687E" w:rsidP="00757BD9">
            <w:pPr>
              <w:jc w:val="center"/>
              <w:rPr>
                <w:color w:val="000000"/>
                <w:sz w:val="18"/>
                <w:szCs w:val="18"/>
              </w:rPr>
            </w:pPr>
          </w:p>
          <w:p w14:paraId="377851F1" w14:textId="1D8CC36A" w:rsidR="00206E1C" w:rsidRPr="00353CE2" w:rsidRDefault="00206E1C" w:rsidP="00757BD9">
            <w:pPr>
              <w:jc w:val="center"/>
              <w:rPr>
                <w:color w:val="000000"/>
                <w:sz w:val="18"/>
                <w:szCs w:val="18"/>
              </w:rPr>
            </w:pPr>
            <w:r>
              <w:rPr>
                <w:color w:val="000000"/>
                <w:sz w:val="18"/>
                <w:szCs w:val="18"/>
              </w:rPr>
              <w:t>25/89 (</w:t>
            </w:r>
            <w:r w:rsidR="002C76DF">
              <w:rPr>
                <w:color w:val="000000"/>
                <w:sz w:val="18"/>
                <w:szCs w:val="18"/>
              </w:rPr>
              <w:t>28.1</w:t>
            </w:r>
            <w:r>
              <w:rPr>
                <w:color w:val="000000"/>
                <w:sz w:val="18"/>
                <w:szCs w:val="18"/>
              </w:rPr>
              <w:t>)</w:t>
            </w:r>
          </w:p>
        </w:tc>
        <w:tc>
          <w:tcPr>
            <w:tcW w:w="992" w:type="dxa"/>
            <w:shd w:val="clear" w:color="auto" w:fill="auto"/>
            <w:vAlign w:val="center"/>
          </w:tcPr>
          <w:p w14:paraId="052BBC34" w14:textId="77777777" w:rsidR="000C687E" w:rsidRDefault="000C687E" w:rsidP="00757BD9">
            <w:pPr>
              <w:jc w:val="right"/>
              <w:rPr>
                <w:color w:val="000000"/>
                <w:sz w:val="18"/>
                <w:szCs w:val="18"/>
              </w:rPr>
            </w:pPr>
          </w:p>
          <w:p w14:paraId="1DEC642B" w14:textId="79DFDB12" w:rsidR="00206E1C" w:rsidRPr="00353CE2" w:rsidRDefault="00206E1C" w:rsidP="00757BD9">
            <w:pPr>
              <w:jc w:val="right"/>
              <w:rPr>
                <w:color w:val="000000"/>
                <w:sz w:val="18"/>
                <w:szCs w:val="18"/>
              </w:rPr>
            </w:pPr>
            <w:r>
              <w:rPr>
                <w:color w:val="000000"/>
                <w:sz w:val="18"/>
                <w:szCs w:val="18"/>
              </w:rPr>
              <w:t>0.37</w:t>
            </w:r>
          </w:p>
        </w:tc>
      </w:tr>
      <w:tr w:rsidR="00757BD9" w:rsidRPr="00353CE2" w14:paraId="02EB26E5" w14:textId="77777777" w:rsidTr="00757BD9">
        <w:trPr>
          <w:trHeight w:val="300"/>
        </w:trPr>
        <w:tc>
          <w:tcPr>
            <w:tcW w:w="1676" w:type="dxa"/>
            <w:tcBorders>
              <w:bottom w:val="single" w:sz="4" w:space="0" w:color="auto"/>
            </w:tcBorders>
            <w:shd w:val="clear" w:color="auto" w:fill="auto"/>
            <w:vAlign w:val="center"/>
            <w:hideMark/>
          </w:tcPr>
          <w:p w14:paraId="04BB5E4A" w14:textId="77777777" w:rsidR="00757BD9" w:rsidRPr="00353CE2" w:rsidRDefault="00757BD9" w:rsidP="00757BD9">
            <w:pPr>
              <w:rPr>
                <w:color w:val="000000"/>
                <w:sz w:val="18"/>
                <w:szCs w:val="18"/>
              </w:rPr>
            </w:pPr>
          </w:p>
          <w:p w14:paraId="231CFB00" w14:textId="637E671C" w:rsidR="00757BD9" w:rsidRDefault="00206E1C" w:rsidP="00757BD9">
            <w:pPr>
              <w:rPr>
                <w:color w:val="000000"/>
                <w:sz w:val="18"/>
                <w:szCs w:val="18"/>
              </w:rPr>
            </w:pPr>
            <w:r>
              <w:rPr>
                <w:color w:val="000000"/>
                <w:sz w:val="18"/>
                <w:szCs w:val="18"/>
              </w:rPr>
              <w:t xml:space="preserve">Mean </w:t>
            </w:r>
            <w:r w:rsidR="00757BD9" w:rsidRPr="00353CE2">
              <w:rPr>
                <w:color w:val="000000"/>
                <w:sz w:val="18"/>
                <w:szCs w:val="18"/>
              </w:rPr>
              <w:t>2 step</w:t>
            </w:r>
            <w:r>
              <w:rPr>
                <w:color w:val="000000"/>
                <w:sz w:val="18"/>
                <w:szCs w:val="18"/>
              </w:rPr>
              <w:t xml:space="preserve">-reach </w:t>
            </w:r>
            <w:r w:rsidR="00591C1D">
              <w:rPr>
                <w:color w:val="000000"/>
                <w:sz w:val="18"/>
                <w:szCs w:val="18"/>
              </w:rPr>
              <w:t>centrality</w:t>
            </w:r>
          </w:p>
          <w:p w14:paraId="28E46865" w14:textId="6BFA534E" w:rsidR="00D065FF" w:rsidRPr="00353CE2" w:rsidRDefault="00D065FF" w:rsidP="00757BD9">
            <w:pPr>
              <w:rPr>
                <w:color w:val="000000"/>
                <w:sz w:val="18"/>
                <w:szCs w:val="18"/>
              </w:rPr>
            </w:pPr>
            <w:r>
              <w:rPr>
                <w:color w:val="000000"/>
                <w:sz w:val="18"/>
                <w:szCs w:val="18"/>
              </w:rPr>
              <w:t>(SD)</w:t>
            </w:r>
          </w:p>
          <w:p w14:paraId="29D5F8BB" w14:textId="77777777" w:rsidR="00757BD9" w:rsidRPr="00353CE2" w:rsidRDefault="00757BD9" w:rsidP="00757BD9">
            <w:pPr>
              <w:rPr>
                <w:color w:val="000000"/>
                <w:sz w:val="18"/>
                <w:szCs w:val="18"/>
              </w:rPr>
            </w:pPr>
          </w:p>
        </w:tc>
        <w:tc>
          <w:tcPr>
            <w:tcW w:w="2025" w:type="dxa"/>
            <w:tcBorders>
              <w:bottom w:val="single" w:sz="4" w:space="0" w:color="auto"/>
            </w:tcBorders>
            <w:shd w:val="clear" w:color="auto" w:fill="auto"/>
            <w:vAlign w:val="center"/>
            <w:hideMark/>
          </w:tcPr>
          <w:p w14:paraId="10B3ED96" w14:textId="1673A2D9" w:rsidR="00757BD9" w:rsidRPr="00353CE2" w:rsidRDefault="00757BD9" w:rsidP="00757BD9">
            <w:pPr>
              <w:jc w:val="center"/>
              <w:rPr>
                <w:color w:val="000000"/>
                <w:sz w:val="18"/>
                <w:szCs w:val="18"/>
              </w:rPr>
            </w:pPr>
            <w:r w:rsidRPr="00353CE2">
              <w:rPr>
                <w:color w:val="000000"/>
                <w:sz w:val="18"/>
                <w:szCs w:val="18"/>
              </w:rPr>
              <w:t>15·2</w:t>
            </w:r>
            <w:r w:rsidR="00D065FF">
              <w:rPr>
                <w:color w:val="000000"/>
                <w:sz w:val="18"/>
                <w:szCs w:val="18"/>
              </w:rPr>
              <w:t xml:space="preserve"> (12.4)</w:t>
            </w:r>
          </w:p>
        </w:tc>
        <w:tc>
          <w:tcPr>
            <w:tcW w:w="1843" w:type="dxa"/>
            <w:tcBorders>
              <w:bottom w:val="single" w:sz="4" w:space="0" w:color="auto"/>
            </w:tcBorders>
            <w:shd w:val="clear" w:color="auto" w:fill="auto"/>
            <w:vAlign w:val="center"/>
            <w:hideMark/>
          </w:tcPr>
          <w:p w14:paraId="61AE4A30" w14:textId="6D3B13BB" w:rsidR="00757BD9" w:rsidRPr="00353CE2" w:rsidRDefault="00757BD9" w:rsidP="00757BD9">
            <w:pPr>
              <w:jc w:val="center"/>
              <w:rPr>
                <w:color w:val="000000"/>
                <w:sz w:val="18"/>
                <w:szCs w:val="18"/>
              </w:rPr>
            </w:pPr>
            <w:r w:rsidRPr="00353CE2">
              <w:rPr>
                <w:color w:val="000000"/>
                <w:sz w:val="18"/>
                <w:szCs w:val="18"/>
              </w:rPr>
              <w:t>14·6</w:t>
            </w:r>
            <w:r w:rsidR="00D065FF">
              <w:rPr>
                <w:color w:val="000000"/>
                <w:sz w:val="18"/>
                <w:szCs w:val="18"/>
              </w:rPr>
              <w:t xml:space="preserve"> (11.8)</w:t>
            </w:r>
          </w:p>
        </w:tc>
        <w:tc>
          <w:tcPr>
            <w:tcW w:w="992" w:type="dxa"/>
            <w:tcBorders>
              <w:bottom w:val="single" w:sz="4" w:space="0" w:color="auto"/>
            </w:tcBorders>
            <w:shd w:val="clear" w:color="auto" w:fill="auto"/>
            <w:vAlign w:val="center"/>
            <w:hideMark/>
          </w:tcPr>
          <w:p w14:paraId="76610434" w14:textId="77777777" w:rsidR="00757BD9" w:rsidRPr="00353CE2" w:rsidRDefault="00757BD9" w:rsidP="00757BD9">
            <w:pPr>
              <w:jc w:val="right"/>
              <w:rPr>
                <w:color w:val="000000"/>
                <w:sz w:val="18"/>
                <w:szCs w:val="18"/>
              </w:rPr>
            </w:pPr>
            <w:r w:rsidRPr="00353CE2">
              <w:rPr>
                <w:color w:val="000000"/>
                <w:sz w:val="18"/>
                <w:szCs w:val="18"/>
              </w:rPr>
              <w:t>0·78</w:t>
            </w:r>
          </w:p>
        </w:tc>
      </w:tr>
    </w:tbl>
    <w:p w14:paraId="123FD72A" w14:textId="77777777" w:rsidR="00757BD9" w:rsidRDefault="00757BD9" w:rsidP="00757BD9">
      <w:pPr>
        <w:jc w:val="both"/>
        <w:rPr>
          <w:sz w:val="18"/>
          <w:szCs w:val="18"/>
        </w:rPr>
      </w:pPr>
    </w:p>
    <w:p w14:paraId="362E3409" w14:textId="77777777" w:rsidR="00757BD9" w:rsidRPr="00353CE2" w:rsidRDefault="00757BD9" w:rsidP="00353CE2">
      <w:pPr>
        <w:spacing w:line="480" w:lineRule="auto"/>
        <w:jc w:val="both"/>
      </w:pPr>
      <w:r w:rsidRPr="00353CE2">
        <w:rPr>
          <w:rFonts w:cs="Times"/>
          <w:color w:val="151617"/>
          <w:lang w:val="en-US"/>
        </w:rPr>
        <w:t>†</w:t>
      </w:r>
      <w:r w:rsidRPr="00353CE2">
        <w:t>The significant variables (</w:t>
      </w:r>
      <w:r w:rsidRPr="00353CE2">
        <w:rPr>
          <w:i/>
        </w:rPr>
        <w:t>p</w:t>
      </w:r>
      <w:r w:rsidRPr="00353CE2">
        <w:t xml:space="preserve">&lt;0.05) did not change with analysis of pooled multiple imputation data. </w:t>
      </w:r>
      <w:r w:rsidRPr="00353CE2">
        <w:rPr>
          <w:i/>
        </w:rPr>
        <w:t>p values</w:t>
      </w:r>
      <w:r w:rsidRPr="00353CE2">
        <w:t xml:space="preserve"> are calculated with SPSS for MAC version 25 using </w:t>
      </w:r>
      <w:r w:rsidRPr="00353CE2">
        <w:rPr>
          <w:i/>
        </w:rPr>
        <w:t>chi-squared</w:t>
      </w:r>
      <w:r w:rsidRPr="00353CE2">
        <w:t xml:space="preserve"> test for categorical variables and independent </w:t>
      </w:r>
      <w:r w:rsidRPr="00353CE2">
        <w:rPr>
          <w:i/>
        </w:rPr>
        <w:t>t-test</w:t>
      </w:r>
      <w:r w:rsidRPr="00353CE2">
        <w:t xml:space="preserve"> for continuous variables.</w:t>
      </w:r>
    </w:p>
    <w:p w14:paraId="258F1C95" w14:textId="1C8B6870" w:rsidR="00757BD9" w:rsidRPr="00353CE2" w:rsidRDefault="00757BD9" w:rsidP="00353CE2">
      <w:pPr>
        <w:spacing w:line="480" w:lineRule="auto"/>
        <w:jc w:val="both"/>
      </w:pPr>
      <w:r w:rsidRPr="00353CE2">
        <w:t>HCV– Hepatitis C; DSC – Drug support centre; IDU – injecting drug use (within the last 30days)</w:t>
      </w:r>
      <w:r w:rsidR="00D065FF">
        <w:t>, SD - Standard deviation</w:t>
      </w:r>
      <w:r w:rsidRPr="00353CE2">
        <w:br w:type="page"/>
      </w:r>
    </w:p>
    <w:p w14:paraId="5873EC94" w14:textId="77777777" w:rsidR="003D2293" w:rsidRDefault="003D2293" w:rsidP="000917DB">
      <w:pPr>
        <w:spacing w:line="360" w:lineRule="auto"/>
        <w:jc w:val="both"/>
      </w:pPr>
    </w:p>
    <w:p w14:paraId="2C9EE61B" w14:textId="74E1A4EB" w:rsidR="00757BD9" w:rsidRDefault="00757BD9" w:rsidP="00C55221">
      <w:pPr>
        <w:pStyle w:val="Heading6"/>
        <w:rPr>
          <w:rFonts w:asciiTheme="minorHAnsi" w:hAnsiTheme="minorHAnsi"/>
          <w:b/>
          <w:sz w:val="24"/>
          <w:szCs w:val="24"/>
        </w:rPr>
      </w:pPr>
    </w:p>
    <w:p w14:paraId="7176ABF4" w14:textId="1EB7B6EF" w:rsidR="00757BD9" w:rsidRPr="00757BD9" w:rsidRDefault="00075571" w:rsidP="00757BD9">
      <w:pPr>
        <w:pStyle w:val="Heading6"/>
        <w:spacing w:line="480" w:lineRule="auto"/>
        <w:rPr>
          <w:rFonts w:asciiTheme="minorHAnsi" w:hAnsiTheme="minorHAnsi"/>
          <w:b/>
          <w:sz w:val="24"/>
          <w:szCs w:val="24"/>
        </w:rPr>
      </w:pPr>
      <w:bookmarkStart w:id="3" w:name="_Toc372192392"/>
      <w:r>
        <w:rPr>
          <w:noProof/>
        </w:rPr>
        <w:drawing>
          <wp:inline distT="0" distB="0" distL="0" distR="0" wp14:anchorId="08F1A0F4" wp14:editId="5E650E0C">
            <wp:extent cx="5270500" cy="3380105"/>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0500" cy="3380105"/>
                    </a:xfrm>
                    <a:prstGeom prst="rect">
                      <a:avLst/>
                    </a:prstGeom>
                    <a:noFill/>
                    <a:ln>
                      <a:noFill/>
                    </a:ln>
                  </pic:spPr>
                </pic:pic>
              </a:graphicData>
            </a:graphic>
          </wp:inline>
        </w:drawing>
      </w:r>
    </w:p>
    <w:p w14:paraId="63A9A68E" w14:textId="7B7BF6B0" w:rsidR="00075571" w:rsidRDefault="00757BD9" w:rsidP="00757BD9">
      <w:pPr>
        <w:pStyle w:val="Heading6"/>
        <w:spacing w:line="480" w:lineRule="auto"/>
        <w:rPr>
          <w:rFonts w:asciiTheme="minorHAnsi" w:hAnsiTheme="minorHAnsi"/>
          <w:sz w:val="24"/>
          <w:szCs w:val="24"/>
        </w:rPr>
      </w:pPr>
      <w:r w:rsidRPr="00757BD9">
        <w:rPr>
          <w:rFonts w:asciiTheme="minorHAnsi" w:hAnsiTheme="minorHAnsi"/>
          <w:b/>
          <w:sz w:val="24"/>
          <w:szCs w:val="24"/>
        </w:rPr>
        <w:t xml:space="preserve">Figure 1 </w:t>
      </w:r>
      <w:r w:rsidRPr="00757BD9">
        <w:rPr>
          <w:rFonts w:asciiTheme="minorHAnsi" w:hAnsiTheme="minorHAnsi"/>
          <w:sz w:val="24"/>
          <w:szCs w:val="24"/>
        </w:rPr>
        <w:t>Stochastic model of Hepatitis C transmission and treatment. Treatment pathway (greyed out) is applicable in Scenarios 2 and 3. Numbers correspond to specific transition probabilities between states in the model.</w:t>
      </w:r>
      <w:bookmarkEnd w:id="3"/>
    </w:p>
    <w:p w14:paraId="5DB3C315" w14:textId="77777777" w:rsidR="00075571" w:rsidRDefault="00075571">
      <w:pPr>
        <w:rPr>
          <w:color w:val="000000" w:themeColor="text1"/>
          <w:kern w:val="24"/>
          <w:lang w:val="en-US"/>
        </w:rPr>
      </w:pPr>
      <w:r>
        <w:br w:type="page"/>
      </w:r>
    </w:p>
    <w:p w14:paraId="498481FF" w14:textId="6DDDBFDC" w:rsidR="00757BD9" w:rsidRPr="00757BD9" w:rsidRDefault="00075571" w:rsidP="00757BD9">
      <w:pPr>
        <w:pStyle w:val="Heading6"/>
        <w:spacing w:line="480" w:lineRule="auto"/>
        <w:rPr>
          <w:rFonts w:asciiTheme="minorHAnsi" w:hAnsiTheme="minorHAnsi"/>
          <w:b/>
          <w:sz w:val="24"/>
          <w:szCs w:val="24"/>
        </w:rPr>
      </w:pPr>
      <w:r>
        <w:rPr>
          <w:noProof/>
          <w:color w:val="FF0000"/>
        </w:rPr>
        <w:lastRenderedPageBreak/>
        <w:drawing>
          <wp:inline distT="0" distB="0" distL="0" distR="0" wp14:anchorId="6F164E4F" wp14:editId="4515219E">
            <wp:extent cx="5270500" cy="2989580"/>
            <wp:effectExtent l="0" t="0" r="12700"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0500" cy="2989580"/>
                    </a:xfrm>
                    <a:prstGeom prst="rect">
                      <a:avLst/>
                    </a:prstGeom>
                    <a:noFill/>
                    <a:ln>
                      <a:noFill/>
                    </a:ln>
                  </pic:spPr>
                </pic:pic>
              </a:graphicData>
            </a:graphic>
          </wp:inline>
        </w:drawing>
      </w:r>
    </w:p>
    <w:p w14:paraId="0F80C7FB" w14:textId="77777777" w:rsidR="00757BD9" w:rsidRPr="00757BD9" w:rsidRDefault="00757BD9" w:rsidP="00757BD9">
      <w:pPr>
        <w:spacing w:line="480" w:lineRule="auto"/>
      </w:pPr>
    </w:p>
    <w:p w14:paraId="3B7FCAC1" w14:textId="4E5BEB29" w:rsidR="00075571" w:rsidRDefault="00C55221" w:rsidP="00757BD9">
      <w:pPr>
        <w:pStyle w:val="Heading6"/>
        <w:spacing w:line="480" w:lineRule="auto"/>
        <w:rPr>
          <w:rFonts w:asciiTheme="minorHAnsi" w:hAnsiTheme="minorHAnsi"/>
          <w:sz w:val="24"/>
          <w:szCs w:val="24"/>
        </w:rPr>
      </w:pPr>
      <w:r w:rsidRPr="00757BD9">
        <w:rPr>
          <w:rFonts w:asciiTheme="minorHAnsi" w:hAnsiTheme="minorHAnsi"/>
          <w:b/>
          <w:sz w:val="24"/>
          <w:szCs w:val="24"/>
        </w:rPr>
        <w:t xml:space="preserve">Figure 2 </w:t>
      </w:r>
      <w:r w:rsidRPr="00757BD9">
        <w:rPr>
          <w:rFonts w:asciiTheme="minorHAnsi" w:hAnsiTheme="minorHAnsi"/>
          <w:sz w:val="24"/>
          <w:szCs w:val="24"/>
        </w:rPr>
        <w:t>The injecting network. Nodes indicate a person who injects drugs and lines indicate an injecting partnership. Red nodes are Hepatitis C positive and isolated nodes are not shown</w:t>
      </w:r>
      <w:r w:rsidR="00591C1D">
        <w:rPr>
          <w:rFonts w:asciiTheme="minorHAnsi" w:hAnsiTheme="minorHAnsi"/>
          <w:sz w:val="24"/>
          <w:szCs w:val="24"/>
        </w:rPr>
        <w:t>.</w:t>
      </w:r>
      <w:r w:rsidRPr="00757BD9">
        <w:rPr>
          <w:rFonts w:asciiTheme="minorHAnsi" w:hAnsiTheme="minorHAnsi"/>
          <w:sz w:val="24"/>
          <w:szCs w:val="24"/>
        </w:rPr>
        <w:t xml:space="preserve"> </w:t>
      </w:r>
    </w:p>
    <w:p w14:paraId="37595CE9" w14:textId="77777777" w:rsidR="00075571" w:rsidRDefault="00075571">
      <w:pPr>
        <w:rPr>
          <w:color w:val="000000" w:themeColor="text1"/>
          <w:kern w:val="24"/>
          <w:lang w:val="en-US"/>
        </w:rPr>
      </w:pPr>
      <w:r>
        <w:br w:type="page"/>
      </w:r>
    </w:p>
    <w:p w14:paraId="21BF98F6" w14:textId="77777777" w:rsidR="00C55221" w:rsidRPr="00757BD9" w:rsidRDefault="00C55221" w:rsidP="00757BD9">
      <w:pPr>
        <w:pStyle w:val="Heading6"/>
        <w:spacing w:line="480" w:lineRule="auto"/>
        <w:rPr>
          <w:rFonts w:asciiTheme="minorHAnsi" w:hAnsiTheme="minorHAnsi"/>
          <w:b/>
          <w:sz w:val="24"/>
          <w:szCs w:val="24"/>
        </w:rPr>
      </w:pPr>
    </w:p>
    <w:p w14:paraId="75CD62D8" w14:textId="66A28B84" w:rsidR="00C55221" w:rsidRPr="00757BD9" w:rsidRDefault="00075571" w:rsidP="00757BD9">
      <w:pPr>
        <w:widowControl w:val="0"/>
        <w:autoSpaceDE w:val="0"/>
        <w:autoSpaceDN w:val="0"/>
        <w:adjustRightInd w:val="0"/>
        <w:spacing w:line="480" w:lineRule="auto"/>
      </w:pPr>
      <w:r w:rsidRPr="00873862">
        <w:rPr>
          <w:noProof/>
          <w:lang w:val="en-US"/>
        </w:rPr>
        <w:drawing>
          <wp:inline distT="0" distB="0" distL="0" distR="0" wp14:anchorId="04CF4357" wp14:editId="2252E0CF">
            <wp:extent cx="5270500" cy="3435350"/>
            <wp:effectExtent l="0" t="0" r="127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0500" cy="3435350"/>
                    </a:xfrm>
                    <a:prstGeom prst="rect">
                      <a:avLst/>
                    </a:prstGeom>
                    <a:noFill/>
                    <a:ln>
                      <a:noFill/>
                    </a:ln>
                  </pic:spPr>
                </pic:pic>
              </a:graphicData>
            </a:graphic>
          </wp:inline>
        </w:drawing>
      </w:r>
    </w:p>
    <w:p w14:paraId="4C00B396" w14:textId="2C7B3771" w:rsidR="00075571" w:rsidRDefault="00C55221" w:rsidP="00757BD9">
      <w:pPr>
        <w:pStyle w:val="Heading6"/>
        <w:spacing w:line="480" w:lineRule="auto"/>
        <w:rPr>
          <w:rFonts w:asciiTheme="minorHAnsi" w:hAnsiTheme="minorHAnsi"/>
          <w:sz w:val="24"/>
          <w:szCs w:val="24"/>
        </w:rPr>
      </w:pPr>
      <w:r w:rsidRPr="00757BD9">
        <w:rPr>
          <w:rFonts w:asciiTheme="minorHAnsi" w:hAnsiTheme="minorHAnsi"/>
          <w:b/>
          <w:sz w:val="24"/>
          <w:szCs w:val="24"/>
        </w:rPr>
        <w:t>Figure 3</w:t>
      </w:r>
      <w:r w:rsidRPr="00757BD9">
        <w:rPr>
          <w:rFonts w:asciiTheme="minorHAnsi" w:hAnsiTheme="minorHAnsi"/>
          <w:sz w:val="24"/>
          <w:szCs w:val="24"/>
        </w:rPr>
        <w:t xml:space="preserve"> </w:t>
      </w:r>
      <w:proofErr w:type="spellStart"/>
      <w:r w:rsidRPr="00757BD9">
        <w:rPr>
          <w:rFonts w:asciiTheme="minorHAnsi" w:hAnsiTheme="minorHAnsi"/>
          <w:sz w:val="24"/>
          <w:szCs w:val="24"/>
        </w:rPr>
        <w:t>Kernal</w:t>
      </w:r>
      <w:proofErr w:type="spellEnd"/>
      <w:r w:rsidRPr="00757BD9">
        <w:rPr>
          <w:rFonts w:asciiTheme="minorHAnsi" w:hAnsiTheme="minorHAnsi"/>
          <w:sz w:val="24"/>
          <w:szCs w:val="24"/>
        </w:rPr>
        <w:t xml:space="preserve"> plots comparing the frequency distribution of the number of injecting relationships (i.e. degree size) per person in the network (shaded) and</w:t>
      </w:r>
      <w:r w:rsidR="007D4003" w:rsidRPr="00757BD9">
        <w:rPr>
          <w:rFonts w:asciiTheme="minorHAnsi" w:hAnsiTheme="minorHAnsi"/>
          <w:sz w:val="24"/>
          <w:szCs w:val="24"/>
        </w:rPr>
        <w:t>,</w:t>
      </w:r>
      <w:r w:rsidRPr="00757BD9">
        <w:rPr>
          <w:rFonts w:asciiTheme="minorHAnsi" w:hAnsiTheme="minorHAnsi"/>
          <w:sz w:val="24"/>
          <w:szCs w:val="24"/>
        </w:rPr>
        <w:t xml:space="preserve"> </w:t>
      </w:r>
      <w:r w:rsidR="007D4003" w:rsidRPr="00757BD9">
        <w:rPr>
          <w:rFonts w:asciiTheme="minorHAnsi" w:hAnsiTheme="minorHAnsi"/>
          <w:sz w:val="24"/>
          <w:szCs w:val="24"/>
        </w:rPr>
        <w:t xml:space="preserve">for comparison, </w:t>
      </w:r>
      <w:r w:rsidRPr="00757BD9">
        <w:rPr>
          <w:rFonts w:asciiTheme="minorHAnsi" w:hAnsiTheme="minorHAnsi"/>
          <w:sz w:val="24"/>
          <w:szCs w:val="24"/>
        </w:rPr>
        <w:t>a</w:t>
      </w:r>
      <w:r w:rsidR="00591C1D">
        <w:rPr>
          <w:rFonts w:asciiTheme="minorHAnsi" w:hAnsiTheme="minorHAnsi"/>
          <w:sz w:val="24"/>
          <w:szCs w:val="24"/>
        </w:rPr>
        <w:t>n</w:t>
      </w:r>
      <w:r w:rsidRPr="00757BD9">
        <w:rPr>
          <w:rFonts w:asciiTheme="minorHAnsi" w:hAnsiTheme="minorHAnsi"/>
          <w:sz w:val="24"/>
          <w:szCs w:val="24"/>
        </w:rPr>
        <w:t xml:space="preserve"> </w:t>
      </w:r>
      <w:proofErr w:type="spellStart"/>
      <w:r w:rsidRPr="00757BD9">
        <w:rPr>
          <w:rFonts w:asciiTheme="minorHAnsi" w:hAnsiTheme="minorHAnsi"/>
          <w:sz w:val="24"/>
          <w:szCs w:val="24"/>
        </w:rPr>
        <w:t>Erdos-Renyi</w:t>
      </w:r>
      <w:proofErr w:type="spellEnd"/>
      <w:r w:rsidRPr="00757BD9">
        <w:rPr>
          <w:rFonts w:asciiTheme="minorHAnsi" w:hAnsiTheme="minorHAnsi"/>
          <w:sz w:val="24"/>
          <w:szCs w:val="24"/>
        </w:rPr>
        <w:t xml:space="preserve"> network (unshaded)</w:t>
      </w:r>
      <w:r w:rsidR="00591C1D">
        <w:rPr>
          <w:rFonts w:asciiTheme="minorHAnsi" w:hAnsiTheme="minorHAnsi"/>
          <w:sz w:val="24"/>
          <w:szCs w:val="24"/>
        </w:rPr>
        <w:t>.</w:t>
      </w:r>
      <w:r w:rsidRPr="00757BD9">
        <w:rPr>
          <w:rFonts w:asciiTheme="minorHAnsi" w:hAnsiTheme="minorHAnsi"/>
          <w:sz w:val="24"/>
          <w:szCs w:val="24"/>
        </w:rPr>
        <w:t xml:space="preserve"> </w:t>
      </w:r>
    </w:p>
    <w:p w14:paraId="0E0AA4A6" w14:textId="77777777" w:rsidR="00075571" w:rsidRDefault="00075571">
      <w:pPr>
        <w:rPr>
          <w:color w:val="000000" w:themeColor="text1"/>
          <w:kern w:val="24"/>
          <w:lang w:val="en-US"/>
        </w:rPr>
      </w:pPr>
      <w:r>
        <w:br w:type="page"/>
      </w:r>
    </w:p>
    <w:p w14:paraId="5951A6DC" w14:textId="495B296E" w:rsidR="00C55221" w:rsidRPr="00757BD9" w:rsidRDefault="00075571" w:rsidP="00757BD9">
      <w:pPr>
        <w:pStyle w:val="Heading6"/>
        <w:spacing w:line="480" w:lineRule="auto"/>
        <w:rPr>
          <w:rFonts w:asciiTheme="minorHAnsi" w:hAnsiTheme="minorHAnsi"/>
          <w:sz w:val="24"/>
          <w:szCs w:val="24"/>
        </w:rPr>
      </w:pPr>
      <w:r>
        <w:rPr>
          <w:b/>
          <w:noProof/>
        </w:rPr>
        <w:lastRenderedPageBreak/>
        <w:drawing>
          <wp:inline distT="0" distB="0" distL="0" distR="0" wp14:anchorId="4951327C" wp14:editId="04BFCE0D">
            <wp:extent cx="5270500" cy="4538345"/>
            <wp:effectExtent l="0" t="0" r="12700" b="825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500" cy="4538345"/>
                    </a:xfrm>
                    <a:prstGeom prst="rect">
                      <a:avLst/>
                    </a:prstGeom>
                    <a:noFill/>
                    <a:ln>
                      <a:noFill/>
                    </a:ln>
                  </pic:spPr>
                </pic:pic>
              </a:graphicData>
            </a:graphic>
          </wp:inline>
        </w:drawing>
      </w:r>
    </w:p>
    <w:p w14:paraId="51F66DB0" w14:textId="77777777" w:rsidR="00C55221" w:rsidRPr="00757BD9" w:rsidRDefault="00C55221" w:rsidP="00757BD9">
      <w:pPr>
        <w:widowControl w:val="0"/>
        <w:autoSpaceDE w:val="0"/>
        <w:autoSpaceDN w:val="0"/>
        <w:adjustRightInd w:val="0"/>
        <w:spacing w:line="480" w:lineRule="auto"/>
      </w:pPr>
    </w:p>
    <w:p w14:paraId="4A377141" w14:textId="5BF9BA9F" w:rsidR="00C55221" w:rsidRPr="00757BD9" w:rsidRDefault="00C55221" w:rsidP="00757BD9">
      <w:pPr>
        <w:pStyle w:val="Heading6"/>
        <w:spacing w:line="480" w:lineRule="auto"/>
        <w:rPr>
          <w:rFonts w:asciiTheme="minorHAnsi" w:hAnsiTheme="minorHAnsi"/>
          <w:sz w:val="24"/>
          <w:szCs w:val="24"/>
        </w:rPr>
      </w:pPr>
      <w:bookmarkStart w:id="4" w:name="_Toc372192409"/>
      <w:r w:rsidRPr="00757BD9">
        <w:rPr>
          <w:rFonts w:asciiTheme="minorHAnsi" w:hAnsiTheme="minorHAnsi"/>
          <w:b/>
          <w:sz w:val="24"/>
          <w:szCs w:val="24"/>
        </w:rPr>
        <w:t xml:space="preserve">Figure 4 </w:t>
      </w:r>
      <w:r w:rsidR="00D45D1E" w:rsidRPr="00757BD9">
        <w:rPr>
          <w:rFonts w:asciiTheme="minorHAnsi" w:hAnsiTheme="minorHAnsi"/>
          <w:sz w:val="24"/>
          <w:szCs w:val="24"/>
        </w:rPr>
        <w:t>Plots</w:t>
      </w:r>
      <w:r w:rsidRPr="00757BD9">
        <w:rPr>
          <w:rFonts w:asciiTheme="minorHAnsi" w:hAnsiTheme="minorHAnsi"/>
          <w:sz w:val="24"/>
          <w:szCs w:val="24"/>
        </w:rPr>
        <w:t xml:space="preserve"> showing the distribution of incident Hepatitis C </w:t>
      </w:r>
      <w:r w:rsidR="009B5B86" w:rsidRPr="00757BD9">
        <w:rPr>
          <w:rFonts w:asciiTheme="minorHAnsi" w:hAnsiTheme="minorHAnsi"/>
          <w:sz w:val="24"/>
          <w:szCs w:val="24"/>
        </w:rPr>
        <w:t xml:space="preserve">infections </w:t>
      </w:r>
      <w:r w:rsidRPr="00757BD9">
        <w:rPr>
          <w:rFonts w:asciiTheme="minorHAnsi" w:hAnsiTheme="minorHAnsi"/>
          <w:sz w:val="24"/>
          <w:szCs w:val="24"/>
        </w:rPr>
        <w:t>after 12 months through 50 repetitions of each s</w:t>
      </w:r>
      <w:r w:rsidR="00D45D1E" w:rsidRPr="00757BD9">
        <w:rPr>
          <w:rFonts w:asciiTheme="minorHAnsi" w:hAnsiTheme="minorHAnsi"/>
          <w:sz w:val="24"/>
          <w:szCs w:val="24"/>
        </w:rPr>
        <w:t xml:space="preserve">cenario. Plot A shows the distribution </w:t>
      </w:r>
      <w:r w:rsidR="009B5B86" w:rsidRPr="00757BD9">
        <w:rPr>
          <w:rFonts w:asciiTheme="minorHAnsi" w:hAnsiTheme="minorHAnsi"/>
          <w:sz w:val="24"/>
          <w:szCs w:val="24"/>
        </w:rPr>
        <w:t>if</w:t>
      </w:r>
      <w:r w:rsidR="00591C1D">
        <w:rPr>
          <w:rFonts w:asciiTheme="minorHAnsi" w:hAnsiTheme="minorHAnsi"/>
          <w:sz w:val="24"/>
          <w:szCs w:val="24"/>
        </w:rPr>
        <w:t xml:space="preserve"> one</w:t>
      </w:r>
      <w:r w:rsidR="00D45D1E" w:rsidRPr="00757BD9">
        <w:rPr>
          <w:rFonts w:asciiTheme="minorHAnsi" w:hAnsiTheme="minorHAnsi"/>
          <w:sz w:val="24"/>
          <w:szCs w:val="24"/>
        </w:rPr>
        <w:t xml:space="preserve"> individual is treated per month and plot B shows the distribution </w:t>
      </w:r>
      <w:r w:rsidR="009B5B86" w:rsidRPr="00757BD9">
        <w:rPr>
          <w:rFonts w:asciiTheme="minorHAnsi" w:hAnsiTheme="minorHAnsi"/>
          <w:sz w:val="24"/>
          <w:szCs w:val="24"/>
        </w:rPr>
        <w:t>if</w:t>
      </w:r>
      <w:r w:rsidR="00D45D1E" w:rsidRPr="00757BD9">
        <w:rPr>
          <w:rFonts w:asciiTheme="minorHAnsi" w:hAnsiTheme="minorHAnsi"/>
          <w:sz w:val="24"/>
          <w:szCs w:val="24"/>
        </w:rPr>
        <w:t xml:space="preserve"> three individuals are treated per month. </w:t>
      </w:r>
      <w:r w:rsidRPr="00757BD9">
        <w:rPr>
          <w:rFonts w:asciiTheme="minorHAnsi" w:hAnsiTheme="minorHAnsi"/>
          <w:sz w:val="24"/>
          <w:szCs w:val="24"/>
        </w:rPr>
        <w:t>T</w:t>
      </w:r>
      <w:r w:rsidRPr="00757BD9">
        <w:rPr>
          <w:rFonts w:asciiTheme="minorHAnsi" w:hAnsiTheme="minorHAnsi" w:cs="Arial"/>
          <w:color w:val="1A1A1A"/>
          <w:sz w:val="24"/>
          <w:szCs w:val="24"/>
          <w:lang w:eastAsia="zh-CN"/>
        </w:rPr>
        <w:t xml:space="preserve">he ends of the boxes are the upper and lower quartiles, a horizontal line inside </w:t>
      </w:r>
      <w:r w:rsidR="00D45D1E" w:rsidRPr="00757BD9">
        <w:rPr>
          <w:rFonts w:asciiTheme="minorHAnsi" w:hAnsiTheme="minorHAnsi" w:cs="Arial"/>
          <w:color w:val="1A1A1A"/>
          <w:sz w:val="24"/>
          <w:szCs w:val="24"/>
          <w:lang w:eastAsia="zh-CN"/>
        </w:rPr>
        <w:t>each</w:t>
      </w:r>
      <w:r w:rsidRPr="00757BD9">
        <w:rPr>
          <w:rFonts w:asciiTheme="minorHAnsi" w:hAnsiTheme="minorHAnsi" w:cs="Arial"/>
          <w:color w:val="1A1A1A"/>
          <w:sz w:val="24"/>
          <w:szCs w:val="24"/>
          <w:lang w:eastAsia="zh-CN"/>
        </w:rPr>
        <w:t xml:space="preserve"> box marks the median value</w:t>
      </w:r>
      <w:bookmarkEnd w:id="4"/>
      <w:r w:rsidRPr="00757BD9">
        <w:rPr>
          <w:rFonts w:asciiTheme="minorHAnsi" w:hAnsiTheme="minorHAnsi"/>
          <w:sz w:val="24"/>
          <w:szCs w:val="24"/>
        </w:rPr>
        <w:t xml:space="preserve"> and the whiskers extend to extreme values</w:t>
      </w:r>
      <w:r w:rsidR="00D45D1E" w:rsidRPr="00757BD9">
        <w:rPr>
          <w:rFonts w:asciiTheme="minorHAnsi" w:hAnsiTheme="minorHAnsi"/>
          <w:sz w:val="24"/>
          <w:szCs w:val="24"/>
        </w:rPr>
        <w:t xml:space="preserve">. </w:t>
      </w:r>
    </w:p>
    <w:p w14:paraId="6355E8EF" w14:textId="77777777" w:rsidR="00C55221" w:rsidRDefault="00C55221" w:rsidP="005E4E1A">
      <w:pPr>
        <w:widowControl w:val="0"/>
        <w:autoSpaceDE w:val="0"/>
        <w:autoSpaceDN w:val="0"/>
        <w:adjustRightInd w:val="0"/>
        <w:ind w:left="640" w:hanging="640"/>
      </w:pPr>
    </w:p>
    <w:p w14:paraId="101B9F18" w14:textId="77777777" w:rsidR="00757BD9" w:rsidRPr="00EB5B80" w:rsidRDefault="00757BD9" w:rsidP="005E4E1A">
      <w:pPr>
        <w:widowControl w:val="0"/>
        <w:autoSpaceDE w:val="0"/>
        <w:autoSpaceDN w:val="0"/>
        <w:adjustRightInd w:val="0"/>
        <w:ind w:left="640" w:hanging="640"/>
      </w:pPr>
    </w:p>
    <w:sectPr w:rsidR="00757BD9" w:rsidRPr="00EB5B80" w:rsidSect="00E9439B">
      <w:headerReference w:type="default" r:id="rId13"/>
      <w:pgSz w:w="11900" w:h="1682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DDC6C" w14:textId="77777777" w:rsidR="003044E8" w:rsidRDefault="003044E8" w:rsidP="00EB5B80">
      <w:r>
        <w:separator/>
      </w:r>
    </w:p>
  </w:endnote>
  <w:endnote w:type="continuationSeparator" w:id="0">
    <w:p w14:paraId="28B13144" w14:textId="77777777" w:rsidR="003044E8" w:rsidRDefault="003044E8" w:rsidP="00EB5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BD0FF4" w14:textId="77777777" w:rsidR="003044E8" w:rsidRDefault="003044E8" w:rsidP="00EB5B80">
      <w:r>
        <w:separator/>
      </w:r>
    </w:p>
  </w:footnote>
  <w:footnote w:type="continuationSeparator" w:id="0">
    <w:p w14:paraId="0CF6E484" w14:textId="77777777" w:rsidR="003044E8" w:rsidRDefault="003044E8" w:rsidP="00EB5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84DBE" w14:textId="77777777" w:rsidR="003044E8" w:rsidRDefault="003044E8" w:rsidP="00EB5B80">
    <w:pPr>
      <w:pStyle w:val="Header"/>
      <w:tabs>
        <w:tab w:val="clear" w:pos="8306"/>
        <w:tab w:val="right" w:pos="84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A776E"/>
    <w:multiLevelType w:val="hybridMultilevel"/>
    <w:tmpl w:val="244CDF5E"/>
    <w:lvl w:ilvl="0" w:tplc="E9A4BB2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1F0023"/>
    <w:multiLevelType w:val="multilevel"/>
    <w:tmpl w:val="9E5CA43C"/>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 w15:restartNumberingAfterBreak="0">
    <w:nsid w:val="57355311"/>
    <w:multiLevelType w:val="hybridMultilevel"/>
    <w:tmpl w:val="3FDC66CE"/>
    <w:lvl w:ilvl="0" w:tplc="4B76726C">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1E6"/>
    <w:rsid w:val="00000B06"/>
    <w:rsid w:val="000046A9"/>
    <w:rsid w:val="00006B95"/>
    <w:rsid w:val="00012453"/>
    <w:rsid w:val="00013888"/>
    <w:rsid w:val="00016C48"/>
    <w:rsid w:val="00027236"/>
    <w:rsid w:val="0002731A"/>
    <w:rsid w:val="00030516"/>
    <w:rsid w:val="00030D15"/>
    <w:rsid w:val="000316C4"/>
    <w:rsid w:val="00035006"/>
    <w:rsid w:val="000450D7"/>
    <w:rsid w:val="00045834"/>
    <w:rsid w:val="00053BBA"/>
    <w:rsid w:val="00060C05"/>
    <w:rsid w:val="0006366F"/>
    <w:rsid w:val="00075571"/>
    <w:rsid w:val="000864D1"/>
    <w:rsid w:val="000917DB"/>
    <w:rsid w:val="000A163C"/>
    <w:rsid w:val="000A64CA"/>
    <w:rsid w:val="000B2173"/>
    <w:rsid w:val="000B73F4"/>
    <w:rsid w:val="000C5901"/>
    <w:rsid w:val="000C687E"/>
    <w:rsid w:val="000D0856"/>
    <w:rsid w:val="000D277F"/>
    <w:rsid w:val="000D27F6"/>
    <w:rsid w:val="000D3942"/>
    <w:rsid w:val="000D4F3B"/>
    <w:rsid w:val="000D6B5A"/>
    <w:rsid w:val="000E2A2E"/>
    <w:rsid w:val="000E3CBC"/>
    <w:rsid w:val="000E52E4"/>
    <w:rsid w:val="00104CCB"/>
    <w:rsid w:val="00117500"/>
    <w:rsid w:val="00123D73"/>
    <w:rsid w:val="0012421C"/>
    <w:rsid w:val="0012463F"/>
    <w:rsid w:val="0012613A"/>
    <w:rsid w:val="00136E52"/>
    <w:rsid w:val="001408D0"/>
    <w:rsid w:val="00145A5F"/>
    <w:rsid w:val="00145DC5"/>
    <w:rsid w:val="00153A69"/>
    <w:rsid w:val="00163F4E"/>
    <w:rsid w:val="00167F00"/>
    <w:rsid w:val="00181512"/>
    <w:rsid w:val="0019087C"/>
    <w:rsid w:val="00196FDE"/>
    <w:rsid w:val="001A540F"/>
    <w:rsid w:val="001B7B70"/>
    <w:rsid w:val="001C3F89"/>
    <w:rsid w:val="001C55D0"/>
    <w:rsid w:val="001C567B"/>
    <w:rsid w:val="001D3E9C"/>
    <w:rsid w:val="001D6682"/>
    <w:rsid w:val="001E7DCB"/>
    <w:rsid w:val="001F1DA5"/>
    <w:rsid w:val="001F41CA"/>
    <w:rsid w:val="002007AA"/>
    <w:rsid w:val="00201929"/>
    <w:rsid w:val="002057BD"/>
    <w:rsid w:val="00206E1C"/>
    <w:rsid w:val="00210939"/>
    <w:rsid w:val="00211B5B"/>
    <w:rsid w:val="0021509C"/>
    <w:rsid w:val="00226C12"/>
    <w:rsid w:val="00233700"/>
    <w:rsid w:val="00242C7A"/>
    <w:rsid w:val="00244A51"/>
    <w:rsid w:val="00253716"/>
    <w:rsid w:val="00253B71"/>
    <w:rsid w:val="0025791B"/>
    <w:rsid w:val="00260D80"/>
    <w:rsid w:val="0027263F"/>
    <w:rsid w:val="002767A1"/>
    <w:rsid w:val="00281815"/>
    <w:rsid w:val="00290767"/>
    <w:rsid w:val="00292083"/>
    <w:rsid w:val="00293494"/>
    <w:rsid w:val="002938D9"/>
    <w:rsid w:val="002972AD"/>
    <w:rsid w:val="00297ACC"/>
    <w:rsid w:val="002A1228"/>
    <w:rsid w:val="002A5131"/>
    <w:rsid w:val="002A7569"/>
    <w:rsid w:val="002B2F77"/>
    <w:rsid w:val="002B4E72"/>
    <w:rsid w:val="002B5138"/>
    <w:rsid w:val="002C4F03"/>
    <w:rsid w:val="002C59CD"/>
    <w:rsid w:val="002C76DF"/>
    <w:rsid w:val="002D3092"/>
    <w:rsid w:val="002D40B6"/>
    <w:rsid w:val="002E08BE"/>
    <w:rsid w:val="002E20C3"/>
    <w:rsid w:val="002E72D6"/>
    <w:rsid w:val="002E784B"/>
    <w:rsid w:val="002F1828"/>
    <w:rsid w:val="002F359F"/>
    <w:rsid w:val="003044E8"/>
    <w:rsid w:val="00304AC8"/>
    <w:rsid w:val="00321933"/>
    <w:rsid w:val="00321A66"/>
    <w:rsid w:val="00322880"/>
    <w:rsid w:val="003300A4"/>
    <w:rsid w:val="00330797"/>
    <w:rsid w:val="00330F1B"/>
    <w:rsid w:val="003328FE"/>
    <w:rsid w:val="00336907"/>
    <w:rsid w:val="00341D7C"/>
    <w:rsid w:val="003425AC"/>
    <w:rsid w:val="00345398"/>
    <w:rsid w:val="00352220"/>
    <w:rsid w:val="00353CE2"/>
    <w:rsid w:val="0035442B"/>
    <w:rsid w:val="00366D2D"/>
    <w:rsid w:val="00367A01"/>
    <w:rsid w:val="0037779C"/>
    <w:rsid w:val="00381A5A"/>
    <w:rsid w:val="00384816"/>
    <w:rsid w:val="00394176"/>
    <w:rsid w:val="0039596A"/>
    <w:rsid w:val="00396BF5"/>
    <w:rsid w:val="003A0220"/>
    <w:rsid w:val="003A0C96"/>
    <w:rsid w:val="003A3945"/>
    <w:rsid w:val="003B2CA3"/>
    <w:rsid w:val="003B6B48"/>
    <w:rsid w:val="003B73A8"/>
    <w:rsid w:val="003B73BF"/>
    <w:rsid w:val="003C1341"/>
    <w:rsid w:val="003C222B"/>
    <w:rsid w:val="003C396A"/>
    <w:rsid w:val="003C4BC5"/>
    <w:rsid w:val="003D1435"/>
    <w:rsid w:val="003D2293"/>
    <w:rsid w:val="003D23E1"/>
    <w:rsid w:val="003D2EF0"/>
    <w:rsid w:val="003D4B0C"/>
    <w:rsid w:val="003D5F06"/>
    <w:rsid w:val="003D7A22"/>
    <w:rsid w:val="003E0F87"/>
    <w:rsid w:val="003E1482"/>
    <w:rsid w:val="003E3033"/>
    <w:rsid w:val="003E54FE"/>
    <w:rsid w:val="003F10FD"/>
    <w:rsid w:val="004041C7"/>
    <w:rsid w:val="00404659"/>
    <w:rsid w:val="00407AF9"/>
    <w:rsid w:val="00417F1C"/>
    <w:rsid w:val="00425D33"/>
    <w:rsid w:val="00430BA9"/>
    <w:rsid w:val="00432C56"/>
    <w:rsid w:val="004332B1"/>
    <w:rsid w:val="00433D59"/>
    <w:rsid w:val="00434A69"/>
    <w:rsid w:val="00435383"/>
    <w:rsid w:val="0043539C"/>
    <w:rsid w:val="0043588B"/>
    <w:rsid w:val="0043630E"/>
    <w:rsid w:val="00436B0A"/>
    <w:rsid w:val="004422ED"/>
    <w:rsid w:val="00442EDE"/>
    <w:rsid w:val="004502FB"/>
    <w:rsid w:val="00451985"/>
    <w:rsid w:val="00455FD5"/>
    <w:rsid w:val="0046038A"/>
    <w:rsid w:val="0046147A"/>
    <w:rsid w:val="00462CA4"/>
    <w:rsid w:val="00466ECA"/>
    <w:rsid w:val="0046793C"/>
    <w:rsid w:val="0047166F"/>
    <w:rsid w:val="00474203"/>
    <w:rsid w:val="0047455F"/>
    <w:rsid w:val="00474652"/>
    <w:rsid w:val="00475D07"/>
    <w:rsid w:val="00476D4D"/>
    <w:rsid w:val="00480BD0"/>
    <w:rsid w:val="00483F63"/>
    <w:rsid w:val="00484B27"/>
    <w:rsid w:val="0049014F"/>
    <w:rsid w:val="004A5CE3"/>
    <w:rsid w:val="004B1AF4"/>
    <w:rsid w:val="004B52C3"/>
    <w:rsid w:val="004C091C"/>
    <w:rsid w:val="004C319D"/>
    <w:rsid w:val="004C36AF"/>
    <w:rsid w:val="004C4259"/>
    <w:rsid w:val="004C5B32"/>
    <w:rsid w:val="004C7971"/>
    <w:rsid w:val="004E2AA0"/>
    <w:rsid w:val="004F0FF0"/>
    <w:rsid w:val="004F5769"/>
    <w:rsid w:val="00514186"/>
    <w:rsid w:val="0053269B"/>
    <w:rsid w:val="00533784"/>
    <w:rsid w:val="005402CF"/>
    <w:rsid w:val="00545BC9"/>
    <w:rsid w:val="005625D0"/>
    <w:rsid w:val="00580004"/>
    <w:rsid w:val="0058461D"/>
    <w:rsid w:val="005912F9"/>
    <w:rsid w:val="00591C1D"/>
    <w:rsid w:val="005A243E"/>
    <w:rsid w:val="005A7EA0"/>
    <w:rsid w:val="005B19A7"/>
    <w:rsid w:val="005C0AF0"/>
    <w:rsid w:val="005C712D"/>
    <w:rsid w:val="005E081F"/>
    <w:rsid w:val="005E3573"/>
    <w:rsid w:val="005E4E1A"/>
    <w:rsid w:val="005E60F9"/>
    <w:rsid w:val="005F1CC2"/>
    <w:rsid w:val="005F44CB"/>
    <w:rsid w:val="0060653E"/>
    <w:rsid w:val="006103DC"/>
    <w:rsid w:val="006158FF"/>
    <w:rsid w:val="006326B3"/>
    <w:rsid w:val="00635C00"/>
    <w:rsid w:val="00637E81"/>
    <w:rsid w:val="00652DAA"/>
    <w:rsid w:val="006536AB"/>
    <w:rsid w:val="00665CED"/>
    <w:rsid w:val="00671A90"/>
    <w:rsid w:val="00681D91"/>
    <w:rsid w:val="00692A97"/>
    <w:rsid w:val="0069768A"/>
    <w:rsid w:val="006A129B"/>
    <w:rsid w:val="006A1337"/>
    <w:rsid w:val="006A1DFF"/>
    <w:rsid w:val="006A2372"/>
    <w:rsid w:val="006A6D76"/>
    <w:rsid w:val="006C38D3"/>
    <w:rsid w:val="006C5634"/>
    <w:rsid w:val="006C6E96"/>
    <w:rsid w:val="006D7003"/>
    <w:rsid w:val="006D7528"/>
    <w:rsid w:val="006E6440"/>
    <w:rsid w:val="006F0184"/>
    <w:rsid w:val="006F0C58"/>
    <w:rsid w:val="006F1723"/>
    <w:rsid w:val="006F643D"/>
    <w:rsid w:val="00711874"/>
    <w:rsid w:val="007221E6"/>
    <w:rsid w:val="00724531"/>
    <w:rsid w:val="00743C79"/>
    <w:rsid w:val="00747E33"/>
    <w:rsid w:val="0075058A"/>
    <w:rsid w:val="00751F6B"/>
    <w:rsid w:val="00757BD9"/>
    <w:rsid w:val="0076110E"/>
    <w:rsid w:val="00766A91"/>
    <w:rsid w:val="00766BF3"/>
    <w:rsid w:val="00767892"/>
    <w:rsid w:val="00776BE6"/>
    <w:rsid w:val="0078080A"/>
    <w:rsid w:val="00784564"/>
    <w:rsid w:val="00784D5B"/>
    <w:rsid w:val="0079348D"/>
    <w:rsid w:val="00794941"/>
    <w:rsid w:val="00795189"/>
    <w:rsid w:val="007A21A5"/>
    <w:rsid w:val="007C0BAE"/>
    <w:rsid w:val="007C1EF9"/>
    <w:rsid w:val="007C6F48"/>
    <w:rsid w:val="007C7D96"/>
    <w:rsid w:val="007D03C2"/>
    <w:rsid w:val="007D4003"/>
    <w:rsid w:val="007D4226"/>
    <w:rsid w:val="007E2E98"/>
    <w:rsid w:val="007E7CB2"/>
    <w:rsid w:val="007F22C7"/>
    <w:rsid w:val="007F69CD"/>
    <w:rsid w:val="00803434"/>
    <w:rsid w:val="0081300F"/>
    <w:rsid w:val="00816EB7"/>
    <w:rsid w:val="00820B28"/>
    <w:rsid w:val="00831733"/>
    <w:rsid w:val="00840667"/>
    <w:rsid w:val="008447B2"/>
    <w:rsid w:val="0085705D"/>
    <w:rsid w:val="008678F5"/>
    <w:rsid w:val="00867F8F"/>
    <w:rsid w:val="008732D9"/>
    <w:rsid w:val="00873862"/>
    <w:rsid w:val="008836E6"/>
    <w:rsid w:val="008A48AF"/>
    <w:rsid w:val="008B125D"/>
    <w:rsid w:val="008B1F2B"/>
    <w:rsid w:val="008B32DE"/>
    <w:rsid w:val="008C2C09"/>
    <w:rsid w:val="008D274A"/>
    <w:rsid w:val="008D4E16"/>
    <w:rsid w:val="008E2D48"/>
    <w:rsid w:val="008E7254"/>
    <w:rsid w:val="009007D2"/>
    <w:rsid w:val="009018BF"/>
    <w:rsid w:val="0091370D"/>
    <w:rsid w:val="00915FEE"/>
    <w:rsid w:val="00921BA9"/>
    <w:rsid w:val="009230E9"/>
    <w:rsid w:val="00931DB4"/>
    <w:rsid w:val="00932AC5"/>
    <w:rsid w:val="00935C0D"/>
    <w:rsid w:val="00935F5E"/>
    <w:rsid w:val="00950E89"/>
    <w:rsid w:val="00952292"/>
    <w:rsid w:val="00966119"/>
    <w:rsid w:val="009706DA"/>
    <w:rsid w:val="0098063A"/>
    <w:rsid w:val="00980E27"/>
    <w:rsid w:val="00981DF3"/>
    <w:rsid w:val="009924A7"/>
    <w:rsid w:val="009B5B86"/>
    <w:rsid w:val="009B689C"/>
    <w:rsid w:val="009C4EC2"/>
    <w:rsid w:val="009D0237"/>
    <w:rsid w:val="009E37DE"/>
    <w:rsid w:val="009E5B54"/>
    <w:rsid w:val="009E60BB"/>
    <w:rsid w:val="009F3281"/>
    <w:rsid w:val="009F6F74"/>
    <w:rsid w:val="00A02DF2"/>
    <w:rsid w:val="00A17151"/>
    <w:rsid w:val="00A356D8"/>
    <w:rsid w:val="00A3602E"/>
    <w:rsid w:val="00A4184A"/>
    <w:rsid w:val="00A4415B"/>
    <w:rsid w:val="00A52ECA"/>
    <w:rsid w:val="00A75B47"/>
    <w:rsid w:val="00A75D40"/>
    <w:rsid w:val="00A81722"/>
    <w:rsid w:val="00A92F08"/>
    <w:rsid w:val="00AA6490"/>
    <w:rsid w:val="00AA6A70"/>
    <w:rsid w:val="00AB1FA7"/>
    <w:rsid w:val="00AB23F2"/>
    <w:rsid w:val="00AB3841"/>
    <w:rsid w:val="00AB41EA"/>
    <w:rsid w:val="00AB43BC"/>
    <w:rsid w:val="00AC2F8E"/>
    <w:rsid w:val="00AC3DD4"/>
    <w:rsid w:val="00AD3814"/>
    <w:rsid w:val="00AD7FD2"/>
    <w:rsid w:val="00AE7246"/>
    <w:rsid w:val="00AF20A8"/>
    <w:rsid w:val="00B036F0"/>
    <w:rsid w:val="00B058F9"/>
    <w:rsid w:val="00B14C16"/>
    <w:rsid w:val="00B15162"/>
    <w:rsid w:val="00B17777"/>
    <w:rsid w:val="00B21B11"/>
    <w:rsid w:val="00B223EF"/>
    <w:rsid w:val="00B232E2"/>
    <w:rsid w:val="00B453DD"/>
    <w:rsid w:val="00B51E3D"/>
    <w:rsid w:val="00B537E0"/>
    <w:rsid w:val="00B54196"/>
    <w:rsid w:val="00B630CB"/>
    <w:rsid w:val="00B6742D"/>
    <w:rsid w:val="00B67496"/>
    <w:rsid w:val="00B676C9"/>
    <w:rsid w:val="00B7001F"/>
    <w:rsid w:val="00B77B48"/>
    <w:rsid w:val="00B91770"/>
    <w:rsid w:val="00B91B04"/>
    <w:rsid w:val="00BA0910"/>
    <w:rsid w:val="00BA77CD"/>
    <w:rsid w:val="00BB4CDA"/>
    <w:rsid w:val="00BB579C"/>
    <w:rsid w:val="00BB615E"/>
    <w:rsid w:val="00BC07D8"/>
    <w:rsid w:val="00BE05EE"/>
    <w:rsid w:val="00BE1594"/>
    <w:rsid w:val="00BE2713"/>
    <w:rsid w:val="00BE4ADB"/>
    <w:rsid w:val="00C0019D"/>
    <w:rsid w:val="00C026F1"/>
    <w:rsid w:val="00C158A5"/>
    <w:rsid w:val="00C22A60"/>
    <w:rsid w:val="00C2667B"/>
    <w:rsid w:val="00C354E3"/>
    <w:rsid w:val="00C41C45"/>
    <w:rsid w:val="00C45E7A"/>
    <w:rsid w:val="00C460A3"/>
    <w:rsid w:val="00C4747F"/>
    <w:rsid w:val="00C54050"/>
    <w:rsid w:val="00C55221"/>
    <w:rsid w:val="00C63121"/>
    <w:rsid w:val="00C6439E"/>
    <w:rsid w:val="00C705F5"/>
    <w:rsid w:val="00C83247"/>
    <w:rsid w:val="00C85D5A"/>
    <w:rsid w:val="00C86346"/>
    <w:rsid w:val="00C87F18"/>
    <w:rsid w:val="00C90DB2"/>
    <w:rsid w:val="00C93347"/>
    <w:rsid w:val="00C936E9"/>
    <w:rsid w:val="00CB626B"/>
    <w:rsid w:val="00CC2BB5"/>
    <w:rsid w:val="00CC394C"/>
    <w:rsid w:val="00CD5932"/>
    <w:rsid w:val="00CE17AC"/>
    <w:rsid w:val="00CE772B"/>
    <w:rsid w:val="00CF0C32"/>
    <w:rsid w:val="00CF16D1"/>
    <w:rsid w:val="00CF6BC9"/>
    <w:rsid w:val="00D03BAB"/>
    <w:rsid w:val="00D065FF"/>
    <w:rsid w:val="00D0660D"/>
    <w:rsid w:val="00D0712D"/>
    <w:rsid w:val="00D071C7"/>
    <w:rsid w:val="00D07ADE"/>
    <w:rsid w:val="00D139FD"/>
    <w:rsid w:val="00D20863"/>
    <w:rsid w:val="00D22245"/>
    <w:rsid w:val="00D237DD"/>
    <w:rsid w:val="00D30DCD"/>
    <w:rsid w:val="00D34D58"/>
    <w:rsid w:val="00D450E9"/>
    <w:rsid w:val="00D45786"/>
    <w:rsid w:val="00D45D1E"/>
    <w:rsid w:val="00D66B0D"/>
    <w:rsid w:val="00D7352C"/>
    <w:rsid w:val="00D7716A"/>
    <w:rsid w:val="00D87DDC"/>
    <w:rsid w:val="00D9247E"/>
    <w:rsid w:val="00D925E8"/>
    <w:rsid w:val="00D92CBD"/>
    <w:rsid w:val="00D95814"/>
    <w:rsid w:val="00DA72FD"/>
    <w:rsid w:val="00DB255B"/>
    <w:rsid w:val="00DC02A3"/>
    <w:rsid w:val="00DC164E"/>
    <w:rsid w:val="00DC19DC"/>
    <w:rsid w:val="00DC26E0"/>
    <w:rsid w:val="00DC7748"/>
    <w:rsid w:val="00DD2F9E"/>
    <w:rsid w:val="00DE184F"/>
    <w:rsid w:val="00DF273A"/>
    <w:rsid w:val="00DF33E2"/>
    <w:rsid w:val="00DF7B70"/>
    <w:rsid w:val="00E01299"/>
    <w:rsid w:val="00E10B42"/>
    <w:rsid w:val="00E15240"/>
    <w:rsid w:val="00E23507"/>
    <w:rsid w:val="00E25348"/>
    <w:rsid w:val="00E6643C"/>
    <w:rsid w:val="00E87D7A"/>
    <w:rsid w:val="00E9439B"/>
    <w:rsid w:val="00EA5892"/>
    <w:rsid w:val="00EB5B80"/>
    <w:rsid w:val="00EC357C"/>
    <w:rsid w:val="00ED0686"/>
    <w:rsid w:val="00ED4001"/>
    <w:rsid w:val="00EE6353"/>
    <w:rsid w:val="00EE7914"/>
    <w:rsid w:val="00EF4338"/>
    <w:rsid w:val="00EF4FEF"/>
    <w:rsid w:val="00EF5395"/>
    <w:rsid w:val="00EF5DE5"/>
    <w:rsid w:val="00F04332"/>
    <w:rsid w:val="00F07B4C"/>
    <w:rsid w:val="00F24030"/>
    <w:rsid w:val="00F2594E"/>
    <w:rsid w:val="00F42425"/>
    <w:rsid w:val="00F501CA"/>
    <w:rsid w:val="00F516F2"/>
    <w:rsid w:val="00F5174C"/>
    <w:rsid w:val="00F53E0E"/>
    <w:rsid w:val="00F633FE"/>
    <w:rsid w:val="00F6344C"/>
    <w:rsid w:val="00F6752E"/>
    <w:rsid w:val="00F81530"/>
    <w:rsid w:val="00F8174B"/>
    <w:rsid w:val="00F85E9B"/>
    <w:rsid w:val="00FB1C3C"/>
    <w:rsid w:val="00FB3CE4"/>
    <w:rsid w:val="00FB4D5A"/>
    <w:rsid w:val="00FB676F"/>
    <w:rsid w:val="00FB7E76"/>
    <w:rsid w:val="00FC4400"/>
    <w:rsid w:val="00FC7820"/>
    <w:rsid w:val="00FC7BEC"/>
    <w:rsid w:val="00FE36C4"/>
    <w:rsid w:val="00FF7025"/>
    <w:rsid w:val="00FF79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393EBE9"/>
  <w14:defaultImageDpi w14:val="300"/>
  <w15:docId w15:val="{FD2CD95B-5620-408A-B851-23D33F475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162"/>
    <w:pPr>
      <w:keepNext/>
      <w:numPr>
        <w:numId w:val="1"/>
      </w:numPr>
      <w:spacing w:after="240" w:line="360" w:lineRule="auto"/>
      <w:outlineLvl w:val="0"/>
    </w:pPr>
    <w:rPr>
      <w:rFonts w:ascii="Lucida Sans" w:eastAsia="Arial Unicode MS" w:hAnsi="Lucida Sans" w:cs="Arial"/>
      <w:b/>
      <w:bCs/>
      <w:kern w:val="32"/>
      <w:sz w:val="28"/>
      <w:szCs w:val="32"/>
    </w:rPr>
  </w:style>
  <w:style w:type="paragraph" w:styleId="Heading2">
    <w:name w:val="heading 2"/>
    <w:basedOn w:val="Normal"/>
    <w:next w:val="Normal"/>
    <w:link w:val="Heading2Char"/>
    <w:uiPriority w:val="9"/>
    <w:qFormat/>
    <w:rsid w:val="00B15162"/>
    <w:pPr>
      <w:keepNext/>
      <w:numPr>
        <w:ilvl w:val="1"/>
        <w:numId w:val="1"/>
      </w:numPr>
      <w:spacing w:before="360" w:after="200" w:line="360" w:lineRule="auto"/>
      <w:outlineLvl w:val="1"/>
    </w:pPr>
    <w:rPr>
      <w:rFonts w:ascii="Lucida Sans" w:eastAsia="Times New Roman" w:hAnsi="Lucida Sans" w:cs="Arial"/>
      <w:b/>
      <w:bCs/>
      <w:lang w:eastAsia="en-GB"/>
    </w:rPr>
  </w:style>
  <w:style w:type="paragraph" w:styleId="Heading3">
    <w:name w:val="heading 3"/>
    <w:basedOn w:val="Normal"/>
    <w:next w:val="Normal"/>
    <w:link w:val="Heading3Char"/>
    <w:uiPriority w:val="9"/>
    <w:qFormat/>
    <w:rsid w:val="00B15162"/>
    <w:pPr>
      <w:keepNext/>
      <w:numPr>
        <w:ilvl w:val="2"/>
        <w:numId w:val="1"/>
      </w:numPr>
      <w:spacing w:before="360" w:after="200" w:line="360" w:lineRule="auto"/>
      <w:outlineLvl w:val="2"/>
    </w:pPr>
    <w:rPr>
      <w:rFonts w:ascii="Lucida Sans" w:eastAsia="Times New Roman" w:hAnsi="Lucida Sans" w:cs="Arial"/>
      <w:b/>
      <w:bCs/>
      <w:sz w:val="22"/>
      <w:szCs w:val="26"/>
    </w:rPr>
  </w:style>
  <w:style w:type="paragraph" w:styleId="Heading4">
    <w:name w:val="heading 4"/>
    <w:basedOn w:val="Normal"/>
    <w:next w:val="Normal"/>
    <w:link w:val="Heading4Char"/>
    <w:qFormat/>
    <w:rsid w:val="00B15162"/>
    <w:pPr>
      <w:keepNext/>
      <w:numPr>
        <w:ilvl w:val="3"/>
        <w:numId w:val="1"/>
      </w:numPr>
      <w:spacing w:before="200" w:after="200" w:line="360" w:lineRule="auto"/>
      <w:outlineLvl w:val="3"/>
    </w:pPr>
    <w:rPr>
      <w:rFonts w:ascii="Lucida Sans" w:eastAsiaTheme="majorEastAsia" w:hAnsi="Lucida Sans" w:cstheme="majorBidi"/>
      <w:b/>
      <w:bCs/>
      <w:iCs/>
      <w:sz w:val="22"/>
    </w:rPr>
  </w:style>
  <w:style w:type="paragraph" w:styleId="Heading5">
    <w:name w:val="heading 5"/>
    <w:basedOn w:val="Normal"/>
    <w:next w:val="Normal"/>
    <w:link w:val="Heading5Char"/>
    <w:qFormat/>
    <w:rsid w:val="00B15162"/>
    <w:pPr>
      <w:keepNext/>
      <w:keepLines/>
      <w:numPr>
        <w:ilvl w:val="4"/>
        <w:numId w:val="1"/>
      </w:numPr>
      <w:spacing w:before="200" w:after="200" w:line="360" w:lineRule="auto"/>
      <w:outlineLvl w:val="4"/>
    </w:pPr>
    <w:rPr>
      <w:rFonts w:ascii="Lucida Sans" w:eastAsiaTheme="majorEastAsia" w:hAnsi="Lucida Sans" w:cstheme="majorBidi"/>
      <w:sz w:val="22"/>
    </w:rPr>
  </w:style>
  <w:style w:type="paragraph" w:styleId="Heading6">
    <w:name w:val="heading 6"/>
    <w:aliases w:val="Figure"/>
    <w:basedOn w:val="NormalWeb"/>
    <w:next w:val="Normal"/>
    <w:link w:val="Heading6Char"/>
    <w:qFormat/>
    <w:rsid w:val="00B15162"/>
    <w:pPr>
      <w:spacing w:before="120" w:after="120"/>
      <w:jc w:val="both"/>
      <w:outlineLvl w:val="5"/>
    </w:pPr>
    <w:rPr>
      <w:rFonts w:ascii="Lucida Sans" w:hAnsi="Lucida Sans" w:cstheme="minorBidi"/>
      <w:color w:val="000000" w:themeColor="text1"/>
      <w:kern w:val="24"/>
      <w:sz w:val="20"/>
      <w:szCs w:val="22"/>
      <w:lang w:val="en-US"/>
    </w:rPr>
  </w:style>
  <w:style w:type="paragraph" w:styleId="Heading7">
    <w:name w:val="heading 7"/>
    <w:basedOn w:val="Normal"/>
    <w:next w:val="Normal"/>
    <w:link w:val="Heading7Char"/>
    <w:qFormat/>
    <w:rsid w:val="00B15162"/>
    <w:pPr>
      <w:keepNext/>
      <w:keepLines/>
      <w:numPr>
        <w:ilvl w:val="6"/>
        <w:numId w:val="1"/>
      </w:numPr>
      <w:spacing w:before="200" w:after="200" w:line="360" w:lineRule="auto"/>
      <w:outlineLvl w:val="6"/>
    </w:pPr>
    <w:rPr>
      <w:rFonts w:ascii="Lucida Sans" w:eastAsiaTheme="majorEastAsia" w:hAnsi="Lucida Sans" w:cstheme="majorBidi"/>
      <w:iCs/>
      <w:sz w:val="22"/>
    </w:rPr>
  </w:style>
  <w:style w:type="paragraph" w:styleId="Heading8">
    <w:name w:val="heading 8"/>
    <w:basedOn w:val="Normal"/>
    <w:next w:val="Normal"/>
    <w:link w:val="Heading8Char"/>
    <w:qFormat/>
    <w:rsid w:val="00B15162"/>
    <w:pPr>
      <w:keepNext/>
      <w:keepLines/>
      <w:numPr>
        <w:ilvl w:val="7"/>
        <w:numId w:val="1"/>
      </w:numPr>
      <w:spacing w:before="200" w:after="200" w:line="360" w:lineRule="auto"/>
      <w:outlineLvl w:val="7"/>
    </w:pPr>
    <w:rPr>
      <w:rFonts w:ascii="Lucida Sans" w:eastAsiaTheme="majorEastAsia" w:hAnsi="Lucida Sans" w:cstheme="majorBidi"/>
      <w:sz w:val="22"/>
      <w:szCs w:val="20"/>
    </w:rPr>
  </w:style>
  <w:style w:type="paragraph" w:styleId="Heading9">
    <w:name w:val="heading 9"/>
    <w:basedOn w:val="Normal"/>
    <w:next w:val="Normal"/>
    <w:link w:val="Heading9Char"/>
    <w:qFormat/>
    <w:rsid w:val="00B15162"/>
    <w:pPr>
      <w:keepNext/>
      <w:keepLines/>
      <w:numPr>
        <w:ilvl w:val="8"/>
        <w:numId w:val="1"/>
      </w:numPr>
      <w:spacing w:before="200" w:after="200" w:line="360" w:lineRule="auto"/>
      <w:outlineLvl w:val="8"/>
    </w:pPr>
    <w:rPr>
      <w:rFonts w:ascii="Lucida Sans" w:eastAsiaTheme="majorEastAsia" w:hAnsi="Lucida Sans" w:cstheme="majorBidi"/>
      <w:iCs/>
      <w:color w:val="000000" w:themeColor="text1"/>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162"/>
    <w:rPr>
      <w:rFonts w:ascii="Lucida Sans" w:eastAsia="Arial Unicode MS" w:hAnsi="Lucida Sans" w:cs="Arial"/>
      <w:b/>
      <w:bCs/>
      <w:kern w:val="32"/>
      <w:sz w:val="28"/>
      <w:szCs w:val="32"/>
    </w:rPr>
  </w:style>
  <w:style w:type="character" w:customStyle="1" w:styleId="Heading2Char">
    <w:name w:val="Heading 2 Char"/>
    <w:basedOn w:val="DefaultParagraphFont"/>
    <w:link w:val="Heading2"/>
    <w:uiPriority w:val="9"/>
    <w:rsid w:val="00B15162"/>
    <w:rPr>
      <w:rFonts w:ascii="Lucida Sans" w:eastAsia="Times New Roman" w:hAnsi="Lucida Sans" w:cs="Arial"/>
      <w:b/>
      <w:bCs/>
      <w:lang w:eastAsia="en-GB"/>
    </w:rPr>
  </w:style>
  <w:style w:type="character" w:customStyle="1" w:styleId="Heading3Char">
    <w:name w:val="Heading 3 Char"/>
    <w:basedOn w:val="DefaultParagraphFont"/>
    <w:link w:val="Heading3"/>
    <w:uiPriority w:val="9"/>
    <w:rsid w:val="00B15162"/>
    <w:rPr>
      <w:rFonts w:ascii="Lucida Sans" w:eastAsia="Times New Roman" w:hAnsi="Lucida Sans" w:cs="Arial"/>
      <w:b/>
      <w:bCs/>
      <w:sz w:val="22"/>
      <w:szCs w:val="26"/>
    </w:rPr>
  </w:style>
  <w:style w:type="character" w:customStyle="1" w:styleId="Heading4Char">
    <w:name w:val="Heading 4 Char"/>
    <w:basedOn w:val="DefaultParagraphFont"/>
    <w:link w:val="Heading4"/>
    <w:rsid w:val="00B15162"/>
    <w:rPr>
      <w:rFonts w:ascii="Lucida Sans" w:eastAsiaTheme="majorEastAsia" w:hAnsi="Lucida Sans" w:cstheme="majorBidi"/>
      <w:b/>
      <w:bCs/>
      <w:iCs/>
      <w:sz w:val="22"/>
    </w:rPr>
  </w:style>
  <w:style w:type="character" w:customStyle="1" w:styleId="Heading5Char">
    <w:name w:val="Heading 5 Char"/>
    <w:basedOn w:val="DefaultParagraphFont"/>
    <w:link w:val="Heading5"/>
    <w:rsid w:val="00B15162"/>
    <w:rPr>
      <w:rFonts w:ascii="Lucida Sans" w:eastAsiaTheme="majorEastAsia" w:hAnsi="Lucida Sans" w:cstheme="majorBidi"/>
      <w:sz w:val="22"/>
    </w:rPr>
  </w:style>
  <w:style w:type="character" w:customStyle="1" w:styleId="Heading6Char">
    <w:name w:val="Heading 6 Char"/>
    <w:aliases w:val="Figure Char"/>
    <w:basedOn w:val="DefaultParagraphFont"/>
    <w:link w:val="Heading6"/>
    <w:rsid w:val="00B15162"/>
    <w:rPr>
      <w:rFonts w:ascii="Lucida Sans" w:hAnsi="Lucida Sans"/>
      <w:color w:val="000000" w:themeColor="text1"/>
      <w:kern w:val="24"/>
      <w:sz w:val="20"/>
      <w:szCs w:val="22"/>
      <w:lang w:val="en-US"/>
    </w:rPr>
  </w:style>
  <w:style w:type="character" w:customStyle="1" w:styleId="Heading7Char">
    <w:name w:val="Heading 7 Char"/>
    <w:basedOn w:val="DefaultParagraphFont"/>
    <w:link w:val="Heading7"/>
    <w:rsid w:val="00B15162"/>
    <w:rPr>
      <w:rFonts w:ascii="Lucida Sans" w:eastAsiaTheme="majorEastAsia" w:hAnsi="Lucida Sans" w:cstheme="majorBidi"/>
      <w:iCs/>
      <w:sz w:val="22"/>
    </w:rPr>
  </w:style>
  <w:style w:type="character" w:customStyle="1" w:styleId="Heading8Char">
    <w:name w:val="Heading 8 Char"/>
    <w:basedOn w:val="DefaultParagraphFont"/>
    <w:link w:val="Heading8"/>
    <w:rsid w:val="00B15162"/>
    <w:rPr>
      <w:rFonts w:ascii="Lucida Sans" w:eastAsiaTheme="majorEastAsia" w:hAnsi="Lucida Sans" w:cstheme="majorBidi"/>
      <w:sz w:val="22"/>
      <w:szCs w:val="20"/>
    </w:rPr>
  </w:style>
  <w:style w:type="character" w:customStyle="1" w:styleId="Heading9Char">
    <w:name w:val="Heading 9 Char"/>
    <w:basedOn w:val="DefaultParagraphFont"/>
    <w:link w:val="Heading9"/>
    <w:rsid w:val="00B15162"/>
    <w:rPr>
      <w:rFonts w:ascii="Lucida Sans" w:eastAsiaTheme="majorEastAsia" w:hAnsi="Lucida Sans" w:cstheme="majorBidi"/>
      <w:iCs/>
      <w:color w:val="000000" w:themeColor="text1"/>
      <w:sz w:val="22"/>
      <w:szCs w:val="20"/>
    </w:rPr>
  </w:style>
  <w:style w:type="table" w:styleId="TableGrid">
    <w:name w:val="Table Grid"/>
    <w:basedOn w:val="TableNormal"/>
    <w:rsid w:val="00B15162"/>
    <w:pPr>
      <w:adjustRightInd w:val="0"/>
      <w:spacing w:before="40" w:after="40"/>
    </w:pPr>
    <w:rPr>
      <w:rFonts w:ascii="Lucida Sans" w:eastAsia="Times New Roman" w:hAnsi="Lucida Sans"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NormalWeb">
    <w:name w:val="Normal (Web)"/>
    <w:basedOn w:val="Normal"/>
    <w:uiPriority w:val="99"/>
    <w:unhideWhenUsed/>
    <w:rsid w:val="00B15162"/>
    <w:rPr>
      <w:rFonts w:ascii="Times New Roman" w:hAnsi="Times New Roman" w:cs="Times New Roman"/>
    </w:rPr>
  </w:style>
  <w:style w:type="paragraph" w:styleId="BalloonText">
    <w:name w:val="Balloon Text"/>
    <w:basedOn w:val="Normal"/>
    <w:link w:val="BalloonTextChar"/>
    <w:uiPriority w:val="99"/>
    <w:semiHidden/>
    <w:unhideWhenUsed/>
    <w:rsid w:val="00B151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15162"/>
    <w:rPr>
      <w:rFonts w:ascii="Lucida Grande" w:hAnsi="Lucida Grande" w:cs="Lucida Grande"/>
      <w:sz w:val="18"/>
      <w:szCs w:val="18"/>
    </w:rPr>
  </w:style>
  <w:style w:type="paragraph" w:styleId="FootnoteText">
    <w:name w:val="footnote text"/>
    <w:basedOn w:val="Normal"/>
    <w:link w:val="FootnoteTextChar"/>
    <w:uiPriority w:val="99"/>
    <w:unhideWhenUsed/>
    <w:rsid w:val="00EB5B80"/>
    <w:rPr>
      <w:rFonts w:ascii="Lucida Sans" w:hAnsi="Lucida Sans"/>
      <w:sz w:val="16"/>
      <w:lang w:val="en-US"/>
    </w:rPr>
  </w:style>
  <w:style w:type="character" w:customStyle="1" w:styleId="FootnoteTextChar">
    <w:name w:val="Footnote Text Char"/>
    <w:basedOn w:val="DefaultParagraphFont"/>
    <w:link w:val="FootnoteText"/>
    <w:uiPriority w:val="99"/>
    <w:rsid w:val="00EB5B80"/>
    <w:rPr>
      <w:rFonts w:ascii="Lucida Sans" w:hAnsi="Lucida Sans"/>
      <w:sz w:val="16"/>
      <w:lang w:val="en-US"/>
    </w:rPr>
  </w:style>
  <w:style w:type="character" w:styleId="FootnoteReference">
    <w:name w:val="footnote reference"/>
    <w:basedOn w:val="DefaultParagraphFont"/>
    <w:uiPriority w:val="99"/>
    <w:unhideWhenUsed/>
    <w:rsid w:val="00EB5B80"/>
    <w:rPr>
      <w:vertAlign w:val="superscript"/>
    </w:rPr>
  </w:style>
  <w:style w:type="paragraph" w:styleId="Header">
    <w:name w:val="header"/>
    <w:basedOn w:val="Normal"/>
    <w:link w:val="HeaderChar"/>
    <w:rsid w:val="00EB5B80"/>
    <w:pPr>
      <w:tabs>
        <w:tab w:val="center" w:pos="4153"/>
        <w:tab w:val="right" w:pos="8306"/>
      </w:tabs>
      <w:spacing w:after="200" w:line="360" w:lineRule="auto"/>
    </w:pPr>
    <w:rPr>
      <w:rFonts w:ascii="Lucida Sans" w:eastAsia="Times New Roman" w:hAnsi="Lucida Sans" w:cs="Times New Roman"/>
      <w:sz w:val="22"/>
    </w:rPr>
  </w:style>
  <w:style w:type="character" w:customStyle="1" w:styleId="HeaderChar">
    <w:name w:val="Header Char"/>
    <w:basedOn w:val="DefaultParagraphFont"/>
    <w:link w:val="Header"/>
    <w:rsid w:val="00EB5B80"/>
    <w:rPr>
      <w:rFonts w:ascii="Lucida Sans" w:eastAsia="Times New Roman" w:hAnsi="Lucida Sans" w:cs="Times New Roman"/>
      <w:sz w:val="22"/>
    </w:rPr>
  </w:style>
  <w:style w:type="paragraph" w:styleId="ListParagraph">
    <w:name w:val="List Paragraph"/>
    <w:basedOn w:val="Normal"/>
    <w:uiPriority w:val="34"/>
    <w:qFormat/>
    <w:rsid w:val="00EB5B80"/>
    <w:pPr>
      <w:ind w:left="720"/>
      <w:contextualSpacing/>
    </w:pPr>
    <w:rPr>
      <w:lang w:val="en-US"/>
    </w:rPr>
  </w:style>
  <w:style w:type="paragraph" w:customStyle="1" w:styleId="Table">
    <w:name w:val="Table"/>
    <w:basedOn w:val="Caption"/>
    <w:qFormat/>
    <w:rsid w:val="00EB5B80"/>
    <w:pPr>
      <w:spacing w:before="240" w:after="320"/>
    </w:pPr>
    <w:rPr>
      <w:rFonts w:ascii="Lucida Sans" w:eastAsia="Times New Roman" w:hAnsi="Lucida Sans" w:cs="Times New Roman"/>
      <w:b w:val="0"/>
      <w:bCs w:val="0"/>
      <w:color w:val="auto"/>
      <w:sz w:val="20"/>
      <w:szCs w:val="26"/>
    </w:rPr>
  </w:style>
  <w:style w:type="paragraph" w:styleId="Caption">
    <w:name w:val="caption"/>
    <w:basedOn w:val="Normal"/>
    <w:next w:val="Normal"/>
    <w:uiPriority w:val="35"/>
    <w:unhideWhenUsed/>
    <w:qFormat/>
    <w:rsid w:val="00EB5B80"/>
    <w:pPr>
      <w:spacing w:after="200"/>
    </w:pPr>
    <w:rPr>
      <w:b/>
      <w:bCs/>
      <w:color w:val="4F81BD" w:themeColor="accent1"/>
      <w:sz w:val="18"/>
      <w:szCs w:val="18"/>
    </w:rPr>
  </w:style>
  <w:style w:type="character" w:customStyle="1" w:styleId="normaltextrun">
    <w:name w:val="normaltextrun"/>
    <w:basedOn w:val="DefaultParagraphFont"/>
    <w:rsid w:val="004041C7"/>
  </w:style>
  <w:style w:type="character" w:customStyle="1" w:styleId="eop">
    <w:name w:val="eop"/>
    <w:basedOn w:val="DefaultParagraphFont"/>
    <w:rsid w:val="004041C7"/>
  </w:style>
  <w:style w:type="character" w:styleId="Hyperlink">
    <w:name w:val="Hyperlink"/>
    <w:basedOn w:val="DefaultParagraphFont"/>
    <w:uiPriority w:val="99"/>
    <w:unhideWhenUsed/>
    <w:rsid w:val="008836E6"/>
    <w:rPr>
      <w:color w:val="0000FF" w:themeColor="hyperlink"/>
      <w:u w:val="single"/>
    </w:rPr>
  </w:style>
  <w:style w:type="character" w:styleId="PlaceholderText">
    <w:name w:val="Placeholder Text"/>
    <w:basedOn w:val="DefaultParagraphFont"/>
    <w:uiPriority w:val="99"/>
    <w:semiHidden/>
    <w:rsid w:val="001A540F"/>
    <w:rPr>
      <w:color w:val="808080"/>
    </w:rPr>
  </w:style>
  <w:style w:type="character" w:styleId="CommentReference">
    <w:name w:val="annotation reference"/>
    <w:basedOn w:val="DefaultParagraphFont"/>
    <w:uiPriority w:val="99"/>
    <w:semiHidden/>
    <w:unhideWhenUsed/>
    <w:rsid w:val="0039596A"/>
    <w:rPr>
      <w:sz w:val="18"/>
      <w:szCs w:val="18"/>
    </w:rPr>
  </w:style>
  <w:style w:type="paragraph" w:styleId="CommentText">
    <w:name w:val="annotation text"/>
    <w:basedOn w:val="Normal"/>
    <w:link w:val="CommentTextChar"/>
    <w:uiPriority w:val="99"/>
    <w:semiHidden/>
    <w:unhideWhenUsed/>
    <w:rsid w:val="0039596A"/>
  </w:style>
  <w:style w:type="character" w:customStyle="1" w:styleId="CommentTextChar">
    <w:name w:val="Comment Text Char"/>
    <w:basedOn w:val="DefaultParagraphFont"/>
    <w:link w:val="CommentText"/>
    <w:uiPriority w:val="99"/>
    <w:semiHidden/>
    <w:rsid w:val="0039596A"/>
  </w:style>
  <w:style w:type="paragraph" w:styleId="CommentSubject">
    <w:name w:val="annotation subject"/>
    <w:basedOn w:val="CommentText"/>
    <w:next w:val="CommentText"/>
    <w:link w:val="CommentSubjectChar"/>
    <w:uiPriority w:val="99"/>
    <w:semiHidden/>
    <w:unhideWhenUsed/>
    <w:rsid w:val="0039596A"/>
    <w:rPr>
      <w:b/>
      <w:bCs/>
      <w:sz w:val="20"/>
      <w:szCs w:val="20"/>
    </w:rPr>
  </w:style>
  <w:style w:type="character" w:customStyle="1" w:styleId="CommentSubjectChar">
    <w:name w:val="Comment Subject Char"/>
    <w:basedOn w:val="CommentTextChar"/>
    <w:link w:val="CommentSubject"/>
    <w:uiPriority w:val="99"/>
    <w:semiHidden/>
    <w:rsid w:val="00395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8230">
      <w:bodyDiv w:val="1"/>
      <w:marLeft w:val="0"/>
      <w:marRight w:val="0"/>
      <w:marTop w:val="0"/>
      <w:marBottom w:val="0"/>
      <w:divBdr>
        <w:top w:val="none" w:sz="0" w:space="0" w:color="auto"/>
        <w:left w:val="none" w:sz="0" w:space="0" w:color="auto"/>
        <w:bottom w:val="none" w:sz="0" w:space="0" w:color="auto"/>
        <w:right w:val="none" w:sz="0" w:space="0" w:color="auto"/>
      </w:divBdr>
    </w:div>
    <w:div w:id="133186102">
      <w:bodyDiv w:val="1"/>
      <w:marLeft w:val="0"/>
      <w:marRight w:val="0"/>
      <w:marTop w:val="0"/>
      <w:marBottom w:val="0"/>
      <w:divBdr>
        <w:top w:val="none" w:sz="0" w:space="0" w:color="auto"/>
        <w:left w:val="none" w:sz="0" w:space="0" w:color="auto"/>
        <w:bottom w:val="none" w:sz="0" w:space="0" w:color="auto"/>
        <w:right w:val="none" w:sz="0" w:space="0" w:color="auto"/>
      </w:divBdr>
    </w:div>
    <w:div w:id="342243698">
      <w:bodyDiv w:val="1"/>
      <w:marLeft w:val="0"/>
      <w:marRight w:val="0"/>
      <w:marTop w:val="0"/>
      <w:marBottom w:val="0"/>
      <w:divBdr>
        <w:top w:val="none" w:sz="0" w:space="0" w:color="auto"/>
        <w:left w:val="none" w:sz="0" w:space="0" w:color="auto"/>
        <w:bottom w:val="none" w:sz="0" w:space="0" w:color="auto"/>
        <w:right w:val="none" w:sz="0" w:space="0" w:color="auto"/>
      </w:divBdr>
    </w:div>
    <w:div w:id="496917168">
      <w:bodyDiv w:val="1"/>
      <w:marLeft w:val="0"/>
      <w:marRight w:val="0"/>
      <w:marTop w:val="0"/>
      <w:marBottom w:val="0"/>
      <w:divBdr>
        <w:top w:val="none" w:sz="0" w:space="0" w:color="auto"/>
        <w:left w:val="none" w:sz="0" w:space="0" w:color="auto"/>
        <w:bottom w:val="none" w:sz="0" w:space="0" w:color="auto"/>
        <w:right w:val="none" w:sz="0" w:space="0" w:color="auto"/>
      </w:divBdr>
    </w:div>
    <w:div w:id="1392777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ylogic.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5B850-CFD8-4C8F-9068-28AE767E8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24351</Words>
  <Characters>138801</Characters>
  <Application>Microsoft Office Word</Application>
  <DocSecurity>4</DocSecurity>
  <Lines>1156</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R.M.</dc:creator>
  <cp:keywords/>
  <dc:description/>
  <cp:lastModifiedBy>Edwards L.</cp:lastModifiedBy>
  <cp:revision>2</cp:revision>
  <cp:lastPrinted>2019-05-14T12:29:00Z</cp:lastPrinted>
  <dcterms:created xsi:type="dcterms:W3CDTF">2020-01-07T09:58:00Z</dcterms:created>
  <dcterms:modified xsi:type="dcterms:W3CDTF">2020-01-07T09:58:00Z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2ef65693-9d64-3e10-b1ef-9c3a5262b564</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