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94B1C" w14:textId="77777777" w:rsidR="00F42E7B" w:rsidRPr="00166515" w:rsidRDefault="00246159" w:rsidP="00166515">
      <w:pPr>
        <w:pStyle w:val="MDPI11articletype"/>
      </w:pPr>
      <w:bookmarkStart w:id="0" w:name="_Hlk21076564"/>
      <w:r w:rsidRPr="00166515">
        <w:t>Article</w:t>
      </w:r>
    </w:p>
    <w:p w14:paraId="5C234BFC" w14:textId="57F6DE69" w:rsidR="00246159" w:rsidRPr="00166515" w:rsidRDefault="00637B26" w:rsidP="00166515">
      <w:pPr>
        <w:pStyle w:val="MDPI12title"/>
      </w:pPr>
      <w:bookmarkStart w:id="1" w:name="_Hlk28632351"/>
      <w:r w:rsidRPr="00166515">
        <w:t>Exploratory</w:t>
      </w:r>
      <w:r w:rsidR="00561A11" w:rsidRPr="00166515">
        <w:t xml:space="preserve"> </w:t>
      </w:r>
      <w:r w:rsidR="00166515" w:rsidRPr="00166515">
        <w:t>Full-Field Strain Analysis</w:t>
      </w:r>
      <w:r w:rsidRPr="00166515">
        <w:t xml:space="preserve"> </w:t>
      </w:r>
      <w:r w:rsidR="00561A11" w:rsidRPr="00166515">
        <w:t>of</w:t>
      </w:r>
      <w:r w:rsidR="00246159" w:rsidRPr="00166515">
        <w:t xml:space="preserve"> </w:t>
      </w:r>
      <w:r w:rsidR="00166515" w:rsidRPr="00166515">
        <w:t>Regenerated Bone Tissue</w:t>
      </w:r>
      <w:r w:rsidR="00224359" w:rsidRPr="00166515">
        <w:t xml:space="preserve"> </w:t>
      </w:r>
      <w:r w:rsidR="00246159" w:rsidRPr="00166515">
        <w:t>f</w:t>
      </w:r>
      <w:r w:rsidR="00224359" w:rsidRPr="00166515">
        <w:t xml:space="preserve">rom </w:t>
      </w:r>
      <w:r w:rsidR="00166515" w:rsidRPr="00166515">
        <w:t>Osteoinductive Biomaterials</w:t>
      </w:r>
    </w:p>
    <w:p w14:paraId="5126E214" w14:textId="143D7F65" w:rsidR="00246159" w:rsidRPr="00166515" w:rsidRDefault="00246159" w:rsidP="00166515">
      <w:pPr>
        <w:pStyle w:val="MDPI13authornames"/>
      </w:pPr>
      <w:r w:rsidRPr="00166515">
        <w:t xml:space="preserve">Marta Peña Fernández </w:t>
      </w:r>
      <w:r w:rsidRPr="00166515">
        <w:rPr>
          <w:vertAlign w:val="superscript"/>
        </w:rPr>
        <w:t>1</w:t>
      </w:r>
      <w:r w:rsidRPr="00166515">
        <w:t xml:space="preserve">, Cameron Black </w:t>
      </w:r>
      <w:r w:rsidRPr="00166515">
        <w:rPr>
          <w:vertAlign w:val="superscript"/>
        </w:rPr>
        <w:t>2</w:t>
      </w:r>
      <w:r w:rsidRPr="00166515">
        <w:t xml:space="preserve">, Jon Dawson </w:t>
      </w:r>
      <w:r w:rsidRPr="00166515">
        <w:rPr>
          <w:vertAlign w:val="superscript"/>
        </w:rPr>
        <w:t>2</w:t>
      </w:r>
      <w:r w:rsidRPr="00166515">
        <w:t xml:space="preserve">, David Gibbs </w:t>
      </w:r>
      <w:r w:rsidRPr="00166515">
        <w:rPr>
          <w:vertAlign w:val="superscript"/>
        </w:rPr>
        <w:t>2,3</w:t>
      </w:r>
      <w:r w:rsidRPr="00166515">
        <w:t xml:space="preserve">, Janos Kanczler </w:t>
      </w:r>
      <w:r w:rsidRPr="00166515">
        <w:rPr>
          <w:vertAlign w:val="superscript"/>
        </w:rPr>
        <w:t>2</w:t>
      </w:r>
      <w:r w:rsidRPr="00166515">
        <w:t>, Richard O</w:t>
      </w:r>
      <w:r w:rsidR="00D277BE">
        <w:t>.</w:t>
      </w:r>
      <w:r w:rsidRPr="00166515">
        <w:t>C</w:t>
      </w:r>
      <w:r w:rsidR="00D277BE">
        <w:t>.</w:t>
      </w:r>
      <w:r w:rsidRPr="00166515">
        <w:t xml:space="preserve"> Oreffo </w:t>
      </w:r>
      <w:r w:rsidRPr="00166515">
        <w:rPr>
          <w:vertAlign w:val="superscript"/>
        </w:rPr>
        <w:t>2</w:t>
      </w:r>
      <w:r w:rsidR="00166515" w:rsidRPr="00166515">
        <w:t xml:space="preserve"> and </w:t>
      </w:r>
      <w:r w:rsidRPr="00166515">
        <w:t>Gianluca T</w:t>
      </w:r>
      <w:bookmarkStart w:id="2" w:name="_GoBack"/>
      <w:bookmarkEnd w:id="2"/>
      <w:r w:rsidRPr="00166515">
        <w:t xml:space="preserve">ozzi </w:t>
      </w:r>
      <w:r w:rsidRPr="00166515">
        <w:rPr>
          <w:vertAlign w:val="superscript"/>
        </w:rPr>
        <w:t>1</w:t>
      </w:r>
      <w:r w:rsidR="00166515">
        <w:rPr>
          <w:vertAlign w:val="superscript"/>
        </w:rPr>
        <w:t>,</w:t>
      </w:r>
      <w:r w:rsidRPr="00166515">
        <w:t>*</w:t>
      </w:r>
    </w:p>
    <w:p w14:paraId="5BBC09CE" w14:textId="4CF37DC5" w:rsidR="00F42E7B" w:rsidRPr="00166515" w:rsidRDefault="00F42E7B" w:rsidP="00166515">
      <w:pPr>
        <w:pStyle w:val="MDPI16affiliation"/>
      </w:pPr>
      <w:r w:rsidRPr="00166515">
        <w:rPr>
          <w:vertAlign w:val="superscript"/>
        </w:rPr>
        <w:t>1</w:t>
      </w:r>
      <w:r w:rsidRPr="00166515">
        <w:tab/>
      </w:r>
      <w:r w:rsidR="00402657" w:rsidRPr="00166515">
        <w:t xml:space="preserve">School of Mechanical and Design Engineering, University of Portsmouth, </w:t>
      </w:r>
      <w:r w:rsidR="00AE62E3" w:rsidRPr="00166515">
        <w:t>Portsmouth PO1 3DJ, UK</w:t>
      </w:r>
    </w:p>
    <w:p w14:paraId="57D11D4B" w14:textId="049BCA06" w:rsidR="00F42E7B" w:rsidRPr="00166515" w:rsidRDefault="00F42E7B" w:rsidP="00166515">
      <w:pPr>
        <w:pStyle w:val="MDPI16affiliation"/>
      </w:pPr>
      <w:r w:rsidRPr="00166515">
        <w:rPr>
          <w:vertAlign w:val="superscript"/>
        </w:rPr>
        <w:t>2</w:t>
      </w:r>
      <w:r w:rsidRPr="00166515">
        <w:tab/>
      </w:r>
      <w:r w:rsidR="00AE62E3" w:rsidRPr="00166515">
        <w:t xml:space="preserve">Bone &amp; Joint Research Group, Centre for Human Development Stem Cells and Regeneration, </w:t>
      </w:r>
      <w:r w:rsidR="004E7822" w:rsidRPr="00166515">
        <w:t xml:space="preserve">Faculty of Medicine, </w:t>
      </w:r>
      <w:r w:rsidR="00AE62E3" w:rsidRPr="00166515">
        <w:t xml:space="preserve">University of Southampton, </w:t>
      </w:r>
      <w:r w:rsidR="006E0CDD">
        <w:rPr>
          <w:rStyle w:val="st"/>
        </w:rPr>
        <w:t>Southampton</w:t>
      </w:r>
      <w:r w:rsidR="006E0CDD" w:rsidRPr="00166515">
        <w:t xml:space="preserve"> </w:t>
      </w:r>
      <w:r w:rsidR="00AE62E3" w:rsidRPr="00166515">
        <w:t>SO16 6YD, UK</w:t>
      </w:r>
    </w:p>
    <w:p w14:paraId="0C5DB0F3" w14:textId="11038EB6" w:rsidR="00AE62E3" w:rsidRPr="00166515" w:rsidRDefault="00AE62E3" w:rsidP="00166515">
      <w:pPr>
        <w:pStyle w:val="MDPI16affiliation"/>
      </w:pPr>
      <w:r w:rsidRPr="00166515">
        <w:rPr>
          <w:vertAlign w:val="superscript"/>
        </w:rPr>
        <w:t>2</w:t>
      </w:r>
      <w:r w:rsidRPr="00166515">
        <w:tab/>
        <w:t>School of Maritime Science and Engineering, Solent University,</w:t>
      </w:r>
      <w:r w:rsidR="00415AB5">
        <w:t xml:space="preserve"> </w:t>
      </w:r>
      <w:r w:rsidR="00415AB5" w:rsidRPr="00A214F8">
        <w:rPr>
          <w:rStyle w:val="st"/>
        </w:rPr>
        <w:t>Southampton</w:t>
      </w:r>
      <w:r w:rsidRPr="00166515">
        <w:t xml:space="preserve"> SO14 0YN, UK</w:t>
      </w:r>
    </w:p>
    <w:p w14:paraId="015A0092" w14:textId="18184677" w:rsidR="00F42E7B" w:rsidRPr="00166515" w:rsidRDefault="00166515" w:rsidP="00166515">
      <w:pPr>
        <w:pStyle w:val="MDPI16affiliation"/>
      </w:pPr>
      <w:r w:rsidRPr="00166515">
        <w:rPr>
          <w:b/>
        </w:rPr>
        <w:t>*</w:t>
      </w:r>
      <w:r w:rsidRPr="00166515">
        <w:tab/>
        <w:t>Correspondence:</w:t>
      </w:r>
      <w:r w:rsidR="006E0CDD">
        <w:t xml:space="preserve"> </w:t>
      </w:r>
      <w:r w:rsidR="00415AB5">
        <w:t>g</w:t>
      </w:r>
      <w:r w:rsidR="00AE62E3" w:rsidRPr="00166515">
        <w:t>ianluca.tozzi@port.ac.uk</w:t>
      </w:r>
      <w:r w:rsidR="00F42E7B" w:rsidRPr="00166515">
        <w:t xml:space="preserve">; </w:t>
      </w:r>
      <w:r w:rsidR="00442467" w:rsidRPr="00166515">
        <w:t xml:space="preserve">Tel.: </w:t>
      </w:r>
      <w:r w:rsidR="00AE62E3" w:rsidRPr="00166515">
        <w:t>+44</w:t>
      </w:r>
      <w:r w:rsidR="006E0CDD">
        <w:rPr>
          <w:rFonts w:asciiTheme="minorEastAsia" w:eastAsiaTheme="minorEastAsia" w:hAnsiTheme="minorEastAsia" w:hint="eastAsia"/>
          <w:lang w:eastAsia="zh-CN"/>
        </w:rPr>
        <w:t>-</w:t>
      </w:r>
      <w:r w:rsidR="00AE62E3" w:rsidRPr="00166515">
        <w:t>(0)</w:t>
      </w:r>
      <w:r w:rsidR="006E0CDD">
        <w:rPr>
          <w:rFonts w:asciiTheme="minorEastAsia" w:eastAsiaTheme="minorEastAsia" w:hAnsiTheme="minorEastAsia" w:hint="eastAsia"/>
          <w:lang w:eastAsia="zh-CN"/>
        </w:rPr>
        <w:t>-</w:t>
      </w:r>
      <w:r w:rsidR="00AE62E3" w:rsidRPr="00166515">
        <w:t>239284</w:t>
      </w:r>
      <w:r w:rsidR="006E0CDD">
        <w:rPr>
          <w:rFonts w:asciiTheme="minorEastAsia" w:eastAsiaTheme="minorEastAsia" w:hAnsiTheme="minorEastAsia" w:hint="eastAsia"/>
          <w:lang w:eastAsia="zh-CN"/>
        </w:rPr>
        <w:t>-</w:t>
      </w:r>
      <w:r w:rsidR="00AE62E3" w:rsidRPr="00166515">
        <w:t>2514</w:t>
      </w:r>
    </w:p>
    <w:bookmarkEnd w:id="1"/>
    <w:p w14:paraId="74D48D8B" w14:textId="6B3497E0" w:rsidR="00F42E7B" w:rsidRPr="00166515" w:rsidRDefault="00F42E7B" w:rsidP="00166515">
      <w:pPr>
        <w:pStyle w:val="MDPI14history"/>
      </w:pPr>
      <w:r w:rsidRPr="00166515">
        <w:t xml:space="preserve">Received: </w:t>
      </w:r>
      <w:r w:rsidR="006E0CDD">
        <w:t>24 October 2019</w:t>
      </w:r>
      <w:r w:rsidRPr="00166515">
        <w:t xml:space="preserve">; Accepted: </w:t>
      </w:r>
      <w:r w:rsidR="006E0CDD">
        <w:t>28 December 2019</w:t>
      </w:r>
      <w:r w:rsidRPr="00166515">
        <w:t>; Published: date</w:t>
      </w:r>
    </w:p>
    <w:p w14:paraId="194709A8" w14:textId="46A6B61A" w:rsidR="00F42E7B" w:rsidRPr="00166515" w:rsidRDefault="00F42E7B" w:rsidP="00166515">
      <w:pPr>
        <w:pStyle w:val="MDPI17abstract"/>
      </w:pPr>
      <w:r w:rsidRPr="00166515">
        <w:rPr>
          <w:b/>
        </w:rPr>
        <w:t xml:space="preserve">Abstract: </w:t>
      </w:r>
      <w:r w:rsidR="00591E34" w:rsidRPr="00166515">
        <w:t>Biomaterials for bone regeneration are constantly under development</w:t>
      </w:r>
      <w:r w:rsidR="005440CB">
        <w:t>,</w:t>
      </w:r>
      <w:r w:rsidR="00591E34" w:rsidRPr="00166515">
        <w:t xml:space="preserve"> and their application in c</w:t>
      </w:r>
      <w:r w:rsidR="006D0BE8" w:rsidRPr="00166515">
        <w:t>ritical-sized defects represents</w:t>
      </w:r>
      <w:r w:rsidR="00591E34" w:rsidRPr="00166515">
        <w:t xml:space="preserve"> a promising alternative to bone grafting techniques. However, the ability of </w:t>
      </w:r>
      <w:r w:rsidR="00AD6BB3" w:rsidRPr="00166515">
        <w:t xml:space="preserve">all </w:t>
      </w:r>
      <w:r w:rsidR="00591E34" w:rsidRPr="00166515">
        <w:t xml:space="preserve">these </w:t>
      </w:r>
      <w:r w:rsidR="004E7822" w:rsidRPr="00166515">
        <w:t xml:space="preserve">materials </w:t>
      </w:r>
      <w:r w:rsidR="00591E34" w:rsidRPr="00166515">
        <w:t>to produce bone mechanically comparable with the native tissue remains unclear. This study</w:t>
      </w:r>
      <w:r w:rsidR="008B5E9E" w:rsidRPr="00166515">
        <w:t xml:space="preserve"> aims to explore the full-field strain evolution in newly formed bone tissue produced </w:t>
      </w:r>
      <w:r w:rsidR="008B5E9E" w:rsidRPr="009D5A75">
        <w:rPr>
          <w:iCs/>
        </w:rPr>
        <w:t>in vivo</w:t>
      </w:r>
      <w:r w:rsidR="008B5E9E" w:rsidRPr="00166515">
        <w:t xml:space="preserve"> by different</w:t>
      </w:r>
      <w:r w:rsidR="00AA63DC" w:rsidRPr="00166515">
        <w:t xml:space="preserve"> osteoinductive strategies, including delivery systems for BMP-2 release.</w:t>
      </w:r>
      <w:r w:rsidR="00EB2CAC" w:rsidRPr="00166515">
        <w:t xml:space="preserve"> </w:t>
      </w:r>
      <w:r w:rsidR="007C4352" w:rsidRPr="009D5A75">
        <w:rPr>
          <w:iCs/>
        </w:rPr>
        <w:t>I</w:t>
      </w:r>
      <w:r w:rsidR="00EB2CAC" w:rsidRPr="009D5A75">
        <w:rPr>
          <w:iCs/>
        </w:rPr>
        <w:t>n situ</w:t>
      </w:r>
      <w:r w:rsidR="00EB2CAC" w:rsidRPr="00166515">
        <w:t xml:space="preserve"> high-resolution X-ray micro-computed tomography (microCT) and digital volume correlation (DVC)</w:t>
      </w:r>
      <w:r w:rsidR="007C4352" w:rsidRPr="00166515">
        <w:t xml:space="preserve"> were used to qualitatively assess the micromechanics of regenerated bone tissue</w:t>
      </w:r>
      <w:r w:rsidR="00EB2CAC" w:rsidRPr="00166515">
        <w:t xml:space="preserve">. </w:t>
      </w:r>
      <w:r w:rsidR="007C4352" w:rsidRPr="00166515">
        <w:t>Local s</w:t>
      </w:r>
      <w:r w:rsidR="00EB2CAC" w:rsidRPr="00166515">
        <w:t xml:space="preserve">train in </w:t>
      </w:r>
      <w:r w:rsidR="007C4352" w:rsidRPr="00166515">
        <w:t xml:space="preserve">the </w:t>
      </w:r>
      <w:r w:rsidR="00EB2CAC" w:rsidRPr="00166515">
        <w:t>tissue w</w:t>
      </w:r>
      <w:r w:rsidR="00561A11" w:rsidRPr="00166515">
        <w:t>as</w:t>
      </w:r>
      <w:r w:rsidR="00EB2CAC" w:rsidRPr="00166515">
        <w:t xml:space="preserve"> evaluated in relation to the different bone morphometry and mineralization</w:t>
      </w:r>
      <w:r w:rsidR="007C4352" w:rsidRPr="00166515">
        <w:t xml:space="preserve"> </w:t>
      </w:r>
      <w:r w:rsidR="00561A11" w:rsidRPr="00166515">
        <w:t>for</w:t>
      </w:r>
      <w:r w:rsidR="007C4352" w:rsidRPr="00166515">
        <w:t xml:space="preserve"> s</w:t>
      </w:r>
      <w:r w:rsidR="00173CC0" w:rsidRPr="00166515">
        <w:t>pecimens</w:t>
      </w:r>
      <w:r w:rsidR="007C4352" w:rsidRPr="00166515">
        <w:t xml:space="preserve"> </w:t>
      </w:r>
      <w:r w:rsidR="00EC7762" w:rsidRPr="00166515">
        <w:t>(</w:t>
      </w:r>
      <w:r w:rsidR="00415AB5">
        <w:t xml:space="preserve">n </w:t>
      </w:r>
      <w:r w:rsidR="00EC7762" w:rsidRPr="00166515">
        <w:t>=</w:t>
      </w:r>
      <w:r w:rsidR="00166515">
        <w:t xml:space="preserve"> </w:t>
      </w:r>
      <w:r w:rsidR="00EC7762" w:rsidRPr="00166515">
        <w:t xml:space="preserve">2 p/treatment) retrieved </w:t>
      </w:r>
      <w:r w:rsidR="007C4352" w:rsidRPr="00166515">
        <w:t>at a single time point</w:t>
      </w:r>
      <w:r w:rsidR="00EC7762" w:rsidRPr="00166515">
        <w:t xml:space="preserve"> (10 </w:t>
      </w:r>
      <w:r w:rsidR="00A62DFA" w:rsidRPr="00166515">
        <w:t>week</w:t>
      </w:r>
      <w:r w:rsidR="00EC7762" w:rsidRPr="00166515">
        <w:t xml:space="preserve">s </w:t>
      </w:r>
      <w:r w:rsidR="00EC7762" w:rsidRPr="009D5A75">
        <w:rPr>
          <w:iCs/>
        </w:rPr>
        <w:t>in vivo</w:t>
      </w:r>
      <w:r w:rsidR="00EC7762" w:rsidRPr="00166515">
        <w:t>)</w:t>
      </w:r>
      <w:r w:rsidR="00EB2CAC" w:rsidRPr="00166515">
        <w:t xml:space="preserve">. </w:t>
      </w:r>
      <w:r w:rsidR="00591E34" w:rsidRPr="00166515">
        <w:t xml:space="preserve">Results indicated </w:t>
      </w:r>
      <w:r w:rsidR="00692F12" w:rsidRPr="00166515">
        <w:t>a vari</w:t>
      </w:r>
      <w:r w:rsidR="005440CB">
        <w:t>ety</w:t>
      </w:r>
      <w:r w:rsidR="00692F12" w:rsidRPr="00166515">
        <w:t xml:space="preserve"> of </w:t>
      </w:r>
      <w:r w:rsidR="00591E34" w:rsidRPr="00166515">
        <w:t xml:space="preserve">load-transfer ability </w:t>
      </w:r>
      <w:r w:rsidR="00692F12" w:rsidRPr="00166515">
        <w:t xml:space="preserve">for the different treatments, highlighting the mechanical adaptation of bone structure in the early stages of bone healing. </w:t>
      </w:r>
      <w:r w:rsidR="00EC7762" w:rsidRPr="00166515">
        <w:t xml:space="preserve">Although </w:t>
      </w:r>
      <w:r w:rsidR="002D2630" w:rsidRPr="00166515">
        <w:t>exploratory</w:t>
      </w:r>
      <w:r w:rsidR="00EC7762" w:rsidRPr="00166515">
        <w:t xml:space="preserve"> due to the limited sample size, t</w:t>
      </w:r>
      <w:r w:rsidR="00591E34" w:rsidRPr="00166515">
        <w:t>he findings and analysis reported herein</w:t>
      </w:r>
      <w:r w:rsidR="00E11B9B" w:rsidRPr="00166515">
        <w:t xml:space="preserve"> suggest how</w:t>
      </w:r>
      <w:r w:rsidR="00591E34" w:rsidRPr="00166515">
        <w:t xml:space="preserve"> </w:t>
      </w:r>
      <w:r w:rsidR="00EC7762" w:rsidRPr="00166515">
        <w:t xml:space="preserve">the combination of </w:t>
      </w:r>
      <w:r w:rsidR="00591E34" w:rsidRPr="00166515">
        <w:t>microCT and DVC</w:t>
      </w:r>
      <w:r w:rsidR="00E11B9B" w:rsidRPr="00166515">
        <w:t xml:space="preserve"> can</w:t>
      </w:r>
      <w:r w:rsidR="00591E34" w:rsidRPr="00166515">
        <w:t xml:space="preserve"> provide </w:t>
      </w:r>
      <w:r w:rsidR="004E7822" w:rsidRPr="00166515">
        <w:t>enhanced</w:t>
      </w:r>
      <w:r w:rsidR="00591E34" w:rsidRPr="00166515">
        <w:t xml:space="preserve"> understanding of the micromechanics of newly formed bone produced </w:t>
      </w:r>
      <w:r w:rsidR="00591E34" w:rsidRPr="009D5A75">
        <w:rPr>
          <w:iCs/>
        </w:rPr>
        <w:t>in vivo</w:t>
      </w:r>
      <w:r w:rsidR="00E11B9B" w:rsidRPr="009D5A75">
        <w:rPr>
          <w:iCs/>
        </w:rPr>
        <w:t>,</w:t>
      </w:r>
      <w:r w:rsidR="00591E34" w:rsidRPr="00166515">
        <w:t xml:space="preserve"> </w:t>
      </w:r>
      <w:r w:rsidR="00E11B9B" w:rsidRPr="00166515">
        <w:t>with the potential to inform further development of</w:t>
      </w:r>
      <w:r w:rsidR="00591E34" w:rsidRPr="00166515">
        <w:t xml:space="preserve"> novel bone regeneration approaches.</w:t>
      </w:r>
    </w:p>
    <w:p w14:paraId="554A304C" w14:textId="4DA476D1" w:rsidR="00F42E7B" w:rsidRPr="00166515" w:rsidRDefault="00166515" w:rsidP="00166515">
      <w:pPr>
        <w:pStyle w:val="MDPI18keywords"/>
      </w:pPr>
      <w:r w:rsidRPr="00166515">
        <w:rPr>
          <w:b/>
        </w:rPr>
        <w:t>Keywords:</w:t>
      </w:r>
      <w:r w:rsidR="00F42E7B" w:rsidRPr="00166515">
        <w:rPr>
          <w:b/>
        </w:rPr>
        <w:t xml:space="preserve"> </w:t>
      </w:r>
      <w:r w:rsidR="006E0CDD" w:rsidRPr="00166515">
        <w:t xml:space="preserve">bone </w:t>
      </w:r>
      <w:r w:rsidR="00AE62E3" w:rsidRPr="00166515">
        <w:t>regeneration</w:t>
      </w:r>
      <w:r w:rsidRPr="00166515">
        <w:t xml:space="preserve">; </w:t>
      </w:r>
      <w:r w:rsidR="00E11B9B" w:rsidRPr="00166515">
        <w:t>biomaterials</w:t>
      </w:r>
      <w:r w:rsidRPr="00166515">
        <w:t xml:space="preserve">; </w:t>
      </w:r>
      <w:r w:rsidR="00AE62E3" w:rsidRPr="00166515">
        <w:rPr>
          <w:i/>
        </w:rPr>
        <w:t>in situ</w:t>
      </w:r>
      <w:r w:rsidR="00AE62E3" w:rsidRPr="00166515">
        <w:t xml:space="preserve"> mechanics</w:t>
      </w:r>
      <w:r w:rsidRPr="00166515">
        <w:t xml:space="preserve">; </w:t>
      </w:r>
      <w:r w:rsidR="00AE62E3" w:rsidRPr="00166515">
        <w:t>microCT</w:t>
      </w:r>
      <w:r w:rsidRPr="00166515">
        <w:t xml:space="preserve">; </w:t>
      </w:r>
      <w:r w:rsidR="00AE62E3" w:rsidRPr="00166515">
        <w:t>digital volume correlation</w:t>
      </w:r>
    </w:p>
    <w:p w14:paraId="1A2BAB47" w14:textId="77777777" w:rsidR="00F42E7B" w:rsidRPr="00166515" w:rsidRDefault="00F42E7B" w:rsidP="00166515">
      <w:pPr>
        <w:pStyle w:val="MDPI19line"/>
        <w:spacing w:after="480"/>
      </w:pPr>
    </w:p>
    <w:p w14:paraId="18568A34" w14:textId="5A0718A7" w:rsidR="00F42E7B" w:rsidRPr="00166515" w:rsidRDefault="00166515" w:rsidP="00166515">
      <w:pPr>
        <w:pStyle w:val="MDPI21heading1"/>
      </w:pPr>
      <w:r w:rsidRPr="00166515">
        <w:rPr>
          <w:lang w:eastAsia="zh-CN"/>
        </w:rPr>
        <w:t xml:space="preserve">1. </w:t>
      </w:r>
      <w:r w:rsidR="00F42E7B" w:rsidRPr="00166515">
        <w:t>Introduction</w:t>
      </w:r>
    </w:p>
    <w:p w14:paraId="72AD60F7" w14:textId="372FEE5D" w:rsidR="00591E34" w:rsidRPr="00166515" w:rsidRDefault="00591E34" w:rsidP="00166515">
      <w:pPr>
        <w:pStyle w:val="MDPI31text"/>
      </w:pPr>
      <w:bookmarkStart w:id="3" w:name="OLE_LINK1"/>
      <w:bookmarkStart w:id="4" w:name="OLE_LINK2"/>
      <w:r w:rsidRPr="00166515">
        <w:t xml:space="preserve">Bone tissue possesses excellent healing capacity as a result of the regenerative growth and </w:t>
      </w:r>
      <w:r w:rsidR="00662233" w:rsidRPr="00166515">
        <w:t>remodeling</w:t>
      </w:r>
      <w:r w:rsidRPr="00166515">
        <w:t xml:space="preserve"> process </w:t>
      </w:r>
      <w:r w:rsidRPr="00166515">
        <w:fldChar w:fldCharType="begin" w:fldLock="1"/>
      </w:r>
      <w:r w:rsidR="00EA2F45" w:rsidRPr="00166515">
        <w:instrText>ADDIN CSL_CITATION {"citationItems":[{"id":"ITEM-1","itemData":{"DOI":"10.1016/j.injury.2011.03.031","ISBN":"1879-0267 (Electronic)\\r0020-1383 (Linking)","ISSN":"00201383","PMID":"21489527","abstract":"The biology of fracture healing is a complex biological process that follows specific regenerative patterns and involves changes in the expression of several thousand genes. Although there is still much to be learned to fully comprehend the pathways of bone regeneration, the over-all pathways of both the anatomical and biochemical events have been thoroughly investigated. These efforts have provided a general understanding of how fracture healing occurs. Following the initial trauma, bone heals by either direct intramembranous or indirect fracture healing, which consists of both intramembranous and endochondral bone formation. The most common pathway is indirect healing, since direct bone healing requires an anatomical reduction and rigidly stable conditions, commonly only obtained by open reduction and internal fixation. However, when such conditions are achieved, the direct healing cascade allows the bone structure to immediately regenerate anatomical lamellar bone and the Haversian systems without any remodelling steps necessary. In all other non-stable conditions, bone healing follows a specific biological pathway. It involves an acute inflammatory response including the production and release of several important molecules, and the recruitment of mesenchymal stem cells in order to generate a primary cartilaginous callus. This primary callus later undergoes revascularisation and calcification, and is finally remodelled to fully restore a normal bone structure. In this article we summarise the basic biology of fracture healing. © 2011 Elsevier Ltd. All rights reserved.","author":[{"dropping-particle":"","family":"Marsell","given":"Richard","non-dropping-particle":"","parse-names":false,"suffix":""},{"dropping-particle":"","family":"Einhorn","given":"Thomas A.","non-dropping-particle":"","parse-names":false,"suffix":""}],"container-title":"Injury","id":"ITEM-1","issue":"6","issued":{"date-parts":[["2011"]]},"page":"551-555","publisher":"Elsevier Ltd","title":"The biology of fracture healing","type":"article-journal","volume":"42"},"uris":["http://www.mendeley.com/documents/?uuid=1164eb88-d724-4ef3-9888-61eda72983ce"]},{"id":"ITEM-2","itemData":{"DOI":"10.3967/bes2015.006","ISSN":"0895-3988 (Print)","PMID":"25566863","author":[{"dropping-particle":"","family":"Oryan","given":"Ahmad","non-dropping-particle":"","parse-names":false,"suffix":""},{"dropping-particle":"","family":"Monazzah","given":"Somayeh","non-dropping-particle":"","parse-names":false,"suffix":""},{"dropping-particle":"","family":"Bigham-Sadegh","given":"Amin","non-dropping-particle":"","parse-names":false,"suffix":""}],"container-title":"Biomedical and environmental sciences : BES","id":"ITEM-2","issue":"1","issued":{"date-parts":[["2015","1"]]},"language":"eng","page":"57-71","publisher-place":"Netherlands","title":"Bone injury and fracture healing biology.","type":"article-journal","volume":"28"},"uris":["http://www.mendeley.com/documents/?uuid=62f8a34e-3984-4c26-ad10-88d9f70597bd"]}],"mendeley":{"formattedCitation":"[1,2]","plainTextFormattedCitation":"[1,2]","previouslyFormattedCitation":"[1,2]"},"properties":{"noteIndex":0},"schema":"https://github.com/citation-style-language/schema/raw/master/csl-citation.json"}</w:instrText>
      </w:r>
      <w:r w:rsidRPr="00166515">
        <w:fldChar w:fldCharType="separate"/>
      </w:r>
      <w:r w:rsidR="00EA2F45" w:rsidRPr="00166515">
        <w:rPr>
          <w:noProof/>
        </w:rPr>
        <w:t>[1,2]</w:t>
      </w:r>
      <w:r w:rsidRPr="00166515">
        <w:fldChar w:fldCharType="end"/>
      </w:r>
      <w:r w:rsidRPr="00166515">
        <w:t>. However,</w:t>
      </w:r>
      <w:r w:rsidR="004E7822" w:rsidRPr="00166515">
        <w:t xml:space="preserve"> a number of </w:t>
      </w:r>
      <w:r w:rsidRPr="00166515">
        <w:t xml:space="preserve">clinical situations, including high-energy trauma, </w:t>
      </w:r>
      <w:r w:rsidR="00662233" w:rsidRPr="00166515">
        <w:t>tumor</w:t>
      </w:r>
      <w:r w:rsidRPr="00166515">
        <w:t xml:space="preserve"> resection</w:t>
      </w:r>
      <w:r w:rsidR="005440CB">
        <w:t>,</w:t>
      </w:r>
      <w:r w:rsidRPr="00166515">
        <w:t xml:space="preserve"> and musculoskeletal diseases, impair the natural bone-healing process, due to the critical size of the defects to bridge </w:t>
      </w:r>
      <w:r w:rsidRPr="00166515">
        <w:fldChar w:fldCharType="begin" w:fldLock="1"/>
      </w:r>
      <w:r w:rsidR="00EA2F45" w:rsidRPr="00166515">
        <w:instrText>ADDIN CSL_CITATION {"citationItems":[{"id":"ITEM-1","itemData":{"DOI":"10.1016/S0020-1383(08)70003-2","ISBN":"0020-1383 (Print)\\r0020-1383 (Linking)","ISSN":"00201383","PMID":"18224731","abstract":"Fracture healing is a complex physiological process. With the latest advances made in molecular biology and genetics it is now known that it involves the spatial and temporal coordinated action of several different cell types, proteins and the expression of hundreds of genes working towards restoring its structural integrity without scar formation. The standard tissue engineering approach to provide solutions for impaired fracture healing, bone restoration and regeneration includes the utilisation of growth factors, scaffolds and mesenchymal stem cells (triangular concept). However, although the mechanical environment is discussed and is considered as an important element in bone regeneration, its importance is often underestimated and it is not always given the necessary attention. The available scientific evidence supports the view that all the 4 known factors contributing to bone restoration should be given an equal acknowledgment and recognition. The traditional discussed triangular concept therefore should be reconsidered and be accepted as the 'diamond concept'. © 2007 Elsevier Ltd. All rights reserved.","author":[{"dropping-particle":"V.","family":"Giannoudis","given":"Peter","non-dropping-particle":"","parse-names":false,"suffix":""},{"dropping-particle":"","family":"Einhorn","given":"Thomas A.","non-dropping-particle":"","parse-names":false,"suffix":""},{"dropping-particle":"","family":"Marsh","given":"David","non-dropping-particle":"","parse-names":false,"suffix":""}],"container-title":"Injury","id":"ITEM-1","issue":"4 SUPPL.","issued":{"date-parts":[["2007"]]},"page":"3-6","title":"Fracture healing: The diamond concept","type":"article-journal","volume":"38"},"uris":["http://www.mendeley.com/documents/?uuid=f638b34e-8bc6-488b-968b-b9babbf8b3ed"]},{"id":"ITEM-2","itemData":{"DOI":"10.1016/j.mporth.2009.10.003","ISBN":"18771327","ISSN":"18771327","abstract":"Large segmental defects of long bones comprise a complex pathology resulting from a variety of aetiologies. Their prolonged, painful and uncertain treatment is usually beset with a range of consequences for the patient, varying from the psychological to the socioeconomic. Trauma, osteomyelitis, bone tumour resections or treatment of congenital deformities are main causes of bone deficiency. Their treatment has been thoroughly studied for the last 35 years and both vascularized bone grafting and distraction osteogenesis with the Ilizarov technique have emerged as gold standards. Novel techniques have arisen during the last 10 years, giving new perspectives to the management of this problem. Intramedullary lengthening devices, bioactive membranes, osteogenic proteins and tissue engineering are the new weapons in the armamentarium of orthopaedic surgeons. This study describes the aforementioned treatment techniques (classic and novel) and elaborates on their indications, advantages/disadvantages and complications. Algorithms for the assessment and treatment of critically size long-bone segmental defects are also proposed. © 2009 Elsevier Ltd. All rights reserved.","author":[{"dropping-particle":"","family":"Lasanianos","given":"Nikolaos G.","non-dropping-particle":"","parse-names":false,"suffix":""},{"dropping-particle":"","family":"Kanakaris","given":"Nikolaos K.","non-dropping-particle":"","parse-names":false,"suffix":""},{"dropping-particle":"V.","family":"Giannoudis","given":"Peter","non-dropping-particle":"","parse-names":false,"suffix":""}],"container-title":"Orthopaedics and Trauma","id":"ITEM-2","issue":"2","issued":{"date-parts":[["2010"]]},"page":"149-163","publisher":"Elsevier Ltd","title":"Current management of long bone large segmental defects","type":"article-journal","volume":"24"},"uris":["http://www.mendeley.com/documents/?uuid=b382ff24-511f-46c4-9603-12bc0777d648"]},{"id":"ITEM-3","itemData":{"DOI":"10.1007/s00590-017-2063-0","ISBN":"0059001720","ISSN":"14321068","PMID":"29080923","abstract":"Critical-sized bone defects are defined as those that will not heal spontaneously within a patient's lifetime. Current treatment options include vascularized bone grafts, distraction osteogenesis, and the induced membrane technique. The induced membrane technique is an increasingly utilized method with favorable results including high rates of union. Tissue engineering holds promise in the treatment of large bone defects due to advancement of stem cell biology, novel biomaterials, and 3D bioprinting. In this review, we provide an overview of the current operative treatment strategies of critical-sized bone defects as well as the current state of tissue engineering for such defects.","author":[{"dropping-particle":"","family":"Roddy","given":"Erika","non-dropping-particle":"","parse-names":false,"suffix":""},{"dropping-particle":"","family":"DeBaun","given":"Malcolm R.","non-dropping-particle":"","parse-names":false,"suffix":""},{"dropping-particle":"","family":"Daoud-Gray","given":"Adam","non-dropping-particle":"","parse-names":false,"suffix":""},{"dropping-particle":"","family":"Yang","given":"Yunzhi P.","non-dropping-particle":"","parse-names":false,"suffix":""},{"dropping-particle":"","family":"Gardner","given":"Michael J.","non-dropping-particle":"","parse-names":false,"suffix":""}],"container-title":"European Journal of Orthopaedic Surgery and Traumatology","id":"ITEM-3","issue":"3","issued":{"date-parts":[["2018"]]},"page":"351-362","publisher":"Springer Paris","title":"Treatment of critical-sized bone defects: clinical and tissue engineering perspectives","type":"article-journal","volume":"28"},"uris":["http://www.mendeley.com/documents/?uuid=d49f93ea-f5b4-4a17-a4ef-7c59aad14641"]}],"mendeley":{"formattedCitation":"[3–5]","plainTextFormattedCitation":"[3–5]","previouslyFormattedCitation":"[3–5]"},"properties":{"noteIndex":0},"schema":"https://github.com/citation-style-language/schema/raw/master/csl-citation.json"}</w:instrText>
      </w:r>
      <w:r w:rsidRPr="00166515">
        <w:fldChar w:fldCharType="separate"/>
      </w:r>
      <w:r w:rsidR="00EA2F45" w:rsidRPr="00166515">
        <w:rPr>
          <w:noProof/>
        </w:rPr>
        <w:t>[3–5]</w:t>
      </w:r>
      <w:r w:rsidRPr="00166515">
        <w:fldChar w:fldCharType="end"/>
      </w:r>
      <w:r w:rsidRPr="00166515">
        <w:t xml:space="preserve">. Common treatments for critical-sized bone defects include bone autografts and allografts </w:t>
      </w:r>
      <w:r w:rsidRPr="00166515">
        <w:fldChar w:fldCharType="begin" w:fldLock="1"/>
      </w:r>
      <w:r w:rsidR="00EA2F45" w:rsidRPr="00166515">
        <w:instrText>ADDIN CSL_CITATION {"citationItems":[{"id":"ITEM-1","itemData":{"DOI":"https://doi.org/10.1016/j.bioactmat.2017.05.007","ISSN":"2452-199X","author":[{"dropping-particle":"","family":"Wang","given":"Wenhao","non-dropping-particle":"","parse-names":false,"suffix":""},{"dropping-particle":"","family":"Yeung","given":"Kelvin W K","non-dropping-particle":"","parse-names":false,"suffix":""}],"container-title":"Bioactive Materials","id":"ITEM-1","issue":"4","issued":{"date-parts":[["2017"]]},"page":"224-247","title":"Bone grafts and biomaterials substitutes for bone defect repair: A review","type":"article-journal","volume":"2"},"uris":["http://www.mendeley.com/documents/?uuid=8de6ff1a-86b2-4ace-91f7-50d8a68dd797"]}],"mendeley":{"formattedCitation":"[6]","plainTextFormattedCitation":"[6]","previouslyFormattedCitation":"[6]"},"properties":{"noteIndex":0},"schema":"https://github.com/citation-style-language/schema/raw/master/csl-citation.json"}</w:instrText>
      </w:r>
      <w:r w:rsidRPr="00166515">
        <w:fldChar w:fldCharType="separate"/>
      </w:r>
      <w:r w:rsidR="00EA2F45" w:rsidRPr="00166515">
        <w:rPr>
          <w:noProof/>
        </w:rPr>
        <w:t>[6]</w:t>
      </w:r>
      <w:r w:rsidRPr="00166515">
        <w:fldChar w:fldCharType="end"/>
      </w:r>
      <w:r w:rsidRPr="00166515">
        <w:t xml:space="preserve">. Although autografts are considered the gold standard for promoting bone repair </w:t>
      </w:r>
      <w:r w:rsidRPr="00166515">
        <w:fldChar w:fldCharType="begin" w:fldLock="1"/>
      </w:r>
      <w:r w:rsidR="00EA2F45" w:rsidRPr="00166515">
        <w:instrText>ADDIN CSL_CITATION {"citationItems":[{"id":"ITEM-1","itemData":{"DOI":"10.1002/jbm.b.10045","ISBN":"1552-4973 (Print)","ISSN":"1552-4973","PMID":"12861603","abstract":"Autologous bone grafting is currently considered the treatment of choice for correction of large bone defects. However, to avoid morbidity associated with autologous bone harvesting many artificial bone-substitute materials have been developed over the years. A new generation of resorbable materials is emerging, with promising results so far. In order to investigate the possibility to use one of these new materials as an alternative with better results than hydroxyapatite, an experimental study was performed. A new resorbable calcium phosphate particles and paste forms, the latter of which hardens in situ after application. In 28 sheep, a 3-cm segmental tibial defect was made and intramedullary fixed by an interlocking nail. Twelve weeks after defect filling, radiological, biomechanical, and histological examinations were performed. Mean radiographic and biomechanical tests results were compared with the Mann-Whitney test. Significance was set at p&lt;0.05. Radiographically, the resorbable paste group performed better than all other groups. Biomechanical investigations showed a higher torsional stiffness (p=0.049) for the resorbable calcium-phosphate paste group in comparison with autologous bone. On histological examination, no adverse effects were observed in the calcium-phosphate groups. Resorption by osteoclasts was seen in the resorbable implants. In conclusion, the current study shows an advantageous radiological and mechanical outcome for resorbable calcium phosphates. This indicates that these new materials might be a potential alternative for autologous bone grafting in humans.","author":[{"dropping-particle":"","family":"Bloemers","given":"Frank W","non-dropping-particle":"","parse-names":false,"suffix":""},{"dropping-particle":"","family":"Blokhuis","given":"Taco J","non-dropping-particle":"","parse-names":false,"suffix":""},{"dropping-particle":"","family":"Patka","given":"Peter","non-dropping-particle":"","parse-names":false,"suffix":""},{"dropping-particle":"","family":"Bakker","given":"Fred C","non-dropping-particle":"","parse-names":false,"suffix":""},{"dropping-particle":"","family":"Wippermann","given":"Burkhard W","non-dropping-particle":"","parse-names":false,"suffix":""},{"dropping-particle":"","family":"Haarman","given":"Henk J Th M","non-dropping-particle":"","parse-names":false,"suffix":""}],"container-title":"Journal of biomedical materials research. Part B, Applied biomaterials","id":"ITEM-1","issue":"2","issued":{"date-parts":[["2003"]]},"page":"526-531","title":"Autologous bone versus calcium-phosphate ceramics in treatment of experimental bone defects.","type":"article-journal","volume":"66"},"uris":["http://www.mendeley.com/documents/?uuid=261603a0-67ad-471b-8da5-0f92e0c65bdc"]},{"id":"ITEM-2","itemData":{"DOI":"10.1016/j.injury.2007.02.012","ISBN":"0020-1383","ISSN":"00201383","PMID":"17383488","abstract":"Nonunion is a common complication following long-bone fracture, with a prevalence that ranges from 2.5-46%, depending on the location and severity of the injury to the bone, soft tissue, and vascular structures. The treatment of nonunions involves addressing the biology of fracture repair and the mechanical stability of fracture fixation, which are interrelated. Nonunion treatment has traditionally included the addition of autograft from the iliac crest to enhance healing. However, there an associated morbidity with the harvesting of the graft, and alternatives such as bone marrow aspirate, platelet-rich plasma, allograft, and ceramics have also been studied. In addition, new advances in the understanding of the cellular and molecular mechanisms of fracture repair have led to the use of growth factors, such as bone morphogenetic proteins, to accelerate bone healing. This article reviews the benefits of iliac crest bone graft relative to those of other modalities in the treatment of nonunions. © 2007.","author":[{"dropping-particle":"","family":"Sen","given":"M. K.","non-dropping-particle":"","parse-names":false,"suffix":""},{"dropping-particle":"","family":"Miclau","given":"T.","non-dropping-particle":"","parse-names":false,"suffix":""}],"container-title":"Injury","id":"ITEM-2","issue":"SUPPL. 1","issued":{"date-parts":[["2007"]]},"page":"2-7","title":"Autologous iliac crest bone graft: Should it still be the gold standard for treating nonunions?","type":"article-journal","volume":"38"},"uris":["http://www.mendeley.com/documents/?uuid=54a9f648-ed32-43a1-97a5-630d48ccb997"]},{"id":"ITEM-3","itemData":{"DOI":"10.1016/j.injury.2011.03.029","ISBN":"1879-0267 (Electronic)\\r0020-1383 (Linking)","ISSN":"00201383","PMID":"21489529","abstract":"Over the last decades, the medical world has advanced dramatically in the understanding of fracture repair. The three components needed for fracture healing are osteoconduction, osteoinduction and osteogenesis. With newly designed scaffolds, ex vivo produced growth factors and isolated stem cells, most of the challenges of critical size bone defects have been resolved in vitro, and in some cases in animal models as well. However, there are still challenges needed to be overcome before these technologies can be fully converted from the bench to the bedside. These technological and biological advancements need to be converted to mass production of affordable products that can be used in every part of the world. Vascularity, full substation of scaffolds by native bone, and bio-safety are the three most critical steps to be challenged before reaching the clinical setting. © 2011 Elsevier Ltd. All rights reserved.","author":[{"dropping-particle":"","family":"Schroeder","given":"Josh E.","non-dropping-particle":"","parse-names":false,"suffix":""},{"dropping-particle":"","family":"Mosheiff","given":"Rami","non-dropping-particle":"","parse-names":false,"suffix":""}],"container-title":"Injury","id":"ITEM-3","issue":"6","issued":{"date-parts":[["2011"]]},"page":"609-613","publisher":"Elsevier Ltd","title":"Tissue engineering approaches for bone repair: Concepts and evidence","type":"article-journal","volume":"42"},"uris":["http://www.mendeley.com/documents/?uuid=bb7f566d-6bf9-40e2-bdee-c20c8f17b9eb"]}],"mendeley":{"formattedCitation":"[7–9]","plainTextFormattedCitation":"[7–9]","previouslyFormattedCitation":"[7–9]"},"properties":{"noteIndex":0},"schema":"https://github.com/citation-style-language/schema/raw/master/csl-citation.json"}</w:instrText>
      </w:r>
      <w:r w:rsidRPr="00166515">
        <w:fldChar w:fldCharType="separate"/>
      </w:r>
      <w:r w:rsidR="00EA2F45" w:rsidRPr="00166515">
        <w:rPr>
          <w:noProof/>
        </w:rPr>
        <w:t>[7–9]</w:t>
      </w:r>
      <w:r w:rsidRPr="00166515">
        <w:fldChar w:fldCharType="end"/>
      </w:r>
      <w:r w:rsidR="00D22C32" w:rsidRPr="00166515">
        <w:t>,</w:t>
      </w:r>
      <w:r w:rsidRPr="00166515">
        <w:t xml:space="preserve"> </w:t>
      </w:r>
      <w:r w:rsidR="00B61552" w:rsidRPr="00166515">
        <w:t xml:space="preserve">they </w:t>
      </w:r>
      <w:r w:rsidRPr="00166515">
        <w:t>present several limitations</w:t>
      </w:r>
      <w:r w:rsidR="005440CB">
        <w:t>,</w:t>
      </w:r>
      <w:r w:rsidRPr="00166515">
        <w:t xml:space="preserve"> including risks of donor site injury, morbidity</w:t>
      </w:r>
      <w:r w:rsidR="005440CB">
        <w:t>,</w:t>
      </w:r>
      <w:r w:rsidRPr="00166515">
        <w:t xml:space="preserve"> and limited availability </w:t>
      </w:r>
      <w:r w:rsidRPr="00166515">
        <w:fldChar w:fldCharType="begin" w:fldLock="1"/>
      </w:r>
      <w:r w:rsidR="00EA2F45" w:rsidRPr="00166515">
        <w:instrText>ADDIN CSL_CITATION {"citationItems":[{"id":"ITEM-1","itemData":{"ISSN":"0362-2436","abstract":"Study Design.This study analyzed the cause, rate, and risk factors of iliac crest bone graft donor site morbidity.\nObjectives.All complications or problems, no matter how small, were sought to develop strategies of prevention.\nSummary of Background Data.A wide range of major, 0.76% (Keller et al) to 25% (Summers et al) and minor complications, 9.4% (Keller et al) to 24% (Summers et al) has been reported.\nMethods.A consecutive series of 261 patients, whose bone graft harvest was done by one surgeon, was studied by chart review and a mail survey that was not conducted by the operating surgeon. The survey presented specific open-ended questions designed to uncover any complication/problem, no matter how small. Complications then were categorized as major or minor and subcategorized as acute or chronic. Statistical analysis was done using chi-squared and multiple logistical regression.\nResults.None of the 261 patients had a severe perioperative complication—e.g., superior gluteal artery injury, sciatic nerve injury, or deep wound infection. None of the 225 patients with long term follow-up (average, 66 months; range, 32-105 months) had a severe late complication—e.g., donor site herniation, meralgia paresthetica, pelvic instability, or fracture. Of the 180 patients meeting the qualifications for statistical analysis, major complications occurred in 18 (10% ), only three of which affected function (pain). Minor complications occurred in 70 (39% ).\nConclusions.The results indicated that severe complications from iliac crest bone graft harvest can be avoided and major complications affecting functioning are uncommon, but minor complications are common. The findings suggest that procedural refinements of limiting subcutaneous dissection and providing layered tension-free incision closure may improve results.\n© Lippincott-Raven Publishers.","author":[{"dropping-particle":"","family":"Banwart","given":"J Christopher","non-dropping-particle":"","parse-names":false,"suffix":""},{"dropping-particle":"","family":"Asher","given":"Marc A","non-dropping-particle":"","parse-names":false,"suffix":""},{"dropping-particle":"","family":"Hassanein","given":"Ruth S","non-dropping-particle":"","parse-names":false,"suffix":""}],"container-title":"Spine","id":"ITEM-1","issue":"9","issued":{"date-parts":[["1995"]]},"title":"Iliac Crest Bone Graft Harvest Donor Site Morbidity: A Statistical Evaluation","type":"article-journal","volume":"20"},"uris":["http://www.mendeley.com/documents/?uuid=28491f0b-2162-468c-9a78-6fb2608debfc"]},{"id":"ITEM-2","itemData":{"DOI":"10.1016/j.injury.2011.06.015","ISBN":"0020-1383","ISSN":"00201383","PMID":"21704997","abstract":"Bone grafting is a commonly performed surgical procedure to augment bone regeneration in a variety of cases in orthopaedic and maxillofacial surgery. Autologous bone graft remains to be the 'gold standard' and the iliac crest to be the most common harvesting site. The intramedullary canal of long bones represents another potential site for large volume of autologous bone graft harvesting and is recently being used as an alternative donor site. However, harvesting of autologous bone graft is associated with morbidity and a number of complications. The aim of this systematic review was to collect and summarise the existing data on reported complications after harvesting autologous bone from the iliac crest (anterior and posterior) and the long bone intramedullary canal using the RIA device. We searched the PubMed Medline and Ovid Medline databases, from January 1990 to October 2010, to retrieve all relevant articles. A total of 92 articles (6682 patients) were included in the analysis. Overall, the complication rate following RIA was 6% (14 complications in 233 patients) and 19.37% after iliac crest bone graft harvesting (1249 complications in 6449 patients). The rate of each of the reported complications was assessed and, when the donor site was properly documented, comparison within the anterior and posterior iliac crest donor sites was performed. Although the difference of the overall morbidity rates between the two harvesting sites was not statistically significant (p = 0.71); the rates of certain complications were found to significantly differ when anterior or posterior iliac crest was used. The rates of infection (p = 0.016), haematoma formation (p = 0.002), fracture (p = 0.017), and hyperthrophic scar (p = 0.017) were significantly higher when the donor site was the anterior iliac crest compared to the posterior iliac crest; whereas the rates of chronic donor site pain (p = 0.004) and sensory disturbances (p = 0.003) were significantly lower. The incidence of bone graft harvesting related complications can be reduced further if certain principles are followed depending on the performed harvesting methods; but overall the use of RIA device as harvesting method seems a promising alternative with a low complication rate. © 2011 Elsevier Ltd. All rights reserved.","author":[{"dropping-particle":"","family":"Dimitriou","given":"Rozalia","non-dropping-particle":"","parse-names":false,"suffix":""},{"dropping-particle":"","family":"Mataliotakis","given":"George I.","non-dropping-particle":"","parse-names":false,"suffix":""},{"dropping-particle":"","family":"Angoules","given":"Antonios G.","non-dropping-particle":"","parse-names":false,"suffix":""},{"dropping-particle":"","family":"Kanakaris","given":"Nikolaos K.","non-dropping-particle":"","parse-names":false,"suffix":""},{"dropping-particle":"V.","family":"Giannoudis","given":"Peter","non-dropping-particle":"","parse-names":false,"suffix":""}],"container-title":"Injury","id":"ITEM-2","issue":"SUPPL. 2","issued":{"date-parts":[["2011"]]},"page":"S3-S15","publisher":"Elsevier Ltd","title":"Complications following autologous bone graft harvesting from the iliac crest and using the RIA: A systematic review","type":"article-journal","volume":"42"},"uris":["http://www.mendeley.com/documents/?uuid=90652fa7-1352-4a91-8bb9-7e8e0b184d37"]}],"mendeley":{"formattedCitation":"[10,11]","plainTextFormattedCitation":"[10,11]","previouslyFormattedCitation":"[10,11]"},"properties":{"noteIndex":0},"schema":"https://github.com/citation-style-language/schema/raw/master/csl-citation.json"}</w:instrText>
      </w:r>
      <w:r w:rsidRPr="00166515">
        <w:fldChar w:fldCharType="separate"/>
      </w:r>
      <w:r w:rsidR="00EA2F45" w:rsidRPr="00166515">
        <w:rPr>
          <w:noProof/>
        </w:rPr>
        <w:t>[10,11]</w:t>
      </w:r>
      <w:r w:rsidRPr="00166515">
        <w:fldChar w:fldCharType="end"/>
      </w:r>
      <w:r w:rsidRPr="00166515">
        <w:t xml:space="preserve">. Bone tissue engineering </w:t>
      </w:r>
      <w:r w:rsidR="00B61552" w:rsidRPr="00166515">
        <w:t xml:space="preserve">is therefore </w:t>
      </w:r>
      <w:r w:rsidRPr="00166515">
        <w:t>seek</w:t>
      </w:r>
      <w:r w:rsidR="00B61552" w:rsidRPr="00166515">
        <w:t>ing more efficient strategies</w:t>
      </w:r>
      <w:r w:rsidRPr="00166515">
        <w:t xml:space="preserve"> to further regenerate viable bone tissue through a combination of cells, biomaterials, bone active proteins</w:t>
      </w:r>
      <w:r w:rsidR="005440CB">
        <w:t>,</w:t>
      </w:r>
      <w:r w:rsidRPr="00166515">
        <w:t xml:space="preserve"> and drugs </w:t>
      </w:r>
      <w:r w:rsidR="006D0BE8" w:rsidRPr="00166515">
        <w:fldChar w:fldCharType="begin" w:fldLock="1"/>
      </w:r>
      <w:r w:rsidR="00EA2F45" w:rsidRPr="00166515">
        <w:instrText>ADDIN CSL_CITATION {"citationItems":[{"id":"ITEM-1","itemData":{"DOI":"10.1093/rb/rby013","ISSN":"2056-3418","PMID":"30094059","abstract":"In recent years, bone tissue engineering has emerged as a promising solution to the limitations of current gold standard treatment options for bone related-disorders such as bone grafts. Bone tissue engineering provides a scaffold design that mimics the extracellular matrix, providing an architecture that guides the natural bone regeneration process. During this period, a new generation of bone tissue engineering scaffolds has been designed and characterized that explores the incorporation of signaling molecules in order to enhance cell recruitment and ingress into the scaffold, as well as osteogenic differentiation and angiogenesis, each of which is crucial to successful bone regeneration. Here, we outline and critically analyze key characteristics of successful bone tissue engineering scaffolds. We also explore candidate materials used to fabricate these scaffolds. Different growth factors involved in the highly coordinated process of bone repair are discussed, and the key requirements of a growth factor delivery system are described. Finally, we concentrate on an analysis of scaffold-based growth factor delivery strategies found in the recent literature. In particular, the incorporation of two-phase systems consisting of growth factor-loaded nanoparticles embedded into scaffolds shows great promise, both by providing sustained release over a therapeutically relevant timeframe and the potential to sequentially deliver multiple growth factors.","author":[{"dropping-particle":"","family":"Witte","given":"Tinke-Marie","non-dropping-particle":"De","parse-names":false,"suffix":""},{"dropping-particle":"","family":"Fratila-Apachitei","given":"Lidy E","non-dropping-particle":"","parse-names":false,"suffix":""},{"dropping-particle":"","family":"Zadpoor","given":"Amir A","non-dropping-particle":"","parse-names":false,"suffix":""},{"dropping-particle":"","family":"Peppas","given":"Nicholas A","non-dropping-particle":"","parse-names":false,"suffix":""}],"container-title":"Regenerative Biomaterials","id":"ITEM-1","issue":"June","issued":{"date-parts":[["2018"]]},"page":"197-211","title":"Bone tissue engineering via growth factor delivery: from scaffolds to complex matrices","type":"article-journal"},"uris":["http://www.mendeley.com/documents/?uuid=ef38ba6c-09f6-49a7-8009-baabaedd1009"]},{"id":"ITEM-2","itemData":{"DOI":"10.1016/j.tibtech.2012.07.005.Recent","author":[{"dropping-particle":"","family":"Bose","given":"Susmita","non-dropping-particle":"","parse-names":false,"suffix":""},{"dropping-particle":"","family":"Roy","given":"Magal","non-dropping-particle":"","parse-names":false,"suffix":""}],"container-title":"Trends Biotechnol","id":"ITEM-2","issue":"10","issued":{"date-parts":[["2013"]]},"page":"546-554","title":"Recent Advances in Bone Tissue Engineering Scaffolds","type":"article-journal","volume":"30"},"uris":["http://www.mendeley.com/documents/?uuid=c33c802e-8bb9-489d-bbc7-cc474e2b4ce4"]},{"id":"ITEM-3","itemData":{"DOI":"10.2217/rme-2016-0042","ISSN":"1746076X","abstract":"© 2016 Future Medicine Ltd. Bone tissue engineering (BTE) intends to restore structural support for movement and mineral homeostasis, and assist in hematopoiesis and the protective functions of bone in traumatic, degenerative, cancer, or congenital malformation. While much effort has been put into BTE, very little of this research has been translated to the clinic. In this review, we discuss current regenerative medicine and restorative strategies that utilize tissue engineering approaches to address bone defects within a clinical setting. These approaches involve the primary components of tissue engineering: cells, growth factors and biomaterials discussed briefly in light of their clinical relevance. This review also presents upcoming advanced approaches for BTE applications and suggests a probable workpath for translation from the laboratory to the clinic.","author":[{"dropping-particle":"","family":"Mishra","given":"Ruchi","non-dropping-particle":"","parse-names":false,"suffix":""},{"dropping-particle":"","family":"Bishop","given":"Tyler","non-dropping-particle":"","parse-names":false,"suffix":""},{"dropping-particle":"","family":"Valerio","given":"Ian L.","non-dropping-particle":"","parse-names":false,"suffix":""},{"dropping-particle":"","family":"Fisher","given":"John P.","non-dropping-particle":"","parse-names":false,"suffix":""},{"dropping-particle":"","family":"Dean","given":"David","non-dropping-particle":"","parse-names":false,"suffix":""}],"container-title":"Regenerative Medicine","id":"ITEM-3","issue":"6","issued":{"date-parts":[["2016"]]},"page":"571-587","title":"The potential impact of bone tissue engineering in the clinic","type":"article-journal","volume":"11"},"uris":["http://www.mendeley.com/documents/?uuid=28a0d30a-bc6e-4b3e-9e04-ab18989dfee9"]}],"mendeley":{"formattedCitation":"[12–14]","plainTextFormattedCitation":"[12–14]","previouslyFormattedCitation":"[12–14]"},"properties":{"noteIndex":0},"schema":"https://github.com/citation-style-language/schema/raw/master/csl-citation.json"}</w:instrText>
      </w:r>
      <w:r w:rsidR="006D0BE8" w:rsidRPr="00166515">
        <w:fldChar w:fldCharType="separate"/>
      </w:r>
      <w:r w:rsidR="00EA2F45" w:rsidRPr="00166515">
        <w:rPr>
          <w:noProof/>
        </w:rPr>
        <w:t>[12–14]</w:t>
      </w:r>
      <w:r w:rsidR="006D0BE8" w:rsidRPr="00166515">
        <w:fldChar w:fldCharType="end"/>
      </w:r>
      <w:r w:rsidRPr="00166515">
        <w:t xml:space="preserve">. </w:t>
      </w:r>
      <w:r w:rsidR="00B61552" w:rsidRPr="00166515">
        <w:t xml:space="preserve">However, </w:t>
      </w:r>
      <w:r w:rsidR="00DA6387" w:rsidRPr="00166515">
        <w:t>it is</w:t>
      </w:r>
      <w:r w:rsidR="00B61552" w:rsidRPr="00166515">
        <w:t xml:space="preserve"> important </w:t>
      </w:r>
      <w:r w:rsidR="00DA6387" w:rsidRPr="00166515">
        <w:t>that b</w:t>
      </w:r>
      <w:r w:rsidRPr="00166515">
        <w:t xml:space="preserve">iomaterials </w:t>
      </w:r>
      <w:r w:rsidR="00DA6387" w:rsidRPr="00166515">
        <w:t xml:space="preserve">can </w:t>
      </w:r>
      <w:r w:rsidRPr="00166515">
        <w:t xml:space="preserve">provide </w:t>
      </w:r>
      <w:r w:rsidR="00DA6387" w:rsidRPr="00166515">
        <w:t xml:space="preserve">a balanced ability to mechanically support </w:t>
      </w:r>
      <w:r w:rsidRPr="00166515">
        <w:t xml:space="preserve">initial scaffolding in the defect site, </w:t>
      </w:r>
      <w:r w:rsidR="00DA6387" w:rsidRPr="00166515">
        <w:t xml:space="preserve">while encouraging </w:t>
      </w:r>
      <w:r w:rsidRPr="00166515">
        <w:t xml:space="preserve">cells to migrate onto and </w:t>
      </w:r>
      <w:r w:rsidR="004E7822" w:rsidRPr="00166515">
        <w:t>commence</w:t>
      </w:r>
      <w:r w:rsidRPr="00166515">
        <w:t xml:space="preserve"> the bone healing process. </w:t>
      </w:r>
      <w:r w:rsidR="00DA6387" w:rsidRPr="00166515">
        <w:t>B</w:t>
      </w:r>
      <w:r w:rsidRPr="00166515">
        <w:t>one morphogenetic proteins (</w:t>
      </w:r>
      <w:r w:rsidR="00415B31" w:rsidRPr="00166515">
        <w:t>i.e.</w:t>
      </w:r>
      <w:r w:rsidR="00166515">
        <w:t>,</w:t>
      </w:r>
      <w:r w:rsidR="00415B31" w:rsidRPr="00166515">
        <w:t xml:space="preserve"> </w:t>
      </w:r>
      <w:r w:rsidRPr="00166515">
        <w:t>BMP</w:t>
      </w:r>
      <w:r w:rsidR="00DA6387" w:rsidRPr="00166515">
        <w:t>-2</w:t>
      </w:r>
      <w:r w:rsidRPr="00166515">
        <w:t>)</w:t>
      </w:r>
      <w:r w:rsidR="00DA6387" w:rsidRPr="00166515">
        <w:t xml:space="preserve"> </w:t>
      </w:r>
      <w:r w:rsidRPr="00166515">
        <w:t>ha</w:t>
      </w:r>
      <w:r w:rsidR="00DA6387" w:rsidRPr="00166515">
        <w:t>ve</w:t>
      </w:r>
      <w:r w:rsidRPr="00166515">
        <w:t xml:space="preserve"> </w:t>
      </w:r>
      <w:r w:rsidR="005440CB">
        <w:t xml:space="preserve">been </w:t>
      </w:r>
      <w:r w:rsidRPr="00166515">
        <w:t>shown to play a critical role in bone formation and healing</w:t>
      </w:r>
      <w:r w:rsidR="005440CB">
        <w:t>,</w:t>
      </w:r>
      <w:r w:rsidRPr="00166515">
        <w:t xml:space="preserve"> given </w:t>
      </w:r>
      <w:r w:rsidR="00DA6387" w:rsidRPr="00166515">
        <w:t>their</w:t>
      </w:r>
      <w:r w:rsidRPr="00166515">
        <w:t xml:space="preserve"> capacity to induce osteoblast differentiation </w:t>
      </w:r>
      <w:r w:rsidRPr="00166515">
        <w:fldChar w:fldCharType="begin" w:fldLock="1"/>
      </w:r>
      <w:r w:rsidR="00EA2F45" w:rsidRPr="00166515">
        <w:instrText>ADDIN CSL_CITATION {"citationItems":[{"id":"ITEM-1","itemData":{"DOI":"10.3390/ijms15058539","ISSN":"14220067","PMID":"24830556","abstract":"The aim of the study was to investigate the effect of a sustained release of bone morphogenetic protein2 (BMP-2) incorporated in a polymeric implant coating on bone healing. In vitro analysis revealed a sustained, but incomplete BMP-2 release until Day 42. For the in vivo study, the rat tibia osteotomy was stabilized either with control or BMP-2 coated wires, and the healing progress was followed by micro computed tomography (µCT), biomechanical testing and histology at Days 10, 28, 42 and 84. MicroCT showed an accelerated formation of mineralized callus, as well as remodeling and an increase of mineralized/total callus volume (p=0.021) at Day 42 in the BMP-2 group compared to the control. Histology revealed an increased callus mineralization at Days 42 and 84 (p=0.006) with reduced cartilage at Day 84 (p=0.004) in the BMP-2 group. Biomechanical stiffness was significantly higher in the BMP-2 group (p=0.045) at Day 42. In summary, bone healing was enhanced after sustained BMP-2 application compared to the control. Using the same drug delivery system, but a burst release of BMP-2, a previous published study showed a similar positive effect on bone healing. Distinct differences in the healing outcome might be explained due to the different BMP release kinetics and dosages. However, further studies are necessary to adapt the optimal release profiles to physiological mechanisms.","author":[{"dropping-particle":"","family":"Faßbender","given":"Mirja","non-dropping-particle":"","parse-names":false,"suffix":""},{"dropping-particle":"","family":"Minkwitz","given":"Susann","non-dropping-particle":"","parse-names":false,"suffix":""},{"dropping-particle":"","family":"Strobel","given":"Catrin","non-dropping-particle":"","parse-names":false,"suffix":""},{"dropping-particle":"","family":"Schmidmaier","given":"Gerhard","non-dropping-particle":"","parse-names":false,"suffix":""},{"dropping-particle":"","family":"Wildemann","given":"Britt","non-dropping-particle":"","parse-names":false,"suffix":""}],"container-title":"International Journal of Molecular Sciences","id":"ITEM-1","issue":"5","issued":{"date-parts":[["2014"]]},"page":"8539-8552","title":"Stimulation of bone healing by sustained bone morphogenetic protein 2 (BMP-2) delivery","type":"article-journal","volume":"15"},"uris":["http://www.mendeley.com/documents/?uuid=03b465fe-e71a-4529-9c0f-d4eb617e335d"]},{"id":"ITEM-2","itemData":{"ISSN":"0032-1052 (Print)","PMID":"11176610","abstract":"For the reconstructive plastic surgeon, knowledge of the molecular biology underlying membranous fracture healing is becoming increasingly vital. Understanding the complex patterns of gene expression manifested during the course of membranous fracture repair will be crucial to designing therapies that augment poor fracture healing or that expedite normal osseous repair by strategic manipulation of the normal course of gene expression. In the current study, we present a rat model of membranous bone repair. This model has great utility because of its technical simplicity, reproducibility, and relatively low cost. Furthermore, it is a powerful tool for analysis of the molecular regulation of membranous bone repair by immunolocalization and/or in situ hybridization techniques. In this study, an osteotomy was made within the caudal half of the hemimandible, thus producing a stable bone defect without the need for external or internal fixation. The healing process was then catalogued histologically in 28 Sprague-Dawley rats that were serially killed at 1, 2, 3, 4, 5, 6, and 8 weeks after operation. Furthermore, using this novel model, we analyzed, within the context of membranous bone healing, the temporal and spatial expression patterns of several members of the bone morphogenetic protein (BMP) family, known to be critical regulators of cells of osteoblast lineage. Our data suggest that BMP-2/-4 and BMP-7, also known as osteogenic protein-1 (OP-1), are expressed by osteoblasts, osteoclasts, and other more primitive mesenchymal cells within the fracture callus during the early stages of membranous fracture healing. These proteins continue to be expressed during the process of bone remodeling, albeit less prominently. The return of BMP-2/-4 and OP-1 immunostaining to baseline intensity coincides with the histological appearance of mature lamellar bone. Taken together, these data underscore the potentially important regulatory role played by the bone morphogenetic proteins in the process of membranous bone repair.","author":[{"dropping-particle":"","family":"Spector","given":"J A","non-dropping-particle":"","parse-names":false,"suffix":""},{"dropping-particle":"","family":"Luchs","given":"J S","non-dropping-particle":"","parse-names":false,"suffix":""},{"dropping-particle":"","family":"Mehrara","given":"B J","non-dropping-particle":"","parse-names":false,"suffix":""},{"dropping-particle":"","family":"Greenwald","given":"J A","non-dropping-particle":"","parse-names":false,"suffix":""},{"dropping-particle":"","family":"Smith","given":"L P","non-dropping-particle":"","parse-names":false,"suffix":""},{"dropping-particle":"","family":"Longaker","given":"M T","non-dropping-particle":"","parse-names":false,"suffix":""}],"container-title":"Plastic and reconstructive surgery","id":"ITEM-2","issue":"1","issued":{"date-parts":[["2001","1"]]},"language":"eng","page":"124-134","publisher-place":"United States","title":"Expression of bone morphogenetic proteins during membranous bone healing.","type":"article-journal","volume":"107"},"uris":["http://www.mendeley.com/documents/?uuid=561dbdf3-a3bf-4e8b-8fb2-4430b10c9eff"]},{"id":"ITEM-3","itemData":{"DOI":"10.1002/14651858.CD006950.pub2.www.cochranelibrary.com","abstract":"BACKGROUND: Delay in fracture healing is a complex clinical and economic issue for patients and health services. OBJECTIVES: To assess the incremental effectiveness and costs of bone morphogenetic protein (BMP) on fracture healing in acute fractures and nonunions compared with standards of care. SEARCH STRATEGY: We searched The Cochrane Library (2008, Issue 4), MEDLINE, and other major health and health economics databases (to October 2008). SELECTION CRITERIA: Randomised controlled trials (RCTs) and full or partial economic evaluations of BMP for fracture healing in skeletally mature adults. DATA COLLECTION AND ANALYSIS: All clinical and economic data were extracted by one author and checked by another. MAIN RESULTS: Eleven RCTs, all at high risk of bias, and four economic evaluations were included. Apart from one study, the times to fracture healing were comparable between the BMP and control groups. There was some evidence for increased healing rates, without requiring a secondary procedure, of BMP compared with usual care control in acute, mainly open, tibial fractures (risk ratio (RR) 1.19, 95% CI 0.99 to 1.43). The pooled RR for achieving union for nonunited fractures was 1.02 (95% CI 0.90 to 1.15). One study found no difference in union for patients who had corrective osteotomy for radial malunions. Data from three RCTs indicated that fewer secondary procedures were required for acute fracture patients treated with BMP versus controls (RR 0.65, 95% CI 0.50 to 0.83). Adverse events experienced were infection, hardware failure, pain, donor site morbidity, heterotopic bone formation and immunogenic reactions. The evidence on costs for BMP-2 for acute open tibia fractures is from one large RCT. This indicates that the direct medical costs associated with BMP would generally be higher than treatment with standard care, but this cost difference may decrease as fracture severity increases. Limited evidence suggests that the direct medical costs associated with BMP could be offset by faster healing and reduced time off work for patients with the most severe open tibia fractures. AUTHORS' CONCLUSIONS: This review highlights a paucity of data on the use of BMP in fracture healing as well as considerable industry involvement in currently available evidence. There is limited evidence to suggest that BMP may be more effective than controls for acute tibial fracture healing, however, the use of BMP for treating nonunion remains unclear. The limited available e…","author":[{"dropping-particle":"","family":"Garrison","given":"K. R.","non-dropping-particle":"","parse-names":false,"suffix":""},{"dropping-particle":"","family":"Shemilt","given":"I.","non-dropping-particle":"","parse-names":false,"suffix":""},{"dropping-particle":"","family":"Donell","given":"S.","non-dropping-particle":"","parse-names":false,"suffix":""},{"dropping-particle":"","family":"Ryder","given":"J. J.","non-dropping-particle":"","parse-names":false,"suffix":""},{"dropping-particle":"","family":"Mugford","given":"M.","non-dropping-particle":"","parse-names":false,"suffix":""},{"dropping-particle":"","family":"Harvey","given":"I.","non-dropping-particle":"","parse-names":false,"suffix":""},{"dropping-particle":"","family":"Song","given":"F.","non-dropping-particle":"","parse-names":false,"suffix":""},{"dropping-particle":"","family":"Alt","given":"V.","non-dropping-particle":"","parse-names":false,"suffix":""}],"container-title":"Cochrane Database Syst Rev","id":"ITEM-3","issue":"6","issued":{"date-parts":[["2010"]]},"title":"Bone morphogenetic protein (BMP) for fracture healing in adults","type":"article-journal"},"uris":["http://www.mendeley.com/documents/?uuid=5c507d52-48a9-41d8-91ca-6b2f1aa2cf7f"]}],"mendeley":{"formattedCitation":"[15–17]","plainTextFormattedCitation":"[15–17]","previouslyFormattedCitation":"[15–17]"},"properties":{"noteIndex":0},"schema":"https://github.com/citation-style-language/schema/raw/master/csl-citation.json"}</w:instrText>
      </w:r>
      <w:r w:rsidRPr="00166515">
        <w:fldChar w:fldCharType="separate"/>
      </w:r>
      <w:r w:rsidR="00EA2F45" w:rsidRPr="00166515">
        <w:rPr>
          <w:noProof/>
        </w:rPr>
        <w:t>[15–17]</w:t>
      </w:r>
      <w:r w:rsidRPr="00166515">
        <w:fldChar w:fldCharType="end"/>
      </w:r>
      <w:r w:rsidRPr="00166515">
        <w:t xml:space="preserve">. BMP-2 is a highly osteoinductive growth factor, generally delivered onto an osteoconductive carrier, such as collagen, which provides the structural matrix for bone regeneration </w:t>
      </w:r>
      <w:r w:rsidRPr="00166515">
        <w:fldChar w:fldCharType="begin" w:fldLock="1"/>
      </w:r>
      <w:r w:rsidR="00EA2F45" w:rsidRPr="00166515">
        <w:instrText>ADDIN CSL_CITATION {"citationItems":[{"id":"ITEM-1","itemData":{"DOI":"10.1016/j.biomaterials.2011.03.063","ISBN":"1111111111","ISSN":"01429612","PMID":"21507479","abstract":"Febrile neutropenia (FN) is a medical emergency and can represent a life-threatening complication for hematology patients treated with intensive chemotherapy regimens. In clinical practice, the diagnostic yield of blood cultures and other investigations which aim to identify a causative organism or site of infection is low. We have retrospectively examined all blood cultures collected in a \"real world\" cohort of patients receiving chemotherapy for acute leukemia and patients with aggressive lymphoma treated with Hyper-CVAD/MTX-cytarabine, at a single tertiary center over a five-year period. In this cohort, the 30-day mortality following confirmed blood stream infection (BSI) was 5.9%, which is lower than most reports in the recent literature. We compared the blood culture results of inpatients undergoing induction chemotherapy and outpatients presenting with fevers and found a significantly higher rate of proven BSI in the outpatient group. In all settings, gram-negative organisms were most common. The rate of resistance to first-line empiric antibiotics among pathogenic isolates was 11.6% in the whole cohort, independent of blood culture circumstances. There was a trend to higher resistance rates among inpatients undergoing induction chemotherapy compared to patients presenting to the emergency department (17.4% vs 7.5%) but this did not reach statistical significance. We also report low rates of ciprofloxacin resistance (5% of isolates), in a center where universal fluoroquinolone prophylaxis is not employed. Our low resistance and mortality rates support our current therapeutic strategies, however presence of resistant organisms across the spectrum of indications for BC collection highlights the importance of surveilling local patterns, escalating antimicrobial therapy in the deteriorating patient, and considering advanced techniques for the rapid identification of resistance in this patient population.","author":[{"dropping-particle":"","family":"Boerckel","given":"Joel D.","non-dropping-particle":"","parse-names":false,"suffix":""},{"dropping-particle":"","family":"Kolambkar","given":"Yash M.","non-dropping-particle":"","parse-names":false,"suffix":""},{"dropping-particle":"","family":"Dupont","given":"Kenneth M.","non-dropping-particle":"","parse-names":false,"suffix":""},{"dropping-particle":"","family":"Uhrig","given":"Brent A.","non-dropping-particle":"","parse-names":false,"suffix":""},{"dropping-particle":"","family":"Phelps","given":"Edward A.","non-dropping-particle":"","parse-names":false,"suffix":""},{"dropping-particle":"","family":"Stevens","given":"Hazel Y.","non-dropping-particle":"","parse-names":false,"suffix":""},{"dropping-particle":"","family":"García","given":"Andrés J.","non-dropping-particle":"","parse-names":false,"suffix":""},{"dropping-particle":"","family":"Guldberg","given":"Robert E.","non-dropping-particle":"","parse-names":false,"suffix":""}],"container-title":"Biomaterials","id":"ITEM-1","issue":"22","issued":{"date-parts":[["2011","8"]]},"page":"5241-5251","publisher":"Elsevier Ltd","title":"Effects of protein dose and delivery system on BMP-mediated bone regeneration","type":"article-journal","volume":"32"},"uris":["http://www.mendeley.com/documents/?uuid=f2c6c70d-c251-45d9-a9fb-40bbe71bbef1"]},{"id":"ITEM-2","itemData":{"DOI":"10.1016/j.addr.2003.08.010","ISBN":"0169-409X (Print)\\r0169-409X (Linking)","ISSN":"0169409X","PMID":"14623404","abstract":"In the US alone, approximately 500,000 patients annually undergo surgical procedures to treat bone fractures, alleviate severe back pain through spinal fusion procedures, or promote healing of non-unions. Many of these procedures involve the use of bone graft substitutes. An alternative to bone grafts are the bone morphogenetic proteins (BMPs), which have been shown to induce bone formation. For optimal effect, BMPs must be combined with an adequate matrix, which serves to prolong the residence time of the protein and, in some instances, as support for the invading osteoprogenitor cells. Several factors involved in the preparation of adequate matrices, specifically collagen sponges, were investigated in order to test the performance in a new role as an implant providing local delivery of an osteoinductive differentiation factor. Another focus of this review is the current system consisting of a combination of recombinant human BMP-2 (rhBMP-2) and an absorbable collagen sponge (ACS). The efficacy and safety of the combination has been clearly proven in both animal and human trials. © 2003 Elsevier B.V. All rights reserved.","author":[{"dropping-particle":"","family":"Geiger","given":"M.","non-dropping-particle":"","parse-names":false,"suffix":""},{"dropping-particle":"","family":"Li","given":"R. H.","non-dropping-particle":"","parse-names":false,"suffix":""},{"dropping-particle":"","family":"Friess","given":"W.","non-dropping-particle":"","parse-names":false,"suffix":""}],"container-title":"Advanced Drug Delivery Reviews","id":"ITEM-2","issue":"12","issued":{"date-parts":[["2003"]]},"page":"1613-1629","title":"Collagen sponges for bone regeneration with rhBMP-2","type":"article-journal","volume":"55"},"uris":["http://www.mendeley.com/documents/?uuid=0e9c53ff-5201-4f29-8f0a-74bc71ab2c0c"]}],"mendeley":{"formattedCitation":"[18,19]","plainTextFormattedCitation":"[18,19]","previouslyFormattedCitation":"[18,19]"},"properties":{"noteIndex":0},"schema":"https://github.com/citation-style-language/schema/raw/master/csl-citation.json"}</w:instrText>
      </w:r>
      <w:r w:rsidRPr="00166515">
        <w:fldChar w:fldCharType="separate"/>
      </w:r>
      <w:r w:rsidR="00EA2F45" w:rsidRPr="00166515">
        <w:rPr>
          <w:noProof/>
        </w:rPr>
        <w:t>[18,19]</w:t>
      </w:r>
      <w:r w:rsidRPr="00166515">
        <w:fldChar w:fldCharType="end"/>
      </w:r>
      <w:r w:rsidRPr="00166515">
        <w:t>. However, the supraphysiological doses of BMP</w:t>
      </w:r>
      <w:r w:rsidR="00AE72D4" w:rsidRPr="00166515">
        <w:t>-2</w:t>
      </w:r>
      <w:r w:rsidRPr="00166515">
        <w:t xml:space="preserve"> </w:t>
      </w:r>
      <w:r w:rsidR="008F55FC" w:rsidRPr="00166515">
        <w:t xml:space="preserve">associated </w:t>
      </w:r>
      <w:r w:rsidR="005440CB">
        <w:t>with</w:t>
      </w:r>
      <w:r w:rsidRPr="00166515">
        <w:t xml:space="preserve"> the suboptimal delivery </w:t>
      </w:r>
      <w:r w:rsidRPr="00166515">
        <w:lastRenderedPageBreak/>
        <w:t xml:space="preserve">systems employed, are associated </w:t>
      </w:r>
      <w:r w:rsidR="005440CB">
        <w:t>with</w:t>
      </w:r>
      <w:r w:rsidRPr="00166515">
        <w:t xml:space="preserve"> </w:t>
      </w:r>
      <w:r w:rsidR="00AE72D4" w:rsidRPr="00166515">
        <w:t>heterotopic ossification, osteolysis</w:t>
      </w:r>
      <w:r w:rsidR="008F55FC" w:rsidRPr="00166515">
        <w:t xml:space="preserve">, </w:t>
      </w:r>
      <w:r w:rsidR="005440CB">
        <w:t xml:space="preserve">and </w:t>
      </w:r>
      <w:r w:rsidR="00AE72D4" w:rsidRPr="00166515">
        <w:t xml:space="preserve">swelling </w:t>
      </w:r>
      <w:r w:rsidR="00AE72D4" w:rsidRPr="00166515">
        <w:fldChar w:fldCharType="begin" w:fldLock="1"/>
      </w:r>
      <w:r w:rsidR="00EA2F45" w:rsidRPr="00166515">
        <w:instrText>ADDIN CSL_CITATION {"citationItems":[{"id":"ITEM-1","itemData":{"DOI":"10.1016/j.biomaterials.2016.05.010","ISBN":"0142-9612","ISSN":"18785905","PMID":"27209259","abstract":"Bone Morphogenic Protein 2 (BMP2) can induce ectopic bone. This ability, which first motivated the widespread application of BMP2 in fracture healing and spinal arthrodesis has, more recently, been indicated as one of several serious adverse effects associated with the supra-physiological doses of BMP2 relied upon for clinical efficacy. Key to harnessing BMPs and other agents safely and effectively will be the ability to localize activity at a target site at substantially reduced doses. Clay (Laponite) nanoparticles can self assemble into gels under physiological conditions and bind growth factors for enhanced and localized efficacy. Here we show the ability to localize and enhance the activity of BMP2 to achieve ectopic bone formation at doses within the sub-microgram per ml range of concentrations sufficient to induce differentiation of responsive cell populations in vitro and at approximately 3000 fold lower than those employed in clinical practice.","author":[{"dropping-particle":"","family":"Gibbs","given":"D. M.R.","non-dropping-particle":"","parse-names":false,"suffix":""},{"dropping-particle":"","family":"Black","given":"C. R.M.","non-dropping-particle":"","parse-names":false,"suffix":""},{"dropping-particle":"","family":"Hulsart-Billstrom","given":"G.","non-dropping-particle":"","parse-names":false,"suffix":""},{"dropping-particle":"","family":"Shi","given":"P.","non-dropping-particle":"","parse-names":false,"suffix":""},{"dropping-particle":"","family":"Scarpa","given":"E.","non-dropping-particle":"","parse-names":false,"suffix":""},{"dropping-particle":"","family":"Oreffo","given":"R. O.C.","non-dropping-particle":"","parse-names":false,"suffix":""},{"dropping-particle":"","family":"Dawson","given":"J. I.","non-dropping-particle":"","parse-names":false,"suffix":""}],"container-title":"Biomaterials","id":"ITEM-1","issued":{"date-parts":[["2016"]]},"page":"16-23","publisher":"Elsevier Ltd","title":"Bone induction at physiological doses of BMP through localization by clay nanoparticle gels","type":"article-journal","volume":"99"},"uris":["http://www.mendeley.com/documents/?uuid=df82b71e-4a6c-4b63-9b1e-8420bfec2d26"]}],"mendeley":{"formattedCitation":"[20]","plainTextFormattedCitation":"[20]","previouslyFormattedCitation":"[20]"},"properties":{"noteIndex":0},"schema":"https://github.com/citation-style-language/schema/raw/master/csl-citation.json"}</w:instrText>
      </w:r>
      <w:r w:rsidR="00AE72D4" w:rsidRPr="00166515">
        <w:fldChar w:fldCharType="separate"/>
      </w:r>
      <w:r w:rsidR="00EA2F45" w:rsidRPr="00166515">
        <w:rPr>
          <w:noProof/>
        </w:rPr>
        <w:t>[20]</w:t>
      </w:r>
      <w:r w:rsidR="00AE72D4" w:rsidRPr="00166515">
        <w:fldChar w:fldCharType="end"/>
      </w:r>
      <w:r w:rsidR="005440CB">
        <w:t>,</w:t>
      </w:r>
      <w:r w:rsidRPr="00166515">
        <w:t xml:space="preserve"> a</w:t>
      </w:r>
      <w:r w:rsidR="000844BF" w:rsidRPr="00166515">
        <w:t>n</w:t>
      </w:r>
      <w:r w:rsidRPr="00166515">
        <w:t xml:space="preserve">d </w:t>
      </w:r>
      <w:r w:rsidR="008F55FC" w:rsidRPr="00166515">
        <w:t>can</w:t>
      </w:r>
      <w:r w:rsidR="009D45AA" w:rsidRPr="00166515">
        <w:t xml:space="preserve"> </w:t>
      </w:r>
      <w:r w:rsidR="00AE72D4" w:rsidRPr="00166515">
        <w:t xml:space="preserve">increase </w:t>
      </w:r>
      <w:r w:rsidR="009D45AA" w:rsidRPr="00166515">
        <w:t xml:space="preserve">the </w:t>
      </w:r>
      <w:r w:rsidR="00AE72D4" w:rsidRPr="00166515">
        <w:t xml:space="preserve">incidence of cancer </w:t>
      </w:r>
      <w:r w:rsidR="00AE72D4" w:rsidRPr="00166515">
        <w:fldChar w:fldCharType="begin" w:fldLock="1"/>
      </w:r>
      <w:r w:rsidR="00EA2F45" w:rsidRPr="00166515">
        <w:instrText>ADDIN CSL_CITATION {"citationItems":[{"id":"ITEM-1","itemData":{"DOI":"10.2106/JBJS.L.01483","ISSN":"1535-1386 (Electronic)","PMID":"24005193","abstract":"BACKGROUND: Recombinant human bone morphogenetic protein-2 (rhBMP-2) is a growth  factor known to have in vitro effects on the growth and invasiveness of cancer. It has been approved by the U.S. Food and Drug Administration in limited doses for single-level anterior spinal arthrodesis, but it is commonly used off-label and at high doses. The effect of rhBMP-2 on the risk of cancer has been a concern. We sought to evaluate the risk of new cancers in patients receiving high-dose rhBMP-2. METHODS: We used publicly available data from a pivotal, multicenter, randomized controlled trial of patients with degenerative lumbar spine conditions who underwent a single-level instrumented posterolateral arthrodesis with either high-dose rhBMP-2 in a compression-resistant matrix (CRM) (rhBMP-2/CRM; n = 239) or autogenous bone graft (control group; n = 224). We compared the risks of new cancers in the rhBMP-2/CRM and control groups at two and five years after surgery. RESULTS: At two years, with 86% follow-up, there were fifteen new cancer events in eleven patients in the rhBMP-2/CRM group compared with two new cancer events in two patients in the control group treated with autogenous bone graft. The incidence rate of new cancer events per 100 person-years was 3.37 (95% confidence interval [CI], 1.89 to 5.56) in the rhBMP-2/CRM group at two years compared with 0.50 (95% CI, 0.06 to 1.80) in the control group. The incidence rate ratio was 6.75 (95% CI, 1.57 to 60.83; p = 0.0026) at two years. Calculated in terms of the number of patients with one or more cancer events two years after the surgery, the incidence rate per 100 person-years was 2.54 (95% CI, 1.27 to 4.54) in the rhBMP-2/CRM group compared with 0.50 (95% CI, 0.06 to 1.82) in the control group at two years; the incidence rate ratio was 5.04 (95% CI, 1.10 to 46.82; p = 0.0194). At five years, there was a 37% loss of follow-up, but a significantly greater incidence of cancer events was still observed in the rhBMP-2/CRM group. CONCLUSIONS: A high dose of 40 mg of rhBMP-2/CRM in lumbar spinal arthrodesis was associated with an increased risk of new cancer.","author":[{"dropping-particle":"","family":"Carragee","given":"Eugene J","non-dropping-particle":"","parse-names":false,"suffix":""},{"dropping-particle":"","family":"Chu","given":"Gilbert","non-dropping-particle":"","parse-names":false,"suffix":""},{"dropping-particle":"","family":"Rohatgi","given":"Rajat","non-dropping-particle":"","parse-names":false,"suffix":""},{"dropping-particle":"","family":"Hurwitz","given":"Eric L","non-dropping-particle":"","parse-names":false,"suffix":""},{"dropping-particle":"","family":"Weiner","given":"Bradley K","non-dropping-particle":"","parse-names":false,"suffix":""},{"dropping-particle":"","family":"Yoon","given":"S Tim","non-dropping-particle":"","parse-names":false,"suffix":""},{"dropping-particle":"","family":"Comer","given":"Garet","non-dropping-particle":"","parse-names":false,"suffix":""},{"dropping-particle":"","family":"Kopjar","given":"Branko","non-dropping-particle":"","parse-names":false,"suffix":""}],"container-title":"The Journal of bone and joint surgery. American volume","id":"ITEM-1","issue":"17","issued":{"date-parts":[["2013","9"]]},"language":"eng","page":"1537-1545","publisher-place":"United States","title":"Cancer risk after use of recombinant bone morphogenetic protein-2 for spinal arthrodesis.","type":"article-journal","volume":"95"},"uris":["http://www.mendeley.com/documents/?uuid=8fd440fe-0edd-4178-9245-bfd50107b787","http://www.mendeley.com/documents/?uuid=a8a27dac-b6c8-4d6b-a44d-8c226555987a"]}],"mendeley":{"formattedCitation":"[21]","plainTextFormattedCitation":"[21]","previouslyFormattedCitation":"[21]"},"properties":{"noteIndex":0},"schema":"https://github.com/citation-style-language/schema/raw/master/csl-citation.json"}</w:instrText>
      </w:r>
      <w:r w:rsidR="00AE72D4" w:rsidRPr="00166515">
        <w:fldChar w:fldCharType="separate"/>
      </w:r>
      <w:r w:rsidR="00EA2F45" w:rsidRPr="00166515">
        <w:rPr>
          <w:noProof/>
        </w:rPr>
        <w:t>[21]</w:t>
      </w:r>
      <w:r w:rsidR="00AE72D4" w:rsidRPr="00166515">
        <w:fldChar w:fldCharType="end"/>
      </w:r>
      <w:r w:rsidRPr="00166515">
        <w:t>. Therefore, the development of optimal delivery systems of BMPs is an area of intense research</w:t>
      </w:r>
      <w:r w:rsidR="005440CB">
        <w:t>,</w:t>
      </w:r>
      <w:r w:rsidRPr="00166515">
        <w:t xml:space="preserve"> with the aim </w:t>
      </w:r>
      <w:r w:rsidR="005440CB">
        <w:t>of</w:t>
      </w:r>
      <w:r w:rsidRPr="00166515">
        <w:t xml:space="preserve"> provid</w:t>
      </w:r>
      <w:r w:rsidR="005440CB">
        <w:t>ing</w:t>
      </w:r>
      <w:r w:rsidRPr="00166515">
        <w:t xml:space="preserve"> spatiotemporal control of BMP release </w:t>
      </w:r>
      <w:r w:rsidRPr="009D5A75">
        <w:rPr>
          <w:iCs/>
        </w:rPr>
        <w:t xml:space="preserve">in vivo </w:t>
      </w:r>
      <w:r w:rsidRPr="00166515">
        <w:fldChar w:fldCharType="begin" w:fldLock="1"/>
      </w:r>
      <w:r w:rsidR="00EA2F45" w:rsidRPr="00166515">
        <w:instrText>ADDIN CSL_CITATION {"citationItems":[{"id":"ITEM-1","itemData":{"DOI":"10.1016/j.msec.2017.04.038","ISSN":"09284931","PMID":"29025670","abstract":"Bone is a mineralized conjunctive tissue, with a unique trauma healing capability. However, the replacement or regeneration of lost bone is not always successful and becomes more difficult the wider the bone defect. A significant growth in the demand for orthopedic and maxillofacial surgical procedures as a result of population aging and increase in chronic diseases as diabetes is a fact and successful approaches for bone regeneration are still needed. Until today, autogenous bone graft continues to be the best solution even with important limitations, as quantity and the requirement of a donator area. Alternatively, local delivery systems combining an osteoconductive biomaterial with osteoinductive compounds as hormones, growth factors or drugs is a popular approach aiming to replace the need for autogenous bone grafts. Nevertheless, in spite of the intense research in the area, presently there is no system that can mimic all the biological functions of the autogenous bone grafts. In this context, the present work provides an overview of the most recent advances in the field of synthetic bone grafts. The opportunities and limitations are detailed along with the remaining gaps in the research that are still preventing the successful translation of more products into the market able to be a valuable option in comparison to the autogenous bone grafts.","author":[{"dropping-particle":"","family":"Martin","given":"Victor","non-dropping-particle":"","parse-names":false,"suffix":""},{"dropping-particle":"","family":"Bettencourt","given":"Ana","non-dropping-particle":"","parse-names":false,"suffix":""}],"container-title":"Materials Science and Engineering C","id":"ITEM-1","issued":{"date-parts":[["2018"]]},"page":"363-371","publisher":"Elsevier B.V.","title":"Bone regeneration: Biomaterials as local delivery systems with improved osteoinductive properties","type":"article-journal","volume":"82"},"uris":["http://www.mendeley.com/documents/?uuid=fd2ccb93-f80e-4051-b74a-49059b0bea33"]},{"id":"ITEM-2","itemData":{"DOI":"10.1093/rb/rby013","ISSN":"2056-3418","PMID":"30094059","abstract":"In recent years, bone tissue engineering has emerged as a promising solution to the limitations of current gold standard treatment options for bone related-disorders such as bone grafts. Bone tissue engineering provides a scaffold design that mimics the extracellular matrix, providing an architecture that guides the natural bone regeneration process. During this period, a new generation of bone tissue engineering scaffolds has been designed and characterized that explores the incorporation of signaling molecules in order to enhance cell recruitment and ingress into the scaffold, as well as osteogenic differentiation and angiogenesis, each of which is crucial to successful bone regeneration. Here, we outline and critically analyze key characteristics of successful bone tissue engineering scaffolds. We also explore candidate materials used to fabricate these scaffolds. Different growth factors involved in the highly coordinated process of bone repair are discussed, and the key requirements of a growth factor delivery system are described. Finally, we concentrate on an analysis of scaffold-based growth factor delivery strategies found in the recent literature. In particular, the incorporation of two-phase systems consisting of growth factor-loaded nanoparticles embedded into scaffolds shows great promise, both by providing sustained release over a therapeutically relevant timeframe and the potential to sequentially deliver multiple growth factors.","author":[{"dropping-particle":"","family":"Witte","given":"Tinke-Marie","non-dropping-particle":"De","parse-names":false,"suffix":""},{"dropping-particle":"","family":"Fratila-Apachitei","given":"Lidy E","non-dropping-particle":"","parse-names":false,"suffix":""},{"dropping-particle":"","family":"Zadpoor","given":"Amir A","non-dropping-particle":"","parse-names":false,"suffix":""},{"dropping-particle":"","family":"Peppas","given":"Nicholas A","non-dropping-particle":"","parse-names":false,"suffix":""}],"container-title":"Regenerative Biomaterials","id":"ITEM-2","issue":"June","issued":{"date-parts":[["2018"]]},"page":"197-211","title":"Bone tissue engineering via growth factor delivery: from scaffolds to complex matrices","type":"article-journal"},"uris":["http://www.mendeley.com/documents/?uuid=ef38ba6c-09f6-49a7-8009-baabaedd1009"]}],"mendeley":{"formattedCitation":"[12,22]","plainTextFormattedCitation":"[12,22]","previouslyFormattedCitation":"[12,22]"},"properties":{"noteIndex":0},"schema":"https://github.com/citation-style-language/schema/raw/master/csl-citation.json"}</w:instrText>
      </w:r>
      <w:r w:rsidRPr="00166515">
        <w:fldChar w:fldCharType="separate"/>
      </w:r>
      <w:r w:rsidR="00EA2F45" w:rsidRPr="00166515">
        <w:rPr>
          <w:noProof/>
        </w:rPr>
        <w:t>[12,22]</w:t>
      </w:r>
      <w:r w:rsidRPr="00166515">
        <w:fldChar w:fldCharType="end"/>
      </w:r>
      <w:r w:rsidR="005440CB">
        <w:t>.</w:t>
      </w:r>
      <w:r w:rsidRPr="00166515">
        <w:t xml:space="preserve"> </w:t>
      </w:r>
    </w:p>
    <w:p w14:paraId="006DC8E3" w14:textId="27CE6810" w:rsidR="00591E34" w:rsidRPr="00166515" w:rsidRDefault="00591E34" w:rsidP="00166515">
      <w:pPr>
        <w:pStyle w:val="MDPI31text"/>
      </w:pPr>
      <w:r w:rsidRPr="00166515">
        <w:t xml:space="preserve">In order to validate and improve bone tissue engineering strategies, it is essential to evaluate the </w:t>
      </w:r>
      <w:r w:rsidRPr="009D5A75">
        <w:rPr>
          <w:iCs/>
        </w:rPr>
        <w:t>in vivo</w:t>
      </w:r>
      <w:r w:rsidRPr="00166515">
        <w:t xml:space="preserve"> competence of the newly formed bone induced following applied treatment </w:t>
      </w:r>
      <w:r w:rsidRPr="00166515">
        <w:fldChar w:fldCharType="begin" w:fldLock="1"/>
      </w:r>
      <w:r w:rsidR="00EA2F45" w:rsidRPr="00166515">
        <w:instrText>ADDIN CSL_CITATION {"citationItems":[{"id":"ITEM-1","itemData":{"DOI":"10.1371/journal.pone.0168883","ISBN":"1111111111","ISSN":"19326203","PMID":"28045946","abstract":"The need for bone graft materials to fill bony voids or gaps that are not related to the intrinsic stability of the bone that arise due to trauma, tumors or osteolysis remains a clinically relevant and significant issue. The in vivo response of collagen-tricalcium phosphate bone graft substitutes was evaluated in a critical size cancellous defect model in skeletally mature rabbits. While the materials were chemically virtually identical, new bone formation, implant resorption and local in vivo responses were significantly different. Differences in the in vivo response may be due, in part, collagen source and processing which influences resorption profiles. Continued improvements in processing and manufacturing techniques of collagen-tricalcium phosphate bone graft substitutes can result in osteoconductive materials that support healing of critical size bone defects even in challenging pre-clinical models.","author":[{"dropping-particle":"","family":"Walsh","given":"William Robert","non-dropping-particle":"","parse-names":false,"suffix":""},{"dropping-particle":"","family":"Oliver","given":"Rema A.","non-dropping-particle":"","parse-names":false,"suffix":""},{"dropping-particle":"","family":"Christou","given":"Chris","non-dropping-particle":"","parse-names":false,"suffix":""},{"dropping-particle":"","family":"Lovric","given":"Vedran","non-dropping-particle":"","parse-names":false,"suffix":""},{"dropping-particle":"","family":"Walsh","given":"Emma Rose","non-dropping-particle":"","parse-names":false,"suffix":""},{"dropping-particle":"","family":"Prado","given":"Gustavo R.","non-dropping-particle":"","parse-names":false,"suffix":""},{"dropping-particle":"","family":"Haider","given":"Thomas","non-dropping-particle":"","parse-names":false,"suffix":""}],"container-title":"PLoS ONE","id":"ITEM-1","issue":"1","issued":{"date-parts":[["2017"]]},"page":"1-21","title":"Critical size bone defect healing using collagen-calcium phosphate bone graft materials","type":"article-journal","volume":"12"},"uris":["http://www.mendeley.com/documents/?uuid=95ed0116-2028-4972-aa77-aa6b3d6fd8c3"]},{"id":"ITEM-2","itemData":{"DOI":"10.1016/j.actbio.2017.08.030","ISSN":"18787568","PMID":"28844964","abstract":"Large bone defects resulting from fractures and disease are a medical concern, being often unable to heal spontaneously by the body's repair mechanisms. Bone tissue engineering (BTE) is a promising approach for treating bone defects through providing a template to guide osseous regeneration. 3D scaffolds with microstructure mimicking host bone are necessary in common BTE strategies. Bioactive glasses (BGs) attract researchers’ attention as BTE scaffolds as they are osteoconductive and osteoinductive in certain formulations. In vivo animal models allow understanding and evaluation of materials’ performance in the complex physiological environment, being an inevitable step before clinical trials. The aim of this paper is to review for the first time published research investigating the in vivo osseous regenerative capacity of 3D BG scaffolds in bone defect animal models, to better understand and evaluate the progress and future outlook of the use of such scaffolds in BTE. The literature analysis reveals that the regenerative capacity of BG scaffolds depends on several factors; including BG composition, fabrication method, scaffold microstructure and pore characteristics, in addition to scaffold pretreatment and whether or not the scaffolds are loaded with growth factors. In addition, animal species selected, defect size and implantation time affect the scaffold in vivo behavior and outcomes. The review of the literature also makes clear the difficulty encountered to compare different types of bioactive glass scaffolds in their bone forming ability. Even considering such limitations of the current state-of-the-art, results generated from animal bone defect models provide an essential source of information to guide the design of BG scaffolds in future. Statement of Significance Bioactive glasses are at the centre of increasing research efforts in bone tissue engineering as the number of research groups around the world carrying out research on this type of biomaterials continues to increase. However, there are no previous reviews in literature which specifically cover investigations of the performance of bioactive glass scaffolds in bone defect animal models. This is the topic of the present review, in which we have analysed comprehensively all available literature in the field. The review thus fills a gap in the biomaterials literature providing a broad platform of information for researchers interested in bioactive glasses in general and specifically in t…","author":[{"dropping-particle":"","family":"El-Rashidy","given":"Aiah A.","non-dropping-particle":"","parse-names":false,"suffix":""},{"dropping-particle":"","family":"Roether","given":"Judith A.","non-dropping-particle":"","parse-names":false,"suffix":""},{"dropping-particle":"","family":"Harhaus","given":"Leila","non-dropping-particle":"","parse-names":false,"suffix":""},{"dropping-particle":"","family":"Kneser","given":"Ulrich","non-dropping-particle":"","parse-names":false,"suffix":""},{"dropping-particle":"","family":"Boccaccini","given":"Aldo R.","non-dropping-particle":"","parse-names":false,"suffix":""}],"container-title":"Acta Biomaterialia","id":"ITEM-2","issued":{"date-parts":[["2017"]]},"page":"1-28","publisher":"Acta Materialia Inc.","title":"Regenerating bone with bioactive glass scaffolds: A review of in vivo studies in bone defect models","type":"article-journal","volume":"62"},"uris":["http://www.mendeley.com/documents/?uuid=2fb42a5e-244c-4071-a8e6-a89463e2a4d7"]}],"mendeley":{"formattedCitation":"[23,24]","plainTextFormattedCitation":"[23,24]","previouslyFormattedCitation":"[23,24]"},"properties":{"noteIndex":0},"schema":"https://github.com/citation-style-language/schema/raw/master/csl-citation.json"}</w:instrText>
      </w:r>
      <w:r w:rsidRPr="00166515">
        <w:fldChar w:fldCharType="separate"/>
      </w:r>
      <w:r w:rsidR="00EA2F45" w:rsidRPr="00166515">
        <w:rPr>
          <w:noProof/>
        </w:rPr>
        <w:t>[23,24]</w:t>
      </w:r>
      <w:r w:rsidRPr="00166515">
        <w:fldChar w:fldCharType="end"/>
      </w:r>
      <w:r w:rsidRPr="00166515">
        <w:t xml:space="preserve">. Critical bone defect animal models </w:t>
      </w:r>
      <w:r w:rsidR="00657B31" w:rsidRPr="00166515">
        <w:t xml:space="preserve">have been widely used to </w:t>
      </w:r>
      <w:r w:rsidRPr="00166515">
        <w:t xml:space="preserve">provide a robust evaluation of the </w:t>
      </w:r>
      <w:r w:rsidRPr="009D5A75">
        <w:rPr>
          <w:iCs/>
        </w:rPr>
        <w:t>in vivo</w:t>
      </w:r>
      <w:r w:rsidRPr="00166515">
        <w:t xml:space="preserve"> response (i.e.</w:t>
      </w:r>
      <w:r w:rsidR="005440CB">
        <w:t>,</w:t>
      </w:r>
      <w:r w:rsidRPr="00166515">
        <w:t xml:space="preserve"> new bone formation, </w:t>
      </w:r>
      <w:r w:rsidR="00662233" w:rsidRPr="00166515">
        <w:t>remodeling</w:t>
      </w:r>
      <w:r w:rsidRPr="00166515">
        <w:t xml:space="preserve">, implant resorption) </w:t>
      </w:r>
      <w:r w:rsidR="00800EEA" w:rsidRPr="00166515">
        <w:t>to</w:t>
      </w:r>
      <w:r w:rsidRPr="00166515">
        <w:t xml:space="preserve"> </w:t>
      </w:r>
      <w:r w:rsidR="00DA3E80" w:rsidRPr="00166515">
        <w:t xml:space="preserve">regenerative </w:t>
      </w:r>
      <w:r w:rsidRPr="00166515">
        <w:t>biomaterial</w:t>
      </w:r>
      <w:r w:rsidR="00DA3E80" w:rsidRPr="00166515">
        <w:t>s</w:t>
      </w:r>
      <w:r w:rsidRPr="00166515">
        <w:t xml:space="preserve"> </w:t>
      </w:r>
      <w:r w:rsidRPr="00166515">
        <w:fldChar w:fldCharType="begin" w:fldLock="1"/>
      </w:r>
      <w:r w:rsidR="00EA2F45" w:rsidRPr="00166515">
        <w:instrText>ADDIN CSL_CITATION {"citationItems":[{"id":"ITEM-1","itemData":{"DOI":"10.1007/s10856-012-4822-0","ISBN":"0957-4530","ISSN":"09574530","PMID":"23344924","abstract":"In this study, a silica xerogel-chitosan hybrid is utilized as a coating material to incorporate bone morphogenic protein-2 (BMP-2) on a porous hydroxyapatite (HA) scaffold for bone tissue engineering. BMP-2 is known as a therapeutic agent for improving bone regeneration and repair. Silica xerogel-chitosan hybrids have been used for the delivery of a growth factor as well as osteoconductive coatings. The biological properties of the hybrid coating incorporated with BMP-2 were evaluated in terms of the BMP-2 release behavior, osteoblastic cellular responses and in vivo performance. BMP-2 was continuously released from the hybrid coating layer on the porous HA scaffold for up to 6 weeks. The hybrid coating containing BMP-2 showed significantly enhanced osteoblastic cell responses in comparison with the hybrid coating and HA substrate. Consequently, new bone formation was significantly increased within the hybrid coating containing BMP-2. These results reveal that the hybrid coating containing BMP-2 has the potential to be used as a bone implant, whose osteogenic properties are promoted by the release of BMP-2 in a controlled manner for a prolonged period of time.","author":[{"dropping-particle":"","family":"Jun","given":"Shin Hee","non-dropping-particle":"","parse-names":false,"suffix":""},{"dropping-particle":"","family":"Lee","given":"Eun Jung","non-dropping-particle":"","parse-names":false,"suffix":""},{"dropping-particle":"","family":"Jang","given":"Tae Sik","non-dropping-particle":"","parse-names":false,"suffix":""},{"dropping-particle":"","family":"Kim","given":"Hyoun Ee","non-dropping-particle":"","parse-names":false,"suffix":""},{"dropping-particle":"","family":"Jang","given":"Jun Hyeog","non-dropping-particle":"","parse-names":false,"suffix":""},{"dropping-particle":"","family":"Koh","given":"Young Hag","non-dropping-particle":"","parse-names":false,"suffix":""}],"container-title":"Journal of Materials Science: Materials in Medicine","id":"ITEM-1","issue":"3","issued":{"date-parts":[["2013"]]},"page":"773-782","title":"Bone morphogenic protein-2 (BMP-2) loaded hybrid coating on porous hydroxyapatite scaffolds for bone tissue engineering","type":"article-journal","volume":"24"},"uris":["http://www.mendeley.com/documents/?uuid=983ad210-632e-41bf-8d10-d87494bd556a"]},{"id":"ITEM-2","itemData":{"DOI":"10.1002/mabi.201300283","ISBN":"1616-5195 (Electronic)\r1616-5187 (Linking)","ISSN":"16165187","PMID":"23956214","abstract":"Bioactive implants intended for rapid, robust, and durable bone tissue regeneration are presented. The implants are based on nanofibrous 3D-scaffolds of bioresorbable poly-</w:instrText>
      </w:r>
      <w:r w:rsidR="00EA2F45" w:rsidRPr="00166515">
        <w:rPr>
          <w:rFonts w:ascii="Cambria" w:hAnsi="Cambria" w:cs="Cambria"/>
        </w:rPr>
        <w:instrText>ϵ</w:instrText>
      </w:r>
      <w:r w:rsidR="00EA2F45" w:rsidRPr="00166515">
        <w:instrText>-caprolactone mimicking the fibrillar architecture of bone matrix. Layer-by-layer nanoimmobilization of the growth factor BMP-2 in association with chitosan (CHI) or poly-L-lysine over the nanofibers is described. The osteogenetic potential of the scaffolds coated with layers of CHI and BMP-2 is demonstrated in vitro, and in vivo in mouse calvaria, through enhanced osteopontin gene expression and calcium phosphate biomineralization. The therapeutic strategy described here contributes to the field of regenerative medicine, as it proposes a route toward efficient repair of bone defects at reduced risk and cost level.","author":[{"dropping-particle":"","family":"Ferrand","given":"Alice","non-dropping-particle":"","parse-names":false,"suffix":""},{"dropping-particle":"","family":"Eap","given":"Sandy","non-dropping-particle":"","parse-names":false,"suffix":""},{"dropping-particle":"","family":"Richert","given":"Ludovic","non-dropping-particle":"","parse-names":false,"suffix":""},{"dropping-particle":"","family":"Lemoine","given":"Stéphanie","non-dropping-particle":"","parse-names":false,"suffix":""},{"dropping-particle":"","family":"Kalaskar","given":"Deepak","non-dropping-particle":"","parse-names":false,"suffix":""},{"dropping-particle":"","family":"Demoustier-Champagne","given":"Sophie","non-dropping-particle":"","parse-names":false,"suffix":""},{"dropping-particle":"","family":"Atmani","given":"Hassan","non-dropping-particle":"","parse-names":false,"suffix":""},{"dropping-particle":"","family":"Mély","given":"Yves","non-dropping-particle":"","parse-names":false,"suffix":""},{"dropping-particle":"","family":"Fioretti","given":"Florence","non-dropping-particle":"","parse-names":false,"suffix":""},{"dropping-particle":"","family":"Schlatter","given":"Guy","non-dropping-particle":"","parse-names":false,"suffix":""},{"dropping-particle":"","family":"Kuhn","given":"Liisa","non-dropping-particle":"","parse-names":false,"suffix":""},{"dropping-particle":"","family":"Ladam","given":"Guy","non-dropping-particle":"","parse-names":false,"suffix":""},{"dropping-particle":"","family":"Benkirane-Jessel","given":"Nadia","non-dropping-particle":"","parse-names":false,"suffix":""}],"container-title":"Macromolecular Bioscience","id":"ITEM-2","issue":"1","issued":{"date-parts":[["2014"]]},"page":"45-55","title":"Osteogenetic properties of electrospun nanofibrous PCL scaffolds equipped with chitosan-based nanoreservoirs of growth factors","type":"article-journal","volume":"14"},"uris":["http://www.mendeley.com/documents/?uuid=2912180a-bcab-43f0-9d4c-c96886a717ea"]},{"id":"ITEM-3","itemData":{"DOI":"10.1016/j.biomaterials.2011.03.063","ISBN":"1111111111","ISSN":"01429612","PMID":"21507479","abstract":"Febrile neutropenia (FN) is a medical emergency and can represent a life-threatening complication for hematology patients treated with intensive chemotherapy regimens. In clinical practice, the diagnostic yield of blood cultures and other investigations which aim to identify a causative organism or site of infection is low. We have retrospectively examined all blood cultures collected in a \"real world\" cohort of patients receiving chemotherapy for acute leukemia and patients with aggressive lymphoma treated with Hyper-CVAD/MTX-cytarabine, at a single tertiary center over a five-year period. In this cohort, the 30-day mortality following confirmed blood stream infection (BSI) was 5.9%, which is lower than most reports in the recent literature. We compared the blood culture results of inpatients undergoing induction chemotherapy and outpatients presenting with fevers and found a significantly higher rate of proven BSI in the outpatient group. In all settings, gram-negative organisms were most common. The rate of resistance to first-line empiric antibiotics among pathogenic isolates was 11.6% in the whole cohort, independent of blood culture circumstances. There was a trend to higher resistance rates among inpatients undergoing induction chemotherapy compared to patients presenting to the emergency department (17.4% vs 7.5%) but this did not reach statistical significance. We also report low rates of ciprofloxacin resistance (5% of isolates), in a center where universal fluoroquinolone prophylaxis is not employed. Our low resistance and mortality rates support our current therapeutic strategies, however presence of resistant organisms across the spectrum of indications for BC collection highlights the importance of surveilling local patterns, escalating antimicrobial therapy in the deteriorating patient, and considering advanced techniques for the rapid identification of resistance in this patient population.","author":[{"dropping-particle":"","family":"Boerckel","given":"Joel D.","non-dropping-particle":"","parse-names":false,"suffix":""},{"dropping-particle":"","family":"Kolambkar","given":"Yash M.","non-dropping-particle":"","parse-names":false,"suffix":""},{"dropping-particle":"","family":"Dupont","given":"Kenneth M.","non-dropping-particle":"","parse-names":false,"suffix":""},{"dropping-particle":"","family":"Uhrig","given":"Brent A.","non-dropping-particle":"","parse-names":false,"suffix":""},{"dropping-particle":"","family":"Phelps","given":"Edward A.","non-dropping-particle":"","parse-names":false,"suffix":""},{"dropping-particle":"","family":"Stevens","given":"Hazel Y.","non-dropping-particle":"","parse-names":false,"suffix":""},{"dropping-particle":"","family":"García","given":"Andrés J.","non-dropping-particle":"","parse-names":false,"suffix":""},{"dropping-particle":"","family":"Guldberg","given":"Robert E.","non-dropping-particle":"","parse-names":false,"suffix":""}],"container-title":"Biomaterials","id":"ITEM-3","issue":"22","issued":{"date-parts":[["2011","8"]]},"page":"5241-5251","publisher":"Elsevier Ltd","title":"Effects of protein dose and delivery system on BMP-mediated bone regeneration","type":"article-journal","volume":"32"},"uris":["http://www.mendeley.com/documents/?uuid=f2c6c70d-c251-45d9-a9fb-40bbe71bbef1"]},{"id":"ITEM-4","itemData":{"DOI":"10.1002/jbm.a.35282","ISBN":"1552-4965 (Electronic)\\r1549-3296 (Linking)","ISSN":"15524965","PMID":"25100662","abstract":"Bone morphology protein-2 (BMP-2) encapsulated chitosan/chondrotin sulfate nanoparticles (CHI/CS NPs) are developed to enhance ectopic bone formation on biphasic calcium phosphate (BCP) scaffolds. BMP-2 contained CHI/CS NPs were prepared by a simple and mild polyelectrolyte complexation process. It does not involve harsh organic solvents and high temperature, and therefore retain growth factors activity. These NPs were immobilized on BCP scaffolds, and realize the sustained release of growth factors from the scaffolds. The bare BCP scaffolds, NP loaded scaffolds (BCP-NP), and NP loaded and polydopamine coated scaffolds (BCP-Dop-NP) were seeded with bone marrow stroma cells (BMSC) to evaluate the osteoinductivity of the scaffolds. BMSC culture results indicate that all scaffolds favor cell adhesion, proliferation, differentiation. Afterwards, the bare BCP, BCP-NP, and BCP-Dop-NP scaffolds were implanted into rabbits intramuscularly to evaluate the ectopic bone formation of scaffolds. In vivo results indicate that the BCP-NP and BCP-Dop-NP scaffolds enhance more ectopic bone formation than the bare BCP scaffolds. Both the in vitro and in vivo results demonstrate that BMP-2 encapsulated polysaccharide NPs are effective to improve the osteoinductivity of the scaffolds. In addition, BCP-NP scaffolds induce more bone formation than BCP-Dop-NP scaffolds. This is because BCP-NP scaffolds harness the intrinsic osteoinductivity BCP and BMP-2, whereas BCP-Dop-NP scaffolds have polydopamine coatings that inhibit the surfaces biological features of BCP scaffolds, and therefore weaken the bone formation ability of scaffolds. © 2014 Wiley Periodicals, Inc. J Biomed Mater Res Part A, 2014.","author":[{"dropping-particle":"","family":"Wang","given":"Zhenming","non-dropping-particle":"","parse-names":false,"suffix":""},{"dropping-particle":"","family":"Wang","given":"Kefeng","non-dropping-particle":"","parse-names":false,"suffix":""},{"dropping-particle":"","family":"Lu","given":"Xiong","non-dropping-particle":"","parse-names":false,"suffix":""},{"dropping-particle":"","family":"Li","given":"Minqi","non-dropping-particle":"","parse-names":false,"suffix":""},{"dropping-particle":"","family":"Liu","given":"Hongrui","non-dropping-particle":"","parse-names":false,"suffix":""},{"dropping-particle":"","family":"Xie","given":"Chaoming","non-dropping-particle":"","parse-names":false,"suffix":""},{"dropping-particle":"","family":"Meng","given":"Fanzhi","non-dropping-particle":"","parse-names":false,"suffix":""},{"dropping-particle":"","family":"Jiang","given":"Ou","non-dropping-particle":"","parse-names":false,"suffix":""},{"dropping-particle":"","family":"Li","given":"Chen","non-dropping-particle":"","parse-names":false,"suffix":""},{"dropping-particle":"","family":"Zhi","given":"Wei","non-dropping-particle":"","parse-names":false,"suffix":""}],"container-title":"Journal of Biomedical Materials Research - Part A","id":"ITEM-4","issue":"4","issued":{"date-parts":[["2015"]]},"page":"1520-1532","title":"BMP-2 encapsulated polysaccharide nanoparticle modified biphasic calcium phosphate scaffolds for bone tissue regeneration","type":"article-journal","volume":"103"},"uris":["http://www.mendeley.com/documents/?uuid=fd4eae27-2274-4091-b880-127596c0e5a0"]}],"mendeley":{"formattedCitation":"[18,25–27]","plainTextFormattedCitation":"[18,25–27]","previouslyFormattedCitation":"[18,25–27]"},"properties":{"noteIndex":0},"schema":"https://github.com/citation-style-language/schema/raw/master/csl-citation.json"}</w:instrText>
      </w:r>
      <w:r w:rsidRPr="00166515">
        <w:fldChar w:fldCharType="separate"/>
      </w:r>
      <w:r w:rsidR="00EA2F45" w:rsidRPr="00166515">
        <w:rPr>
          <w:noProof/>
          <w:lang w:val="fr-FR"/>
        </w:rPr>
        <w:t>[18,25–27]</w:t>
      </w:r>
      <w:r w:rsidRPr="00166515">
        <w:fldChar w:fldCharType="end"/>
      </w:r>
      <w:r w:rsidRPr="00166515">
        <w:rPr>
          <w:lang w:val="fr-FR"/>
        </w:rPr>
        <w:t xml:space="preserve">. </w:t>
      </w:r>
      <w:r w:rsidRPr="00166515">
        <w:t xml:space="preserve">However, a biomechanical evaluation of the newly regenerated bone </w:t>
      </w:r>
      <w:r w:rsidR="00EA2F45" w:rsidRPr="00166515">
        <w:t>promoted</w:t>
      </w:r>
      <w:r w:rsidR="00657B31" w:rsidRPr="00166515">
        <w:t xml:space="preserve"> by</w:t>
      </w:r>
      <w:r w:rsidRPr="00166515">
        <w:t xml:space="preserve"> different applied treatments and</w:t>
      </w:r>
      <w:r w:rsidR="0008616C">
        <w:t>,</w:t>
      </w:r>
      <w:r w:rsidRPr="00166515">
        <w:t xml:space="preserve"> particularly, the local strain distribution </w:t>
      </w:r>
      <w:r w:rsidR="00AE72D4" w:rsidRPr="00166515">
        <w:t xml:space="preserve">of </w:t>
      </w:r>
      <w:r w:rsidRPr="00166515">
        <w:t xml:space="preserve">the engineered tissue is still lacking. This evaluation is of fundamental importance to demonstrate the ability of such tissue engineering approaches to restore new bone with biological and biomechanical properties that are comparable with the native bone. Specifically, understanding the load-bearing capacity and load-transfer mechanisms in relation to the newly formed bone microstructure is essential to fully </w:t>
      </w:r>
      <w:r w:rsidR="00662233" w:rsidRPr="00166515">
        <w:t>characterize</w:t>
      </w:r>
      <w:r w:rsidRPr="00166515">
        <w:t xml:space="preserve"> the mechanical competence of the regenerated tissue within the defect area.</w:t>
      </w:r>
    </w:p>
    <w:p w14:paraId="0EC06856" w14:textId="389A5CF3" w:rsidR="00591E34" w:rsidRPr="00166515" w:rsidRDefault="00591E34" w:rsidP="00166515">
      <w:pPr>
        <w:pStyle w:val="MDPI31text"/>
      </w:pPr>
      <w:r w:rsidRPr="00166515">
        <w:t>High-resolution X-ray imaging (i.e.</w:t>
      </w:r>
      <w:r w:rsidR="00166515">
        <w:t>,</w:t>
      </w:r>
      <w:r w:rsidRPr="00166515">
        <w:t xml:space="preserve"> </w:t>
      </w:r>
      <w:r w:rsidR="0008616C" w:rsidRPr="00166515">
        <w:t>micro-computed tomography</w:t>
      </w:r>
      <w:r w:rsidR="0008616C">
        <w:t>:</w:t>
      </w:r>
      <w:r w:rsidR="0008616C" w:rsidRPr="00166515">
        <w:t xml:space="preserve"> </w:t>
      </w:r>
      <w:r w:rsidRPr="00166515">
        <w:t xml:space="preserve">microCT) has been extensively used to investigate, in a three-dimensional (3D) </w:t>
      </w:r>
      <w:r w:rsidR="00657B31" w:rsidRPr="00166515">
        <w:t>manner</w:t>
      </w:r>
      <w:r w:rsidRPr="00166515">
        <w:t xml:space="preserve">, the </w:t>
      </w:r>
      <w:r w:rsidRPr="009D5A75">
        <w:rPr>
          <w:iCs/>
        </w:rPr>
        <w:t xml:space="preserve">ex vivo </w:t>
      </w:r>
      <w:r w:rsidRPr="00166515">
        <w:t xml:space="preserve">implantation site in a non-destructive way </w:t>
      </w:r>
      <w:r w:rsidRPr="00166515">
        <w:fldChar w:fldCharType="begin" w:fldLock="1"/>
      </w:r>
      <w:r w:rsidR="00932230" w:rsidRPr="00166515">
        <w:instrText>ADDIN CSL_CITATION {"citationItems":[{"id":"ITEM-1","itemData":{"DOI":"10.1111/jmi.12844","ISSN":"0022-2720","abstract":"Bone as such displays an intrinsic regenerative potential following fracture; however, this capacity is limited with large bone defects that cannot heal spontaneously. The management of critical-sized bone defects remains a major clinical and socioeconomic need with osteoregenerative biomaterials constantly under development aiming at promoting and enhancing bone healing. X-ray computed tomography (XCT) has become a standard and essential tool for quantifying structure–function relationships in bone and biomaterials, facilitating the development of novel bone tissue engineering strategies. This paper presents recent advancements in XCT analysis of biomaterial-mediated bone regeneration. As a noninvasive and nondestructive technique, XCT allows for qualitative and quantitative evaluation of three-dimensional (3D) scaffolds and biomaterial microarchitecture, bone growth into the scaffold as well as the 3D characterisation of biomaterial degradation and bone regeneration in vitro and in vivo. Furthermore, in combination with in situ mechanical testing and digital volume correlation (DVC), XCT demonstrated its potential to better understand the bone–biomaterial interactions and local mechanics of bone regeneration during the healing process in relation to the regeneration achieved in vivo, which will likely provide valuable knowledge for the development and optimisation of novel osteoregenerative biomaterials. Lay Description: Bone, being a dynamically adaptable material, displays excellent regenerative properties following fracture. However, the self-healing capacity of bone becomes more difficult with large bone defects. Those defects are common and occur in many clinical situations; hence, biomaterials are mostly used to restore both bone structure and function in the defect site. X-ray computed tomography (XCT) is a powerful tool to evaluate bone regeneration in critical-sized defects after the implantation of biomaterials, allowing to an improved understanding of the regeneration process following different bone tissue engineering approaches. This paper focuses on recent advancements in XCT analysis to characterise biomaterial-mediated bone regeneration in critical-sized defects. XCT supports three-dimensional (3D) analysis of biomaterials, scaffolds and regenerated bone microarchitecture, as well as bone ingrowth into the scaffold. As a nondestructive technique, XCT allows for a 3D characterisation of biomaterial degradation and bone regeneration over…","author":[{"dropping-particle":"","family":"Peña Fernández","given":"M.","non-dropping-particle":"","parse-names":false,"suffix":""},{"dropping-particle":"","family":"Witte","given":"Frank","non-dropping-particle":"","parse-names":false,"suffix":""},{"dropping-particle":"","family":"Tozzi","given":"Gianluca","non-dropping-particle":"","parse-names":false,"suffix":""}],"container-title":"Journal of Microscopy","id":"ITEM-1","issue":"0","issued":{"date-parts":[["2019","11","20"]]},"page":"jmi.12844","title":"Applications of X‐ray computed tomography for the evaluation of biomaterial‐mediated bone regeneration in critical‐sized defects","type":"article-journal","volume":"00"},"uris":["http://www.mendeley.com/documents/?uuid=8178f02b-53c9-4e91-b907-49913ecd24bb"]}],"mendeley":{"formattedCitation":"[28]","plainTextFormattedCitation":"[28]","previouslyFormattedCitation":"[18,23,28]"},"properties":{"noteIndex":0},"schema":"https://github.com/citation-style-language/schema/raw/master/csl-citation.json"}</w:instrText>
      </w:r>
      <w:r w:rsidRPr="00166515">
        <w:fldChar w:fldCharType="separate"/>
      </w:r>
      <w:r w:rsidR="00932230" w:rsidRPr="00166515">
        <w:rPr>
          <w:noProof/>
        </w:rPr>
        <w:t>[28]</w:t>
      </w:r>
      <w:r w:rsidRPr="00166515">
        <w:fldChar w:fldCharType="end"/>
      </w:r>
      <w:r w:rsidRPr="00166515">
        <w:t xml:space="preserve">. MicroCT imaging allows for a morphological analysis of the regenerated bone tissue </w:t>
      </w:r>
      <w:r w:rsidRPr="00166515">
        <w:fldChar w:fldCharType="begin" w:fldLock="1"/>
      </w:r>
      <w:r w:rsidR="00EA2F45" w:rsidRPr="00166515">
        <w:instrText>ADDIN CSL_CITATION {"citationItems":[{"id":"ITEM-1","itemData":{"DOI":"10.1002/jbmr.141","ISBN":"1523-4681","ISSN":"08840431","PMID":"20533309","abstract":"Use of high-resolution micro-computed tomography (μCT) imaging to assess trabecular and cortical bone morphology has grown immensely. There are several commercially available μCT systems, each with different approaches to image acquisition, evaluation, and reporting of outcomes. This lack of consistency makes it difficult to interpret reported results and to compare findings across different studies. This article addresses this critical need for standardized terminology and consistent reporting of parameters related to image acquisition and analysis, and key outcome assessments, particularly with respect to ex vivo analysis of rodent specimens. Thus the guidelines herein provide recommendations regarding (1) standardized terminology and units, (2) information to be included in describing the methods for a given experiment, and (3) a minimal set of outcome variables that should be reported. Whereas the specific research objective will determine the experimental design, these guidelines are intended to ensure accurate and consistent reporting of μCT-derived bone morphometry and density measurements. In particular, the methods section for papers that present μCT-based outcomes must include details of the following scan aspects: (1) image acquisition, including the scanning medium, X-ray tube potential, and voxel size, as well as clear descriptions of the size and location of the volume of interest and the method used to delineate trabecular and cortical bone regions, and (2) image processing, including the algorithms used for image filtration and the approach used for image segmentation. Morphometric analyses should be based on 3D algorithms that do not rely on assumptions about the underlying structure whenever possible. When reporting μCT results, the minimal set of variables that should be used to describe trabecular bone morphometry includes bone volume fraction and trabecular number, thickness, and separation. The minimal set of variables that should be used to describe cortical bone morphometry includes total cross-sectional area, cortical bone area, cortical bone area fraction, and cortical thickness. Other variables also may be appropriate depending on the research question and technical quality of the scan. Standard nomenclature, outlined in this article, should be followed for reporting of results. © 2010 American Society for Bone and Mineral Research.","author":[{"dropping-particle":"","family":"Bouxsein","given":"Mary L.","non-dropping-particle":"","parse-names":false,"suffix":""},{"dropping-particle":"","family":"Boyd","given":"Stephen K.","non-dropping-particle":"","parse-names":false,"suffix":""},{"dropping-particle":"","family":"Christiansen","given":"Blaine A.","non-dropping-particle":"","parse-names":false,"suffix":""},{"dropping-particle":"","family":"Guldberg","given":"Robert E.","non-dropping-particle":"","parse-names":false,"suffix":""},{"dropping-particle":"","family":"Jepsen","given":"Karl J.","non-dropping-particle":"","parse-names":false,"suffix":""},{"dropping-particle":"","family":"M??ller","given":"Ralph","non-dropping-particle":"","parse-names":false,"suffix":""},{"dropping-particle":"","family":"Müller","given":"Ralph","non-dropping-particle":"","parse-names":false,"suffix":""}],"container-title":"Journal of Bone and Mineral Research","id":"ITEM-1","issue":"7","issued":{"date-parts":[["2010"]]},"page":"1468-1486","title":"Guidelines for assessment of bone microstructure in rodents using micro-computed tomography","type":"article-journal","volume":"25"},"uris":["http://www.mendeley.com/documents/?uuid=0816e9f1-5155-47e0-84e7-6fde0eb4bddb"]}],"mendeley":{"formattedCitation":"[29]","plainTextFormattedCitation":"[29]","previouslyFormattedCitation":"[29]"},"properties":{"noteIndex":0},"schema":"https://github.com/citation-style-language/schema/raw/master/csl-citation.json"}</w:instrText>
      </w:r>
      <w:r w:rsidRPr="00166515">
        <w:fldChar w:fldCharType="separate"/>
      </w:r>
      <w:r w:rsidR="00EA2F45" w:rsidRPr="00166515">
        <w:rPr>
          <w:noProof/>
        </w:rPr>
        <w:t>[29]</w:t>
      </w:r>
      <w:r w:rsidRPr="00166515">
        <w:fldChar w:fldCharType="end"/>
      </w:r>
      <w:r w:rsidRPr="00166515">
        <w:t xml:space="preserve">, as well as the distribution and degree of tissue </w:t>
      </w:r>
      <w:r w:rsidR="00662233" w:rsidRPr="00166515">
        <w:t>mineralization</w:t>
      </w:r>
      <w:r w:rsidRPr="00166515">
        <w:t xml:space="preserve">, when appropriate densiometric calibration is carried out </w:t>
      </w:r>
      <w:r w:rsidRPr="00166515">
        <w:fldChar w:fldCharType="begin" w:fldLock="1"/>
      </w:r>
      <w:r w:rsidR="00EA2F45" w:rsidRPr="00166515">
        <w:instrText>ADDIN CSL_CITATION {"citationItems":[{"id":"ITEM-1","itemData":{"DOI":"10.1016/j.bone.2008.04.009","ISBN":"8756-3282","ISSN":"87563282","PMID":"18539557","abstract":"One of the many applications of micro computed tomography (μCT) is to accurately visualize and quantify cancellous bone microstructure. However, μCT based assessment of bone mineral density has yet to be thoroughly investigated. Specifically, the effects of varying imaging parameters, such as tube voltage (kVp), current (μA), integration time (ms), object to X-ray source distance (mm), projection number, detector array size and imaging media (surrounding the specimen), on the relationship between equivalent tissue density (ρEQ) and its linear attenuation coefficient (μ) have received little attention. In this study, in house manufactured, hydrogen dipotassium phosphate liquid calibration phantoms (K2HPO4) were employed in addition to a resin embedded hydroxyapatite solid calibration phantoms supplied by Scanco Medical AG Company. Variations in current, integration time and projection number had no effect on the conversion relationship between μ and ρEQfor the K2HPO4and Scanco calibration phantoms [p&gt;0.05 for all cases]. However, as expected, variations in scanning tube voltage, object to X-ray source distance, detector array size and imaging media (referring to the solution that surrounds the specimen in the imaging vial) significantly affected the conversion relationship between μ and ρEQfor K2HPO4and Scanco calibration phantoms [p&lt;0.05 for all cases]. A multivariate linear regression approach was used to estimate ρEQbased on attenuation coefficient, tube voltage, object to X-ray source distance, detector array size and imaging media for K2HPO4liquid calibration phantoms, explaining 90% of the variation in ρEQ. Furthermore, equivalent density values of bovine cortical bone (converted from attenuation coefficient to equivalent density using the K2HPO4liquid calibration phantoms) samples highly correlated [R2=0.92] with the ash densities of the samples. In conclusion, Scanco calibration phantoms can be used to assess equivalent bone mineral density; however, they cannot be scanned with a specimen or submerged in a different imaging media. The K2HPO4liquid calibration phantoms provide a cost effective, easy to prepare and convenient means to perform quantitative μCT analysis using any μCT system, with the ability to choose different imaging media according to study needs. However, as with any liquid calibration phantom, they are susceptible to degradation over time. © 2008 Elsevier Inc. All rights reserved.","author":[{"dropping-particle":"","family":"Nazarian","given":"Ara","non-dropping-particle":"","parse-names":false,"suffix":""},{"dropping-particle":"","family":"Snyder","given":"Brian D.","non-dropping-particle":"","parse-names":false,"suffix":""},{"dropping-particle":"","family":"Zurakowski","given":"David","non-dropping-particle":"","parse-names":false,"suffix":""},{"dropping-particle":"","family":"Müller","given":"Ralph","non-dropping-particle":"","parse-names":false,"suffix":""}],"container-title":"Bone","id":"ITEM-1","issue":"2","issued":{"date-parts":[["2008"]]},"page":"302-311","title":"Quantitative micro-computed tomography: A non-invasive method to assess equivalent bone mineral density","type":"article-journal","volume":"43"},"uris":["http://www.mendeley.com/documents/?uuid=bd772937-115f-499b-bdc6-72de4daeceae"]}],"mendeley":{"formattedCitation":"[30]","plainTextFormattedCitation":"[30]","previouslyFormattedCitation":"[30]"},"properties":{"noteIndex":0},"schema":"https://github.com/citation-style-language/schema/raw/master/csl-citation.json"}</w:instrText>
      </w:r>
      <w:r w:rsidRPr="00166515">
        <w:fldChar w:fldCharType="separate"/>
      </w:r>
      <w:r w:rsidR="00EA2F45" w:rsidRPr="00166515">
        <w:rPr>
          <w:noProof/>
        </w:rPr>
        <w:t>[30]</w:t>
      </w:r>
      <w:r w:rsidRPr="00166515">
        <w:fldChar w:fldCharType="end"/>
      </w:r>
      <w:r w:rsidRPr="00166515">
        <w:t xml:space="preserve">. Furthermore, when combined with </w:t>
      </w:r>
      <w:r w:rsidRPr="009D5A75">
        <w:rPr>
          <w:iCs/>
        </w:rPr>
        <w:t>in situ</w:t>
      </w:r>
      <w:r w:rsidRPr="00166515">
        <w:t xml:space="preserve"> mechanical testing </w:t>
      </w:r>
      <w:r w:rsidRPr="00166515">
        <w:fldChar w:fldCharType="begin" w:fldLock="1"/>
      </w:r>
      <w:r w:rsidR="00EA2F45" w:rsidRPr="00166515">
        <w:instrText>ADDIN CSL_CITATION {"citationItems":[{"id":"ITEM-1","itemData":{"DOI":"10.1016/S0021-9290(03)00254-9","ISBN":"4116321214","ISSN":"00219290","PMID":"14672568","abstract":"Many bones within the axial and appendicular skeleton are subjected to repetitive loading during the course of ordinary daily activities. If this loading is of sufficient magnitude or duration, failure of the bone tissue may result. Until recently the structural analysis of these fractures has been limited to two-dimensional sections. Due to the inherent destructiveness of this method, dynamic assessment of fracture progression has not been possible. An image-guided technique to analyze structural failure has been developed utilizing step-wise micro-compression in combination with time-lapsed micro-computed tomographic imaging. This technique allows, for the first time, direct three-dimensional visualization and quantification of fracture initiation and progression on the microscopic level and relates the global failure properties of trabecular bone to those of the individual trabeculae. The goals of this project were first to design and fabricate a novel micro-mechanical testing system, composed of a micro-compression device and a material testing and data acquisition system; and second, to validate the testing system to perform step-wise testing of trabecular bone specimens based on image-guided failure analysis. Due to the rate dependant properties of bone, stress relaxation was a concerning factor with respect to the step-wise testing method. In order to address these concerns, the results of the step-wise testing method were compared to those obtained from a conventional continuous test (considered to be the gold standard for the step-wise compressive mechanical testing) over the same total strain range and testing conditions. This was performed using porous aluminum alloy samples with highly reproducible and homogenous structural properties as well as trabecular bone samples from a single whale vertebra. Five cylinders from aluminum foam and trabecular whale bone each were compressed and imaged in a step-wise fashion from 0% to 20% strain at intervals of 2%, 4%, 8%, 12%, 16% and 20%. Mechanical properties obtained from the continuous and step-wise methods were not significantly different for both aluminum foam and whale bone specimens (p&gt;0.05). Both testing methods yielded very similar stress-strain graphs with almost identical elastic and plastic regions with overlaying standard error bars for both whale bone and aluminum foam specimens. This was further concurred by performing regression analyses between the stress data from both testing methods…","author":[{"dropping-particle":"","family":"Nazarian","given":"Ara","non-dropping-particle":"","parse-names":false,"suffix":""},{"dropping-particle":"","family":"Müller","given":"Ralph","non-dropping-particle":"","parse-names":false,"suffix":""}],"container-title":"Journal of Biomechanics","id":"ITEM-1","issue":"1","issued":{"date-parts":[["2004"]]},"page":"55-65","title":"Time-lapsed microstructural imaging of bone failure behavior","type":"article-journal","volume":"37"},"uris":["http://www.mendeley.com/documents/?uuid=93bef4c8-03bc-4047-bfcc-83f7ebbc2e81"]}],"mendeley":{"formattedCitation":"[31]","plainTextFormattedCitation":"[31]","previouslyFormattedCitation":"[31]"},"properties":{"noteIndex":0},"schema":"https://github.com/citation-style-language/schema/raw/master/csl-citation.json"}</w:instrText>
      </w:r>
      <w:r w:rsidRPr="00166515">
        <w:fldChar w:fldCharType="separate"/>
      </w:r>
      <w:r w:rsidR="00EA2F45" w:rsidRPr="00166515">
        <w:rPr>
          <w:noProof/>
        </w:rPr>
        <w:t>[31]</w:t>
      </w:r>
      <w:r w:rsidRPr="00166515">
        <w:fldChar w:fldCharType="end"/>
      </w:r>
      <w:r w:rsidRPr="00166515">
        <w:t xml:space="preserve"> and digital volume correlation (DVC) </w:t>
      </w:r>
      <w:r w:rsidRPr="00166515">
        <w:fldChar w:fldCharType="begin" w:fldLock="1"/>
      </w:r>
      <w:r w:rsidR="00EA2F45" w:rsidRPr="00166515">
        <w:instrText>ADDIN CSL_CITATION {"citationItems":[{"id":"ITEM-1","itemData":{"DOI":"10.1007/BF02323555","ISBN":"0014-4851","ISSN":"0014-4851","abstract":"A three-dimensional extension of two-dimensional digital image correlation has been developed. The technique uses digital image volumes generated through high-resolution X-ray tomography of samples with microarchitectural detail, such as the trabecular bone tissue found within the skeleton. Image texture within the material is used for displacement field measurement by subvolume tracking. Strain fields are calculated from the displacement fields by gradient estimation techniques. Estimates of measurement precision were developed through correlation of repeat unloaded data sets for a simple sum-of-squares displacement-only correlation formulation. Displacement vector component errors were normally distributed, with a standard deviation of 0.035 voxels (1.22 mu m). Strain tensor component errors were also normally distributed, with a standard deviation of approximately 0.0003. The method was applied to two samples taken from the thigh bone near the knee. Strains were effectively measured in both the elastic and postyield regimes of material behavior, and the spatial patterns showed clear relationships to the sample microarchitectures.","author":[{"dropping-particle":"","family":"Bay","given":"B. K.","non-dropping-particle":"","parse-names":false,"suffix":""},{"dropping-particle":"","family":"Smith","given":"T. S.","non-dropping-particle":"","parse-names":false,"suffix":""},{"dropping-particle":"","family":"Fyhrie","given":"D. P.","non-dropping-particle":"","parse-names":false,"suffix":""},{"dropping-particle":"","family":"Saad","given":"M.","non-dropping-particle":"","parse-names":false,"suffix":""}],"container-title":"Experimental Mechanics","id":"ITEM-1","issue":"3","issued":{"date-parts":[["1999"]]},"page":"217-226","title":"Digital volume correlation: Three-dimensional strain mapping using X-ray tomography","type":"article-journal","volume":"39"},"uris":["http://www.mendeley.com/documents/?uuid=f5bf4ec6-1e28-43ee-a05e-3ca6e530d565"]},{"id":"ITEM-2","itemData":{"DOI":"10.1243/03093247JSA436","ISBN":"0309-3247","ISSN":"0309-3247","abstract":"... X-ray microtomography system for generation of the imaging volumes (Fig. ...  Digital  volume correlation has emerged and ad- vanced as a measurement technique in conjunction ... of appropriate technologies (imaging and computational resources), just as digital image correlation  ... ","author":[{"dropping-particle":"","family":"Bay","given":"B K","non-dropping-particle":"","parse-names":false,"suffix":""}],"container-title":"The Journal of Strain Analysis for Engineering Design","id":"ITEM-2","issue":"8","issued":{"date-parts":[["2008"]]},"page":"745-760","title":"Methods and applications of digital volume correlation","type":"article-journal","volume":"43"},"uris":["http://www.mendeley.com/documents/?uuid=a8b2a85b-83b8-49e4-90e1-d46c3ace06b5"]}],"mendeley":{"formattedCitation":"[32,33]","plainTextFormattedCitation":"[32,33]","previouslyFormattedCitation":"[32,33]"},"properties":{"noteIndex":0},"schema":"https://github.com/citation-style-language/schema/raw/master/csl-citation.json"}</w:instrText>
      </w:r>
      <w:r w:rsidRPr="00166515">
        <w:fldChar w:fldCharType="separate"/>
      </w:r>
      <w:r w:rsidR="00EA2F45" w:rsidRPr="00166515">
        <w:rPr>
          <w:noProof/>
        </w:rPr>
        <w:t>[32,33]</w:t>
      </w:r>
      <w:r w:rsidRPr="00166515">
        <w:fldChar w:fldCharType="end"/>
      </w:r>
      <w:r w:rsidRPr="00166515">
        <w:t xml:space="preserve">, microCT provides a unique tool to investigate the 3D internal deformation of bone </w:t>
      </w:r>
      <w:r w:rsidR="00657B31" w:rsidRPr="00166515">
        <w:t>down to the tissue level</w:t>
      </w:r>
      <w:r w:rsidRPr="00166515">
        <w:t>. To date,</w:t>
      </w:r>
      <w:r w:rsidRPr="009D5A75">
        <w:rPr>
          <w:iCs/>
        </w:rPr>
        <w:t xml:space="preserve"> in situ</w:t>
      </w:r>
      <w:r w:rsidRPr="00166515">
        <w:t xml:space="preserve"> microCT mechanics in conjunction with DVC have been used to examine 3D full-field displacement and strain in trabecular bone</w:t>
      </w:r>
      <w:r w:rsidR="00932230" w:rsidRPr="00166515">
        <w:t xml:space="preserve"> </w:t>
      </w:r>
      <w:r w:rsidR="00EA2F45" w:rsidRPr="00166515">
        <w:fldChar w:fldCharType="begin" w:fldLock="1"/>
      </w:r>
      <w:r w:rsidR="001366DD" w:rsidRPr="00166515">
        <w:instrText>ADDIN CSL_CITATION {"citationItems":[{"id":"ITEM-1","itemData":{"DOI":"10.1016/j.jmbbm.2013.09.014","ISBN":"1878-0180 (Electronic)\\r1878-0180 (Linking)","ISSN":"17516161","PMID":"24212359","abstract":"Digital Volume Correlation (DVC) has been emerged recently as an innovative approach to full volume (i.e. internal) displacement and strain field measurement in materials and structures, particularly in conjunction with high resolution X-ray computed tomography (CT). As a relatively novel technique certain aspects of precision, accuracy and the breadth of application are yet to be fully established. This study has applied DVC to volume images of porcine trabecular bone assessing the effect of noise and sub-volume size on strain measurement. Strain resolutions ranging between 70 and 800. ???? were obtained for the optimum sub-volume size of 64 voxels with a 50% overlap for metrological studies conducted. These values allowed the mechanical behaviour of porcine trabecular bone during compression to be investigated. During compression a crushed layer formed adjacent to the boundary plate which increased in thickness as the specimen was further deformed. The structure of the crushed layer was altered to such an extent that it confounded the correlation method. While investigating this factor, it was found that for reliable strain calculations a correlation coefficient of 0.90 or above was required between the sub-volumes in the reference and the deformed volumes.Good agreements between the results and published bone strain failures were obtained. Using the full field strain measurements, Poisson's ratio was identified for each compression step using a dedicated inverse method called the virtual fields method (VFM). It was found that for a given region outside of the crushed zone the Poisson's ratio decreased from 0.32 to 0.21 between the first and the final compression steps, which was hypothesised to be due to the bone geometry and its resulting deformation behaviour.This study demonstrates that volumetric strain measurement can be obtained successfully using DVC, making it a useful tool for quantitatively investigating the micro-mechanical behaviour of macroscale bone specimens. ?? 2013 Elsevier Ltd.","author":[{"dropping-particle":"","family":"Gillard","given":"F.","non-dropping-particle":"","parse-names":false,"suffix":""},{"dropping-particle":"","family":"Boardman","given":"R.","non-dropping-particle":"","parse-names":false,"suffix":""},{"dropping-particle":"","family":"Mavrogordato","given":"M.","non-dropping-particle":"","parse-names":false,"suffix":""},{"dropping-particle":"","family":"Hollis","given":"D.","non-dropping-particle":"","parse-names":false,"suffix":""},{"dropping-particle":"","family":"Sinclair","given":"I.","non-dropping-particle":"","parse-names":false,"suffix":""},{"dropping-particle":"","family":"Pierron","given":"F.","non-dropping-particle":"","parse-names":false,"suffix":""},{"dropping-particle":"","family":"Browne","given":"M.","non-dropping-particle":"","parse-names":false,"suffix":""}],"container-title":"Journal of the Mechanical Behavior of Biomedical Materials","id":"ITEM-1","issued":{"date-parts":[["2014","1"]]},"page":"480-499","publisher":"Elsevier","title":"The application of digital volume correlation (DVC) to study the microstructural behaviour of trabecular bone during compression","type":"article-journal","volume":"29"},"uris":["http://www.mendeley.com/documents/?uuid=8a7a58bc-5eec-4539-a3c1-6899e69e9841"]},{"id":"ITEM-2","itemData":{"DOI":"10.1016/j.jmbbm.2018.08.012","ISSN":"17516161","PMID":"30165258","abstract":"© 2018 Elsevier Ltd The use of synchrotron radiation micro-computed tomography (SR-microCT) is becoming increasingly popular for studying the relationship between microstructure and bone mechanics subjected to in situ mechanical testing. However, it is well known that the effect of SR X-ray radiation can considerably alter the mechanical properties of bone tissue. Digital volume correlation (DVC) has been extensively used to compute full-field strain distributions in bone specimens subjected to step-wise mechanical loading, but tissue damage from sequential SR-microCT scans has not been previously addressed. Therefore, the aim of this study is to examine the influence of SR irradiation-induced microdamage on the apparent elastic properties of trabecular bone using DVC applied to in situ SR-microCT tomograms obtained with different exposure times. Results showed how DVC was able to identify high local strain levels (&gt; 10,000 µε) corresponding to visible microcracks at high irradiation doses (~ 230 kGy), despite the apparent elastic properties remained unaltered. Microcracks were not detected and bone plasticity was preserved for low irradiation doses (~ 33 kGy), although image quality and consequently, DVC performance were reduced. DVC results suggested some local deterioration of tissue that might have resulted from mechanical strain concentration further enhanced by some level of local irradiation even for low accumulated dose.","author":[{"dropping-particle":"","family":"Peña Fernández","given":"Marta","non-dropping-particle":"","parse-names":false,"suffix":""},{"dropping-particle":"","family":"Cipiccia","given":"Silvia","non-dropping-particle":"","parse-names":false,"suffix":""},{"dropping-particle":"","family":"Dall’Ara","given":"Enrico","non-dropping-particle":"","parse-names":false,"suffix":""},{"dropping-particle":"","family":"Bodey","given":"Andrew J.","non-dropping-particle":"","parse-names":false,"suffix":""},{"dropping-particle":"","family":"Parwani","given":"Rachna","non-dropping-particle":"","parse-names":false,"suffix":""},{"dropping-particle":"","family":"Pani","given":"Martino","non-dropping-particle":"","parse-names":false,"suffix":""},{"dropping-particle":"","family":"Blunn","given":"Gordon W.","non-dropping-particle":"","parse-names":false,"suffix":""},{"dropping-particle":"","family":"Barber","given":"Asa H.","non-dropping-particle":"","parse-names":false,"suffix":""},{"dropping-particle":"","family":"Tozzi","given":"Gianluca","non-dropping-particle":"","parse-names":false,"suffix":""}],"container-title":"Journal of the Mechanical Behavior of Biomedical Materials","id":"ITEM-2","issue":"August","issued":{"date-parts":[["2018","12"]]},"page":"109-119","publisher":"Elsevier Ltd","title":"Effect of SR-microCT radiation on the mechanical integrity of trabecular bone using in situ mechanical testing and digital volume correlation","type":"article-journal","volume":"88"},"uris":["http://www.mendeley.com/documents/?uuid=e3966f40-e380-4193-8730-60be343f6ed4"]}],"mendeley":{"formattedCitation":"[34,35]","plainTextFormattedCitation":"[34,35]","previouslyFormattedCitation":"[34,35]"},"properties":{"noteIndex":0},"schema":"https://github.com/citation-style-language/schema/raw/master/csl-citation.json"}</w:instrText>
      </w:r>
      <w:r w:rsidR="00EA2F45" w:rsidRPr="00166515">
        <w:fldChar w:fldCharType="separate"/>
      </w:r>
      <w:r w:rsidR="00EA2F45" w:rsidRPr="00166515">
        <w:rPr>
          <w:noProof/>
        </w:rPr>
        <w:t>[34,35]</w:t>
      </w:r>
      <w:r w:rsidR="00EA2F45" w:rsidRPr="00166515">
        <w:fldChar w:fldCharType="end"/>
      </w:r>
      <w:r w:rsidRPr="00166515">
        <w:rPr>
          <w:lang w:val="fr-FR"/>
        </w:rPr>
        <w:t xml:space="preserve">, </w:t>
      </w:r>
      <w:r w:rsidRPr="00166515">
        <w:rPr>
          <w:lang w:val="es-ES_tradnl"/>
        </w:rPr>
        <w:t xml:space="preserve">cortical bone </w:t>
      </w:r>
      <w:r w:rsidRPr="00166515">
        <w:fldChar w:fldCharType="begin" w:fldLock="1"/>
      </w:r>
      <w:r w:rsidR="00EA2F45" w:rsidRPr="00166515">
        <w:rPr>
          <w:lang w:val="fr-FR"/>
        </w:rPr>
        <w:instrText>ADDIN CSL_CITATION {"citationItems":[{"id":"ITEM-1","itemData":{"DOI":"10.1016/j.jmbbm.2011.12.009","ISSN":"1751-6161","author":[{"dropping-particle":"","family":"Christen","given":"David","non-dropping-particle":"","parse-names":false,"suffix":""},{"dropping-particle":"","family":"Levchuk","given":"Alina","non-dropping-particle":"","parse-names":false,"suffix":""},{"dropping-particle":"","family":"Schori","given":"Stefan","non-dropping-particle":"","parse-names":false,"suffix":""},{"dropping-particle":"","family":"Schneider","given":"Philipp","non-dropping-particle":"","parse-names":false,"suffix":""},{"dropping-particle":"","family":"Boyd","given":"Steven K","non-dropping-particle":"","parse-names":false,"suffix":""},{"dropping-particle":"","family":"Müller","given":"Ralph","non-dropping-particle":"","parse-names":false,"suffix":""}],"container-title":"Journal of the Mechanical Behavior of Biomedical Materials","id":"ITEM-1","issued":{"date-parts":[["2012"]]},"page":"184-193","publisher":"Elsevier Ltd","title":"Deformable image registration and 3D strain mapping for the quantitative assessment of cortical bone microdamage","type":"article-journal","volume":"8"},"uris":["http://www.mendeley.com/documents/?uuid=17842e9c-4c85-406a-9f47-247867a6babc"]}],"mendeley":{"formattedCitation":"[36]","plainTextFormattedCitation":"[36]","previouslyFormattedCitation":"[36]"},"properties":{"noteIndex":0},"schema":"https://github.com/citation-style-language/schema/raw/master/csl-citation.json"}</w:instrText>
      </w:r>
      <w:r w:rsidRPr="00166515">
        <w:fldChar w:fldCharType="separate"/>
      </w:r>
      <w:r w:rsidR="00EA2F45" w:rsidRPr="00166515">
        <w:rPr>
          <w:noProof/>
          <w:lang w:val="es-ES"/>
        </w:rPr>
        <w:t>[36]</w:t>
      </w:r>
      <w:r w:rsidRPr="00166515">
        <w:fldChar w:fldCharType="end"/>
      </w:r>
      <w:r w:rsidRPr="00166515">
        <w:rPr>
          <w:lang w:val="es-ES"/>
        </w:rPr>
        <w:t xml:space="preserve">, </w:t>
      </w:r>
      <w:r w:rsidR="00657B31" w:rsidRPr="00166515">
        <w:rPr>
          <w:lang w:val="es-ES"/>
        </w:rPr>
        <w:t>whole</w:t>
      </w:r>
      <w:r w:rsidRPr="00166515">
        <w:rPr>
          <w:lang w:val="es-ES"/>
        </w:rPr>
        <w:t xml:space="preserve"> bones </w:t>
      </w:r>
      <w:r w:rsidRPr="00166515">
        <w:fldChar w:fldCharType="begin" w:fldLock="1"/>
      </w:r>
      <w:r w:rsidR="00EA2F45" w:rsidRPr="00166515">
        <w:rPr>
          <w:lang w:val="es-ES"/>
        </w:rPr>
        <w:instrText>ADDIN CSL_CITATION {"citationItems":[{"id":"ITEM-1","itemData":{"DOI":"10.1111/str.12202","ISSN":"14751305","author":[{"dropping-particle":"","family":"Tozzi","given":"G.","non-dropping-particle":"","parse-names":false,"suffix":""},{"dropping-particle":"","family":"Danesi","given":"V.","non-dropping-particle":"","parse-names":false,"suffix":""},{"dropping-particle":"","family":"Palanca","given":"M.","non-dropping-particle":"","parse-names":false,"suffix":""},{"dropping-particle":"","family":"Cristofolini","given":"L.","non-dropping-particle":"","parse-names":false,"suffix":""}],"container-title":"Strain","id":"ITEM-1","issue":"5","issued":{"date-parts":[["2016"]]},"page":"446-455","title":"Elastic Full-Field Strain Analysis and Microdamage Progression in the Vertebral Body from Digital Volume Correlation","type":"article-journal","volume":"52"},"uris":["http://www.mendeley.com/documents/?uuid=4d05ad54-3be5-493c-ae61-3ab48c083c9d"]}],"mendeley":{"formattedCitation":"[37]","plainTextFormattedCitation":"[37]","previouslyFormattedCitation":"[37]"},"properties":{"noteIndex":0},"schema":"https://github.com/citation-style-language/schema/raw/master/csl-citation.json"}</w:instrText>
      </w:r>
      <w:r w:rsidRPr="00166515">
        <w:fldChar w:fldCharType="separate"/>
      </w:r>
      <w:r w:rsidR="00EA2F45" w:rsidRPr="00166515">
        <w:rPr>
          <w:noProof/>
          <w:lang w:val="es-ES"/>
        </w:rPr>
        <w:t>[37]</w:t>
      </w:r>
      <w:r w:rsidRPr="00166515">
        <w:fldChar w:fldCharType="end"/>
      </w:r>
      <w:r w:rsidR="0008616C">
        <w:t>,</w:t>
      </w:r>
      <w:r w:rsidRPr="00166515">
        <w:rPr>
          <w:lang w:val="es-ES"/>
        </w:rPr>
        <w:t xml:space="preserve"> and bone</w:t>
      </w:r>
      <w:r w:rsidR="0008616C">
        <w:rPr>
          <w:lang w:val="es-ES"/>
        </w:rPr>
        <w:t>–</w:t>
      </w:r>
      <w:r w:rsidRPr="00166515">
        <w:rPr>
          <w:lang w:val="es-ES"/>
        </w:rPr>
        <w:t xml:space="preserve">biomaterial systems </w:t>
      </w:r>
      <w:r w:rsidRPr="00166515">
        <w:fldChar w:fldCharType="begin" w:fldLock="1"/>
      </w:r>
      <w:r w:rsidR="00870BBB" w:rsidRPr="00166515">
        <w:rPr>
          <w:lang w:val="es-ES"/>
        </w:rPr>
        <w:instrText>ADDIN CSL_CITATION {"citationItems":[{"id":"ITEM-1","itemData":{"DOI":"10.1016/j.clinbiomech.2016.07.010","ISSN":"18791271","abstract":"Background Prophylactic augmentation is meant to reinforce the vertebral body, but in some cases it is suspected to actually weaken it. Past studies only investigated structural failure and the surface strain distribution. To elucidate the failure mechanism of the augmented vertebra, more information is needed about the internal strain distribution. This study aims to measure, for the first time, the full-field three-dimensional strain distribution inside augmented vertebrae in the elastic regime and to failure. Methods Eight porcine vertebrae were prophylactically-augmented using two augmentation materials. They were scanned with a micro-computed tomography scanner (38.8????m voxel resolution) while undeformed, and loaded at 5%, 10%, and 15% compressions. Internal strains (axial, antero-posterior and lateral-lateral components) were computed using digital volume correlation. Findings For both augmentation materials, the highest strains were measured in the regions adjacent to the injected cement mass, whereas the cement-interdigitated-bone was less strained. While this was already visible in the elastic regime (5%), it was a predictor of the localization of failure, which became visible at higher degrees of compression (10% and 15%), when failure propagated across the trabecular bone. Localization of high strains and failure was consistent between specimens, but different between the cement types. Interpretation This study indicated the potential of digital volume correlation in measuring the internal strain (elastic regime) and failure in augmented vertebrae. While the cement-interdigitated region becomes stiffer (less strained), the adjacent non-augmented trabecular bone is affected by the stress concentration induced by the cement mass. This approach can help establish better criteria to improve vertebroplasty.","author":[{"dropping-particle":"","family":"Danesi","given":"Valentina","non-dropping-particle":"","parse-names":false,"suffix":""},{"dropping-particle":"","family":"Tozzi","given":"Gianluca","non-dropping-particle":"","parse-names":false,"suffix":""},{"dropping-particle":"","family":"Cristofolini","given":"Luca","non-dropping-particle":"","parse-names":false,"suffix":""}],"container-title":"Clinical Biomechanics","id":"ITEM-1","issued":{"date-parts":[["2016"]]},"page":"14-24","publisher":"Elsevier Ltd","title":"Application of digital volume correlation to study the efficacy of prophylactic vertebral augmentation","type":"article-journal","volume":"39"},"uris":["http://www.mendeley.com/documents/?uuid=e2adb522-927f-4660-8029-5c74cbc72eec"]},{"id":"ITEM-2","itemData":{"DOI":"10.1016/j.jbiomech.2011.10.011","ISSN":"00219290","PMID":"22055427","abstract":"The integrity of bone-cement interface is essential for the long-term stability of cemented total joint arthroplasty. Although several studies have been carried out on bone-cement interface at continuum level, micromechanics of the interface has been studied only recently for tensile and shear loading cases. Fundamental studies of bone-cement interface at microstructural level are critical to the understanding of the failure processes of the interface, where multiple factors may contribute to failure. Here we present a micromechanical study of bone-cement interface under compression, which utilised in situ mechanical testing, time-lapsed microcomputed tomography (CT) and finite element (FE) modelling. Bovine trabecular bone was used to interdigitate with bone cement to obtain bone-cement interface samples, which were tested in step-wise compression using a custom-made loading stage within the ??CT chamber. A finite element model was built from the CT images of one of the tested samples and loaded similarly as in the experiment. The simulated stress-displacement response fell within the range of the experimental responses, and the predicted local strain distribution correlated well with the failure pattern in the subject-specific experimental model. Damage evolution with load in the samples was monitored both experimentally and numerically. The results from the FE simulations further revealed the development of damage in the regions of interest during compression, which may be useful towards a micromechanics understanding of the failure processes at bone-cement interface. ?? 2011 Elsevier Ltd.","author":[{"dropping-particle":"","family":"Tozzi","given":"Gianluca","non-dropping-particle":"","parse-names":false,"suffix":""},{"dropping-particle":"","family":"Zhang","given":"Qing Hang","non-dropping-particle":"","parse-names":false,"suffix":""},{"dropping-particle":"","family":"Tong","given":"Jie","non-dropping-particle":"","parse-names":false,"suffix":""}],"container-title":"Journal of Biomechanics","id":"ITEM-2","issue":"2","issued":{"date-parts":[["2012"]]},"page":"356-363","publisher":"Elsevier","title":"3D real-time micromechanical compressive behaviour of bone-cement interface: Experimental and finite element studies","type":"article-journal","volume":"45"},"uris":["http://www.mendeley.com/documents/?uuid=8ad17dea-69b8-4eb4-9e2c-c2500104eca4"]},{"id":"ITEM-3","itemData":{"DOI":"10.1021/acsbiomaterials.8b01044","ISSN":"2373-9878","author":[{"dropping-par</w:instrText>
      </w:r>
      <w:r w:rsidR="00870BBB" w:rsidRPr="00166515">
        <w:rPr>
          <w:lang w:val="en-GB"/>
        </w:rPr>
        <w:instrText>ticle":"","family":"Peña Fernández","given":"Marta","non-dropping-particle":"","parse-names":false,"suffix":""},{"dropping-particle":"","family":"Dall’Ara","given":"Enrico","non-dropping-particle":"","parse-names":false,"suffix":""},{"dropping-particle":"","family":"Bodey","given":"Andrew J.","non-dropping-particle":"","parse-names":false,"suffix":""},{"dropping-particle":"","family":"Parwani","given":"Rachna","non-dropping-particle":"","parse-names":false,"suffix":""},{"dropping-particle":"","family":"Barber","given":"Asa H.","non-dropping-particle":"","parse-names":false,"suffix":""},{"dropping-particle":"","family":"Blunn","given":"Gordon W.","non-dropping-particle":"","parse-names":false,"suffix":""},{"dropping-particle":"","family":"Tozzi","given":"Gianluca","non-dropping-particle":"","parse-names":false,"suffix":""}],"container-title":"ACS Biomaterials Science &amp; Engineering","id":"ITEM-3","issue":"5","issued":{"date-parts":[["2019","5","13"]]},"page":"2543-2554","title":"Full-Field Strain Analysis of Bone–Biomaterial Systems Produced by the Implantation of Osteoregenerative Biomaterials in an Ovine Model","type":"article-journal","volume":"5"},"uris":["http://www.mendeley.com/documents/?uuid=6415d5c4-e164-4687-a988-04a248b7d84d"]}],"mendeley":{"formattedCitation":"[38–40]","plainTextFormattedCitation":"[38–40]","previouslyFormattedCitation":"[38–40]"},"properties":{"noteIndex":0},"schema":"https://github.com/citation-style-language/schema/raw/master/csl-citation.json"}</w:instrText>
      </w:r>
      <w:r w:rsidRPr="00166515">
        <w:fldChar w:fldCharType="separate"/>
      </w:r>
      <w:r w:rsidR="00EA2F45" w:rsidRPr="00166515">
        <w:rPr>
          <w:noProof/>
        </w:rPr>
        <w:t>[38–40]</w:t>
      </w:r>
      <w:r w:rsidRPr="00166515">
        <w:fldChar w:fldCharType="end"/>
      </w:r>
      <w:r w:rsidRPr="00166515">
        <w:t xml:space="preserve">. However, to the author’s knowledge, </w:t>
      </w:r>
      <w:r w:rsidRPr="009D5A75">
        <w:t>in situ</w:t>
      </w:r>
      <w:r w:rsidRPr="00166515">
        <w:t xml:space="preserve"> microCT mechanics in conjunction with DVC ha</w:t>
      </w:r>
      <w:r w:rsidR="0008616C">
        <w:t>ve</w:t>
      </w:r>
      <w:r w:rsidRPr="00166515">
        <w:t xml:space="preserve"> never been applied to newly regenerated bone tissue entirely produced </w:t>
      </w:r>
      <w:r w:rsidRPr="009D5A75">
        <w:rPr>
          <w:iCs/>
        </w:rPr>
        <w:t>in vivo</w:t>
      </w:r>
      <w:r w:rsidRPr="00166515">
        <w:t xml:space="preserve"> following the implantation of osteoinductive biomaterials in critical-sized bone defects. </w:t>
      </w:r>
    </w:p>
    <w:p w14:paraId="066F63BE" w14:textId="2D2DB93F" w:rsidR="00591E34" w:rsidRPr="00166515" w:rsidRDefault="00591E34" w:rsidP="00166515">
      <w:pPr>
        <w:pStyle w:val="MDPI31text"/>
      </w:pPr>
      <w:r w:rsidRPr="00166515">
        <w:t>This study aims to investigat</w:t>
      </w:r>
      <w:r w:rsidR="00D22C32" w:rsidRPr="00166515">
        <w:t>e the</w:t>
      </w:r>
      <w:r w:rsidRPr="00166515">
        <w:t xml:space="preserve"> 3D full-field strain distribution throughout the apparent elastic regime in newly regenerated bone tissue produced </w:t>
      </w:r>
      <w:r w:rsidR="00BA10AF" w:rsidRPr="00166515">
        <w:t>in a critical size bone defect model</w:t>
      </w:r>
      <w:r w:rsidR="00BA10AF" w:rsidRPr="00166515">
        <w:rPr>
          <w:i/>
        </w:rPr>
        <w:t xml:space="preserve"> </w:t>
      </w:r>
      <w:r w:rsidRPr="00166515">
        <w:t xml:space="preserve">following the </w:t>
      </w:r>
      <w:r w:rsidR="00BA10AF" w:rsidRPr="00166515">
        <w:t xml:space="preserve">implantation of different osteoinductive biomaterials, including </w:t>
      </w:r>
      <w:r w:rsidRPr="00166515">
        <w:t xml:space="preserve">BMP-2 </w:t>
      </w:r>
      <w:r w:rsidR="00BA10AF" w:rsidRPr="00166515">
        <w:t>delivery systems</w:t>
      </w:r>
      <w:r w:rsidR="0008616C">
        <w:t>,</w:t>
      </w:r>
      <w:r w:rsidR="00BA10AF" w:rsidRPr="00166515">
        <w:t xml:space="preserve"> as well as </w:t>
      </w:r>
      <w:r w:rsidRPr="00166515">
        <w:t xml:space="preserve">autografts. Bone mineral distribution, morphometry, and load transfer response </w:t>
      </w:r>
      <w:r w:rsidR="0008616C">
        <w:t>a</w:t>
      </w:r>
      <w:r w:rsidRPr="00166515">
        <w:t>re evaluated</w:t>
      </w:r>
      <w:r w:rsidR="0008616C">
        <w:t>,</w:t>
      </w:r>
      <w:r w:rsidRPr="00166515">
        <w:t xml:space="preserve"> combining high-resolution microCT, </w:t>
      </w:r>
      <w:r w:rsidRPr="009D5A75">
        <w:rPr>
          <w:iCs/>
        </w:rPr>
        <w:t>in situ</w:t>
      </w:r>
      <w:r w:rsidRPr="00166515">
        <w:t xml:space="preserve"> mechanical testing and DVC. </w:t>
      </w:r>
      <w:r w:rsidR="00EC7762" w:rsidRPr="00166515">
        <w:t xml:space="preserve">Despite </w:t>
      </w:r>
      <w:r w:rsidR="00173CC0" w:rsidRPr="00166515">
        <w:t>the</w:t>
      </w:r>
      <w:r w:rsidR="00EC7762" w:rsidRPr="00166515">
        <w:t xml:space="preserve"> </w:t>
      </w:r>
      <w:r w:rsidR="002D2630" w:rsidRPr="00166515">
        <w:t>limited number of s</w:t>
      </w:r>
      <w:r w:rsidR="00173CC0" w:rsidRPr="00166515">
        <w:t xml:space="preserve">pecimens </w:t>
      </w:r>
      <w:r w:rsidR="002D2630" w:rsidRPr="00166515">
        <w:t>retrieved at a single time point and evaluated, t</w:t>
      </w:r>
      <w:r w:rsidRPr="00166515">
        <w:t>he findings of this paper provide important insights on the relationships between deformation, microstructure</w:t>
      </w:r>
      <w:r w:rsidR="0008616C">
        <w:t>,</w:t>
      </w:r>
      <w:r w:rsidRPr="00166515">
        <w:t xml:space="preserve"> and </w:t>
      </w:r>
      <w:r w:rsidR="00662233" w:rsidRPr="00166515">
        <w:t>mineralization</w:t>
      </w:r>
      <w:r w:rsidRPr="00166515">
        <w:t xml:space="preserve"> of newly formed bone</w:t>
      </w:r>
      <w:r w:rsidR="0008616C">
        <w:t>; h</w:t>
      </w:r>
      <w:r w:rsidRPr="00166515">
        <w:t xml:space="preserve">ence, improving the description and understanding of </w:t>
      </w:r>
      <w:r w:rsidR="0008616C">
        <w:t xml:space="preserve">the </w:t>
      </w:r>
      <w:r w:rsidRPr="00166515">
        <w:t>bone regeneration process as a result of different tissue engineering strategies.</w:t>
      </w:r>
    </w:p>
    <w:p w14:paraId="7A522D59" w14:textId="5D168460" w:rsidR="00F42E7B" w:rsidRPr="00166515" w:rsidRDefault="00166515" w:rsidP="00166515">
      <w:pPr>
        <w:pStyle w:val="MDPI21heading1"/>
      </w:pPr>
      <w:r w:rsidRPr="00166515">
        <w:rPr>
          <w:lang w:eastAsia="zh-CN"/>
        </w:rPr>
        <w:t xml:space="preserve">2. </w:t>
      </w:r>
      <w:r>
        <w:t>Materials and Methods</w:t>
      </w:r>
    </w:p>
    <w:bookmarkEnd w:id="3"/>
    <w:bookmarkEnd w:id="4"/>
    <w:p w14:paraId="3DA2B62A" w14:textId="61235B3D" w:rsidR="00591E34" w:rsidRPr="00166515" w:rsidRDefault="00166515" w:rsidP="00166515">
      <w:pPr>
        <w:pStyle w:val="MDPI22heading2"/>
      </w:pPr>
      <w:r w:rsidRPr="00166515">
        <w:t xml:space="preserve">2.1. </w:t>
      </w:r>
      <w:r w:rsidR="00591E34" w:rsidRPr="00166515">
        <w:t xml:space="preserve">Specimen </w:t>
      </w:r>
      <w:r w:rsidRPr="00166515">
        <w:t>Preparation</w:t>
      </w:r>
    </w:p>
    <w:p w14:paraId="26335109" w14:textId="5522F776" w:rsidR="00591E34" w:rsidRPr="00166515" w:rsidRDefault="00591E34" w:rsidP="00166515">
      <w:pPr>
        <w:pStyle w:val="MDPI31text"/>
      </w:pPr>
      <w:r w:rsidRPr="00166515">
        <w:t>Bone defects (9 mm diameter by 10 mm depth) were performed bilaterally in the medial femoral condyles of aged (&gt;5 years) Welsh Upland Ewes (60</w:t>
      </w:r>
      <w:r w:rsidR="00166515">
        <w:t>–</w:t>
      </w:r>
      <w:r w:rsidRPr="00166515">
        <w:t>75 kg) under Home Office license PPL30/2880. Three different treatments were applied: Autograft, InductOs</w:t>
      </w:r>
      <w:r w:rsidRPr="00166515">
        <w:rPr>
          <w:rFonts w:ascii="Calibri" w:hAnsi="Calibri" w:cs="Calibri"/>
        </w:rPr>
        <w:t>®</w:t>
      </w:r>
      <w:r w:rsidR="006E0CDD">
        <w:rPr>
          <w:rFonts w:ascii="Calibri" w:hAnsi="Calibri" w:cs="Calibri"/>
        </w:rPr>
        <w:t xml:space="preserve"> </w:t>
      </w:r>
      <w:r w:rsidR="006E0CDD" w:rsidRPr="006E0CDD">
        <w:rPr>
          <w:rFonts w:eastAsiaTheme="minorEastAsia" w:cs="Calibri"/>
          <w:lang w:eastAsia="zh-CN"/>
        </w:rPr>
        <w:t>(</w:t>
      </w:r>
      <w:r w:rsidR="006C0B9D" w:rsidRPr="00D277BE">
        <w:t>Medtronic BioPharma B.V., Harleen, Netherlands</w:t>
      </w:r>
      <w:r w:rsidR="006E0CDD" w:rsidRPr="006E0CDD">
        <w:rPr>
          <w:rFonts w:eastAsiaTheme="minorEastAsia" w:cs="Calibri"/>
          <w:lang w:eastAsia="zh-CN"/>
        </w:rPr>
        <w:t>)</w:t>
      </w:r>
      <w:r w:rsidRPr="00166515">
        <w:t xml:space="preserve"> </w:t>
      </w:r>
      <w:r w:rsidRPr="00166515">
        <w:fldChar w:fldCharType="begin" w:fldLock="1"/>
      </w:r>
      <w:r w:rsidR="00870BBB" w:rsidRPr="00166515">
        <w:instrText>ADDIN CSL_CITATION {"citationItems":[{"id":"ITEM-1","itemData":{"DOI":"10.4067/S0716-97602013000400013","ISSN":"07169760","PMID":"24510144","abstract":"Among the osteogenic growth factors used for bone tissue engineering, bone morphogenetic proteins (BMPs) are the most extensively studied for use in orthopaedic surgery. BMP-2 and BMP-7 have been widely investigated for developing therapeutic strategies and are the only two approved for use in several clinical applications. Due to the chemical and biological characteristics of these molecules, their authorised uses are always in combination with a carrier based on collagen type I. Although the use of these growth factors is considered safe in the short term, the very high doses needed to obtain significant osteoinduction make these treatments expensive and their long-term safety uncertain, since they are highly pleiotropic and have the capacity to induce ectopic ossification in the surrounding tissues. Therefore it is necessary to improve the currently used BMP-collagen system in terms of efficiency, biosecurity and costs. There are several strategies to increase the clinical effectiveness of these treatments. In this review we summarize the most promising results and our related work focused on this field through two different approaches: i) the development of recombinant BMPs with additional features, and ii) complementing these systems with other growth factors or molecules to enhance or accelerate osteogenesis.","author":[{"dropping-particle":"","family":"Arrabal","given":"Pilar M.","non-dropping-particle":"","parse-names":false,"suffix":""},{"dropping-particle":"","family":"Visser","given":"Rick","non-dropping-particle":"","parse-names":false,"suffix":""},{"dropping-particle":"","family":"Santos-Ruiz","given":"Leonor","non-dropping-particle":"","parse-names":false,"suffix":""},{"dropping-particle":"","family":"Becerra","given":"Jos??","non-dropping-particle":"","parse-names":false,"suffix":""},{"dropping-particle":"","family":"Cifuentes","given":"Manuel","non-dropping-particle":"","parse-names":false,"suffix":""}],"container-title":"Biological Research","id":"ITEM-1","issue":"4","issued":{"date-parts":[["2013"]]},"page":"421-429","title":"Osteogenic molecules for clinical applications: Improving the BMP-collagen system","type":"article-journal","volume":"46"},"uris":["http://www.mendeley.com/documents/?uuid=3d16280e-d8f5-4f84-b4d9-3be652a49b28"]}],"mendeley":{"formattedCitation":"[41]","plainTextFormattedCitation":"[41]","previouslyFormattedCitation":"[41]"},"properties":{"noteIndex":0},"schema":"https://github.com/citation-style-language/schema/raw/master/csl-citation.json"}</w:instrText>
      </w:r>
      <w:r w:rsidRPr="00166515">
        <w:fldChar w:fldCharType="separate"/>
      </w:r>
      <w:r w:rsidR="00EA2F45" w:rsidRPr="00166515">
        <w:rPr>
          <w:noProof/>
        </w:rPr>
        <w:t>[41]</w:t>
      </w:r>
      <w:r w:rsidRPr="00166515">
        <w:fldChar w:fldCharType="end"/>
      </w:r>
      <w:r w:rsidR="003B1171">
        <w:t>,</w:t>
      </w:r>
      <w:r w:rsidRPr="00166515">
        <w:t xml:space="preserve"> and Laponite </w:t>
      </w:r>
      <w:r w:rsidRPr="00166515">
        <w:fldChar w:fldCharType="begin" w:fldLock="1"/>
      </w:r>
      <w:r w:rsidR="00870BBB" w:rsidRPr="00166515">
        <w:instrText>ADDIN CSL_CITATION {"citationItems":[{"id":"ITEM-1","itemData":{"DOI":"10.1016/j.biomaterials.2016.05.010","ISBN":"0142-9612","ISSN":"18785905","PMID":"27209259","abstract":"Bone Morphogenic Protein 2 (BMP2) can induce ectopic bone. This ability, which first motivated the widespread application of BMP2 in fracture healing and spinal arthrodesis has, more recently, been indicated as one of several serious adverse effects associated with the supra-physiological doses of BMP2 relied upon for clinical efficacy. Key to harnessing BMPs and other agents safely and effectively will be the ability to localize activity at a target site at substantially reduced doses. Clay (Laponite) nanoparticles can self assemble into gels under physiological conditions and bind growth factors for enhanced and localized efficacy. Here we show the ability to localize and enhance the activity of BMP2 to achieve ectopic bone formation at doses within the sub-microgram per ml range of concentrations sufficient to induce differentiation of responsive cell populations in vitro and at approximately 3000 fold lower than those employed in clinical practice.","author":[{"dropping-particle":"","family":"Gibbs","given":"D. M.R.","non-dropping-particle":"","parse-names":false,"suffix":""},{"dropping-particle":"","family":"Black","given":"C. R.M.","non-dropping-particle":"","parse-names":false,"suffix":""},{"dropping-particle":"","family":"Hulsart-Billstrom","given":"G.","non-dropping-particle":"","parse-names":false,"suffix":""},{"dropping-particle":"","family":"Shi","given":"P.","non-dropping-particle":"","parse-names":false,"suffix":""},{"dropping-particle":"","family":"Scarpa","given":"E.","non-dropping-particle":"","parse-names":false,"suffix":""},{"dropping-particle":"","family":"Oreffo","given":"R. O.C.","non-dropping-particle":"","parse-names":false,"suffix":""},{"dropping-particle":"","family":"Dawson","given":"J. I.","non-dropping-particle":"","parse-names":false,"suffix":""}],"container-title":"Biomaterials","id":"ITEM-1","issued":{"date-parts":[["2016"]]},"page":"16-23","publisher":"Elsevier Ltd","title":"Bone induction at physiological doses of BMP through localization by clay nanoparticle gels","type":"article-journal","volume":"99"},"uris":["http://www.mendeley.com/documents/?uuid=df82b71e-4a6c-4b63-9b1e-8420bfec2d26"]},{"id":"ITEM-2","itemData":{"DOI":"10.1016/j.biomaterials.2017.12.024","ISSN":"18785905","PMID":"29331807","abstract":"Clay nanoparticles, composites and hydrogels are emerging as a new class of biomaterial with exciting potential for tissue engineering and regenerative medicine applications. Clay particles have been extensively explored in polymeric nanocomposites for self-assembly and enhanced mechanical properties as well as for their potential as drug delivery modifiers. In recent years, a cluster of studies have explored cellular interactions with clay nanoparticles alone or in combination with polymeric matrices. These pioneering studies have suggested new and unforeseen utility for certain clays as bioactive additives able to enhance cellular functions including adhesion, proliferation and differentiation, most notably for osteogenesis. This review examines the recent literature describing the potential effects of clay-based nanomaterials on cell function and examines the potential role of key clay physicochemical properties in influencing such interactions and their exciting possibilities for regenerative medicine.","author":[{"dropping-particle":"","family":"Mousa","given":"Mohamed","non-dropping-particle":"","parse-names":false,"suffix":""},{"dropping-particle":"","family":"Evans","given":"Nicholas D.","non-dropping-particle":"","parse-names":false,"suffix":""},{"dropping-particle":"","family":"Oreffo","given":"Richard O.C.","non-dropping-particle":"","parse-names":false,"suffix":""},{"dropping-particle":"","family":"Dawson","given":"Jonathan I.","non-dropping-particle":"","parse-names":false,"suffix":""}],"container-title":"Biomaterials","id":"ITEM-2","issued":{"date-parts":[["2018"]]},"page":"204-214","publisher":"Elsevier Ltd","title":"Clay nanoparticles for regenerative medicine and biomaterial design: A review of clay bioactivity","type":"article-journal","volume":"159"},"uris":["http://www.mendeley.com/documents/?uuid=4fd830f2-1e8b-489d-936d-4399f74e184a"]}],"mendeley":{"formattedCitation":"[20,42]","plainTextFormattedCitation":"[20,42]","previouslyFormattedCitation":"[20,42]"},"properties":{"noteIndex":0},"schema":"https://github.com/citation-style-language/schema/raw/master/csl-citation.json"}</w:instrText>
      </w:r>
      <w:r w:rsidRPr="00166515">
        <w:fldChar w:fldCharType="separate"/>
      </w:r>
      <w:r w:rsidR="00EA2F45" w:rsidRPr="00166515">
        <w:rPr>
          <w:noProof/>
        </w:rPr>
        <w:t>[20,42]</w:t>
      </w:r>
      <w:r w:rsidRPr="00166515">
        <w:fldChar w:fldCharType="end"/>
      </w:r>
      <w:r w:rsidRPr="00166515">
        <w:t xml:space="preserve">. </w:t>
      </w:r>
      <w:r w:rsidR="00EA6D52" w:rsidRPr="00166515">
        <w:t>Autograft was prepared intraoperatively from medial femoral condyles. After defect creation, two bone cores (9</w:t>
      </w:r>
      <w:r w:rsidR="00166515">
        <w:t xml:space="preserve"> </w:t>
      </w:r>
      <w:r w:rsidR="00EA6D52" w:rsidRPr="00166515">
        <w:t xml:space="preserve">mm </w:t>
      </w:r>
      <w:r w:rsidR="00166515">
        <w:t>×</w:t>
      </w:r>
      <w:r w:rsidR="00EA6D52" w:rsidRPr="00166515">
        <w:t xml:space="preserve"> 12</w:t>
      </w:r>
      <w:r w:rsidR="00166515">
        <w:t xml:space="preserve"> </w:t>
      </w:r>
      <w:r w:rsidR="00EA6D52" w:rsidRPr="00166515">
        <w:t xml:space="preserve">mm), were </w:t>
      </w:r>
      <w:r w:rsidR="00D22C32" w:rsidRPr="00166515">
        <w:t>morselized</w:t>
      </w:r>
      <w:r w:rsidR="00EA6D52" w:rsidRPr="00166515">
        <w:t xml:space="preserve"> </w:t>
      </w:r>
      <w:r w:rsidR="00EA2F45" w:rsidRPr="00166515">
        <w:t>and the g</w:t>
      </w:r>
      <w:r w:rsidR="00EA6D52" w:rsidRPr="00166515">
        <w:t xml:space="preserve">raft material was then applied to the defect. </w:t>
      </w:r>
      <w:r w:rsidRPr="00166515">
        <w:t>InductOs and Laponite consist of a collagen sponge incorporating BMP-2 in a formulation buffer or in a Laponite clay gel, respectively. Briefly, collagen constructs were assembled</w:t>
      </w:r>
      <w:r w:rsidR="003B1171">
        <w:t>,</w:t>
      </w:r>
      <w:r w:rsidRPr="00166515">
        <w:t xml:space="preserve"> adding 22 µL of Medtronic BMP-2 (1.5 mg/mL) to a collagen disc</w:t>
      </w:r>
      <w:r w:rsidR="003B1171">
        <w:t>,</w:t>
      </w:r>
      <w:r w:rsidRPr="00166515">
        <w:t xml:space="preserve"> followed by either 47.1 µL formulation buffer for the InductOs specimens or 47.1 µL of 2.5% Laponite. Two layers of sponge were placed </w:t>
      </w:r>
      <w:r w:rsidR="003B1171">
        <w:t>i</w:t>
      </w:r>
      <w:r w:rsidRPr="00166515">
        <w:t xml:space="preserve">n a </w:t>
      </w:r>
      <w:r w:rsidR="00662233" w:rsidRPr="00166515">
        <w:t>mold</w:t>
      </w:r>
      <w:r w:rsidRPr="00166515">
        <w:t xml:space="preserve"> and a final third BMP-2 loaded collagen sponge was added at the top without InductOs buffer or Laponite. A total of 66 µL of BMP-2 (100</w:t>
      </w:r>
      <w:r w:rsidR="00166515">
        <w:t xml:space="preserve"> µg) was applied per construct.</w:t>
      </w:r>
    </w:p>
    <w:p w14:paraId="19B88FB4" w14:textId="02F51218" w:rsidR="00591E34" w:rsidRPr="00166515" w:rsidRDefault="003B1171" w:rsidP="00166515">
      <w:pPr>
        <w:pStyle w:val="MDPI31text"/>
      </w:pPr>
      <w:r>
        <w:lastRenderedPageBreak/>
        <w:t>C</w:t>
      </w:r>
      <w:r w:rsidRPr="00166515">
        <w:t xml:space="preserve">ondyles were harvested </w:t>
      </w:r>
      <w:r w:rsidR="00591E34" w:rsidRPr="00166515">
        <w:t>10 weeks post implantation and fixed in 4% paraformaldehyde solution in a phosphate buffered solution (PBS) for one week at 4</w:t>
      </w:r>
      <w:r w:rsidR="00166515">
        <w:t xml:space="preserve"> </w:t>
      </w:r>
      <w:r w:rsidR="00591E34" w:rsidRPr="00166515">
        <w:t>°C. Cylindrical bone specimens (</w:t>
      </w:r>
      <w:r w:rsidR="00591E34" w:rsidRPr="009D5A75">
        <w:rPr>
          <w:i/>
          <w:iCs/>
        </w:rPr>
        <w:t>n</w:t>
      </w:r>
      <w:r w:rsidR="00591E34" w:rsidRPr="00166515">
        <w:t xml:space="preserve"> = 6, ~5 mm in diameter and ~11 mm in length) were obtained from the bone defect areas by drilling with a trephine blur drill under constant water irrigation. The ends of the cores were trimmed plane and parallel. S</w:t>
      </w:r>
      <w:r w:rsidR="00A1382B" w:rsidRPr="00166515">
        <w:t>pecimens</w:t>
      </w:r>
      <w:r w:rsidR="00591E34" w:rsidRPr="00166515">
        <w:t xml:space="preserve"> were kept in PBS at 4</w:t>
      </w:r>
      <w:r w:rsidR="00166515">
        <w:t xml:space="preserve"> </w:t>
      </w:r>
      <w:r w:rsidR="00591E34" w:rsidRPr="00166515">
        <w:t>°C prior to</w:t>
      </w:r>
      <w:r w:rsidR="00591E34" w:rsidRPr="009D5A75">
        <w:rPr>
          <w:iCs/>
        </w:rPr>
        <w:t xml:space="preserve"> in situ</w:t>
      </w:r>
      <w:r w:rsidR="00591E34" w:rsidRPr="00166515">
        <w:t xml:space="preserve"> microCT mechanical testing. Pre-testing, brass endcaps were used to emb</w:t>
      </w:r>
      <w:r w:rsidR="00166515">
        <w:t>ed the ends of the specimens (~</w:t>
      </w:r>
      <w:r w:rsidR="00591E34" w:rsidRPr="00166515">
        <w:t>2 mm each side) to ensure perpendicularity between the bone cores and the endcaps base. In total, six</w:t>
      </w:r>
      <w:r w:rsidR="00166515">
        <w:t xml:space="preserve"> specimens were prepared </w:t>
      </w:r>
      <w:r w:rsidR="00166515" w:rsidRPr="00CA7645">
        <w:t>(</w:t>
      </w:r>
      <w:r w:rsidR="00166515" w:rsidRPr="00CA7645">
        <w:rPr>
          <w:i/>
          <w:iCs/>
        </w:rPr>
        <w:t>n</w:t>
      </w:r>
      <w:r w:rsidR="00166515" w:rsidRPr="00CA7645">
        <w:t xml:space="preserve"> = 2</w:t>
      </w:r>
      <w:r w:rsidR="00591E34" w:rsidRPr="00CA7645">
        <w:t>/treatment).</w:t>
      </w:r>
    </w:p>
    <w:p w14:paraId="586DA02A" w14:textId="6A74262B" w:rsidR="00591E34" w:rsidRPr="00166515" w:rsidRDefault="00166515" w:rsidP="00166515">
      <w:pPr>
        <w:pStyle w:val="MDPI22heading2"/>
      </w:pPr>
      <w:r w:rsidRPr="00166515">
        <w:t xml:space="preserve">2.2. </w:t>
      </w:r>
      <w:r w:rsidR="00591E34" w:rsidRPr="00166515">
        <w:t xml:space="preserve">In </w:t>
      </w:r>
      <w:r w:rsidRPr="00166515">
        <w:t>Situ Mechanics</w:t>
      </w:r>
      <w:r w:rsidR="00591E34" w:rsidRPr="00166515">
        <w:t xml:space="preserve"> and </w:t>
      </w:r>
      <w:r w:rsidRPr="00166515">
        <w:t>Micro</w:t>
      </w:r>
      <w:r w:rsidR="00591E34" w:rsidRPr="00166515">
        <w:t xml:space="preserve">CT </w:t>
      </w:r>
      <w:r w:rsidRPr="00166515">
        <w:t>Imaging</w:t>
      </w:r>
    </w:p>
    <w:p w14:paraId="00A658CF" w14:textId="075A12A5" w:rsidR="00591E34" w:rsidRPr="00166515" w:rsidRDefault="00591E34" w:rsidP="006C0B9D">
      <w:pPr>
        <w:pStyle w:val="MDPI31text"/>
      </w:pPr>
      <w:r w:rsidRPr="00166515">
        <w:t xml:space="preserve">Specimens were placed within an environmental chamber in a loading device (CT500, Deben Ltd, </w:t>
      </w:r>
      <w:r w:rsidR="006C0B9D" w:rsidRPr="00BB0771">
        <w:t>Suffolk</w:t>
      </w:r>
      <w:r w:rsidR="00CA7645">
        <w:t xml:space="preserve">, </w:t>
      </w:r>
      <w:r w:rsidRPr="00166515">
        <w:t>UK) that was positioned in the chamber of a high-resolution 3D X-ray microscope (Versa 510, Zeiss,</w:t>
      </w:r>
      <w:r w:rsidR="00CA7645">
        <w:t xml:space="preserve"> </w:t>
      </w:r>
      <w:r w:rsidR="006C0B9D">
        <w:rPr>
          <w:lang w:val="en-GB"/>
        </w:rPr>
        <w:t>Pl</w:t>
      </w:r>
      <w:r w:rsidR="006C0B9D" w:rsidRPr="006C0B9D">
        <w:rPr>
          <w:lang w:val="en-GB"/>
        </w:rPr>
        <w:t>easanton, CA</w:t>
      </w:r>
      <w:r w:rsidR="006C0B9D">
        <w:rPr>
          <w:lang w:val="en-GB"/>
        </w:rPr>
        <w:t xml:space="preserve">, </w:t>
      </w:r>
      <w:r w:rsidRPr="006C0B9D">
        <w:rPr>
          <w:lang w:val="en-GB"/>
        </w:rPr>
        <w:t>USA) (Fig</w:t>
      </w:r>
      <w:r w:rsidR="003B1171" w:rsidRPr="006C0B9D">
        <w:rPr>
          <w:lang w:val="en-GB"/>
        </w:rPr>
        <w:t>ure</w:t>
      </w:r>
      <w:r w:rsidRPr="006C0B9D">
        <w:rPr>
          <w:lang w:val="en-GB"/>
        </w:rPr>
        <w:t xml:space="preserve"> 1a). </w:t>
      </w:r>
      <w:r w:rsidRPr="00CA7645">
        <w:rPr>
          <w:iCs/>
        </w:rPr>
        <w:t>Uniaxial step-wise compression was carried out in displacement control at a constant cross-head speed of 0.2 mm/min</w:t>
      </w:r>
      <w:r w:rsidRPr="00166515">
        <w:rPr>
          <w:i/>
        </w:rPr>
        <w:t xml:space="preserve">. </w:t>
      </w:r>
      <w:r w:rsidRPr="00166515">
        <w:t>First, a small preload (~2</w:t>
      </w:r>
      <w:r w:rsidR="00166515">
        <w:t xml:space="preserve"> </w:t>
      </w:r>
      <w:r w:rsidRPr="00166515">
        <w:t>N) was applied to ensure good end contact prior to testing, followed by step-wise compression at three different levels of apparent compression (1%, 2%</w:t>
      </w:r>
      <w:r w:rsidR="003B1171">
        <w:t>,</w:t>
      </w:r>
      <w:r w:rsidRPr="00166515">
        <w:t xml:space="preserve"> and 3%). The force-displacement recordings from the loading device were used to calculate the stiffness of the specimens. A linear regression equation (coefficient of determination R</w:t>
      </w:r>
      <w:r w:rsidRPr="00166515">
        <w:rPr>
          <w:vertAlign w:val="superscript"/>
        </w:rPr>
        <w:t>2</w:t>
      </w:r>
      <w:r w:rsidRPr="00166515">
        <w:t xml:space="preserve"> &gt; 0.997) was used to fit the experimental data between </w:t>
      </w:r>
      <w:r w:rsidRPr="006C0B9D">
        <w:t>0.8% and 2%</w:t>
      </w:r>
      <w:r w:rsidRPr="00166515">
        <w:t xml:space="preserve"> compression and the stiffness was determined from the slope of that line. MicroCT images were acquired (60 keV, 5 W, 5 µm voxel size, 10 s exposure time, 1800 projections) at each compression step after two repeated scans in the preload configuration for DVC error analysis (Appendix A). Image reconstruction was performed via the manufacturer’s software (TXM Reconstructor, Zeiss, </w:t>
      </w:r>
      <w:r w:rsidR="006C0B9D">
        <w:rPr>
          <w:lang w:val="en-GB"/>
        </w:rPr>
        <w:t>Pl</w:t>
      </w:r>
      <w:r w:rsidR="006C0B9D" w:rsidRPr="006C0B9D">
        <w:rPr>
          <w:lang w:val="en-GB"/>
        </w:rPr>
        <w:t>easanton, CA</w:t>
      </w:r>
      <w:r w:rsidR="006C0B9D">
        <w:rPr>
          <w:lang w:val="en-GB"/>
        </w:rPr>
        <w:t xml:space="preserve">, </w:t>
      </w:r>
      <w:r w:rsidR="006C0B9D" w:rsidRPr="006C0B9D">
        <w:rPr>
          <w:lang w:val="en-GB"/>
        </w:rPr>
        <w:t>USA</w:t>
      </w:r>
      <w:r w:rsidRPr="00166515">
        <w:t>). In total</w:t>
      </w:r>
      <w:r w:rsidR="003B1171">
        <w:t>,</w:t>
      </w:r>
      <w:r w:rsidRPr="00166515">
        <w:t xml:space="preserve"> five tomographic datasets were acquired for each specimen.</w:t>
      </w:r>
    </w:p>
    <w:p w14:paraId="08A99FBF" w14:textId="15F7C124" w:rsidR="00591E34" w:rsidRPr="00166515" w:rsidRDefault="00817B9E" w:rsidP="00166515">
      <w:pPr>
        <w:pStyle w:val="MDPI52figure"/>
      </w:pPr>
      <w:r>
        <w:rPr>
          <w:noProof/>
          <w:snapToGrid/>
          <w:lang w:val="en-GB" w:eastAsia="en-GB" w:bidi="ar-SA"/>
        </w:rPr>
        <w:drawing>
          <wp:inline distT="0" distB="0" distL="0" distR="0" wp14:anchorId="5CB94DD4" wp14:editId="2BD973F1">
            <wp:extent cx="5486400" cy="37216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721608"/>
                    </a:xfrm>
                    <a:prstGeom prst="rect">
                      <a:avLst/>
                    </a:prstGeom>
                  </pic:spPr>
                </pic:pic>
              </a:graphicData>
            </a:graphic>
          </wp:inline>
        </w:drawing>
      </w:r>
    </w:p>
    <w:p w14:paraId="6E620BBF" w14:textId="2F7FA036" w:rsidR="00591E34" w:rsidRDefault="00166515" w:rsidP="00166515">
      <w:pPr>
        <w:pStyle w:val="MDPI51figurecaption"/>
      </w:pPr>
      <w:r w:rsidRPr="00166515">
        <w:rPr>
          <w:b/>
        </w:rPr>
        <w:t>Figure 1.</w:t>
      </w:r>
      <w:r w:rsidR="00591E34" w:rsidRPr="00166515">
        <w:rPr>
          <w:b/>
        </w:rPr>
        <w:t xml:space="preserve"> </w:t>
      </w:r>
      <w:r w:rsidR="00591E34" w:rsidRPr="00166515">
        <w:t>(</w:t>
      </w:r>
      <w:r w:rsidR="00591E34" w:rsidRPr="00166515">
        <w:rPr>
          <w:b/>
        </w:rPr>
        <w:t>a</w:t>
      </w:r>
      <w:r w:rsidR="00591E34" w:rsidRPr="00166515">
        <w:t xml:space="preserve">) Experimental setup for </w:t>
      </w:r>
      <w:r w:rsidR="00591E34" w:rsidRPr="009D5A75">
        <w:rPr>
          <w:iCs/>
        </w:rPr>
        <w:t>in situ</w:t>
      </w:r>
      <w:r w:rsidR="00591E34" w:rsidRPr="00166515">
        <w:t xml:space="preserve"> </w:t>
      </w:r>
      <w:r w:rsidR="003B1171" w:rsidRPr="00166515">
        <w:t xml:space="preserve">micro-computed tomography </w:t>
      </w:r>
      <w:r w:rsidR="003B1171">
        <w:t>(</w:t>
      </w:r>
      <w:r w:rsidR="00591E34" w:rsidRPr="00166515">
        <w:t>microCT</w:t>
      </w:r>
      <w:r w:rsidR="003B1171">
        <w:t>)</w:t>
      </w:r>
      <w:r w:rsidR="00591E34" w:rsidRPr="00166515">
        <w:t xml:space="preserve"> experiment in the Zeiss Versa 510. Specimens were imaged within an environmental chamber inside the loading stage</w:t>
      </w:r>
      <w:r w:rsidR="00CA7645">
        <w:t>;</w:t>
      </w:r>
      <w:r w:rsidR="00CA7645" w:rsidRPr="00166515">
        <w:t xml:space="preserve"> </w:t>
      </w:r>
      <w:r w:rsidR="00591E34" w:rsidRPr="00166515">
        <w:t>(</w:t>
      </w:r>
      <w:r w:rsidR="00591E34" w:rsidRPr="00166515">
        <w:rPr>
          <w:b/>
        </w:rPr>
        <w:t>b</w:t>
      </w:r>
      <w:r w:rsidR="00591E34" w:rsidRPr="00166515">
        <w:t>) 3D volume reconstruction of a cylindrical specimen</w:t>
      </w:r>
      <w:r w:rsidR="00EA2F45" w:rsidRPr="00166515">
        <w:t xml:space="preserve"> (InductOs#1)</w:t>
      </w:r>
      <w:r w:rsidR="00591E34" w:rsidRPr="00166515">
        <w:t xml:space="preserve"> and (</w:t>
      </w:r>
      <w:r w:rsidR="00591E34" w:rsidRPr="00166515">
        <w:rPr>
          <w:b/>
        </w:rPr>
        <w:t>c</w:t>
      </w:r>
      <w:r w:rsidR="00591E34" w:rsidRPr="00166515">
        <w:t xml:space="preserve">) a corresponding cubic (3.5 </w:t>
      </w:r>
      <w:r>
        <w:t>×</w:t>
      </w:r>
      <w:r w:rsidR="00591E34" w:rsidRPr="00166515">
        <w:t xml:space="preserve"> 3.5 </w:t>
      </w:r>
      <w:r>
        <w:t>×</w:t>
      </w:r>
      <w:r w:rsidR="00591E34" w:rsidRPr="00166515">
        <w:t xml:space="preserve"> 3.5 mm</w:t>
      </w:r>
      <w:r w:rsidR="00415AB5" w:rsidRPr="006C0B9D">
        <w:rPr>
          <w:vertAlign w:val="superscript"/>
        </w:rPr>
        <w:t>3</w:t>
      </w:r>
      <w:r w:rsidR="00591E34" w:rsidRPr="00166515">
        <w:t xml:space="preserve">) volume of interest (VOI) that was cropped at the </w:t>
      </w:r>
      <w:r w:rsidR="00662233" w:rsidRPr="00166515">
        <w:t>center</w:t>
      </w:r>
      <w:r w:rsidR="00591E34" w:rsidRPr="00166515">
        <w:t xml:space="preserve"> of each specimen.</w:t>
      </w:r>
    </w:p>
    <w:p w14:paraId="4E320864" w14:textId="77777777" w:rsidR="007633BE" w:rsidRPr="00166515" w:rsidRDefault="007633BE" w:rsidP="00166515">
      <w:pPr>
        <w:pStyle w:val="MDPI51figurecaption"/>
        <w:rPr>
          <w:i/>
        </w:rPr>
      </w:pPr>
    </w:p>
    <w:p w14:paraId="42698DEB" w14:textId="279F90B8" w:rsidR="00591E34" w:rsidRPr="00166515" w:rsidRDefault="00166515" w:rsidP="00166515">
      <w:pPr>
        <w:pStyle w:val="MDPI22heading2"/>
      </w:pPr>
      <w:r w:rsidRPr="00166515">
        <w:t xml:space="preserve">2.3. </w:t>
      </w:r>
      <w:r w:rsidR="00591E34" w:rsidRPr="00166515">
        <w:t xml:space="preserve">Mineral </w:t>
      </w:r>
      <w:r w:rsidRPr="00166515">
        <w:t>Density Distribution</w:t>
      </w:r>
    </w:p>
    <w:p w14:paraId="6676456A" w14:textId="6891480E" w:rsidR="00591E34" w:rsidRPr="00166515" w:rsidRDefault="00591E34" w:rsidP="006C0B9D">
      <w:pPr>
        <w:pStyle w:val="MDPI31text"/>
      </w:pPr>
      <w:r w:rsidRPr="00166515">
        <w:t xml:space="preserve">A densiometric calibration phantom (microCT-HA, QRM, </w:t>
      </w:r>
      <w:r w:rsidR="006C0B9D" w:rsidRPr="00BB0771">
        <w:t>Moehrend</w:t>
      </w:r>
      <w:r w:rsidR="006C0B9D" w:rsidRPr="006C0B9D">
        <w:t>orf</w:t>
      </w:r>
      <w:r w:rsidR="00CA7645" w:rsidRPr="006C0B9D">
        <w:t>,</w:t>
      </w:r>
      <w:r w:rsidR="00CA7645">
        <w:t xml:space="preserve"> </w:t>
      </w:r>
      <w:r w:rsidRPr="00166515">
        <w:t>Germany) containing five insertions with hydroxyapatite (HA) concentratio</w:t>
      </w:r>
      <w:r w:rsidR="00166515">
        <w:t>ns (1200</w:t>
      </w:r>
      <w:r w:rsidR="003B1171">
        <w:t xml:space="preserve"> </w:t>
      </w:r>
      <w:r w:rsidR="003B1171" w:rsidRPr="00CA7645">
        <w:t>mgHA/cm</w:t>
      </w:r>
      <w:r w:rsidR="003B1171" w:rsidRPr="00CA7645">
        <w:rPr>
          <w:vertAlign w:val="superscript"/>
        </w:rPr>
        <w:t>3</w:t>
      </w:r>
      <w:r w:rsidR="00166515">
        <w:t xml:space="preserve">, </w:t>
      </w:r>
      <w:r w:rsidR="00166515" w:rsidRPr="00CA7645">
        <w:t>800</w:t>
      </w:r>
      <w:r w:rsidR="003B1171" w:rsidRPr="00CA7645">
        <w:t xml:space="preserve"> mgHA/cm</w:t>
      </w:r>
      <w:r w:rsidR="003B1171" w:rsidRPr="00CA7645">
        <w:rPr>
          <w:vertAlign w:val="superscript"/>
        </w:rPr>
        <w:t>3</w:t>
      </w:r>
      <w:r w:rsidR="00166515">
        <w:t>, 200</w:t>
      </w:r>
      <w:r w:rsidR="003B1171">
        <w:t xml:space="preserve"> </w:t>
      </w:r>
      <w:r w:rsidR="003B1171" w:rsidRPr="00CA7645">
        <w:t>mgHA/cm</w:t>
      </w:r>
      <w:r w:rsidR="003B1171" w:rsidRPr="00CA7645">
        <w:rPr>
          <w:vertAlign w:val="superscript"/>
        </w:rPr>
        <w:t>3</w:t>
      </w:r>
      <w:r w:rsidR="00166515">
        <w:t>, 50</w:t>
      </w:r>
      <w:r w:rsidR="003B1171">
        <w:t xml:space="preserve"> </w:t>
      </w:r>
      <w:r w:rsidR="003B1171" w:rsidRPr="00CA7645">
        <w:t>mgHA/cm</w:t>
      </w:r>
      <w:r w:rsidR="003B1171" w:rsidRPr="00CA7645">
        <w:rPr>
          <w:vertAlign w:val="superscript"/>
        </w:rPr>
        <w:t>3</w:t>
      </w:r>
      <w:r w:rsidR="00166515">
        <w:t xml:space="preserve">, 0 </w:t>
      </w:r>
      <w:r w:rsidR="00166515" w:rsidRPr="00CA7645">
        <w:t>mgHA/</w:t>
      </w:r>
      <w:r w:rsidRPr="00CA7645">
        <w:t>cm</w:t>
      </w:r>
      <w:r w:rsidRPr="00CA7645">
        <w:rPr>
          <w:vertAlign w:val="superscript"/>
        </w:rPr>
        <w:t>3</w:t>
      </w:r>
      <w:r w:rsidRPr="00166515">
        <w:t>) was imaged under identical experimental conditions and used to calibrate the microCT grey-scale values of the first acquired tomogram for each specimen into</w:t>
      </w:r>
      <w:r w:rsidR="00166515">
        <w:t xml:space="preserve"> tissue mineral density (TMD). </w:t>
      </w:r>
      <w:r w:rsidRPr="00166515">
        <w:t>A cubic volume of interest (VOI) with side lengths of 700 voxels (3.5 mm</w:t>
      </w:r>
      <w:r w:rsidRPr="00166515">
        <w:rPr>
          <w:vertAlign w:val="superscript"/>
        </w:rPr>
        <w:t>3</w:t>
      </w:r>
      <w:r w:rsidRPr="00166515">
        <w:t xml:space="preserve">) was cropped from the </w:t>
      </w:r>
      <w:r w:rsidR="00662233" w:rsidRPr="00166515">
        <w:t>center</w:t>
      </w:r>
      <w:r w:rsidRPr="00166515">
        <w:t xml:space="preserve"> of the scaled images (Fig</w:t>
      </w:r>
      <w:r w:rsidR="00166515">
        <w:t>ure 1b,</w:t>
      </w:r>
      <w:r w:rsidRPr="00166515">
        <w:t>c) and the average and peak TMD (Avg-TMD and Peak-TMD) were calculated from the calibrat</w:t>
      </w:r>
      <w:r w:rsidR="00166515">
        <w:t>ed histograms of each specimen.</w:t>
      </w:r>
    </w:p>
    <w:p w14:paraId="6251D390" w14:textId="5E8B46FC" w:rsidR="00591E34" w:rsidRPr="00166515" w:rsidRDefault="00166515" w:rsidP="00166515">
      <w:pPr>
        <w:pStyle w:val="MDPI22heading2"/>
      </w:pPr>
      <w:r w:rsidRPr="00166515">
        <w:t xml:space="preserve">2.4. </w:t>
      </w:r>
      <w:r w:rsidR="00591E34" w:rsidRPr="00166515">
        <w:t xml:space="preserve">Image </w:t>
      </w:r>
      <w:r w:rsidRPr="00166515">
        <w:t>Post-Processing</w:t>
      </w:r>
    </w:p>
    <w:p w14:paraId="782E3644" w14:textId="1D4F7BF0" w:rsidR="00591E34" w:rsidRPr="00166515" w:rsidRDefault="00591E34" w:rsidP="00166515">
      <w:pPr>
        <w:pStyle w:val="MDPI31text"/>
      </w:pPr>
      <w:r w:rsidRPr="00166515">
        <w:t>Following image reconstruction, the microCT datasets were rigidly aligned using the first acquired tomogram</w:t>
      </w:r>
      <w:r w:rsidR="00B545FF" w:rsidRPr="00B545FF">
        <w:t xml:space="preserve"> </w:t>
      </w:r>
      <w:r w:rsidR="00B545FF" w:rsidRPr="00166515">
        <w:t>as reference</w:t>
      </w:r>
      <w:r w:rsidRPr="00166515">
        <w:t>. The rigid registration was based on the sum of squares differences as a similarity measurement. The images were then denoised by applying a non-local means filter (σ = 10) (Fig</w:t>
      </w:r>
      <w:r w:rsidR="00166515">
        <w:t>ure</w:t>
      </w:r>
      <w:r w:rsidRPr="00166515">
        <w:t xml:space="preserve"> 1c) and masked by setting the grey-scale values corresponding to the non-</w:t>
      </w:r>
      <w:r w:rsidR="00662233" w:rsidRPr="00166515">
        <w:t>mineralized</w:t>
      </w:r>
      <w:r w:rsidRPr="00166515">
        <w:t xml:space="preserve"> tissue voxels</w:t>
      </w:r>
      <w:r w:rsidR="00B545FF" w:rsidRPr="00B545FF">
        <w:t xml:space="preserve"> </w:t>
      </w:r>
      <w:r w:rsidR="00B545FF" w:rsidRPr="00166515">
        <w:t>to zero</w:t>
      </w:r>
      <w:r w:rsidRPr="00166515">
        <w:t xml:space="preserve"> (i.e.</w:t>
      </w:r>
      <w:r w:rsidR="00166515">
        <w:t>,</w:t>
      </w:r>
      <w:r w:rsidRPr="00166515">
        <w:t xml:space="preserve"> bone marrow). A binary image was first created by applying a global thresholding based on Otsu’s algorithm </w:t>
      </w:r>
      <w:r w:rsidRPr="00166515">
        <w:fldChar w:fldCharType="begin" w:fldLock="1"/>
      </w:r>
      <w:r w:rsidR="00870BBB" w:rsidRPr="00166515">
        <w:instrText>ADDIN CSL_CITATION {"citationItems":[{"id":"ITEM-1","itemData":{"DOI":"10.1109/TSMC.1979.4310076","ISBN":"0018-9472","ISSN":"0018-9472","PMID":"4310076","abstract":"A nonparametric and unsupervised method ofautoma- tic threshold selection for picture segmentation is presented. An optimal threshold is selected by the discriminant criterion, namely, so as to maximize the separability of the resultant classes in gray levels. The procedure is very simple, utilizing only the zeroth- and the first-order cumulative moments of the gray-level histogram. It is straightforward to extend the method to multithreshold problems. Several experimental results are also presented to support the validity of the method.","author":[{"dropping-particle":"","family":"Otsu","given":"Nobuyuki","non-dropping-particle":"","parse-names":false,"suffix":""}],"container-title":"IEEE Transactions on Systems, Man, and Cybernetics","id":"ITEM-1","issue":"1","issued":{"date-parts":[["1979"]]},"page":"62-66","title":"A threshold selection method from gray-level histograms","type":"article-journal","volume":"9"},"uris":["http://www.mendeley.com/documents/?uuid=1b1bd9be-04ed-48ca-8fcf-783a4c4a80e6"]}],"mendeley":{"formattedCitation":"[43]","plainTextFormattedCitation":"[43]","previouslyFormattedCitation":"[43]"},"properties":{"noteIndex":0},"schema":"https://github.com/citation-style-language/schema/raw/master/csl-citation.json"}</w:instrText>
      </w:r>
      <w:r w:rsidRPr="00166515">
        <w:fldChar w:fldCharType="separate"/>
      </w:r>
      <w:r w:rsidR="00EA2F45" w:rsidRPr="00166515">
        <w:rPr>
          <w:noProof/>
        </w:rPr>
        <w:t>[43]</w:t>
      </w:r>
      <w:r w:rsidRPr="00166515">
        <w:fldChar w:fldCharType="end"/>
      </w:r>
      <w:r w:rsidR="00166515">
        <w:t>, followed by a “purify”</w:t>
      </w:r>
      <w:r w:rsidRPr="00166515">
        <w:t xml:space="preserve"> analysis in BoneJ </w:t>
      </w:r>
      <w:r w:rsidRPr="00166515">
        <w:fldChar w:fldCharType="begin" w:fldLock="1"/>
      </w:r>
      <w:r w:rsidR="00870BBB" w:rsidRPr="00166515">
        <w:instrText>ADDIN CSL_CITATION {"citationItems":[{"id":"ITEM-1","itemData":{"DOI":"10.1016/j.bone.2010.08.023","ISBN":"1873-2763 (Electronic)\\r1873-2763 (Linking)","ISSN":"87563282","PMID":"20817052","abstract":"Bone geometry is commonly measured on computed tomographic (CT) and X-ray microtomographic (μCT) images. We obtained hundreds of CT, μCT and synchrotron μCT images of bones from diverse species that needed to be analysed remote from scanning hardware, but found that available software solutions were expensive, inflexible or methodologically opaque. We implemented standard bone measurements in a novel ImageJ plugin, BoneJ, with which we analysed trabecular bone, whole bones and osteocyte lacunae. BoneJ is open source and free for anyone to download, use, modify and distribute. © 2010 Elsevier Inc.","author":[{"dropping-particle":"","family":"Doube","given":"Michael","non-dropping-particle":"","parse-names":false,"suffix":""},{"dropping-particle":"","family":"Klosowski","given":"Michal M.","non-dropping-particle":"","parse-names":false,"suffix":""},{"dropping-particle":"","family":"Arganda-Carreras","given":"Ignacio","non-dropping-particle":"","parse-names":false,"suffix":""},{"dropping-particle":"","family":"Cordelières","given":"Fabrice P.","non-dropping-particle":"","parse-names":false,"suffix":""},{"dropping-particle":"","family":"Dougherty","given":"Robert P.","non-dropping-particle":"","parse-names":false,"suffix":""},{"dropping-particle":"","family":"Jackson","given":"Jonathan S.","non-dropping-particle":"","parse-names":false,"suffix":""},{"dropping-particle":"","family":"Schmid","given":"Benjamin","non-dropping-particle":"","parse-names":false,"suffix":""},{"dropping-particle":"","family":"Hutchinson","given":"John R.","non-dropping-particle":"","parse-names":false,"suffix":""},{"dropping-particle":"","family":"Shefelbine","given":"Sandra J.","non-dropping-particle":"","parse-names":false,"suffix":""}],"container-title":"Bone","id":"ITEM-1","issue":"6","issued":{"date-parts":[["2010"]]},"page":"1076-1079","title":"BoneJ: Free and extensible bone image analysis in ImageJ","type":"article-journal","volume":"47"},"uris":["http://www.mendeley.com/documents/?uuid=8b77ecf6-c48b-40f0-8f08-8584cab3f039"]}],"mendeley":{"formattedCitation":"[44]","plainTextFormattedCitation":"[44]","previouslyFormattedCitation":"[44]"},"properties":{"noteIndex":0},"schema":"https://github.com/citation-style-language/schema/raw/master/csl-citation.json"}</w:instrText>
      </w:r>
      <w:r w:rsidRPr="00166515">
        <w:fldChar w:fldCharType="separate"/>
      </w:r>
      <w:r w:rsidR="00EA2F45" w:rsidRPr="00166515">
        <w:rPr>
          <w:noProof/>
        </w:rPr>
        <w:t>[44]</w:t>
      </w:r>
      <w:r w:rsidRPr="00166515">
        <w:fldChar w:fldCharType="end"/>
      </w:r>
      <w:r w:rsidRPr="00166515">
        <w:t xml:space="preserve"> plugin for Fiji </w:t>
      </w:r>
      <w:r w:rsidRPr="00166515">
        <w:fldChar w:fldCharType="begin" w:fldLock="1"/>
      </w:r>
      <w:r w:rsidR="00870BBB" w:rsidRPr="00166515">
        <w:instrText>ADDIN CSL_CITATION {"citationItems":[{"id":"ITEM-1","itemData":{"DOI":"10.1038/nmeth.2019","ISBN":"1548-7105 (Electronic)\r1548-7091 (Linking)","ISSN":"1548-7091","PMID":"22743772","author":[{"dropping-particle":"","family":"Schindelin","given":"Johannes","non-dropping-particle":"","parse-names":false,"suffix":""},{"dropping-particle":"","family":"Arganda-Carreras","given":"Ignacio","non-dropping-particle":"","parse-names":false,"suffix":""},{"dropping-particle":"","family":"Frise","given":"Erwin","non-dropping-particle":"","parse-names":false,"suffix":""},{"dropping-particle":"","family":"Kaynig","given":"Verena","non-dropping-particle":"","parse-names":false,"suffix":""},{"dropping-particle":"","family":"Longair","given":"Mark","non-dropping-particle":"","parse-names":false,"suffix":""},{"dropping-particle":"","family":"Pietzsch","given":"Tobias","non-dropping-particle":"","parse-names":false,"suffix":""},{"dropping-particle":"","family":"Preibisch","given":"Stephan","non-dropping-particle":"","parse-names":false,"suffix":""},{"dropping-particle":"","family":"Rueden","given":"Curtis","non-dropping-particle":"","parse-names":false,"suffix":""},{"dropping-particle":"","family":"Saalfeld","given":"Stephan","non-dropping-particle":"","parse-names":false,"suffix":""},{"dropping-particle":"","family":"Schmid","given":"Benjamin","non-dropping-particle":"","parse-names":false,"suffix":""},{"dropping-particle":"","family":"Tinevez","given":"Jean-Yves","non-dropping-particle":"","parse-names":false,"suffix":""},{"dropping-particle":"","family":"White","given":"Daniel James","non-dropping-particle":"","parse-names":false,"suffix":""},{"dropping-particle":"","family":"Hartenstein","given":"Volker","non-dropping-particle":"","parse-names":false,"suffix":""},{"dropping-particle":"","family":"Eliceiri","given":"Kevin","non-dropping-particle":"","parse-names":false,"suffix":""},{"dropping-particle":"","family":"Tomancak","given":"Pavel","non-dropping-particle":"","parse-names":false,"suffix":""},{"dropping-particle":"","family":"Cardona","given":"Albert","non-dropping-particle":"","parse-names":false,"suffix":""}],"container-title":"Nat Meth","id":"ITEM-1","issue":"7","issued":{"date-parts":[["2012","7"]]},"note":"From Duplicate 2 (Fiji: an open-source platform for biological-image analysis - Schindelin, Johannes; Arganda-Carreras, Ignacio; Frise, Erwin; Kaynig, Verena; Longair, Mark; Pietzsch, Tobias; Preibisch, Stephan; Rueden, Curtis; Saalfeld, Stephan; Schmid, Benjamin; Tinevez, Jean-Yves; White, Daniel James; Hartenstein, Volker; Eliceiri, Kevin; Tomancak, Pavel; Cardona, Albert)\n\n10.1038/nmeth.2019","page":"676-682","publisher":"Nature Publishing Group, a division of Macmillan Publishers Limited. All Rights Reserved.","title":"Fiji: an open-source platform for biological-image analysis","type":"article-journal","volume":"9"},"uris":["http://www.mendeley.com/documents/?uuid=d57a33df-0081-4e77-b6fd-61a96ece9fb3"]}],"mendeley":{"formattedCitation":"[45]","plainTextFormattedCitation":"[45]","previouslyFormattedCitation":"[45]"},"properties":{"noteIndex":0},"schema":"https://github.com/citation-style-language/schema/raw/master/csl-citation.json"}</w:instrText>
      </w:r>
      <w:r w:rsidRPr="00166515">
        <w:fldChar w:fldCharType="separate"/>
      </w:r>
      <w:r w:rsidR="00EA2F45" w:rsidRPr="00166515">
        <w:rPr>
          <w:noProof/>
        </w:rPr>
        <w:t>[45]</w:t>
      </w:r>
      <w:r w:rsidRPr="00166515">
        <w:fldChar w:fldCharType="end"/>
      </w:r>
      <w:r w:rsidRPr="00166515">
        <w:t>, which locates all particles in 3D and removes all but the largest foreground (bone tissue) and background (bone marrow) particles. Masked images were obtained by multiplying the filtered image to the binary image.</w:t>
      </w:r>
    </w:p>
    <w:p w14:paraId="1FE4D1AE" w14:textId="1F810171" w:rsidR="00591E34" w:rsidRPr="00166515" w:rsidRDefault="00166515" w:rsidP="00166515">
      <w:pPr>
        <w:pStyle w:val="MDPI22heading2"/>
      </w:pPr>
      <w:r w:rsidRPr="00166515">
        <w:t xml:space="preserve">2.5. </w:t>
      </w:r>
      <w:r w:rsidR="00591E34" w:rsidRPr="00166515">
        <w:t xml:space="preserve">Morphometric </w:t>
      </w:r>
      <w:r w:rsidRPr="00166515">
        <w:t>Analysis</w:t>
      </w:r>
    </w:p>
    <w:p w14:paraId="284CC72B" w14:textId="2AF2B1E4" w:rsidR="00591E34" w:rsidRPr="00166515" w:rsidRDefault="00591E34" w:rsidP="00166515">
      <w:pPr>
        <w:pStyle w:val="MDPI31text"/>
      </w:pPr>
      <w:r w:rsidRPr="00166515">
        <w:t xml:space="preserve">Morphometric analysis was performed using </w:t>
      </w:r>
      <w:r w:rsidR="00B545FF">
        <w:t xml:space="preserve">the </w:t>
      </w:r>
      <w:r w:rsidRPr="00166515">
        <w:t xml:space="preserve">BoneJ </w:t>
      </w:r>
      <w:r w:rsidRPr="00166515">
        <w:fldChar w:fldCharType="begin" w:fldLock="1"/>
      </w:r>
      <w:r w:rsidR="00870BBB" w:rsidRPr="00166515">
        <w:instrText>ADDIN CSL_CITATION {"citationItems":[{"id":"ITEM-1","itemData":{"DOI":"10.1016/j.bone.2010.08.023","ISBN":"1873-2763 (Electronic)\\r1873-2763 (Linking)","ISSN":"87563282","PMID":"20817052","abstract":"Bone geometry is commonly measured on computed tomographic (CT) and X-ray microtomographic (μCT) images. We obtained hundreds of CT, μCT and synchrotron μCT images of bones from diverse species that needed to be analysed remote from scanning hardware, but found that available software solutions were expensive, inflexible or methodologically opaque. We implemented standard bone measurements in a novel ImageJ plugin, BoneJ, with which we analysed trabecular bone, whole bones and osteocyte lacunae. BoneJ is open source and free for anyone to download, use, modify and distribute. © 2010 Elsevier Inc.","author":[{"dropping-particle":"","family":"Doube","given":"Michael","non-dropping-particle":"","parse-names":false,"suffix":""},{"dropping-particle":"","family":"Klosowski","given":"Michal M.","non-dropping-particle":"","parse-names":false,"suffix":""},{"dropping-particle":"","family":"Arganda-Carreras","given":"Ignacio","non-dropping-particle":"","parse-names":false,"suffix":""},{"dropping-particle":"","family":"Cordelières","given":"Fabrice P.","non-dropping-particle":"","parse-names":false,"suffix":""},{"dropping-particle":"","family":"Dougherty","given":"Robert P.","non-dropping-particle":"","parse-names":false,"suffix":""},{"dropping-particle":"","family":"Jackson","given":"Jonathan S.","non-dropping-particle":"","parse-names":false,"suffix":""},{"dropping-particle":"","family":"Schmid","given":"Benjamin","non-dropping-particle":"","parse-names":false,"suffix":""},{"dropping-particle":"","family":"Hutchinson","given":"John R.","non-dropping-particle":"","parse-names":false,"suffix":""},{"dropping-particle":"","family":"Shefelbine","given":"Sandra J.","non-dropping-particle":"","parse-names":false,"suffix":""}],"container-title":"Bone","id":"ITEM-1","issue":"6","issued":{"date-parts":[["2010"]]},"page":"1076-1079","title":"BoneJ: Free and extensible bone image analysis in ImageJ","type":"article-journal","volume":"47"},"uris":["http://www.mendeley.com/documents/?uuid=8b77ecf6-c48b-40f0-8f08-8584cab3f039"]}],"mendeley":{"formattedCitation":"[44]","plainTextFormattedCitation":"[44]","previouslyFormattedCitation":"[44]"},"properties":{"noteIndex":0},"schema":"https://github.com/citation-style-language/schema/raw/master/csl-citation.json"}</w:instrText>
      </w:r>
      <w:r w:rsidRPr="00166515">
        <w:fldChar w:fldCharType="separate"/>
      </w:r>
      <w:r w:rsidR="00EA2F45" w:rsidRPr="00166515">
        <w:rPr>
          <w:noProof/>
        </w:rPr>
        <w:t>[44]</w:t>
      </w:r>
      <w:r w:rsidRPr="00166515">
        <w:fldChar w:fldCharType="end"/>
      </w:r>
      <w:r w:rsidRPr="00166515">
        <w:t xml:space="preserve"> plugin. The same cubic VOI as for the mineral density distribution (Fig</w:t>
      </w:r>
      <w:r w:rsidR="00166515">
        <w:t>ure</w:t>
      </w:r>
      <w:r w:rsidRPr="00166515">
        <w:t xml:space="preserve"> 1c) was cropped from the binary images and bone volume fraction (BV/TV) was computed. Due to the irregular bone microarchitecture induced by the different treatments, trabecular thickness (Tb.Th) and trabecular spacing (Tb.Sp) were computed in smaller sub-VOIs (1.75 mm</w:t>
      </w:r>
      <w:r w:rsidRPr="00166515">
        <w:rPr>
          <w:vertAlign w:val="superscript"/>
        </w:rPr>
        <w:t>3</w:t>
      </w:r>
      <w:r w:rsidRPr="00166515">
        <w:t xml:space="preserve">). Data were subsequently screened using Peirce’s criterion </w:t>
      </w:r>
      <w:r w:rsidRPr="00166515">
        <w:fldChar w:fldCharType="begin" w:fldLock="1"/>
      </w:r>
      <w:r w:rsidR="00870BBB" w:rsidRPr="00166515">
        <w:instrText>ADDIN CSL_CITATION {"citationItems":[{"id":"ITEM-1","itemData":{"ISSN":"07479964","abstract":"Peirces criterion is a rigorous method based on probability theory that can be used to eliminate data outliers or spurious data in a rational way. Currently, another method called Chauvenets criterion is used in many educational institutions and laboratories to perform this function. Although Chauvenets criterion is well established, it makes an arbitrary assumption concerning the rejection of the data. Peirce's criterion does not make this arbitrary assumption . In addition, Chauvenet's criterion makes no distinction between the case of one or several suspicious data values whereas Peirce's criterion is a rigorous theory that can be easily applied in the case of several suspicious data values. In this paper, an example is given showing that Peirces and Chauvenets criterion give different results for the particular set of data presented.","author":[{"dropping-particle":"","family":"Ross","given":"Stephen M","non-dropping-particle":"","parse-names":false,"suffix":""}],"container-title":"Journal of Engineering Technology","id":"ITEM-1","issue":"2","issued":{"date-parts":[["2003"]]},"page":"1-12","title":"Peirce's criterion for the elimination of suspect experimental data","type":"article-journal","volume":"20"},"uris":["http://www.mendeley.com/documents/?uuid=27558efe-63f1-4040-9294-83b7a9bef704"]}],"mendeley":{"formattedCitation":"[46]","plainTextFormattedCitation":"[46]","previouslyFormattedCitation":"[46]"},"properties":{"noteIndex":0},"schema":"https://github.com/citation-style-language/schema/raw/master/csl-citation.json"}</w:instrText>
      </w:r>
      <w:r w:rsidRPr="00166515">
        <w:fldChar w:fldCharType="separate"/>
      </w:r>
      <w:r w:rsidR="00EA2F45" w:rsidRPr="00166515">
        <w:rPr>
          <w:noProof/>
        </w:rPr>
        <w:t>[46]</w:t>
      </w:r>
      <w:r w:rsidRPr="00166515">
        <w:fldChar w:fldCharType="end"/>
      </w:r>
      <w:r w:rsidRPr="00166515">
        <w:t xml:space="preserve"> to identify outliers and to remove large voids or dense bone regions from the computation. Following </w:t>
      </w:r>
      <w:r w:rsidR="00B545FF">
        <w:t xml:space="preserve">the </w:t>
      </w:r>
      <w:r w:rsidRPr="00166515">
        <w:t>removal of outliers, mean Tb.Th and Tb.Sp were calculated for each specimen.</w:t>
      </w:r>
    </w:p>
    <w:p w14:paraId="248196FD" w14:textId="5CC11C9E" w:rsidR="00591E34" w:rsidRPr="00166515" w:rsidRDefault="00166515" w:rsidP="00166515">
      <w:pPr>
        <w:pStyle w:val="MDPI22heading2"/>
      </w:pPr>
      <w:r w:rsidRPr="00166515">
        <w:t xml:space="preserve">2.6. </w:t>
      </w:r>
      <w:r w:rsidR="00591E34" w:rsidRPr="00166515">
        <w:t>Digital</w:t>
      </w:r>
      <w:r w:rsidRPr="00166515">
        <w:t xml:space="preserve"> Volume Correlation</w:t>
      </w:r>
    </w:p>
    <w:p w14:paraId="1A8A1DA3" w14:textId="3760EE38" w:rsidR="00591E34" w:rsidRPr="00166515" w:rsidRDefault="00591E34" w:rsidP="006C0B9D">
      <w:pPr>
        <w:pStyle w:val="MDPI31text"/>
      </w:pPr>
      <w:r w:rsidRPr="00166515">
        <w:t xml:space="preserve">DVC (DaVis v8.4, LaVision, </w:t>
      </w:r>
      <w:r w:rsidR="006C0B9D" w:rsidRPr="00BB0771">
        <w:t>Göttinge</w:t>
      </w:r>
      <w:r w:rsidR="006C0B9D" w:rsidRPr="006C0B9D">
        <w:t>n</w:t>
      </w:r>
      <w:r w:rsidR="00CA7645" w:rsidRPr="006C0B9D">
        <w:t>,</w:t>
      </w:r>
      <w:r w:rsidR="00CA7645">
        <w:t xml:space="preserve"> </w:t>
      </w:r>
      <w:r w:rsidRPr="00166515">
        <w:t xml:space="preserve">Germany) was carried out to evaluate the 3D full-field strain distribution in the newly regenerated bone tissue throughout the apparent elastic regime. DaVis software is based on a local approach </w:t>
      </w:r>
      <w:r w:rsidRPr="00166515">
        <w:fldChar w:fldCharType="begin" w:fldLock="1"/>
      </w:r>
      <w:r w:rsidR="00870BBB" w:rsidRPr="00166515">
        <w:instrText>ADDIN CSL_CITATION {"citationItems":[{"id":"ITEM-1","itemData":{"DOI":"10.1016/j.medengphy.2013.02.001","ISBN":"1873-4030 (Electronic)\\r1350-4533 (Linking)","ISSN":"13504533","PMID":"23473631","abstract":"Measurements of three-dimensional displacements in a scaffold implant under uniaxial compression have been obtained by two digital volume correlation (DVC) methods, and compared with those obtained from micro-finite element models. The DVC methods were based on two approaches, a local approach which registers independent small volumes and yields discontinuous displacement fields; and a global approach where the registration is performed on the whole volume of interest, leading to continuous displacement fields. A customised mini-compression device was used to perform in situ step-wise compression of the scaffold within a micro-computed tomography (??CT) chamber, and the data were collected at steps of interest. Displacement uncertainties, ranging from 0.006 to 0.02 voxel (i.e. 0.12-0.4. ??m), with a strain uncertainty between 60 and 600. ??e{open}, were obtained with a spatial resolution of 32 voxels using both approaches, although the global approach has lower systematic errors. Reduced displacement and strain uncertainties may be obtained using the global approach by increasing the element size; and using the local approach by increasing the number of intermediary sub-volumes. Good agreements between the results from the DVC measurements and the FE simulations were obtained in the primary loading direction as well as in the lateral directions. This study demonstrates that volumetric strain measurements can be obtained successfully using DVC, which may be a useful tool to investigate mechanical behaviour of porous implants. ?? 2013 IPEM.","author":[{"dropping-particle":"","family":"Madi","given":"K.","non-dropping-particle":"","parse-names":false,"suffix":""},{"dropping-particle":"","family":"Tozzi","given":"G.","non-dropping-particle":"","parse-names":false,"suffix":""},{"dropping-particle":"","family":"Zhang","given":"Q. H.","non-dropping-particle":"","parse-names":false,"suffix":""},{"dropping-particle":"","family":"Tong","given":"J.","non-dropping-particle":"","parse-names":false,"suffix":""},{"dropping-particle":"","family":"Cossey","given":"A.","non-dropping-particle":"","parse-names":false,"suffix":""},{"dropping-particle":"","family":"Au","given":"A.","non-dropping-particle":"","parse-names":false,"suffix":""},{"dropping-particle":"","family":"Hollis","given":"D.","non-dropping-particle":"","parse-names":false,"suffix":""},{"dropping-particle":"","family":"Hild","given":"F.","non-dropping-particle":"","parse-names":false,"suffix":""}],"container-title":"Medical Engineering and Physics","id":"ITEM-1","issue":"9","issued":{"date-parts":[["2013"]]},"page":"1298-1312","title":"Computation of full-field displacements in a scaffold implant using digital volume correlation and finite element analysis","type":"article-journal","volume":"35"},"uris":["http://www.mendeley.com/documents/?uuid=554b98ad-1a43-4f60-8cce-37372e2b37e4"]}],"mendeley":{"formattedCitation":"[47]","plainTextFormattedCitation":"[47]","previouslyFormattedCitation":"[47]"},"properties":{"noteIndex":0},"schema":"https://github.com/citation-style-language/schema/raw/master/csl-citation.json"}</w:instrText>
      </w:r>
      <w:r w:rsidRPr="00166515">
        <w:fldChar w:fldCharType="separate"/>
      </w:r>
      <w:r w:rsidR="00EA2F45" w:rsidRPr="00166515">
        <w:rPr>
          <w:noProof/>
        </w:rPr>
        <w:t>[47]</w:t>
      </w:r>
      <w:r w:rsidRPr="00166515">
        <w:fldChar w:fldCharType="end"/>
      </w:r>
      <w:r w:rsidRPr="00166515">
        <w:t xml:space="preserve"> of deformable registration, which has been extensively used in bone mechanics</w:t>
      </w:r>
      <w:r w:rsidR="00870BBB" w:rsidRPr="00166515">
        <w:t xml:space="preserve"> </w:t>
      </w:r>
      <w:r w:rsidR="00870BBB" w:rsidRPr="00166515">
        <w:fldChar w:fldCharType="begin" w:fldLock="1"/>
      </w:r>
      <w:r w:rsidR="001366DD" w:rsidRPr="00166515">
        <w:instrText>ADDIN CSL_CITATION {"citationItems":[{"id":"ITEM-1","itemData":{"DOI":"10.1016/j.jmbbm.2018.08.012","ISSN":"17516161","PMID":"30165258","abstract":"© 2018 Elsevier Ltd The use of synchrotron radiation micro-computed tomography (SR-microCT) is becoming increasingly popular for studying the relationship between microstructure and bone mechanics subjected to in situ mechanical testing. However, it is well known that the effect of SR X-ray radiation can considerably alter the mechanical properties of bone tissue. Digital volume correlation (DVC) has been extensively used to compute full-field strain distributions in bone specimens subjected to step-wise mechanical loading, but tissue damage from sequential SR-microCT scans has not been previously addressed. Therefore, the aim of this study is to examine the influence of SR irradiation-induced microdamage on the apparent elastic properties of trabecular bone using DVC applied to in situ SR-microCT tomograms obtained with different exposure times. Results showed how DVC was able to identify high local strain levels (&gt; 10,000 µε) corresponding to visible microcracks at high irradiation doses (~ 230 kGy), despite the apparent elastic properties remained unaltered. Microcracks were not detected and bone plasticity was preserved for low irradiation doses (~ 33 kGy), although image quality and consequently, DVC performance were reduced. DVC results suggested some local deterioration of tissue that might have resulted from mechanical strain concentration further enhanced by some level of local irradiation even for low accumulated dose.","author":[{"dropping-particle":"","family":"Peña Fernández","given":"Marta","non-dropping-particle":"","parse-names":false,"suffix":""},{"dropping-particle":"","family":"Cipiccia","given":"Silvia","non-dropping-particle":"","parse-names":false,"suffix":""},{"dropping-particle":"","family":"Dall’Ara","given":"Enrico","non-dropping-particle":"","parse-names":false,"suffix":""},{"dropping-particle":"","family":"Bodey","given":"Andrew J.","non-dropping-particle":"","parse-names":false,"suffix":""},{"dropping-particle":"","family":"Parwani","given":"Rachna","non-dropping-particle":"","parse-names":false,"suffix":""},{"dropping-particle":"","family":"Pani","given":"Martino","non-dropping-particle":"","parse-names":false,"suffix":""},{"dropping-particle":"","family":"Blunn","given":"Gordon W.","non-dropping-particle":"","parse-names":false,"suffix":""},{"dropping-particle":"","family":"Barber","given":"Asa H.","non-dropping-particle":"","parse-names":false,"suffix":""},{"dropping-particle":"","family":"Tozzi","given":"Gianluca","non-dropping-particle":"","parse-names":false,"suffix":""}],"container-title":"Journal of the Mechanical Behavior of Biomedical Materials","id":"ITEM-1","issue":"August","issued":{"date-parts":[["2018","12"]]},"page":"109-119","publisher":"Elsevier Ltd","title":"Effect of SR-microCT radiation on the mechanical integrity of trabecular bone using in situ mechanical testing and digital volume correlation","type":"article-journal","volume":"88"},"uris":["http://www.mendeley.com/documents/?uuid=e3966f40-e380-4193-8730-60be343f6ed4"]},{"id":"ITEM-2","itemData":{"DOI":"10.1021/acsbiomaterials.8b01044","ISSN":"2373-9878","author":[{"dropping-particle":"","family":"Peña Fernández","given":"Marta","non-dropping-particle":"","parse-names":false,"suffix":""},{"dropping-particle":"","family":"Dall’Ara","given":"Enrico","non-dropping-particle":"","parse-names":false,"suffix":""},{"dropping-particle":"","family":"Bodey","given":"Andrew J.","non-dropping-particle":"","parse-names":false,"suffix":""},{"dropping-particle":"","family":"Parwani","given":"Rachna","non-dropping-particle":"","parse-names":false,"suffix":""},{"dropping-particle":"","family":"Barber","given":"Asa H.","non-dropping-particle":"","parse-names":false,"suffix":""},{"dropping-particle":"","family":"Blunn","given":"Gordon W.","non-dropping-particle":"","parse-names":false,"suffix":""},{"dropping-particle":"","family":"Tozzi","given":"Gianluca","non-dropping-particle":"","parse-names":false,"suffix":""}],"container-title":"ACS Biomaterials Science &amp; Engineering","id":"ITEM-2","issue":"5","issued":{"date-parts":[["2019","5","13"]]},"page":"2543-2554","title":"Full-Field Strain Analysis of Bone–Biomaterial Systems Produced by the Implantation of Osteoregenerative Biomaterials in an Ovine Model","type":"article-journal","volume":"5"},"uris":["http://www.mendeley.com/documents/?uuid=6415d5c4-e164-4687-a988-04a248b7d84d"]},{"id":"ITEM-3","itemData":{"DOI":"10.1111/str.12202","ISSN":"14751305","author":[{"dropping-particle":"","family":"Tozzi","given":"G.","non-dropping-particle":"","parse-names":false,"suffix":""},{"dropping-particle":"","family":"Danesi","given":"V.","non-dropping-particle":"","parse-names":false,"suffix":""},{"dropping-particle":"","family":"Palanca","given":"M.","non-dropping-particle":"","parse-names":false,"suffix":""},{"dropping-particle":"","family":"Cristofolini","given":"L.","non-dropping-particle":"","parse-names":false,"suffix":""}],"container-title":"Strain","id":"ITEM-3","issue":"5","issued":{"date-parts":[["2016"]]},"page":"446-455","title":"Elastic Full-Field Strain Analysis and Microdamage Progression in the Vertebral Body from Digital Volume Correlation","type":"article-journal","volume":"52"},"uris":["http://www.mendeley.com/documents/?uuid=4d05ad54-3be5-493c-ae61-3ab48c083c9d"]},{"id":"ITEM-4","itemData":{"DOI":"under review","author":[{"dropping-particle":"","family":"Peña","given":"Marta","non-dropping-particle":"","parse-names":false,"suffix":""},{"dropping-particle":"","family":"Ara","given":"Enrico Dall","non-dropping-particle":"","parse-names":false,"suffix":""},{"dropping-particle":"","family":"Kao","given":"Alexander P.","non-dropping-particle":"","parse-names":false,"suffix":""},{"dropping-particle":"","family":"Bodey","given":"Andrew J.","non-dropping-particle":"","parse-names":false,"suffix":""},{"dropping-particle":"","family":"Karali","given":"Aikaterina","non-dropping-particle":"","parse-names":false,"suffix":""},{"dropping-particle":"","family":"Blunn","given":"Gordon W.","non-dropping-particle":"","parse-names":false,"suffix":""},{"dropping-particle":"","family":"Barber","given":"Asa H.","non-dropping-particle":"","parse-names":false,"suffix":""},{"dropping-particle":"","family":"Tozzi","given":"Gianluca","non-dropping-particle":"","parse-names":false,"suffix":""},{"dropping-particle":"","family":"Peña Fernández","given":"Marta","non-dropping-particle":"","parse-names":false,"suffix":""},{"dropping-particle":"","family":"Dall’Ara","given":"Enrico","non-dropping-particle":"","parse-names":false,"suffix":""},{"dropping-particle":"","family":"Kao","given":"Alexander P.","non-dropping-particle":"","parse-names":false,"suffix":""},{"dropping-particle":"","family":"Bodey","given":"Andrew J.","non-dropping-particle":"","parse-names":false,"suffix":""},{"dropping-particle":"","family":"Karali","given":"Aikaterina","non-dropping-particle":"","parse-names":false,"suffix":""},{"dropping-particle":"","family":"Blunn","given":"Gordon W.","non-dropping-particle":"","parse-names":false,"suffix":""},{"dropping-particle":"","family":"Barber","given":"Asa H.","non-dropping-particle":"","parse-names":false,"suffix":""},{"dropping-particle":"","family":"Tozzi","given":"Gianluca","non-dropping-particle":"","parse-names":false,"suffix":""}],"container-title":"Materials","id":"ITEM-4","issue":"Dvc","issued":{"date-parts":[["2018"]]},"title":"Preservation of bone tissue integrity with temperature control for in situ SR-microCT experiments","type":"article-journal","volume":"c"},"uris":["http://www.mendeley.com/documents/?uuid=6290bc00-7224-4b8b-9932-139fdebd50d7"]}],"mendeley":{"formattedCitation":"[35,37,40,48]","plainTextFormattedCitation":"[35,37,40,48]","previouslyFormattedCitation":"[35,37,40,48]"},"properties":{"noteIndex":0},"schema":"https://github.com/citation-style-language/schema/raw/master/csl-citation.json"}</w:instrText>
      </w:r>
      <w:r w:rsidR="00870BBB" w:rsidRPr="00166515">
        <w:fldChar w:fldCharType="separate"/>
      </w:r>
      <w:r w:rsidR="00870BBB" w:rsidRPr="00166515">
        <w:rPr>
          <w:noProof/>
        </w:rPr>
        <w:t>[35,37,40,48]</w:t>
      </w:r>
      <w:r w:rsidR="00870BBB" w:rsidRPr="00166515">
        <w:fldChar w:fldCharType="end"/>
      </w:r>
      <w:r w:rsidR="00870BBB" w:rsidRPr="00166515">
        <w:t>.</w:t>
      </w:r>
      <w:r w:rsidRPr="00166515">
        <w:t xml:space="preserve"> The operating principles of the algorithm are detailed elsewhere</w:t>
      </w:r>
      <w:r w:rsidR="00870BBB" w:rsidRPr="00166515">
        <w:t xml:space="preserve"> </w:t>
      </w:r>
      <w:r w:rsidR="00870BBB" w:rsidRPr="00166515">
        <w:fldChar w:fldCharType="begin" w:fldLock="1"/>
      </w:r>
      <w:r w:rsidR="00870BBB" w:rsidRPr="00166515">
        <w:instrText>ADDIN CSL_CITATION {"citationItems":[{"id":"ITEM-1","itemData":{"DOI":"doi: 10.1111/jmi.12745","ISSN":"00222720","author":[{"dropping-particle":"","family":"Peña Fernández","given":"Marta","non-dropping-particle":"","parse-names":false,"suffix":""},{"dropping-particle":"","family":"Barber","given":"Asa H.","non-dropping-particle":"","parse-names":false,"suffix":""},{"dropping-particle":"","family":"Blunn","given":"Gordon W.","non-dropping-particle":"","parse-names":false,"suffix":""},{"dropping-particle":"","family":"Tozzi","given":"Gianluca","non-dropping-particle":"","parse-names":false,"suffix":""}],"container-title":"Journal of Microscopy","id":"ITEM-1","issue":"0","issued":{"date-parts":[["2018"]]},"page":"1-16","title":"Optimisation of digital volume correlation computation in SR-microCT images of trabecular bone and bone-biomaterial systems","type":"article-journal","volume":"00"},"uris":["http://www.mendeley.com/documents/?uuid=9630bbe3-9d82-4f82-bb0c-3eb76b07760c"]}],"mendeley":{"formattedCitation":"[49]","plainTextFormattedCitation":"[49]","previouslyFormattedCitation":"[49]"},"properties":{"noteIndex":0},"schema":"https://github.com/citation-style-language/schema/raw/master/csl-citation.json"}</w:instrText>
      </w:r>
      <w:r w:rsidR="00870BBB" w:rsidRPr="00166515">
        <w:fldChar w:fldCharType="separate"/>
      </w:r>
      <w:r w:rsidR="00870BBB" w:rsidRPr="00166515">
        <w:rPr>
          <w:noProof/>
        </w:rPr>
        <w:t>[49]</w:t>
      </w:r>
      <w:r w:rsidR="00870BBB" w:rsidRPr="00166515">
        <w:fldChar w:fldCharType="end"/>
      </w:r>
      <w:r w:rsidRPr="00166515">
        <w:t>. DVC was applied to the masked images (entire cylinders) to avoid possible artefacts in regions with insufficient grey-scale pattern (i.e.</w:t>
      </w:r>
      <w:r w:rsidR="00166515">
        <w:t>,</w:t>
      </w:r>
      <w:r w:rsidRPr="00166515">
        <w:t xml:space="preserve"> bone marrow). A multi-pass scheme with a final sub-volume of 40 voxels (200 µm), reached via predictor passes using sub-volumes of 56, 48</w:t>
      </w:r>
      <w:r w:rsidR="00B545FF">
        <w:t>,</w:t>
      </w:r>
      <w:r w:rsidRPr="00166515">
        <w:t xml:space="preserve"> and 44 voxels</w:t>
      </w:r>
      <w:r w:rsidR="00B545FF">
        <w:t>,</w:t>
      </w:r>
      <w:r w:rsidRPr="00166515">
        <w:t xml:space="preserve"> was used</w:t>
      </w:r>
      <w:r w:rsidR="00F57E58">
        <w:t xml:space="preserve"> (Supplementary Figure S1)</w:t>
      </w:r>
      <w:r w:rsidRPr="00166515">
        <w:t>. Furthermore, sub-volumes with a correlation coefficient below 0.6 were removed from the resultant vectors. Errors on the DVC-computed displacement (zero-strain test) did not exceed 2 µm</w:t>
      </w:r>
      <w:r w:rsidR="00F57E58" w:rsidRPr="00F57E58">
        <w:t xml:space="preserve"> </w:t>
      </w:r>
      <w:r w:rsidR="00F57E58">
        <w:t>(Supplementary Figure S2)</w:t>
      </w:r>
      <w:r w:rsidRPr="00166515">
        <w:t xml:space="preserve">, whereas the mean absolute error (MAER) and the standard deviation of the error (SDER) of the strain components </w:t>
      </w:r>
      <w:r w:rsidRPr="00166515">
        <w:fldChar w:fldCharType="begin" w:fldLock="1"/>
      </w:r>
      <w:r w:rsidR="00870BBB" w:rsidRPr="00166515">
        <w:instrText>ADDIN CSL_CITATION {"citationItems":[{"id":"ITEM-1","itemData":{"DOI":"10.1016/j.jbiomech.2016.10.018","ISBN":"0512093431","ISSN":"00219290","abstract":"Digital Volume Correlation (DVC) has become popular for measuring the strain distribution inside bone structures. A number of methodological questions are still open: the reliability of DVC to investigate augmented bone tissue, the variability of the errors between different specimens of the same type, the distribution of measurement errors inside a bone, and the possible presence of preferential directions. To address these issues, five augmented and five natural porcine vertebrae were subjected to repeated zero-strain micro-CT scan (39μm voxel size). The acquired images were processed with two independent DVC approaches (a local and a global one), considering different computation sub-volume sizes, in order to assess the strain measurement uncertainties. The systematic errors generally ranged within +/−100 microstrain and did not depend on the computational sub-volume. The random error was higher than 1000 microstrain for the smallest sub-volume and rapidly decreased: with a sub-volume of 48 voxels the random errors were typically within 200 microstrain for both DVC approaches. While these trends were rather consistent within the sample, two individual specimens had unpredictably larger errors. For this reason, a zero-strain check on each specimen should always be performed before any in-situ micro-CT testing campaign. This study clearly shows that, when sufficient care is dedicated to preliminary methodological work, different DVC computation approaches allow measuring the strain with a reduced overall error (approximately 200 microstrain). Therefore, DVC is a viable technique to investigate strain in the elastic regime in natural and augmented bones.","author":[{"dropping-particle":"","family":"Palanca","given":"Marco","non-dropping-particle":"","parse-names":false,"suffix":""},{"dropping-particle":"","family":"Cristofolini","given":"Luca","non-dropping-particle":"","parse-names":false,"suffix":""},{"dropping-particle":"","family":"Dall’Ara","given":"Enrico","non-dropping-particle":"","parse-names":false,"suffix":""},{"dropping-particle":"","family":"Curto","given":"Marco","non-dropping-particle":"","parse-names":false,"suffix":""},{"dropping-particle":"","family":"Innocente","given":"Federica","non-dropping-particle":"","parse-names":false,"suffix":""},{"dropping-particle":"","family":"Danesi","given":"Valentina","non-dropping-particle":"","parse-names":false,"suffix":""},{"dropping-particle":"","family":"Tozzi","given":"Gianluca","non-dropping-particle":"","parse-names":false,"suffix":""}],"container-title":"Journal of Biomechanics","id":"ITEM-1","issue":"16","issued":{"date-parts":[["2016"]]},"page":"3882-3890","publisher":"Elsevier","title":"Digital volume correlation can be used to estimate local strains in natural and augmented vertebrae: an organ-level study","type":"article-journal","volume":"49"},"uris":["http://www.mendeley.com/documents/?uuid=ad644bef-3305-4f62-af6c-ae073ad94317"]}],"mendeley":{"formattedCitation":"[50]","plainTextFormattedCitation":"[50]","previouslyFormattedCitation":"[50]"},"properties":{"noteIndex":0},"schema":"https://github.com/citation-style-language/schema/raw/master/csl-citation.json"}</w:instrText>
      </w:r>
      <w:r w:rsidRPr="00166515">
        <w:fldChar w:fldCharType="separate"/>
      </w:r>
      <w:r w:rsidR="00870BBB" w:rsidRPr="00166515">
        <w:rPr>
          <w:noProof/>
        </w:rPr>
        <w:t>[50]</w:t>
      </w:r>
      <w:r w:rsidRPr="00166515">
        <w:fldChar w:fldCharType="end"/>
      </w:r>
      <w:r w:rsidRPr="00166515">
        <w:t xml:space="preserve"> were found to be ~530 µε and 160 µε, respectively (</w:t>
      </w:r>
      <w:r w:rsidR="00F57E58">
        <w:t>Supplementary Figure S1</w:t>
      </w:r>
      <w:r w:rsidRPr="00166515">
        <w:t xml:space="preserve">). </w:t>
      </w:r>
      <w:r w:rsidR="00B545FF">
        <w:t>T</w:t>
      </w:r>
      <w:r w:rsidRPr="00166515">
        <w:t>o evaluate the 3D full-field strain distribution over time in relation to the deformation induced by the compressive applied load, the third principal strain (ε</w:t>
      </w:r>
      <w:r w:rsidRPr="00166515">
        <w:rPr>
          <w:vertAlign w:val="subscript"/>
        </w:rPr>
        <w:t>p3</w:t>
      </w:r>
      <w:r w:rsidRPr="00166515">
        <w:t>) for each loading step was computed within the bone volume in the VOI (Fig</w:t>
      </w:r>
      <w:r w:rsidR="00166515">
        <w:t>ure</w:t>
      </w:r>
      <w:r w:rsidRPr="00166515">
        <w:t xml:space="preserve"> 1b) previously described, after a bi-cubic interpolation.  </w:t>
      </w:r>
    </w:p>
    <w:p w14:paraId="3F9FB2C2" w14:textId="0ABF411A" w:rsidR="00591E34" w:rsidRPr="00166515" w:rsidRDefault="00166515" w:rsidP="00166515">
      <w:pPr>
        <w:pStyle w:val="MDPI22heading2"/>
        <w:rPr>
          <w:sz w:val="32"/>
        </w:rPr>
      </w:pPr>
      <w:r w:rsidRPr="00166515">
        <w:t xml:space="preserve">2.7. </w:t>
      </w:r>
      <w:r w:rsidR="00591E34" w:rsidRPr="00166515">
        <w:t xml:space="preserve">Statistical </w:t>
      </w:r>
      <w:r w:rsidRPr="00166515">
        <w:t>Analysis</w:t>
      </w:r>
    </w:p>
    <w:p w14:paraId="6C998D52" w14:textId="17C14861" w:rsidR="00591E34" w:rsidRPr="00166515" w:rsidRDefault="00591E34" w:rsidP="00166515">
      <w:pPr>
        <w:pStyle w:val="MDPI31text"/>
      </w:pPr>
      <w:r w:rsidRPr="00166515">
        <w:t xml:space="preserve">Quantitative analysis on local compressive strains </w:t>
      </w:r>
      <w:r w:rsidR="00B545FF">
        <w:t>we</w:t>
      </w:r>
      <w:r w:rsidRPr="00166515">
        <w:t>re reported as mean, median</w:t>
      </w:r>
      <w:r w:rsidR="00B545FF">
        <w:t>,</w:t>
      </w:r>
      <w:r w:rsidRPr="00166515">
        <w:t xml:space="preserve"> and inter-quartile range between 25th and 75th percentile of the data on violin plots. Two-tailed Pearson correlation analysis was performed between microstructural parameters (i.e.</w:t>
      </w:r>
      <w:r w:rsidR="00166515">
        <w:t>,</w:t>
      </w:r>
      <w:r w:rsidRPr="00166515">
        <w:t xml:space="preserve"> TMD, BV/TV</w:t>
      </w:r>
      <w:r w:rsidR="00B545FF">
        <w:t>,</w:t>
      </w:r>
      <w:r w:rsidRPr="00166515">
        <w:t xml:space="preserve"> and Tb.Th) and mechanical properties (i.e.</w:t>
      </w:r>
      <w:r w:rsidR="00166515">
        <w:t>,</w:t>
      </w:r>
      <w:r w:rsidRPr="00166515">
        <w:t xml:space="preserve"> stiffness and mean local compressive strain) for all </w:t>
      </w:r>
      <w:r w:rsidR="00B545FF">
        <w:t>six</w:t>
      </w:r>
      <w:r w:rsidRPr="00166515">
        <w:t xml:space="preserve"> s</w:t>
      </w:r>
      <w:r w:rsidR="00A1382B" w:rsidRPr="00166515">
        <w:t>pecimens</w:t>
      </w:r>
      <w:r w:rsidRPr="00166515">
        <w:t xml:space="preserve">. Additionally, two-tailed Pearson correlation analysis was done between </w:t>
      </w:r>
      <w:r w:rsidR="00B545FF">
        <w:t xml:space="preserve">the </w:t>
      </w:r>
      <w:r w:rsidRPr="00166515">
        <w:t>mean local strains at the most (20% of the BV highly strained) and le</w:t>
      </w:r>
      <w:r w:rsidR="00B545FF">
        <w:t>a</w:t>
      </w:r>
      <w:r w:rsidRPr="00166515">
        <w:t>s</w:t>
      </w:r>
      <w:r w:rsidR="00B545FF">
        <w:t>t</w:t>
      </w:r>
      <w:r w:rsidRPr="00166515">
        <w:t xml:space="preserve"> (remaining volume) strained region</w:t>
      </w:r>
      <w:r w:rsidR="00AE72D4" w:rsidRPr="00166515">
        <w:t>s</w:t>
      </w:r>
      <w:r w:rsidRPr="00166515">
        <w:t xml:space="preserve"> at the maximum applied compression and microstructural parameters. Both regions within the same s</w:t>
      </w:r>
      <w:r w:rsidR="00A1382B" w:rsidRPr="00166515">
        <w:t>pecimens</w:t>
      </w:r>
      <w:r w:rsidRPr="00166515">
        <w:t xml:space="preserve"> were considered related, thus </w:t>
      </w:r>
      <w:r w:rsidR="00B545FF">
        <w:t xml:space="preserve">the </w:t>
      </w:r>
      <w:r w:rsidRPr="00166515">
        <w:t>non-parametric Wilcoxon signed rank test (α = 0.05) was used to compare strain magnitude, trabecular thickness, and tissue mineral densities. All statistical analyses were done using Matlab software (Matlab R2017a, The MathWorks Inc., Natick,</w:t>
      </w:r>
      <w:r w:rsidR="00CA7645">
        <w:t xml:space="preserve"> MA,</w:t>
      </w:r>
      <w:r w:rsidRPr="00166515">
        <w:t xml:space="preserve"> USA).</w:t>
      </w:r>
    </w:p>
    <w:p w14:paraId="59CF829E" w14:textId="2E75142C" w:rsidR="00F42E7B" w:rsidRPr="00166515" w:rsidRDefault="00166515" w:rsidP="00166515">
      <w:pPr>
        <w:pStyle w:val="MDPI21heading1"/>
      </w:pPr>
      <w:r w:rsidRPr="00166515">
        <w:t xml:space="preserve">3. </w:t>
      </w:r>
      <w:r w:rsidR="00F42E7B" w:rsidRPr="00166515">
        <w:t>Results</w:t>
      </w:r>
    </w:p>
    <w:p w14:paraId="08D2BCBF" w14:textId="1471476B" w:rsidR="00591E34" w:rsidRPr="00166515" w:rsidRDefault="00166515" w:rsidP="00166515">
      <w:pPr>
        <w:pStyle w:val="MDPI22heading2"/>
      </w:pPr>
      <w:r w:rsidRPr="00166515">
        <w:t xml:space="preserve">3.1. </w:t>
      </w:r>
      <w:r w:rsidR="00AA0C2A" w:rsidRPr="00166515">
        <w:t xml:space="preserve">In </w:t>
      </w:r>
      <w:r w:rsidRPr="00166515">
        <w:t>Situ Mechanical Testing</w:t>
      </w:r>
      <w:r w:rsidR="00AA0C2A" w:rsidRPr="00166515">
        <w:t xml:space="preserve"> and </w:t>
      </w:r>
      <w:r w:rsidRPr="00166515">
        <w:t>M</w:t>
      </w:r>
      <w:r w:rsidR="00AA0C2A" w:rsidRPr="00166515">
        <w:t xml:space="preserve">icroCT </w:t>
      </w:r>
      <w:r w:rsidRPr="00166515">
        <w:t>Imaging</w:t>
      </w:r>
    </w:p>
    <w:p w14:paraId="179F9A98" w14:textId="6869D3A1" w:rsidR="00AA0C2A" w:rsidRPr="00166515" w:rsidRDefault="00AA0C2A" w:rsidP="00166515">
      <w:pPr>
        <w:pStyle w:val="MDPI31text"/>
      </w:pPr>
      <w:r w:rsidRPr="00166515">
        <w:t xml:space="preserve">The </w:t>
      </w:r>
      <w:r w:rsidRPr="009D5A75">
        <w:rPr>
          <w:iCs/>
        </w:rPr>
        <w:t>in situ</w:t>
      </w:r>
      <w:r w:rsidRPr="00166515">
        <w:t xml:space="preserve"> mechanical tests (Fig</w:t>
      </w:r>
      <w:r w:rsidR="00166515">
        <w:t>ure</w:t>
      </w:r>
      <w:r w:rsidRPr="00166515">
        <w:t xml:space="preserve"> 2a) demonstrated the distinct response of each specimen under the same applied compression, with stiffness ranging from 131.9 N/mm for Laponite #1 to 547.6 N/mm for InductOS #2 (Table 1). Force</w:t>
      </w:r>
      <w:r w:rsidR="00510F23">
        <w:t>–</w:t>
      </w:r>
      <w:r w:rsidRPr="00166515">
        <w:t>compression curves exhibited a monotonic profile that was observed to be, in essence, linear during the three loading steps. The TMD distribution (Fig</w:t>
      </w:r>
      <w:r w:rsidR="00166515">
        <w:t>ure</w:t>
      </w:r>
      <w:r w:rsidRPr="00166515">
        <w:t xml:space="preserve"> 2b) in the VOI of the specimens showed little difference, with </w:t>
      </w:r>
      <w:r w:rsidR="00510F23">
        <w:t xml:space="preserve">a </w:t>
      </w:r>
      <w:r w:rsidRPr="00166515">
        <w:t>mean Avg-TMD of 1168.5 mgHA/cm</w:t>
      </w:r>
      <w:r w:rsidRPr="00166515">
        <w:rPr>
          <w:vertAlign w:val="superscript"/>
        </w:rPr>
        <w:t>3</w:t>
      </w:r>
      <w:r w:rsidR="00166515">
        <w:t xml:space="preserve"> (±</w:t>
      </w:r>
      <w:r w:rsidRPr="00166515">
        <w:t>50.4 mgHA/cm</w:t>
      </w:r>
      <w:r w:rsidRPr="00166515">
        <w:rPr>
          <w:vertAlign w:val="superscript"/>
        </w:rPr>
        <w:t>3</w:t>
      </w:r>
      <w:r w:rsidRPr="00166515">
        <w:t>) and mean Peak-TMD of 1236.4 mgHA/cm</w:t>
      </w:r>
      <w:r w:rsidRPr="00166515">
        <w:rPr>
          <w:vertAlign w:val="superscript"/>
        </w:rPr>
        <w:t>3</w:t>
      </w:r>
      <w:r w:rsidR="00166515">
        <w:t xml:space="preserve"> (±</w:t>
      </w:r>
      <w:r w:rsidRPr="00166515">
        <w:t>47.4 mgHA/cm</w:t>
      </w:r>
      <w:r w:rsidRPr="00166515">
        <w:rPr>
          <w:vertAlign w:val="superscript"/>
        </w:rPr>
        <w:t>3</w:t>
      </w:r>
      <w:r w:rsidR="00166515">
        <w:t>) (Table 1).</w:t>
      </w:r>
    </w:p>
    <w:p w14:paraId="60FA7D54" w14:textId="77777777" w:rsidR="00AA0C2A" w:rsidRPr="00166515" w:rsidRDefault="008E2E15" w:rsidP="00166515">
      <w:pPr>
        <w:pStyle w:val="MDPI52figure"/>
      </w:pPr>
      <w:bookmarkStart w:id="5" w:name="_Hlk525323722"/>
      <w:r w:rsidRPr="00166515">
        <w:rPr>
          <w:noProof/>
          <w:lang w:val="en-GB" w:eastAsia="en-GB" w:bidi="ar-SA"/>
        </w:rPr>
        <w:drawing>
          <wp:inline distT="0" distB="0" distL="0" distR="0" wp14:anchorId="1CE7DD65" wp14:editId="3C13B9E9">
            <wp:extent cx="5756275" cy="2238551"/>
            <wp:effectExtent l="0" t="0" r="0"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6275" cy="2238551"/>
                    </a:xfrm>
                    <a:prstGeom prst="rect">
                      <a:avLst/>
                    </a:prstGeom>
                    <a:noFill/>
                    <a:ln>
                      <a:noFill/>
                    </a:ln>
                  </pic:spPr>
                </pic:pic>
              </a:graphicData>
            </a:graphic>
          </wp:inline>
        </w:drawing>
      </w:r>
    </w:p>
    <w:p w14:paraId="04A6DDA1" w14:textId="3BD90CFB" w:rsidR="00AA0C2A" w:rsidRPr="00166515" w:rsidRDefault="00166515" w:rsidP="00166515">
      <w:pPr>
        <w:pStyle w:val="MDPI51figurecaption"/>
        <w:rPr>
          <w:i/>
        </w:rPr>
      </w:pPr>
      <w:r w:rsidRPr="00166515">
        <w:rPr>
          <w:b/>
        </w:rPr>
        <w:t>Figure 2.</w:t>
      </w:r>
      <w:r w:rsidR="00AA0C2A" w:rsidRPr="00166515">
        <w:rPr>
          <w:b/>
        </w:rPr>
        <w:t xml:space="preserve"> </w:t>
      </w:r>
      <w:r w:rsidR="00AA0C2A" w:rsidRPr="00166515">
        <w:t>(</w:t>
      </w:r>
      <w:r w:rsidR="00AA0C2A" w:rsidRPr="00166515">
        <w:rPr>
          <w:b/>
        </w:rPr>
        <w:t>a</w:t>
      </w:r>
      <w:r w:rsidR="00AA0C2A" w:rsidRPr="00166515">
        <w:t>) Force</w:t>
      </w:r>
      <w:r w:rsidR="00510F23">
        <w:t>–</w:t>
      </w:r>
      <w:r w:rsidR="00AA0C2A" w:rsidRPr="00166515">
        <w:t xml:space="preserve">compression curves for the six specimens. The force shows a drop at the end of each step of compression, which corresponds to the time the specimen was allowed to settle (~30 min) prior to image acquisition (~5 h). An initial toe region was observed in </w:t>
      </w:r>
      <w:r w:rsidR="00662233" w:rsidRPr="00166515">
        <w:t>InductOS</w:t>
      </w:r>
      <w:r w:rsidR="00AA0C2A" w:rsidRPr="00166515">
        <w:t xml:space="preserve"> #1 and Laponite #2, mainly </w:t>
      </w:r>
      <w:r w:rsidR="00662233" w:rsidRPr="00166515">
        <w:t>dependent</w:t>
      </w:r>
      <w:r w:rsidR="00AA0C2A" w:rsidRPr="00166515">
        <w:t xml:space="preserve"> on the initial lack of co-planarity between the ends of the specimens</w:t>
      </w:r>
      <w:r w:rsidR="00CA7645">
        <w:t>;</w:t>
      </w:r>
      <w:r w:rsidR="00CA7645" w:rsidRPr="00166515">
        <w:t xml:space="preserve"> </w:t>
      </w:r>
      <w:r w:rsidR="00AA0C2A" w:rsidRPr="00166515">
        <w:t>(</w:t>
      </w:r>
      <w:r w:rsidR="00AA0C2A" w:rsidRPr="00166515">
        <w:rPr>
          <w:b/>
        </w:rPr>
        <w:t>b</w:t>
      </w:r>
      <w:r w:rsidR="00AA0C2A" w:rsidRPr="00166515">
        <w:t xml:space="preserve">) </w:t>
      </w:r>
      <w:r w:rsidR="00662233" w:rsidRPr="00166515">
        <w:t>Normalized</w:t>
      </w:r>
      <w:r w:rsidR="00AA0C2A" w:rsidRPr="00166515">
        <w:t xml:space="preserve"> tissue mineral density (TMD) histograms for the six analy</w:t>
      </w:r>
      <w:r w:rsidR="00510F23">
        <w:t>z</w:t>
      </w:r>
      <w:r w:rsidR="00AA0C2A" w:rsidRPr="00166515">
        <w:t>ed specimens showed minimal difference</w:t>
      </w:r>
      <w:r w:rsidR="00510F23">
        <w:t>s</w:t>
      </w:r>
      <w:r w:rsidR="00AA0C2A" w:rsidRPr="00166515">
        <w:t xml:space="preserve"> in peak values and distribution.</w:t>
      </w:r>
    </w:p>
    <w:p w14:paraId="1091225D" w14:textId="524A825B" w:rsidR="00AA0C2A" w:rsidRPr="00166515" w:rsidRDefault="00166515" w:rsidP="00166515">
      <w:pPr>
        <w:pStyle w:val="MDPI41tablecaption"/>
        <w:rPr>
          <w:sz w:val="16"/>
        </w:rPr>
      </w:pPr>
      <w:r w:rsidRPr="00166515">
        <w:rPr>
          <w:b/>
        </w:rPr>
        <w:t>Table 1.</w:t>
      </w:r>
      <w:r w:rsidR="00AA0C2A" w:rsidRPr="00166515">
        <w:rPr>
          <w:b/>
        </w:rPr>
        <w:t xml:space="preserve"> </w:t>
      </w:r>
      <w:r w:rsidR="00AA0C2A" w:rsidRPr="00166515">
        <w:t>Overview of the mechanical, mineral</w:t>
      </w:r>
      <w:r w:rsidR="00510F23">
        <w:t>,</w:t>
      </w:r>
      <w:r w:rsidR="00AA0C2A" w:rsidRPr="00166515">
        <w:t xml:space="preserve"> and morphological parameters of the analy</w:t>
      </w:r>
      <w:r w:rsidR="00510F23">
        <w:t>z</w:t>
      </w:r>
      <w:r w:rsidR="00AA0C2A" w:rsidRPr="00166515">
        <w:t>ed specimens. For each specimen, stiffness, average tissue mineral density (Avg-TMD), peak tissue mineral density (Peak-TMD), bone volume fraction (BV/TV), trabecular thickness (Tb.Th)</w:t>
      </w:r>
      <w:r w:rsidR="00510F23">
        <w:t>,</w:t>
      </w:r>
      <w:r w:rsidR="00AA0C2A" w:rsidRPr="00166515">
        <w:t xml:space="preserve"> and trabecular spacing (Tb.Sp) are detailed.</w:t>
      </w:r>
    </w:p>
    <w:tbl>
      <w:tblPr>
        <w:tblStyle w:val="ListTable1Light1"/>
        <w:tblW w:w="4759" w:type="pct"/>
        <w:jc w:val="center"/>
        <w:tblLook w:val="04A0" w:firstRow="1" w:lastRow="0" w:firstColumn="1" w:lastColumn="0" w:noHBand="0" w:noVBand="1"/>
      </w:tblPr>
      <w:tblGrid>
        <w:gridCol w:w="1275"/>
        <w:gridCol w:w="1323"/>
        <w:gridCol w:w="1235"/>
        <w:gridCol w:w="1235"/>
        <w:gridCol w:w="1090"/>
        <w:gridCol w:w="1135"/>
        <w:gridCol w:w="1125"/>
      </w:tblGrid>
      <w:tr w:rsidR="00166515" w:rsidRPr="00166515" w14:paraId="30BFA997" w14:textId="77777777" w:rsidTr="001665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8" w:type="pct"/>
            <w:tcBorders>
              <w:top w:val="single" w:sz="8" w:space="0" w:color="auto"/>
            </w:tcBorders>
            <w:shd w:val="clear" w:color="auto" w:fill="auto"/>
            <w:vAlign w:val="center"/>
          </w:tcPr>
          <w:p w14:paraId="2ADFF818" w14:textId="1C9FB216" w:rsidR="00AA0C2A" w:rsidRPr="00166515" w:rsidRDefault="00F57E58" w:rsidP="00166515">
            <w:pPr>
              <w:pStyle w:val="MDPI42tablebody"/>
              <w:autoSpaceDE w:val="0"/>
              <w:autoSpaceDN w:val="0"/>
              <w:spacing w:line="240" w:lineRule="auto"/>
              <w:rPr>
                <w:sz w:val="18"/>
              </w:rPr>
            </w:pPr>
            <w:r>
              <w:rPr>
                <w:sz w:val="18"/>
              </w:rPr>
              <w:t>Specimen</w:t>
            </w:r>
          </w:p>
        </w:tc>
        <w:tc>
          <w:tcPr>
            <w:tcW w:w="786" w:type="pct"/>
            <w:tcBorders>
              <w:top w:val="single" w:sz="8" w:space="0" w:color="auto"/>
            </w:tcBorders>
            <w:shd w:val="clear" w:color="auto" w:fill="auto"/>
            <w:vAlign w:val="center"/>
          </w:tcPr>
          <w:p w14:paraId="6D3D6DEF" w14:textId="5AC4792E" w:rsidR="00AA0C2A" w:rsidRPr="00166515" w:rsidRDefault="00166515"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rPr>
            </w:pPr>
            <w:r>
              <w:rPr>
                <w:kern w:val="24"/>
                <w:sz w:val="18"/>
              </w:rPr>
              <w:t>Stiffness (N/</w:t>
            </w:r>
            <w:r w:rsidR="00AA0C2A" w:rsidRPr="00166515">
              <w:rPr>
                <w:kern w:val="24"/>
                <w:sz w:val="18"/>
              </w:rPr>
              <w:t>mm)</w:t>
            </w:r>
          </w:p>
        </w:tc>
        <w:tc>
          <w:tcPr>
            <w:tcW w:w="0" w:type="auto"/>
            <w:tcBorders>
              <w:top w:val="single" w:sz="8" w:space="0" w:color="auto"/>
            </w:tcBorders>
            <w:shd w:val="clear" w:color="auto" w:fill="auto"/>
            <w:vAlign w:val="center"/>
          </w:tcPr>
          <w:p w14:paraId="68AF5305" w14:textId="77777777" w:rsidR="00AA0C2A" w:rsidRPr="00166515" w:rsidRDefault="00AA0C2A"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lang w:val="es-ES_tradnl"/>
              </w:rPr>
            </w:pPr>
            <w:r w:rsidRPr="00166515">
              <w:rPr>
                <w:kern w:val="24"/>
                <w:sz w:val="18"/>
                <w:lang w:val="es-ES_tradnl"/>
              </w:rPr>
              <w:t>Avg-TMD</w:t>
            </w:r>
          </w:p>
          <w:p w14:paraId="2910E7EB" w14:textId="77777777" w:rsidR="00AA0C2A" w:rsidRPr="00166515" w:rsidRDefault="00AA0C2A"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lang w:val="es-ES_tradnl"/>
              </w:rPr>
            </w:pPr>
            <w:r w:rsidRPr="00166515">
              <w:rPr>
                <w:kern w:val="24"/>
                <w:sz w:val="18"/>
                <w:lang w:val="es-ES_tradnl"/>
              </w:rPr>
              <w:t>(mgHA/cm</w:t>
            </w:r>
            <w:r w:rsidRPr="00166515">
              <w:rPr>
                <w:kern w:val="24"/>
                <w:sz w:val="18"/>
                <w:vertAlign w:val="superscript"/>
                <w:lang w:val="es-ES_tradnl"/>
              </w:rPr>
              <w:t>3</w:t>
            </w:r>
            <w:r w:rsidRPr="00166515">
              <w:rPr>
                <w:kern w:val="24"/>
                <w:sz w:val="18"/>
                <w:lang w:val="es-ES_tradnl"/>
              </w:rPr>
              <w:t>)</w:t>
            </w:r>
          </w:p>
        </w:tc>
        <w:tc>
          <w:tcPr>
            <w:tcW w:w="0" w:type="auto"/>
            <w:tcBorders>
              <w:top w:val="single" w:sz="8" w:space="0" w:color="auto"/>
            </w:tcBorders>
            <w:shd w:val="clear" w:color="auto" w:fill="auto"/>
            <w:vAlign w:val="center"/>
          </w:tcPr>
          <w:p w14:paraId="089DFAF1" w14:textId="77777777" w:rsidR="00AA0C2A" w:rsidRPr="00166515" w:rsidRDefault="00AA0C2A"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rPr>
            </w:pPr>
            <w:r w:rsidRPr="00166515">
              <w:rPr>
                <w:kern w:val="24"/>
                <w:sz w:val="18"/>
              </w:rPr>
              <w:t>Peak-TMD</w:t>
            </w:r>
          </w:p>
          <w:p w14:paraId="2FB0977D" w14:textId="77777777" w:rsidR="00AA0C2A" w:rsidRPr="00166515" w:rsidRDefault="00AA0C2A"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rPr>
            </w:pPr>
            <w:r w:rsidRPr="00166515">
              <w:rPr>
                <w:kern w:val="24"/>
                <w:sz w:val="18"/>
              </w:rPr>
              <w:t>(mgHA/cm</w:t>
            </w:r>
            <w:r w:rsidRPr="00166515">
              <w:rPr>
                <w:kern w:val="24"/>
                <w:sz w:val="18"/>
                <w:vertAlign w:val="superscript"/>
              </w:rPr>
              <w:t>3</w:t>
            </w:r>
            <w:r w:rsidRPr="00166515">
              <w:rPr>
                <w:kern w:val="24"/>
                <w:sz w:val="18"/>
              </w:rPr>
              <w:t>)</w:t>
            </w:r>
          </w:p>
        </w:tc>
        <w:tc>
          <w:tcPr>
            <w:tcW w:w="0" w:type="auto"/>
            <w:tcBorders>
              <w:top w:val="single" w:sz="8" w:space="0" w:color="auto"/>
            </w:tcBorders>
            <w:shd w:val="clear" w:color="auto" w:fill="auto"/>
            <w:vAlign w:val="center"/>
          </w:tcPr>
          <w:p w14:paraId="24B06922" w14:textId="77777777" w:rsidR="00AA0C2A" w:rsidRPr="00166515" w:rsidRDefault="00AA0C2A"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rPr>
            </w:pPr>
            <w:r w:rsidRPr="00166515">
              <w:rPr>
                <w:kern w:val="24"/>
                <w:sz w:val="18"/>
              </w:rPr>
              <w:t>BV/TV (%)</w:t>
            </w:r>
          </w:p>
        </w:tc>
        <w:tc>
          <w:tcPr>
            <w:tcW w:w="0" w:type="auto"/>
            <w:tcBorders>
              <w:top w:val="single" w:sz="8" w:space="0" w:color="auto"/>
            </w:tcBorders>
            <w:shd w:val="clear" w:color="auto" w:fill="auto"/>
            <w:vAlign w:val="center"/>
          </w:tcPr>
          <w:p w14:paraId="1EBE0536" w14:textId="77777777" w:rsidR="00AA0C2A" w:rsidRPr="00166515" w:rsidRDefault="00AA0C2A"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rPr>
            </w:pPr>
            <w:r w:rsidRPr="00166515">
              <w:rPr>
                <w:kern w:val="24"/>
                <w:sz w:val="18"/>
              </w:rPr>
              <w:t>Tb.Th (µm)</w:t>
            </w:r>
          </w:p>
        </w:tc>
        <w:tc>
          <w:tcPr>
            <w:tcW w:w="0" w:type="auto"/>
            <w:tcBorders>
              <w:top w:val="single" w:sz="8" w:space="0" w:color="auto"/>
            </w:tcBorders>
            <w:shd w:val="clear" w:color="auto" w:fill="auto"/>
            <w:vAlign w:val="center"/>
          </w:tcPr>
          <w:p w14:paraId="7ADAA382" w14:textId="77777777" w:rsidR="00AA0C2A" w:rsidRPr="00166515" w:rsidRDefault="00AA0C2A" w:rsidP="00166515">
            <w:pPr>
              <w:pStyle w:val="MDPI42tablebody"/>
              <w:autoSpaceDE w:val="0"/>
              <w:autoSpaceDN w:val="0"/>
              <w:spacing w:line="240" w:lineRule="auto"/>
              <w:cnfStyle w:val="100000000000" w:firstRow="1" w:lastRow="0" w:firstColumn="0" w:lastColumn="0" w:oddVBand="0" w:evenVBand="0" w:oddHBand="0" w:evenHBand="0" w:firstRowFirstColumn="0" w:firstRowLastColumn="0" w:lastRowFirstColumn="0" w:lastRowLastColumn="0"/>
              <w:rPr>
                <w:sz w:val="18"/>
              </w:rPr>
            </w:pPr>
            <w:r w:rsidRPr="00166515">
              <w:rPr>
                <w:kern w:val="24"/>
                <w:sz w:val="18"/>
              </w:rPr>
              <w:t>Tb.Sp (µm)</w:t>
            </w:r>
          </w:p>
        </w:tc>
      </w:tr>
      <w:tr w:rsidR="00166515" w:rsidRPr="00166515" w14:paraId="3FA28C62" w14:textId="77777777" w:rsidTr="001665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auto"/>
            <w:vAlign w:val="center"/>
          </w:tcPr>
          <w:p w14:paraId="43D9C6F8" w14:textId="77777777" w:rsidR="00AA0C2A" w:rsidRPr="00062140" w:rsidRDefault="00AA0C2A" w:rsidP="00166515">
            <w:pPr>
              <w:pStyle w:val="MDPI42tablebody"/>
              <w:autoSpaceDE w:val="0"/>
              <w:autoSpaceDN w:val="0"/>
              <w:spacing w:line="240" w:lineRule="auto"/>
              <w:rPr>
                <w:b w:val="0"/>
                <w:sz w:val="18"/>
              </w:rPr>
            </w:pPr>
            <w:r w:rsidRPr="00062140">
              <w:rPr>
                <w:b w:val="0"/>
                <w:kern w:val="24"/>
                <w:sz w:val="18"/>
              </w:rPr>
              <w:t>Autograft #1</w:t>
            </w:r>
          </w:p>
        </w:tc>
        <w:tc>
          <w:tcPr>
            <w:tcW w:w="786" w:type="pct"/>
            <w:shd w:val="clear" w:color="auto" w:fill="auto"/>
            <w:vAlign w:val="center"/>
          </w:tcPr>
          <w:p w14:paraId="14B2EC04"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249.3</w:t>
            </w:r>
          </w:p>
        </w:tc>
        <w:tc>
          <w:tcPr>
            <w:tcW w:w="0" w:type="auto"/>
            <w:shd w:val="clear" w:color="auto" w:fill="auto"/>
            <w:vAlign w:val="center"/>
          </w:tcPr>
          <w:p w14:paraId="2F1519B7"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1207.8</w:t>
            </w:r>
          </w:p>
        </w:tc>
        <w:tc>
          <w:tcPr>
            <w:tcW w:w="0" w:type="auto"/>
            <w:shd w:val="clear" w:color="auto" w:fill="auto"/>
            <w:vAlign w:val="center"/>
          </w:tcPr>
          <w:p w14:paraId="5788472A"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1279.5</w:t>
            </w:r>
          </w:p>
        </w:tc>
        <w:tc>
          <w:tcPr>
            <w:tcW w:w="0" w:type="auto"/>
            <w:shd w:val="clear" w:color="auto" w:fill="auto"/>
            <w:vAlign w:val="center"/>
          </w:tcPr>
          <w:p w14:paraId="221EED40"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46.1</w:t>
            </w:r>
          </w:p>
        </w:tc>
        <w:tc>
          <w:tcPr>
            <w:tcW w:w="0" w:type="auto"/>
            <w:shd w:val="clear" w:color="auto" w:fill="auto"/>
            <w:vAlign w:val="center"/>
          </w:tcPr>
          <w:p w14:paraId="178085AC"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222 ± 71</w:t>
            </w:r>
          </w:p>
        </w:tc>
        <w:tc>
          <w:tcPr>
            <w:tcW w:w="0" w:type="auto"/>
            <w:shd w:val="clear" w:color="auto" w:fill="auto"/>
            <w:vAlign w:val="center"/>
          </w:tcPr>
          <w:p w14:paraId="3894CDA9"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484 ± 168</w:t>
            </w:r>
          </w:p>
        </w:tc>
      </w:tr>
      <w:tr w:rsidR="00166515" w:rsidRPr="00166515" w14:paraId="6FE31746" w14:textId="77777777" w:rsidTr="00166515">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auto"/>
            <w:vAlign w:val="center"/>
          </w:tcPr>
          <w:p w14:paraId="59F06A16" w14:textId="77777777" w:rsidR="00AA0C2A" w:rsidRPr="00062140" w:rsidRDefault="00AA0C2A" w:rsidP="00166515">
            <w:pPr>
              <w:pStyle w:val="MDPI42tablebody"/>
              <w:autoSpaceDE w:val="0"/>
              <w:autoSpaceDN w:val="0"/>
              <w:spacing w:line="240" w:lineRule="auto"/>
              <w:rPr>
                <w:b w:val="0"/>
                <w:sz w:val="18"/>
              </w:rPr>
            </w:pPr>
            <w:r w:rsidRPr="00062140">
              <w:rPr>
                <w:b w:val="0"/>
                <w:kern w:val="24"/>
                <w:sz w:val="18"/>
              </w:rPr>
              <w:t>Autograft #2</w:t>
            </w:r>
          </w:p>
        </w:tc>
        <w:tc>
          <w:tcPr>
            <w:tcW w:w="786" w:type="pct"/>
            <w:shd w:val="clear" w:color="auto" w:fill="auto"/>
            <w:vAlign w:val="center"/>
          </w:tcPr>
          <w:p w14:paraId="7722A9B4"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212.1</w:t>
            </w:r>
          </w:p>
        </w:tc>
        <w:tc>
          <w:tcPr>
            <w:tcW w:w="0" w:type="auto"/>
            <w:shd w:val="clear" w:color="auto" w:fill="auto"/>
            <w:vAlign w:val="center"/>
          </w:tcPr>
          <w:p w14:paraId="07D544D2"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1247.9</w:t>
            </w:r>
          </w:p>
        </w:tc>
        <w:tc>
          <w:tcPr>
            <w:tcW w:w="0" w:type="auto"/>
            <w:shd w:val="clear" w:color="auto" w:fill="auto"/>
            <w:vAlign w:val="center"/>
          </w:tcPr>
          <w:p w14:paraId="1BBDEB75"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1314.8</w:t>
            </w:r>
          </w:p>
        </w:tc>
        <w:tc>
          <w:tcPr>
            <w:tcW w:w="0" w:type="auto"/>
            <w:shd w:val="clear" w:color="auto" w:fill="auto"/>
            <w:vAlign w:val="center"/>
          </w:tcPr>
          <w:p w14:paraId="5FFE9FB3"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33.9</w:t>
            </w:r>
          </w:p>
        </w:tc>
        <w:tc>
          <w:tcPr>
            <w:tcW w:w="0" w:type="auto"/>
            <w:shd w:val="clear" w:color="auto" w:fill="auto"/>
            <w:vAlign w:val="center"/>
          </w:tcPr>
          <w:p w14:paraId="464178B5"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267 ± 72</w:t>
            </w:r>
          </w:p>
        </w:tc>
        <w:tc>
          <w:tcPr>
            <w:tcW w:w="0" w:type="auto"/>
            <w:shd w:val="clear" w:color="auto" w:fill="auto"/>
            <w:vAlign w:val="center"/>
          </w:tcPr>
          <w:p w14:paraId="58C09A0F"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736 ± 246</w:t>
            </w:r>
          </w:p>
        </w:tc>
      </w:tr>
      <w:tr w:rsidR="00166515" w:rsidRPr="00166515" w14:paraId="38B4B0D5" w14:textId="77777777" w:rsidTr="001665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auto"/>
            <w:vAlign w:val="center"/>
          </w:tcPr>
          <w:p w14:paraId="7600D2DC" w14:textId="77777777" w:rsidR="00AA0C2A" w:rsidRPr="00062140" w:rsidRDefault="00AA0C2A" w:rsidP="00166515">
            <w:pPr>
              <w:pStyle w:val="MDPI42tablebody"/>
              <w:autoSpaceDE w:val="0"/>
              <w:autoSpaceDN w:val="0"/>
              <w:spacing w:line="240" w:lineRule="auto"/>
              <w:rPr>
                <w:b w:val="0"/>
                <w:sz w:val="18"/>
              </w:rPr>
            </w:pPr>
            <w:r w:rsidRPr="00062140">
              <w:rPr>
                <w:b w:val="0"/>
                <w:kern w:val="24"/>
                <w:sz w:val="18"/>
              </w:rPr>
              <w:t>InductOs #1</w:t>
            </w:r>
          </w:p>
        </w:tc>
        <w:tc>
          <w:tcPr>
            <w:tcW w:w="786" w:type="pct"/>
            <w:shd w:val="clear" w:color="auto" w:fill="auto"/>
            <w:vAlign w:val="center"/>
          </w:tcPr>
          <w:p w14:paraId="18A63AA2"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547.6</w:t>
            </w:r>
          </w:p>
        </w:tc>
        <w:tc>
          <w:tcPr>
            <w:tcW w:w="0" w:type="auto"/>
            <w:shd w:val="clear" w:color="auto" w:fill="auto"/>
            <w:vAlign w:val="center"/>
          </w:tcPr>
          <w:p w14:paraId="3C24244E"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1107.2</w:t>
            </w:r>
          </w:p>
        </w:tc>
        <w:tc>
          <w:tcPr>
            <w:tcW w:w="0" w:type="auto"/>
            <w:shd w:val="clear" w:color="auto" w:fill="auto"/>
            <w:vAlign w:val="center"/>
          </w:tcPr>
          <w:p w14:paraId="51919ACD"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1185.4</w:t>
            </w:r>
          </w:p>
        </w:tc>
        <w:tc>
          <w:tcPr>
            <w:tcW w:w="0" w:type="auto"/>
            <w:shd w:val="clear" w:color="auto" w:fill="auto"/>
            <w:vAlign w:val="center"/>
          </w:tcPr>
          <w:p w14:paraId="59EC9BD7"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52.2</w:t>
            </w:r>
          </w:p>
        </w:tc>
        <w:tc>
          <w:tcPr>
            <w:tcW w:w="0" w:type="auto"/>
            <w:shd w:val="clear" w:color="auto" w:fill="auto"/>
            <w:vAlign w:val="center"/>
          </w:tcPr>
          <w:p w14:paraId="65235A20"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233 ± 68</w:t>
            </w:r>
          </w:p>
        </w:tc>
        <w:tc>
          <w:tcPr>
            <w:tcW w:w="0" w:type="auto"/>
            <w:shd w:val="clear" w:color="auto" w:fill="auto"/>
            <w:vAlign w:val="center"/>
          </w:tcPr>
          <w:p w14:paraId="1845615B"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477 ± 183</w:t>
            </w:r>
          </w:p>
        </w:tc>
      </w:tr>
      <w:tr w:rsidR="00166515" w:rsidRPr="00166515" w14:paraId="0B9B208A" w14:textId="77777777" w:rsidTr="00166515">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auto"/>
            <w:vAlign w:val="center"/>
          </w:tcPr>
          <w:p w14:paraId="06F0ADE1" w14:textId="77777777" w:rsidR="00AA0C2A" w:rsidRPr="00062140" w:rsidRDefault="00AA0C2A" w:rsidP="00166515">
            <w:pPr>
              <w:pStyle w:val="MDPI42tablebody"/>
              <w:autoSpaceDE w:val="0"/>
              <w:autoSpaceDN w:val="0"/>
              <w:spacing w:line="240" w:lineRule="auto"/>
              <w:rPr>
                <w:b w:val="0"/>
                <w:sz w:val="18"/>
              </w:rPr>
            </w:pPr>
            <w:r w:rsidRPr="00062140">
              <w:rPr>
                <w:b w:val="0"/>
                <w:kern w:val="24"/>
                <w:sz w:val="18"/>
              </w:rPr>
              <w:t>InductOs #2</w:t>
            </w:r>
          </w:p>
        </w:tc>
        <w:tc>
          <w:tcPr>
            <w:tcW w:w="786" w:type="pct"/>
            <w:shd w:val="clear" w:color="auto" w:fill="auto"/>
            <w:vAlign w:val="center"/>
          </w:tcPr>
          <w:p w14:paraId="5A4B43B0"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322.6</w:t>
            </w:r>
          </w:p>
        </w:tc>
        <w:tc>
          <w:tcPr>
            <w:tcW w:w="0" w:type="auto"/>
            <w:shd w:val="clear" w:color="auto" w:fill="auto"/>
            <w:vAlign w:val="center"/>
          </w:tcPr>
          <w:p w14:paraId="1470A490"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1183.1</w:t>
            </w:r>
          </w:p>
        </w:tc>
        <w:tc>
          <w:tcPr>
            <w:tcW w:w="0" w:type="auto"/>
            <w:shd w:val="clear" w:color="auto" w:fill="auto"/>
            <w:vAlign w:val="center"/>
          </w:tcPr>
          <w:p w14:paraId="4065D1D3"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1232.5</w:t>
            </w:r>
          </w:p>
        </w:tc>
        <w:tc>
          <w:tcPr>
            <w:tcW w:w="0" w:type="auto"/>
            <w:shd w:val="clear" w:color="auto" w:fill="auto"/>
            <w:vAlign w:val="center"/>
          </w:tcPr>
          <w:p w14:paraId="1D2F5742"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54.6</w:t>
            </w:r>
          </w:p>
        </w:tc>
        <w:tc>
          <w:tcPr>
            <w:tcW w:w="0" w:type="auto"/>
            <w:shd w:val="clear" w:color="auto" w:fill="auto"/>
            <w:vAlign w:val="center"/>
          </w:tcPr>
          <w:p w14:paraId="3C333D05"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147 ± 41</w:t>
            </w:r>
          </w:p>
        </w:tc>
        <w:tc>
          <w:tcPr>
            <w:tcW w:w="0" w:type="auto"/>
            <w:shd w:val="clear" w:color="auto" w:fill="auto"/>
            <w:vAlign w:val="center"/>
          </w:tcPr>
          <w:p w14:paraId="14B8AB95"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338 ± 198</w:t>
            </w:r>
          </w:p>
        </w:tc>
      </w:tr>
      <w:tr w:rsidR="00166515" w:rsidRPr="00166515" w14:paraId="254FF5A7" w14:textId="77777777" w:rsidTr="001665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auto"/>
            <w:vAlign w:val="center"/>
          </w:tcPr>
          <w:p w14:paraId="593C0474" w14:textId="77777777" w:rsidR="00AA0C2A" w:rsidRPr="00062140" w:rsidRDefault="00AA0C2A" w:rsidP="00166515">
            <w:pPr>
              <w:pStyle w:val="MDPI42tablebody"/>
              <w:autoSpaceDE w:val="0"/>
              <w:autoSpaceDN w:val="0"/>
              <w:spacing w:line="240" w:lineRule="auto"/>
              <w:rPr>
                <w:b w:val="0"/>
                <w:sz w:val="18"/>
              </w:rPr>
            </w:pPr>
            <w:r w:rsidRPr="00062140">
              <w:rPr>
                <w:b w:val="0"/>
                <w:kern w:val="24"/>
                <w:sz w:val="18"/>
              </w:rPr>
              <w:t>Laponite #1</w:t>
            </w:r>
          </w:p>
        </w:tc>
        <w:tc>
          <w:tcPr>
            <w:tcW w:w="786" w:type="pct"/>
            <w:shd w:val="clear" w:color="auto" w:fill="auto"/>
            <w:vAlign w:val="center"/>
          </w:tcPr>
          <w:p w14:paraId="6E83CA6D"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131.9</w:t>
            </w:r>
          </w:p>
        </w:tc>
        <w:tc>
          <w:tcPr>
            <w:tcW w:w="0" w:type="auto"/>
            <w:shd w:val="clear" w:color="auto" w:fill="auto"/>
            <w:vAlign w:val="center"/>
          </w:tcPr>
          <w:p w14:paraId="50F9B434"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1152.3</w:t>
            </w:r>
          </w:p>
        </w:tc>
        <w:tc>
          <w:tcPr>
            <w:tcW w:w="0" w:type="auto"/>
            <w:shd w:val="clear" w:color="auto" w:fill="auto"/>
            <w:vAlign w:val="center"/>
          </w:tcPr>
          <w:p w14:paraId="16830B6E"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1220.7</w:t>
            </w:r>
          </w:p>
        </w:tc>
        <w:tc>
          <w:tcPr>
            <w:tcW w:w="0" w:type="auto"/>
            <w:shd w:val="clear" w:color="auto" w:fill="auto"/>
            <w:vAlign w:val="center"/>
          </w:tcPr>
          <w:p w14:paraId="3C5A3AF3"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22.4</w:t>
            </w:r>
          </w:p>
        </w:tc>
        <w:tc>
          <w:tcPr>
            <w:tcW w:w="0" w:type="auto"/>
            <w:shd w:val="clear" w:color="auto" w:fill="auto"/>
            <w:vAlign w:val="center"/>
          </w:tcPr>
          <w:p w14:paraId="6C945AC2"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107 ± 47</w:t>
            </w:r>
          </w:p>
        </w:tc>
        <w:tc>
          <w:tcPr>
            <w:tcW w:w="0" w:type="auto"/>
            <w:shd w:val="clear" w:color="auto" w:fill="auto"/>
            <w:vAlign w:val="center"/>
          </w:tcPr>
          <w:p w14:paraId="126AC68E" w14:textId="77777777" w:rsidR="00AA0C2A" w:rsidRPr="00166515" w:rsidRDefault="00AA0C2A" w:rsidP="00166515">
            <w:pPr>
              <w:pStyle w:val="MDPI42tablebody"/>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sz w:val="18"/>
              </w:rPr>
            </w:pPr>
            <w:r w:rsidRPr="00166515">
              <w:rPr>
                <w:kern w:val="24"/>
                <w:sz w:val="18"/>
              </w:rPr>
              <w:t>466 ± 282</w:t>
            </w:r>
          </w:p>
        </w:tc>
      </w:tr>
      <w:tr w:rsidR="00166515" w:rsidRPr="00166515" w14:paraId="2D8DEECB" w14:textId="77777777" w:rsidTr="00166515">
        <w:trPr>
          <w:jc w:val="center"/>
        </w:trPr>
        <w:tc>
          <w:tcPr>
            <w:cnfStyle w:val="001000000000" w:firstRow="0" w:lastRow="0" w:firstColumn="1" w:lastColumn="0" w:oddVBand="0" w:evenVBand="0" w:oddHBand="0" w:evenHBand="0" w:firstRowFirstColumn="0" w:firstRowLastColumn="0" w:lastRowFirstColumn="0" w:lastRowLastColumn="0"/>
            <w:tcW w:w="758" w:type="pct"/>
            <w:tcBorders>
              <w:bottom w:val="single" w:sz="8" w:space="0" w:color="auto"/>
            </w:tcBorders>
            <w:shd w:val="clear" w:color="auto" w:fill="auto"/>
            <w:vAlign w:val="center"/>
          </w:tcPr>
          <w:p w14:paraId="078FC6C3" w14:textId="77777777" w:rsidR="00AA0C2A" w:rsidRPr="00062140" w:rsidRDefault="00AA0C2A" w:rsidP="00166515">
            <w:pPr>
              <w:pStyle w:val="MDPI42tablebody"/>
              <w:autoSpaceDE w:val="0"/>
              <w:autoSpaceDN w:val="0"/>
              <w:spacing w:line="240" w:lineRule="auto"/>
              <w:rPr>
                <w:b w:val="0"/>
                <w:sz w:val="18"/>
              </w:rPr>
            </w:pPr>
            <w:r w:rsidRPr="00062140">
              <w:rPr>
                <w:b w:val="0"/>
                <w:kern w:val="24"/>
                <w:sz w:val="18"/>
              </w:rPr>
              <w:t>Laponite #2</w:t>
            </w:r>
          </w:p>
        </w:tc>
        <w:tc>
          <w:tcPr>
            <w:tcW w:w="786" w:type="pct"/>
            <w:tcBorders>
              <w:bottom w:val="single" w:sz="8" w:space="0" w:color="auto"/>
            </w:tcBorders>
            <w:shd w:val="clear" w:color="auto" w:fill="auto"/>
            <w:vAlign w:val="center"/>
          </w:tcPr>
          <w:p w14:paraId="31C8D812"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363.0</w:t>
            </w:r>
          </w:p>
        </w:tc>
        <w:tc>
          <w:tcPr>
            <w:tcW w:w="0" w:type="auto"/>
            <w:tcBorders>
              <w:bottom w:val="single" w:sz="8" w:space="0" w:color="auto"/>
            </w:tcBorders>
            <w:shd w:val="clear" w:color="auto" w:fill="auto"/>
            <w:vAlign w:val="center"/>
          </w:tcPr>
          <w:p w14:paraId="0115EAFB"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1112.5</w:t>
            </w:r>
          </w:p>
        </w:tc>
        <w:tc>
          <w:tcPr>
            <w:tcW w:w="0" w:type="auto"/>
            <w:tcBorders>
              <w:bottom w:val="single" w:sz="8" w:space="0" w:color="auto"/>
            </w:tcBorders>
            <w:shd w:val="clear" w:color="auto" w:fill="auto"/>
            <w:vAlign w:val="center"/>
          </w:tcPr>
          <w:p w14:paraId="40E45AC0"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1185.4</w:t>
            </w:r>
          </w:p>
        </w:tc>
        <w:tc>
          <w:tcPr>
            <w:tcW w:w="0" w:type="auto"/>
            <w:tcBorders>
              <w:bottom w:val="single" w:sz="8" w:space="0" w:color="auto"/>
            </w:tcBorders>
            <w:shd w:val="clear" w:color="auto" w:fill="auto"/>
            <w:vAlign w:val="center"/>
          </w:tcPr>
          <w:p w14:paraId="137A611A"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45.4</w:t>
            </w:r>
          </w:p>
        </w:tc>
        <w:tc>
          <w:tcPr>
            <w:tcW w:w="0" w:type="auto"/>
            <w:tcBorders>
              <w:bottom w:val="single" w:sz="8" w:space="0" w:color="auto"/>
            </w:tcBorders>
            <w:shd w:val="clear" w:color="auto" w:fill="auto"/>
            <w:vAlign w:val="center"/>
          </w:tcPr>
          <w:p w14:paraId="58EBF038"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141 ± 35</w:t>
            </w:r>
          </w:p>
        </w:tc>
        <w:tc>
          <w:tcPr>
            <w:tcW w:w="0" w:type="auto"/>
            <w:tcBorders>
              <w:bottom w:val="single" w:sz="8" w:space="0" w:color="auto"/>
            </w:tcBorders>
            <w:shd w:val="clear" w:color="auto" w:fill="auto"/>
            <w:vAlign w:val="center"/>
          </w:tcPr>
          <w:p w14:paraId="6E6B8303" w14:textId="77777777" w:rsidR="00AA0C2A" w:rsidRPr="00166515" w:rsidRDefault="00AA0C2A" w:rsidP="00166515">
            <w:pPr>
              <w:pStyle w:val="MDPI42tablebody"/>
              <w:autoSpaceDE w:val="0"/>
              <w:autoSpaceDN w:val="0"/>
              <w:spacing w:line="240" w:lineRule="auto"/>
              <w:cnfStyle w:val="000000000000" w:firstRow="0" w:lastRow="0" w:firstColumn="0" w:lastColumn="0" w:oddVBand="0" w:evenVBand="0" w:oddHBand="0" w:evenHBand="0" w:firstRowFirstColumn="0" w:firstRowLastColumn="0" w:lastRowFirstColumn="0" w:lastRowLastColumn="0"/>
              <w:rPr>
                <w:sz w:val="18"/>
              </w:rPr>
            </w:pPr>
            <w:r w:rsidRPr="00166515">
              <w:rPr>
                <w:kern w:val="24"/>
                <w:sz w:val="18"/>
              </w:rPr>
              <w:t>339 ± 189</w:t>
            </w:r>
          </w:p>
        </w:tc>
      </w:tr>
    </w:tbl>
    <w:p w14:paraId="390EC062" w14:textId="0F77AC30" w:rsidR="00AA0C2A" w:rsidRPr="00166515" w:rsidRDefault="00AA0C2A" w:rsidP="00166515">
      <w:pPr>
        <w:pStyle w:val="MDPI31text"/>
        <w:spacing w:before="240"/>
      </w:pPr>
      <w:r w:rsidRPr="00166515">
        <w:t>High-resolution microCT images (Fig</w:t>
      </w:r>
      <w:r w:rsidR="00166515">
        <w:t>ure</w:t>
      </w:r>
      <w:r w:rsidRPr="00166515">
        <w:t xml:space="preserve"> 3) </w:t>
      </w:r>
      <w:r w:rsidR="001E3BA0" w:rsidRPr="00166515">
        <w:t>provided</w:t>
      </w:r>
      <w:r w:rsidRPr="00166515">
        <w:t xml:space="preserve"> </w:t>
      </w:r>
      <w:r w:rsidR="00662233" w:rsidRPr="00166515">
        <w:t>visualization</w:t>
      </w:r>
      <w:r w:rsidRPr="00166515">
        <w:t xml:space="preserve"> of the characteristic microstructure and mineral distribution in the newly formed bone induced by the different treatments. Greater </w:t>
      </w:r>
      <w:r w:rsidR="00662233" w:rsidRPr="00166515">
        <w:t>remodeled</w:t>
      </w:r>
      <w:r w:rsidRPr="00166515">
        <w:t xml:space="preserve"> bone trabeculae were observed in Autograft specimens in comparison to other groups</w:t>
      </w:r>
      <w:r w:rsidR="00510F23">
        <w:t>,</w:t>
      </w:r>
      <w:r w:rsidRPr="00166515">
        <w:t xml:space="preserve"> with the presence of highly </w:t>
      </w:r>
      <w:r w:rsidR="00662233" w:rsidRPr="00166515">
        <w:t>mineralized</w:t>
      </w:r>
      <w:r w:rsidRPr="00166515">
        <w:t xml:space="preserve"> regions (lightest grey) within the newly formed bone. InductOs specimens presented the highest BV/TV, above 50% (Table 1)</w:t>
      </w:r>
      <w:r w:rsidR="00510F23">
        <w:t>,</w:t>
      </w:r>
      <w:r w:rsidRPr="00166515">
        <w:t xml:space="preserve"> with dense areas of woven bone. InductOs #1 was able to regenerate trabeculae with comparable thickness to Autograft specimens (~250 µm), whereas thinner trabeculae (~150 µm) were observed in InductOs #2 (Table 1). The thinnest trabeculae (below 150 µm) were identified in Laponite specimens, where larger voids were found in Laponite #1</w:t>
      </w:r>
      <w:r w:rsidR="00510F23">
        <w:t>, which</w:t>
      </w:r>
      <w:r w:rsidRPr="00166515">
        <w:t xml:space="preserve"> was unable to entirely bridge the defect site, compared to Laponite #2</w:t>
      </w:r>
      <w:r w:rsidR="00EA6D52" w:rsidRPr="00166515">
        <w:t xml:space="preserve"> at a 10-week point of retrieval</w:t>
      </w:r>
      <w:r w:rsidRPr="00166515">
        <w:t xml:space="preserve">. </w:t>
      </w:r>
    </w:p>
    <w:p w14:paraId="05F732E4" w14:textId="0A4AC747" w:rsidR="00AA0C2A" w:rsidRPr="00166515" w:rsidRDefault="00AA0C2A" w:rsidP="00166515">
      <w:pPr>
        <w:pStyle w:val="MDPI31text"/>
      </w:pPr>
      <w:r w:rsidRPr="00166515">
        <w:t xml:space="preserve">Overall, large variations were observed in both the mechanical and microstructural parameters </w:t>
      </w:r>
      <w:r w:rsidR="0054726D" w:rsidRPr="00166515">
        <w:t>among</w:t>
      </w:r>
      <w:r w:rsidRPr="00166515">
        <w:t xml:space="preserve"> all s</w:t>
      </w:r>
      <w:r w:rsidR="00A1382B" w:rsidRPr="00166515">
        <w:t>pecimens</w:t>
      </w:r>
      <w:r w:rsidRPr="00166515">
        <w:t>. Moderate correlations were found between the stiffness, TMD</w:t>
      </w:r>
      <w:r w:rsidR="00E12ECB">
        <w:t>,</w:t>
      </w:r>
      <w:r w:rsidRPr="00166515">
        <w:t xml:space="preserve"> and BV/TV, although no</w:t>
      </w:r>
      <w:r w:rsidR="008B1333" w:rsidRPr="00166515">
        <w:t>t</w:t>
      </w:r>
      <w:r w:rsidRPr="00166515">
        <w:t xml:space="preserve"> significant, whereas the stiffness correlate</w:t>
      </w:r>
      <w:r w:rsidR="00E12ECB">
        <w:t>d</w:t>
      </w:r>
      <w:r w:rsidRPr="00166515">
        <w:t xml:space="preserve"> poorly with the Tb.Th (Supplementary Figure S3). </w:t>
      </w:r>
    </w:p>
    <w:p w14:paraId="77680CA6" w14:textId="3310C449" w:rsidR="00AA0C2A" w:rsidRDefault="00AA0C2A" w:rsidP="006C0B9D">
      <w:pPr>
        <w:pStyle w:val="MDPI52figure"/>
        <w:jc w:val="both"/>
      </w:pPr>
      <w:bookmarkStart w:id="6" w:name="_Hlk525323807"/>
      <w:bookmarkEnd w:id="5"/>
    </w:p>
    <w:p w14:paraId="02ABA2E5" w14:textId="0242D858" w:rsidR="00ED7FCD" w:rsidRPr="00166515" w:rsidRDefault="00ED7FCD" w:rsidP="00166515">
      <w:pPr>
        <w:pStyle w:val="MDPI52figure"/>
      </w:pPr>
      <w:r>
        <w:rPr>
          <w:noProof/>
          <w:lang w:val="en-GB" w:eastAsia="en-GB" w:bidi="ar-SA"/>
        </w:rPr>
        <w:drawing>
          <wp:inline distT="0" distB="0" distL="0" distR="0" wp14:anchorId="70763CBD" wp14:editId="4E55E534">
            <wp:extent cx="5760720" cy="4282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4282440"/>
                    </a:xfrm>
                    <a:prstGeom prst="rect">
                      <a:avLst/>
                    </a:prstGeom>
                    <a:noFill/>
                  </pic:spPr>
                </pic:pic>
              </a:graphicData>
            </a:graphic>
          </wp:inline>
        </w:drawing>
      </w:r>
    </w:p>
    <w:p w14:paraId="6DBA2281" w14:textId="181D31EB" w:rsidR="00AA0C2A" w:rsidRPr="00166515" w:rsidRDefault="00166515" w:rsidP="00166515">
      <w:pPr>
        <w:pStyle w:val="MDPI51figurecaption"/>
        <w:rPr>
          <w:i/>
        </w:rPr>
      </w:pPr>
      <w:r w:rsidRPr="00166515">
        <w:rPr>
          <w:b/>
        </w:rPr>
        <w:t>Figure 3.</w:t>
      </w:r>
      <w:r w:rsidR="00AA0C2A" w:rsidRPr="00166515">
        <w:rPr>
          <w:b/>
        </w:rPr>
        <w:t xml:space="preserve"> </w:t>
      </w:r>
      <w:r w:rsidR="00AA0C2A" w:rsidRPr="00166515">
        <w:t>MicroCT cross-sections through the six analy</w:t>
      </w:r>
      <w:r w:rsidR="00E12ECB">
        <w:t>z</w:t>
      </w:r>
      <w:r w:rsidR="00AA0C2A" w:rsidRPr="00166515">
        <w:t>ed specimens</w:t>
      </w:r>
      <w:r w:rsidR="00E12ECB">
        <w:t>,</w:t>
      </w:r>
      <w:r w:rsidR="00AA0C2A" w:rsidRPr="00166515">
        <w:t xml:space="preserve"> showing differences in microstructure and </w:t>
      </w:r>
      <w:r w:rsidR="00662233" w:rsidRPr="00166515">
        <w:t>mineralization</w:t>
      </w:r>
      <w:r w:rsidR="00AA0C2A" w:rsidRPr="00166515">
        <w:t>. Large agglomerates of mineral (white) were identified in Autograft specimens. Laponite #1 showed considerably thinner trabeculae. Large areas of woven bone were present in InductOs and Laponite #2 specimens.</w:t>
      </w:r>
      <w:r w:rsidR="00ED7FCD">
        <w:t xml:space="preserve"> Scale bars = 1 mm.</w:t>
      </w:r>
    </w:p>
    <w:bookmarkEnd w:id="6"/>
    <w:p w14:paraId="18CAA5C7" w14:textId="35354A06" w:rsidR="00AA0C2A" w:rsidRPr="00166515" w:rsidRDefault="00166515" w:rsidP="00166515">
      <w:pPr>
        <w:pStyle w:val="MDPI22heading2"/>
      </w:pPr>
      <w:r w:rsidRPr="00166515">
        <w:t xml:space="preserve">3.2. </w:t>
      </w:r>
      <w:r w:rsidR="00AA0C2A" w:rsidRPr="00166515">
        <w:t xml:space="preserve">Digital </w:t>
      </w:r>
      <w:r w:rsidRPr="00166515">
        <w:t>Volume Correlation</w:t>
      </w:r>
    </w:p>
    <w:p w14:paraId="314680F6" w14:textId="486CC5AF" w:rsidR="00FB5D9B" w:rsidRPr="00166515" w:rsidRDefault="00FB5D9B" w:rsidP="00166515">
      <w:pPr>
        <w:pStyle w:val="MDPI31text"/>
      </w:pPr>
      <w:r w:rsidRPr="00166515">
        <w:t>Th</w:t>
      </w:r>
      <w:r w:rsidR="0054726D" w:rsidRPr="00166515">
        <w:t xml:space="preserve">e computed </w:t>
      </w:r>
      <w:r w:rsidR="00870BBB" w:rsidRPr="00166515">
        <w:t xml:space="preserve">local compressive </w:t>
      </w:r>
      <w:r w:rsidR="0054726D" w:rsidRPr="00166515">
        <w:t>strain</w:t>
      </w:r>
      <w:r w:rsidRPr="00166515">
        <w:t xml:space="preserve"> </w:t>
      </w:r>
      <w:r w:rsidR="0054726D" w:rsidRPr="00166515">
        <w:t>(</w:t>
      </w:r>
      <w:r w:rsidRPr="00166515">
        <w:t>ε</w:t>
      </w:r>
      <w:r w:rsidRPr="00166515">
        <w:rPr>
          <w:vertAlign w:val="subscript"/>
        </w:rPr>
        <w:t>p3</w:t>
      </w:r>
      <w:r w:rsidR="00002DEF" w:rsidRPr="00166515">
        <w:t xml:space="preserve">) </w:t>
      </w:r>
      <w:r w:rsidRPr="00166515">
        <w:t>accumulation a</w:t>
      </w:r>
      <w:r w:rsidR="00002DEF" w:rsidRPr="00166515">
        <w:t>fter</w:t>
      </w:r>
      <w:r w:rsidRPr="00166515">
        <w:t xml:space="preserve"> each </w:t>
      </w:r>
      <w:r w:rsidR="00870BBB" w:rsidRPr="00166515">
        <w:t xml:space="preserve">loading </w:t>
      </w:r>
      <w:r w:rsidRPr="00166515">
        <w:t>step</w:t>
      </w:r>
      <w:r w:rsidR="00002DEF" w:rsidRPr="00166515">
        <w:t xml:space="preserve"> is shown in Figure 4</w:t>
      </w:r>
      <w:r w:rsidRPr="00166515">
        <w:t>. Autograft specimens showed small differences between mean and median values, whose magnitudes ranged between 1000 µε at 1% apparent compression and 2500 µε at 3</w:t>
      </w:r>
      <w:r w:rsidR="00662233" w:rsidRPr="00166515">
        <w:t>%, with</w:t>
      </w:r>
      <w:r w:rsidRPr="00166515">
        <w:t xml:space="preserve"> highly homogeneous distributions and thin tails. Higher strain accumulation was observed for InductOs and Laponite specimens, which showed a broader local strain distribution. This was more evident at 3% compression, where mean and median values differed </w:t>
      </w:r>
      <w:r w:rsidR="00662233" w:rsidRPr="00166515">
        <w:t>considerably,</w:t>
      </w:r>
      <w:r w:rsidRPr="00166515">
        <w:t xml:space="preserve"> and large inter-quartile ranges were found. The highest compressive strains were observed in Laponite #1, with mean strain magnitudes varying from 2000 µε at 1% apparent compression to 8000 µε at 3%, whereas mean strain magnitudes never exceeded 3500 µε for the other specimens.</w:t>
      </w:r>
    </w:p>
    <w:p w14:paraId="3A41111A" w14:textId="519C10E0" w:rsidR="00FB5D9B" w:rsidRDefault="00FB5D9B" w:rsidP="00166515">
      <w:pPr>
        <w:pStyle w:val="MDPI52figure"/>
      </w:pPr>
      <w:bookmarkStart w:id="7" w:name="_Hlk525324284"/>
    </w:p>
    <w:p w14:paraId="1858B26B" w14:textId="30DB1BC4" w:rsidR="00ED7FCD" w:rsidRPr="00166515" w:rsidRDefault="00ED7FCD" w:rsidP="00166515">
      <w:pPr>
        <w:pStyle w:val="MDPI52figure"/>
      </w:pPr>
      <w:r>
        <w:rPr>
          <w:noProof/>
          <w:lang w:val="en-GB" w:eastAsia="en-GB" w:bidi="ar-SA"/>
        </w:rPr>
        <w:drawing>
          <wp:inline distT="0" distB="0" distL="0" distR="0" wp14:anchorId="0D3AA238" wp14:editId="1AF90096">
            <wp:extent cx="5719970" cy="310512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19970" cy="3105127"/>
                    </a:xfrm>
                    <a:prstGeom prst="rect">
                      <a:avLst/>
                    </a:prstGeom>
                    <a:noFill/>
                  </pic:spPr>
                </pic:pic>
              </a:graphicData>
            </a:graphic>
          </wp:inline>
        </w:drawing>
      </w:r>
    </w:p>
    <w:p w14:paraId="6D39D295" w14:textId="7B9D5057" w:rsidR="00FB5D9B" w:rsidRPr="00166515" w:rsidRDefault="00166515" w:rsidP="00166515">
      <w:pPr>
        <w:pStyle w:val="MDPI51figurecaption"/>
        <w:rPr>
          <w:i/>
        </w:rPr>
      </w:pPr>
      <w:r w:rsidRPr="00166515">
        <w:rPr>
          <w:b/>
        </w:rPr>
        <w:t>Figure 4.</w:t>
      </w:r>
      <w:r w:rsidR="00FB5D9B" w:rsidRPr="00166515">
        <w:rPr>
          <w:b/>
        </w:rPr>
        <w:t xml:space="preserve"> </w:t>
      </w:r>
      <w:r w:rsidR="00FB5D9B" w:rsidRPr="00166515">
        <w:t xml:space="preserve">Violin plots showing the third principal strain distribution </w:t>
      </w:r>
      <w:bookmarkStart w:id="8" w:name="_Hlk525402927"/>
      <w:r w:rsidR="00FB5D9B" w:rsidRPr="00166515">
        <w:t>(ε</w:t>
      </w:r>
      <w:r w:rsidR="00FB5D9B" w:rsidRPr="00166515">
        <w:rPr>
          <w:vertAlign w:val="subscript"/>
        </w:rPr>
        <w:t>p3</w:t>
      </w:r>
      <w:r w:rsidR="00FB5D9B" w:rsidRPr="00166515">
        <w:t xml:space="preserve">) </w:t>
      </w:r>
      <w:bookmarkEnd w:id="8"/>
      <w:r w:rsidR="00FB5D9B" w:rsidRPr="00166515">
        <w:t>in the VOI of the six specimens at each compression step smoothed by a kernel density function. Median (+) and mean (*) values are indicated in each plot. Horizontal lines show the inter-quartile range (IQR, between 25th and 75th percentile of the data).</w:t>
      </w:r>
    </w:p>
    <w:p w14:paraId="5E508A8C" w14:textId="10C98936" w:rsidR="00FB5D9B" w:rsidRPr="00166515" w:rsidRDefault="003B0CBC" w:rsidP="00166515">
      <w:pPr>
        <w:pStyle w:val="MDPI31text"/>
      </w:pPr>
      <w:r w:rsidRPr="00166515">
        <w:t xml:space="preserve">The </w:t>
      </w:r>
      <w:r w:rsidR="00FB5D9B" w:rsidRPr="00166515">
        <w:t>3D full-field ε</w:t>
      </w:r>
      <w:r w:rsidR="00FB5D9B" w:rsidRPr="00166515">
        <w:rPr>
          <w:vertAlign w:val="subscript"/>
        </w:rPr>
        <w:t>p3</w:t>
      </w:r>
      <w:r w:rsidR="00FB5D9B" w:rsidRPr="00166515">
        <w:t xml:space="preserve"> in Autograft specimens (Fig</w:t>
      </w:r>
      <w:r w:rsidR="00166515">
        <w:t>ure</w:t>
      </w:r>
      <w:r w:rsidR="00FB5D9B" w:rsidRPr="00166515">
        <w:t xml:space="preserve"> 5a) revealed local strain accumulation with increasing compression levels. Areas of high strain concentration (Fig</w:t>
      </w:r>
      <w:r w:rsidR="00166515">
        <w:t>ure</w:t>
      </w:r>
      <w:r w:rsidR="00FB5D9B" w:rsidRPr="00166515">
        <w:t xml:space="preserve"> 5b) were predominantly within the more </w:t>
      </w:r>
      <w:r w:rsidR="00662233" w:rsidRPr="00166515">
        <w:t>remodeled</w:t>
      </w:r>
      <w:r w:rsidR="00FB5D9B" w:rsidRPr="00166515">
        <w:t xml:space="preserve"> trabeculae from the first compressive step, with strain magnitudes exceeding </w:t>
      </w:r>
      <w:r w:rsidR="00166515">
        <w:t>−</w:t>
      </w:r>
      <w:r w:rsidR="00FB5D9B" w:rsidRPr="00166515">
        <w:t xml:space="preserve">8000 µε in some regions at 3% compression. Newly formed bone regions showed less </w:t>
      </w:r>
      <w:r w:rsidR="00662233" w:rsidRPr="00166515">
        <w:t>mineralization</w:t>
      </w:r>
      <w:r w:rsidR="00FB5D9B" w:rsidRPr="00166515">
        <w:t xml:space="preserve"> (Fig</w:t>
      </w:r>
      <w:r w:rsidR="00166515">
        <w:t>ure</w:t>
      </w:r>
      <w:r w:rsidR="00FB5D9B" w:rsidRPr="00166515">
        <w:t xml:space="preserve"> 5c) compared to the greater </w:t>
      </w:r>
      <w:r w:rsidR="00662233" w:rsidRPr="00166515">
        <w:t>remodeled</w:t>
      </w:r>
      <w:r w:rsidR="00FB5D9B" w:rsidRPr="00166515">
        <w:t xml:space="preserve"> trabecular bone, however this was not related to higher deformation. Strain accumulation within the InductOs specimens (Fig</w:t>
      </w:r>
      <w:r w:rsidR="00166515">
        <w:t>ure</w:t>
      </w:r>
      <w:r w:rsidR="00FB5D9B" w:rsidRPr="00166515">
        <w:t xml:space="preserve"> 6a) was observed to be more progressive than for Autograft specimens, </w:t>
      </w:r>
      <w:r w:rsidR="001E3BA0" w:rsidRPr="00166515">
        <w:t>indicating</w:t>
      </w:r>
      <w:r w:rsidR="00FB5D9B" w:rsidRPr="00166515">
        <w:t xml:space="preserve"> </w:t>
      </w:r>
      <w:r w:rsidRPr="00166515">
        <w:t>larger</w:t>
      </w:r>
      <w:r w:rsidR="00FB5D9B" w:rsidRPr="00166515">
        <w:t xml:space="preserve"> differences at each compressive level. Highly strained areas were typically observed in the newly formed bone (woven) for InductOs #1 and in the newly formed trabeculae in InductOs #2 (Fig</w:t>
      </w:r>
      <w:r w:rsidR="00166515">
        <w:t>ure</w:t>
      </w:r>
      <w:r w:rsidR="00FB5D9B" w:rsidRPr="00166515">
        <w:t xml:space="preserve"> 6b), </w:t>
      </w:r>
      <w:r w:rsidR="00CA0B79" w:rsidRPr="00166515">
        <w:t xml:space="preserve">which </w:t>
      </w:r>
      <w:r w:rsidR="00FB5D9B" w:rsidRPr="00166515">
        <w:t xml:space="preserve">showed less </w:t>
      </w:r>
      <w:r w:rsidR="00662233" w:rsidRPr="00166515">
        <w:t>mineralization</w:t>
      </w:r>
      <w:r w:rsidR="00FB5D9B" w:rsidRPr="00166515">
        <w:t xml:space="preserve"> (Fig</w:t>
      </w:r>
      <w:r w:rsidR="00166515">
        <w:t>ure</w:t>
      </w:r>
      <w:r w:rsidR="00FB5D9B" w:rsidRPr="00166515">
        <w:t xml:space="preserve"> 6c). </w:t>
      </w:r>
      <w:r w:rsidR="00E12ECB">
        <w:t xml:space="preserve">The </w:t>
      </w:r>
      <w:r w:rsidR="00FB5D9B" w:rsidRPr="00166515">
        <w:t>Laponite #1 specimen (Fig</w:t>
      </w:r>
      <w:r w:rsidR="00166515">
        <w:t>ure</w:t>
      </w:r>
      <w:r w:rsidR="00FB5D9B" w:rsidRPr="00166515">
        <w:t xml:space="preserve"> 7a.1) displayed a marked and abrupt strain accumulation compared to Laponite #2 (Fig</w:t>
      </w:r>
      <w:r w:rsidR="00166515">
        <w:t>ure</w:t>
      </w:r>
      <w:r w:rsidR="00FB5D9B" w:rsidRPr="00166515">
        <w:t xml:space="preserve"> 7a.2), with areas with strain magnitude exceeding 10</w:t>
      </w:r>
      <w:r w:rsidR="00166515">
        <w:t>,</w:t>
      </w:r>
      <w:r w:rsidR="00FB5D9B" w:rsidRPr="00166515">
        <w:t>000 µε from the first compression step (Fig</w:t>
      </w:r>
      <w:r w:rsidR="00166515">
        <w:t>ure</w:t>
      </w:r>
      <w:r w:rsidR="00FB5D9B" w:rsidRPr="00166515">
        <w:t xml:space="preserve"> 7b.2). </w:t>
      </w:r>
      <w:r w:rsidR="00CA0B79" w:rsidRPr="00166515">
        <w:t>The</w:t>
      </w:r>
      <w:r w:rsidR="00FB5D9B" w:rsidRPr="00166515">
        <w:t xml:space="preserve"> ε</w:t>
      </w:r>
      <w:r w:rsidR="00FB5D9B" w:rsidRPr="00166515">
        <w:rPr>
          <w:vertAlign w:val="subscript"/>
        </w:rPr>
        <w:t>p3</w:t>
      </w:r>
      <w:r w:rsidR="00FB5D9B" w:rsidRPr="00F95960">
        <w:t xml:space="preserve"> </w:t>
      </w:r>
      <w:r w:rsidR="00FB5D9B" w:rsidRPr="00166515">
        <w:t>in Laponite #2 was largely homogeneous after 1% and 2% of applied compression; however, larger strain values were found at 3% compression. Both specimens experienced higher strains in the newly formed thin trabeculae (Fig</w:t>
      </w:r>
      <w:r w:rsidR="00166515">
        <w:t>ure</w:t>
      </w:r>
      <w:r w:rsidR="00FB5D9B" w:rsidRPr="00166515">
        <w:t xml:space="preserve"> 7b), which also matched the lower </w:t>
      </w:r>
      <w:r w:rsidR="00662233" w:rsidRPr="00166515">
        <w:t>mineralized</w:t>
      </w:r>
      <w:r w:rsidR="00FB5D9B" w:rsidRPr="00166515">
        <w:t xml:space="preserve"> regions (Fig</w:t>
      </w:r>
      <w:r w:rsidR="00166515">
        <w:t>ure</w:t>
      </w:r>
      <w:r w:rsidR="00FB5D9B" w:rsidRPr="00166515">
        <w:t xml:space="preserve"> 7c). TMD was found to be higher in </w:t>
      </w:r>
      <w:r w:rsidR="00997FDB" w:rsidRPr="00166515">
        <w:t>the</w:t>
      </w:r>
      <w:r w:rsidR="00FB5D9B" w:rsidRPr="00166515">
        <w:t xml:space="preserve"> new bone.</w:t>
      </w:r>
    </w:p>
    <w:p w14:paraId="52E016C4" w14:textId="01D92DA2" w:rsidR="00FB5D9B" w:rsidRPr="00166515" w:rsidRDefault="00FB5D9B" w:rsidP="00166515">
      <w:pPr>
        <w:pStyle w:val="MDPI31text"/>
      </w:pPr>
      <w:r w:rsidRPr="00166515">
        <w:t xml:space="preserve">Local compressive strain </w:t>
      </w:r>
      <w:r w:rsidR="008F6D99" w:rsidRPr="00166515">
        <w:t>among all s</w:t>
      </w:r>
      <w:r w:rsidR="00A1382B" w:rsidRPr="00166515">
        <w:t>pecimens</w:t>
      </w:r>
      <w:r w:rsidR="008F6D99" w:rsidRPr="00166515">
        <w:t xml:space="preserve"> </w:t>
      </w:r>
      <w:r w:rsidRPr="00166515">
        <w:t>correlated poorly with the TMD, but moderately with the BV/TV and overall thickness (Supplementary Figure S3). Highly strain</w:t>
      </w:r>
      <w:r w:rsidR="00994BDB" w:rsidRPr="00166515">
        <w:t>ed</w:t>
      </w:r>
      <w:r w:rsidRPr="00166515">
        <w:t xml:space="preserve"> regions</w:t>
      </w:r>
      <w:r w:rsidR="00994BDB" w:rsidRPr="00166515">
        <w:t xml:space="preserve"> (mean </w:t>
      </w:r>
      <w:r w:rsidR="00116653" w:rsidRPr="00166515">
        <w:t xml:space="preserve">of </w:t>
      </w:r>
      <w:r w:rsidR="00994BDB" w:rsidRPr="00166515">
        <w:t xml:space="preserve">all </w:t>
      </w:r>
      <w:r w:rsidR="003A4ED6" w:rsidRPr="00166515">
        <w:t xml:space="preserve">the </w:t>
      </w:r>
      <w:r w:rsidR="00994BDB" w:rsidRPr="00166515">
        <w:t>s</w:t>
      </w:r>
      <w:r w:rsidR="00A1382B" w:rsidRPr="00166515">
        <w:t>pecimens</w:t>
      </w:r>
      <w:r w:rsidR="00116653" w:rsidRPr="00166515">
        <w:t xml:space="preserve">, </w:t>
      </w:r>
      <w:r w:rsidR="00116653" w:rsidRPr="009D5A75">
        <w:rPr>
          <w:i/>
          <w:iCs/>
        </w:rPr>
        <w:t>n</w:t>
      </w:r>
      <w:r w:rsidR="00166515">
        <w:t xml:space="preserve"> </w:t>
      </w:r>
      <w:r w:rsidR="00116653" w:rsidRPr="00166515">
        <w:t>=</w:t>
      </w:r>
      <w:r w:rsidR="00166515">
        <w:t xml:space="preserve"> </w:t>
      </w:r>
      <w:r w:rsidR="00116653" w:rsidRPr="00166515">
        <w:t>6</w:t>
      </w:r>
      <w:r w:rsidR="00994BDB" w:rsidRPr="00166515">
        <w:t xml:space="preserve">) </w:t>
      </w:r>
      <w:r w:rsidRPr="00166515">
        <w:t>at the maximum load (3% apparent compression) presented significantly lower thickness compared to the less strained areas</w:t>
      </w:r>
      <w:r w:rsidR="00994BDB" w:rsidRPr="00166515">
        <w:t xml:space="preserve"> (mean </w:t>
      </w:r>
      <w:r w:rsidR="00116653" w:rsidRPr="00166515">
        <w:t>of</w:t>
      </w:r>
      <w:r w:rsidR="00994BDB" w:rsidRPr="00166515">
        <w:t xml:space="preserve"> all </w:t>
      </w:r>
      <w:r w:rsidR="003A4ED6" w:rsidRPr="00166515">
        <w:t xml:space="preserve">the </w:t>
      </w:r>
      <w:r w:rsidR="00994BDB" w:rsidRPr="00166515">
        <w:t>s</w:t>
      </w:r>
      <w:r w:rsidR="00A1382B" w:rsidRPr="00166515">
        <w:t>pecimens</w:t>
      </w:r>
      <w:r w:rsidR="00116653" w:rsidRPr="00166515">
        <w:t xml:space="preserve">, </w:t>
      </w:r>
      <w:r w:rsidR="00116653" w:rsidRPr="009D5A75">
        <w:rPr>
          <w:i/>
          <w:iCs/>
        </w:rPr>
        <w:t>n</w:t>
      </w:r>
      <w:r w:rsidR="00166515">
        <w:t xml:space="preserve"> </w:t>
      </w:r>
      <w:r w:rsidR="00116653" w:rsidRPr="00166515">
        <w:t>=</w:t>
      </w:r>
      <w:r w:rsidR="00166515">
        <w:t xml:space="preserve"> </w:t>
      </w:r>
      <w:r w:rsidR="00116653" w:rsidRPr="00166515">
        <w:t>6</w:t>
      </w:r>
      <w:r w:rsidR="00994BDB" w:rsidRPr="00166515">
        <w:t>)</w:t>
      </w:r>
      <w:r w:rsidRPr="00166515">
        <w:t xml:space="preserve">, although no significant differences were observed in the Avg-TMD between both regions (Supplementary Figure S4). </w:t>
      </w:r>
    </w:p>
    <w:p w14:paraId="79D64B58" w14:textId="77777777" w:rsidR="00FB5D9B" w:rsidRPr="00166515" w:rsidRDefault="008E2E15" w:rsidP="00166515">
      <w:pPr>
        <w:pStyle w:val="MDPI52figure"/>
      </w:pPr>
      <w:bookmarkStart w:id="9" w:name="_Hlk525324302"/>
      <w:bookmarkEnd w:id="7"/>
      <w:r w:rsidRPr="00166515">
        <w:rPr>
          <w:noProof/>
          <w:lang w:val="en-GB" w:eastAsia="en-GB" w:bidi="ar-SA"/>
        </w:rPr>
        <w:drawing>
          <wp:inline distT="0" distB="0" distL="0" distR="0" wp14:anchorId="3E38628C" wp14:editId="170FF7ED">
            <wp:extent cx="5737096" cy="518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7096" cy="5181600"/>
                    </a:xfrm>
                    <a:prstGeom prst="rect">
                      <a:avLst/>
                    </a:prstGeom>
                    <a:noFill/>
                    <a:ln>
                      <a:noFill/>
                    </a:ln>
                  </pic:spPr>
                </pic:pic>
              </a:graphicData>
            </a:graphic>
          </wp:inline>
        </w:drawing>
      </w:r>
    </w:p>
    <w:p w14:paraId="2D156F9F" w14:textId="3B42A418" w:rsidR="00FB5D9B" w:rsidRPr="00166515" w:rsidRDefault="00166515" w:rsidP="00166515">
      <w:pPr>
        <w:pStyle w:val="MDPI51figurecaption"/>
        <w:rPr>
          <w:sz w:val="16"/>
        </w:rPr>
      </w:pPr>
      <w:r w:rsidRPr="00166515">
        <w:rPr>
          <w:b/>
        </w:rPr>
        <w:t>Figure 5.</w:t>
      </w:r>
      <w:r w:rsidR="00FB5D9B" w:rsidRPr="00166515">
        <w:rPr>
          <w:b/>
        </w:rPr>
        <w:t xml:space="preserve"> </w:t>
      </w:r>
      <w:r w:rsidR="00FB5D9B" w:rsidRPr="00166515">
        <w:t>(</w:t>
      </w:r>
      <w:r w:rsidR="00FB5D9B" w:rsidRPr="00166515">
        <w:rPr>
          <w:b/>
        </w:rPr>
        <w:t>a</w:t>
      </w:r>
      <w:r w:rsidR="00FB5D9B" w:rsidRPr="00166515">
        <w:t>) 3D full-field third principal strain distribution (ε</w:t>
      </w:r>
      <w:r w:rsidR="00FB5D9B" w:rsidRPr="00166515">
        <w:rPr>
          <w:vertAlign w:val="subscript"/>
        </w:rPr>
        <w:t>p3</w:t>
      </w:r>
      <w:r w:rsidR="00FB5D9B" w:rsidRPr="00166515">
        <w:t>) at each compression step for the VOI of Autograft specimens and (</w:t>
      </w:r>
      <w:r w:rsidR="00FB5D9B" w:rsidRPr="00166515">
        <w:rPr>
          <w:b/>
        </w:rPr>
        <w:t>b</w:t>
      </w:r>
      <w:r w:rsidR="00FB5D9B" w:rsidRPr="00166515">
        <w:t xml:space="preserve">) corresponding 20% of </w:t>
      </w:r>
      <w:r w:rsidR="00E12ECB">
        <w:t xml:space="preserve">the </w:t>
      </w:r>
      <w:r w:rsidR="00FB5D9B" w:rsidRPr="00166515">
        <w:t xml:space="preserve">bone volume fraction (BV/TV) </w:t>
      </w:r>
      <w:r w:rsidR="00E12ECB">
        <w:t xml:space="preserve">that was </w:t>
      </w:r>
      <w:r w:rsidR="00FB5D9B" w:rsidRPr="00166515">
        <w:t xml:space="preserve">highly strained. An increase and redistribution in the accumulated strain </w:t>
      </w:r>
      <w:r w:rsidR="00E12ECB">
        <w:t>wa</w:t>
      </w:r>
      <w:r w:rsidR="00FB5D9B" w:rsidRPr="00166515">
        <w:t>s observed following consecutive compression steps. (</w:t>
      </w:r>
      <w:r w:rsidR="00FB5D9B" w:rsidRPr="00166515">
        <w:rPr>
          <w:b/>
        </w:rPr>
        <w:t>c</w:t>
      </w:r>
      <w:r w:rsidR="00FB5D9B" w:rsidRPr="00166515">
        <w:t xml:space="preserve">) Tissue mineral density distribution in the VOI of each specimen. The greater </w:t>
      </w:r>
      <w:r w:rsidR="00662233" w:rsidRPr="00166515">
        <w:t>remodeled</w:t>
      </w:r>
      <w:r w:rsidR="00FB5D9B" w:rsidRPr="00166515">
        <w:t xml:space="preserve"> trabeculae showed higher </w:t>
      </w:r>
      <w:r w:rsidR="00662233" w:rsidRPr="00166515">
        <w:t>mineralization</w:t>
      </w:r>
      <w:r w:rsidR="00FB5D9B" w:rsidRPr="00166515">
        <w:t xml:space="preserve"> compared to newly formed bone tissue in both specimens.</w:t>
      </w:r>
    </w:p>
    <w:p w14:paraId="7239ADA2" w14:textId="77777777" w:rsidR="00FB5D9B" w:rsidRPr="00166515" w:rsidRDefault="008E2E15" w:rsidP="00166515">
      <w:pPr>
        <w:pStyle w:val="MDPI52figure"/>
      </w:pPr>
      <w:bookmarkStart w:id="10" w:name="_Hlk525324321"/>
      <w:bookmarkEnd w:id="9"/>
      <w:r w:rsidRPr="00166515">
        <w:rPr>
          <w:noProof/>
          <w:lang w:val="en-GB" w:eastAsia="en-GB" w:bidi="ar-SA"/>
        </w:rPr>
        <w:drawing>
          <wp:inline distT="0" distB="0" distL="0" distR="0" wp14:anchorId="14AB1926" wp14:editId="3BEE94E4">
            <wp:extent cx="5726288" cy="5153660"/>
            <wp:effectExtent l="0" t="0" r="8255" b="889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26288" cy="5153660"/>
                    </a:xfrm>
                    <a:prstGeom prst="rect">
                      <a:avLst/>
                    </a:prstGeom>
                    <a:noFill/>
                    <a:ln>
                      <a:noFill/>
                    </a:ln>
                  </pic:spPr>
                </pic:pic>
              </a:graphicData>
            </a:graphic>
          </wp:inline>
        </w:drawing>
      </w:r>
    </w:p>
    <w:p w14:paraId="29C71292" w14:textId="069E0F07" w:rsidR="00FB5D9B" w:rsidRPr="00166515" w:rsidRDefault="00166515" w:rsidP="00166515">
      <w:pPr>
        <w:pStyle w:val="MDPI51figurecaption"/>
        <w:rPr>
          <w:sz w:val="16"/>
        </w:rPr>
      </w:pPr>
      <w:r w:rsidRPr="00166515">
        <w:rPr>
          <w:b/>
        </w:rPr>
        <w:t>Figure 6.</w:t>
      </w:r>
      <w:r w:rsidR="00FB5D9B" w:rsidRPr="00166515">
        <w:rPr>
          <w:b/>
        </w:rPr>
        <w:t xml:space="preserve"> </w:t>
      </w:r>
      <w:r w:rsidR="00FB5D9B" w:rsidRPr="00166515">
        <w:t>(</w:t>
      </w:r>
      <w:r w:rsidR="00FB5D9B" w:rsidRPr="006C3BDB">
        <w:rPr>
          <w:b/>
        </w:rPr>
        <w:t>a</w:t>
      </w:r>
      <w:r w:rsidR="00FB5D9B" w:rsidRPr="00166515">
        <w:t>) 3D full-field third principal strain distribution (ε</w:t>
      </w:r>
      <w:r w:rsidR="00FB5D9B" w:rsidRPr="00166515">
        <w:rPr>
          <w:vertAlign w:val="subscript"/>
        </w:rPr>
        <w:t>p3</w:t>
      </w:r>
      <w:r w:rsidR="00FB5D9B" w:rsidRPr="00166515">
        <w:t>) at each compression step for the VOI of InductOs specimens</w:t>
      </w:r>
      <w:r w:rsidR="00E12ECB">
        <w:t>,</w:t>
      </w:r>
      <w:r w:rsidR="00FB5D9B" w:rsidRPr="00166515">
        <w:t xml:space="preserve"> and (</w:t>
      </w:r>
      <w:r w:rsidR="00FB5D9B" w:rsidRPr="006C3BDB">
        <w:rPr>
          <w:b/>
        </w:rPr>
        <w:t>b</w:t>
      </w:r>
      <w:r w:rsidR="00FB5D9B" w:rsidRPr="00166515">
        <w:t>) corresponding 20% of</w:t>
      </w:r>
      <w:r w:rsidR="00E12ECB">
        <w:t xml:space="preserve"> the</w:t>
      </w:r>
      <w:r w:rsidR="00FB5D9B" w:rsidRPr="00166515">
        <w:t xml:space="preserve"> bone volume fraction (BV/TV)</w:t>
      </w:r>
      <w:r w:rsidR="00E12ECB">
        <w:t xml:space="preserve"> that was</w:t>
      </w:r>
      <w:r w:rsidR="00FB5D9B" w:rsidRPr="00166515">
        <w:t xml:space="preserve"> highly strained. An increase and redistribution in the accumulated strain </w:t>
      </w:r>
      <w:r w:rsidR="00E12ECB">
        <w:t>wa</w:t>
      </w:r>
      <w:r w:rsidR="00FB5D9B" w:rsidRPr="00166515">
        <w:t>s observed after consecutive compression step</w:t>
      </w:r>
      <w:r w:rsidR="00994BDB" w:rsidRPr="00166515">
        <w:t>s</w:t>
      </w:r>
      <w:r w:rsidR="00FB5D9B" w:rsidRPr="00166515">
        <w:t>. (</w:t>
      </w:r>
      <w:r w:rsidR="00FB5D9B" w:rsidRPr="006C3BDB">
        <w:rPr>
          <w:b/>
        </w:rPr>
        <w:t>c</w:t>
      </w:r>
      <w:r w:rsidR="00FB5D9B" w:rsidRPr="00166515">
        <w:t xml:space="preserve">) Tissue mineral density (TMD) distribution in the VOI of each specimen. The more </w:t>
      </w:r>
      <w:r w:rsidR="00662233" w:rsidRPr="00166515">
        <w:t>remodeled</w:t>
      </w:r>
      <w:r w:rsidR="00FB5D9B" w:rsidRPr="00166515">
        <w:t xml:space="preserve"> trabeculae showed higher </w:t>
      </w:r>
      <w:r w:rsidR="00662233" w:rsidRPr="00166515">
        <w:t>mineralization</w:t>
      </w:r>
      <w:r w:rsidR="00FB5D9B" w:rsidRPr="00166515">
        <w:t xml:space="preserve"> compared to </w:t>
      </w:r>
      <w:r w:rsidR="00E12ECB">
        <w:t xml:space="preserve">the </w:t>
      </w:r>
      <w:r w:rsidR="00FB5D9B" w:rsidRPr="00166515">
        <w:t xml:space="preserve">newly formed bone tissue in InductOs #1. Highly </w:t>
      </w:r>
      <w:r w:rsidR="00662233" w:rsidRPr="00166515">
        <w:t>mineralized</w:t>
      </w:r>
      <w:r w:rsidR="00FB5D9B" w:rsidRPr="00166515">
        <w:t xml:space="preserve"> areas were identified in </w:t>
      </w:r>
      <w:r w:rsidR="00994BDB" w:rsidRPr="00166515">
        <w:t xml:space="preserve">the </w:t>
      </w:r>
      <w:r w:rsidR="00FB5D9B" w:rsidRPr="00166515">
        <w:t xml:space="preserve">woven bone </w:t>
      </w:r>
      <w:r w:rsidR="00994BDB" w:rsidRPr="00166515">
        <w:t>for</w:t>
      </w:r>
      <w:r w:rsidR="00FB5D9B" w:rsidRPr="00166515">
        <w:t xml:space="preserve"> InductOs #2.</w:t>
      </w:r>
    </w:p>
    <w:bookmarkEnd w:id="10"/>
    <w:p w14:paraId="5520221C" w14:textId="77777777" w:rsidR="00FB5D9B" w:rsidRPr="00166515" w:rsidRDefault="008E2E15" w:rsidP="00166515">
      <w:pPr>
        <w:pStyle w:val="MDPI52figure"/>
      </w:pPr>
      <w:r w:rsidRPr="00166515">
        <w:rPr>
          <w:noProof/>
          <w:lang w:val="en-GB" w:eastAsia="en-GB" w:bidi="ar-SA"/>
        </w:rPr>
        <w:drawing>
          <wp:inline distT="0" distB="0" distL="0" distR="0" wp14:anchorId="6294FF87" wp14:editId="1457AF10">
            <wp:extent cx="5741467" cy="518858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41467" cy="5188585"/>
                    </a:xfrm>
                    <a:prstGeom prst="rect">
                      <a:avLst/>
                    </a:prstGeom>
                    <a:noFill/>
                    <a:ln>
                      <a:noFill/>
                    </a:ln>
                  </pic:spPr>
                </pic:pic>
              </a:graphicData>
            </a:graphic>
          </wp:inline>
        </w:drawing>
      </w:r>
    </w:p>
    <w:p w14:paraId="4CC9796B" w14:textId="0E00523A" w:rsidR="00AA0C2A" w:rsidRPr="00166515" w:rsidRDefault="00166515" w:rsidP="00166515">
      <w:pPr>
        <w:pStyle w:val="MDPI51figurecaption"/>
      </w:pPr>
      <w:r w:rsidRPr="00166515">
        <w:rPr>
          <w:b/>
        </w:rPr>
        <w:t>Figure 7.</w:t>
      </w:r>
      <w:r w:rsidR="00FB5D9B" w:rsidRPr="00166515">
        <w:rPr>
          <w:b/>
        </w:rPr>
        <w:t xml:space="preserve"> </w:t>
      </w:r>
      <w:r w:rsidR="00FB5D9B" w:rsidRPr="00166515">
        <w:t>(</w:t>
      </w:r>
      <w:r w:rsidR="00FB5D9B" w:rsidRPr="006C3BDB">
        <w:rPr>
          <w:b/>
        </w:rPr>
        <w:t>a</w:t>
      </w:r>
      <w:r w:rsidR="00FB5D9B" w:rsidRPr="00166515">
        <w:t>) 3D full-field third principal strain distribution (ε</w:t>
      </w:r>
      <w:r w:rsidR="00FB5D9B" w:rsidRPr="00166515">
        <w:rPr>
          <w:vertAlign w:val="subscript"/>
        </w:rPr>
        <w:t>p3</w:t>
      </w:r>
      <w:r w:rsidR="00FB5D9B" w:rsidRPr="00166515">
        <w:t>) at each compression step for the VOI of Laponite specimens</w:t>
      </w:r>
      <w:r w:rsidR="00E12ECB">
        <w:t>,</w:t>
      </w:r>
      <w:r w:rsidR="00FB5D9B" w:rsidRPr="00166515">
        <w:t xml:space="preserve"> and (</w:t>
      </w:r>
      <w:r w:rsidR="00FB5D9B" w:rsidRPr="006C3BDB">
        <w:rPr>
          <w:b/>
        </w:rPr>
        <w:t>b</w:t>
      </w:r>
      <w:r w:rsidR="00FB5D9B" w:rsidRPr="00166515">
        <w:t>) corresponding 20% of</w:t>
      </w:r>
      <w:r w:rsidR="00E12ECB">
        <w:t xml:space="preserve"> the</w:t>
      </w:r>
      <w:r w:rsidR="00FB5D9B" w:rsidRPr="00166515">
        <w:t xml:space="preserve"> bone volume fraction (BV/TV) </w:t>
      </w:r>
      <w:r w:rsidR="00E12ECB">
        <w:t xml:space="preserve">that was </w:t>
      </w:r>
      <w:r w:rsidR="00FB5D9B" w:rsidRPr="00166515">
        <w:t>highly strained. An increase and redistribution in the accumulated strain is observed after consecutive compression step</w:t>
      </w:r>
      <w:r w:rsidR="00994BDB" w:rsidRPr="00166515">
        <w:t>s</w:t>
      </w:r>
      <w:r w:rsidR="00FB5D9B" w:rsidRPr="00166515">
        <w:t>. (</w:t>
      </w:r>
      <w:r w:rsidR="00FB5D9B" w:rsidRPr="006C3BDB">
        <w:rPr>
          <w:b/>
        </w:rPr>
        <w:t>c</w:t>
      </w:r>
      <w:r w:rsidR="00FB5D9B" w:rsidRPr="00166515">
        <w:t xml:space="preserve">) Tissue mineral density distribution in the VOI of each specimen. Highly </w:t>
      </w:r>
      <w:r w:rsidR="00662233" w:rsidRPr="00166515">
        <w:t>mineralized</w:t>
      </w:r>
      <w:r w:rsidR="00FB5D9B" w:rsidRPr="00166515">
        <w:t xml:space="preserve"> regions were found within the woven bone, whereas the newly formed thin trabecula</w:t>
      </w:r>
      <w:r w:rsidR="00080E9D" w:rsidRPr="00166515">
        <w:t>e</w:t>
      </w:r>
      <w:r w:rsidR="00FB5D9B" w:rsidRPr="00166515">
        <w:t xml:space="preserve"> showed lower </w:t>
      </w:r>
      <w:r w:rsidR="00662233" w:rsidRPr="00166515">
        <w:t>mineralization</w:t>
      </w:r>
      <w:r w:rsidR="00FB5D9B" w:rsidRPr="00166515">
        <w:t>.</w:t>
      </w:r>
    </w:p>
    <w:p w14:paraId="6843D144" w14:textId="54593A31" w:rsidR="00F42E7B" w:rsidRPr="00166515" w:rsidRDefault="00166515" w:rsidP="00166515">
      <w:pPr>
        <w:pStyle w:val="MDPI21heading1"/>
      </w:pPr>
      <w:r w:rsidRPr="00166515">
        <w:t xml:space="preserve">4. </w:t>
      </w:r>
      <w:r w:rsidR="00F42E7B" w:rsidRPr="00166515">
        <w:t>Discussion</w:t>
      </w:r>
    </w:p>
    <w:p w14:paraId="0CBFFDEA" w14:textId="0A6002E3" w:rsidR="00A32243" w:rsidRPr="00166515" w:rsidRDefault="00A32243" w:rsidP="00166515">
      <w:pPr>
        <w:pStyle w:val="MDPI31text"/>
      </w:pPr>
      <w:r w:rsidRPr="00166515">
        <w:t xml:space="preserve">The main aim of this study was to </w:t>
      </w:r>
      <w:r w:rsidR="000B4BBF" w:rsidRPr="00166515">
        <w:t>evaluate the load-bearing capacity of newly regenerated bone tissue following the action of different osteoinductive biomaterials</w:t>
      </w:r>
      <w:r w:rsidR="001411B0" w:rsidRPr="00166515">
        <w:t xml:space="preserve"> implanted in a large animal critical bone defect</w:t>
      </w:r>
      <w:r w:rsidR="000B4BBF" w:rsidRPr="00166515">
        <w:t>.</w:t>
      </w:r>
      <w:r w:rsidRPr="00166515">
        <w:t xml:space="preserve"> </w:t>
      </w:r>
      <w:r w:rsidR="0022095F" w:rsidRPr="00166515">
        <w:t>High-resolution X-ray imaging in combination with</w:t>
      </w:r>
      <w:r w:rsidR="0022095F" w:rsidRPr="009D5A75">
        <w:rPr>
          <w:iCs/>
        </w:rPr>
        <w:t xml:space="preserve"> in situ</w:t>
      </w:r>
      <w:r w:rsidR="0022095F" w:rsidRPr="00166515">
        <w:t xml:space="preserve"> mechanical testing and DVC was used to obtain the full-field strain accumulated in the tissue during step-wise compression within the apparent elastic region.</w:t>
      </w:r>
      <w:r w:rsidR="00B0283B" w:rsidRPr="00166515">
        <w:t xml:space="preserve"> This was further </w:t>
      </w:r>
      <w:r w:rsidR="006A5828" w:rsidRPr="00166515">
        <w:t>analy</w:t>
      </w:r>
      <w:r w:rsidR="00510F23">
        <w:t>z</w:t>
      </w:r>
      <w:r w:rsidR="006A5828" w:rsidRPr="00166515">
        <w:t xml:space="preserve">ed </w:t>
      </w:r>
      <w:r w:rsidR="00B0283B" w:rsidRPr="00166515">
        <w:t xml:space="preserve">in relation to bone </w:t>
      </w:r>
      <w:r w:rsidRPr="00166515">
        <w:t>microarchitecture</w:t>
      </w:r>
      <w:r w:rsidR="00B0283B" w:rsidRPr="00166515">
        <w:t xml:space="preserve"> and </w:t>
      </w:r>
      <w:r w:rsidRPr="00166515">
        <w:t>tissue mineral density</w:t>
      </w:r>
      <w:r w:rsidR="006C2927" w:rsidRPr="00166515">
        <w:t xml:space="preserve">, providing a qualitative </w:t>
      </w:r>
      <w:r w:rsidR="006A5828" w:rsidRPr="00166515">
        <w:t xml:space="preserve">assessment on the local mechanical properties </w:t>
      </w:r>
      <w:r w:rsidR="00173CC0" w:rsidRPr="00166515">
        <w:t>of</w:t>
      </w:r>
      <w:r w:rsidR="006A5828" w:rsidRPr="00166515">
        <w:t xml:space="preserve"> regenerated bone</w:t>
      </w:r>
      <w:r w:rsidR="00B0283B" w:rsidRPr="00166515">
        <w:t>.</w:t>
      </w:r>
    </w:p>
    <w:p w14:paraId="3C7CB62D" w14:textId="205B67C1" w:rsidR="00A32243" w:rsidRPr="00166515" w:rsidRDefault="00A32243" w:rsidP="00166515">
      <w:pPr>
        <w:pStyle w:val="MDPI31text"/>
      </w:pPr>
      <w:r w:rsidRPr="00166515">
        <w:t>The distinct treatments applied to the bone defect</w:t>
      </w:r>
      <w:r w:rsidR="00BE1BC6" w:rsidRPr="00166515">
        <w:t>s</w:t>
      </w:r>
      <w:r w:rsidRPr="00166515">
        <w:t xml:space="preserve"> had a clear influence on the microstructure of the newly regenerated tissue (Fig</w:t>
      </w:r>
      <w:r w:rsidR="00F95960">
        <w:t>ure</w:t>
      </w:r>
      <w:r w:rsidRPr="00166515">
        <w:t xml:space="preserve"> 3) and</w:t>
      </w:r>
      <w:r w:rsidR="006A6538">
        <w:t>,</w:t>
      </w:r>
      <w:r w:rsidRPr="00166515">
        <w:t xml:space="preserve"> consequently, on the mechanical properties at both apparent and tissue level. Ten weeks post-implantation was observed to be insufficient time to completely remodel bone within the defect; thus, dense areas of woven bone were</w:t>
      </w:r>
      <w:r w:rsidR="00A1382B" w:rsidRPr="00166515">
        <w:t xml:space="preserve"> still visible</w:t>
      </w:r>
      <w:r w:rsidRPr="00166515">
        <w:t xml:space="preserve"> in all specimens. </w:t>
      </w:r>
      <w:r w:rsidR="006A6538">
        <w:t>However</w:t>
      </w:r>
      <w:r w:rsidRPr="00166515">
        <w:t xml:space="preserve">, </w:t>
      </w:r>
      <w:r w:rsidR="001E3BA0" w:rsidRPr="00166515">
        <w:t>a</w:t>
      </w:r>
      <w:r w:rsidRPr="00166515">
        <w:t>utograft induced a more regular bone regeneration,</w:t>
      </w:r>
      <w:r w:rsidR="006A6538">
        <w:t xml:space="preserve"> as</w:t>
      </w:r>
      <w:r w:rsidRPr="00166515">
        <w:t xml:space="preserve"> evidenced by the greater </w:t>
      </w:r>
      <w:r w:rsidR="00662233" w:rsidRPr="00166515">
        <w:t>remodeled</w:t>
      </w:r>
      <w:r w:rsidRPr="00166515">
        <w:t xml:space="preserve"> trabeculae, compared to the BMP-2 treated defects. Both InductOs and Laponite specimens showed a considerably irregular microarchitecture and the presence of large voids within the structure. </w:t>
      </w:r>
      <w:r w:rsidRPr="009D5A75">
        <w:rPr>
          <w:iCs/>
        </w:rPr>
        <w:t>In vivo</w:t>
      </w:r>
      <w:r w:rsidRPr="00166515">
        <w:t xml:space="preserve">, collagen degrades rapidly, resulting in the development of voids within the new bone matrix. This is mainly due to the inability of collagen to provide structural support for cell migration in adequate time </w:t>
      </w:r>
      <w:r w:rsidRPr="00166515">
        <w:fldChar w:fldCharType="begin" w:fldLock="1"/>
      </w:r>
      <w:r w:rsidR="00870BBB" w:rsidRPr="00166515">
        <w:instrText>ADDIN CSL_CITATION {"citationItems":[{"id":"ITEM-1","itemData":{"DOI":"10.1016/S0378-5173(99)00128-3","ISBN":"0378-5173 (Print)\\r0378-5173 (Linking)","ISSN":"03785173","PMID":"10425365","abstract":"For clinical use recombinant human bone morphogenetic protein-2 (rhBMP-2) is soaked onto an absorbable collagen sponge (ACS) for bone regeneration. Therefore, loss of rhBMP-2 upon mechanical handling during implantation and a potential effect of the carrier on in vivo retention is of interest. The interactions between drug and carrier were looked at from the application mode and the amount of protein which can be mechanically expressed from the combination was investigated. The results indicated that rhBMP-2 binds to the collagen system. The most hydrophilic double extended homodimer showed the least binding affinity to ACS. By extending the waiting time between soaking and implantation, protein incorporation could be increased. In addition, the amount of rhBMP-2 which could be expressed was reduced by heavier ACS material and allowed for a shorter waiting period, especially at lower rhBMP-2 concentration. Crosslinking of ACS with formaldehyde led to reduced binding of rhBMP-2 to collagen either by direct hindrance of binding or reduction in swelling and number of binding sites available. Higher product pH or anion concentration enabled to increase rhBMP-2 incorporation but was limited by the potential precipitation of rhBMP-2. Despite a variety of chemical changes of ACS by ethylene oxide sterilization incorporation was not changed significantly. The in vivo release kinetics of125I-rhBMP-2 from the collagen sponge were studied using a rat ectopic implant model. The ACS/rhBMP-2 systems tested demonstrated small but significant differences in the in vivo retention of rhBMP-2. Consequently, it is important to have as little variability in pH, anion concentration, crosslinking, and ACS mass as possible to achieve consistent or maximum binding and to avoid rhBMP-2 precipitation. Furthermore, these characteristics can be important for other in vivo applications. Copyright (C) 1999 Elsevier Science B.V.","author":[{"dropping-particle":"","family":"Friess","given":"W.","non-dropping-particle":"","parse-names":false,"suffix":""},{"dropping-particle":"","family":"Uludag","given":"H.","non-dropping-particle":"","parse-names":false,"suffix":""},{"dropping-particle":"","family":"Foskett","given":"S.","non-dropping-particle":"","parse-names":false,"suffix":""},{"dropping-particle":"","family":"Biron","given":"R.","non-dropping-particle":"","parse-names":false,"suffix":""},{"dropping-particle":"","family":"Sargeant","given":"C.","non-dropping-particle":"","parse-names":false,"suffix":""}],"container-title":"International Journal of Pharmaceutics","id":"ITEM-1","issue":"1","issued":{"date-parts":[["1999"]]},"page":"51-60","title":"Characterization of absorbable collagen sponges as recombinant human bone morphogenetic protein-2 carriers","type":"article-journal","volume":"185"},"uris":["http://www.mendeley.com/documents/?uuid=7c1825f1-2286-41b7-98b5-85280fbc2fbb"]},{"id":"ITEM-2","itemData":{"DOI":"10.3389/fphar.2018.00513","ISSN":"16639812","PMID":"29896102","abstract":"Bone fracture followed by delayed or non-union typically requires bone graft intervention. Autologous bone grafts remain the clinical “gold standard”. Recently, synthetic bone grafts such as Medtronic’s Infuse Bone Graft have opened the possibility to pharmacological and tissue engineering strategies to bone repair following fracture. This clinically-available strategy uses an absorbable collagen sponge as a carrier material for recombinant human bone morphogenetic protein 2 (rhBMP-2) and a similar strategy has been employed by Stryker with BMP-7, also known as osteogenic protein-1 (OP-1). A key advantage to this approach is its “off-the-shelf” nature, but there are clear drawbacks to these products such as edema, inflammation, and ectopic bone growth. While there are clinical challenges associated with a lack of controlled release of rhBMP-2 and OP-1, these are among the first clinical examples to wed understanding of biological principles with biochemical production of proteins and pharmacological principles to promote tissue regeneration (known as regenerative pharmacology). After considering the clinical challenges with such synthetic bone grafts, this review considers the various biomaterial carriers under investigation to promote bone regeneration. This is followed by a survey of the literature where various pharmacological approaches and molecular targets are considered as future strategies to promote more rapid and mature bone regeneration. From the review, it should be clear that pharmacological understanding is a key aspect to developing these strategies.","author":[{"dropping-particle":"","family":"Kowalczewski","given":"Christine J.","non-dropping-particle":"","parse-names":false,"suffix":""},{"dropping-particle":"","family":"Saul","given":"Justin M.","non-dropping-particle":"","parse-names":false,"suffix":""}],"container-title":"Frontiers in Pharmacology","id":"ITEM-2","issue":"MAY","issued":{"date-parts":[["2018"]]},"page":"1-15","title":"Biomaterials for the delivery of growth factors and other therapeutic agents in tissue engineering approaches to bone regeneration","type":"article-journal","volume":"9"},"uris":["http://www.mendeley.com/documents/?uuid=2a5549f7-a81c-485d-8aa0-5e911e2a1d76"]}],"mendeley":{"formattedCitation":"[51,52]","plainTextFormattedCitation":"[51,52]","previouslyFormattedCitation":"[51,52]"},"properties":{"noteIndex":0},"schema":"https://github.com/citation-style-language/schema/raw/master/csl-citation.json"}</w:instrText>
      </w:r>
      <w:r w:rsidRPr="00166515">
        <w:fldChar w:fldCharType="separate"/>
      </w:r>
      <w:r w:rsidR="00870BBB" w:rsidRPr="00166515">
        <w:rPr>
          <w:noProof/>
        </w:rPr>
        <w:t>[51,52]</w:t>
      </w:r>
      <w:r w:rsidRPr="00166515">
        <w:fldChar w:fldCharType="end"/>
      </w:r>
      <w:r w:rsidRPr="00166515">
        <w:t xml:space="preserve">. InductOS specimens induced the greatest bone formation (Table 1), although large regions of woven bone were </w:t>
      </w:r>
      <w:r w:rsidR="00A1382B" w:rsidRPr="00166515">
        <w:t xml:space="preserve">still </w:t>
      </w:r>
      <w:r w:rsidRPr="00166515">
        <w:t xml:space="preserve">observed. Conversely, Laponite induced the thinnest trabeculae, but less woven bone. Trabecular thickness and spacing of all the specimens were measured in smaller sub-VOIs and examined for possible outliers </w:t>
      </w:r>
      <w:r w:rsidRPr="00166515">
        <w:fldChar w:fldCharType="begin" w:fldLock="1"/>
      </w:r>
      <w:r w:rsidR="00870BBB" w:rsidRPr="00166515">
        <w:instrText>ADDIN CSL_CITATION {"citationItems":[{"id":"ITEM-1","itemData":{"ISSN":"07479964","abstract":"Peirces criterion is a rigorous method based on probability theory that can be used to eliminate data outliers or spurious data in a rational way. Currently, another method called Chauvenets criterion is used in many educational institutions and laboratories to perform this function. Although Chauvenets criterion is well established, it makes an arbitrary assumption concerning the rejection of the data. Peirce's criterion does not make this arbitrary assumption . In addition, Chauvenet's criterion makes no distinction between the case of one or several suspicious data values whereas Peirce's criterion is a rigorous theory that can be easily applied in the case of several suspicious data values. In this paper, an example is given showing that Peirces and Chauvenets criterion give different results for the particular set of data presented.","author":[{"dropping-particle":"","family":"Ross","given":"Stephen M","non-dropping-particle":"","parse-names":false,"suffix":""}],"container-title":"Journal of Engineering Technology","id":"ITEM-1","issue":"2","issued":{"date-parts":[["2003"]]},"page":"1-12","title":"Peirce's criterion for the elimination of suspect experimental data","type":"article-journal","volume":"20"},"uris":["http://www.mendeley.com/documents/?uuid=27558efe-63f1-4040-9294-83b7a9bef704"]}],"mendeley":{"formattedCitation":"[46]","plainTextFormattedCitation":"[46]","previouslyFormattedCitation":"[46]"},"properties":{"noteIndex":0},"schema":"https://github.com/citation-style-language/schema/raw/master/csl-citation.json"}</w:instrText>
      </w:r>
      <w:r w:rsidRPr="00166515">
        <w:fldChar w:fldCharType="separate"/>
      </w:r>
      <w:r w:rsidR="00EA2F45" w:rsidRPr="00166515">
        <w:rPr>
          <w:noProof/>
        </w:rPr>
        <w:t>[46]</w:t>
      </w:r>
      <w:r w:rsidRPr="00166515">
        <w:fldChar w:fldCharType="end"/>
      </w:r>
      <w:r w:rsidRPr="00166515">
        <w:t xml:space="preserve"> to avoid misleading data as a consequence of compact woven regions and empty voids. As a result, outliers were removed from the data and </w:t>
      </w:r>
      <w:r w:rsidR="00CB3A70">
        <w:t xml:space="preserve">the </w:t>
      </w:r>
      <w:r w:rsidRPr="00166515">
        <w:t>presented values (Table 1) are representative of the trabecular-like structure of each specimen.</w:t>
      </w:r>
    </w:p>
    <w:p w14:paraId="1765B0B8" w14:textId="6DA80DCF" w:rsidR="00A32243" w:rsidRPr="00166515" w:rsidRDefault="00A32243" w:rsidP="00166515">
      <w:pPr>
        <w:pStyle w:val="MDPI31text"/>
      </w:pPr>
      <w:r w:rsidRPr="00166515">
        <w:t xml:space="preserve">The different microarchitecture induced </w:t>
      </w:r>
      <w:r w:rsidRPr="009D5A75">
        <w:rPr>
          <w:iCs/>
        </w:rPr>
        <w:t>in vivo</w:t>
      </w:r>
      <w:r w:rsidRPr="00166515">
        <w:t xml:space="preserve"> in the bone defects clearly influence</w:t>
      </w:r>
      <w:r w:rsidR="00A1382B" w:rsidRPr="00166515">
        <w:t>d</w:t>
      </w:r>
      <w:r w:rsidRPr="00166515">
        <w:t xml:space="preserve"> their apparent mechanics (Fig</w:t>
      </w:r>
      <w:r w:rsidR="00F95960">
        <w:t>ure</w:t>
      </w:r>
      <w:r w:rsidRPr="00166515">
        <w:t xml:space="preserve"> 2a). It is known that the elastic </w:t>
      </w:r>
      <w:r w:rsidR="00662233" w:rsidRPr="00166515">
        <w:t>behavior</w:t>
      </w:r>
      <w:r w:rsidRPr="00166515">
        <w:t xml:space="preserve"> of trabecular bone depends on the loading direction </w:t>
      </w:r>
      <w:r w:rsidRPr="00166515">
        <w:fldChar w:fldCharType="begin" w:fldLock="1"/>
      </w:r>
      <w:r w:rsidR="00870BBB" w:rsidRPr="00166515">
        <w:instrText>ADDIN CSL_CITATION {"citationItems":[{"id":"ITEM-1","itemData":{"DOI":"https://doi.org/10.1016/0167-6636(85)90012-2","ISSN":"0167-6636","author":[{"dropping-particle":"","family":"Cowin","given":"Stephen C","non-dropping-particle":"","parse-names":false,"suffix":""}],"container-title":"Mechanics of Materials","id":"ITEM-1","issue":"2","issued":{"date-parts":[["1985"]]},"page":"137-147","title":"The relationship between the elasticity tensor and the fabric tensor","type":"article-journal","volume":"4"},"uris":["http://www.mendeley.com/documents/?uuid=7b50924a-c72e-4413-9bc4-dd3b640fc1d7"]},{"id":"ITEM-2","itemData":{"DOI":"https://doi.org/10.1016/0167-6636(95)00018-6","ISSN":"0167-6636","author":[{"dropping-particle":"","family":"Zysset","given":"P K","non-dropping-particle":"","parse-names":false,"suffix":""},{"dropping-particle":"","family":"Curnier","given":"A","non-dropping-particle":"","parse-names":false,"suffix":""}],"container-title":"Mechanics of Materials","id":"ITEM-2","issue":"4","issued":{"date-parts":[["1995"]]},"page":"243-250","title":"An alternative model for anisotropic elasticity based on fabric tensors","type":"article-journal","volume":"21"},"uris":["http://www.mendeley.com/documents/?uuid=90136e1e-32e5-4e7d-b6ce-8acc1c99590f"]},{"id":"ITEM-3","itemData":{"DOI":"10.1007/s10439-008-9619-4","ISSN":"1573-9686","abstract":"While the effects of bone mineral density and architecture in osteoporotic bone have been studied extensively, the micromechanics of yielding and failure have received less attention. However, understanding architectural features associated with failure should provide insight into assessing bone quality. In this study, microstructural finite element models were used to compute regions of tissue level yielding in ten bovine tibial trabecular bone samples. The morphology, number, and mean volume of the yielded regions were quantified for four apparent strains under two loading conditions. For on-axis loading, the mean aspect ratio of the tissue that yielded due to compressive strain increased with increasing apparent strain, expanding along the principal trabecular orientation. This suggests that tissue level yielding progresses along vertical trabeculae when a specimen is loaded on-axis. The number, but not the volume, of the regions yielded due to tensile strain increased with increasing applied load, consistent with relaxation and redistribution of stresses around the yielded regions. When the specimens were compressed perpendicular to the principal axis, the aspect ratio of the yielded regions was close to one, while the number, mean volume, and mean thickness of the yielded regions increased. This indicates that localized high strains consistent with bending rather than axial deformation of struts occur at the tissue level. Overall, the results provide new insight into trabecular bone failure, which is relevant to assessing diagnostic tests for fracture risk or evaluating osteoporosis treatments.","author":[{"dropping-particle":"","family":"Shi","given":"Xiutao","non-dropping-particle":"","parse-names":false,"suffix":""},{"dropping-particle":"","family":"Wang","given":"Xiang","non-dropping-particle":"","parse-names":false,"suffix":""},{"dropping-particle":"","family":"Niebur","given":"Glen L","non-dropping-particle":"","parse-names":false,"suffix":""}],"container-title":"Annals of Biomedical Engineering","id":"ITEM-3","issue":"2","issued":{"date-parts":[["2009"]]},"page":"354-362","title":"Effects of Loading Orientation on the Morphology of the Predicted Yielded Regions in Trabecular Bone","type":"article-journal","volume":"37"},"uris":["http://www.mendeley.com/documents/?uuid=093c62c3-e9e7-4cda-a85e-7472d3027d6c"]},{"id":"ITEM-4","itemData":{"DOI":"10.1016/j.jbiomech.2006.11.020","ISBN":"0021-9290 (Print)\\n0021-9290 (Linking)","ISSN":"00219290","PMID":"17257604","abstract":"The aim of this study was to verify whether a misalignment between the testing direction and the trabecular main direction has a significant effect on the compressive behaviour of cancellous bone. Ten cylindrical specimens were extracted from femoral heads with a misalignment to the trabecular main direction of approximately 20°. Each specimen was paired with a specimen extracted aligned with the main direction of the trabeculae on the basis of the closest bone volume fraction, obtaining two groups, one 'aligned' and one 'misaligned'. The average off-axis angle was 6.1° and 21.6° for the 'aligned' and 'misaligned' group, respectively. The specimens underwent micro-tomographic analysis, compressive testing, micro-indentation testing and ashing. No significant differences were found in histomorphometric parameters, hardness and ash density between the two groups, whereas significant differences were found in Young's modulus and ultimate stress: both parameters, measured for the 'misaligned' group, were about 40% lower than those measured for the 'aligned' group. These results demonstrate a great effect of the angle between the testing direction and the main direction of the trabecular structure on the compressive behaviour of cancellous bone. This angle should be reduced as much as possible (in the present work the average value was 6.6±3.3°), in any case measured, and always reported together with the mechanical parameters of cancellous bone. © 2006 Elsevier Ltd. All rights reserved.","author":[{"dropping-particle":"","family":"Öhman","given":"Caroline","non-dropping-particle":"","parse-names":false,"suffix":""},{"dropping-particle":"","family":"Baleani","given":"Massimiliano","non-dropping-particle":"","parse-names":false,"suffix":""},{"dropping-particle":"","family":"Perilli","given":"Egon","non-dropping-particle":"","parse-names":false,"suffix":""},{"dropping-particle":"","family":"Dall'Ara","given":"Enrico","non-dropping-particle":"","parse-names":false,"suffix":""},{"dropping-particle":"","family":"Tassani","given":"Simone","non-dropping-particle":"","parse-names":false,"suffix":""},{"dropping-particle":"","family":"Baruffaldi","given":"Fabio","non-dropping-particle":"","parse-names":false,"suffix":""},{"dropping-particle":"","family":"Viceconti","given":"Marco","non-dropping-particle":"","parse-names":false,"suffix":""}],"container-title":"Journal of Biomechanics","id":"ITEM-4","issue":"11","issued":{"date-parts":[["2007"]]},"page":"2426-2433","title":"Mechanical testing of cancellous bone from the femoral head: Experimental errors due to off-axis measurements","type":"article-journal","volume":"40"},"uris":["http://www.mendeley.com/documents/?uuid=b3bbc6b1-c664-461e-93b2-62d8a8a5d91c"]}],"mendeley":{"formattedCitation":"[53–56]","plainTextFormattedCitation":"[53–56]","previouslyFormattedCitation":"[53–56]"},"properties":{"noteIndex":0},"schema":"https://github.com/citation-style-language/schema/raw/master/csl-citation.json"}</w:instrText>
      </w:r>
      <w:r w:rsidRPr="00166515">
        <w:fldChar w:fldCharType="separate"/>
      </w:r>
      <w:r w:rsidR="00870BBB" w:rsidRPr="00166515">
        <w:rPr>
          <w:noProof/>
        </w:rPr>
        <w:t>[53–56]</w:t>
      </w:r>
      <w:r w:rsidRPr="00166515">
        <w:fldChar w:fldCharType="end"/>
      </w:r>
      <w:r w:rsidRPr="00166515">
        <w:t xml:space="preserve">, anatomical site </w:t>
      </w:r>
      <w:r w:rsidRPr="00166515">
        <w:fldChar w:fldCharType="begin" w:fldLock="1"/>
      </w:r>
      <w:r w:rsidR="00870BBB" w:rsidRPr="00166515">
        <w:instrText>ADDIN CSL_CITATION {"citationItems":[{"id":"ITEM-1","itemData":{"DOI":"https://doi.org/10.1016/S0021-9290(01)00011-2","ISSN":"0021-9290","author":[{"dropping-particle":"","family":"Morgan","given":"Elise F","non-dropping-particle":"","parse-names":false,"suffix":""},{"dropping-particle":"","family":"Keaveny","given":"Tony M","non-dropping-particle":"","parse-names":false,"suffix":""}],"container-title":"Journal of Biomechanics","id":"ITEM-1","issue":"5","issued":{"date-parts":[["2001"]]},"page":"569-577","title":"Dependence of yield strain of human trabecular bone on anatomic site","type":"article-journal","volume":"34"},"uris":["http://www.mendeley.com/documents/?uuid=3e32f721-e2f4-49dc-8a52-72c2e03fdd03"]},{"id":"ITEM-2","itemData":{"DOI":"https://doi.org/10.1016/S0021-9290(03)00071-X","ISSN":"0021-9290","author":[{"dropping-particle":"","family":"Morgan","given":"Elise F","non-dropping-particle":"","parse-names":false,"suffix":""},{"dropping-particle":"","family":"Bayraktar","given":"Harun H","non-dropping-particle":"","parse-names":false,"suffix":""},{"dropping-particle":"","family":"Keaveny","given":"Tony M","non-dropping-particle":"","parse-names":false,"suffix":""}],"container-title":"Journal of Biomechanics","id":"ITEM-2","issue":"7","issued":{"date-parts":[["2003"]]},"page":"897-904","title":"Trabecular bone modulus–density relationships depend on anatomic site","type":"article-journal","volume":"36"},"uris":["http://www.mendeley.com/documents/?uuid=4ad70e88-f1b5-4143-a0ca-3f447cecd41f"]},{"id":"ITEM-3","itemData":{"DOI":"10.1016/j.jbiomech.2006.11.022","ISBN":"0021-9290","ISSN":"00219290","PMID":"17258221","abstract":"With the prevalent use of DXA-measured BMD to assess pathologic hip fractures and its recently reported lack of reliability to predict fracture or account for efficacy of anti-resorptive therapy, it is reasonable to assess whether variations in the primary and secondary tensile and compressive trabecular microstructure can account for variations in proximal femur strength in comparison to DXA-measured BMD. To that end, microstructural and densitometric measures of trabecular bone specimens, from discrete sites within the proximal femur, were correlated with their mechanical properties. We hypothesize that accounting for regional variations in trabecular microstructure will improve predictions of proximal femur strength and stiffness compared to bone density measured by DXA. Forty-seven samples (seven donors) from seven distinct sites of human proximal femur underwent DXA and μCT imaging and mechanical testing. The results revealed significant variations in BMC, morphometric indices and mechanical properties within the proximal femur. This work has demonstrated that the mechanical performance of each sub-region is highly dependent on the corresponding trabecular microstructure. BMD measured by DXA at standard regions of interest cannot resolve the variations in trabecular density and microstructure that govern the mechanical behavior of the proximal femur. This work suggests that a quantitative Singh index that uses high resolution QCT to monitor the trabecular microstructure at specific sub-regions of the proximal femur may allow better predictions of hip fracture risk in individual patients and an improved assessment of changing bone structure in response to pharmacological interventions. © 2006 Elsevier Ltd. All rights reserved.","author":[{"dropping-particle":"","family":"Nazarian","given":"Ara","non-dropping-particle":"","parse-names":false,"suffix":""},{"dropping-particle":"","family":"Muller","given":"John","non-dropping-particle":"","parse-names":false,"suffix":""},{"dropping-particle":"","family":"Zurakowski","given":"David","non-dropping-particle":"","parse-names":false,"suffix":""},{"dropping-particle":"","family":"Müller","given":"Ralph","non-dropping-particle":"","parse-names":false,"suffix":""},{"dropping-particle":"","family":"Snyder","given":"Brian D.","non-dropping-particle":"","parse-names":false,"suffix":""}],"container-title":"Journal of Biomechanics","id":"ITEM-3","issue":"11","issued":{"date-parts":[["2007"]]},"page":"2573-2579","title":"Densitometric, morphometric and mechanical distributions in the human proximal femur","type":"article-journal","volume":"40"},"uris":["http://www.mendeley.com/documents/?uuid=e3543993-e37b-4e94-ab23-3933fc24491f"]}],"mendeley":{"formattedCitation":"[57–59]","plainTextFormattedCitation":"[57–59]","previouslyFormattedCitation":"[57–59]"},"properties":{"noteIndex":0},"schema":"https://github.com/citation-style-language/schema/raw/master/csl-citation.json"}</w:instrText>
      </w:r>
      <w:r w:rsidRPr="00166515">
        <w:fldChar w:fldCharType="separate"/>
      </w:r>
      <w:r w:rsidR="00870BBB" w:rsidRPr="00166515">
        <w:rPr>
          <w:noProof/>
        </w:rPr>
        <w:t>[57–59]</w:t>
      </w:r>
      <w:r w:rsidRPr="00166515">
        <w:fldChar w:fldCharType="end"/>
      </w:r>
      <w:r w:rsidR="00CB3A70">
        <w:t>,</w:t>
      </w:r>
      <w:r w:rsidRPr="00166515">
        <w:t xml:space="preserve"> and size of the s</w:t>
      </w:r>
      <w:r w:rsidR="00A1382B" w:rsidRPr="00166515">
        <w:t>pecimen</w:t>
      </w:r>
      <w:r w:rsidRPr="00166515">
        <w:t xml:space="preserve"> </w:t>
      </w:r>
      <w:r w:rsidRPr="00166515">
        <w:fldChar w:fldCharType="begin" w:fldLock="1"/>
      </w:r>
      <w:r w:rsidR="00870BBB" w:rsidRPr="00166515">
        <w:instrText>ADDIN CSL_CITATION {"citationItems":[{"id":"ITEM-1","itemData":{"author":[{"dropping-particle":"","family":"Linde","given":"F.","non-dropping-particle":"","parse-names":false,"suffix":""},{"dropping-particle":"","family":"Hvid","given":"I.","non-dropping-particle":"","parse-names":false,"suffix":""},{"dropping-particle":"","family":"Madsen","given":"F.","non-dropping-particle":"","parse-names":false,"suffix":""}],"container-title":"Journal of Biomechanics","id":"ITEM-1","issue":"4","issued":{"date-parts":[["1992"]]},"page":"359-368","title":"The effect of specimen geometry on the mechanicla behaviour of trabecular bone specimens","type":"article-journal","volume":"25"},"uris":["http://www.mendeley.com/documents/?uuid=158c2bb0-0aac-4bfb-9fd4-bed1d73ff69a"]},{"id":"ITEM-2","itemData":{"DOI":"10.1007/s10237-009-0188-8","ISSN":"1617-7940","abstract":"Computational analysis of trabecular bone normally involves the modeling of (experimental tests of) cored samples. However, the lack of constraint on the sides of the extracted trabecular bone samples limits the information that can be inferred regarding true in situ behavior. Here, the element-by-element voxel-based finite element method was applied via, a custom-written software suite (FEEBE), to a 72 μm resolution model of an ovine vertebra. The difference between the apparent modulus of eight concentric core cylinders when modeled as part of the whole bone (containing 84 × 106 degrees of freedom) and independent of the whole bone was investigated. The results showed that cored trabecular bone apparent modulus depended significantly on the core diameter when modeled as an extracted core (r2 = 0.975) and as part of a whole bone (r2 = 0.986). The cause of this result was separated into the side-artifact effect and bone volume fraction (BV/TV) effect. For the independently modeled cores, the apparent modulus of an inner core region of interest varied with increasing thickness of the outer annulus. This was attributed to the side-artifact effect, given that the BV/TV of the core region was constant. Within the whole trabecular structure, the side artifact was eliminated as the entire bone structure was modeled. However, a BV/TV effect influenced the apparent modulus depending on the size of the core selected for determining apparent modulus. Changing the size of the core varied the overall BV/TV of the core, and this significantly (r2 = 0.999) influences the apparent modulus. Therefore, determining a ‘true’ apparent modulus for trabecular bone was not achievable. The independently modeled cores consistently under-predict the in vivo apparent modulus. It is recommended that if a ‘true’ apparent modulus is required, the BV/TV at which it is required needs to be first determined. Apparent modeling of entire bones at microscale resolution allowed regions of low and high tissue strains to be identified, consistent with patterns of trabecular bone remodeling and resorption reported in literature. The basivertebral vein cavity underwent the highest strains within the entire vertebral body, suggesting that failure might initiate here, despite containing visibly thicker struts and plate trabeculae. Although computationally expensive, analysis of the entire vertebral body provided a full picture of in situ trabecular bone deformation.","author":[{"dropping-particle":"","family":"Harrison","given":"Noel M","non-dropping-particle":"","parse-names":false,"suffix":""},{"dropping-particle":"","family":"McHugh","given":"Peter E","non-dropping-particle":"","parse-names":false,"suffix":""}],"container-title":"Biomechanics and Modeling in Mechanobiology","id":"ITEM-2","issue":"4","issued":{"date-parts":[["2010"]]},"page":"469-480","title":"Comparison of trabecular bone behavior in core and whole bone samples using high-resolution modeling of a vertebral body","type":"article-journal","volume":"9"},"uris":["http://www.mendeley.com/documents/?uuid=11493e38-9f80-4c29-9cff-9ca38ff548a8"]},{"id":"ITEM-3","itemData":{"DOI":"10.1016/j.jbiomech.2006.05.012","ISSN":"0021-9290 (Print)","PMID":"16824533","abstract":"Determining accurate density-mechanical property relationships for trabecular bone is critical for correct characterization of this important structure-function relation. When testing any excised specimen of trabecular bone, an unavoidable experimental artifact originates from the sides of the specimen where peripheral trabeculae lose their vertical load-bearing capacity due to interruption of connectivity, a phenomenon denoted here as the 'side-artifact'. We sought in this study to quantify the magnitude of such side-artifact errors in modulus measurement and to do so as a function of the trabecular architecture and specimen size. Using parametric computational analysis of high-resolution micro-CT-based finite-element models of cores of elderly human vertebral trabecular bone, a specimen-specific correction factor for the side-artifact was quantified as the ratio of the side-artifact-free apparent modulus (Etrue) to the apparent modulus that would be measured in a typical experiment (Emeasured). We found that the width over which the peripheral trabeculae were mostly unloaded was between 0.19 and 0.58 mm. The side-artifact led to an underestimation error in Etrue of over 50% in some specimens, having a mean (+/-SD) of 27+/-11%. There was a trend for the correction factor to linearly increase as volume fraction decreased (p=0.001) and as mean trabecular separation increased (p&lt;0.001). Further analysis indicated that the error increased substantially as specimen size decreased. Two methods used for correcting for the side-artifact were both successful in bringing Emeasured into statistical agreement with Etrue. These findings have important implications for the interpretation of almost all literature data on trabecular bone mechanical properties since they indicate that such properties need to be adjusted to eliminate the substantial effects of side-artifacts in order to provide more accurate estimates of in situ behavior.","author":[{"dropping-particle":"","family":"Un","given":"Kerem","non-dropping-particle":"","parse-names":false,"suffix":""},{"dropping-particle":"","family":"Bevill","given":"Grant","non-dropping-particle":"","parse-names":false,"suffix":""},{"dropping-particle":"","family":"Keaveny","given":"Tony M","non-dropping-particle":"","parse-names":false,"suffix":""}],"container-title":"Journal of biomechanics","id":"ITEM-3","issue":"11","issued":{"date-parts":[["2006"]]},"language":"eng","page":"1955-1963","publisher-place":"United States","title":"The effects of side-artifacts on the elastic modulus of trabecular bone.","type":"article-journal","volume":"39"},"uris":["http://www.mendeley.com/documents/?uuid=b72383bc-3343-4a36-bdb3-c6e63b6fc3c1"]}],"mendeley":{"formattedCitation":"[60–62]","plainTextFormattedCitation":"[60–62]","previouslyFormattedCitation":"[60–62]"},"properties":{"noteIndex":0},"schema":"https://github.com/citation-style-language/schema/raw/master/csl-citation.json"}</w:instrText>
      </w:r>
      <w:r w:rsidRPr="00166515">
        <w:fldChar w:fldCharType="separate"/>
      </w:r>
      <w:r w:rsidR="00870BBB" w:rsidRPr="00166515">
        <w:rPr>
          <w:noProof/>
        </w:rPr>
        <w:t>[60–62]</w:t>
      </w:r>
      <w:r w:rsidRPr="00166515">
        <w:fldChar w:fldCharType="end"/>
      </w:r>
      <w:r w:rsidRPr="00166515">
        <w:t xml:space="preserve">. This study did not show </w:t>
      </w:r>
      <w:r w:rsidR="008F2389">
        <w:t xml:space="preserve">a </w:t>
      </w:r>
      <w:r w:rsidRPr="00166515">
        <w:t>significant correlation between the measured stiffness and any microstructural parameters, although the stiffness moderately correlated with the BV/TV (</w:t>
      </w:r>
      <w:r w:rsidRPr="00F95960">
        <w:t>R = 0.776</w:t>
      </w:r>
      <w:r w:rsidRPr="00166515">
        <w:t xml:space="preserve">, Supplementary Figure S3). However, it must be noted that specimens tested were not fully </w:t>
      </w:r>
      <w:r w:rsidR="00662233" w:rsidRPr="00166515">
        <w:t>remodeled</w:t>
      </w:r>
      <w:r w:rsidRPr="00166515">
        <w:t xml:space="preserve"> into trabecular bone at the time of extraction. Furthermore, the specimens were not cored and tested along the principal direction, mainly due to the experimental difficulties related to the bone defect size and location of the newly formed bone within specimens. </w:t>
      </w:r>
      <w:r w:rsidR="001E3BA0" w:rsidRPr="00166515">
        <w:t>While</w:t>
      </w:r>
      <w:r w:rsidRPr="00166515">
        <w:t xml:space="preserve"> the microstructure and stiffness of the analy</w:t>
      </w:r>
      <w:r w:rsidR="00510F23">
        <w:t>z</w:t>
      </w:r>
      <w:r w:rsidRPr="00166515">
        <w:t>ed specimens clearly differed, negligible changes were observed in their TMD distribution (Fig</w:t>
      </w:r>
      <w:r w:rsidR="00F95960">
        <w:t>ure</w:t>
      </w:r>
      <w:r w:rsidRPr="00166515">
        <w:t xml:space="preserve"> 2b). Higher </w:t>
      </w:r>
      <w:r w:rsidR="00662233" w:rsidRPr="00166515">
        <w:t>mineralization</w:t>
      </w:r>
      <w:r w:rsidRPr="00166515">
        <w:t xml:space="preserve"> was found in the greater </w:t>
      </w:r>
      <w:r w:rsidR="00662233" w:rsidRPr="00166515">
        <w:t>remodeled</w:t>
      </w:r>
      <w:r w:rsidRPr="00166515">
        <w:t xml:space="preserve"> trabeculae of the Autograft (Fig</w:t>
      </w:r>
      <w:r w:rsidR="00F95960">
        <w:t>ure</w:t>
      </w:r>
      <w:r w:rsidRPr="00166515">
        <w:t xml:space="preserve"> 5c) and InductOs #1 (Fig</w:t>
      </w:r>
      <w:r w:rsidR="00F95960">
        <w:t>ure</w:t>
      </w:r>
      <w:r w:rsidRPr="00166515">
        <w:t xml:space="preserve"> 6c.1) specimens compared to the less </w:t>
      </w:r>
      <w:r w:rsidR="00662233" w:rsidRPr="00166515">
        <w:t>remodeled</w:t>
      </w:r>
      <w:r w:rsidRPr="00166515">
        <w:t xml:space="preserve"> and thinner trabeculae in InductOs #2 (Fig</w:t>
      </w:r>
      <w:r w:rsidR="00F95960">
        <w:t>ure</w:t>
      </w:r>
      <w:r w:rsidRPr="00166515">
        <w:t xml:space="preserve"> 6c.2) and Laponite (Fig</w:t>
      </w:r>
      <w:r w:rsidR="00F95960">
        <w:t>ure</w:t>
      </w:r>
      <w:r w:rsidRPr="00166515">
        <w:t xml:space="preserve"> 7c) specimens. </w:t>
      </w:r>
    </w:p>
    <w:p w14:paraId="33394A8D" w14:textId="5E1321CE" w:rsidR="00A32243" w:rsidRPr="00166515" w:rsidRDefault="00A32243" w:rsidP="00166515">
      <w:pPr>
        <w:pStyle w:val="MDPI31text"/>
      </w:pPr>
      <w:r w:rsidRPr="00166515">
        <w:t xml:space="preserve">The DVC-computed full-field strain in the specimens allowed for </w:t>
      </w:r>
      <w:r w:rsidR="00662233" w:rsidRPr="00166515">
        <w:t>characterization</w:t>
      </w:r>
      <w:r w:rsidRPr="00166515">
        <w:t xml:space="preserve"> of the load transfer ability of the newly regenerated bone structures. </w:t>
      </w:r>
      <w:r w:rsidR="00662233" w:rsidRPr="00166515">
        <w:t>Even though</w:t>
      </w:r>
      <w:r w:rsidRPr="00166515">
        <w:t xml:space="preserve"> applied loads at each compression step d</w:t>
      </w:r>
      <w:r w:rsidR="008F2389">
        <w:t>id</w:t>
      </w:r>
      <w:r w:rsidRPr="00166515">
        <w:t xml:space="preserve"> not correspond to any physiological load </w:t>
      </w:r>
      <w:r w:rsidRPr="009D5A75">
        <w:rPr>
          <w:iCs/>
        </w:rPr>
        <w:t>in vivo,</w:t>
      </w:r>
      <w:r w:rsidRPr="00166515">
        <w:t xml:space="preserve"> specimens were predominantly tested in their apparent elastic regime. This provided enhanced insight on the load-bearing capacity of such bone structures away from failure. A more homogeneous strain distribution was observed for Autograft specimens (Fig</w:t>
      </w:r>
      <w:r w:rsidR="00F95960">
        <w:t>ure</w:t>
      </w:r>
      <w:r w:rsidRPr="00166515">
        <w:t xml:space="preserve"> 5a) during the three compression steps, where the bone tissue experienced strains mainly within physiological strain values (magnitude below 3200 µε </w:t>
      </w:r>
      <w:r w:rsidRPr="00166515">
        <w:fldChar w:fldCharType="begin" w:fldLock="1"/>
      </w:r>
      <w:r w:rsidR="00870BBB" w:rsidRPr="00166515">
        <w:instrText>ADDIN CSL_CITATION {"citationItems":[{"id":"ITEM-1","itemData":{"DOI":"10.1007/s001980200095","ISBN":"0937-941X","ISSN":"0937941X","PMID":"12195532","abstract":"Abstract:~~","author":[{"dropping-particle":"","family":"Ehrlich","given":"P. J.","non-dropping-particle":"","parse-names":false,"suffix":""},{"dropping-particle":"","family":"Lanyon","given":"L. E.","non-dropping-particle":"","parse-names":false,"suffix":""}],"container-title":"Osteoporosis International","id":"ITEM-1","issue":"9","issued":{"date-parts":[["2002"]]},"page":"688-700","title":"Mechanical strain and bone cell function: A review","type":"article-journal","volume":"13"},"uris":["http://www.mendeley.com/documents/?uuid=2e06f6b1-5f9c-4b1d-8498-db5b579a7e6e"]}],"mendeley":{"formattedCitation":"[63]","plainTextFormattedCitation":"[63]","previouslyFormattedCitation":"[63]"},"properties":{"noteIndex":0},"schema":"https://github.com/citation-style-language/schema/raw/master/csl-citation.json"}</w:instrText>
      </w:r>
      <w:r w:rsidRPr="00166515">
        <w:fldChar w:fldCharType="separate"/>
      </w:r>
      <w:r w:rsidR="00870BBB" w:rsidRPr="00166515">
        <w:rPr>
          <w:noProof/>
        </w:rPr>
        <w:t>[63]</w:t>
      </w:r>
      <w:r w:rsidRPr="00166515">
        <w:fldChar w:fldCharType="end"/>
      </w:r>
      <w:r w:rsidRPr="00166515">
        <w:t>).</w:t>
      </w:r>
      <w:r w:rsidR="00FD091A" w:rsidRPr="00166515">
        <w:t xml:space="preserve"> This </w:t>
      </w:r>
      <w:r w:rsidR="001725F4" w:rsidRPr="00166515">
        <w:t>is consistent</w:t>
      </w:r>
      <w:r w:rsidR="000630C7" w:rsidRPr="00166515">
        <w:t xml:space="preserve"> with previous DVC data obtained for untreated trabecular bone </w:t>
      </w:r>
      <w:r w:rsidR="00091722" w:rsidRPr="00166515">
        <w:t>specimen</w:t>
      </w:r>
      <w:r w:rsidR="008F2389">
        <w:t>s</w:t>
      </w:r>
      <w:r w:rsidR="00091722" w:rsidRPr="00166515">
        <w:t xml:space="preserve"> </w:t>
      </w:r>
      <w:r w:rsidR="00F742A9" w:rsidRPr="00166515">
        <w:t xml:space="preserve">with similar </w:t>
      </w:r>
      <w:r w:rsidR="00091722" w:rsidRPr="00166515">
        <w:t xml:space="preserve">dimensions to the one used in the current study and </w:t>
      </w:r>
      <w:r w:rsidR="000630C7" w:rsidRPr="00166515">
        <w:t xml:space="preserve">from the same animal model, where </w:t>
      </w:r>
      <w:r w:rsidR="008A1465" w:rsidRPr="00166515">
        <w:t xml:space="preserve">the </w:t>
      </w:r>
      <w:r w:rsidR="000630C7" w:rsidRPr="00166515">
        <w:t xml:space="preserve">mean compressive strain magnitude at 3% </w:t>
      </w:r>
      <w:r w:rsidR="001725F4" w:rsidRPr="00166515">
        <w:t xml:space="preserve">of </w:t>
      </w:r>
      <w:r w:rsidR="000630C7" w:rsidRPr="00166515">
        <w:t>compression</w:t>
      </w:r>
      <w:r w:rsidR="008A1465" w:rsidRPr="00166515">
        <w:t xml:space="preserve"> did not exceed 1000 µε </w:t>
      </w:r>
      <w:r w:rsidR="00870BBB" w:rsidRPr="00166515">
        <w:fldChar w:fldCharType="begin" w:fldLock="1"/>
      </w:r>
      <w:r w:rsidR="003017FA" w:rsidRPr="00166515">
        <w:instrText>ADDIN CSL_CITATION {"citationItems":[{"id":"ITEM-1","itemData":{"DOI":"10.1021/acsbiomaterials.8b01044","ISSN":"2373-9878","author":[{"dropping-particle":"","family":"Peña Fernández","given":"Marta","non-dropping-particle":"","parse-names":false,"suffix":""},{"dropping-particle":"","family":"Dall’Ara","given":"Enrico","non-dropping-particle":"","parse-names":false,"suffix":""},{"dropping-particle":"","family":"Bodey","given":"Andrew J.","non-dropping-particle":"","parse-names":false,"suffix":""},{"dropping-particle":"","family":"Parwani","given":"Rachna","non-dropping-particle":"","parse-names":false,"suffix":""},{"dropping-particle":"","family":"Barber","given":"Asa H.","non-dropping-particle":"","parse-names":false,"suffix":""},{"dropping-particle":"","family":"Blunn","given":"Gordon W.","non-dropping-particle":"","parse-names":false,"suffix":""},{"dropping-particle":"","family":"Tozzi","given":"Gianluca","non-dropping-particle":"","parse-names":false,"suffix":""}],"container-title":"ACS Biomaterials Science &amp; Engineering","id":"ITEM-1","issue":"5","issued":{"date-parts":[["2019","5","13"]]},"page":"2543-2554","title":"Full-Field Strain Analysis of Bone–Biomaterial Systems Produced by the Implantation of Osteoregenerative Biomaterials in an Ovine Model","type":"article-journal","volume":"5"},"uris":["http://www.mendeley.com/documents/?uuid=6415d5c4-e164-4687-a988-04a248b7d84d"]}],"mendeley":{"formattedCitation":"[40]","plainTextFormattedCitation":"[40]","previouslyFormattedCitation":"[40]"},"properties":{"noteIndex":0},"schema":"https://github.com/citation-style-language/schema/raw/master/csl-citation.json"}</w:instrText>
      </w:r>
      <w:r w:rsidR="00870BBB" w:rsidRPr="00166515">
        <w:fldChar w:fldCharType="separate"/>
      </w:r>
      <w:r w:rsidR="00870BBB" w:rsidRPr="00166515">
        <w:rPr>
          <w:noProof/>
        </w:rPr>
        <w:t>[40]</w:t>
      </w:r>
      <w:r w:rsidR="00870BBB" w:rsidRPr="00166515">
        <w:fldChar w:fldCharType="end"/>
      </w:r>
      <w:r w:rsidR="00D22C32" w:rsidRPr="00166515">
        <w:t xml:space="preserve">. </w:t>
      </w:r>
      <w:r w:rsidR="008A1465" w:rsidRPr="00166515">
        <w:t>F</w:t>
      </w:r>
      <w:r w:rsidR="000630C7" w:rsidRPr="00166515">
        <w:t>or</w:t>
      </w:r>
      <w:r w:rsidRPr="00166515">
        <w:t xml:space="preserve"> </w:t>
      </w:r>
      <w:r w:rsidR="000630C7" w:rsidRPr="00166515">
        <w:t>I</w:t>
      </w:r>
      <w:r w:rsidRPr="00166515">
        <w:t>nductOs #2 (Fig</w:t>
      </w:r>
      <w:r w:rsidR="00F95960">
        <w:t>ure</w:t>
      </w:r>
      <w:r w:rsidRPr="00166515">
        <w:t xml:space="preserve"> 6a.1) and Laponite #2 (Fig</w:t>
      </w:r>
      <w:r w:rsidR="00F95960">
        <w:t>ure</w:t>
      </w:r>
      <w:r w:rsidRPr="00166515">
        <w:t xml:space="preserve"> 7a.1)</w:t>
      </w:r>
      <w:r w:rsidR="000630C7" w:rsidRPr="00166515">
        <w:t xml:space="preserve">, </w:t>
      </w:r>
      <w:r w:rsidRPr="00166515">
        <w:t>during the first two compression steps, strains were typically below 3000 µε in magnitude, and only higher strain concentrations were observed after 3% compression in the newly formed trabeculae, with strain values approaching the yielding (~10</w:t>
      </w:r>
      <w:r w:rsidR="00F95960">
        <w:t>,</w:t>
      </w:r>
      <w:r w:rsidRPr="00166515">
        <w:t xml:space="preserve">000 µε in compression </w:t>
      </w:r>
      <w:r w:rsidRPr="00166515">
        <w:fldChar w:fldCharType="begin" w:fldLock="1"/>
      </w:r>
      <w:r w:rsidR="00870BBB" w:rsidRPr="00166515">
        <w:instrText>ADDIN CSL_CITATION {"citationItems":[{"id":"ITEM-1","itemData":{"DOI":"10.1016/S0021-9290(03)00257-4","ISBN":"0021-9290","ISSN":"00219290","PMID":"14672565","abstract":"The ability to determine trabecular bone tissue elastic and failure properties has biological and clinical importance. To date, trabecular tissue yield strains remain unknown due to experimental difficulties, and elastic moduli studies have reported controversial results. We hypothesized that the elastic and tensile and compressive yield properties of trabecular tissue are similar to those of cortical tissue. Effective tissue modulus and yield strains were calibrated for cadaveric human femoral neck specimens taken from 11 donors, using a combination of apparent-level mechanical testing and specimen-specific, high-resolution, nonlinear finite element modeling. The trabecular tissue properties were then compared to measured elastic modulus and tensile yield strain of human femoral diaphyseal cortical bone specimens obtained from a similar cohort of 34 donors. Cortical tissue properties were obtained by statistically eliminating the effects of vascular porosity. Results indicated that mean elastic modulus was 10% lower (p&lt;0.05) for the trabecular tissue (18.0??2.8GPa) than for the cortical tissue (19.9??1.8GPa), and the 0.2% offset tensile yield strain was 15% lower for the trabecular tissue (0.62??0.04% vs. 0.73??0.05%, p&lt;0.001). The tensile-compressive yield strength asymmetry for the trabecular tissue, 0.62 on average, was similar to values reported in the literature for cortical bone. We conclude that while the elastic modulus and yield strains for trabecular tissue are just slightly lower than those of cortical tissue, because of the cumulative effect of these differences, tissue strength is about 25% greater for cortical bone. ?? 2003 Elsevier Ltd. All rights reserved.","author":[{"dropping-particle":"","family":"Bayraktar","given":"Harun H.","non-dropping-particle":"","parse-names":false,"suffix":""},{"dropping-particle":"","family":"Morgan","given":"Elise F.","non-dropping-particle":"","parse-names":false,"suffix":""},{"dropping-particle":"","family":"Niebur","given":"Glen L.","non-dropping-particle":"","parse-names":false,"suffix":""},{"dropping-particle":"","family":"Morris","given":"Grayson E.","non-dropping-particle":"","parse-names":false,"suffix":""},{"dropping-particle":"","family":"Wong","given":"Eric K.","non-dropping-particle":"","parse-names":false,"suffix":""},{"dropping-particle":"","family":"Keaveny","given":"Tony M.","non-dropping-particle":"","parse-names":false,"suffix":""}],"container-title":"Journal of Biomechanics","id":"ITEM-1","issue":"1","issued":{"date-parts":[["2004"]]},"page":"27-35","title":"Comparison of the elastic and yield properties of human femoral trabecular and cortical bone tissue","type":"article-journal","volume":"37"},"uris":["http://www.mendeley.com/documents/?uuid=6c080d94-44ef-42dc-8f86-7cd3f41d767e"]}],"mendeley":{"formattedCitation":"[64]","plainTextFormattedCitation":"[64]","previouslyFormattedCitation":"[64]"},"properties":{"noteIndex":0},"schema":"https://github.com/citation-style-language/schema/raw/master/csl-citation.json"}</w:instrText>
      </w:r>
      <w:r w:rsidRPr="00166515">
        <w:fldChar w:fldCharType="separate"/>
      </w:r>
      <w:r w:rsidR="00870BBB" w:rsidRPr="00166515">
        <w:rPr>
          <w:noProof/>
        </w:rPr>
        <w:t>[64]</w:t>
      </w:r>
      <w:r w:rsidRPr="00166515">
        <w:fldChar w:fldCharType="end"/>
      </w:r>
      <w:r w:rsidRPr="00166515">
        <w:t>). In contrast, full-field strain distribution in InductOs #1 and Laponite #1 showed the inefficiency of both structures to transfer the applied load. As a result, highly</w:t>
      </w:r>
      <w:r w:rsidR="008F2389">
        <w:t>-</w:t>
      </w:r>
      <w:r w:rsidRPr="00166515">
        <w:t>strained regions (above yielding) were observed and further increased since the early stages of compression, 1% for Laponite #1 (Fig</w:t>
      </w:r>
      <w:r w:rsidR="00F95960">
        <w:t>ure</w:t>
      </w:r>
      <w:r w:rsidRPr="00166515">
        <w:t xml:space="preserve"> 7a.2) and 2% for InductOs #1 (Fig</w:t>
      </w:r>
      <w:r w:rsidR="00F95960">
        <w:t>ure</w:t>
      </w:r>
      <w:r w:rsidRPr="00166515">
        <w:t xml:space="preserve"> 6a.2). For instance, 22% of Laponite #1 volume exceeded yielding at 3% apparent compression. </w:t>
      </w:r>
      <w:r w:rsidR="00A1308B" w:rsidRPr="00166515">
        <w:t>Local mechanics appeared to be more influenced by the microstructure than the degree of mineralization (Supplementary Figure S3). In particular, local thickness moderately correlated (R = 0.660, Supplementary Figure S3) with</w:t>
      </w:r>
      <w:r w:rsidRPr="00166515">
        <w:t xml:space="preserve"> </w:t>
      </w:r>
      <w:r w:rsidR="00A1308B" w:rsidRPr="00166515">
        <w:t>local compressive strains, whereas correlation between thickness and apparent mechanics (i.e.</w:t>
      </w:r>
      <w:r w:rsidR="00F95960">
        <w:t>,</w:t>
      </w:r>
      <w:r w:rsidR="00A1308B" w:rsidRPr="00166515">
        <w:t xml:space="preserve"> stiffness) was poor (R = 0.269, Supplementary Figure S3). </w:t>
      </w:r>
    </w:p>
    <w:p w14:paraId="37EDD68B" w14:textId="7166DF00" w:rsidR="00A32243" w:rsidRPr="00166515" w:rsidRDefault="008F2389" w:rsidP="00166515">
      <w:pPr>
        <w:pStyle w:val="MDPI31text"/>
      </w:pPr>
      <w:r>
        <w:t>The i</w:t>
      </w:r>
      <w:r w:rsidR="00A32243" w:rsidRPr="00166515">
        <w:t xml:space="preserve">dentification of highly strained regions further improved </w:t>
      </w:r>
      <w:r>
        <w:t xml:space="preserve">the </w:t>
      </w:r>
      <w:r w:rsidR="00A32243" w:rsidRPr="00166515">
        <w:t xml:space="preserve">understanding </w:t>
      </w:r>
      <w:r w:rsidR="00091722" w:rsidRPr="00166515">
        <w:t>o</w:t>
      </w:r>
      <w:r>
        <w:t>f</w:t>
      </w:r>
      <w:r w:rsidR="00091722" w:rsidRPr="00166515">
        <w:t xml:space="preserve"> </w:t>
      </w:r>
      <w:r w:rsidR="00A32243" w:rsidRPr="00166515">
        <w:t>failure develop</w:t>
      </w:r>
      <w:r w:rsidR="00091722" w:rsidRPr="00166515">
        <w:t>ment</w:t>
      </w:r>
      <w:r w:rsidR="00A32243" w:rsidRPr="00166515">
        <w:t xml:space="preserve"> in such structures and how the regeneration process, with changes in bone microarchitecture and </w:t>
      </w:r>
      <w:r w:rsidR="00662233" w:rsidRPr="00166515">
        <w:t>mineralization</w:t>
      </w:r>
      <w:r w:rsidR="00A32243" w:rsidRPr="00166515">
        <w:t xml:space="preserve">, is </w:t>
      </w:r>
      <w:r w:rsidR="00662233" w:rsidRPr="00166515">
        <w:t>optimized</w:t>
      </w:r>
      <w:r w:rsidR="00A32243" w:rsidRPr="00166515">
        <w:t xml:space="preserve"> to bear externally applied loads. </w:t>
      </w:r>
      <w:r w:rsidR="00091722" w:rsidRPr="00166515">
        <w:t>H</w:t>
      </w:r>
      <w:r w:rsidR="00A32243" w:rsidRPr="00166515">
        <w:t xml:space="preserve">ighly strained regions were predominantly </w:t>
      </w:r>
      <w:r w:rsidR="00662233" w:rsidRPr="00166515">
        <w:t>localized</w:t>
      </w:r>
      <w:r w:rsidR="00A32243" w:rsidRPr="00166515">
        <w:t xml:space="preserve"> in the newly regenerated trabeculae (thinner regions) in all the specimens, being on average 18% thinner, independent of </w:t>
      </w:r>
      <w:r w:rsidR="00662233" w:rsidRPr="00166515">
        <w:t>mineralization</w:t>
      </w:r>
      <w:r w:rsidR="00A32243" w:rsidRPr="00166515">
        <w:t xml:space="preserve"> (Supplementary Figure S4).</w:t>
      </w:r>
      <w:r w:rsidR="006B30D2" w:rsidRPr="00166515">
        <w:t xml:space="preserve"> </w:t>
      </w:r>
      <w:r w:rsidR="00A32243" w:rsidRPr="00166515">
        <w:t xml:space="preserve">This suggests that from the earliest stages of bone formation, </w:t>
      </w:r>
      <w:r w:rsidR="008823D5" w:rsidRPr="00166515">
        <w:t xml:space="preserve">mechanical strain is stimulating and promoting </w:t>
      </w:r>
      <w:r w:rsidR="00A32243" w:rsidRPr="00166515">
        <w:t>b</w:t>
      </w:r>
      <w:r w:rsidR="008823D5" w:rsidRPr="00166515">
        <w:t xml:space="preserve">one </w:t>
      </w:r>
      <w:r w:rsidR="00A32243" w:rsidRPr="00166515">
        <w:t>structur</w:t>
      </w:r>
      <w:r w:rsidR="008823D5" w:rsidRPr="00166515">
        <w:t>al</w:t>
      </w:r>
      <w:r w:rsidR="00A32243" w:rsidRPr="00166515">
        <w:t xml:space="preserve"> adapt</w:t>
      </w:r>
      <w:r w:rsidR="008823D5" w:rsidRPr="00166515">
        <w:t>ation</w:t>
      </w:r>
      <w:r w:rsidR="00A32243" w:rsidRPr="00166515">
        <w:t xml:space="preserve"> to withstand external loads </w:t>
      </w:r>
      <w:r w:rsidR="00A32243" w:rsidRPr="00166515">
        <w:fldChar w:fldCharType="begin" w:fldLock="1"/>
      </w:r>
      <w:r w:rsidR="00870BBB" w:rsidRPr="00166515">
        <w:instrText>ADDIN CSL_CITATION {"citationItems":[{"id":"ITEM-1","itemData":{"author":[{"dropping-particle":"","family":"Frost","given":"Harold M.","non-dropping-particle":"","parse-names":false,"suffix":""}],"container-title":"The Angle Orthodontist","id":"ITEM-1","issue":"3","issued":{"date-parts":[["1994"]]},"page":"175-188","title":"Wolff's Law and bone's structural adaptations to mechanical usage: an overview for clinicians","type":"article-journal","volume":"64"},"uris":["http://www.mendeley.com/documents/?uuid=d779f86e-2233-4bb2-95a7-e9d699433b0d"]}],"mendeley":{"formattedCitation":"[65]","plainTextFormattedCitation":"[65]","previouslyFormattedCitation":"[65]"},"properties":{"noteIndex":0},"schema":"https://github.com/citation-style-language/schema/raw/master/csl-citation.json"}</w:instrText>
      </w:r>
      <w:r w:rsidR="00A32243" w:rsidRPr="00166515">
        <w:fldChar w:fldCharType="separate"/>
      </w:r>
      <w:r w:rsidR="00870BBB" w:rsidRPr="00166515">
        <w:rPr>
          <w:noProof/>
        </w:rPr>
        <w:t>[65]</w:t>
      </w:r>
      <w:r w:rsidR="00A32243" w:rsidRPr="00166515">
        <w:fldChar w:fldCharType="end"/>
      </w:r>
      <w:r w:rsidR="00A32243" w:rsidRPr="00166515">
        <w:t xml:space="preserve">, </w:t>
      </w:r>
      <w:r w:rsidR="008823D5" w:rsidRPr="00166515">
        <w:t>irrespective</w:t>
      </w:r>
      <w:r w:rsidR="00A32243" w:rsidRPr="00166515">
        <w:t xml:space="preserve"> of the specific </w:t>
      </w:r>
      <w:r w:rsidR="008823D5" w:rsidRPr="00166515">
        <w:t xml:space="preserve">osteoinductive </w:t>
      </w:r>
      <w:r w:rsidR="00A32243" w:rsidRPr="00166515">
        <w:t xml:space="preserve">treatment. </w:t>
      </w:r>
      <w:r w:rsidR="008823D5" w:rsidRPr="00166515">
        <w:t>In fact</w:t>
      </w:r>
      <w:r w:rsidR="00A32243" w:rsidRPr="00166515">
        <w:t>,</w:t>
      </w:r>
      <w:r>
        <w:t xml:space="preserve"> the</w:t>
      </w:r>
      <w:r w:rsidR="00A32243" w:rsidRPr="00166515">
        <w:t xml:space="preserve"> enhanced </w:t>
      </w:r>
      <w:r w:rsidR="00662233" w:rsidRPr="00166515">
        <w:t>mineralized</w:t>
      </w:r>
      <w:r w:rsidR="00A32243" w:rsidRPr="00166515">
        <w:t xml:space="preserve"> regions of the BMP-2 treated specimens (Fig</w:t>
      </w:r>
      <w:r w:rsidR="00F95960">
        <w:t>ures</w:t>
      </w:r>
      <w:r w:rsidR="00A32243" w:rsidRPr="00166515">
        <w:t xml:space="preserve"> 6</w:t>
      </w:r>
      <w:r w:rsidR="00F95960">
        <w:t xml:space="preserve"> and </w:t>
      </w:r>
      <w:r w:rsidR="00A32243" w:rsidRPr="00166515">
        <w:t xml:space="preserve">7) appeared to act as a shielding mechanism, driving the load towards the trabecular-like structure, which is </w:t>
      </w:r>
      <w:r w:rsidR="008823D5" w:rsidRPr="00166515">
        <w:t xml:space="preserve">consequently </w:t>
      </w:r>
      <w:r w:rsidR="00A32243" w:rsidRPr="00166515">
        <w:t xml:space="preserve">adapted to the external mechanical demands </w:t>
      </w:r>
      <w:r w:rsidR="00A32243" w:rsidRPr="009D5A75">
        <w:rPr>
          <w:iCs/>
        </w:rPr>
        <w:t>in vivo</w:t>
      </w:r>
      <w:r w:rsidR="00A32243" w:rsidRPr="00166515">
        <w:t xml:space="preserve">. It is well known that the mechanical environment highly influences the pathways through which bone healing occurs </w:t>
      </w:r>
      <w:r w:rsidR="00A32243" w:rsidRPr="00166515">
        <w:fldChar w:fldCharType="begin" w:fldLock="1"/>
      </w:r>
      <w:r w:rsidR="00870BBB" w:rsidRPr="00166515">
        <w:instrText>ADDIN CSL_CITATION {"citationItems":[{"id":"ITEM-1","itemData":{"DOI":"https://doi.org/10.1016/0021-9290(87)90027-3","ISSN":"0021-9290","author":[{"dropping-particle":"","family":"Carter","given":"Dennis R","non-dropping-particle":"","parse-names":false,"suffix":""}],"container-title":"Journal of Biomechanics","id":"ITEM-1","issue":"11","issued":{"date-parts":[["1987"]]},"page":"1095-1109","title":"Mechanical loading history and skeletal biology","type":"article-journal","volume":"20"},"uris":["http://www.mendeley.com/documents/?uuid=6a4f0928-6e84-45e4-b12c-27013c39eb94"]},{"id":"ITEM-2","itemData":{"DOI":"10.1002/jor.20863","ISBN":"1554-527X","ISSN":"07360266","PMID":"19242967","abstract":"Further understanding of how mechanical cues modulate skeletal tissue differentiation can identify potential means of enhancing repair following injury or disease. Prior studies examined the effects of mechanical loading on osteogenesis, chondrogenesis, and fibrogenesis in an effort to enhance bony union. However, exploring how mechanical stimuli can divert the bone healing process towards formation of other mesenchymal tissues, as an endpoint, may elucidate new avenues for repair and regeneration of tissues such as cartilage and fibrous tissue. This study investigated the use of mechanical stimulation to promote cartilage rather than bone formation within an osteotomy. Our overall goal was to define skeletal tissue distribution and molecular expression patterns induced by the stimulation. Retired breeder Sprague-Dawley rats (n = 85) underwent production of a mid-diaphyseal, transverse femoral osteotomy followed by external fixation. Beginning on postoperative day 10 and continuing for 1, 2, or 4 weeks, a cyclic bending motion (+35 degrees/-25 degrees at 1 Hz) was applied in the sagittal plane for 15 min/day for 5 consecutive days/week. Control animals experienced continuous rigid fixation. Histological and molecular analyses indicated that stimulation substantially altered normal bone healing. Stimulated specimens exhibited an increase in cartilage volume over time, while control specimens demonstrated bony bridging. Stimulation induced upregulation of cartilage-related genes (COL2A1 and COL10A1) and downregulation of bone morphogenetic proteins (BMPs) -4, -6 and -7. However, BMP-3 was upregulated with stimulation. These findings illustrate that mechanical cues can selectively modulate osteogenesis and chondrogenesis in vivo, and suggest a potential basis for treatment regimens for injured or diseased cartilaginous tissues.","author":[{"dropping-particle":"","family":"Salisbury Palomares","given":"Kristy T.","non-dropping-particle":"","parse-names":false,"suffix":""},{"dropping-particle":"","family":"Gleason","given":"Ryan E.","non-dropping-particle":"","parse-names":false,"suffix":""},{"dropping-particle":"","family":"Mason","given":"Zachary D.","non-dropping-particle":"","parse-names":false,"suffix":""},{"dropping-particle":"","family":"Cullinane","given":"Dennis M.","non-dropping-particle":"","parse-names":false,"suffix":""},{"dropping-particle":"","family":"Einhorn","given":"Thomas A.","non-dropping-particle":"","parse-names":false,"suffix":""},{"dropping-particle":"","family":"Gerstenfeld","given":"Louis C.","non-dropping-particle":"","parse-names":false,"suffix":""},{"dropping-particle":"","family":"Morgan","given":"Elise F.","non-dropping-particle":"","parse-names":false,"suffix":""}],"container-title":"Journal of Orthopaedic Research","id":"ITEM-2","issue":"9","issued":{"date-parts":[["2009"]]},"page":"1123-1132","title":"Mechanical stimulation alters tissue differentiation and molecular expression during bone healing","type":"article-journal","volume":"27"},"uris":["http://www.mendeley.com/documents/?uuid=80de05cc-9c12-4fbb-80a1-0b8f1599e79b"]}],"mendeley":{"formattedCitation":"[66,67]","plainTextFormattedCitation":"[66,67]","previouslyFormattedCitation":"[66,67]"},"properties":{"noteIndex":0},"schema":"https://github.com/citation-style-language/schema/raw/master/csl-citation.json"}</w:instrText>
      </w:r>
      <w:r w:rsidR="00A32243" w:rsidRPr="00166515">
        <w:fldChar w:fldCharType="separate"/>
      </w:r>
      <w:r w:rsidR="00870BBB" w:rsidRPr="00166515">
        <w:rPr>
          <w:noProof/>
        </w:rPr>
        <w:t>[66,67]</w:t>
      </w:r>
      <w:r w:rsidR="00A32243" w:rsidRPr="00166515">
        <w:fldChar w:fldCharType="end"/>
      </w:r>
      <w:r w:rsidR="00A32243" w:rsidRPr="00166515">
        <w:t xml:space="preserve">. However, determining the precise strains that tissues are experiencing </w:t>
      </w:r>
      <w:r w:rsidR="00A32243" w:rsidRPr="009D5A75">
        <w:rPr>
          <w:iCs/>
        </w:rPr>
        <w:t>in vivo</w:t>
      </w:r>
      <w:r w:rsidR="00A32243" w:rsidRPr="00166515">
        <w:t xml:space="preserve"> remains a significant challenge </w:t>
      </w:r>
      <w:r w:rsidR="00A32243" w:rsidRPr="00166515">
        <w:fldChar w:fldCharType="begin" w:fldLock="1"/>
      </w:r>
      <w:r w:rsidR="00870BBB" w:rsidRPr="00166515">
        <w:instrText>ADDIN CSL_CITATION {"citationItems":[{"id":"ITEM-1","itemData":{"DOI":"10.1243/09544119JEIM808","ISBN":"10.1243/09544119JEIM808","ISSN":"09544119","PMID":"21287837","abstract":"Mechanical boundary conditions are well known to influence the regeneration of bone and mechanobiology is the study of how mechanical or physical stimuli regulate biological processes. In vivo models have been applied over many years to investigate the effects of mechanics on bone healing. Early models have focused on the influence of mechanical stability on healing outcome, with an interest in parameters such as the magnitude of interfragmentary movement, the rate and timing of application of micromotion and the number of loading cycles. As measurement techniques have been refined, there has been a shift in orders of magnitude from investigations targeted at the organ level to those targeted at the tissue level and beyond. An understanding of how mechanics influences tissue differentiation during repair and regeneration crucially requires spatial and temporal knowledge of both the local mechanical environment in the healing tissue and a characterization of the tissues formed over the course of regeneration. Owing to limitations in the techniques available to measure the local mechanical conditions during repair directly, simulation approaches, such as the finite element method, are an integral part of the mechanobiologist's toolkit, while histology remains the gold standard in the characterization of the tissue formed. However, with rapid advances occurring in imaging modalities and methods to characterize tissue properties, new opportunities exist to better understand the role of mechanics in the biology of bone regeneration. Combined with developments in molecular biology, mechanobiology has the potential to offer exciting, new regenerative treatments for bone healing.","author":[{"dropping-particle":"","family":"Epari","given":"D. R.","non-dropping-particle":"","parse-names":false,"suffix":""},{"dropping-particle":"","family":"Duda","given":"G. N.","non-dropping-particle":"","parse-names":false,"suffix":""},{"dropping-particle":"","family":"Thompson","given":"M. S.","non-dropping-particle":"","parse-names":false,"suffix":""}],"container-title":"Proceedings of the Institution of Mechanical Engineers, Part H: Journal of Engineering in Medicine","id":"ITEM-1","issue":"12","issued":{"date-parts":[["2010"]]},"page":"1543-1553","title":"Mechanobiology of bone healing and regeneration: In vivo models","type":"article-journal","volume":"224"},"uris":["http://www.mendeley.com/documents/?uuid=e38a73f8-fa08-43d3-8d56-eaefed2d443c"]}],"mendeley":{"formattedCitation":"[68]","plainTextFormattedCitation":"[68]","previouslyFormattedCitation":"[68]"},"properties":{"noteIndex":0},"schema":"https://github.com/citation-style-language/schema/raw/master/csl-citation.json"}</w:instrText>
      </w:r>
      <w:r w:rsidR="00A32243" w:rsidRPr="00166515">
        <w:fldChar w:fldCharType="separate"/>
      </w:r>
      <w:r w:rsidR="00870BBB" w:rsidRPr="00166515">
        <w:rPr>
          <w:noProof/>
        </w:rPr>
        <w:t>[68]</w:t>
      </w:r>
      <w:r w:rsidR="00A32243" w:rsidRPr="00166515">
        <w:fldChar w:fldCharType="end"/>
      </w:r>
      <w:r w:rsidR="00A32243" w:rsidRPr="00166515">
        <w:t xml:space="preserve"> and most research to date has focused on </w:t>
      </w:r>
      <w:r w:rsidR="00A32243" w:rsidRPr="009D5A75">
        <w:rPr>
          <w:iCs/>
        </w:rPr>
        <w:t xml:space="preserve">in silico </w:t>
      </w:r>
      <w:r w:rsidR="00A32243" w:rsidRPr="00166515">
        <w:t xml:space="preserve">studies </w:t>
      </w:r>
      <w:r w:rsidR="00A32243" w:rsidRPr="00166515">
        <w:fldChar w:fldCharType="begin" w:fldLock="1"/>
      </w:r>
      <w:r w:rsidR="00870BBB" w:rsidRPr="00166515">
        <w:instrText>ADDIN CSL_CITATION {"citationItems":[{"id":"ITEM-1","itemData":{"DOI":"10.3389/fendo.2014.00211","ISBN":"1664-2392","ISSN":"16642392","PMID":"25540637","abstract":"How mechanical forces influence the regeneration of bone remains an open question. Their effect has been demonstrated experimentally, which has allowed mathematical theories of mechanically driven tissue differentiation to be developed. Many simulations driven by these theories have been presented, however, validation of these models has remained difficult due to the number of independent parameters considered. An overview of these theories and models is presented along with a review of experimental studies and the factors they consider. Finally limitations of current experimental data and how this influences modeling are discussed and potential solutions are proposed.","author":[{"dropping-particle":"","family":"Betts","given":"Duncan Colin","non-dropping-particle":"","parse-names":false,"suffix":""},{"dropping-particle":"","family":"Müller","given":"Ralph","non-dropping-particle":"","parse-names":false,"suffix":""}],"container-title":"Frontiers in Endocrinology","id":"ITEM-1","issue":"DEC","issued":{"date-parts":[["2014"]]},"page":"1-14","title":"Mechanical regulation of bone regeneration: Theories, models, and experiments","type":"article-journal","volume":"5"},"uris":["http://www.mendeley.com/documents/?uuid=de59815c-ecdf-43a0-b7e3-a2860f7632e9"]}],"mendeley":{"formattedCitation":"[69]","plainTextFormattedCitation":"[69]","previouslyFormattedCitation":"[69]"},"properties":{"noteIndex":0},"schema":"https://github.com/citation-style-language/schema/raw/master/csl-citation.json"}</w:instrText>
      </w:r>
      <w:r w:rsidR="00A32243" w:rsidRPr="00166515">
        <w:fldChar w:fldCharType="separate"/>
      </w:r>
      <w:r w:rsidR="00870BBB" w:rsidRPr="00166515">
        <w:rPr>
          <w:noProof/>
        </w:rPr>
        <w:t>[69]</w:t>
      </w:r>
      <w:r w:rsidR="00A32243" w:rsidRPr="00166515">
        <w:fldChar w:fldCharType="end"/>
      </w:r>
      <w:r w:rsidR="00A32243" w:rsidRPr="00166515">
        <w:t xml:space="preserve">. </w:t>
      </w:r>
    </w:p>
    <w:p w14:paraId="3A4C6BBD" w14:textId="357FC45E" w:rsidR="00A32243" w:rsidRPr="00166515" w:rsidRDefault="00BF58E3" w:rsidP="00166515">
      <w:pPr>
        <w:pStyle w:val="MDPI31text"/>
      </w:pPr>
      <w:r w:rsidRPr="00166515">
        <w:t>A</w:t>
      </w:r>
      <w:r w:rsidR="00A32243" w:rsidRPr="00166515">
        <w:t xml:space="preserve"> number of caveats must be considered within this study. The limited quantity of newly formed bone within the defects resulted in a limited sample size (two specimens per treatment) and the inability to extract the specimens in the principal direction of the newly formed trabeculae. </w:t>
      </w:r>
      <w:r w:rsidR="008823D5" w:rsidRPr="00166515">
        <w:t xml:space="preserve">However, </w:t>
      </w:r>
      <w:r w:rsidR="008823D5" w:rsidRPr="009D5A75">
        <w:rPr>
          <w:iCs/>
        </w:rPr>
        <w:t>in situ</w:t>
      </w:r>
      <w:r w:rsidR="008823D5" w:rsidRPr="00166515">
        <w:t xml:space="preserve"> </w:t>
      </w:r>
      <w:r w:rsidR="00F57E58">
        <w:t>micro</w:t>
      </w:r>
      <w:r w:rsidR="00F57E58" w:rsidRPr="00166515">
        <w:t>CT</w:t>
      </w:r>
      <w:r w:rsidR="008823D5" w:rsidRPr="00166515">
        <w:t xml:space="preserve"> and DVC experiments are ty</w:t>
      </w:r>
      <w:r w:rsidR="00D7264C" w:rsidRPr="00166515">
        <w:t xml:space="preserve">pically demanding in terms of time and computational cost, </w:t>
      </w:r>
      <w:r w:rsidR="008823D5" w:rsidRPr="00166515">
        <w:t xml:space="preserve">which </w:t>
      </w:r>
      <w:r w:rsidR="00D7264C" w:rsidRPr="00166515">
        <w:t>makes the analysis</w:t>
      </w:r>
      <w:r w:rsidR="008823D5" w:rsidRPr="00166515">
        <w:t xml:space="preserve"> more qualitative than quantitative</w:t>
      </w:r>
      <w:r w:rsidR="008F2389">
        <w:t>,</w:t>
      </w:r>
      <w:r w:rsidRPr="00166515">
        <w:t xml:space="preserve"> as previously proposed in another </w:t>
      </w:r>
      <w:r w:rsidRPr="009D5A75">
        <w:rPr>
          <w:iCs/>
        </w:rPr>
        <w:t xml:space="preserve">ex vivo </w:t>
      </w:r>
      <w:r w:rsidRPr="00166515">
        <w:t xml:space="preserve">analysis </w:t>
      </w:r>
      <w:r w:rsidR="00FA5E31" w:rsidRPr="00166515">
        <w:t>of bone-biomaterial systems</w:t>
      </w:r>
      <w:r w:rsidR="003017FA" w:rsidRPr="00166515">
        <w:t xml:space="preserve"> </w:t>
      </w:r>
      <w:r w:rsidR="003017FA" w:rsidRPr="00166515">
        <w:fldChar w:fldCharType="begin" w:fldLock="1"/>
      </w:r>
      <w:r w:rsidR="003017FA" w:rsidRPr="00166515">
        <w:instrText>ADDIN CSL_CITATION {"citationItems":[{"id":"ITEM-1","itemData":{"DOI":"10.1021/acsbiomaterials.8b01044","ISSN":"2373-9878","author":[{"dropping-particle":"","family":"Peña Fernández","given":"Marta","non-dropping-particle":"","parse-names":false,"suffix":""},{"dropping-particle":"","family":"Dall’Ara","given":"Enrico","non-dropping-particle":"","parse-names":false,"suffix":""},{"dropping-particle":"","family":"Bodey","given":"Andrew J.","non-dropping-particle":"","parse-names":false,"suffix":""},{"dropping-particle":"","family":"Parwani","given":"Rachna","non-dropping-particle":"","parse-names":false,"suffix":""},{"dropping-particle":"","family":"Barber","given":"Asa H.","non-dropping-particle":"","parse-names":false,"suffix":""},{"dropping-particle":"","family":"Blunn","given":"Gordon W.","non-dropping-particle":"","parse-names":false,"suffix":""},{"dropping-particle":"","family":"Tozzi","given":"Gianluca","non-dropping-particle":"","parse-names":false,"suffix":""}],"container-title":"ACS Biomaterials Science &amp; Engineering","id":"ITEM-1","issue":"5","issued":{"date-parts":[["2019","5","13"]]},"page":"2543-2554","title":"Full-Field Strain Analysis of Bone–Biomaterial Systems Produced by the Implantation of Osteoregenerative Biomaterials in an Ovine Model","type":"article-journal","volume":"5"},"uris":["http://www.mendeley.com/documents/?uuid=6415d5c4-e164-4687-a988-04a248b7d84d"]}],"mendeley":{"formattedCitation":"[40]","plainTextFormattedCitation":"[40]","previouslyFormattedCitation":"[40]"},"properties":{"noteIndex":0},"schema":"https://github.com/citation-style-language/schema/raw/master/csl-citation.json"}</w:instrText>
      </w:r>
      <w:r w:rsidR="003017FA" w:rsidRPr="00166515">
        <w:fldChar w:fldCharType="separate"/>
      </w:r>
      <w:r w:rsidR="003017FA" w:rsidRPr="00166515">
        <w:rPr>
          <w:noProof/>
        </w:rPr>
        <w:t>[40]</w:t>
      </w:r>
      <w:r w:rsidR="003017FA" w:rsidRPr="00166515">
        <w:fldChar w:fldCharType="end"/>
      </w:r>
      <w:r w:rsidR="00D7264C" w:rsidRPr="00166515">
        <w:t xml:space="preserve">. Also, the current study did not aim </w:t>
      </w:r>
      <w:r w:rsidR="008F2389">
        <w:t>to</w:t>
      </w:r>
      <w:r w:rsidR="00D7264C" w:rsidRPr="00166515">
        <w:t xml:space="preserve"> evaluat</w:t>
      </w:r>
      <w:r w:rsidR="008F2389">
        <w:t>e</w:t>
      </w:r>
      <w:r w:rsidR="00D7264C" w:rsidRPr="00166515">
        <w:t xml:space="preserve"> the efficacy of one treatment o</w:t>
      </w:r>
      <w:r w:rsidR="008F2389">
        <w:t>ver</w:t>
      </w:r>
      <w:r w:rsidR="00D7264C" w:rsidRPr="00166515">
        <w:t xml:space="preserve"> the others, but to investigate the </w:t>
      </w:r>
      <w:r w:rsidR="00524F59" w:rsidRPr="00166515">
        <w:t xml:space="preserve">local </w:t>
      </w:r>
      <w:r w:rsidR="00D7264C" w:rsidRPr="00166515">
        <w:t xml:space="preserve">mechanical competence of regenerated bone tissue </w:t>
      </w:r>
      <w:r w:rsidR="00FA5E31" w:rsidRPr="00166515">
        <w:t xml:space="preserve">entirely </w:t>
      </w:r>
      <w:r w:rsidR="00D7264C" w:rsidRPr="00166515">
        <w:t xml:space="preserve">induced </w:t>
      </w:r>
      <w:r w:rsidR="00D7264C" w:rsidRPr="009D5A75">
        <w:rPr>
          <w:iCs/>
        </w:rPr>
        <w:t>in vivo</w:t>
      </w:r>
      <w:r w:rsidR="00D7264C" w:rsidRPr="00166515">
        <w:t xml:space="preserve"> by the different biomaterials</w:t>
      </w:r>
      <w:r w:rsidR="00524F59" w:rsidRPr="00166515">
        <w:t xml:space="preserve"> and explore the differences in both mechanics and microstructure at a single time point</w:t>
      </w:r>
      <w:r w:rsidR="00D7264C" w:rsidRPr="00166515">
        <w:t xml:space="preserve">. </w:t>
      </w:r>
      <w:r w:rsidR="008F2389">
        <w:t>T</w:t>
      </w:r>
      <w:r w:rsidR="00A32243" w:rsidRPr="00166515">
        <w:t xml:space="preserve">hese were large animal ovine studies and large variations in both mechanical and structural parameters were evidenced among the samples. </w:t>
      </w:r>
      <w:r w:rsidRPr="00166515">
        <w:t xml:space="preserve">Unfortunately, </w:t>
      </w:r>
      <w:r w:rsidR="008F2389">
        <w:t xml:space="preserve">the </w:t>
      </w:r>
      <w:r w:rsidRPr="00166515">
        <w:t xml:space="preserve">maintenance </w:t>
      </w:r>
      <w:r w:rsidR="00992072" w:rsidRPr="00166515">
        <w:t xml:space="preserve">cost </w:t>
      </w:r>
      <w:r w:rsidRPr="00166515">
        <w:t xml:space="preserve">of large animal models </w:t>
      </w:r>
      <w:r w:rsidR="00992072" w:rsidRPr="00166515">
        <w:t xml:space="preserve">and compliance </w:t>
      </w:r>
      <w:r w:rsidR="008F2389">
        <w:t>with the</w:t>
      </w:r>
      <w:r w:rsidR="00992072" w:rsidRPr="00166515">
        <w:t xml:space="preserve"> replacement, reduction</w:t>
      </w:r>
      <w:r w:rsidR="008F2389">
        <w:t>,</w:t>
      </w:r>
      <w:r w:rsidR="00992072" w:rsidRPr="00166515">
        <w:t xml:space="preserve"> and refinement of animals in research inevitably reduc</w:t>
      </w:r>
      <w:r w:rsidR="008F2389">
        <w:t>e</w:t>
      </w:r>
      <w:r w:rsidRPr="00166515">
        <w:t xml:space="preserve"> numerosity </w:t>
      </w:r>
      <w:r w:rsidR="00992072" w:rsidRPr="00166515">
        <w:t xml:space="preserve">with </w:t>
      </w:r>
      <w:r w:rsidRPr="00166515">
        <w:t xml:space="preserve">the ability </w:t>
      </w:r>
      <w:r w:rsidR="008F2389">
        <w:t>to</w:t>
      </w:r>
      <w:r w:rsidRPr="00166515">
        <w:t xml:space="preserve"> investigat</w:t>
      </w:r>
      <w:r w:rsidR="008F2389">
        <w:t>e</w:t>
      </w:r>
      <w:r w:rsidRPr="00166515">
        <w:t xml:space="preserve"> multiple time points</w:t>
      </w:r>
      <w:r w:rsidR="003017FA" w:rsidRPr="00166515">
        <w:t xml:space="preserve"> </w:t>
      </w:r>
      <w:r w:rsidR="003017FA" w:rsidRPr="00166515">
        <w:fldChar w:fldCharType="begin" w:fldLock="1"/>
      </w:r>
      <w:r w:rsidR="00D22C32" w:rsidRPr="00166515">
        <w:instrText>ADDIN CSL_CITATION {"citationItems":[{"id":"ITEM-1","itemData":{"DOI":"10.1021/acsbiomaterials.8b01044","ISSN":"2373-9878","author":[{"dropping-particle":"","family":"Peña Fernández","given":"Marta","non-dropping-particle":"","parse-names":false,"suffix":""},{"dropping-particle":"","family":"Dall’Ara","given":"Enrico","non-dropping-particle":"","parse-names":false,"suffix":""},{"dropping-particle":"","family":"Bodey","given":"Andrew J.","non-dropping-particle":"","parse-names":false,"suffix":""},{"dropping-particle":"","family":"Parwani","given":"Rachna","non-dropping-particle":"","parse-names":false,"suffix":""},{"dropping-particle":"","family":"Barber","given":"Asa H.","non-dropping-particle":"","parse-names":false,"suffix":""},{"dropping-particle":"","family":"Blunn","given":"Gordon W.","non-dropping-particle":"","parse-names":false,"suffix":""},{"dropping-particle":"","family":"Tozzi","given":"Gianluca","non-dropping-particle":"","parse-names":false,"suffix":""}],"container-title":"ACS Biomaterials Science &amp; Engineering","id":"ITEM-1","issue":"5","issued":{"date-parts":[["2019","5","13"]]},"page":"2543-2554","title":"Full-Field Strain Analysis of Bone–Biomaterial Systems Produced by the Implantation of Osteoregenerative Biomaterials in an Ovine Model","type":"article-journal","volume":"5"},"uris":["http://www.mendeley.com/documents/?uuid=6415d5c4-e164-4687-a988-04a248b7d84d"]}],"mendeley":{"formattedCitation":"[40]","plainTextFormattedCitation":"[40]","previouslyFormattedCitation":"[40]"},"properties":{"noteIndex":0},"schema":"https://github.com/citation-style-language/schema/raw/master/csl-citation.json"}</w:instrText>
      </w:r>
      <w:r w:rsidR="003017FA" w:rsidRPr="00166515">
        <w:fldChar w:fldCharType="separate"/>
      </w:r>
      <w:r w:rsidR="003017FA" w:rsidRPr="00166515">
        <w:rPr>
          <w:noProof/>
        </w:rPr>
        <w:t>[40]</w:t>
      </w:r>
      <w:r w:rsidR="003017FA" w:rsidRPr="00166515">
        <w:fldChar w:fldCharType="end"/>
      </w:r>
      <w:r w:rsidR="00D22C32" w:rsidRPr="00166515">
        <w:t xml:space="preserve">. </w:t>
      </w:r>
      <w:r w:rsidR="00A32243" w:rsidRPr="00166515">
        <w:t xml:space="preserve">Nevertheless, the dissimilarities of these newly formed bone structures </w:t>
      </w:r>
      <w:r w:rsidRPr="00166515">
        <w:t>produced evidence</w:t>
      </w:r>
      <w:r w:rsidR="001E3BA0" w:rsidRPr="00166515">
        <w:t xml:space="preserve"> of </w:t>
      </w:r>
      <w:r w:rsidR="00A32243" w:rsidRPr="00166515">
        <w:t xml:space="preserve">the relationship between apparent and local strains and the irregular microarchitecture induced </w:t>
      </w:r>
      <w:r w:rsidR="00A32243" w:rsidRPr="009D5A75">
        <w:rPr>
          <w:iCs/>
        </w:rPr>
        <w:t>in vivo</w:t>
      </w:r>
      <w:r w:rsidR="00A32243" w:rsidRPr="00166515">
        <w:t xml:space="preserve"> during the </w:t>
      </w:r>
      <w:r w:rsidR="00662233" w:rsidRPr="00166515">
        <w:t>remodeling</w:t>
      </w:r>
      <w:r w:rsidR="00A32243" w:rsidRPr="00166515">
        <w:t xml:space="preserve"> phase of bone regeneration. Furthermore, these findings have the potential to inform numerical models on bone adaptation, enabling predictions of long-term bone healing following different tissue engineering approaches</w:t>
      </w:r>
      <w:r w:rsidR="008F2389">
        <w:t>,</w:t>
      </w:r>
      <w:r w:rsidR="006B30D2" w:rsidRPr="00166515">
        <w:t xml:space="preserve"> as well as the determination of material properties and the relative contribution of the different tissues</w:t>
      </w:r>
      <w:r w:rsidR="009E3D54" w:rsidRPr="00166515">
        <w:t xml:space="preserve"> (i.e.</w:t>
      </w:r>
      <w:r w:rsidR="00F95960">
        <w:t>,</w:t>
      </w:r>
      <w:r w:rsidR="009E3D54" w:rsidRPr="00166515">
        <w:t xml:space="preserve"> both hard and soft tissues)</w:t>
      </w:r>
      <w:r w:rsidR="006B30D2" w:rsidRPr="00166515">
        <w:t xml:space="preserve"> to the </w:t>
      </w:r>
      <w:r w:rsidR="009E3D54" w:rsidRPr="00166515">
        <w:t>local</w:t>
      </w:r>
      <w:r w:rsidR="006B30D2" w:rsidRPr="00166515">
        <w:t xml:space="preserve"> mechanical behavior of these complex structures</w:t>
      </w:r>
      <w:r w:rsidR="00A32243" w:rsidRPr="00166515">
        <w:t xml:space="preserve">. While it could be argued that the mechanics of bone tissue may be altered due to the fixation process, it should be noted that the specimens were left in fixative for only one week and testing was undertaken in the apparent elastic regime. It has been shown that fixation for up to </w:t>
      </w:r>
      <w:r w:rsidR="008F2389">
        <w:t>four</w:t>
      </w:r>
      <w:r w:rsidR="00A32243" w:rsidRPr="00166515">
        <w:t xml:space="preserve"> weeks does not alter the compressive properties of bone </w:t>
      </w:r>
      <w:r w:rsidR="00A32243" w:rsidRPr="00166515">
        <w:fldChar w:fldCharType="begin" w:fldLock="1"/>
      </w:r>
      <w:r w:rsidR="00870BBB" w:rsidRPr="00166515">
        <w:instrText>ADDIN CSL_CITATION {"citationItems":[{"id":"ITEM-1","itemData":{"DOI":"10.1016/j.clinbiomech.2008.07.007","ISBN":"1879-1271 (Electronic) 0268-0033 (Linking)","ISSN":"02680033","PMID":"18771829","abstract":"Background: The use of formalin fixed bone tissue is often avoided because of its assumed influence on the mechanical properties of bone. Fixed bone tissue would minimise biological risks and eliminate preservation issues for long duration experimental tests. This study aimed to determine the short- and long-term effects of embalming, using a solution with 4% formalin concentration, on the mechanical properties of human cortical bone. Methods: Three-millimetre cylindrical specimens of human cortical bone were extracted from two femoral diaphyses and divided in four groups. The first group was used as control, the remaining three groups were left in the embalming solution for 48 h, 4 week, and 8 week, respectively. Compressive mechanical properties, hardness and ash density were assessed. The last was used to check the homogeneity among the four groups. Findings: No significant differences were found among the four groups in yield stress, ultimate stress and hardness. The specimens stored for 8 week in the embalming solution had significant lower Young's modulus (-24%), higher yield strain (+20%) and ultimate strain (+53%) compared to the other groups. Interpretation: On a short-term perspective, embalming did not affect the compressive mechanical properties, nor hardness of human cortical bone, whereas a long-term preservation (8 week) did significantly affect Young's modulus, yield strain and ultimate strain in compression. Preserving bone segments for up to 4 week in an embalming solution with low formalin concentration seems to be an interesting alternative when collecting and/or managing fresh or fresh-frozen bone segments for biomechanical experiments is not possible. © 2008 Elsevier Ltd. All rights reserved.","author":[{"dropping-particle":"","family":"Öhman","given":"Caroline","non-dropping-particle":"","parse-names":false,"suffix":""},{"dropping-particle":"","family":"Dall'Ara","given":"Enrico","non-dropping-particle":"","parse-names":false,"suffix":""},{"dropping-particle":"","family":"Baleani","given":"Massimiliano","non-dropping-particle":"","parse-names":false,"suffix":""},{"dropping-particle":"","family":"Jan","given":"Serge Van Sint","non-dropping-particle":"","parse-names":false,"suffix":""},{"dropping-particle":"","family":"Viceconti","given":"Marco","non-dropping-particle":"","parse-names":false,"suffix":""}],"container-title":"Clinical Biomechanics","id":"ITEM-1","issue":"10","issued":{"date-parts":[["2008"]]},"page":"1294-1298","title":"The effects of embalming using a 4% formalin solution on the compressive mechanical properties of human cortical bone","type":"article-journal","volume":"23"},"uris":["http://www.mendeley.com/documents/?uuid=9df84f13-c510-4e22-bf37-1648eb0d37ca"]}],"mendeley":{"formattedCitation":"[70]","plainTextFormattedCitation":"[70]","previouslyFormattedCitation":"[70]"},"properties":{"noteIndex":0},"schema":"https://github.com/citation-style-language/schema/raw/master/csl-citation.json"}</w:instrText>
      </w:r>
      <w:r w:rsidR="00A32243" w:rsidRPr="00166515">
        <w:fldChar w:fldCharType="separate"/>
      </w:r>
      <w:r w:rsidR="00870BBB" w:rsidRPr="00166515">
        <w:rPr>
          <w:noProof/>
        </w:rPr>
        <w:t>[70]</w:t>
      </w:r>
      <w:r w:rsidR="00A32243" w:rsidRPr="00166515">
        <w:fldChar w:fldCharType="end"/>
      </w:r>
      <w:r w:rsidR="008F2389">
        <w:t>,</w:t>
      </w:r>
      <w:r w:rsidR="00A32243" w:rsidRPr="00166515">
        <w:t xml:space="preserve"> and appears not to influence the elastic properties of bone </w:t>
      </w:r>
      <w:r w:rsidR="00A32243" w:rsidRPr="00166515">
        <w:fldChar w:fldCharType="begin" w:fldLock="1"/>
      </w:r>
      <w:r w:rsidR="00870BBB" w:rsidRPr="00166515">
        <w:instrText>ADDIN CSL_CITATION {"citationItems":[{"id":"ITEM-1","itemData":{"DOI":"10.5277/ABB-00067-2014-03","ISSN":"1509409X","abstract":"Purpose: Preservative treatments are necessary for disinfection and long term storage when dealing with biological tissue. Freezing is a gold standard but infectious risk can only be eliminated by using chemical fluids that may alter the mechanical properties, depending on their composition. Therefore, we experimentally evaluated the influence of freezing and of two commonly used preservative fluids (formalin and alcohol) on the intrinsic mechanical properties of ovine cortical bone samples, compared to purely fresh samples. Methods: Prismatic specimens were prepared from the sheep’s metacarpal bones and were divided into four groups (fresh, fresh-frozen, formalin and alcohol). All samples underwent four-point-bending; fresh samples were tested immediately, preserved samples were tested after 14 days. Bending modulus, bending strength, yield strength and energy absorption for the elastic and plastic region were determined. Results: Significant differences were found for the plastic energy absorption for formalin (-41%) and alcohol (+37%) preservation compared to fresh samples. Formalin preservation revealed embrittlement of the cortical bone samples and alcohol preservation revealed higher ability of plastic energy absorption. Conclusions: Our results indicate that freezing has no influence on the mechanical properties of the ovine cortical bone. Preservation with chemical fluids (formalin and alcohol) showed no influence on the elastic properties but it was observed for the ability of plastic energy absorption. Therefore, these methods seem to be suitable for preservation without evident altering of the elastic mechanical properties.","author":[{"dropping-particle":"","family":"Wieding","given":"Jan","non-dropping-particle":"","parse-names":false,"suffix":""},{"dropping-particle":"","family":"Mick","given":"Enrico","non-dropping-particle":"","parse-names":false,"suffix":""},{"dropping-particle":"","family":"Wree","given":"Andreas","non-dropping-particle":"","parse-names":false,"suffix":""},{"dropping-particle":"","family":"Bader","given":"Rainer","non-dropping-particle":"","parse-names":false,"suffix":""}],"container-title":"Acta of Bioengineering and Biomechanics","id":"ITEM-1","issue":"1","issued":{"date-parts":[["2015"]]},"page":"137-146","title":"Influence of three different preservative techniques on the mechanical properties of the ovine cortical bone","type":"article-journal","volume":"17"},"uris":["http://www.mendeley.com/documents/?uuid=64428689-b897-46c2-b884-d21ad457544a"]}],"mendeley":{"formattedCitation":"[71]","plainTextFormattedCitation":"[71]","previouslyFormattedCitation":"[71]"},"properties":{"noteIndex":0},"schema":"https://github.com/citation-style-language/schema/raw/master/csl-citation.json"}</w:instrText>
      </w:r>
      <w:r w:rsidR="00A32243" w:rsidRPr="00166515">
        <w:fldChar w:fldCharType="separate"/>
      </w:r>
      <w:r w:rsidR="00870BBB" w:rsidRPr="00166515">
        <w:rPr>
          <w:noProof/>
        </w:rPr>
        <w:t>[71]</w:t>
      </w:r>
      <w:r w:rsidR="00A32243" w:rsidRPr="00166515">
        <w:fldChar w:fldCharType="end"/>
      </w:r>
      <w:r w:rsidR="00A32243" w:rsidRPr="00166515">
        <w:t>. Additionally, the calibration phantom was not included with each specimen to be imaged; therefore, the intrinsic fluctuations of the microCT system (i.e.</w:t>
      </w:r>
      <w:r w:rsidR="00F95960">
        <w:t>,</w:t>
      </w:r>
      <w:r w:rsidR="00A32243" w:rsidRPr="00166515">
        <w:t xml:space="preserve"> tube voltage level, current), which could potentially affect the grey-scale levels, were not accounted for </w:t>
      </w:r>
      <w:r w:rsidR="00A32243" w:rsidRPr="00166515">
        <w:fldChar w:fldCharType="begin" w:fldLock="1"/>
      </w:r>
      <w:r w:rsidR="00EA2F45" w:rsidRPr="00166515">
        <w:instrText>ADDIN CSL_CITATION {"citationItems":[{"id":"ITEM-1","itemData":{"DOI":"10.1016/j.bone.2008.04.009","ISBN":"8756-3282","ISSN":"87563282","PMID":"18539557","abstract":"One of the many applications of micro computed tomography (μCT) is to accurately visualize and quantify cancellous bone microstructure. However, μCT based assessment of bone mineral density has yet to be thoroughly investigated. Specifically, the effects of varying imaging parameters, such as tube voltage (kVp), current (μA), integration time (ms), object to X-ray source distance (mm), projection number, detector array size and imaging media (surrounding the specimen), on the relationship between equivalent tissue density (ρEQ) and its linear attenuation coefficient (μ) have received little attention. In this study, in house manufactured, hydrogen dipotassium phosphate liquid calibration phantoms (K2HPO4) were employed in addition to a resin embedded hydroxyapatite solid calibration phantoms supplied by Scanco Medical AG Company. Variations in current, integration time and projection number had no effect on the conversion relationship between μ and ρEQfor the K2HPO4and Scanco calibration phantoms [p&gt;0.05 for all cases]. However, as expected, variations in scanning tube voltage, object to X-ray source distance, detector array size and imaging media (referring to the solution that surrounds the specimen in the imaging vial) significantly affected the conversion relationship between μ and ρEQfor K2HPO4and Scanco calibration phantoms [p&lt;0.05 for all cases]. A multivariate linear regression approach was used to estimate ρEQbased on attenuation coefficient, tube voltage, object to X-ray source distance, detector array size and imaging media for K2HPO4liquid calibration phantoms, explaining 90% of the variation in ρEQ. Furthermore, equivalent density values of bovine cortical bone (converted from attenuation coefficient to equivalent density using the K2HPO4liquid calibration phantoms) samples highly correlated [R2=0.92] with the ash densities of the samples. In conclusion, Scanco calibration phantoms can be used to assess equivalent bone mineral density; however, they cannot be scanned with a specimen or submerged in a different imaging media. The K2HPO4liquid calibration phantoms provide a cost effective, easy to prepare and convenient means to perform quantitative μCT analysis using any μCT system, with the ability to choose different imaging media according to study needs. However, as with any liquid calibration phantom, they are susceptible to degradation over time. © 2008 Elsevier Inc. All rights reserved.","author":[{"dropping-particle":"","family":"Nazarian","given":"Ara","non-dropping-particle":"","parse-names":false,"suffix":""},{"dropping-particle":"","family":"Snyder","given":"Brian D.","non-dropping-particle":"","parse-names":false,"suffix":""},{"dropping-particle":"","family":"Zurakowski","given":"David","non-dropping-particle":"","parse-names":false,"suffix":""},{"dropping-particle":"","family":"Müller","given":"Ralph","non-dropping-particle":"","parse-names":false,"suffix":""}],"container-title":"Bone","id":"ITEM-1","issue":"2","issued":{"date-parts":[["2008"]]},"page":"302-311","title":"Quantitative micro-computed tomography: A non-invasive method to assess equivalent bone mineral density","type":"article-journal","volume":"43"},"uris":["http://www.mendeley.com/documents/?uuid=bd772937-115f-499b-bdc6-72de4daeceae"]}],"mendeley":{"formattedCitation":"[30]","plainTextFormattedCitation":"[30]","previouslyFormattedCitation":"[30]"},"properties":{"noteIndex":0},"schema":"https://github.com/citation-style-language/schema/raw/master/csl-citation.json"}</w:instrText>
      </w:r>
      <w:r w:rsidR="00A32243" w:rsidRPr="00166515">
        <w:fldChar w:fldCharType="separate"/>
      </w:r>
      <w:r w:rsidR="00EA2F45" w:rsidRPr="00166515">
        <w:rPr>
          <w:noProof/>
        </w:rPr>
        <w:t>[30]</w:t>
      </w:r>
      <w:r w:rsidR="00A32243" w:rsidRPr="00166515">
        <w:fldChar w:fldCharType="end"/>
      </w:r>
      <w:r w:rsidR="00A32243" w:rsidRPr="00166515">
        <w:t xml:space="preserve">. However, the purpose of the presented calibration was to better understand how high and low </w:t>
      </w:r>
      <w:r w:rsidR="00662233" w:rsidRPr="00166515">
        <w:t>mineralized</w:t>
      </w:r>
      <w:r w:rsidR="00A32243" w:rsidRPr="00166515">
        <w:t xml:space="preserve"> regions of bone correlated with newly formed bone</w:t>
      </w:r>
      <w:r w:rsidR="008F2389">
        <w:t>,</w:t>
      </w:r>
      <w:r w:rsidR="00A32243" w:rsidRPr="00166515">
        <w:t xml:space="preserve"> as opposed to a precise determination of </w:t>
      </w:r>
      <w:r w:rsidR="008F2389">
        <w:t xml:space="preserve">the </w:t>
      </w:r>
      <w:r w:rsidR="00A32243" w:rsidRPr="00166515">
        <w:t>density measures of each specimen.</w:t>
      </w:r>
      <w:r w:rsidR="006B30D2" w:rsidRPr="00166515">
        <w:t xml:space="preserve"> </w:t>
      </w:r>
    </w:p>
    <w:p w14:paraId="20CDF1F3" w14:textId="45B7000F" w:rsidR="00F42E7B" w:rsidRPr="00166515" w:rsidRDefault="00166515" w:rsidP="00166515">
      <w:pPr>
        <w:pStyle w:val="MDPI21heading1"/>
      </w:pPr>
      <w:r w:rsidRPr="00166515">
        <w:t xml:space="preserve">5. </w:t>
      </w:r>
      <w:r w:rsidR="00F42E7B" w:rsidRPr="00166515">
        <w:t>Conclusions</w:t>
      </w:r>
    </w:p>
    <w:p w14:paraId="17C7CB46" w14:textId="019D23D7" w:rsidR="00A32243" w:rsidRPr="00166515" w:rsidRDefault="00A32243" w:rsidP="00166515">
      <w:pPr>
        <w:pStyle w:val="MDPI31text"/>
      </w:pPr>
      <w:r w:rsidRPr="00166515">
        <w:t xml:space="preserve">The combination of high-resolution X-ray microCT, </w:t>
      </w:r>
      <w:r w:rsidRPr="009D5A75">
        <w:rPr>
          <w:iCs/>
        </w:rPr>
        <w:t>in situ</w:t>
      </w:r>
      <w:r w:rsidRPr="00166515">
        <w:t xml:space="preserve"> mechanics and DVC was used to </w:t>
      </w:r>
      <w:r w:rsidR="009431E5" w:rsidRPr="00166515">
        <w:t xml:space="preserve">qualitatively </w:t>
      </w:r>
      <w:r w:rsidR="00662233" w:rsidRPr="00166515">
        <w:t>characterize</w:t>
      </w:r>
      <w:r w:rsidRPr="00166515">
        <w:t xml:space="preserve"> </w:t>
      </w:r>
      <w:r w:rsidR="00FA5E31" w:rsidRPr="00166515">
        <w:t xml:space="preserve">the full-field strain distribution </w:t>
      </w:r>
      <w:r w:rsidRPr="00166515">
        <w:t xml:space="preserve">and load-bearing capacity of newly formed bone induced </w:t>
      </w:r>
      <w:r w:rsidRPr="009D5A75">
        <w:rPr>
          <w:iCs/>
        </w:rPr>
        <w:t xml:space="preserve">in vivo </w:t>
      </w:r>
      <w:r w:rsidRPr="00166515">
        <w:t>in a large animal critical size bone defect</w:t>
      </w:r>
      <w:r w:rsidR="008F2389">
        <w:t>,</w:t>
      </w:r>
      <w:r w:rsidRPr="00166515">
        <w:t xml:space="preserve"> following different treatments. </w:t>
      </w:r>
      <w:r w:rsidR="00FA5E31" w:rsidRPr="00166515">
        <w:t xml:space="preserve">The </w:t>
      </w:r>
      <w:r w:rsidR="009431E5" w:rsidRPr="00166515">
        <w:t xml:space="preserve">local </w:t>
      </w:r>
      <w:r w:rsidR="00FA5E31" w:rsidRPr="00166515">
        <w:t>strain development in the tissue was evaluated in relation to bone micro</w:t>
      </w:r>
      <w:r w:rsidR="00814613" w:rsidRPr="00166515">
        <w:t>architecture and mineralization</w:t>
      </w:r>
      <w:r w:rsidR="003017FA" w:rsidRPr="00166515">
        <w:t>, providing new information on the micromechanics of regenerated bone</w:t>
      </w:r>
      <w:r w:rsidR="00814613" w:rsidRPr="00166515">
        <w:t xml:space="preserve">. </w:t>
      </w:r>
      <w:r w:rsidR="009431E5" w:rsidRPr="00166515">
        <w:t>Despite</w:t>
      </w:r>
      <w:r w:rsidR="00A62DFA" w:rsidRPr="00166515">
        <w:t xml:space="preserve"> the </w:t>
      </w:r>
      <w:r w:rsidR="009431E5" w:rsidRPr="00166515">
        <w:t xml:space="preserve">limited </w:t>
      </w:r>
      <w:r w:rsidR="00A62DFA" w:rsidRPr="00166515">
        <w:t xml:space="preserve">number of </w:t>
      </w:r>
      <w:r w:rsidR="009431E5" w:rsidRPr="00166515">
        <w:t>s</w:t>
      </w:r>
      <w:r w:rsidR="00A62DFA" w:rsidRPr="00166515">
        <w:t>pecimen</w:t>
      </w:r>
      <w:r w:rsidR="00173CC0" w:rsidRPr="00166515">
        <w:t xml:space="preserve">s retrieved </w:t>
      </w:r>
      <w:r w:rsidR="00A62DFA" w:rsidRPr="00166515">
        <w:t>(</w:t>
      </w:r>
      <w:r w:rsidR="00D14047">
        <w:rPr>
          <w:iCs/>
        </w:rPr>
        <w:t>n</w:t>
      </w:r>
      <w:r w:rsidR="00F95960">
        <w:t xml:space="preserve"> </w:t>
      </w:r>
      <w:r w:rsidR="00D14047">
        <w:t xml:space="preserve"> </w:t>
      </w:r>
      <w:r w:rsidR="00A62DFA" w:rsidRPr="00166515">
        <w:t>=</w:t>
      </w:r>
      <w:r w:rsidR="00F95960">
        <w:t xml:space="preserve"> </w:t>
      </w:r>
      <w:r w:rsidR="00A62DFA" w:rsidRPr="00166515">
        <w:t xml:space="preserve">2 p/treatment) </w:t>
      </w:r>
      <w:r w:rsidR="00173CC0" w:rsidRPr="00166515">
        <w:t>at a single time point</w:t>
      </w:r>
      <w:r w:rsidR="00A62DFA" w:rsidRPr="00166515">
        <w:t xml:space="preserve"> (10 weeks </w:t>
      </w:r>
      <w:r w:rsidR="00A62DFA" w:rsidRPr="009D5A75">
        <w:rPr>
          <w:iCs/>
        </w:rPr>
        <w:t>in vivo</w:t>
      </w:r>
      <w:r w:rsidR="00A62DFA" w:rsidRPr="00166515">
        <w:t>) and evaluated</w:t>
      </w:r>
      <w:r w:rsidR="009431E5" w:rsidRPr="00166515">
        <w:t xml:space="preserve">, </w:t>
      </w:r>
      <w:r w:rsidRPr="00166515">
        <w:t xml:space="preserve">DVC-computed strain distributions </w:t>
      </w:r>
      <w:r w:rsidR="00173CC0" w:rsidRPr="00166515">
        <w:t>seem</w:t>
      </w:r>
      <w:r w:rsidR="008F2389">
        <w:t>ed</w:t>
      </w:r>
      <w:r w:rsidR="00173CC0" w:rsidRPr="00166515">
        <w:t xml:space="preserve"> to </w:t>
      </w:r>
      <w:r w:rsidRPr="00166515">
        <w:t>indicate that the regenerated bone structure is mechanical</w:t>
      </w:r>
      <w:r w:rsidR="00814613" w:rsidRPr="00166515">
        <w:t>ly</w:t>
      </w:r>
      <w:r w:rsidRPr="00166515">
        <w:t xml:space="preserve"> adapted to bear external loads from the </w:t>
      </w:r>
      <w:r w:rsidR="00814613" w:rsidRPr="00166515">
        <w:t xml:space="preserve">early </w:t>
      </w:r>
      <w:r w:rsidR="00662233" w:rsidRPr="00166515">
        <w:t>remodeling</w:t>
      </w:r>
      <w:r w:rsidRPr="00166515">
        <w:t xml:space="preserve"> stages of the bone reparation cascade. The results of this study provide an important step towards understanding the load transfer ability</w:t>
      </w:r>
      <w:r w:rsidR="00524F59" w:rsidRPr="00166515">
        <w:t xml:space="preserve"> and local mechanical properties</w:t>
      </w:r>
      <w:r w:rsidRPr="00166515">
        <w:t xml:space="preserve"> of newly formed bone</w:t>
      </w:r>
      <w:r w:rsidRPr="009D5A75">
        <w:rPr>
          <w:iCs/>
        </w:rPr>
        <w:t xml:space="preserve"> in vivo</w:t>
      </w:r>
      <w:r w:rsidR="00524F59" w:rsidRPr="00166515">
        <w:t xml:space="preserve">. The experimental techniques presented </w:t>
      </w:r>
      <w:r w:rsidR="008F2389" w:rsidRPr="00166515">
        <w:t xml:space="preserve">herein </w:t>
      </w:r>
      <w:r w:rsidR="00524F59" w:rsidRPr="00166515">
        <w:t xml:space="preserve">in unravelling local mechanics in regenerated </w:t>
      </w:r>
      <w:r w:rsidR="007C4352" w:rsidRPr="00166515">
        <w:t xml:space="preserve">tissue can be further applied to understand targeted biomaterial action </w:t>
      </w:r>
      <w:r w:rsidR="007C4352" w:rsidRPr="009D5A75">
        <w:rPr>
          <w:iCs/>
        </w:rPr>
        <w:t>in vivo</w:t>
      </w:r>
      <w:r w:rsidR="007C4352" w:rsidRPr="00166515">
        <w:t xml:space="preserve">. </w:t>
      </w:r>
      <w:r w:rsidRPr="00166515">
        <w:t xml:space="preserve">Such information is crucial to facilitate </w:t>
      </w:r>
      <w:r w:rsidR="00814613" w:rsidRPr="00166515">
        <w:t xml:space="preserve">the </w:t>
      </w:r>
      <w:r w:rsidRPr="00166515">
        <w:t xml:space="preserve">development </w:t>
      </w:r>
      <w:r w:rsidR="00814613" w:rsidRPr="00166515">
        <w:t>of novel</w:t>
      </w:r>
      <w:r w:rsidRPr="00166515">
        <w:t xml:space="preserve"> regeneration strategies </w:t>
      </w:r>
      <w:r w:rsidR="003017FA" w:rsidRPr="00166515">
        <w:t xml:space="preserve">designed to promote </w:t>
      </w:r>
      <w:r w:rsidRPr="00166515">
        <w:t>tissue with comparable biomechanical qualit</w:t>
      </w:r>
      <w:r w:rsidR="00814613" w:rsidRPr="00166515">
        <w:t>y</w:t>
      </w:r>
      <w:r w:rsidRPr="00166515">
        <w:t xml:space="preserve"> to </w:t>
      </w:r>
      <w:r w:rsidR="00814613" w:rsidRPr="00166515">
        <w:t xml:space="preserve">the </w:t>
      </w:r>
      <w:r w:rsidRPr="00166515">
        <w:t>native bone.</w:t>
      </w:r>
    </w:p>
    <w:p w14:paraId="66CE07A8" w14:textId="1A021F37" w:rsidR="008A669C" w:rsidRPr="00166515" w:rsidRDefault="008A669C" w:rsidP="008A669C">
      <w:pPr>
        <w:pStyle w:val="MDPI61Supplementary"/>
      </w:pPr>
      <w:r w:rsidRPr="00166515">
        <w:rPr>
          <w:b/>
        </w:rPr>
        <w:t>Supplementary Materials:</w:t>
      </w:r>
      <w:r w:rsidRPr="00166515">
        <w:t xml:space="preserve"> The following are available online at </w:t>
      </w:r>
      <w:r w:rsidR="00DE3510" w:rsidRPr="00166515">
        <w:t>www.mdpi.com/xxx/s1</w:t>
      </w:r>
      <w:r w:rsidRPr="00166515">
        <w:t xml:space="preserve">, Figure S1: </w:t>
      </w:r>
      <w:r w:rsidR="00CF6700" w:rsidRPr="00166515">
        <w:t>Strain uncertainties analysis</w:t>
      </w:r>
      <w:r w:rsidR="008F2389">
        <w:t>;</w:t>
      </w:r>
      <w:r w:rsidRPr="00166515">
        <w:t xml:space="preserve"> </w:t>
      </w:r>
      <w:r w:rsidR="00CF6700" w:rsidRPr="00166515">
        <w:t>Figure S2</w:t>
      </w:r>
      <w:r w:rsidR="008F2389">
        <w:t>:</w:t>
      </w:r>
      <w:r w:rsidR="00CF6700" w:rsidRPr="00166515">
        <w:t xml:space="preserve"> Random errors analysis</w:t>
      </w:r>
      <w:r w:rsidR="008F2389">
        <w:t>;</w:t>
      </w:r>
      <w:r w:rsidR="00CF6700" w:rsidRPr="00166515">
        <w:t xml:space="preserve"> Figure S3</w:t>
      </w:r>
      <w:r w:rsidR="007A5051">
        <w:t>:</w:t>
      </w:r>
      <w:r w:rsidR="00CF6700" w:rsidRPr="00166515">
        <w:t xml:space="preserve"> Correlations between mechanical and microstructural parameters</w:t>
      </w:r>
      <w:r w:rsidR="007A5051">
        <w:t>;</w:t>
      </w:r>
      <w:r w:rsidR="00CF6700" w:rsidRPr="00166515">
        <w:t xml:space="preserve"> Figure S4</w:t>
      </w:r>
      <w:r w:rsidR="007A5051">
        <w:t>:</w:t>
      </w:r>
      <w:r w:rsidR="00CF6700" w:rsidRPr="00166515">
        <w:t xml:space="preserve"> Thickness and mineralization differences between regio</w:t>
      </w:r>
      <w:r w:rsidR="00166515" w:rsidRPr="00166515">
        <w:t>ns highly and lowly strained.</w:t>
      </w:r>
    </w:p>
    <w:p w14:paraId="09089FF6" w14:textId="3ECBDD56" w:rsidR="00146D47" w:rsidRPr="00166515" w:rsidRDefault="003A1793" w:rsidP="008A669C">
      <w:pPr>
        <w:pStyle w:val="MDPI62Acknowledgments"/>
      </w:pPr>
      <w:r w:rsidRPr="00166515">
        <w:rPr>
          <w:b/>
        </w:rPr>
        <w:t xml:space="preserve">Author Contributions: </w:t>
      </w:r>
      <w:r w:rsidR="00146D47" w:rsidRPr="00166515">
        <w:t>C</w:t>
      </w:r>
      <w:r w:rsidRPr="00166515">
        <w:t xml:space="preserve">onceptualization, </w:t>
      </w:r>
      <w:r w:rsidR="00146D47" w:rsidRPr="00166515">
        <w:t>M.P.</w:t>
      </w:r>
      <w:r w:rsidR="004409DC" w:rsidRPr="00166515">
        <w:t>F</w:t>
      </w:r>
      <w:r w:rsidR="00146D47" w:rsidRPr="00166515">
        <w:t xml:space="preserve">., R.O. and G.T.; </w:t>
      </w:r>
      <w:r w:rsidR="00D14047">
        <w:t>M</w:t>
      </w:r>
      <w:r w:rsidR="00D14047" w:rsidRPr="00166515">
        <w:t xml:space="preserve">ethodology </w:t>
      </w:r>
      <w:r w:rsidR="00CF6700" w:rsidRPr="00166515">
        <w:t xml:space="preserve">(animal model), C.B., J.D., D.G., J.K. and R.O.; </w:t>
      </w:r>
      <w:r w:rsidR="00D14047">
        <w:t>M</w:t>
      </w:r>
      <w:r w:rsidR="00D14047" w:rsidRPr="00166515">
        <w:t xml:space="preserve">ethodology </w:t>
      </w:r>
      <w:r w:rsidR="00CF6700" w:rsidRPr="00166515">
        <w:t>(</w:t>
      </w:r>
      <w:r w:rsidR="00CF6700" w:rsidRPr="009D5A75">
        <w:rPr>
          <w:iCs/>
        </w:rPr>
        <w:t>ex vivo</w:t>
      </w:r>
      <w:r w:rsidR="00CF6700" w:rsidRPr="00166515">
        <w:t xml:space="preserve"> analysis), M.P.F. and G.T.; </w:t>
      </w:r>
      <w:r w:rsidR="004409DC" w:rsidRPr="00166515">
        <w:t xml:space="preserve">Validation, M.P.F. and G.T.; </w:t>
      </w:r>
      <w:r w:rsidR="00D14047">
        <w:t>F</w:t>
      </w:r>
      <w:r w:rsidR="00D14047" w:rsidRPr="00166515">
        <w:t xml:space="preserve">ormal </w:t>
      </w:r>
      <w:r w:rsidRPr="00166515">
        <w:t xml:space="preserve">analysis, </w:t>
      </w:r>
      <w:r w:rsidR="00146D47" w:rsidRPr="00166515">
        <w:t>M.P.F</w:t>
      </w:r>
      <w:r w:rsidRPr="00166515">
        <w:t xml:space="preserve">.; </w:t>
      </w:r>
      <w:r w:rsidR="00D14047">
        <w:t>I</w:t>
      </w:r>
      <w:r w:rsidR="00D14047" w:rsidRPr="00166515">
        <w:t xml:space="preserve">nvestigation </w:t>
      </w:r>
      <w:r w:rsidR="004409DC" w:rsidRPr="00166515">
        <w:t>(animal model)</w:t>
      </w:r>
      <w:r w:rsidRPr="00166515">
        <w:t xml:space="preserve">, </w:t>
      </w:r>
      <w:r w:rsidR="004409DC" w:rsidRPr="00166515">
        <w:t xml:space="preserve">C.B., J.D., D.G., J.K. and R.O.; </w:t>
      </w:r>
      <w:r w:rsidR="00D14047">
        <w:t>I</w:t>
      </w:r>
      <w:r w:rsidR="00D14047" w:rsidRPr="00166515">
        <w:t xml:space="preserve">nvestigation </w:t>
      </w:r>
      <w:r w:rsidR="00CF6700" w:rsidRPr="00166515">
        <w:t>(</w:t>
      </w:r>
      <w:r w:rsidR="00CF6700" w:rsidRPr="009D5A75">
        <w:rPr>
          <w:iCs/>
        </w:rPr>
        <w:t>ex vivo</w:t>
      </w:r>
      <w:r w:rsidR="00CF6700" w:rsidRPr="00166515">
        <w:t xml:space="preserve"> analysis), M.P.F</w:t>
      </w:r>
      <w:r w:rsidRPr="00166515">
        <w:t>.</w:t>
      </w:r>
      <w:r w:rsidR="00E3283F" w:rsidRPr="00166515">
        <w:t xml:space="preserve"> and G.T.</w:t>
      </w:r>
      <w:r w:rsidRPr="00166515">
        <w:t xml:space="preserve">; </w:t>
      </w:r>
      <w:r w:rsidR="00D14047">
        <w:t>R</w:t>
      </w:r>
      <w:r w:rsidR="00D14047" w:rsidRPr="00166515">
        <w:t>esources</w:t>
      </w:r>
      <w:r w:rsidRPr="00166515">
        <w:t xml:space="preserve">, </w:t>
      </w:r>
      <w:r w:rsidR="00CF6700" w:rsidRPr="00166515">
        <w:t>All the authors</w:t>
      </w:r>
      <w:r w:rsidRPr="00166515">
        <w:t xml:space="preserve">; </w:t>
      </w:r>
      <w:r w:rsidR="00D14047">
        <w:t>D</w:t>
      </w:r>
      <w:r w:rsidR="00D14047" w:rsidRPr="00166515">
        <w:t xml:space="preserve">ata </w:t>
      </w:r>
      <w:r w:rsidRPr="00166515">
        <w:t xml:space="preserve">curation, </w:t>
      </w:r>
      <w:r w:rsidR="0036656E" w:rsidRPr="00166515">
        <w:t>M.P.F.</w:t>
      </w:r>
      <w:r w:rsidRPr="00166515">
        <w:t xml:space="preserve">; </w:t>
      </w:r>
      <w:r w:rsidR="00D14047">
        <w:t>W</w:t>
      </w:r>
      <w:r w:rsidR="00D14047" w:rsidRPr="00166515">
        <w:t>riting</w:t>
      </w:r>
      <w:r w:rsidRPr="00166515">
        <w:t xml:space="preserve">—original draft preparation, </w:t>
      </w:r>
      <w:r w:rsidR="00146D47" w:rsidRPr="00166515">
        <w:t>M.P.F</w:t>
      </w:r>
      <w:r w:rsidRPr="00166515">
        <w:t xml:space="preserve">.; </w:t>
      </w:r>
      <w:r w:rsidR="00D14047">
        <w:t>W</w:t>
      </w:r>
      <w:r w:rsidR="00D14047" w:rsidRPr="00166515">
        <w:t>riting</w:t>
      </w:r>
      <w:r w:rsidRPr="00166515">
        <w:t xml:space="preserve">—review and editing, </w:t>
      </w:r>
      <w:r w:rsidR="00CF6700" w:rsidRPr="00166515">
        <w:t>All the authors</w:t>
      </w:r>
      <w:r w:rsidRPr="00166515">
        <w:t xml:space="preserve">; </w:t>
      </w:r>
      <w:r w:rsidR="00D14047">
        <w:t>V</w:t>
      </w:r>
      <w:r w:rsidR="00D14047" w:rsidRPr="00166515">
        <w:t>isualization</w:t>
      </w:r>
      <w:r w:rsidRPr="00166515">
        <w:t xml:space="preserve">, </w:t>
      </w:r>
      <w:r w:rsidR="00146D47" w:rsidRPr="00166515">
        <w:t>M.P.F.</w:t>
      </w:r>
      <w:r w:rsidRPr="00166515">
        <w:t xml:space="preserve">; </w:t>
      </w:r>
      <w:r w:rsidR="00D14047">
        <w:t>S</w:t>
      </w:r>
      <w:r w:rsidR="00D14047" w:rsidRPr="00166515">
        <w:t>upervision</w:t>
      </w:r>
      <w:r w:rsidRPr="00166515">
        <w:t xml:space="preserve">, </w:t>
      </w:r>
      <w:r w:rsidR="00146D47" w:rsidRPr="00166515">
        <w:t>R.O. and G.T.</w:t>
      </w:r>
      <w:r w:rsidR="0036656E" w:rsidRPr="00166515">
        <w:t>;</w:t>
      </w:r>
      <w:r w:rsidRPr="00166515">
        <w:t xml:space="preserve"> </w:t>
      </w:r>
      <w:r w:rsidR="00D14047">
        <w:t>F</w:t>
      </w:r>
      <w:r w:rsidR="00D14047" w:rsidRPr="00166515">
        <w:t xml:space="preserve">unding </w:t>
      </w:r>
      <w:r w:rsidRPr="00166515">
        <w:t xml:space="preserve">acquisition, </w:t>
      </w:r>
      <w:r w:rsidR="008E37B6" w:rsidRPr="00166515">
        <w:t>R.O.</w:t>
      </w:r>
      <w:r w:rsidR="00F57E58">
        <w:t xml:space="preserve"> and G.T.</w:t>
      </w:r>
    </w:p>
    <w:p w14:paraId="2AED515F" w14:textId="290E192D" w:rsidR="009B7AFD" w:rsidRPr="00166515" w:rsidRDefault="009B7AFD" w:rsidP="008A669C">
      <w:pPr>
        <w:pStyle w:val="MDPI62Acknowledgments"/>
      </w:pPr>
      <w:r w:rsidRPr="00166515">
        <w:rPr>
          <w:b/>
        </w:rPr>
        <w:t xml:space="preserve">Funding: </w:t>
      </w:r>
      <w:r w:rsidR="004409DC" w:rsidRPr="00166515">
        <w:t>Funding to RO from the Biotechnology and Biological Sciences Research Council (BBSRC LO21071/, BB/G010579/1, and BB/L00609X/1) and UK Regenerative Medicine Platform Hub Acellular Approaches for Therapeutic Delivery (MR/K026682/1)</w:t>
      </w:r>
      <w:r w:rsidR="003017FA" w:rsidRPr="00166515">
        <w:t xml:space="preserve">, </w:t>
      </w:r>
      <w:r w:rsidR="004409DC" w:rsidRPr="00166515">
        <w:t xml:space="preserve">University of Southampton </w:t>
      </w:r>
      <w:r w:rsidR="00814613" w:rsidRPr="00166515">
        <w:t xml:space="preserve">and University of Portsmouth </w:t>
      </w:r>
      <w:r w:rsidR="004409DC" w:rsidRPr="00166515">
        <w:t>are gratefully acknowledged.</w:t>
      </w:r>
    </w:p>
    <w:p w14:paraId="6D577B68" w14:textId="77247725" w:rsidR="008A669C" w:rsidRPr="00166515" w:rsidRDefault="006C6493" w:rsidP="008A669C">
      <w:pPr>
        <w:pStyle w:val="MDPI62Acknowledgments"/>
      </w:pPr>
      <w:r w:rsidRPr="00166515">
        <w:rPr>
          <w:b/>
        </w:rPr>
        <w:t>Acknowledgments:</w:t>
      </w:r>
      <w:r w:rsidRPr="00166515">
        <w:t xml:space="preserve"> </w:t>
      </w:r>
      <w:r w:rsidR="00A32243" w:rsidRPr="00166515">
        <w:t xml:space="preserve">The authors would like to acknowledge Alexander Kao for support during X-ray imaging and Enrico Dall’Ara for providing the calibration phantom. The Zeiss Global Centre (University of Portsmouth) is acknowledged for providing X-ray imaging facilities. </w:t>
      </w:r>
    </w:p>
    <w:p w14:paraId="50263313" w14:textId="348BB683" w:rsidR="008A669C" w:rsidRPr="00166515" w:rsidRDefault="008A669C" w:rsidP="008A669C">
      <w:pPr>
        <w:pStyle w:val="MDPI64CoI"/>
      </w:pPr>
      <w:r w:rsidRPr="00166515">
        <w:rPr>
          <w:b/>
        </w:rPr>
        <w:t>Conflicts of Interest:</w:t>
      </w:r>
      <w:r w:rsidRPr="00166515">
        <w:t xml:space="preserve"> </w:t>
      </w:r>
      <w:r w:rsidR="004409DC" w:rsidRPr="00166515">
        <w:t>The authors declare no conflict of interest.</w:t>
      </w:r>
    </w:p>
    <w:p w14:paraId="64824820" w14:textId="77777777" w:rsidR="00F42E7B" w:rsidRPr="00166515" w:rsidRDefault="00F42E7B" w:rsidP="00F42E7B">
      <w:pPr>
        <w:pStyle w:val="MDPI21heading1"/>
      </w:pPr>
      <w:r w:rsidRPr="00166515">
        <w:t>References</w:t>
      </w:r>
    </w:p>
    <w:p w14:paraId="2A0A1FC2"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sz w:val="18"/>
          <w:szCs w:val="18"/>
        </w:rPr>
        <w:fldChar w:fldCharType="begin" w:fldLock="1"/>
      </w:r>
      <w:r w:rsidRPr="0063216A">
        <w:rPr>
          <w:rFonts w:ascii="Palatino Linotype" w:hAnsi="Palatino Linotype"/>
          <w:sz w:val="18"/>
          <w:szCs w:val="18"/>
        </w:rPr>
        <w:instrText xml:space="preserve">ADDIN Mendeley Bibliography CSL_BIBLIOGRAPHY </w:instrText>
      </w:r>
      <w:r w:rsidRPr="0063216A">
        <w:rPr>
          <w:rFonts w:ascii="Palatino Linotype" w:hAnsi="Palatino Linotype"/>
          <w:sz w:val="18"/>
          <w:szCs w:val="18"/>
        </w:rPr>
        <w:fldChar w:fldCharType="separate"/>
      </w:r>
      <w:r w:rsidRPr="0063216A">
        <w:rPr>
          <w:rFonts w:ascii="Palatino Linotype" w:hAnsi="Palatino Linotype"/>
          <w:noProof/>
          <w:sz w:val="18"/>
          <w:szCs w:val="18"/>
        </w:rPr>
        <w:t xml:space="preserve">Marsell, R.; Einhorn, T.A. The biology of fracture healing. </w:t>
      </w:r>
      <w:r w:rsidRPr="0063216A">
        <w:rPr>
          <w:rFonts w:ascii="Palatino Linotype" w:hAnsi="Palatino Linotype"/>
          <w:i/>
          <w:iCs/>
          <w:noProof/>
          <w:sz w:val="18"/>
          <w:szCs w:val="18"/>
        </w:rPr>
        <w:t>Injury</w:t>
      </w:r>
      <w:r w:rsidRPr="0063216A">
        <w:rPr>
          <w:rFonts w:ascii="Palatino Linotype" w:hAnsi="Palatino Linotype"/>
          <w:noProof/>
          <w:sz w:val="18"/>
          <w:szCs w:val="18"/>
        </w:rPr>
        <w:t xml:space="preserve"> </w:t>
      </w:r>
      <w:r>
        <w:rPr>
          <w:rFonts w:ascii="Palatino Linotype" w:hAnsi="Palatino Linotype"/>
          <w:b/>
          <w:bCs/>
          <w:noProof/>
          <w:sz w:val="18"/>
          <w:szCs w:val="18"/>
        </w:rPr>
        <w:t>2011</w:t>
      </w:r>
      <w:r>
        <w:rPr>
          <w:rFonts w:ascii="Palatino Linotype" w:hAnsi="Palatino Linotype"/>
          <w:bCs/>
          <w:noProof/>
          <w:sz w:val="18"/>
          <w:szCs w:val="18"/>
        </w:rPr>
        <w:t xml:space="preserve">, </w:t>
      </w:r>
      <w:r>
        <w:rPr>
          <w:rFonts w:ascii="Palatino Linotype" w:hAnsi="Palatino Linotype"/>
          <w:bCs/>
          <w:i/>
          <w:noProof/>
          <w:sz w:val="18"/>
          <w:szCs w:val="18"/>
        </w:rPr>
        <w:t>42</w:t>
      </w:r>
      <w:r>
        <w:rPr>
          <w:rFonts w:ascii="Palatino Linotype" w:hAnsi="Palatino Linotype"/>
          <w:bCs/>
          <w:noProof/>
          <w:sz w:val="18"/>
          <w:szCs w:val="18"/>
        </w:rPr>
        <w:t>, 551–555</w:t>
      </w:r>
      <w:r w:rsidRPr="0063216A">
        <w:rPr>
          <w:rFonts w:ascii="Palatino Linotype" w:hAnsi="Palatino Linotype"/>
          <w:noProof/>
          <w:sz w:val="18"/>
          <w:szCs w:val="18"/>
        </w:rPr>
        <w:t>.</w:t>
      </w:r>
    </w:p>
    <w:p w14:paraId="61711204"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Oryan, A.; Monazzah, S.; Bigham-Sadegh, A. Bone injury and fracture healing biology. </w:t>
      </w:r>
      <w:r w:rsidRPr="0063216A">
        <w:rPr>
          <w:rFonts w:ascii="Palatino Linotype" w:hAnsi="Palatino Linotype"/>
          <w:i/>
          <w:iCs/>
          <w:noProof/>
          <w:sz w:val="18"/>
          <w:szCs w:val="18"/>
        </w:rPr>
        <w:t>Biomed. Environ. Sci.</w:t>
      </w:r>
      <w:r w:rsidRPr="0063216A">
        <w:rPr>
          <w:rFonts w:ascii="Palatino Linotype" w:hAnsi="Palatino Linotype"/>
          <w:noProof/>
          <w:sz w:val="18"/>
          <w:szCs w:val="18"/>
        </w:rPr>
        <w:t xml:space="preserve"> </w:t>
      </w:r>
      <w:r>
        <w:rPr>
          <w:rFonts w:ascii="Palatino Linotype" w:hAnsi="Palatino Linotype"/>
          <w:b/>
          <w:bCs/>
          <w:noProof/>
          <w:sz w:val="18"/>
          <w:szCs w:val="18"/>
        </w:rPr>
        <w:t>2015</w:t>
      </w:r>
      <w:r>
        <w:rPr>
          <w:rFonts w:ascii="Palatino Linotype" w:hAnsi="Palatino Linotype"/>
          <w:bCs/>
          <w:noProof/>
          <w:sz w:val="18"/>
          <w:szCs w:val="18"/>
        </w:rPr>
        <w:t xml:space="preserve">, </w:t>
      </w:r>
      <w:r>
        <w:rPr>
          <w:rFonts w:ascii="Palatino Linotype" w:hAnsi="Palatino Linotype"/>
          <w:bCs/>
          <w:i/>
          <w:noProof/>
          <w:sz w:val="18"/>
          <w:szCs w:val="18"/>
        </w:rPr>
        <w:t>28</w:t>
      </w:r>
      <w:r>
        <w:rPr>
          <w:rFonts w:ascii="Palatino Linotype" w:hAnsi="Palatino Linotype"/>
          <w:bCs/>
          <w:noProof/>
          <w:sz w:val="18"/>
          <w:szCs w:val="18"/>
        </w:rPr>
        <w:t>, 57–71</w:t>
      </w:r>
      <w:r w:rsidRPr="0063216A">
        <w:rPr>
          <w:rFonts w:ascii="Palatino Linotype" w:hAnsi="Palatino Linotype"/>
          <w:noProof/>
          <w:sz w:val="18"/>
          <w:szCs w:val="18"/>
        </w:rPr>
        <w:t>.</w:t>
      </w:r>
    </w:p>
    <w:p w14:paraId="49CD1AAA"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Giannoudis, P.V.; Einhorn, T.A.; Marsh, D. Fracture healing: The diamond concept. </w:t>
      </w:r>
      <w:r w:rsidRPr="0063216A">
        <w:rPr>
          <w:rFonts w:ascii="Palatino Linotype" w:hAnsi="Palatino Linotype"/>
          <w:i/>
          <w:iCs/>
          <w:noProof/>
          <w:sz w:val="18"/>
          <w:szCs w:val="18"/>
        </w:rPr>
        <w:t>Injury</w:t>
      </w:r>
      <w:r w:rsidRPr="0063216A">
        <w:rPr>
          <w:rFonts w:ascii="Palatino Linotype" w:hAnsi="Palatino Linotype"/>
          <w:noProof/>
          <w:sz w:val="18"/>
          <w:szCs w:val="18"/>
        </w:rPr>
        <w:t xml:space="preserve"> </w:t>
      </w:r>
      <w:r>
        <w:rPr>
          <w:rFonts w:ascii="Palatino Linotype" w:hAnsi="Palatino Linotype"/>
          <w:b/>
          <w:bCs/>
          <w:noProof/>
          <w:sz w:val="18"/>
          <w:szCs w:val="18"/>
        </w:rPr>
        <w:t>2007</w:t>
      </w:r>
      <w:r>
        <w:rPr>
          <w:rFonts w:ascii="Palatino Linotype" w:hAnsi="Palatino Linotype"/>
          <w:bCs/>
          <w:noProof/>
          <w:sz w:val="18"/>
          <w:szCs w:val="18"/>
        </w:rPr>
        <w:t xml:space="preserve">, </w:t>
      </w:r>
      <w:r>
        <w:rPr>
          <w:rFonts w:ascii="Palatino Linotype" w:hAnsi="Palatino Linotype"/>
          <w:bCs/>
          <w:i/>
          <w:noProof/>
          <w:sz w:val="18"/>
          <w:szCs w:val="18"/>
        </w:rPr>
        <w:t>38</w:t>
      </w:r>
      <w:r>
        <w:rPr>
          <w:rFonts w:ascii="Palatino Linotype" w:hAnsi="Palatino Linotype"/>
          <w:bCs/>
          <w:noProof/>
          <w:sz w:val="18"/>
          <w:szCs w:val="18"/>
        </w:rPr>
        <w:t>, 3–6</w:t>
      </w:r>
      <w:r w:rsidRPr="0063216A">
        <w:rPr>
          <w:rFonts w:ascii="Palatino Linotype" w:hAnsi="Palatino Linotype"/>
          <w:noProof/>
          <w:sz w:val="18"/>
          <w:szCs w:val="18"/>
        </w:rPr>
        <w:t>.</w:t>
      </w:r>
    </w:p>
    <w:p w14:paraId="5C84C539"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Lasanianos, N.G.; Kanakaris, N.K.; Giannoudis, P.V. Current management of long bone large segmental defects. </w:t>
      </w:r>
      <w:r w:rsidRPr="0063216A">
        <w:rPr>
          <w:rFonts w:ascii="Palatino Linotype" w:hAnsi="Palatino Linotype"/>
          <w:i/>
          <w:iCs/>
          <w:noProof/>
          <w:sz w:val="18"/>
          <w:szCs w:val="18"/>
        </w:rPr>
        <w:t>Orthop. Trauma</w:t>
      </w:r>
      <w:r w:rsidRPr="0063216A">
        <w:rPr>
          <w:rFonts w:ascii="Palatino Linotype" w:hAnsi="Palatino Linotype"/>
          <w:noProof/>
          <w:sz w:val="18"/>
          <w:szCs w:val="18"/>
        </w:rPr>
        <w:t xml:space="preserve"> </w:t>
      </w:r>
      <w:r>
        <w:rPr>
          <w:rFonts w:ascii="Palatino Linotype" w:hAnsi="Palatino Linotype"/>
          <w:b/>
          <w:bCs/>
          <w:noProof/>
          <w:sz w:val="18"/>
          <w:szCs w:val="18"/>
        </w:rPr>
        <w:t>2010</w:t>
      </w:r>
      <w:r>
        <w:rPr>
          <w:rFonts w:ascii="Palatino Linotype" w:hAnsi="Palatino Linotype"/>
          <w:bCs/>
          <w:noProof/>
          <w:sz w:val="18"/>
          <w:szCs w:val="18"/>
        </w:rPr>
        <w:t xml:space="preserve">, </w:t>
      </w:r>
      <w:r>
        <w:rPr>
          <w:rFonts w:ascii="Palatino Linotype" w:hAnsi="Palatino Linotype"/>
          <w:bCs/>
          <w:i/>
          <w:noProof/>
          <w:sz w:val="18"/>
          <w:szCs w:val="18"/>
        </w:rPr>
        <w:t>24</w:t>
      </w:r>
      <w:r>
        <w:rPr>
          <w:rFonts w:ascii="Palatino Linotype" w:hAnsi="Palatino Linotype"/>
          <w:bCs/>
          <w:noProof/>
          <w:sz w:val="18"/>
          <w:szCs w:val="18"/>
        </w:rPr>
        <w:t>, 149–163</w:t>
      </w:r>
      <w:r w:rsidRPr="0063216A">
        <w:rPr>
          <w:rFonts w:ascii="Palatino Linotype" w:hAnsi="Palatino Linotype"/>
          <w:noProof/>
          <w:sz w:val="18"/>
          <w:szCs w:val="18"/>
        </w:rPr>
        <w:t>.</w:t>
      </w:r>
    </w:p>
    <w:p w14:paraId="6C8EF0E6"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Roddy, E.; DeBaun, M.R.; Daoud-Gray, A.; Yang, Y.P.; Gardner, M.J. Treatment of critical-sized bone defects: Clinical and tissue engineering perspectives. </w:t>
      </w:r>
      <w:r w:rsidRPr="0063216A">
        <w:rPr>
          <w:rFonts w:ascii="Palatino Linotype" w:hAnsi="Palatino Linotype"/>
          <w:i/>
          <w:iCs/>
          <w:noProof/>
          <w:sz w:val="18"/>
          <w:szCs w:val="18"/>
        </w:rPr>
        <w:t>Eur. J. Orthop. Surg. Traumatol.</w:t>
      </w:r>
      <w:r w:rsidRPr="0063216A">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28</w:t>
      </w:r>
      <w:r>
        <w:rPr>
          <w:rFonts w:ascii="Palatino Linotype" w:hAnsi="Palatino Linotype"/>
          <w:bCs/>
          <w:noProof/>
          <w:sz w:val="18"/>
          <w:szCs w:val="18"/>
        </w:rPr>
        <w:t>, 351–362</w:t>
      </w:r>
      <w:r w:rsidRPr="0063216A">
        <w:rPr>
          <w:rFonts w:ascii="Palatino Linotype" w:hAnsi="Palatino Linotype"/>
          <w:noProof/>
          <w:sz w:val="18"/>
          <w:szCs w:val="18"/>
        </w:rPr>
        <w:t>.</w:t>
      </w:r>
    </w:p>
    <w:p w14:paraId="42BC958D"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Wang, W.; Yeung, K.W.K. Bone grafts and biomaterials substitutes for bone defect repair: A</w:t>
      </w:r>
      <w:r>
        <w:rPr>
          <w:rFonts w:ascii="Palatino Linotype" w:hAnsi="Palatino Linotype"/>
          <w:noProof/>
          <w:sz w:val="18"/>
          <w:szCs w:val="18"/>
        </w:rPr>
        <w:t xml:space="preserve"> </w:t>
      </w:r>
      <w:r w:rsidRPr="0063216A">
        <w:rPr>
          <w:rFonts w:ascii="Palatino Linotype" w:hAnsi="Palatino Linotype"/>
          <w:noProof/>
          <w:sz w:val="18"/>
          <w:szCs w:val="18"/>
        </w:rPr>
        <w:t xml:space="preserve">review. </w:t>
      </w:r>
      <w:r w:rsidRPr="0063216A">
        <w:rPr>
          <w:rFonts w:ascii="Palatino Linotype" w:hAnsi="Palatino Linotype"/>
          <w:i/>
          <w:iCs/>
          <w:noProof/>
          <w:sz w:val="18"/>
          <w:szCs w:val="18"/>
        </w:rPr>
        <w:t>Bioact. Mater.</w:t>
      </w:r>
      <w:r w:rsidRPr="0063216A">
        <w:rPr>
          <w:rFonts w:ascii="Palatino Linotype" w:hAnsi="Palatino Linotype"/>
          <w:noProof/>
          <w:sz w:val="18"/>
          <w:szCs w:val="18"/>
        </w:rPr>
        <w:t xml:space="preserve"> </w:t>
      </w:r>
      <w:r>
        <w:rPr>
          <w:rFonts w:ascii="Palatino Linotype" w:hAnsi="Palatino Linotype"/>
          <w:b/>
          <w:bCs/>
          <w:noProof/>
          <w:sz w:val="18"/>
          <w:szCs w:val="18"/>
        </w:rPr>
        <w:t>2017</w:t>
      </w:r>
      <w:r>
        <w:rPr>
          <w:rFonts w:ascii="Palatino Linotype" w:hAnsi="Palatino Linotype"/>
          <w:bCs/>
          <w:noProof/>
          <w:sz w:val="18"/>
          <w:szCs w:val="18"/>
        </w:rPr>
        <w:t xml:space="preserve">, </w:t>
      </w:r>
      <w:r>
        <w:rPr>
          <w:rFonts w:ascii="Palatino Linotype" w:hAnsi="Palatino Linotype"/>
          <w:bCs/>
          <w:i/>
          <w:noProof/>
          <w:sz w:val="18"/>
          <w:szCs w:val="18"/>
        </w:rPr>
        <w:t>2</w:t>
      </w:r>
      <w:r>
        <w:rPr>
          <w:rFonts w:ascii="Palatino Linotype" w:hAnsi="Palatino Linotype"/>
          <w:bCs/>
          <w:noProof/>
          <w:sz w:val="18"/>
          <w:szCs w:val="18"/>
        </w:rPr>
        <w:t>, 224–247</w:t>
      </w:r>
      <w:r w:rsidRPr="0063216A">
        <w:rPr>
          <w:rFonts w:ascii="Palatino Linotype" w:hAnsi="Palatino Linotype"/>
          <w:noProof/>
          <w:sz w:val="18"/>
          <w:szCs w:val="18"/>
        </w:rPr>
        <w:t>.</w:t>
      </w:r>
    </w:p>
    <w:p w14:paraId="57C20E93"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Bloemers, F.W.; Blokhuis, T.J.; Patka, P.; Bakker, F.C.; Wippermann, B.W.; Haarman, H.J.T.M. Autologous bone versus calcium-phosphate ceramics in treatment of experimental bone defects. </w:t>
      </w:r>
      <w:r>
        <w:rPr>
          <w:rFonts w:ascii="Palatino Linotype" w:hAnsi="Palatino Linotype"/>
          <w:i/>
          <w:iCs/>
          <w:noProof/>
          <w:sz w:val="18"/>
          <w:szCs w:val="18"/>
        </w:rPr>
        <w:t>J. Biomed. Mater. Res. B</w:t>
      </w:r>
      <w:r w:rsidRPr="0063216A">
        <w:rPr>
          <w:rFonts w:ascii="Palatino Linotype" w:hAnsi="Palatino Linotype"/>
          <w:i/>
          <w:iCs/>
          <w:noProof/>
          <w:sz w:val="18"/>
          <w:szCs w:val="18"/>
        </w:rPr>
        <w:t xml:space="preserve"> Appl. Biomater.</w:t>
      </w:r>
      <w:r w:rsidRPr="0063216A">
        <w:rPr>
          <w:rFonts w:ascii="Palatino Linotype" w:hAnsi="Palatino Linotype"/>
          <w:noProof/>
          <w:sz w:val="18"/>
          <w:szCs w:val="18"/>
        </w:rPr>
        <w:t xml:space="preserve"> </w:t>
      </w:r>
      <w:r>
        <w:rPr>
          <w:rFonts w:ascii="Palatino Linotype" w:hAnsi="Palatino Linotype"/>
          <w:b/>
          <w:bCs/>
          <w:noProof/>
          <w:sz w:val="18"/>
          <w:szCs w:val="18"/>
        </w:rPr>
        <w:t>2003</w:t>
      </w:r>
      <w:r>
        <w:rPr>
          <w:rFonts w:ascii="Palatino Linotype" w:hAnsi="Palatino Linotype"/>
          <w:bCs/>
          <w:noProof/>
          <w:sz w:val="18"/>
          <w:szCs w:val="18"/>
        </w:rPr>
        <w:t xml:space="preserve">, </w:t>
      </w:r>
      <w:r>
        <w:rPr>
          <w:rFonts w:ascii="Palatino Linotype" w:hAnsi="Palatino Linotype"/>
          <w:bCs/>
          <w:i/>
          <w:noProof/>
          <w:sz w:val="18"/>
          <w:szCs w:val="18"/>
        </w:rPr>
        <w:t>66</w:t>
      </w:r>
      <w:r>
        <w:rPr>
          <w:rFonts w:ascii="Palatino Linotype" w:hAnsi="Palatino Linotype"/>
          <w:bCs/>
          <w:noProof/>
          <w:sz w:val="18"/>
          <w:szCs w:val="18"/>
        </w:rPr>
        <w:t>, 526–531</w:t>
      </w:r>
      <w:r w:rsidRPr="0063216A">
        <w:rPr>
          <w:rFonts w:ascii="Palatino Linotype" w:hAnsi="Palatino Linotype"/>
          <w:noProof/>
          <w:sz w:val="18"/>
          <w:szCs w:val="18"/>
        </w:rPr>
        <w:t>.</w:t>
      </w:r>
    </w:p>
    <w:p w14:paraId="4AB5FAC3"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Sen, M.K.; Miclau, T. Autologous iliac crest bone graft: Should it still be the gold standard for treating nonunions? </w:t>
      </w:r>
      <w:r w:rsidRPr="0063216A">
        <w:rPr>
          <w:rFonts w:ascii="Palatino Linotype" w:hAnsi="Palatino Linotype"/>
          <w:i/>
          <w:iCs/>
          <w:noProof/>
          <w:sz w:val="18"/>
          <w:szCs w:val="18"/>
        </w:rPr>
        <w:t>Injury</w:t>
      </w:r>
      <w:r w:rsidRPr="0063216A">
        <w:rPr>
          <w:rFonts w:ascii="Palatino Linotype" w:hAnsi="Palatino Linotype"/>
          <w:noProof/>
          <w:sz w:val="18"/>
          <w:szCs w:val="18"/>
        </w:rPr>
        <w:t xml:space="preserve"> </w:t>
      </w:r>
      <w:r>
        <w:rPr>
          <w:rFonts w:ascii="Palatino Linotype" w:hAnsi="Palatino Linotype"/>
          <w:b/>
          <w:bCs/>
          <w:noProof/>
          <w:sz w:val="18"/>
          <w:szCs w:val="18"/>
        </w:rPr>
        <w:t>2007</w:t>
      </w:r>
      <w:r>
        <w:rPr>
          <w:rFonts w:ascii="Palatino Linotype" w:hAnsi="Palatino Linotype"/>
          <w:bCs/>
          <w:noProof/>
          <w:sz w:val="18"/>
          <w:szCs w:val="18"/>
        </w:rPr>
        <w:t xml:space="preserve">, </w:t>
      </w:r>
      <w:r>
        <w:rPr>
          <w:rFonts w:ascii="Palatino Linotype" w:hAnsi="Palatino Linotype"/>
          <w:bCs/>
          <w:i/>
          <w:noProof/>
          <w:sz w:val="18"/>
          <w:szCs w:val="18"/>
        </w:rPr>
        <w:t>38</w:t>
      </w:r>
      <w:r>
        <w:rPr>
          <w:rFonts w:ascii="Palatino Linotype" w:hAnsi="Palatino Linotype"/>
          <w:bCs/>
          <w:noProof/>
          <w:sz w:val="18"/>
          <w:szCs w:val="18"/>
        </w:rPr>
        <w:t>, 2–7</w:t>
      </w:r>
      <w:r w:rsidRPr="0063216A">
        <w:rPr>
          <w:rFonts w:ascii="Palatino Linotype" w:hAnsi="Palatino Linotype"/>
          <w:noProof/>
          <w:sz w:val="18"/>
          <w:szCs w:val="18"/>
        </w:rPr>
        <w:t>.</w:t>
      </w:r>
    </w:p>
    <w:p w14:paraId="4261F11E"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Schroeder, J.E.; Mosheiff, R. Tissue engineering approaches for bone repair: Concepts and evidence. </w:t>
      </w:r>
      <w:r w:rsidRPr="0063216A">
        <w:rPr>
          <w:rFonts w:ascii="Palatino Linotype" w:hAnsi="Palatino Linotype"/>
          <w:i/>
          <w:iCs/>
          <w:noProof/>
          <w:sz w:val="18"/>
          <w:szCs w:val="18"/>
        </w:rPr>
        <w:t>Injury</w:t>
      </w:r>
      <w:r w:rsidRPr="0063216A">
        <w:rPr>
          <w:rFonts w:ascii="Palatino Linotype" w:hAnsi="Palatino Linotype"/>
          <w:noProof/>
          <w:sz w:val="18"/>
          <w:szCs w:val="18"/>
        </w:rPr>
        <w:t xml:space="preserve"> </w:t>
      </w:r>
      <w:r>
        <w:rPr>
          <w:rFonts w:ascii="Palatino Linotype" w:hAnsi="Palatino Linotype"/>
          <w:b/>
          <w:bCs/>
          <w:noProof/>
          <w:sz w:val="18"/>
          <w:szCs w:val="18"/>
        </w:rPr>
        <w:t>2011</w:t>
      </w:r>
      <w:r>
        <w:rPr>
          <w:rFonts w:ascii="Palatino Linotype" w:hAnsi="Palatino Linotype"/>
          <w:bCs/>
          <w:noProof/>
          <w:sz w:val="18"/>
          <w:szCs w:val="18"/>
        </w:rPr>
        <w:t xml:space="preserve">, </w:t>
      </w:r>
      <w:r>
        <w:rPr>
          <w:rFonts w:ascii="Palatino Linotype" w:hAnsi="Palatino Linotype"/>
          <w:bCs/>
          <w:i/>
          <w:noProof/>
          <w:sz w:val="18"/>
          <w:szCs w:val="18"/>
        </w:rPr>
        <w:t>42</w:t>
      </w:r>
      <w:r>
        <w:rPr>
          <w:rFonts w:ascii="Palatino Linotype" w:hAnsi="Palatino Linotype"/>
          <w:bCs/>
          <w:noProof/>
          <w:sz w:val="18"/>
          <w:szCs w:val="18"/>
        </w:rPr>
        <w:t>, 609–613</w:t>
      </w:r>
      <w:r w:rsidRPr="0063216A">
        <w:rPr>
          <w:rFonts w:ascii="Palatino Linotype" w:hAnsi="Palatino Linotype"/>
          <w:noProof/>
          <w:sz w:val="18"/>
          <w:szCs w:val="18"/>
        </w:rPr>
        <w:t>.</w:t>
      </w:r>
    </w:p>
    <w:p w14:paraId="426BE36A"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Banwart, J.C.; Asher, M.A.; Hassanein, R.S. Iliac Crest Bone Graft Harvest Donor Site Morbidity: A Statistical Evaluation. </w:t>
      </w:r>
      <w:r>
        <w:rPr>
          <w:rFonts w:ascii="Palatino Linotype" w:hAnsi="Palatino Linotype"/>
          <w:i/>
          <w:iCs/>
          <w:noProof/>
          <w:sz w:val="18"/>
          <w:szCs w:val="18"/>
        </w:rPr>
        <w:t xml:space="preserve">Spine </w:t>
      </w:r>
      <w:r>
        <w:rPr>
          <w:rFonts w:ascii="Palatino Linotype" w:hAnsi="Palatino Linotype"/>
          <w:b/>
          <w:bCs/>
          <w:noProof/>
          <w:sz w:val="18"/>
          <w:szCs w:val="18"/>
        </w:rPr>
        <w:t>1995</w:t>
      </w:r>
      <w:r>
        <w:rPr>
          <w:rFonts w:ascii="Palatino Linotype" w:hAnsi="Palatino Linotype"/>
          <w:bCs/>
          <w:noProof/>
          <w:sz w:val="18"/>
          <w:szCs w:val="18"/>
        </w:rPr>
        <w:t xml:space="preserve">, </w:t>
      </w:r>
      <w:r>
        <w:rPr>
          <w:rFonts w:ascii="Palatino Linotype" w:hAnsi="Palatino Linotype"/>
          <w:bCs/>
          <w:i/>
          <w:noProof/>
          <w:sz w:val="18"/>
          <w:szCs w:val="18"/>
        </w:rPr>
        <w:t>20</w:t>
      </w:r>
      <w:r>
        <w:rPr>
          <w:rFonts w:ascii="Palatino Linotype" w:hAnsi="Palatino Linotype"/>
          <w:bCs/>
          <w:noProof/>
          <w:sz w:val="18"/>
          <w:szCs w:val="18"/>
        </w:rPr>
        <w:t>, 1055–1060</w:t>
      </w:r>
      <w:r>
        <w:rPr>
          <w:rFonts w:ascii="Palatino Linotype" w:hAnsi="Palatino Linotype"/>
          <w:noProof/>
          <w:sz w:val="18"/>
          <w:szCs w:val="18"/>
          <w:lang w:val="en-US"/>
        </w:rPr>
        <w:t>.</w:t>
      </w:r>
    </w:p>
    <w:p w14:paraId="40003957"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Dimitriou, R.; Mataliotakis, G.I.; Angoules, A.G.; Kanakaris, N.K.; Giannoudis, P.V. Complications following autologous bone graft harvesting from the iliac crest and using the RIA: A systematic review. </w:t>
      </w:r>
      <w:r w:rsidRPr="0063216A">
        <w:rPr>
          <w:rFonts w:ascii="Palatino Linotype" w:hAnsi="Palatino Linotype"/>
          <w:i/>
          <w:iCs/>
          <w:noProof/>
          <w:sz w:val="18"/>
          <w:szCs w:val="18"/>
        </w:rPr>
        <w:t>Injury</w:t>
      </w:r>
      <w:r w:rsidRPr="0063216A">
        <w:rPr>
          <w:rFonts w:ascii="Palatino Linotype" w:hAnsi="Palatino Linotype"/>
          <w:noProof/>
          <w:sz w:val="18"/>
          <w:szCs w:val="18"/>
        </w:rPr>
        <w:t xml:space="preserve"> </w:t>
      </w:r>
      <w:r w:rsidRPr="0063216A">
        <w:rPr>
          <w:rFonts w:ascii="Palatino Linotype" w:hAnsi="Palatino Linotype"/>
          <w:b/>
          <w:bCs/>
          <w:noProof/>
          <w:sz w:val="18"/>
          <w:szCs w:val="18"/>
        </w:rPr>
        <w:t>2011</w:t>
      </w:r>
      <w:r w:rsidRPr="0063216A">
        <w:rPr>
          <w:rFonts w:ascii="Palatino Linotype" w:hAnsi="Palatino Linotype"/>
          <w:noProof/>
          <w:sz w:val="18"/>
          <w:szCs w:val="18"/>
        </w:rPr>
        <w:t xml:space="preserve">, </w:t>
      </w:r>
      <w:r w:rsidRPr="0063216A">
        <w:rPr>
          <w:rFonts w:ascii="Palatino Linotype" w:hAnsi="Palatino Linotype"/>
          <w:i/>
          <w:iCs/>
          <w:noProof/>
          <w:sz w:val="18"/>
          <w:szCs w:val="18"/>
        </w:rPr>
        <w:t>42</w:t>
      </w:r>
      <w:r w:rsidRPr="0063216A">
        <w:rPr>
          <w:rFonts w:ascii="Palatino Linotype" w:hAnsi="Palatino Linotype"/>
          <w:noProof/>
          <w:sz w:val="18"/>
          <w:szCs w:val="18"/>
        </w:rPr>
        <w:t>, S3–S15.</w:t>
      </w:r>
    </w:p>
    <w:p w14:paraId="63A4A4A8"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De Witte, T</w:t>
      </w:r>
      <w:r w:rsidRPr="00D847F6">
        <w:rPr>
          <w:rFonts w:ascii="Palatino Linotype" w:hAnsi="Palatino Linotype"/>
          <w:noProof/>
          <w:sz w:val="18"/>
          <w:szCs w:val="18"/>
        </w:rPr>
        <w:t>.-M.; Fratila-Apachitei, L.E.; Zadpoor, A.A.; Peppas, N.A. Bone tissue engineering via growth factor delivery: From sca</w:t>
      </w:r>
      <w:r w:rsidRPr="0063216A">
        <w:rPr>
          <w:rFonts w:ascii="Palatino Linotype" w:hAnsi="Palatino Linotype"/>
          <w:noProof/>
          <w:sz w:val="18"/>
          <w:szCs w:val="18"/>
        </w:rPr>
        <w:t xml:space="preserve">ffolds to complex matrices. </w:t>
      </w:r>
      <w:r>
        <w:rPr>
          <w:rFonts w:ascii="Palatino Linotype" w:hAnsi="Palatino Linotype"/>
          <w:i/>
          <w:iCs/>
          <w:noProof/>
          <w:sz w:val="18"/>
          <w:szCs w:val="18"/>
          <w:lang w:val="en-US"/>
        </w:rPr>
        <w:t>Regen.</w:t>
      </w:r>
      <w:r w:rsidRPr="0063216A">
        <w:rPr>
          <w:rFonts w:ascii="Palatino Linotype" w:hAnsi="Palatino Linotype"/>
          <w:i/>
          <w:iCs/>
          <w:noProof/>
          <w:sz w:val="18"/>
          <w:szCs w:val="18"/>
        </w:rPr>
        <w:t xml:space="preserve"> Biomater.</w:t>
      </w:r>
      <w:r w:rsidRPr="0063216A">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5</w:t>
      </w:r>
      <w:r>
        <w:rPr>
          <w:rFonts w:ascii="Palatino Linotype" w:hAnsi="Palatino Linotype"/>
          <w:bCs/>
          <w:noProof/>
          <w:sz w:val="18"/>
          <w:szCs w:val="18"/>
        </w:rPr>
        <w:t>, 197–211</w:t>
      </w:r>
      <w:r w:rsidRPr="0063216A">
        <w:rPr>
          <w:rFonts w:ascii="Palatino Linotype" w:hAnsi="Palatino Linotype"/>
          <w:noProof/>
          <w:sz w:val="18"/>
          <w:szCs w:val="18"/>
        </w:rPr>
        <w:t>.</w:t>
      </w:r>
    </w:p>
    <w:p w14:paraId="3E4DAA02"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2"/>
          <w:sz w:val="18"/>
          <w:szCs w:val="18"/>
        </w:rPr>
      </w:pPr>
      <w:r w:rsidRPr="00D847F6">
        <w:rPr>
          <w:rFonts w:ascii="Palatino Linotype" w:hAnsi="Palatino Linotype"/>
          <w:noProof/>
          <w:spacing w:val="-2"/>
          <w:sz w:val="18"/>
          <w:szCs w:val="18"/>
        </w:rPr>
        <w:t xml:space="preserve">Bose, S.; Roy, M. Recent Advances in Bone Tissue Engineering Scaffolds. </w:t>
      </w:r>
      <w:r w:rsidRPr="00D847F6">
        <w:rPr>
          <w:rFonts w:ascii="Palatino Linotype" w:hAnsi="Palatino Linotype"/>
          <w:i/>
          <w:iCs/>
          <w:noProof/>
          <w:spacing w:val="-2"/>
          <w:sz w:val="18"/>
          <w:szCs w:val="18"/>
        </w:rPr>
        <w:t>Trends Biotechnol.</w:t>
      </w:r>
      <w:r w:rsidRPr="00D847F6">
        <w:rPr>
          <w:rFonts w:ascii="Palatino Linotype" w:hAnsi="Palatino Linotype"/>
          <w:noProof/>
          <w:spacing w:val="-2"/>
          <w:sz w:val="18"/>
          <w:szCs w:val="18"/>
        </w:rPr>
        <w:t xml:space="preserve"> </w:t>
      </w:r>
      <w:r>
        <w:rPr>
          <w:rFonts w:ascii="Palatino Linotype" w:hAnsi="Palatino Linotype"/>
          <w:b/>
          <w:bCs/>
          <w:noProof/>
          <w:spacing w:val="-2"/>
          <w:sz w:val="18"/>
          <w:szCs w:val="18"/>
        </w:rPr>
        <w:t>2013</w:t>
      </w:r>
      <w:r>
        <w:rPr>
          <w:rFonts w:ascii="Palatino Linotype" w:hAnsi="Palatino Linotype"/>
          <w:bCs/>
          <w:noProof/>
          <w:spacing w:val="-2"/>
          <w:sz w:val="18"/>
          <w:szCs w:val="18"/>
        </w:rPr>
        <w:t xml:space="preserve">, </w:t>
      </w:r>
      <w:r>
        <w:rPr>
          <w:rFonts w:ascii="Palatino Linotype" w:hAnsi="Palatino Linotype"/>
          <w:bCs/>
          <w:i/>
          <w:noProof/>
          <w:spacing w:val="-2"/>
          <w:sz w:val="18"/>
          <w:szCs w:val="18"/>
        </w:rPr>
        <w:t>30</w:t>
      </w:r>
      <w:r>
        <w:rPr>
          <w:rFonts w:ascii="Palatino Linotype" w:hAnsi="Palatino Linotype"/>
          <w:bCs/>
          <w:noProof/>
          <w:spacing w:val="-2"/>
          <w:sz w:val="18"/>
          <w:szCs w:val="18"/>
        </w:rPr>
        <w:t>, 546–554</w:t>
      </w:r>
      <w:r w:rsidRPr="00D847F6">
        <w:rPr>
          <w:rFonts w:ascii="Palatino Linotype" w:hAnsi="Palatino Linotype"/>
          <w:noProof/>
          <w:spacing w:val="-2"/>
          <w:sz w:val="18"/>
          <w:szCs w:val="18"/>
        </w:rPr>
        <w:t>.</w:t>
      </w:r>
    </w:p>
    <w:p w14:paraId="447FD48F"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Mishra, R.; Bishop, T.; Valerio, I.L.; Fisher, J.P.; Dean, D. The potential impact of bone tissue engineering in the clinic. </w:t>
      </w:r>
      <w:r w:rsidRPr="0063216A">
        <w:rPr>
          <w:rFonts w:ascii="Palatino Linotype" w:hAnsi="Palatino Linotype"/>
          <w:i/>
          <w:iCs/>
          <w:noProof/>
          <w:sz w:val="18"/>
          <w:szCs w:val="18"/>
        </w:rPr>
        <w:t>Regen. Med.</w:t>
      </w:r>
      <w:r w:rsidRPr="0063216A">
        <w:rPr>
          <w:rFonts w:ascii="Palatino Linotype" w:hAnsi="Palatino Linotype"/>
          <w:noProof/>
          <w:sz w:val="18"/>
          <w:szCs w:val="18"/>
        </w:rPr>
        <w:t xml:space="preserve"> </w:t>
      </w:r>
      <w:r>
        <w:rPr>
          <w:rFonts w:ascii="Palatino Linotype" w:hAnsi="Palatino Linotype"/>
          <w:b/>
          <w:bCs/>
          <w:noProof/>
          <w:sz w:val="18"/>
          <w:szCs w:val="18"/>
        </w:rPr>
        <w:t>2016</w:t>
      </w:r>
      <w:r>
        <w:rPr>
          <w:rFonts w:ascii="Palatino Linotype" w:hAnsi="Palatino Linotype"/>
          <w:bCs/>
          <w:noProof/>
          <w:sz w:val="18"/>
          <w:szCs w:val="18"/>
        </w:rPr>
        <w:t xml:space="preserve">, </w:t>
      </w:r>
      <w:r>
        <w:rPr>
          <w:rFonts w:ascii="Palatino Linotype" w:hAnsi="Palatino Linotype"/>
          <w:bCs/>
          <w:i/>
          <w:noProof/>
          <w:sz w:val="18"/>
          <w:szCs w:val="18"/>
        </w:rPr>
        <w:t>11</w:t>
      </w:r>
      <w:r>
        <w:rPr>
          <w:rFonts w:ascii="Palatino Linotype" w:hAnsi="Palatino Linotype"/>
          <w:bCs/>
          <w:noProof/>
          <w:sz w:val="18"/>
          <w:szCs w:val="18"/>
        </w:rPr>
        <w:t>, 571–587</w:t>
      </w:r>
      <w:r w:rsidRPr="0063216A">
        <w:rPr>
          <w:rFonts w:ascii="Palatino Linotype" w:hAnsi="Palatino Linotype"/>
          <w:noProof/>
          <w:sz w:val="18"/>
          <w:szCs w:val="18"/>
        </w:rPr>
        <w:t>.</w:t>
      </w:r>
    </w:p>
    <w:p w14:paraId="770A56E0"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Faßbender, M.; Minkwitz, S.; Strobel, C.; Schmidmaier, G.; Wildemann, B. Stimulation of bone healing by sustained bone morphogenetic protein 2 (BMP-2) delivery. </w:t>
      </w:r>
      <w:r w:rsidRPr="0063216A">
        <w:rPr>
          <w:rFonts w:ascii="Palatino Linotype" w:hAnsi="Palatino Linotype"/>
          <w:i/>
          <w:iCs/>
          <w:noProof/>
          <w:sz w:val="18"/>
          <w:szCs w:val="18"/>
        </w:rPr>
        <w:t>Int. J. Mol. Sci.</w:t>
      </w:r>
      <w:r w:rsidRPr="0063216A">
        <w:rPr>
          <w:rFonts w:ascii="Palatino Linotype" w:hAnsi="Palatino Linotype"/>
          <w:noProof/>
          <w:sz w:val="18"/>
          <w:szCs w:val="18"/>
        </w:rPr>
        <w:t xml:space="preserve"> </w:t>
      </w:r>
      <w:r>
        <w:rPr>
          <w:rFonts w:ascii="Palatino Linotype" w:hAnsi="Palatino Linotype"/>
          <w:b/>
          <w:bCs/>
          <w:noProof/>
          <w:sz w:val="18"/>
          <w:szCs w:val="18"/>
        </w:rPr>
        <w:t>2014</w:t>
      </w:r>
      <w:r>
        <w:rPr>
          <w:rFonts w:ascii="Palatino Linotype" w:hAnsi="Palatino Linotype"/>
          <w:bCs/>
          <w:noProof/>
          <w:sz w:val="18"/>
          <w:szCs w:val="18"/>
        </w:rPr>
        <w:t xml:space="preserve">, </w:t>
      </w:r>
      <w:r>
        <w:rPr>
          <w:rFonts w:ascii="Palatino Linotype" w:hAnsi="Palatino Linotype"/>
          <w:bCs/>
          <w:i/>
          <w:noProof/>
          <w:sz w:val="18"/>
          <w:szCs w:val="18"/>
        </w:rPr>
        <w:t>15</w:t>
      </w:r>
      <w:r>
        <w:rPr>
          <w:rFonts w:ascii="Palatino Linotype" w:hAnsi="Palatino Linotype"/>
          <w:bCs/>
          <w:noProof/>
          <w:sz w:val="18"/>
          <w:szCs w:val="18"/>
        </w:rPr>
        <w:t>, 8539–8552</w:t>
      </w:r>
      <w:r w:rsidRPr="0063216A">
        <w:rPr>
          <w:rFonts w:ascii="Palatino Linotype" w:hAnsi="Palatino Linotype"/>
          <w:noProof/>
          <w:sz w:val="18"/>
          <w:szCs w:val="18"/>
        </w:rPr>
        <w:t>.</w:t>
      </w:r>
    </w:p>
    <w:p w14:paraId="62B3C2EA"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Spector, J.A.; Luchs, J.S.; Mehrara, B.J.; Greenwald, J.A.; Smith, L.P.; Longaker, M.T. Expression of bone morphogenetic proteins during membranous bone healing. </w:t>
      </w:r>
      <w:r w:rsidRPr="0063216A">
        <w:rPr>
          <w:rFonts w:ascii="Palatino Linotype" w:hAnsi="Palatino Linotype"/>
          <w:i/>
          <w:iCs/>
          <w:noProof/>
          <w:sz w:val="18"/>
          <w:szCs w:val="18"/>
        </w:rPr>
        <w:t>Plast. Reconstr. Surg.</w:t>
      </w:r>
      <w:r w:rsidRPr="0063216A">
        <w:rPr>
          <w:rFonts w:ascii="Palatino Linotype" w:hAnsi="Palatino Linotype"/>
          <w:noProof/>
          <w:sz w:val="18"/>
          <w:szCs w:val="18"/>
        </w:rPr>
        <w:t xml:space="preserve"> </w:t>
      </w:r>
      <w:r>
        <w:rPr>
          <w:rFonts w:ascii="Palatino Linotype" w:hAnsi="Palatino Linotype"/>
          <w:b/>
          <w:bCs/>
          <w:noProof/>
          <w:sz w:val="18"/>
          <w:szCs w:val="18"/>
        </w:rPr>
        <w:t>2001</w:t>
      </w:r>
      <w:r>
        <w:rPr>
          <w:rFonts w:ascii="Palatino Linotype" w:hAnsi="Palatino Linotype"/>
          <w:bCs/>
          <w:noProof/>
          <w:sz w:val="18"/>
          <w:szCs w:val="18"/>
        </w:rPr>
        <w:t xml:space="preserve">, </w:t>
      </w:r>
      <w:r>
        <w:rPr>
          <w:rFonts w:ascii="Palatino Linotype" w:hAnsi="Palatino Linotype"/>
          <w:bCs/>
          <w:i/>
          <w:noProof/>
          <w:sz w:val="18"/>
          <w:szCs w:val="18"/>
        </w:rPr>
        <w:t>107</w:t>
      </w:r>
      <w:r>
        <w:rPr>
          <w:rFonts w:ascii="Palatino Linotype" w:hAnsi="Palatino Linotype"/>
          <w:bCs/>
          <w:noProof/>
          <w:sz w:val="18"/>
          <w:szCs w:val="18"/>
        </w:rPr>
        <w:t>, 124–134</w:t>
      </w:r>
      <w:r w:rsidRPr="0063216A">
        <w:rPr>
          <w:rFonts w:ascii="Palatino Linotype" w:hAnsi="Palatino Linotype"/>
          <w:noProof/>
          <w:sz w:val="18"/>
          <w:szCs w:val="18"/>
        </w:rPr>
        <w:t>.</w:t>
      </w:r>
    </w:p>
    <w:p w14:paraId="25496872" w14:textId="77777777" w:rsidR="00E670EB" w:rsidRPr="000A688F"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0A688F">
        <w:rPr>
          <w:rFonts w:ascii="Palatino Linotype" w:hAnsi="Palatino Linotype"/>
          <w:noProof/>
          <w:sz w:val="18"/>
          <w:szCs w:val="18"/>
        </w:rPr>
        <w:t xml:space="preserve">Garrison, K.R.; Shemilt, I.; Donell, S.; Ryder, J.J.; Mugford, M.; Harvey, I.; Song, F.; Alt, V. Bone morphogenetic protein (BMP) for fracture healing in adults. </w:t>
      </w:r>
      <w:r w:rsidRPr="000A688F">
        <w:rPr>
          <w:rFonts w:ascii="Palatino Linotype" w:hAnsi="Palatino Linotype"/>
          <w:i/>
          <w:iCs/>
          <w:noProof/>
          <w:sz w:val="18"/>
          <w:szCs w:val="18"/>
        </w:rPr>
        <w:t>Cochrane Database Syst. Rev.</w:t>
      </w:r>
      <w:r w:rsidRPr="000A688F">
        <w:rPr>
          <w:rFonts w:ascii="Palatino Linotype" w:hAnsi="Palatino Linotype"/>
          <w:noProof/>
          <w:sz w:val="18"/>
          <w:szCs w:val="18"/>
        </w:rPr>
        <w:t xml:space="preserve"> </w:t>
      </w:r>
      <w:r w:rsidRPr="000A688F">
        <w:rPr>
          <w:rFonts w:ascii="Palatino Linotype" w:hAnsi="Palatino Linotype"/>
          <w:b/>
          <w:bCs/>
          <w:noProof/>
          <w:sz w:val="18"/>
          <w:szCs w:val="18"/>
        </w:rPr>
        <w:t>2010</w:t>
      </w:r>
      <w:r w:rsidRPr="000A688F">
        <w:rPr>
          <w:rFonts w:ascii="Palatino Linotype" w:hAnsi="Palatino Linotype"/>
          <w:noProof/>
          <w:sz w:val="18"/>
          <w:szCs w:val="18"/>
        </w:rPr>
        <w:t xml:space="preserve">, </w:t>
      </w:r>
      <w:r w:rsidRPr="000A688F">
        <w:rPr>
          <w:rFonts w:ascii="Palatino Linotype" w:hAnsi="Palatino Linotype"/>
          <w:noProof/>
          <w:sz w:val="18"/>
          <w:szCs w:val="18"/>
          <w:lang w:val="en-US"/>
        </w:rPr>
        <w:t>doi:10.1002/14651858.CD006950.pub2.</w:t>
      </w:r>
    </w:p>
    <w:p w14:paraId="0C38A44D"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Boerckel, J.D.; Kolambkar, Y.M.; Dupont, K.M.; Uhrig, B.A.; Phelps, E.A.; Stevens, H.Y.; García, A.J.; Guldberg, R.E. Effects of protein dose and delivery system on BMP-mediated bone regeneration. </w:t>
      </w:r>
      <w:r w:rsidRPr="0063216A">
        <w:rPr>
          <w:rFonts w:ascii="Palatino Linotype" w:hAnsi="Palatino Linotype"/>
          <w:i/>
          <w:iCs/>
          <w:noProof/>
          <w:sz w:val="18"/>
          <w:szCs w:val="18"/>
        </w:rPr>
        <w:t>Biomaterials</w:t>
      </w:r>
      <w:r w:rsidRPr="0063216A">
        <w:rPr>
          <w:rFonts w:ascii="Palatino Linotype" w:hAnsi="Palatino Linotype"/>
          <w:noProof/>
          <w:sz w:val="18"/>
          <w:szCs w:val="18"/>
        </w:rPr>
        <w:t xml:space="preserve"> </w:t>
      </w:r>
      <w:r>
        <w:rPr>
          <w:rFonts w:ascii="Palatino Linotype" w:hAnsi="Palatino Linotype"/>
          <w:b/>
          <w:bCs/>
          <w:noProof/>
          <w:sz w:val="18"/>
          <w:szCs w:val="18"/>
        </w:rPr>
        <w:t>2011</w:t>
      </w:r>
      <w:r>
        <w:rPr>
          <w:rFonts w:ascii="Palatino Linotype" w:hAnsi="Palatino Linotype"/>
          <w:bCs/>
          <w:noProof/>
          <w:sz w:val="18"/>
          <w:szCs w:val="18"/>
        </w:rPr>
        <w:t xml:space="preserve">, </w:t>
      </w:r>
      <w:r>
        <w:rPr>
          <w:rFonts w:ascii="Palatino Linotype" w:hAnsi="Palatino Linotype"/>
          <w:bCs/>
          <w:i/>
          <w:noProof/>
          <w:sz w:val="18"/>
          <w:szCs w:val="18"/>
        </w:rPr>
        <w:t>32</w:t>
      </w:r>
      <w:r>
        <w:rPr>
          <w:rFonts w:ascii="Palatino Linotype" w:hAnsi="Palatino Linotype"/>
          <w:bCs/>
          <w:noProof/>
          <w:sz w:val="18"/>
          <w:szCs w:val="18"/>
        </w:rPr>
        <w:t>, 5241–5251</w:t>
      </w:r>
      <w:r w:rsidRPr="0063216A">
        <w:rPr>
          <w:rFonts w:ascii="Palatino Linotype" w:hAnsi="Palatino Linotype"/>
          <w:noProof/>
          <w:sz w:val="18"/>
          <w:szCs w:val="18"/>
        </w:rPr>
        <w:t>.</w:t>
      </w:r>
    </w:p>
    <w:p w14:paraId="7403CB00"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Geiger, M.; Li, R.H.; Friess, W. Collagen sponges for bone regeneration with rhBMP-2. </w:t>
      </w:r>
      <w:r w:rsidRPr="0063216A">
        <w:rPr>
          <w:rFonts w:ascii="Palatino Linotype" w:hAnsi="Palatino Linotype"/>
          <w:i/>
          <w:iCs/>
          <w:noProof/>
          <w:sz w:val="18"/>
          <w:szCs w:val="18"/>
        </w:rPr>
        <w:t>Adv. Drug Deliv. Rev.</w:t>
      </w:r>
      <w:r w:rsidRPr="0063216A">
        <w:rPr>
          <w:rFonts w:ascii="Palatino Linotype" w:hAnsi="Palatino Linotype"/>
          <w:noProof/>
          <w:sz w:val="18"/>
          <w:szCs w:val="18"/>
        </w:rPr>
        <w:t xml:space="preserve"> </w:t>
      </w:r>
      <w:r>
        <w:rPr>
          <w:rFonts w:ascii="Palatino Linotype" w:hAnsi="Palatino Linotype"/>
          <w:b/>
          <w:bCs/>
          <w:noProof/>
          <w:sz w:val="18"/>
          <w:szCs w:val="18"/>
        </w:rPr>
        <w:t>2003</w:t>
      </w:r>
      <w:r>
        <w:rPr>
          <w:rFonts w:ascii="Palatino Linotype" w:hAnsi="Palatino Linotype"/>
          <w:bCs/>
          <w:noProof/>
          <w:sz w:val="18"/>
          <w:szCs w:val="18"/>
        </w:rPr>
        <w:t xml:space="preserve">, </w:t>
      </w:r>
      <w:r>
        <w:rPr>
          <w:rFonts w:ascii="Palatino Linotype" w:hAnsi="Palatino Linotype"/>
          <w:bCs/>
          <w:i/>
          <w:noProof/>
          <w:sz w:val="18"/>
          <w:szCs w:val="18"/>
        </w:rPr>
        <w:t>55</w:t>
      </w:r>
      <w:r>
        <w:rPr>
          <w:rFonts w:ascii="Palatino Linotype" w:hAnsi="Palatino Linotype"/>
          <w:bCs/>
          <w:noProof/>
          <w:sz w:val="18"/>
          <w:szCs w:val="18"/>
        </w:rPr>
        <w:t>, 1613–1629</w:t>
      </w:r>
      <w:r w:rsidRPr="0063216A">
        <w:rPr>
          <w:rFonts w:ascii="Palatino Linotype" w:hAnsi="Palatino Linotype"/>
          <w:noProof/>
          <w:sz w:val="18"/>
          <w:szCs w:val="18"/>
        </w:rPr>
        <w:t>.</w:t>
      </w:r>
    </w:p>
    <w:p w14:paraId="508FC592" w14:textId="77777777" w:rsidR="00E670EB" w:rsidRPr="000A688F"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4"/>
          <w:sz w:val="18"/>
          <w:szCs w:val="18"/>
        </w:rPr>
      </w:pPr>
      <w:r w:rsidRPr="000A688F">
        <w:rPr>
          <w:rFonts w:ascii="Palatino Linotype" w:hAnsi="Palatino Linotype"/>
          <w:noProof/>
          <w:spacing w:val="-4"/>
          <w:sz w:val="18"/>
          <w:szCs w:val="18"/>
        </w:rPr>
        <w:t xml:space="preserve">Gibbs, D.M.R.; Black, C.R.M.; Hulsart-Billstrom, G.; Shi, P.; Scarpa, E.; Oreffo, R.O.C.; Dawson, J.I. Bone induction at physiological doses of BMP through localization by clay nanoparticle gels. </w:t>
      </w:r>
      <w:r w:rsidRPr="000A688F">
        <w:rPr>
          <w:rFonts w:ascii="Palatino Linotype" w:hAnsi="Palatino Linotype"/>
          <w:i/>
          <w:iCs/>
          <w:noProof/>
          <w:spacing w:val="-4"/>
          <w:sz w:val="18"/>
          <w:szCs w:val="18"/>
        </w:rPr>
        <w:t>Biomaterials</w:t>
      </w:r>
      <w:r w:rsidRPr="000A688F">
        <w:rPr>
          <w:rFonts w:ascii="Palatino Linotype" w:hAnsi="Palatino Linotype"/>
          <w:noProof/>
          <w:spacing w:val="-4"/>
          <w:sz w:val="18"/>
          <w:szCs w:val="18"/>
        </w:rPr>
        <w:t xml:space="preserve"> </w:t>
      </w:r>
      <w:r w:rsidRPr="000A688F">
        <w:rPr>
          <w:rFonts w:ascii="Palatino Linotype" w:hAnsi="Palatino Linotype"/>
          <w:b/>
          <w:bCs/>
          <w:noProof/>
          <w:spacing w:val="-4"/>
          <w:sz w:val="18"/>
          <w:szCs w:val="18"/>
        </w:rPr>
        <w:t>2016</w:t>
      </w:r>
      <w:r w:rsidRPr="000A688F">
        <w:rPr>
          <w:rFonts w:ascii="Palatino Linotype" w:hAnsi="Palatino Linotype"/>
          <w:bCs/>
          <w:noProof/>
          <w:spacing w:val="-4"/>
          <w:sz w:val="18"/>
          <w:szCs w:val="18"/>
        </w:rPr>
        <w:t xml:space="preserve">, </w:t>
      </w:r>
      <w:r w:rsidRPr="000A688F">
        <w:rPr>
          <w:rFonts w:ascii="Palatino Linotype" w:hAnsi="Palatino Linotype"/>
          <w:bCs/>
          <w:i/>
          <w:noProof/>
          <w:spacing w:val="-4"/>
          <w:sz w:val="18"/>
          <w:szCs w:val="18"/>
        </w:rPr>
        <w:t>99</w:t>
      </w:r>
      <w:r w:rsidRPr="000A688F">
        <w:rPr>
          <w:rFonts w:ascii="Palatino Linotype" w:hAnsi="Palatino Linotype"/>
          <w:bCs/>
          <w:noProof/>
          <w:spacing w:val="-4"/>
          <w:sz w:val="18"/>
          <w:szCs w:val="18"/>
        </w:rPr>
        <w:t>, 16–23</w:t>
      </w:r>
      <w:r w:rsidRPr="000A688F">
        <w:rPr>
          <w:rFonts w:ascii="Palatino Linotype" w:hAnsi="Palatino Linotype"/>
          <w:noProof/>
          <w:spacing w:val="-4"/>
          <w:sz w:val="18"/>
          <w:szCs w:val="18"/>
        </w:rPr>
        <w:t>.</w:t>
      </w:r>
    </w:p>
    <w:p w14:paraId="369B5492"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Carragee, E.J.; Chu, G.; Rohatgi, R.; Hurwitz, E.L.; Weiner, B.K.; Yoon, S.T.; Comer, G.; Kopjar, B. Cancer risk after use of recombinant bone morphogenetic protein-2 for spinal arthrodesis. </w:t>
      </w:r>
      <w:r w:rsidRPr="0063216A">
        <w:rPr>
          <w:rFonts w:ascii="Palatino Linotype" w:hAnsi="Palatino Linotype"/>
          <w:i/>
          <w:iCs/>
          <w:noProof/>
          <w:sz w:val="18"/>
          <w:szCs w:val="18"/>
        </w:rPr>
        <w:t>J. Bone Joint Surg. Am.</w:t>
      </w:r>
      <w:r w:rsidRPr="0063216A">
        <w:rPr>
          <w:rFonts w:ascii="Palatino Linotype" w:hAnsi="Palatino Linotype"/>
          <w:noProof/>
          <w:sz w:val="18"/>
          <w:szCs w:val="18"/>
        </w:rPr>
        <w:t xml:space="preserve"> </w:t>
      </w:r>
      <w:r>
        <w:rPr>
          <w:rFonts w:ascii="Palatino Linotype" w:hAnsi="Palatino Linotype"/>
          <w:b/>
          <w:bCs/>
          <w:noProof/>
          <w:sz w:val="18"/>
          <w:szCs w:val="18"/>
        </w:rPr>
        <w:t>2013</w:t>
      </w:r>
      <w:r>
        <w:rPr>
          <w:rFonts w:ascii="Palatino Linotype" w:hAnsi="Palatino Linotype"/>
          <w:bCs/>
          <w:noProof/>
          <w:sz w:val="18"/>
          <w:szCs w:val="18"/>
        </w:rPr>
        <w:t xml:space="preserve">, </w:t>
      </w:r>
      <w:r>
        <w:rPr>
          <w:rFonts w:ascii="Palatino Linotype" w:hAnsi="Palatino Linotype"/>
          <w:bCs/>
          <w:i/>
          <w:noProof/>
          <w:sz w:val="18"/>
          <w:szCs w:val="18"/>
        </w:rPr>
        <w:t>95</w:t>
      </w:r>
      <w:r>
        <w:rPr>
          <w:rFonts w:ascii="Palatino Linotype" w:hAnsi="Palatino Linotype"/>
          <w:bCs/>
          <w:noProof/>
          <w:sz w:val="18"/>
          <w:szCs w:val="18"/>
        </w:rPr>
        <w:t>, 1537–1545</w:t>
      </w:r>
      <w:r w:rsidRPr="0063216A">
        <w:rPr>
          <w:rFonts w:ascii="Palatino Linotype" w:hAnsi="Palatino Linotype"/>
          <w:noProof/>
          <w:sz w:val="18"/>
          <w:szCs w:val="18"/>
        </w:rPr>
        <w:t>.</w:t>
      </w:r>
    </w:p>
    <w:p w14:paraId="0008396A"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Martin, V.; Bettencourt, A. Bone regeneration: Biomaterials as local delivery systems with improved osteoinductive properties. </w:t>
      </w:r>
      <w:r w:rsidRPr="0063216A">
        <w:rPr>
          <w:rFonts w:ascii="Palatino Linotype" w:hAnsi="Palatino Linotype"/>
          <w:i/>
          <w:iCs/>
          <w:noProof/>
          <w:sz w:val="18"/>
          <w:szCs w:val="18"/>
        </w:rPr>
        <w:t>Mater. Sci. Eng. C</w:t>
      </w:r>
      <w:r w:rsidRPr="0063216A">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82</w:t>
      </w:r>
      <w:r>
        <w:rPr>
          <w:rFonts w:ascii="Palatino Linotype" w:hAnsi="Palatino Linotype"/>
          <w:bCs/>
          <w:noProof/>
          <w:sz w:val="18"/>
          <w:szCs w:val="18"/>
        </w:rPr>
        <w:t>, 363–371</w:t>
      </w:r>
      <w:r w:rsidRPr="0063216A">
        <w:rPr>
          <w:rFonts w:ascii="Palatino Linotype" w:hAnsi="Palatino Linotype"/>
          <w:noProof/>
          <w:sz w:val="18"/>
          <w:szCs w:val="18"/>
        </w:rPr>
        <w:t>.</w:t>
      </w:r>
    </w:p>
    <w:p w14:paraId="568F38DA"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Walsh, W.R.; Oliver, R.A.; Christou, C.; Lovric, V.; Walsh, E.R.; Prado, G.R.; Haider, T. Critical size bone defect healing using collagen-calcium phosphate bone graft materia</w:t>
      </w:r>
      <w:r w:rsidRPr="00D847F6">
        <w:rPr>
          <w:rFonts w:ascii="Palatino Linotype" w:hAnsi="Palatino Linotype"/>
          <w:noProof/>
          <w:sz w:val="18"/>
          <w:szCs w:val="18"/>
        </w:rPr>
        <w:t xml:space="preserve">ls. </w:t>
      </w:r>
      <w:r w:rsidRPr="00D847F6">
        <w:rPr>
          <w:rFonts w:ascii="Palatino Linotype" w:hAnsi="Palatino Linotype"/>
          <w:i/>
          <w:iCs/>
          <w:noProof/>
          <w:sz w:val="18"/>
          <w:szCs w:val="18"/>
        </w:rPr>
        <w:t>PLoS ONE</w:t>
      </w:r>
      <w:r w:rsidRPr="00D847F6">
        <w:rPr>
          <w:rFonts w:ascii="Palatino Linotype" w:hAnsi="Palatino Linotype"/>
          <w:noProof/>
          <w:sz w:val="18"/>
          <w:szCs w:val="18"/>
        </w:rPr>
        <w:t xml:space="preserve"> </w:t>
      </w:r>
      <w:r w:rsidRPr="00D847F6">
        <w:rPr>
          <w:rFonts w:ascii="Palatino Linotype" w:hAnsi="Palatino Linotype"/>
          <w:b/>
          <w:bCs/>
          <w:noProof/>
          <w:sz w:val="18"/>
          <w:szCs w:val="18"/>
        </w:rPr>
        <w:t>2</w:t>
      </w:r>
      <w:r>
        <w:rPr>
          <w:rFonts w:ascii="Palatino Linotype" w:hAnsi="Palatino Linotype"/>
          <w:b/>
          <w:bCs/>
          <w:noProof/>
          <w:sz w:val="18"/>
          <w:szCs w:val="18"/>
        </w:rPr>
        <w:t>017</w:t>
      </w:r>
      <w:r>
        <w:rPr>
          <w:rFonts w:ascii="Palatino Linotype" w:hAnsi="Palatino Linotype"/>
          <w:bCs/>
          <w:noProof/>
          <w:sz w:val="18"/>
          <w:szCs w:val="18"/>
        </w:rPr>
        <w:t xml:space="preserve">, </w:t>
      </w:r>
      <w:r>
        <w:rPr>
          <w:rFonts w:ascii="Palatino Linotype" w:hAnsi="Palatino Linotype"/>
          <w:bCs/>
          <w:i/>
          <w:noProof/>
          <w:sz w:val="18"/>
          <w:szCs w:val="18"/>
        </w:rPr>
        <w:t>12</w:t>
      </w:r>
      <w:r>
        <w:rPr>
          <w:rFonts w:ascii="Palatino Linotype" w:hAnsi="Palatino Linotype"/>
          <w:bCs/>
          <w:noProof/>
          <w:sz w:val="18"/>
          <w:szCs w:val="18"/>
        </w:rPr>
        <w:t xml:space="preserve">, </w:t>
      </w:r>
      <w:r w:rsidRPr="004B2D10">
        <w:rPr>
          <w:rFonts w:ascii="Palatino Linotype" w:hAnsi="Palatino Linotype"/>
          <w:bCs/>
          <w:noProof/>
          <w:sz w:val="18"/>
          <w:szCs w:val="18"/>
          <w:lang w:val="en-US"/>
        </w:rPr>
        <w:t>e0168883</w:t>
      </w:r>
      <w:r>
        <w:rPr>
          <w:rFonts w:ascii="Palatino Linotype" w:hAnsi="Palatino Linotype"/>
          <w:bCs/>
          <w:noProof/>
          <w:sz w:val="18"/>
          <w:szCs w:val="18"/>
          <w:lang w:val="en-US"/>
        </w:rPr>
        <w:t>.</w:t>
      </w:r>
    </w:p>
    <w:p w14:paraId="4F84D684"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El-Rashidy, A.A.; Roether, J.A.; Harhaus, L.; Kneser, U.; Boccaccini, A.R. Regenerating bone with bioactive glass scaffolds: A review of in vivo studies in bone defect models. </w:t>
      </w:r>
      <w:r w:rsidRPr="0063216A">
        <w:rPr>
          <w:rFonts w:ascii="Palatino Linotype" w:hAnsi="Palatino Linotype"/>
          <w:i/>
          <w:iCs/>
          <w:noProof/>
          <w:sz w:val="18"/>
          <w:szCs w:val="18"/>
        </w:rPr>
        <w:t>Acta Biomater.</w:t>
      </w:r>
      <w:r w:rsidRPr="0063216A">
        <w:rPr>
          <w:rFonts w:ascii="Palatino Linotype" w:hAnsi="Palatino Linotype"/>
          <w:noProof/>
          <w:sz w:val="18"/>
          <w:szCs w:val="18"/>
        </w:rPr>
        <w:t xml:space="preserve"> </w:t>
      </w:r>
      <w:r>
        <w:rPr>
          <w:rFonts w:ascii="Palatino Linotype" w:hAnsi="Palatino Linotype"/>
          <w:b/>
          <w:bCs/>
          <w:noProof/>
          <w:sz w:val="18"/>
          <w:szCs w:val="18"/>
        </w:rPr>
        <w:t>2017</w:t>
      </w:r>
      <w:r>
        <w:rPr>
          <w:rFonts w:ascii="Palatino Linotype" w:hAnsi="Palatino Linotype"/>
          <w:bCs/>
          <w:noProof/>
          <w:sz w:val="18"/>
          <w:szCs w:val="18"/>
        </w:rPr>
        <w:t xml:space="preserve">, </w:t>
      </w:r>
      <w:r>
        <w:rPr>
          <w:rFonts w:ascii="Palatino Linotype" w:hAnsi="Palatino Linotype"/>
          <w:bCs/>
          <w:i/>
          <w:noProof/>
          <w:sz w:val="18"/>
          <w:szCs w:val="18"/>
        </w:rPr>
        <w:t>62</w:t>
      </w:r>
      <w:r>
        <w:rPr>
          <w:rFonts w:ascii="Palatino Linotype" w:hAnsi="Palatino Linotype"/>
          <w:bCs/>
          <w:noProof/>
          <w:sz w:val="18"/>
          <w:szCs w:val="18"/>
        </w:rPr>
        <w:t>, 1–28</w:t>
      </w:r>
      <w:r w:rsidRPr="0063216A">
        <w:rPr>
          <w:rFonts w:ascii="Palatino Linotype" w:hAnsi="Palatino Linotype"/>
          <w:noProof/>
          <w:sz w:val="18"/>
          <w:szCs w:val="18"/>
        </w:rPr>
        <w:t>.</w:t>
      </w:r>
    </w:p>
    <w:p w14:paraId="36266CD5"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Jun, S.H.; Lee, E.J.; Jang, T.S.; Kim, H.E.; Jang, J.H.; Koh, Y.H. Bone morphogenic protein-2 (BMP-2) loaded hybrid coating on porous hydroxyapatite scaffolds for bone tissue engineering. </w:t>
      </w:r>
      <w:r w:rsidRPr="0063216A">
        <w:rPr>
          <w:rFonts w:ascii="Palatino Linotype" w:hAnsi="Palatino Linotype"/>
          <w:i/>
          <w:iCs/>
          <w:noProof/>
          <w:sz w:val="18"/>
          <w:szCs w:val="18"/>
        </w:rPr>
        <w:t>J. Mater. Sci. Mater. Med.</w:t>
      </w:r>
      <w:r w:rsidRPr="0063216A">
        <w:rPr>
          <w:rFonts w:ascii="Palatino Linotype" w:hAnsi="Palatino Linotype"/>
          <w:noProof/>
          <w:sz w:val="18"/>
          <w:szCs w:val="18"/>
        </w:rPr>
        <w:t xml:space="preserve"> </w:t>
      </w:r>
      <w:r>
        <w:rPr>
          <w:rFonts w:ascii="Palatino Linotype" w:hAnsi="Palatino Linotype"/>
          <w:b/>
          <w:bCs/>
          <w:noProof/>
          <w:sz w:val="18"/>
          <w:szCs w:val="18"/>
        </w:rPr>
        <w:t>2013</w:t>
      </w:r>
      <w:r>
        <w:rPr>
          <w:rFonts w:ascii="Palatino Linotype" w:hAnsi="Palatino Linotype"/>
          <w:bCs/>
          <w:noProof/>
          <w:sz w:val="18"/>
          <w:szCs w:val="18"/>
        </w:rPr>
        <w:t xml:space="preserve">, </w:t>
      </w:r>
      <w:r>
        <w:rPr>
          <w:rFonts w:ascii="Palatino Linotype" w:hAnsi="Palatino Linotype"/>
          <w:bCs/>
          <w:i/>
          <w:noProof/>
          <w:sz w:val="18"/>
          <w:szCs w:val="18"/>
        </w:rPr>
        <w:t>24</w:t>
      </w:r>
      <w:r>
        <w:rPr>
          <w:rFonts w:ascii="Palatino Linotype" w:hAnsi="Palatino Linotype"/>
          <w:bCs/>
          <w:noProof/>
          <w:sz w:val="18"/>
          <w:szCs w:val="18"/>
        </w:rPr>
        <w:t>, 773–782</w:t>
      </w:r>
      <w:r w:rsidRPr="0063216A">
        <w:rPr>
          <w:rFonts w:ascii="Palatino Linotype" w:hAnsi="Palatino Linotype"/>
          <w:noProof/>
          <w:sz w:val="18"/>
          <w:szCs w:val="18"/>
        </w:rPr>
        <w:t>.</w:t>
      </w:r>
    </w:p>
    <w:p w14:paraId="7B29E9E9"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Ferrand, A.; Eap, S.; Richert, L.; Lemoine, S.; Kalaskar, D.; Demoustier-Champagne, S.; Atmani, H.; Mély, Y.; Fioretti, F.; Schlatter, G.; et al. Osteogenetic properties of electrospun nanofibrous PCL scaffolds equipped with chitosan-based nanoreservoirs of growth factors. </w:t>
      </w:r>
      <w:r w:rsidRPr="0063216A">
        <w:rPr>
          <w:rFonts w:ascii="Palatino Linotype" w:hAnsi="Palatino Linotype"/>
          <w:i/>
          <w:iCs/>
          <w:noProof/>
          <w:sz w:val="18"/>
          <w:szCs w:val="18"/>
        </w:rPr>
        <w:t>Macromol. Biosci.</w:t>
      </w:r>
      <w:r w:rsidRPr="0063216A">
        <w:rPr>
          <w:rFonts w:ascii="Palatino Linotype" w:hAnsi="Palatino Linotype"/>
          <w:noProof/>
          <w:sz w:val="18"/>
          <w:szCs w:val="18"/>
        </w:rPr>
        <w:t xml:space="preserve"> </w:t>
      </w:r>
      <w:r>
        <w:rPr>
          <w:rFonts w:ascii="Palatino Linotype" w:hAnsi="Palatino Linotype"/>
          <w:b/>
          <w:bCs/>
          <w:noProof/>
          <w:sz w:val="18"/>
          <w:szCs w:val="18"/>
        </w:rPr>
        <w:t>2014</w:t>
      </w:r>
      <w:r>
        <w:rPr>
          <w:rFonts w:ascii="Palatino Linotype" w:hAnsi="Palatino Linotype"/>
          <w:bCs/>
          <w:noProof/>
          <w:sz w:val="18"/>
          <w:szCs w:val="18"/>
        </w:rPr>
        <w:t xml:space="preserve">, </w:t>
      </w:r>
      <w:r>
        <w:rPr>
          <w:rFonts w:ascii="Palatino Linotype" w:hAnsi="Palatino Linotype"/>
          <w:bCs/>
          <w:i/>
          <w:noProof/>
          <w:sz w:val="18"/>
          <w:szCs w:val="18"/>
        </w:rPr>
        <w:t>14</w:t>
      </w:r>
      <w:r>
        <w:rPr>
          <w:rFonts w:ascii="Palatino Linotype" w:hAnsi="Palatino Linotype"/>
          <w:bCs/>
          <w:noProof/>
          <w:sz w:val="18"/>
          <w:szCs w:val="18"/>
        </w:rPr>
        <w:t>, 45–55</w:t>
      </w:r>
      <w:r w:rsidRPr="0063216A">
        <w:rPr>
          <w:rFonts w:ascii="Palatino Linotype" w:hAnsi="Palatino Linotype"/>
          <w:noProof/>
          <w:sz w:val="18"/>
          <w:szCs w:val="18"/>
        </w:rPr>
        <w:t>.</w:t>
      </w:r>
    </w:p>
    <w:p w14:paraId="11FF9B3D"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Wang, Z.; Wang, K.; Lu, X.; Li, M.; Liu, H.; Xie, C.; Meng, F.; Jiang, O.; Li, C.; Zhi, W. BMP-2 encapsulated polysaccharide nanoparticle modified biphasic calcium phosphate scaffolds for bone tissue regeneration. </w:t>
      </w:r>
      <w:r>
        <w:rPr>
          <w:rFonts w:ascii="Palatino Linotype" w:hAnsi="Palatino Linotype"/>
          <w:i/>
          <w:iCs/>
          <w:noProof/>
          <w:sz w:val="18"/>
          <w:szCs w:val="18"/>
        </w:rPr>
        <w:t>J. Biomed. Mater. Res.</w:t>
      </w:r>
      <w:r w:rsidRPr="0063216A">
        <w:rPr>
          <w:rFonts w:ascii="Palatino Linotype" w:hAnsi="Palatino Linotype"/>
          <w:i/>
          <w:iCs/>
          <w:noProof/>
          <w:sz w:val="18"/>
          <w:szCs w:val="18"/>
        </w:rPr>
        <w:t xml:space="preserve"> Part A</w:t>
      </w:r>
      <w:r w:rsidRPr="0063216A">
        <w:rPr>
          <w:rFonts w:ascii="Palatino Linotype" w:hAnsi="Palatino Linotype"/>
          <w:noProof/>
          <w:sz w:val="18"/>
          <w:szCs w:val="18"/>
        </w:rPr>
        <w:t xml:space="preserve"> </w:t>
      </w:r>
      <w:r>
        <w:rPr>
          <w:rFonts w:ascii="Palatino Linotype" w:hAnsi="Palatino Linotype"/>
          <w:b/>
          <w:bCs/>
          <w:noProof/>
          <w:sz w:val="18"/>
          <w:szCs w:val="18"/>
        </w:rPr>
        <w:t>2015</w:t>
      </w:r>
      <w:r>
        <w:rPr>
          <w:rFonts w:ascii="Palatino Linotype" w:hAnsi="Palatino Linotype"/>
          <w:bCs/>
          <w:noProof/>
          <w:sz w:val="18"/>
          <w:szCs w:val="18"/>
        </w:rPr>
        <w:t xml:space="preserve">, </w:t>
      </w:r>
      <w:r>
        <w:rPr>
          <w:rFonts w:ascii="Palatino Linotype" w:hAnsi="Palatino Linotype"/>
          <w:bCs/>
          <w:i/>
          <w:noProof/>
          <w:sz w:val="18"/>
          <w:szCs w:val="18"/>
        </w:rPr>
        <w:t>103</w:t>
      </w:r>
      <w:r>
        <w:rPr>
          <w:rFonts w:ascii="Palatino Linotype" w:hAnsi="Palatino Linotype"/>
          <w:bCs/>
          <w:noProof/>
          <w:sz w:val="18"/>
          <w:szCs w:val="18"/>
        </w:rPr>
        <w:t>, 1520–1532</w:t>
      </w:r>
      <w:r w:rsidRPr="0063216A">
        <w:rPr>
          <w:rFonts w:ascii="Palatino Linotype" w:hAnsi="Palatino Linotype"/>
          <w:noProof/>
          <w:sz w:val="18"/>
          <w:szCs w:val="18"/>
        </w:rPr>
        <w:t>.</w:t>
      </w:r>
    </w:p>
    <w:p w14:paraId="15F335ED"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Peña Fernández, M.; Witte, F.; Tozzi, G. Applications of X‐ray computed tomography for the evaluation of biomaterial‐mediated bone regeneration in critical‐sized defects. </w:t>
      </w:r>
      <w:r w:rsidRPr="0063216A">
        <w:rPr>
          <w:rFonts w:ascii="Palatino Linotype" w:hAnsi="Palatino Linotype"/>
          <w:i/>
          <w:iCs/>
          <w:noProof/>
          <w:sz w:val="18"/>
          <w:szCs w:val="18"/>
        </w:rPr>
        <w:t>J. Microsc.</w:t>
      </w:r>
      <w:r w:rsidRPr="0063216A">
        <w:rPr>
          <w:rFonts w:ascii="Palatino Linotype" w:hAnsi="Palatino Linotype"/>
          <w:noProof/>
          <w:sz w:val="18"/>
          <w:szCs w:val="18"/>
        </w:rPr>
        <w:t xml:space="preserve"> </w:t>
      </w:r>
      <w:r w:rsidRPr="0063216A">
        <w:rPr>
          <w:rFonts w:ascii="Palatino Linotype" w:hAnsi="Palatino Linotype"/>
          <w:b/>
          <w:bCs/>
          <w:noProof/>
          <w:sz w:val="18"/>
          <w:szCs w:val="18"/>
        </w:rPr>
        <w:t>201</w:t>
      </w:r>
      <w:r w:rsidRPr="004B2D10">
        <w:rPr>
          <w:rFonts w:ascii="Palatino Linotype" w:hAnsi="Palatino Linotype"/>
          <w:b/>
          <w:bCs/>
          <w:noProof/>
          <w:sz w:val="18"/>
          <w:szCs w:val="18"/>
        </w:rPr>
        <w:t>9</w:t>
      </w:r>
      <w:r w:rsidRPr="004B2D10">
        <w:rPr>
          <w:rFonts w:ascii="Palatino Linotype" w:hAnsi="Palatino Linotype"/>
          <w:noProof/>
          <w:sz w:val="18"/>
          <w:szCs w:val="18"/>
        </w:rPr>
        <w:t xml:space="preserve">, </w:t>
      </w:r>
      <w:hyperlink r:id="rId15" w:history="1">
        <w:r w:rsidRPr="004B2D10">
          <w:rPr>
            <w:rStyle w:val="Hyperlink"/>
            <w:rFonts w:ascii="Palatino Linotype" w:hAnsi="Palatino Linotype"/>
            <w:bCs/>
            <w:noProof/>
            <w:color w:val="auto"/>
            <w:sz w:val="18"/>
            <w:szCs w:val="18"/>
            <w:u w:val="none"/>
            <w:lang w:val="en-US"/>
          </w:rPr>
          <w:t>doi:10.1111/jmi.12844</w:t>
        </w:r>
      </w:hyperlink>
      <w:r w:rsidRPr="004B2D10">
        <w:rPr>
          <w:rFonts w:ascii="Palatino Linotype" w:hAnsi="Palatino Linotype"/>
          <w:noProof/>
          <w:sz w:val="18"/>
          <w:szCs w:val="18"/>
        </w:rPr>
        <w:t>.</w:t>
      </w:r>
    </w:p>
    <w:p w14:paraId="2E687281" w14:textId="77777777" w:rsidR="00E670EB" w:rsidRPr="004B2D10"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4"/>
          <w:sz w:val="18"/>
          <w:szCs w:val="18"/>
        </w:rPr>
      </w:pPr>
      <w:r w:rsidRPr="004B2D10">
        <w:rPr>
          <w:rFonts w:ascii="Palatino Linotype" w:hAnsi="Palatino Linotype"/>
          <w:noProof/>
          <w:spacing w:val="-4"/>
          <w:sz w:val="18"/>
          <w:szCs w:val="18"/>
        </w:rPr>
        <w:t xml:space="preserve">Bouxsein, M.L.; Boyd, S.K.; Christiansen, B.A.; Guldberg, R.E.; Jepsen, K.J.; Müller, R. Guidelines for assessment of bone microstructure in rodents using micro-computed tomography. </w:t>
      </w:r>
      <w:r w:rsidRPr="004B2D10">
        <w:rPr>
          <w:rFonts w:ascii="Palatino Linotype" w:hAnsi="Palatino Linotype"/>
          <w:i/>
          <w:iCs/>
          <w:noProof/>
          <w:spacing w:val="-4"/>
          <w:sz w:val="18"/>
          <w:szCs w:val="18"/>
        </w:rPr>
        <w:t>J. Bone Miner. Res.</w:t>
      </w:r>
      <w:r w:rsidRPr="004B2D10">
        <w:rPr>
          <w:rFonts w:ascii="Palatino Linotype" w:hAnsi="Palatino Linotype"/>
          <w:noProof/>
          <w:spacing w:val="-4"/>
          <w:sz w:val="18"/>
          <w:szCs w:val="18"/>
        </w:rPr>
        <w:t xml:space="preserve"> </w:t>
      </w:r>
      <w:r>
        <w:rPr>
          <w:rFonts w:ascii="Palatino Linotype" w:hAnsi="Palatino Linotype"/>
          <w:b/>
          <w:bCs/>
          <w:noProof/>
          <w:spacing w:val="-4"/>
          <w:sz w:val="18"/>
          <w:szCs w:val="18"/>
        </w:rPr>
        <w:t>2010</w:t>
      </w:r>
      <w:r>
        <w:rPr>
          <w:rFonts w:ascii="Palatino Linotype" w:hAnsi="Palatino Linotype"/>
          <w:bCs/>
          <w:noProof/>
          <w:spacing w:val="-4"/>
          <w:sz w:val="18"/>
          <w:szCs w:val="18"/>
        </w:rPr>
        <w:t xml:space="preserve">, </w:t>
      </w:r>
      <w:r>
        <w:rPr>
          <w:rFonts w:ascii="Palatino Linotype" w:hAnsi="Palatino Linotype"/>
          <w:bCs/>
          <w:i/>
          <w:noProof/>
          <w:spacing w:val="-4"/>
          <w:sz w:val="18"/>
          <w:szCs w:val="18"/>
        </w:rPr>
        <w:t>25</w:t>
      </w:r>
      <w:r>
        <w:rPr>
          <w:rFonts w:ascii="Palatino Linotype" w:hAnsi="Palatino Linotype"/>
          <w:bCs/>
          <w:noProof/>
          <w:spacing w:val="-4"/>
          <w:sz w:val="18"/>
          <w:szCs w:val="18"/>
        </w:rPr>
        <w:t>, 1468–1486</w:t>
      </w:r>
      <w:r w:rsidRPr="004B2D10">
        <w:rPr>
          <w:rFonts w:ascii="Palatino Linotype" w:hAnsi="Palatino Linotype"/>
          <w:noProof/>
          <w:spacing w:val="-4"/>
          <w:sz w:val="18"/>
          <w:szCs w:val="18"/>
        </w:rPr>
        <w:t>.</w:t>
      </w:r>
    </w:p>
    <w:p w14:paraId="77FD9B8C"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Nazarian, A.; Snyder, B.D.; Zurakowski, D.; Müller, R. Quantitative micro-computed tomography: A non-invasive method to assess equivalent bone mineral density. </w:t>
      </w:r>
      <w:r w:rsidRPr="0063216A">
        <w:rPr>
          <w:rFonts w:ascii="Palatino Linotype" w:hAnsi="Palatino Linotype"/>
          <w:i/>
          <w:iCs/>
          <w:noProof/>
          <w:sz w:val="18"/>
          <w:szCs w:val="18"/>
        </w:rPr>
        <w:t>Bone</w:t>
      </w:r>
      <w:r w:rsidRPr="0063216A">
        <w:rPr>
          <w:rFonts w:ascii="Palatino Linotype" w:hAnsi="Palatino Linotype"/>
          <w:noProof/>
          <w:sz w:val="18"/>
          <w:szCs w:val="18"/>
        </w:rPr>
        <w:t xml:space="preserve"> </w:t>
      </w:r>
      <w:r>
        <w:rPr>
          <w:rFonts w:ascii="Palatino Linotype" w:hAnsi="Palatino Linotype"/>
          <w:b/>
          <w:bCs/>
          <w:noProof/>
          <w:sz w:val="18"/>
          <w:szCs w:val="18"/>
        </w:rPr>
        <w:t>2008</w:t>
      </w:r>
      <w:r>
        <w:rPr>
          <w:rFonts w:ascii="Palatino Linotype" w:hAnsi="Palatino Linotype"/>
          <w:bCs/>
          <w:noProof/>
          <w:sz w:val="18"/>
          <w:szCs w:val="18"/>
        </w:rPr>
        <w:t xml:space="preserve">, </w:t>
      </w:r>
      <w:r>
        <w:rPr>
          <w:rFonts w:ascii="Palatino Linotype" w:hAnsi="Palatino Linotype"/>
          <w:bCs/>
          <w:i/>
          <w:noProof/>
          <w:sz w:val="18"/>
          <w:szCs w:val="18"/>
        </w:rPr>
        <w:t>43</w:t>
      </w:r>
      <w:r>
        <w:rPr>
          <w:rFonts w:ascii="Palatino Linotype" w:hAnsi="Palatino Linotype"/>
          <w:bCs/>
          <w:noProof/>
          <w:sz w:val="18"/>
          <w:szCs w:val="18"/>
        </w:rPr>
        <w:t>, 302–311</w:t>
      </w:r>
      <w:r w:rsidRPr="0063216A">
        <w:rPr>
          <w:rFonts w:ascii="Palatino Linotype" w:hAnsi="Palatino Linotype"/>
          <w:noProof/>
          <w:sz w:val="18"/>
          <w:szCs w:val="18"/>
        </w:rPr>
        <w:t>.</w:t>
      </w:r>
    </w:p>
    <w:p w14:paraId="57453E26" w14:textId="77777777" w:rsidR="00E670EB" w:rsidRPr="004B2D10"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4B2D10">
        <w:rPr>
          <w:rFonts w:ascii="Palatino Linotype" w:hAnsi="Palatino Linotype"/>
          <w:noProof/>
          <w:sz w:val="18"/>
          <w:szCs w:val="18"/>
        </w:rPr>
        <w:t xml:space="preserve">Nazarian, A.; Müller, R. Time-lapsed microstructural imaging of bone failure behavior. </w:t>
      </w:r>
      <w:r w:rsidRPr="004B2D10">
        <w:rPr>
          <w:rFonts w:ascii="Palatino Linotype" w:hAnsi="Palatino Linotype"/>
          <w:i/>
          <w:iCs/>
          <w:noProof/>
          <w:sz w:val="18"/>
          <w:szCs w:val="18"/>
        </w:rPr>
        <w:t>J. Biomech.</w:t>
      </w:r>
      <w:r w:rsidRPr="004B2D10">
        <w:rPr>
          <w:rFonts w:ascii="Palatino Linotype" w:hAnsi="Palatino Linotype"/>
          <w:noProof/>
          <w:sz w:val="18"/>
          <w:szCs w:val="18"/>
        </w:rPr>
        <w:t xml:space="preserve"> </w:t>
      </w:r>
      <w:r>
        <w:rPr>
          <w:rFonts w:ascii="Palatino Linotype" w:hAnsi="Palatino Linotype"/>
          <w:b/>
          <w:bCs/>
          <w:noProof/>
          <w:sz w:val="18"/>
          <w:szCs w:val="18"/>
        </w:rPr>
        <w:t>2004</w:t>
      </w:r>
      <w:r>
        <w:rPr>
          <w:rFonts w:ascii="Palatino Linotype" w:hAnsi="Palatino Linotype"/>
          <w:bCs/>
          <w:noProof/>
          <w:sz w:val="18"/>
          <w:szCs w:val="18"/>
        </w:rPr>
        <w:t xml:space="preserve">, </w:t>
      </w:r>
      <w:r>
        <w:rPr>
          <w:rFonts w:ascii="Palatino Linotype" w:hAnsi="Palatino Linotype"/>
          <w:bCs/>
          <w:i/>
          <w:noProof/>
          <w:sz w:val="18"/>
          <w:szCs w:val="18"/>
        </w:rPr>
        <w:t>37</w:t>
      </w:r>
      <w:r>
        <w:rPr>
          <w:rFonts w:ascii="Palatino Linotype" w:hAnsi="Palatino Linotype"/>
          <w:bCs/>
          <w:noProof/>
          <w:sz w:val="18"/>
          <w:szCs w:val="18"/>
        </w:rPr>
        <w:t>, 55–65</w:t>
      </w:r>
      <w:r w:rsidRPr="004B2D10">
        <w:rPr>
          <w:rFonts w:ascii="Palatino Linotype" w:hAnsi="Palatino Linotype"/>
          <w:noProof/>
          <w:sz w:val="18"/>
          <w:szCs w:val="18"/>
        </w:rPr>
        <w:t>.</w:t>
      </w:r>
    </w:p>
    <w:p w14:paraId="166E0E0D"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Bay, B.K.; Smith, T.S.; Fyhrie, D.P.; Saad, M. Digital volume correlation: Three-dimensional strain mapping using X-ray tomography. </w:t>
      </w:r>
      <w:r w:rsidRPr="0063216A">
        <w:rPr>
          <w:rFonts w:ascii="Palatino Linotype" w:hAnsi="Palatino Linotype"/>
          <w:i/>
          <w:iCs/>
          <w:noProof/>
          <w:sz w:val="18"/>
          <w:szCs w:val="18"/>
        </w:rPr>
        <w:t>Exp. Mech.</w:t>
      </w:r>
      <w:r w:rsidRPr="0063216A">
        <w:rPr>
          <w:rFonts w:ascii="Palatino Linotype" w:hAnsi="Palatino Linotype"/>
          <w:noProof/>
          <w:sz w:val="18"/>
          <w:szCs w:val="18"/>
        </w:rPr>
        <w:t xml:space="preserve"> </w:t>
      </w:r>
      <w:r>
        <w:rPr>
          <w:rFonts w:ascii="Palatino Linotype" w:hAnsi="Palatino Linotype"/>
          <w:b/>
          <w:bCs/>
          <w:noProof/>
          <w:sz w:val="18"/>
          <w:szCs w:val="18"/>
        </w:rPr>
        <w:t>1999</w:t>
      </w:r>
      <w:r>
        <w:rPr>
          <w:rFonts w:ascii="Palatino Linotype" w:hAnsi="Palatino Linotype"/>
          <w:bCs/>
          <w:noProof/>
          <w:sz w:val="18"/>
          <w:szCs w:val="18"/>
        </w:rPr>
        <w:t xml:space="preserve">, </w:t>
      </w:r>
      <w:r>
        <w:rPr>
          <w:rFonts w:ascii="Palatino Linotype" w:hAnsi="Palatino Linotype"/>
          <w:bCs/>
          <w:i/>
          <w:noProof/>
          <w:sz w:val="18"/>
          <w:szCs w:val="18"/>
        </w:rPr>
        <w:t>39</w:t>
      </w:r>
      <w:r>
        <w:rPr>
          <w:rFonts w:ascii="Palatino Linotype" w:hAnsi="Palatino Linotype"/>
          <w:bCs/>
          <w:noProof/>
          <w:sz w:val="18"/>
          <w:szCs w:val="18"/>
        </w:rPr>
        <w:t>, 217–226</w:t>
      </w:r>
      <w:r w:rsidRPr="0063216A">
        <w:rPr>
          <w:rFonts w:ascii="Palatino Linotype" w:hAnsi="Palatino Linotype"/>
          <w:noProof/>
          <w:sz w:val="18"/>
          <w:szCs w:val="18"/>
        </w:rPr>
        <w:t>.</w:t>
      </w:r>
    </w:p>
    <w:p w14:paraId="171DBED3"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Bay, B.K. Methods and applications of digital volume correlation. </w:t>
      </w:r>
      <w:r w:rsidRPr="0063216A">
        <w:rPr>
          <w:rFonts w:ascii="Palatino Linotype" w:hAnsi="Palatino Linotype"/>
          <w:i/>
          <w:iCs/>
          <w:noProof/>
          <w:sz w:val="18"/>
          <w:szCs w:val="18"/>
        </w:rPr>
        <w:t>J. Strain Anal. Eng. Des.</w:t>
      </w:r>
      <w:r w:rsidRPr="0063216A">
        <w:rPr>
          <w:rFonts w:ascii="Palatino Linotype" w:hAnsi="Palatino Linotype"/>
          <w:noProof/>
          <w:sz w:val="18"/>
          <w:szCs w:val="18"/>
        </w:rPr>
        <w:t xml:space="preserve"> </w:t>
      </w:r>
      <w:r>
        <w:rPr>
          <w:rFonts w:ascii="Palatino Linotype" w:hAnsi="Palatino Linotype"/>
          <w:b/>
          <w:bCs/>
          <w:noProof/>
          <w:sz w:val="18"/>
          <w:szCs w:val="18"/>
        </w:rPr>
        <w:t>2008</w:t>
      </w:r>
      <w:r>
        <w:rPr>
          <w:rFonts w:ascii="Palatino Linotype" w:hAnsi="Palatino Linotype"/>
          <w:bCs/>
          <w:noProof/>
          <w:sz w:val="18"/>
          <w:szCs w:val="18"/>
        </w:rPr>
        <w:t xml:space="preserve">, </w:t>
      </w:r>
      <w:r>
        <w:rPr>
          <w:rFonts w:ascii="Palatino Linotype" w:hAnsi="Palatino Linotype"/>
          <w:bCs/>
          <w:i/>
          <w:noProof/>
          <w:sz w:val="18"/>
          <w:szCs w:val="18"/>
        </w:rPr>
        <w:t>43</w:t>
      </w:r>
      <w:r>
        <w:rPr>
          <w:rFonts w:ascii="Palatino Linotype" w:hAnsi="Palatino Linotype"/>
          <w:bCs/>
          <w:noProof/>
          <w:sz w:val="18"/>
          <w:szCs w:val="18"/>
        </w:rPr>
        <w:t>, 745–760</w:t>
      </w:r>
      <w:r w:rsidRPr="0063216A">
        <w:rPr>
          <w:rFonts w:ascii="Palatino Linotype" w:hAnsi="Palatino Linotype"/>
          <w:noProof/>
          <w:sz w:val="18"/>
          <w:szCs w:val="18"/>
        </w:rPr>
        <w:t>.</w:t>
      </w:r>
    </w:p>
    <w:p w14:paraId="6B2E5DAC"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Gillard, F.; Boardman, R.; Mavrogordato, M.; Hollis, D.; Sinclair, I.; Pierron, F.; Browne, M. The application of digital volume correlation (DVC) to study the microstructural behaviour of trabecular bone during compression. </w:t>
      </w:r>
      <w:r w:rsidRPr="0063216A">
        <w:rPr>
          <w:rFonts w:ascii="Palatino Linotype" w:hAnsi="Palatino Linotype"/>
          <w:i/>
          <w:iCs/>
          <w:noProof/>
          <w:sz w:val="18"/>
          <w:szCs w:val="18"/>
        </w:rPr>
        <w:t>J. Mech. Behav. Biomed. Mater.</w:t>
      </w:r>
      <w:r w:rsidRPr="0063216A">
        <w:rPr>
          <w:rFonts w:ascii="Palatino Linotype" w:hAnsi="Palatino Linotype"/>
          <w:noProof/>
          <w:sz w:val="18"/>
          <w:szCs w:val="18"/>
        </w:rPr>
        <w:t xml:space="preserve"> </w:t>
      </w:r>
      <w:r>
        <w:rPr>
          <w:rFonts w:ascii="Palatino Linotype" w:hAnsi="Palatino Linotype"/>
          <w:b/>
          <w:bCs/>
          <w:noProof/>
          <w:sz w:val="18"/>
          <w:szCs w:val="18"/>
        </w:rPr>
        <w:t>2014</w:t>
      </w:r>
      <w:r>
        <w:rPr>
          <w:rFonts w:ascii="Palatino Linotype" w:hAnsi="Palatino Linotype"/>
          <w:bCs/>
          <w:noProof/>
          <w:sz w:val="18"/>
          <w:szCs w:val="18"/>
        </w:rPr>
        <w:t xml:space="preserve">, </w:t>
      </w:r>
      <w:r>
        <w:rPr>
          <w:rFonts w:ascii="Palatino Linotype" w:hAnsi="Palatino Linotype"/>
          <w:bCs/>
          <w:i/>
          <w:noProof/>
          <w:sz w:val="18"/>
          <w:szCs w:val="18"/>
        </w:rPr>
        <w:t>29</w:t>
      </w:r>
      <w:r>
        <w:rPr>
          <w:rFonts w:ascii="Palatino Linotype" w:hAnsi="Palatino Linotype"/>
          <w:bCs/>
          <w:noProof/>
          <w:sz w:val="18"/>
          <w:szCs w:val="18"/>
        </w:rPr>
        <w:t>, 480–499</w:t>
      </w:r>
      <w:r w:rsidRPr="0063216A">
        <w:rPr>
          <w:rFonts w:ascii="Palatino Linotype" w:hAnsi="Palatino Linotype"/>
          <w:noProof/>
          <w:sz w:val="18"/>
          <w:szCs w:val="18"/>
        </w:rPr>
        <w:t>.</w:t>
      </w:r>
    </w:p>
    <w:p w14:paraId="6CCC7216"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Peña Fernández, M.; Cipiccia, S.; Dall’Ara, E.; Bodey, A.J.; Parwani, R.; Pani, M.; Blunn, G.W.; Barber, A.H.; Tozzi, G. Effect of SR-microCT radiation on the mechanical integrity of trabecular bone using in situ mechanical testing and digital volume correlation. </w:t>
      </w:r>
      <w:r w:rsidRPr="0063216A">
        <w:rPr>
          <w:rFonts w:ascii="Palatino Linotype" w:hAnsi="Palatino Linotype"/>
          <w:i/>
          <w:iCs/>
          <w:noProof/>
          <w:sz w:val="18"/>
          <w:szCs w:val="18"/>
        </w:rPr>
        <w:t>J. Mech. Behav. Biomed. Mater.</w:t>
      </w:r>
      <w:r w:rsidRPr="0063216A">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88</w:t>
      </w:r>
      <w:r>
        <w:rPr>
          <w:rFonts w:ascii="Palatino Linotype" w:hAnsi="Palatino Linotype"/>
          <w:bCs/>
          <w:noProof/>
          <w:sz w:val="18"/>
          <w:szCs w:val="18"/>
        </w:rPr>
        <w:t>, 109–119</w:t>
      </w:r>
      <w:r w:rsidRPr="0063216A">
        <w:rPr>
          <w:rFonts w:ascii="Palatino Linotype" w:hAnsi="Palatino Linotype"/>
          <w:noProof/>
          <w:sz w:val="18"/>
          <w:szCs w:val="18"/>
        </w:rPr>
        <w:t>.</w:t>
      </w:r>
    </w:p>
    <w:p w14:paraId="7A41B7B1"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Christen, D.; Levchuk, A.; Schori, S.; Schneider, P.; Boyd, S.K.; Müller, R. Deformable image registration and 3D strain mapping for the quantitative assessment of cortical bone microdamage. </w:t>
      </w:r>
      <w:r w:rsidRPr="0063216A">
        <w:rPr>
          <w:rFonts w:ascii="Palatino Linotype" w:hAnsi="Palatino Linotype"/>
          <w:i/>
          <w:iCs/>
          <w:noProof/>
          <w:sz w:val="18"/>
          <w:szCs w:val="18"/>
        </w:rPr>
        <w:t>J. Mech. Behav. Biomed. Mater.</w:t>
      </w:r>
      <w:r w:rsidRPr="0063216A">
        <w:rPr>
          <w:rFonts w:ascii="Palatino Linotype" w:hAnsi="Palatino Linotype"/>
          <w:noProof/>
          <w:sz w:val="18"/>
          <w:szCs w:val="18"/>
        </w:rPr>
        <w:t xml:space="preserve"> </w:t>
      </w:r>
      <w:r>
        <w:rPr>
          <w:rFonts w:ascii="Palatino Linotype" w:hAnsi="Palatino Linotype"/>
          <w:b/>
          <w:bCs/>
          <w:noProof/>
          <w:sz w:val="18"/>
          <w:szCs w:val="18"/>
        </w:rPr>
        <w:t>2012</w:t>
      </w:r>
      <w:r>
        <w:rPr>
          <w:rFonts w:ascii="Palatino Linotype" w:hAnsi="Palatino Linotype"/>
          <w:bCs/>
          <w:noProof/>
          <w:sz w:val="18"/>
          <w:szCs w:val="18"/>
        </w:rPr>
        <w:t xml:space="preserve">, </w:t>
      </w:r>
      <w:r>
        <w:rPr>
          <w:rFonts w:ascii="Palatino Linotype" w:hAnsi="Palatino Linotype"/>
          <w:bCs/>
          <w:i/>
          <w:noProof/>
          <w:sz w:val="18"/>
          <w:szCs w:val="18"/>
        </w:rPr>
        <w:t>8</w:t>
      </w:r>
      <w:r>
        <w:rPr>
          <w:rFonts w:ascii="Palatino Linotype" w:hAnsi="Palatino Linotype"/>
          <w:bCs/>
          <w:noProof/>
          <w:sz w:val="18"/>
          <w:szCs w:val="18"/>
        </w:rPr>
        <w:t>, 184–193</w:t>
      </w:r>
      <w:r w:rsidRPr="0063216A">
        <w:rPr>
          <w:rFonts w:ascii="Palatino Linotype" w:hAnsi="Palatino Linotype"/>
          <w:noProof/>
          <w:sz w:val="18"/>
          <w:szCs w:val="18"/>
        </w:rPr>
        <w:t>.</w:t>
      </w:r>
    </w:p>
    <w:p w14:paraId="4630EB53"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Tozzi, G.; Danesi, V.; Palanca, M.; Cristofolini, L. Elastic Full-Field Strain Analysis and Microdamage Progression in the Vertebral Body from Digital Volume Correlation. </w:t>
      </w:r>
      <w:r w:rsidRPr="0063216A">
        <w:rPr>
          <w:rFonts w:ascii="Palatino Linotype" w:hAnsi="Palatino Linotype"/>
          <w:i/>
          <w:iCs/>
          <w:noProof/>
          <w:sz w:val="18"/>
          <w:szCs w:val="18"/>
        </w:rPr>
        <w:t>Strain</w:t>
      </w:r>
      <w:r w:rsidRPr="0063216A">
        <w:rPr>
          <w:rFonts w:ascii="Palatino Linotype" w:hAnsi="Palatino Linotype"/>
          <w:noProof/>
          <w:sz w:val="18"/>
          <w:szCs w:val="18"/>
        </w:rPr>
        <w:t xml:space="preserve"> </w:t>
      </w:r>
      <w:r>
        <w:rPr>
          <w:rFonts w:ascii="Palatino Linotype" w:hAnsi="Palatino Linotype"/>
          <w:b/>
          <w:bCs/>
          <w:noProof/>
          <w:sz w:val="18"/>
          <w:szCs w:val="18"/>
        </w:rPr>
        <w:t>2016</w:t>
      </w:r>
      <w:r>
        <w:rPr>
          <w:rFonts w:ascii="Palatino Linotype" w:hAnsi="Palatino Linotype"/>
          <w:bCs/>
          <w:noProof/>
          <w:sz w:val="18"/>
          <w:szCs w:val="18"/>
        </w:rPr>
        <w:t xml:space="preserve">, </w:t>
      </w:r>
      <w:r>
        <w:rPr>
          <w:rFonts w:ascii="Palatino Linotype" w:hAnsi="Palatino Linotype"/>
          <w:bCs/>
          <w:i/>
          <w:noProof/>
          <w:sz w:val="18"/>
          <w:szCs w:val="18"/>
        </w:rPr>
        <w:t>52</w:t>
      </w:r>
      <w:r>
        <w:rPr>
          <w:rFonts w:ascii="Palatino Linotype" w:hAnsi="Palatino Linotype"/>
          <w:bCs/>
          <w:noProof/>
          <w:sz w:val="18"/>
          <w:szCs w:val="18"/>
        </w:rPr>
        <w:t>, 446–455</w:t>
      </w:r>
      <w:r w:rsidRPr="0063216A">
        <w:rPr>
          <w:rFonts w:ascii="Palatino Linotype" w:hAnsi="Palatino Linotype"/>
          <w:noProof/>
          <w:sz w:val="18"/>
          <w:szCs w:val="18"/>
        </w:rPr>
        <w:t>.</w:t>
      </w:r>
    </w:p>
    <w:p w14:paraId="5DC0A9E4"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Danesi, V.; Tozzi, G.; Cristofolini, L. Application of digital volume correlation to study the efficacy of prophylactic vertebral augmentation. </w:t>
      </w:r>
      <w:r w:rsidRPr="0063216A">
        <w:rPr>
          <w:rFonts w:ascii="Palatino Linotype" w:hAnsi="Palatino Linotype"/>
          <w:i/>
          <w:iCs/>
          <w:noProof/>
          <w:sz w:val="18"/>
          <w:szCs w:val="18"/>
        </w:rPr>
        <w:t>Clin. Biomech.</w:t>
      </w:r>
      <w:r w:rsidRPr="0063216A">
        <w:rPr>
          <w:rFonts w:ascii="Palatino Linotype" w:hAnsi="Palatino Linotype"/>
          <w:noProof/>
          <w:sz w:val="18"/>
          <w:szCs w:val="18"/>
        </w:rPr>
        <w:t xml:space="preserve"> </w:t>
      </w:r>
      <w:r>
        <w:rPr>
          <w:rFonts w:ascii="Palatino Linotype" w:hAnsi="Palatino Linotype"/>
          <w:b/>
          <w:bCs/>
          <w:noProof/>
          <w:sz w:val="18"/>
          <w:szCs w:val="18"/>
        </w:rPr>
        <w:t>2016</w:t>
      </w:r>
      <w:r>
        <w:rPr>
          <w:rFonts w:ascii="Palatino Linotype" w:hAnsi="Palatino Linotype"/>
          <w:bCs/>
          <w:noProof/>
          <w:sz w:val="18"/>
          <w:szCs w:val="18"/>
        </w:rPr>
        <w:t xml:space="preserve">, </w:t>
      </w:r>
      <w:r>
        <w:rPr>
          <w:rFonts w:ascii="Palatino Linotype" w:hAnsi="Palatino Linotype"/>
          <w:bCs/>
          <w:i/>
          <w:noProof/>
          <w:sz w:val="18"/>
          <w:szCs w:val="18"/>
        </w:rPr>
        <w:t>39</w:t>
      </w:r>
      <w:r>
        <w:rPr>
          <w:rFonts w:ascii="Palatino Linotype" w:hAnsi="Palatino Linotype"/>
          <w:bCs/>
          <w:noProof/>
          <w:sz w:val="18"/>
          <w:szCs w:val="18"/>
        </w:rPr>
        <w:t>, 14–24</w:t>
      </w:r>
      <w:r w:rsidRPr="0063216A">
        <w:rPr>
          <w:rFonts w:ascii="Palatino Linotype" w:hAnsi="Palatino Linotype"/>
          <w:noProof/>
          <w:sz w:val="18"/>
          <w:szCs w:val="18"/>
        </w:rPr>
        <w:t>.</w:t>
      </w:r>
    </w:p>
    <w:p w14:paraId="43426865"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Tozzi, G.; Zhang, Q.H.; Tong, J. 3D real-time micromechanical compressive behaviour of bone-cement interface: Experimental and finite element studies.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2012</w:t>
      </w:r>
      <w:r>
        <w:rPr>
          <w:rFonts w:ascii="Palatino Linotype" w:hAnsi="Palatino Linotype"/>
          <w:bCs/>
          <w:noProof/>
          <w:sz w:val="18"/>
          <w:szCs w:val="18"/>
        </w:rPr>
        <w:t xml:space="preserve">, </w:t>
      </w:r>
      <w:r>
        <w:rPr>
          <w:rFonts w:ascii="Palatino Linotype" w:hAnsi="Palatino Linotype"/>
          <w:bCs/>
          <w:i/>
          <w:noProof/>
          <w:sz w:val="18"/>
          <w:szCs w:val="18"/>
        </w:rPr>
        <w:t>45</w:t>
      </w:r>
      <w:r>
        <w:rPr>
          <w:rFonts w:ascii="Palatino Linotype" w:hAnsi="Palatino Linotype"/>
          <w:bCs/>
          <w:noProof/>
          <w:sz w:val="18"/>
          <w:szCs w:val="18"/>
        </w:rPr>
        <w:t>, 356–363</w:t>
      </w:r>
      <w:r w:rsidRPr="0063216A">
        <w:rPr>
          <w:rFonts w:ascii="Palatino Linotype" w:hAnsi="Palatino Linotype"/>
          <w:noProof/>
          <w:sz w:val="18"/>
          <w:szCs w:val="18"/>
        </w:rPr>
        <w:t>.</w:t>
      </w:r>
    </w:p>
    <w:p w14:paraId="65ABB8FD"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Peña Fernández, M.; Dall’Ara, E.; Bodey, A.J.; Parwani, R.; Barber, A.H.; Blunn, G.W.; Tozzi, G. Full-Field Strain Analysis of Bone–Biomaterial Systems Produced by the Implantation of Osteoregenerative Biomaterials in an Ovine Model. </w:t>
      </w:r>
      <w:r w:rsidRPr="0063216A">
        <w:rPr>
          <w:rFonts w:ascii="Palatino Linotype" w:hAnsi="Palatino Linotype"/>
          <w:i/>
          <w:iCs/>
          <w:noProof/>
          <w:sz w:val="18"/>
          <w:szCs w:val="18"/>
        </w:rPr>
        <w:t>ACS Biomater. Sci. Eng.</w:t>
      </w:r>
      <w:r w:rsidRPr="0063216A">
        <w:rPr>
          <w:rFonts w:ascii="Palatino Linotype" w:hAnsi="Palatino Linotype"/>
          <w:noProof/>
          <w:sz w:val="18"/>
          <w:szCs w:val="18"/>
        </w:rPr>
        <w:t xml:space="preserve"> </w:t>
      </w:r>
      <w:r>
        <w:rPr>
          <w:rFonts w:ascii="Palatino Linotype" w:hAnsi="Palatino Linotype"/>
          <w:b/>
          <w:bCs/>
          <w:noProof/>
          <w:sz w:val="18"/>
          <w:szCs w:val="18"/>
        </w:rPr>
        <w:t>2019</w:t>
      </w:r>
      <w:r>
        <w:rPr>
          <w:rFonts w:ascii="Palatino Linotype" w:hAnsi="Palatino Linotype"/>
          <w:bCs/>
          <w:noProof/>
          <w:sz w:val="18"/>
          <w:szCs w:val="18"/>
        </w:rPr>
        <w:t xml:space="preserve">, </w:t>
      </w:r>
      <w:r>
        <w:rPr>
          <w:rFonts w:ascii="Palatino Linotype" w:hAnsi="Palatino Linotype"/>
          <w:bCs/>
          <w:i/>
          <w:noProof/>
          <w:sz w:val="18"/>
          <w:szCs w:val="18"/>
        </w:rPr>
        <w:t>5</w:t>
      </w:r>
      <w:r>
        <w:rPr>
          <w:rFonts w:ascii="Palatino Linotype" w:hAnsi="Palatino Linotype"/>
          <w:bCs/>
          <w:noProof/>
          <w:sz w:val="18"/>
          <w:szCs w:val="18"/>
        </w:rPr>
        <w:t>, 2543–2554</w:t>
      </w:r>
      <w:r w:rsidRPr="0063216A">
        <w:rPr>
          <w:rFonts w:ascii="Palatino Linotype" w:hAnsi="Palatino Linotype"/>
          <w:noProof/>
          <w:sz w:val="18"/>
          <w:szCs w:val="18"/>
        </w:rPr>
        <w:t>.</w:t>
      </w:r>
    </w:p>
    <w:p w14:paraId="07E4BAFF"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Arrabal, P.M.; Visser, R.; Santos-Ruiz, L.; Becerra, J.; Cifuentes, M. Osteogenic molecules for clinical applications: Improving the BMP-collagen system. </w:t>
      </w:r>
      <w:r w:rsidRPr="0063216A">
        <w:rPr>
          <w:rFonts w:ascii="Palatino Linotype" w:hAnsi="Palatino Linotype"/>
          <w:i/>
          <w:iCs/>
          <w:noProof/>
          <w:sz w:val="18"/>
          <w:szCs w:val="18"/>
        </w:rPr>
        <w:t>Biol. Res.</w:t>
      </w:r>
      <w:r w:rsidRPr="0063216A">
        <w:rPr>
          <w:rFonts w:ascii="Palatino Linotype" w:hAnsi="Palatino Linotype"/>
          <w:noProof/>
          <w:sz w:val="18"/>
          <w:szCs w:val="18"/>
        </w:rPr>
        <w:t xml:space="preserve"> </w:t>
      </w:r>
      <w:r>
        <w:rPr>
          <w:rFonts w:ascii="Palatino Linotype" w:hAnsi="Palatino Linotype"/>
          <w:b/>
          <w:bCs/>
          <w:noProof/>
          <w:sz w:val="18"/>
          <w:szCs w:val="18"/>
        </w:rPr>
        <w:t>2013</w:t>
      </w:r>
      <w:r>
        <w:rPr>
          <w:rFonts w:ascii="Palatino Linotype" w:hAnsi="Palatino Linotype"/>
          <w:bCs/>
          <w:noProof/>
          <w:sz w:val="18"/>
          <w:szCs w:val="18"/>
        </w:rPr>
        <w:t xml:space="preserve">, </w:t>
      </w:r>
      <w:r>
        <w:rPr>
          <w:rFonts w:ascii="Palatino Linotype" w:hAnsi="Palatino Linotype"/>
          <w:bCs/>
          <w:i/>
          <w:noProof/>
          <w:sz w:val="18"/>
          <w:szCs w:val="18"/>
        </w:rPr>
        <w:t>46</w:t>
      </w:r>
      <w:r>
        <w:rPr>
          <w:rFonts w:ascii="Palatino Linotype" w:hAnsi="Palatino Linotype"/>
          <w:bCs/>
          <w:noProof/>
          <w:sz w:val="18"/>
          <w:szCs w:val="18"/>
        </w:rPr>
        <w:t>, 421–429</w:t>
      </w:r>
      <w:r w:rsidRPr="0063216A">
        <w:rPr>
          <w:rFonts w:ascii="Palatino Linotype" w:hAnsi="Palatino Linotype"/>
          <w:noProof/>
          <w:sz w:val="18"/>
          <w:szCs w:val="18"/>
        </w:rPr>
        <w:t>.</w:t>
      </w:r>
    </w:p>
    <w:p w14:paraId="6CE6907E"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Mousa, M.; Evans, N.D.; Oreffo, R.O.C.; Dawson, J.I. Clay nanoparticles for regenerative medicine and biomaterial design: A review of clay bioactivity. </w:t>
      </w:r>
      <w:r w:rsidRPr="0063216A">
        <w:rPr>
          <w:rFonts w:ascii="Palatino Linotype" w:hAnsi="Palatino Linotype"/>
          <w:i/>
          <w:iCs/>
          <w:noProof/>
          <w:sz w:val="18"/>
          <w:szCs w:val="18"/>
        </w:rPr>
        <w:t>Biomaterials</w:t>
      </w:r>
      <w:r w:rsidRPr="0063216A">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159</w:t>
      </w:r>
      <w:r>
        <w:rPr>
          <w:rFonts w:ascii="Palatino Linotype" w:hAnsi="Palatino Linotype"/>
          <w:bCs/>
          <w:noProof/>
          <w:sz w:val="18"/>
          <w:szCs w:val="18"/>
        </w:rPr>
        <w:t>, 204–214</w:t>
      </w:r>
      <w:r w:rsidRPr="0063216A">
        <w:rPr>
          <w:rFonts w:ascii="Palatino Linotype" w:hAnsi="Palatino Linotype"/>
          <w:noProof/>
          <w:sz w:val="18"/>
          <w:szCs w:val="18"/>
        </w:rPr>
        <w:t>.</w:t>
      </w:r>
    </w:p>
    <w:p w14:paraId="64421307"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4"/>
          <w:sz w:val="18"/>
          <w:szCs w:val="18"/>
        </w:rPr>
      </w:pPr>
      <w:r w:rsidRPr="00D847F6">
        <w:rPr>
          <w:rFonts w:ascii="Palatino Linotype" w:hAnsi="Palatino Linotype"/>
          <w:noProof/>
          <w:spacing w:val="-4"/>
          <w:sz w:val="18"/>
          <w:szCs w:val="18"/>
        </w:rPr>
        <w:t xml:space="preserve">Otsu, N. A threshold selection method from gray-level histograms. </w:t>
      </w:r>
      <w:r w:rsidRPr="00D847F6">
        <w:rPr>
          <w:rFonts w:ascii="Palatino Linotype" w:hAnsi="Palatino Linotype"/>
          <w:i/>
          <w:iCs/>
          <w:noProof/>
          <w:spacing w:val="-4"/>
          <w:sz w:val="18"/>
          <w:szCs w:val="18"/>
        </w:rPr>
        <w:t>IEEE Trans. Syst. Man. Cybern.</w:t>
      </w:r>
      <w:r w:rsidRPr="00D847F6">
        <w:rPr>
          <w:rFonts w:ascii="Palatino Linotype" w:hAnsi="Palatino Linotype"/>
          <w:noProof/>
          <w:spacing w:val="-4"/>
          <w:sz w:val="18"/>
          <w:szCs w:val="18"/>
        </w:rPr>
        <w:t xml:space="preserve"> </w:t>
      </w:r>
      <w:r>
        <w:rPr>
          <w:rFonts w:ascii="Palatino Linotype" w:hAnsi="Palatino Linotype"/>
          <w:b/>
          <w:bCs/>
          <w:noProof/>
          <w:spacing w:val="-4"/>
          <w:sz w:val="18"/>
          <w:szCs w:val="18"/>
        </w:rPr>
        <w:t>1979</w:t>
      </w:r>
      <w:r>
        <w:rPr>
          <w:rFonts w:ascii="Palatino Linotype" w:hAnsi="Palatino Linotype"/>
          <w:bCs/>
          <w:noProof/>
          <w:spacing w:val="-4"/>
          <w:sz w:val="18"/>
          <w:szCs w:val="18"/>
        </w:rPr>
        <w:t xml:space="preserve">, </w:t>
      </w:r>
      <w:r>
        <w:rPr>
          <w:rFonts w:ascii="Palatino Linotype" w:hAnsi="Palatino Linotype"/>
          <w:bCs/>
          <w:i/>
          <w:noProof/>
          <w:spacing w:val="-4"/>
          <w:sz w:val="18"/>
          <w:szCs w:val="18"/>
        </w:rPr>
        <w:t>9</w:t>
      </w:r>
      <w:r>
        <w:rPr>
          <w:rFonts w:ascii="Palatino Linotype" w:hAnsi="Palatino Linotype"/>
          <w:bCs/>
          <w:noProof/>
          <w:spacing w:val="-4"/>
          <w:sz w:val="18"/>
          <w:szCs w:val="18"/>
        </w:rPr>
        <w:t>, 62–66</w:t>
      </w:r>
      <w:r w:rsidRPr="00D847F6">
        <w:rPr>
          <w:rFonts w:ascii="Palatino Linotype" w:hAnsi="Palatino Linotype"/>
          <w:noProof/>
          <w:spacing w:val="-4"/>
          <w:sz w:val="18"/>
          <w:szCs w:val="18"/>
        </w:rPr>
        <w:t>.</w:t>
      </w:r>
    </w:p>
    <w:p w14:paraId="55E0EB0D"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Doube, M.; Klosowski, M.M.; Arganda-Carreras, I.; Cordelières, F.P.; Dougherty, R.P.; Jackson, J.S.; Schmid, B.; Hutchinson, J.R.; Shefelbine, S.J. BoneJ: Free and extensible bone image analysis in ImageJ. </w:t>
      </w:r>
      <w:r w:rsidRPr="0063216A">
        <w:rPr>
          <w:rFonts w:ascii="Palatino Linotype" w:hAnsi="Palatino Linotype"/>
          <w:i/>
          <w:iCs/>
          <w:noProof/>
          <w:sz w:val="18"/>
          <w:szCs w:val="18"/>
        </w:rPr>
        <w:t>Bone</w:t>
      </w:r>
      <w:r w:rsidRPr="0063216A">
        <w:rPr>
          <w:rFonts w:ascii="Palatino Linotype" w:hAnsi="Palatino Linotype"/>
          <w:noProof/>
          <w:sz w:val="18"/>
          <w:szCs w:val="18"/>
        </w:rPr>
        <w:t xml:space="preserve"> </w:t>
      </w:r>
      <w:r>
        <w:rPr>
          <w:rFonts w:ascii="Palatino Linotype" w:hAnsi="Palatino Linotype"/>
          <w:b/>
          <w:bCs/>
          <w:noProof/>
          <w:sz w:val="18"/>
          <w:szCs w:val="18"/>
        </w:rPr>
        <w:t>2010</w:t>
      </w:r>
      <w:r>
        <w:rPr>
          <w:rFonts w:ascii="Palatino Linotype" w:hAnsi="Palatino Linotype"/>
          <w:bCs/>
          <w:noProof/>
          <w:sz w:val="18"/>
          <w:szCs w:val="18"/>
        </w:rPr>
        <w:t xml:space="preserve">, </w:t>
      </w:r>
      <w:r>
        <w:rPr>
          <w:rFonts w:ascii="Palatino Linotype" w:hAnsi="Palatino Linotype"/>
          <w:bCs/>
          <w:i/>
          <w:noProof/>
          <w:sz w:val="18"/>
          <w:szCs w:val="18"/>
        </w:rPr>
        <w:t>47</w:t>
      </w:r>
      <w:r>
        <w:rPr>
          <w:rFonts w:ascii="Palatino Linotype" w:hAnsi="Palatino Linotype"/>
          <w:bCs/>
          <w:noProof/>
          <w:sz w:val="18"/>
          <w:szCs w:val="18"/>
        </w:rPr>
        <w:t>, 1076–1079</w:t>
      </w:r>
      <w:r w:rsidRPr="0063216A">
        <w:rPr>
          <w:rFonts w:ascii="Palatino Linotype" w:hAnsi="Palatino Linotype"/>
          <w:noProof/>
          <w:sz w:val="18"/>
          <w:szCs w:val="18"/>
        </w:rPr>
        <w:t>.</w:t>
      </w:r>
    </w:p>
    <w:p w14:paraId="30A64710"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D847F6">
        <w:rPr>
          <w:rFonts w:ascii="Palatino Linotype" w:hAnsi="Palatino Linotype"/>
          <w:noProof/>
          <w:sz w:val="18"/>
          <w:szCs w:val="18"/>
        </w:rPr>
        <w:t xml:space="preserve">Schindelin, J.; Arganda-Carreras, I.; Frise, E.; Kaynig, V.; Longair, M.; Pietzsch, T.; Preibisch, S.; Rueden, C.; Saalfeld, S.; Schmid, B.; et al. Fiji: An open-source platform for biological-image analysis. </w:t>
      </w:r>
      <w:r w:rsidRPr="00D847F6">
        <w:rPr>
          <w:rFonts w:ascii="Palatino Linotype" w:hAnsi="Palatino Linotype"/>
          <w:i/>
          <w:iCs/>
          <w:noProof/>
          <w:sz w:val="18"/>
          <w:szCs w:val="18"/>
        </w:rPr>
        <w:t>Nat. Meth.</w:t>
      </w:r>
      <w:r w:rsidRPr="00D847F6">
        <w:rPr>
          <w:rFonts w:ascii="Palatino Linotype" w:hAnsi="Palatino Linotype"/>
          <w:noProof/>
          <w:sz w:val="18"/>
          <w:szCs w:val="18"/>
        </w:rPr>
        <w:t xml:space="preserve"> </w:t>
      </w:r>
      <w:r>
        <w:rPr>
          <w:rFonts w:ascii="Palatino Linotype" w:hAnsi="Palatino Linotype"/>
          <w:b/>
          <w:bCs/>
          <w:noProof/>
          <w:sz w:val="18"/>
          <w:szCs w:val="18"/>
        </w:rPr>
        <w:t>2012</w:t>
      </w:r>
      <w:r>
        <w:rPr>
          <w:rFonts w:ascii="Palatino Linotype" w:hAnsi="Palatino Linotype"/>
          <w:bCs/>
          <w:noProof/>
          <w:sz w:val="18"/>
          <w:szCs w:val="18"/>
        </w:rPr>
        <w:t xml:space="preserve">, </w:t>
      </w:r>
      <w:r>
        <w:rPr>
          <w:rFonts w:ascii="Palatino Linotype" w:hAnsi="Palatino Linotype"/>
          <w:bCs/>
          <w:i/>
          <w:noProof/>
          <w:sz w:val="18"/>
          <w:szCs w:val="18"/>
        </w:rPr>
        <w:t>9</w:t>
      </w:r>
      <w:r>
        <w:rPr>
          <w:rFonts w:ascii="Palatino Linotype" w:hAnsi="Palatino Linotype"/>
          <w:bCs/>
          <w:noProof/>
          <w:sz w:val="18"/>
          <w:szCs w:val="18"/>
        </w:rPr>
        <w:t>, 676–682</w:t>
      </w:r>
      <w:r w:rsidRPr="00D847F6">
        <w:rPr>
          <w:rFonts w:ascii="Palatino Linotype" w:hAnsi="Palatino Linotype"/>
          <w:noProof/>
          <w:sz w:val="18"/>
          <w:szCs w:val="18"/>
        </w:rPr>
        <w:t>.</w:t>
      </w:r>
    </w:p>
    <w:p w14:paraId="7600F585"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Ross, S.M. Peirce’s criterion for the elimination of suspect experimental data. </w:t>
      </w:r>
      <w:r w:rsidRPr="0063216A">
        <w:rPr>
          <w:rFonts w:ascii="Palatino Linotype" w:hAnsi="Palatino Linotype"/>
          <w:i/>
          <w:iCs/>
          <w:noProof/>
          <w:sz w:val="18"/>
          <w:szCs w:val="18"/>
        </w:rPr>
        <w:t>J. Eng. Technol.</w:t>
      </w:r>
      <w:r w:rsidRPr="0063216A">
        <w:rPr>
          <w:rFonts w:ascii="Palatino Linotype" w:hAnsi="Palatino Linotype"/>
          <w:noProof/>
          <w:sz w:val="18"/>
          <w:szCs w:val="18"/>
        </w:rPr>
        <w:t xml:space="preserve"> </w:t>
      </w:r>
      <w:r>
        <w:rPr>
          <w:rFonts w:ascii="Palatino Linotype" w:hAnsi="Palatino Linotype"/>
          <w:b/>
          <w:bCs/>
          <w:noProof/>
          <w:sz w:val="18"/>
          <w:szCs w:val="18"/>
        </w:rPr>
        <w:t>2003</w:t>
      </w:r>
      <w:r>
        <w:rPr>
          <w:rFonts w:ascii="Palatino Linotype" w:hAnsi="Palatino Linotype"/>
          <w:bCs/>
          <w:noProof/>
          <w:sz w:val="18"/>
          <w:szCs w:val="18"/>
        </w:rPr>
        <w:t xml:space="preserve">, </w:t>
      </w:r>
      <w:r>
        <w:rPr>
          <w:rFonts w:ascii="Palatino Linotype" w:hAnsi="Palatino Linotype"/>
          <w:bCs/>
          <w:i/>
          <w:noProof/>
          <w:sz w:val="18"/>
          <w:szCs w:val="18"/>
        </w:rPr>
        <w:t>20</w:t>
      </w:r>
      <w:r>
        <w:rPr>
          <w:rFonts w:ascii="Palatino Linotype" w:hAnsi="Palatino Linotype"/>
          <w:bCs/>
          <w:noProof/>
          <w:sz w:val="18"/>
          <w:szCs w:val="18"/>
        </w:rPr>
        <w:t>, 1–12</w:t>
      </w:r>
      <w:r w:rsidRPr="0063216A">
        <w:rPr>
          <w:rFonts w:ascii="Palatino Linotype" w:hAnsi="Palatino Linotype"/>
          <w:noProof/>
          <w:sz w:val="18"/>
          <w:szCs w:val="18"/>
        </w:rPr>
        <w:t>.</w:t>
      </w:r>
    </w:p>
    <w:p w14:paraId="1DD7DED0"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Madi, K.; Tozzi, G.; Zhang, Q.H.; Tong, J.; Cossey, A.; Au, A.; Hollis, D.; Hild, F. Computation of full-field displacements in a scaffold implant using digital volume correlation and finite element analysis. </w:t>
      </w:r>
      <w:r w:rsidRPr="0063216A">
        <w:rPr>
          <w:rFonts w:ascii="Palatino Linotype" w:hAnsi="Palatino Linotype"/>
          <w:i/>
          <w:iCs/>
          <w:noProof/>
          <w:sz w:val="18"/>
          <w:szCs w:val="18"/>
        </w:rPr>
        <w:t>Med. Eng. Phys.</w:t>
      </w:r>
      <w:r w:rsidRPr="0063216A">
        <w:rPr>
          <w:rFonts w:ascii="Palatino Linotype" w:hAnsi="Palatino Linotype"/>
          <w:noProof/>
          <w:sz w:val="18"/>
          <w:szCs w:val="18"/>
        </w:rPr>
        <w:t xml:space="preserve"> </w:t>
      </w:r>
      <w:r>
        <w:rPr>
          <w:rFonts w:ascii="Palatino Linotype" w:hAnsi="Palatino Linotype"/>
          <w:b/>
          <w:bCs/>
          <w:noProof/>
          <w:sz w:val="18"/>
          <w:szCs w:val="18"/>
        </w:rPr>
        <w:t>2013</w:t>
      </w:r>
      <w:r>
        <w:rPr>
          <w:rFonts w:ascii="Palatino Linotype" w:hAnsi="Palatino Linotype"/>
          <w:bCs/>
          <w:noProof/>
          <w:sz w:val="18"/>
          <w:szCs w:val="18"/>
        </w:rPr>
        <w:t xml:space="preserve">, </w:t>
      </w:r>
      <w:r>
        <w:rPr>
          <w:rFonts w:ascii="Palatino Linotype" w:hAnsi="Palatino Linotype"/>
          <w:bCs/>
          <w:i/>
          <w:noProof/>
          <w:sz w:val="18"/>
          <w:szCs w:val="18"/>
        </w:rPr>
        <w:t>35</w:t>
      </w:r>
      <w:r>
        <w:rPr>
          <w:rFonts w:ascii="Palatino Linotype" w:hAnsi="Palatino Linotype"/>
          <w:bCs/>
          <w:noProof/>
          <w:sz w:val="18"/>
          <w:szCs w:val="18"/>
        </w:rPr>
        <w:t>, 1298–1312</w:t>
      </w:r>
      <w:r w:rsidRPr="0063216A">
        <w:rPr>
          <w:rFonts w:ascii="Palatino Linotype" w:hAnsi="Palatino Linotype"/>
          <w:noProof/>
          <w:sz w:val="18"/>
          <w:szCs w:val="18"/>
        </w:rPr>
        <w:t>.</w:t>
      </w:r>
    </w:p>
    <w:p w14:paraId="7D8B8FD3"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Peña, M.; Ara, E.D.; Kao, A.P.; Bodey, A.J.; Karali, A.; Blunn, G.W.; Barber, A.H.; Tozzi, G.; Peña Fernández, M.; Dall’Ara, E.; et al. Preservation of bone tissue integrity with temperature control for in situ SR-microCT experiments. </w:t>
      </w:r>
      <w:r>
        <w:rPr>
          <w:rFonts w:ascii="Palatino Linotype" w:hAnsi="Palatino Linotype"/>
          <w:i/>
          <w:iCs/>
          <w:noProof/>
          <w:sz w:val="18"/>
          <w:szCs w:val="18"/>
        </w:rPr>
        <w:t>Materials</w:t>
      </w:r>
      <w:r w:rsidRPr="0063216A">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11</w:t>
      </w:r>
      <w:r>
        <w:rPr>
          <w:rFonts w:ascii="Palatino Linotype" w:hAnsi="Palatino Linotype"/>
          <w:bCs/>
          <w:noProof/>
          <w:sz w:val="18"/>
          <w:szCs w:val="18"/>
        </w:rPr>
        <w:t>, 2155</w:t>
      </w:r>
    </w:p>
    <w:p w14:paraId="6E198FAE"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D847F6">
        <w:rPr>
          <w:rFonts w:ascii="Palatino Linotype" w:hAnsi="Palatino Linotype"/>
          <w:noProof/>
          <w:sz w:val="18"/>
          <w:szCs w:val="18"/>
        </w:rPr>
        <w:t xml:space="preserve">Peña Fernández, M.; Barber, A.H.; Blunn, G.W.; Tozzi, G. Optimisation of digital volume correlation computation in SR-microCT images of trabecular bone and bone-biomaterial systems. </w:t>
      </w:r>
      <w:r w:rsidRPr="00D847F6">
        <w:rPr>
          <w:rFonts w:ascii="Palatino Linotype" w:hAnsi="Palatino Linotype"/>
          <w:i/>
          <w:iCs/>
          <w:noProof/>
          <w:sz w:val="18"/>
          <w:szCs w:val="18"/>
        </w:rPr>
        <w:t>J. Microsc.</w:t>
      </w:r>
      <w:r w:rsidRPr="00D847F6">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272</w:t>
      </w:r>
      <w:r>
        <w:rPr>
          <w:rFonts w:ascii="Palatino Linotype" w:hAnsi="Palatino Linotype"/>
          <w:bCs/>
          <w:noProof/>
          <w:sz w:val="18"/>
          <w:szCs w:val="18"/>
        </w:rPr>
        <w:t>, 213–228</w:t>
      </w:r>
      <w:r w:rsidRPr="00D847F6">
        <w:rPr>
          <w:rFonts w:ascii="Palatino Linotype" w:hAnsi="Palatino Linotype"/>
          <w:bCs/>
          <w:noProof/>
          <w:sz w:val="18"/>
          <w:szCs w:val="18"/>
          <w:lang w:val="en-US"/>
        </w:rPr>
        <w:t>.</w:t>
      </w:r>
    </w:p>
    <w:p w14:paraId="65A9F421"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Palanca, M.; Cristofolini, L.; Dall’Ara, E.; Curto, M.; Innocente, F.; Danesi, V.; Tozzi, G. Digital volume correlation can be used to estimate local strains in natural and augmented verteb</w:t>
      </w:r>
      <w:r w:rsidRPr="00D847F6">
        <w:rPr>
          <w:rFonts w:ascii="Palatino Linotype" w:hAnsi="Palatino Linotype"/>
          <w:noProof/>
          <w:sz w:val="18"/>
          <w:szCs w:val="18"/>
        </w:rPr>
        <w:t>rae: An or</w:t>
      </w:r>
      <w:r w:rsidRPr="0063216A">
        <w:rPr>
          <w:rFonts w:ascii="Palatino Linotype" w:hAnsi="Palatino Linotype"/>
          <w:noProof/>
          <w:sz w:val="18"/>
          <w:szCs w:val="18"/>
        </w:rPr>
        <w:t xml:space="preserve">gan-level study.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2016</w:t>
      </w:r>
      <w:r>
        <w:rPr>
          <w:rFonts w:ascii="Palatino Linotype" w:hAnsi="Palatino Linotype"/>
          <w:bCs/>
          <w:noProof/>
          <w:sz w:val="18"/>
          <w:szCs w:val="18"/>
        </w:rPr>
        <w:t xml:space="preserve">, </w:t>
      </w:r>
      <w:r>
        <w:rPr>
          <w:rFonts w:ascii="Palatino Linotype" w:hAnsi="Palatino Linotype"/>
          <w:bCs/>
          <w:i/>
          <w:noProof/>
          <w:sz w:val="18"/>
          <w:szCs w:val="18"/>
        </w:rPr>
        <w:t>49</w:t>
      </w:r>
      <w:r>
        <w:rPr>
          <w:rFonts w:ascii="Palatino Linotype" w:hAnsi="Palatino Linotype"/>
          <w:bCs/>
          <w:noProof/>
          <w:sz w:val="18"/>
          <w:szCs w:val="18"/>
        </w:rPr>
        <w:t>, 3882–3890</w:t>
      </w:r>
      <w:r w:rsidRPr="0063216A">
        <w:rPr>
          <w:rFonts w:ascii="Palatino Linotype" w:hAnsi="Palatino Linotype"/>
          <w:noProof/>
          <w:sz w:val="18"/>
          <w:szCs w:val="18"/>
        </w:rPr>
        <w:t>.</w:t>
      </w:r>
    </w:p>
    <w:p w14:paraId="440781CF"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Friess, W.; Uludag, H.; Foskett, S.; Biron, R.; Sargeant, C. Characterization of absorbable collagen sponges as recombinant human bone morphogenetic protein-2 carriers. </w:t>
      </w:r>
      <w:r w:rsidRPr="0063216A">
        <w:rPr>
          <w:rFonts w:ascii="Palatino Linotype" w:hAnsi="Palatino Linotype"/>
          <w:i/>
          <w:iCs/>
          <w:noProof/>
          <w:sz w:val="18"/>
          <w:szCs w:val="18"/>
        </w:rPr>
        <w:t>Int. J. Pharm.</w:t>
      </w:r>
      <w:r w:rsidRPr="0063216A">
        <w:rPr>
          <w:rFonts w:ascii="Palatino Linotype" w:hAnsi="Palatino Linotype"/>
          <w:noProof/>
          <w:sz w:val="18"/>
          <w:szCs w:val="18"/>
        </w:rPr>
        <w:t xml:space="preserve"> </w:t>
      </w:r>
      <w:r>
        <w:rPr>
          <w:rFonts w:ascii="Palatino Linotype" w:hAnsi="Palatino Linotype"/>
          <w:b/>
          <w:bCs/>
          <w:noProof/>
          <w:sz w:val="18"/>
          <w:szCs w:val="18"/>
        </w:rPr>
        <w:t>1999</w:t>
      </w:r>
      <w:r>
        <w:rPr>
          <w:rFonts w:ascii="Palatino Linotype" w:hAnsi="Palatino Linotype"/>
          <w:bCs/>
          <w:noProof/>
          <w:sz w:val="18"/>
          <w:szCs w:val="18"/>
        </w:rPr>
        <w:t xml:space="preserve">, </w:t>
      </w:r>
      <w:r>
        <w:rPr>
          <w:rFonts w:ascii="Palatino Linotype" w:hAnsi="Palatino Linotype"/>
          <w:bCs/>
          <w:i/>
          <w:noProof/>
          <w:sz w:val="18"/>
          <w:szCs w:val="18"/>
        </w:rPr>
        <w:t>185</w:t>
      </w:r>
      <w:r>
        <w:rPr>
          <w:rFonts w:ascii="Palatino Linotype" w:hAnsi="Palatino Linotype"/>
          <w:bCs/>
          <w:noProof/>
          <w:sz w:val="18"/>
          <w:szCs w:val="18"/>
        </w:rPr>
        <w:t>, 51–60</w:t>
      </w:r>
      <w:r w:rsidRPr="0063216A">
        <w:rPr>
          <w:rFonts w:ascii="Palatino Linotype" w:hAnsi="Palatino Linotype"/>
          <w:noProof/>
          <w:sz w:val="18"/>
          <w:szCs w:val="18"/>
        </w:rPr>
        <w:t>.</w:t>
      </w:r>
    </w:p>
    <w:p w14:paraId="6F0BCAA6"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Kowalczewski, C.J.; Saul, J.M. Biomaterials for the delivery of growth factors and other therapeutic agents in tissue engineering approaches to bone regeneration. </w:t>
      </w:r>
      <w:r w:rsidRPr="0063216A">
        <w:rPr>
          <w:rFonts w:ascii="Palatino Linotype" w:hAnsi="Palatino Linotype"/>
          <w:i/>
          <w:iCs/>
          <w:noProof/>
          <w:sz w:val="18"/>
          <w:szCs w:val="18"/>
        </w:rPr>
        <w:t>Front. Pharmacol.</w:t>
      </w:r>
      <w:r w:rsidRPr="0063216A">
        <w:rPr>
          <w:rFonts w:ascii="Palatino Linotype" w:hAnsi="Palatino Linotype"/>
          <w:noProof/>
          <w:sz w:val="18"/>
          <w:szCs w:val="18"/>
        </w:rPr>
        <w:t xml:space="preserve"> </w:t>
      </w:r>
      <w:r>
        <w:rPr>
          <w:rFonts w:ascii="Palatino Linotype" w:hAnsi="Palatino Linotype"/>
          <w:b/>
          <w:bCs/>
          <w:noProof/>
          <w:sz w:val="18"/>
          <w:szCs w:val="18"/>
        </w:rPr>
        <w:t>2018</w:t>
      </w:r>
      <w:r>
        <w:rPr>
          <w:rFonts w:ascii="Palatino Linotype" w:hAnsi="Palatino Linotype"/>
          <w:bCs/>
          <w:noProof/>
          <w:sz w:val="18"/>
          <w:szCs w:val="18"/>
        </w:rPr>
        <w:t xml:space="preserve">, </w:t>
      </w:r>
      <w:r>
        <w:rPr>
          <w:rFonts w:ascii="Palatino Linotype" w:hAnsi="Palatino Linotype"/>
          <w:bCs/>
          <w:i/>
          <w:noProof/>
          <w:sz w:val="18"/>
          <w:szCs w:val="18"/>
        </w:rPr>
        <w:t>9</w:t>
      </w:r>
      <w:r>
        <w:rPr>
          <w:rFonts w:ascii="Palatino Linotype" w:hAnsi="Palatino Linotype"/>
          <w:bCs/>
          <w:noProof/>
          <w:sz w:val="18"/>
          <w:szCs w:val="18"/>
        </w:rPr>
        <w:t>, 1–15</w:t>
      </w:r>
      <w:r w:rsidRPr="0063216A">
        <w:rPr>
          <w:rFonts w:ascii="Palatino Linotype" w:hAnsi="Palatino Linotype"/>
          <w:noProof/>
          <w:sz w:val="18"/>
          <w:szCs w:val="18"/>
        </w:rPr>
        <w:t>.</w:t>
      </w:r>
    </w:p>
    <w:p w14:paraId="326A2416"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2"/>
          <w:sz w:val="18"/>
          <w:szCs w:val="18"/>
        </w:rPr>
      </w:pPr>
      <w:r w:rsidRPr="00D847F6">
        <w:rPr>
          <w:rFonts w:ascii="Palatino Linotype" w:hAnsi="Palatino Linotype"/>
          <w:noProof/>
          <w:spacing w:val="-2"/>
          <w:sz w:val="18"/>
          <w:szCs w:val="18"/>
        </w:rPr>
        <w:t xml:space="preserve">Cowin, S.C. The relationship between the elasticity tensor and the fabric tensor. </w:t>
      </w:r>
      <w:r w:rsidRPr="00D847F6">
        <w:rPr>
          <w:rFonts w:ascii="Palatino Linotype" w:hAnsi="Palatino Linotype"/>
          <w:i/>
          <w:iCs/>
          <w:noProof/>
          <w:spacing w:val="-2"/>
          <w:sz w:val="18"/>
          <w:szCs w:val="18"/>
        </w:rPr>
        <w:t>Mech. Mater.</w:t>
      </w:r>
      <w:r w:rsidRPr="00D847F6">
        <w:rPr>
          <w:rFonts w:ascii="Palatino Linotype" w:hAnsi="Palatino Linotype"/>
          <w:noProof/>
          <w:spacing w:val="-2"/>
          <w:sz w:val="18"/>
          <w:szCs w:val="18"/>
        </w:rPr>
        <w:t xml:space="preserve"> </w:t>
      </w:r>
      <w:r>
        <w:rPr>
          <w:rFonts w:ascii="Palatino Linotype" w:hAnsi="Palatino Linotype"/>
          <w:b/>
          <w:bCs/>
          <w:noProof/>
          <w:spacing w:val="-2"/>
          <w:sz w:val="18"/>
          <w:szCs w:val="18"/>
        </w:rPr>
        <w:t>1985</w:t>
      </w:r>
      <w:r>
        <w:rPr>
          <w:rFonts w:ascii="Palatino Linotype" w:hAnsi="Palatino Linotype"/>
          <w:bCs/>
          <w:noProof/>
          <w:spacing w:val="-2"/>
          <w:sz w:val="18"/>
          <w:szCs w:val="18"/>
        </w:rPr>
        <w:t xml:space="preserve">, </w:t>
      </w:r>
      <w:r>
        <w:rPr>
          <w:rFonts w:ascii="Palatino Linotype" w:hAnsi="Palatino Linotype"/>
          <w:bCs/>
          <w:i/>
          <w:noProof/>
          <w:spacing w:val="-2"/>
          <w:sz w:val="18"/>
          <w:szCs w:val="18"/>
        </w:rPr>
        <w:t>4</w:t>
      </w:r>
      <w:r>
        <w:rPr>
          <w:rFonts w:ascii="Palatino Linotype" w:hAnsi="Palatino Linotype"/>
          <w:bCs/>
          <w:noProof/>
          <w:spacing w:val="-2"/>
          <w:sz w:val="18"/>
          <w:szCs w:val="18"/>
        </w:rPr>
        <w:t>, 137–147</w:t>
      </w:r>
      <w:r w:rsidRPr="00D847F6">
        <w:rPr>
          <w:rFonts w:ascii="Palatino Linotype" w:hAnsi="Palatino Linotype"/>
          <w:noProof/>
          <w:spacing w:val="-2"/>
          <w:sz w:val="18"/>
          <w:szCs w:val="18"/>
        </w:rPr>
        <w:t>.</w:t>
      </w:r>
    </w:p>
    <w:p w14:paraId="2CF73B7B"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Zysset, P.K.; Curnier, A. An alternative model for anisotropic elasticity based on fabric tensors. </w:t>
      </w:r>
      <w:r w:rsidRPr="0063216A">
        <w:rPr>
          <w:rFonts w:ascii="Palatino Linotype" w:hAnsi="Palatino Linotype"/>
          <w:i/>
          <w:iCs/>
          <w:noProof/>
          <w:sz w:val="18"/>
          <w:szCs w:val="18"/>
        </w:rPr>
        <w:t>Mech. Mater.</w:t>
      </w:r>
      <w:r w:rsidRPr="0063216A">
        <w:rPr>
          <w:rFonts w:ascii="Palatino Linotype" w:hAnsi="Palatino Linotype"/>
          <w:noProof/>
          <w:sz w:val="18"/>
          <w:szCs w:val="18"/>
        </w:rPr>
        <w:t xml:space="preserve"> </w:t>
      </w:r>
      <w:r>
        <w:rPr>
          <w:rFonts w:ascii="Palatino Linotype" w:hAnsi="Palatino Linotype"/>
          <w:b/>
          <w:bCs/>
          <w:noProof/>
          <w:sz w:val="18"/>
          <w:szCs w:val="18"/>
        </w:rPr>
        <w:t>1995</w:t>
      </w:r>
      <w:r>
        <w:rPr>
          <w:rFonts w:ascii="Palatino Linotype" w:hAnsi="Palatino Linotype"/>
          <w:bCs/>
          <w:noProof/>
          <w:sz w:val="18"/>
          <w:szCs w:val="18"/>
        </w:rPr>
        <w:t xml:space="preserve">, </w:t>
      </w:r>
      <w:r>
        <w:rPr>
          <w:rFonts w:ascii="Palatino Linotype" w:hAnsi="Palatino Linotype"/>
          <w:bCs/>
          <w:i/>
          <w:noProof/>
          <w:sz w:val="18"/>
          <w:szCs w:val="18"/>
        </w:rPr>
        <w:t>21</w:t>
      </w:r>
      <w:r>
        <w:rPr>
          <w:rFonts w:ascii="Palatino Linotype" w:hAnsi="Palatino Linotype"/>
          <w:bCs/>
          <w:noProof/>
          <w:sz w:val="18"/>
          <w:szCs w:val="18"/>
        </w:rPr>
        <w:t>, 243–250</w:t>
      </w:r>
      <w:r w:rsidRPr="0063216A">
        <w:rPr>
          <w:rFonts w:ascii="Palatino Linotype" w:hAnsi="Palatino Linotype"/>
          <w:noProof/>
          <w:sz w:val="18"/>
          <w:szCs w:val="18"/>
        </w:rPr>
        <w:t>.</w:t>
      </w:r>
    </w:p>
    <w:p w14:paraId="23B1AF35"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Shi, X.; Wang, X.; Niebur, G.L. Effects of Loading Orientation on the Morphology of the Predicted Yielded Regions in Trabecular Bone. </w:t>
      </w:r>
      <w:r w:rsidRPr="0063216A">
        <w:rPr>
          <w:rFonts w:ascii="Palatino Linotype" w:hAnsi="Palatino Linotype"/>
          <w:i/>
          <w:iCs/>
          <w:noProof/>
          <w:sz w:val="18"/>
          <w:szCs w:val="18"/>
        </w:rPr>
        <w:t>Ann. Biomed. Eng.</w:t>
      </w:r>
      <w:r w:rsidRPr="0063216A">
        <w:rPr>
          <w:rFonts w:ascii="Palatino Linotype" w:hAnsi="Palatino Linotype"/>
          <w:noProof/>
          <w:sz w:val="18"/>
          <w:szCs w:val="18"/>
        </w:rPr>
        <w:t xml:space="preserve"> </w:t>
      </w:r>
      <w:r>
        <w:rPr>
          <w:rFonts w:ascii="Palatino Linotype" w:hAnsi="Palatino Linotype"/>
          <w:b/>
          <w:bCs/>
          <w:noProof/>
          <w:sz w:val="18"/>
          <w:szCs w:val="18"/>
        </w:rPr>
        <w:t>2009</w:t>
      </w:r>
      <w:r>
        <w:rPr>
          <w:rFonts w:ascii="Palatino Linotype" w:hAnsi="Palatino Linotype"/>
          <w:bCs/>
          <w:noProof/>
          <w:sz w:val="18"/>
          <w:szCs w:val="18"/>
        </w:rPr>
        <w:t xml:space="preserve">, </w:t>
      </w:r>
      <w:r>
        <w:rPr>
          <w:rFonts w:ascii="Palatino Linotype" w:hAnsi="Palatino Linotype"/>
          <w:bCs/>
          <w:i/>
          <w:noProof/>
          <w:sz w:val="18"/>
          <w:szCs w:val="18"/>
        </w:rPr>
        <w:t>37</w:t>
      </w:r>
      <w:r>
        <w:rPr>
          <w:rFonts w:ascii="Palatino Linotype" w:hAnsi="Palatino Linotype"/>
          <w:bCs/>
          <w:noProof/>
          <w:sz w:val="18"/>
          <w:szCs w:val="18"/>
        </w:rPr>
        <w:t>, 354–362</w:t>
      </w:r>
      <w:r w:rsidRPr="0063216A">
        <w:rPr>
          <w:rFonts w:ascii="Palatino Linotype" w:hAnsi="Palatino Linotype"/>
          <w:noProof/>
          <w:sz w:val="18"/>
          <w:szCs w:val="18"/>
        </w:rPr>
        <w:t>.</w:t>
      </w:r>
    </w:p>
    <w:p w14:paraId="729B4FB4"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Öhman, C.; Baleani, M.; Perilli, E.; Dall’Ara, E.; Tassani, S.; Baruffaldi, F.; Viceconti, M. Mechanical testing of cancellous bone from the femoral head: Experimental errors due to off-axis measurements.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2007</w:t>
      </w:r>
      <w:r>
        <w:rPr>
          <w:rFonts w:ascii="Palatino Linotype" w:hAnsi="Palatino Linotype"/>
          <w:bCs/>
          <w:noProof/>
          <w:sz w:val="18"/>
          <w:szCs w:val="18"/>
        </w:rPr>
        <w:t xml:space="preserve">, </w:t>
      </w:r>
      <w:r>
        <w:rPr>
          <w:rFonts w:ascii="Palatino Linotype" w:hAnsi="Palatino Linotype"/>
          <w:bCs/>
          <w:i/>
          <w:noProof/>
          <w:sz w:val="18"/>
          <w:szCs w:val="18"/>
        </w:rPr>
        <w:t>40</w:t>
      </w:r>
      <w:r>
        <w:rPr>
          <w:rFonts w:ascii="Palatino Linotype" w:hAnsi="Palatino Linotype"/>
          <w:bCs/>
          <w:noProof/>
          <w:sz w:val="18"/>
          <w:szCs w:val="18"/>
        </w:rPr>
        <w:t>, 2426–2433</w:t>
      </w:r>
      <w:r w:rsidRPr="0063216A">
        <w:rPr>
          <w:rFonts w:ascii="Palatino Linotype" w:hAnsi="Palatino Linotype"/>
          <w:noProof/>
          <w:sz w:val="18"/>
          <w:szCs w:val="18"/>
        </w:rPr>
        <w:t>.</w:t>
      </w:r>
    </w:p>
    <w:p w14:paraId="4B4DA939"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Morgan, E.F.; Keaveny, T.M. Dependence of yield strain of human trabecular bone on anatomic site.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2001</w:t>
      </w:r>
      <w:r>
        <w:rPr>
          <w:rFonts w:ascii="Palatino Linotype" w:hAnsi="Palatino Linotype"/>
          <w:bCs/>
          <w:noProof/>
          <w:sz w:val="18"/>
          <w:szCs w:val="18"/>
        </w:rPr>
        <w:t xml:space="preserve">, </w:t>
      </w:r>
      <w:r>
        <w:rPr>
          <w:rFonts w:ascii="Palatino Linotype" w:hAnsi="Palatino Linotype"/>
          <w:bCs/>
          <w:i/>
          <w:noProof/>
          <w:sz w:val="18"/>
          <w:szCs w:val="18"/>
        </w:rPr>
        <w:t>34</w:t>
      </w:r>
      <w:r>
        <w:rPr>
          <w:rFonts w:ascii="Palatino Linotype" w:hAnsi="Palatino Linotype"/>
          <w:bCs/>
          <w:noProof/>
          <w:sz w:val="18"/>
          <w:szCs w:val="18"/>
        </w:rPr>
        <w:t>, 569–577</w:t>
      </w:r>
      <w:r w:rsidRPr="0063216A">
        <w:rPr>
          <w:rFonts w:ascii="Palatino Linotype" w:hAnsi="Palatino Linotype"/>
          <w:noProof/>
          <w:sz w:val="18"/>
          <w:szCs w:val="18"/>
        </w:rPr>
        <w:t>.</w:t>
      </w:r>
    </w:p>
    <w:p w14:paraId="7D61BADB"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Morgan, E.F.; Bayraktar, H.H.; Keaveny, T.M. Trabecular bone modulus–density relationships depend on anatomic site.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2003</w:t>
      </w:r>
      <w:r>
        <w:rPr>
          <w:rFonts w:ascii="Palatino Linotype" w:hAnsi="Palatino Linotype"/>
          <w:bCs/>
          <w:noProof/>
          <w:sz w:val="18"/>
          <w:szCs w:val="18"/>
        </w:rPr>
        <w:t xml:space="preserve">, </w:t>
      </w:r>
      <w:r>
        <w:rPr>
          <w:rFonts w:ascii="Palatino Linotype" w:hAnsi="Palatino Linotype"/>
          <w:bCs/>
          <w:i/>
          <w:noProof/>
          <w:sz w:val="18"/>
          <w:szCs w:val="18"/>
        </w:rPr>
        <w:t>36</w:t>
      </w:r>
      <w:r>
        <w:rPr>
          <w:rFonts w:ascii="Palatino Linotype" w:hAnsi="Palatino Linotype"/>
          <w:bCs/>
          <w:noProof/>
          <w:sz w:val="18"/>
          <w:szCs w:val="18"/>
        </w:rPr>
        <w:t>, 897–904</w:t>
      </w:r>
      <w:r w:rsidRPr="0063216A">
        <w:rPr>
          <w:rFonts w:ascii="Palatino Linotype" w:hAnsi="Palatino Linotype"/>
          <w:noProof/>
          <w:sz w:val="18"/>
          <w:szCs w:val="18"/>
        </w:rPr>
        <w:t>.</w:t>
      </w:r>
    </w:p>
    <w:p w14:paraId="294A6AE1"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Nazarian, A.; Muller, J.; Zurakowski, D.; Müller, R.; Snyder, B.D. Densitometric, morphometric and mechanical distributions in the human proximal femur.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2007</w:t>
      </w:r>
      <w:r>
        <w:rPr>
          <w:rFonts w:ascii="Palatino Linotype" w:hAnsi="Palatino Linotype"/>
          <w:bCs/>
          <w:noProof/>
          <w:sz w:val="18"/>
          <w:szCs w:val="18"/>
        </w:rPr>
        <w:t xml:space="preserve">, </w:t>
      </w:r>
      <w:r>
        <w:rPr>
          <w:rFonts w:ascii="Palatino Linotype" w:hAnsi="Palatino Linotype"/>
          <w:bCs/>
          <w:i/>
          <w:noProof/>
          <w:sz w:val="18"/>
          <w:szCs w:val="18"/>
        </w:rPr>
        <w:t>40</w:t>
      </w:r>
      <w:r>
        <w:rPr>
          <w:rFonts w:ascii="Palatino Linotype" w:hAnsi="Palatino Linotype"/>
          <w:bCs/>
          <w:noProof/>
          <w:sz w:val="18"/>
          <w:szCs w:val="18"/>
        </w:rPr>
        <w:t>, 2573–2579</w:t>
      </w:r>
      <w:r w:rsidRPr="0063216A">
        <w:rPr>
          <w:rFonts w:ascii="Palatino Linotype" w:hAnsi="Palatino Linotype"/>
          <w:noProof/>
          <w:sz w:val="18"/>
          <w:szCs w:val="18"/>
        </w:rPr>
        <w:t>.</w:t>
      </w:r>
    </w:p>
    <w:p w14:paraId="26F31561"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Linde, F.; Hvid, I.; Madsen, F. The effect of specimen geometry on the mechanicla behaviour of trabecular bone specimens.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1992</w:t>
      </w:r>
      <w:r>
        <w:rPr>
          <w:rFonts w:ascii="Palatino Linotype" w:hAnsi="Palatino Linotype"/>
          <w:bCs/>
          <w:noProof/>
          <w:sz w:val="18"/>
          <w:szCs w:val="18"/>
        </w:rPr>
        <w:t xml:space="preserve">, </w:t>
      </w:r>
      <w:r>
        <w:rPr>
          <w:rFonts w:ascii="Palatino Linotype" w:hAnsi="Palatino Linotype"/>
          <w:bCs/>
          <w:i/>
          <w:noProof/>
          <w:sz w:val="18"/>
          <w:szCs w:val="18"/>
        </w:rPr>
        <w:t>25</w:t>
      </w:r>
      <w:r>
        <w:rPr>
          <w:rFonts w:ascii="Palatino Linotype" w:hAnsi="Palatino Linotype"/>
          <w:bCs/>
          <w:noProof/>
          <w:sz w:val="18"/>
          <w:szCs w:val="18"/>
        </w:rPr>
        <w:t>, 359–368</w:t>
      </w:r>
      <w:r w:rsidRPr="0063216A">
        <w:rPr>
          <w:rFonts w:ascii="Palatino Linotype" w:hAnsi="Palatino Linotype"/>
          <w:noProof/>
          <w:sz w:val="18"/>
          <w:szCs w:val="18"/>
        </w:rPr>
        <w:t>.</w:t>
      </w:r>
    </w:p>
    <w:p w14:paraId="5687E355"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Harrison, N.M.; McHugh, P.E. Comparison of trabecular bone behavior in core and whole bone samples using high-resolution modeling of a vertebral body. </w:t>
      </w:r>
      <w:r w:rsidRPr="0063216A">
        <w:rPr>
          <w:rFonts w:ascii="Palatino Linotype" w:hAnsi="Palatino Linotype"/>
          <w:i/>
          <w:iCs/>
          <w:noProof/>
          <w:sz w:val="18"/>
          <w:szCs w:val="18"/>
        </w:rPr>
        <w:t>Biomech. Model. Mechanobiol.</w:t>
      </w:r>
      <w:r w:rsidRPr="0063216A">
        <w:rPr>
          <w:rFonts w:ascii="Palatino Linotype" w:hAnsi="Palatino Linotype"/>
          <w:noProof/>
          <w:sz w:val="18"/>
          <w:szCs w:val="18"/>
        </w:rPr>
        <w:t xml:space="preserve"> </w:t>
      </w:r>
      <w:r>
        <w:rPr>
          <w:rFonts w:ascii="Palatino Linotype" w:hAnsi="Palatino Linotype"/>
          <w:b/>
          <w:bCs/>
          <w:noProof/>
          <w:sz w:val="18"/>
          <w:szCs w:val="18"/>
        </w:rPr>
        <w:t>2010</w:t>
      </w:r>
      <w:r>
        <w:rPr>
          <w:rFonts w:ascii="Palatino Linotype" w:hAnsi="Palatino Linotype"/>
          <w:bCs/>
          <w:noProof/>
          <w:sz w:val="18"/>
          <w:szCs w:val="18"/>
        </w:rPr>
        <w:t xml:space="preserve">, </w:t>
      </w:r>
      <w:r>
        <w:rPr>
          <w:rFonts w:ascii="Palatino Linotype" w:hAnsi="Palatino Linotype"/>
          <w:bCs/>
          <w:i/>
          <w:noProof/>
          <w:sz w:val="18"/>
          <w:szCs w:val="18"/>
        </w:rPr>
        <w:t>9</w:t>
      </w:r>
      <w:r>
        <w:rPr>
          <w:rFonts w:ascii="Palatino Linotype" w:hAnsi="Palatino Linotype"/>
          <w:bCs/>
          <w:noProof/>
          <w:sz w:val="18"/>
          <w:szCs w:val="18"/>
        </w:rPr>
        <w:t>, 469–480</w:t>
      </w:r>
      <w:r w:rsidRPr="0063216A">
        <w:rPr>
          <w:rFonts w:ascii="Palatino Linotype" w:hAnsi="Palatino Linotype"/>
          <w:noProof/>
          <w:sz w:val="18"/>
          <w:szCs w:val="18"/>
        </w:rPr>
        <w:t>.</w:t>
      </w:r>
    </w:p>
    <w:p w14:paraId="36291D74"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Un, K.; Bevill, G.; Keaveny, T.M. The effects of side-artifacts on the elastic modulus of trabecular bone.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2006</w:t>
      </w:r>
      <w:r>
        <w:rPr>
          <w:rFonts w:ascii="Palatino Linotype" w:hAnsi="Palatino Linotype"/>
          <w:bCs/>
          <w:noProof/>
          <w:sz w:val="18"/>
          <w:szCs w:val="18"/>
        </w:rPr>
        <w:t xml:space="preserve">, </w:t>
      </w:r>
      <w:r>
        <w:rPr>
          <w:rFonts w:ascii="Palatino Linotype" w:hAnsi="Palatino Linotype"/>
          <w:bCs/>
          <w:i/>
          <w:noProof/>
          <w:sz w:val="18"/>
          <w:szCs w:val="18"/>
        </w:rPr>
        <w:t>39</w:t>
      </w:r>
      <w:r>
        <w:rPr>
          <w:rFonts w:ascii="Palatino Linotype" w:hAnsi="Palatino Linotype"/>
          <w:bCs/>
          <w:noProof/>
          <w:sz w:val="18"/>
          <w:szCs w:val="18"/>
        </w:rPr>
        <w:t>, 1955–1963</w:t>
      </w:r>
      <w:r w:rsidRPr="0063216A">
        <w:rPr>
          <w:rFonts w:ascii="Palatino Linotype" w:hAnsi="Palatino Linotype"/>
          <w:noProof/>
          <w:sz w:val="18"/>
          <w:szCs w:val="18"/>
        </w:rPr>
        <w:t>.</w:t>
      </w:r>
    </w:p>
    <w:p w14:paraId="625BC25B"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4"/>
          <w:sz w:val="18"/>
          <w:szCs w:val="18"/>
        </w:rPr>
      </w:pPr>
      <w:r w:rsidRPr="00D847F6">
        <w:rPr>
          <w:rFonts w:ascii="Palatino Linotype" w:hAnsi="Palatino Linotype"/>
          <w:noProof/>
          <w:spacing w:val="-4"/>
          <w:sz w:val="18"/>
          <w:szCs w:val="18"/>
        </w:rPr>
        <w:t xml:space="preserve">Ehrlich, P.J.; Lanyon, L.E. Mechanical strain and bone cell function: A review. </w:t>
      </w:r>
      <w:r w:rsidRPr="00D847F6">
        <w:rPr>
          <w:rFonts w:ascii="Palatino Linotype" w:hAnsi="Palatino Linotype"/>
          <w:i/>
          <w:iCs/>
          <w:noProof/>
          <w:spacing w:val="-4"/>
          <w:sz w:val="18"/>
          <w:szCs w:val="18"/>
          <w:lang w:val="en-US"/>
        </w:rPr>
        <w:t xml:space="preserve">Osteoporos. </w:t>
      </w:r>
      <w:r w:rsidRPr="00D847F6">
        <w:rPr>
          <w:rFonts w:ascii="Palatino Linotype" w:hAnsi="Palatino Linotype"/>
          <w:i/>
          <w:iCs/>
          <w:noProof/>
          <w:spacing w:val="-4"/>
          <w:sz w:val="18"/>
          <w:szCs w:val="18"/>
        </w:rPr>
        <w:t>Int.</w:t>
      </w:r>
      <w:r w:rsidRPr="00D847F6">
        <w:rPr>
          <w:rFonts w:ascii="Palatino Linotype" w:hAnsi="Palatino Linotype"/>
          <w:noProof/>
          <w:spacing w:val="-4"/>
          <w:sz w:val="18"/>
          <w:szCs w:val="18"/>
        </w:rPr>
        <w:t xml:space="preserve"> </w:t>
      </w:r>
      <w:r>
        <w:rPr>
          <w:rFonts w:ascii="Palatino Linotype" w:hAnsi="Palatino Linotype"/>
          <w:b/>
          <w:bCs/>
          <w:noProof/>
          <w:spacing w:val="-4"/>
          <w:sz w:val="18"/>
          <w:szCs w:val="18"/>
        </w:rPr>
        <w:t>2002</w:t>
      </w:r>
      <w:r>
        <w:rPr>
          <w:rFonts w:ascii="Palatino Linotype" w:hAnsi="Palatino Linotype"/>
          <w:bCs/>
          <w:noProof/>
          <w:spacing w:val="-4"/>
          <w:sz w:val="18"/>
          <w:szCs w:val="18"/>
        </w:rPr>
        <w:t xml:space="preserve">, </w:t>
      </w:r>
      <w:r>
        <w:rPr>
          <w:rFonts w:ascii="Palatino Linotype" w:hAnsi="Palatino Linotype"/>
          <w:bCs/>
          <w:i/>
          <w:noProof/>
          <w:spacing w:val="-4"/>
          <w:sz w:val="18"/>
          <w:szCs w:val="18"/>
        </w:rPr>
        <w:t>13</w:t>
      </w:r>
      <w:r>
        <w:rPr>
          <w:rFonts w:ascii="Palatino Linotype" w:hAnsi="Palatino Linotype"/>
          <w:bCs/>
          <w:noProof/>
          <w:spacing w:val="-4"/>
          <w:sz w:val="18"/>
          <w:szCs w:val="18"/>
        </w:rPr>
        <w:t>, 688–700</w:t>
      </w:r>
      <w:r w:rsidRPr="00D847F6">
        <w:rPr>
          <w:rFonts w:ascii="Palatino Linotype" w:hAnsi="Palatino Linotype"/>
          <w:noProof/>
          <w:spacing w:val="-4"/>
          <w:sz w:val="18"/>
          <w:szCs w:val="18"/>
        </w:rPr>
        <w:t>.</w:t>
      </w:r>
    </w:p>
    <w:p w14:paraId="753C0761"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2"/>
          <w:sz w:val="18"/>
          <w:szCs w:val="18"/>
        </w:rPr>
      </w:pPr>
      <w:r w:rsidRPr="00D847F6">
        <w:rPr>
          <w:rFonts w:ascii="Palatino Linotype" w:hAnsi="Palatino Linotype"/>
          <w:noProof/>
          <w:spacing w:val="-2"/>
          <w:sz w:val="18"/>
          <w:szCs w:val="18"/>
        </w:rPr>
        <w:t xml:space="preserve">Bayraktar, H.H.; Morgan, E.F.; Niebur, G.L.; Morris, G.E.; Wong, E.K.; Keaveny, T.M. Comparison of the elastic and yield properties of human femoral trabecular and cortical bone tissue. </w:t>
      </w:r>
      <w:r w:rsidRPr="00D847F6">
        <w:rPr>
          <w:rFonts w:ascii="Palatino Linotype" w:hAnsi="Palatino Linotype"/>
          <w:i/>
          <w:iCs/>
          <w:noProof/>
          <w:spacing w:val="-2"/>
          <w:sz w:val="18"/>
          <w:szCs w:val="18"/>
        </w:rPr>
        <w:t>J. Biomech.</w:t>
      </w:r>
      <w:r w:rsidRPr="00D847F6">
        <w:rPr>
          <w:rFonts w:ascii="Palatino Linotype" w:hAnsi="Palatino Linotype"/>
          <w:noProof/>
          <w:spacing w:val="-2"/>
          <w:sz w:val="18"/>
          <w:szCs w:val="18"/>
        </w:rPr>
        <w:t xml:space="preserve"> </w:t>
      </w:r>
      <w:r>
        <w:rPr>
          <w:rFonts w:ascii="Palatino Linotype" w:hAnsi="Palatino Linotype"/>
          <w:b/>
          <w:bCs/>
          <w:noProof/>
          <w:spacing w:val="-2"/>
          <w:sz w:val="18"/>
          <w:szCs w:val="18"/>
        </w:rPr>
        <w:t>2004</w:t>
      </w:r>
      <w:r>
        <w:rPr>
          <w:rFonts w:ascii="Palatino Linotype" w:hAnsi="Palatino Linotype"/>
          <w:bCs/>
          <w:noProof/>
          <w:spacing w:val="-2"/>
          <w:sz w:val="18"/>
          <w:szCs w:val="18"/>
        </w:rPr>
        <w:t xml:space="preserve">, </w:t>
      </w:r>
      <w:r>
        <w:rPr>
          <w:rFonts w:ascii="Palatino Linotype" w:hAnsi="Palatino Linotype"/>
          <w:bCs/>
          <w:i/>
          <w:noProof/>
          <w:spacing w:val="-2"/>
          <w:sz w:val="18"/>
          <w:szCs w:val="18"/>
        </w:rPr>
        <w:t>37</w:t>
      </w:r>
      <w:r>
        <w:rPr>
          <w:rFonts w:ascii="Palatino Linotype" w:hAnsi="Palatino Linotype"/>
          <w:bCs/>
          <w:noProof/>
          <w:spacing w:val="-2"/>
          <w:sz w:val="18"/>
          <w:szCs w:val="18"/>
        </w:rPr>
        <w:t>, 27–35</w:t>
      </w:r>
      <w:r w:rsidRPr="00D847F6">
        <w:rPr>
          <w:rFonts w:ascii="Palatino Linotype" w:hAnsi="Palatino Linotype"/>
          <w:noProof/>
          <w:spacing w:val="-2"/>
          <w:sz w:val="18"/>
          <w:szCs w:val="18"/>
        </w:rPr>
        <w:t>.</w:t>
      </w:r>
    </w:p>
    <w:p w14:paraId="1AF40AC7"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Frost, H.M. Wolff’s Law and bone’s structural adaptations to mechanical usa</w:t>
      </w:r>
      <w:r w:rsidRPr="00D847F6">
        <w:rPr>
          <w:rFonts w:ascii="Palatino Linotype" w:hAnsi="Palatino Linotype"/>
          <w:noProof/>
          <w:sz w:val="18"/>
          <w:szCs w:val="18"/>
        </w:rPr>
        <w:t>ge: An</w:t>
      </w:r>
      <w:r w:rsidRPr="0063216A">
        <w:rPr>
          <w:rFonts w:ascii="Palatino Linotype" w:hAnsi="Palatino Linotype"/>
          <w:noProof/>
          <w:sz w:val="18"/>
          <w:szCs w:val="18"/>
        </w:rPr>
        <w:t xml:space="preserve"> overview for clinicians. </w:t>
      </w:r>
      <w:r w:rsidRPr="0063216A">
        <w:rPr>
          <w:rFonts w:ascii="Palatino Linotype" w:hAnsi="Palatino Linotype"/>
          <w:i/>
          <w:iCs/>
          <w:noProof/>
          <w:sz w:val="18"/>
          <w:szCs w:val="18"/>
        </w:rPr>
        <w:t xml:space="preserve">Angle </w:t>
      </w:r>
      <w:r>
        <w:rPr>
          <w:rFonts w:ascii="Palatino Linotype" w:hAnsi="Palatino Linotype"/>
          <w:i/>
          <w:iCs/>
          <w:noProof/>
          <w:sz w:val="18"/>
          <w:szCs w:val="18"/>
          <w:lang w:val="en-US"/>
        </w:rPr>
        <w:t xml:space="preserve">Orthod. </w:t>
      </w:r>
      <w:r>
        <w:rPr>
          <w:rFonts w:ascii="Palatino Linotype" w:hAnsi="Palatino Linotype"/>
          <w:b/>
          <w:bCs/>
          <w:noProof/>
          <w:sz w:val="18"/>
          <w:szCs w:val="18"/>
        </w:rPr>
        <w:t>1994</w:t>
      </w:r>
      <w:r>
        <w:rPr>
          <w:rFonts w:ascii="Palatino Linotype" w:hAnsi="Palatino Linotype"/>
          <w:bCs/>
          <w:noProof/>
          <w:sz w:val="18"/>
          <w:szCs w:val="18"/>
        </w:rPr>
        <w:t xml:space="preserve">, </w:t>
      </w:r>
      <w:r>
        <w:rPr>
          <w:rFonts w:ascii="Palatino Linotype" w:hAnsi="Palatino Linotype"/>
          <w:bCs/>
          <w:i/>
          <w:noProof/>
          <w:sz w:val="18"/>
          <w:szCs w:val="18"/>
        </w:rPr>
        <w:t>64</w:t>
      </w:r>
      <w:r>
        <w:rPr>
          <w:rFonts w:ascii="Palatino Linotype" w:hAnsi="Palatino Linotype"/>
          <w:bCs/>
          <w:noProof/>
          <w:sz w:val="18"/>
          <w:szCs w:val="18"/>
        </w:rPr>
        <w:t>, 175–188</w:t>
      </w:r>
      <w:r w:rsidRPr="0063216A">
        <w:rPr>
          <w:rFonts w:ascii="Palatino Linotype" w:hAnsi="Palatino Linotype"/>
          <w:noProof/>
          <w:sz w:val="18"/>
          <w:szCs w:val="18"/>
        </w:rPr>
        <w:t>.</w:t>
      </w:r>
    </w:p>
    <w:p w14:paraId="1F4E358F"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Carter, D.R. Mechanical loading history and skeletal biology. </w:t>
      </w:r>
      <w:r w:rsidRPr="0063216A">
        <w:rPr>
          <w:rFonts w:ascii="Palatino Linotype" w:hAnsi="Palatino Linotype"/>
          <w:i/>
          <w:iCs/>
          <w:noProof/>
          <w:sz w:val="18"/>
          <w:szCs w:val="18"/>
        </w:rPr>
        <w:t>J. Biomech.</w:t>
      </w:r>
      <w:r w:rsidRPr="0063216A">
        <w:rPr>
          <w:rFonts w:ascii="Palatino Linotype" w:hAnsi="Palatino Linotype"/>
          <w:noProof/>
          <w:sz w:val="18"/>
          <w:szCs w:val="18"/>
        </w:rPr>
        <w:t xml:space="preserve"> </w:t>
      </w:r>
      <w:r>
        <w:rPr>
          <w:rFonts w:ascii="Palatino Linotype" w:hAnsi="Palatino Linotype"/>
          <w:b/>
          <w:bCs/>
          <w:noProof/>
          <w:sz w:val="18"/>
          <w:szCs w:val="18"/>
        </w:rPr>
        <w:t>1987</w:t>
      </w:r>
      <w:r>
        <w:rPr>
          <w:rFonts w:ascii="Palatino Linotype" w:hAnsi="Palatino Linotype"/>
          <w:bCs/>
          <w:noProof/>
          <w:sz w:val="18"/>
          <w:szCs w:val="18"/>
        </w:rPr>
        <w:t xml:space="preserve">, </w:t>
      </w:r>
      <w:r>
        <w:rPr>
          <w:rFonts w:ascii="Palatino Linotype" w:hAnsi="Palatino Linotype"/>
          <w:bCs/>
          <w:i/>
          <w:noProof/>
          <w:sz w:val="18"/>
          <w:szCs w:val="18"/>
        </w:rPr>
        <w:t>20</w:t>
      </w:r>
      <w:r>
        <w:rPr>
          <w:rFonts w:ascii="Palatino Linotype" w:hAnsi="Palatino Linotype"/>
          <w:bCs/>
          <w:noProof/>
          <w:sz w:val="18"/>
          <w:szCs w:val="18"/>
        </w:rPr>
        <w:t>, 1095–1109</w:t>
      </w:r>
      <w:r w:rsidRPr="0063216A">
        <w:rPr>
          <w:rFonts w:ascii="Palatino Linotype" w:hAnsi="Palatino Linotype"/>
          <w:noProof/>
          <w:sz w:val="18"/>
          <w:szCs w:val="18"/>
        </w:rPr>
        <w:t>.</w:t>
      </w:r>
    </w:p>
    <w:p w14:paraId="16696A72"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Salisbury Palomares, K.T.; Gleason, R.E.; Mason, Z.D.; Cullinane, D.M.; Einhorn, T.A.; Gerstenfeld, L.C.; Morgan, E.F. Mechanical stimulation alters tissue differentiation and molecular expression during bone healing. </w:t>
      </w:r>
      <w:r w:rsidRPr="0063216A">
        <w:rPr>
          <w:rFonts w:ascii="Palatino Linotype" w:hAnsi="Palatino Linotype"/>
          <w:i/>
          <w:iCs/>
          <w:noProof/>
          <w:sz w:val="18"/>
          <w:szCs w:val="18"/>
        </w:rPr>
        <w:t>J. Orthop. Res.</w:t>
      </w:r>
      <w:r w:rsidRPr="0063216A">
        <w:rPr>
          <w:rFonts w:ascii="Palatino Linotype" w:hAnsi="Palatino Linotype"/>
          <w:noProof/>
          <w:sz w:val="18"/>
          <w:szCs w:val="18"/>
        </w:rPr>
        <w:t xml:space="preserve"> </w:t>
      </w:r>
      <w:r>
        <w:rPr>
          <w:rFonts w:ascii="Palatino Linotype" w:hAnsi="Palatino Linotype"/>
          <w:b/>
          <w:bCs/>
          <w:noProof/>
          <w:sz w:val="18"/>
          <w:szCs w:val="18"/>
        </w:rPr>
        <w:t>2009</w:t>
      </w:r>
      <w:r>
        <w:rPr>
          <w:rFonts w:ascii="Palatino Linotype" w:hAnsi="Palatino Linotype"/>
          <w:bCs/>
          <w:noProof/>
          <w:sz w:val="18"/>
          <w:szCs w:val="18"/>
        </w:rPr>
        <w:t xml:space="preserve">, </w:t>
      </w:r>
      <w:r>
        <w:rPr>
          <w:rFonts w:ascii="Palatino Linotype" w:hAnsi="Palatino Linotype"/>
          <w:bCs/>
          <w:i/>
          <w:noProof/>
          <w:sz w:val="18"/>
          <w:szCs w:val="18"/>
        </w:rPr>
        <w:t>27</w:t>
      </w:r>
      <w:r>
        <w:rPr>
          <w:rFonts w:ascii="Palatino Linotype" w:hAnsi="Palatino Linotype"/>
          <w:bCs/>
          <w:noProof/>
          <w:sz w:val="18"/>
          <w:szCs w:val="18"/>
        </w:rPr>
        <w:t>, 1123–1132</w:t>
      </w:r>
      <w:r w:rsidRPr="0063216A">
        <w:rPr>
          <w:rFonts w:ascii="Palatino Linotype" w:hAnsi="Palatino Linotype"/>
          <w:noProof/>
          <w:sz w:val="18"/>
          <w:szCs w:val="18"/>
        </w:rPr>
        <w:t>.</w:t>
      </w:r>
    </w:p>
    <w:p w14:paraId="6525536E"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Epari, D.R.; Duda, G.N.; Thompson, M.S. Mechanobiology of bone healing and regeneration: In vivo models. </w:t>
      </w:r>
      <w:r w:rsidRPr="0063216A">
        <w:rPr>
          <w:rFonts w:ascii="Palatino Linotype" w:hAnsi="Palatino Linotype"/>
          <w:i/>
          <w:iCs/>
          <w:noProof/>
          <w:sz w:val="18"/>
          <w:szCs w:val="18"/>
        </w:rPr>
        <w:t>Proc. Inst. Mech. Eng. Part H J. Eng. Med.</w:t>
      </w:r>
      <w:r w:rsidRPr="0063216A">
        <w:rPr>
          <w:rFonts w:ascii="Palatino Linotype" w:hAnsi="Palatino Linotype"/>
          <w:noProof/>
          <w:sz w:val="18"/>
          <w:szCs w:val="18"/>
        </w:rPr>
        <w:t xml:space="preserve"> </w:t>
      </w:r>
      <w:r>
        <w:rPr>
          <w:rFonts w:ascii="Palatino Linotype" w:hAnsi="Palatino Linotype"/>
          <w:b/>
          <w:bCs/>
          <w:noProof/>
          <w:sz w:val="18"/>
          <w:szCs w:val="18"/>
        </w:rPr>
        <w:t>2010</w:t>
      </w:r>
      <w:r>
        <w:rPr>
          <w:rFonts w:ascii="Palatino Linotype" w:hAnsi="Palatino Linotype"/>
          <w:bCs/>
          <w:noProof/>
          <w:sz w:val="18"/>
          <w:szCs w:val="18"/>
        </w:rPr>
        <w:t xml:space="preserve">, </w:t>
      </w:r>
      <w:r>
        <w:rPr>
          <w:rFonts w:ascii="Palatino Linotype" w:hAnsi="Palatino Linotype"/>
          <w:bCs/>
          <w:i/>
          <w:noProof/>
          <w:sz w:val="18"/>
          <w:szCs w:val="18"/>
        </w:rPr>
        <w:t>224</w:t>
      </w:r>
      <w:r>
        <w:rPr>
          <w:rFonts w:ascii="Palatino Linotype" w:hAnsi="Palatino Linotype"/>
          <w:bCs/>
          <w:noProof/>
          <w:sz w:val="18"/>
          <w:szCs w:val="18"/>
        </w:rPr>
        <w:t>, 1543–1553</w:t>
      </w:r>
      <w:r w:rsidRPr="0063216A">
        <w:rPr>
          <w:rFonts w:ascii="Palatino Linotype" w:hAnsi="Palatino Linotype"/>
          <w:noProof/>
          <w:sz w:val="18"/>
          <w:szCs w:val="18"/>
        </w:rPr>
        <w:t>.</w:t>
      </w:r>
    </w:p>
    <w:p w14:paraId="63FE8FC1" w14:textId="77777777" w:rsidR="00E670EB" w:rsidRPr="0063216A"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Betts, D.C.; Müller, R. Mechanical regulation of bone regeneration: Theories, models, and experiments. </w:t>
      </w:r>
      <w:r>
        <w:rPr>
          <w:rFonts w:ascii="Palatino Linotype" w:hAnsi="Palatino Linotype"/>
          <w:i/>
          <w:iCs/>
          <w:noProof/>
          <w:sz w:val="18"/>
          <w:szCs w:val="18"/>
        </w:rPr>
        <w:t>Front. Endocrinol. (Lausanne)</w:t>
      </w:r>
      <w:r w:rsidRPr="0063216A">
        <w:rPr>
          <w:rFonts w:ascii="Palatino Linotype" w:hAnsi="Palatino Linotype"/>
          <w:noProof/>
          <w:sz w:val="18"/>
          <w:szCs w:val="18"/>
        </w:rPr>
        <w:t xml:space="preserve"> </w:t>
      </w:r>
      <w:r>
        <w:rPr>
          <w:rFonts w:ascii="Palatino Linotype" w:hAnsi="Palatino Linotype"/>
          <w:b/>
          <w:bCs/>
          <w:noProof/>
          <w:sz w:val="18"/>
          <w:szCs w:val="18"/>
        </w:rPr>
        <w:t>2014</w:t>
      </w:r>
      <w:r>
        <w:rPr>
          <w:rFonts w:ascii="Palatino Linotype" w:hAnsi="Palatino Linotype"/>
          <w:bCs/>
          <w:noProof/>
          <w:sz w:val="18"/>
          <w:szCs w:val="18"/>
        </w:rPr>
        <w:t xml:space="preserve">, </w:t>
      </w:r>
      <w:r>
        <w:rPr>
          <w:rFonts w:ascii="Palatino Linotype" w:hAnsi="Palatino Linotype"/>
          <w:bCs/>
          <w:i/>
          <w:noProof/>
          <w:sz w:val="18"/>
          <w:szCs w:val="18"/>
        </w:rPr>
        <w:t>5</w:t>
      </w:r>
      <w:r>
        <w:rPr>
          <w:rFonts w:ascii="Palatino Linotype" w:hAnsi="Palatino Linotype"/>
          <w:bCs/>
          <w:noProof/>
          <w:sz w:val="18"/>
          <w:szCs w:val="18"/>
        </w:rPr>
        <w:t>, 1–14</w:t>
      </w:r>
      <w:r w:rsidRPr="0063216A">
        <w:rPr>
          <w:rFonts w:ascii="Palatino Linotype" w:hAnsi="Palatino Linotype"/>
          <w:noProof/>
          <w:sz w:val="18"/>
          <w:szCs w:val="18"/>
        </w:rPr>
        <w:t>.</w:t>
      </w:r>
    </w:p>
    <w:p w14:paraId="37DDD56D" w14:textId="77777777" w:rsidR="00E670EB" w:rsidRPr="00D847F6"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pacing w:val="-2"/>
          <w:sz w:val="18"/>
          <w:szCs w:val="18"/>
        </w:rPr>
      </w:pPr>
      <w:r w:rsidRPr="00D847F6">
        <w:rPr>
          <w:rFonts w:ascii="Palatino Linotype" w:hAnsi="Palatino Linotype"/>
          <w:noProof/>
          <w:spacing w:val="-2"/>
          <w:sz w:val="18"/>
          <w:szCs w:val="18"/>
        </w:rPr>
        <w:t xml:space="preserve">Öhman, C.; Dall’Ara, E.; Baleani, M.; Jan, S.V.S.; Viceconti, M. The effects of embalming using a 4% formalin solution on the compressive mechanical properties of human cortical bone. </w:t>
      </w:r>
      <w:r w:rsidRPr="00D847F6">
        <w:rPr>
          <w:rFonts w:ascii="Palatino Linotype" w:hAnsi="Palatino Linotype"/>
          <w:i/>
          <w:iCs/>
          <w:noProof/>
          <w:spacing w:val="-2"/>
          <w:sz w:val="18"/>
          <w:szCs w:val="18"/>
        </w:rPr>
        <w:t>Clin. Biomech.</w:t>
      </w:r>
      <w:r w:rsidRPr="00D847F6">
        <w:rPr>
          <w:rFonts w:ascii="Palatino Linotype" w:hAnsi="Palatino Linotype"/>
          <w:noProof/>
          <w:spacing w:val="-2"/>
          <w:sz w:val="18"/>
          <w:szCs w:val="18"/>
        </w:rPr>
        <w:t xml:space="preserve"> </w:t>
      </w:r>
      <w:r>
        <w:rPr>
          <w:rFonts w:ascii="Palatino Linotype" w:hAnsi="Palatino Linotype"/>
          <w:b/>
          <w:bCs/>
          <w:noProof/>
          <w:spacing w:val="-2"/>
          <w:sz w:val="18"/>
          <w:szCs w:val="18"/>
        </w:rPr>
        <w:t>2008</w:t>
      </w:r>
      <w:r>
        <w:rPr>
          <w:rFonts w:ascii="Palatino Linotype" w:hAnsi="Palatino Linotype"/>
          <w:bCs/>
          <w:noProof/>
          <w:spacing w:val="-2"/>
          <w:sz w:val="18"/>
          <w:szCs w:val="18"/>
        </w:rPr>
        <w:t xml:space="preserve">, </w:t>
      </w:r>
      <w:r>
        <w:rPr>
          <w:rFonts w:ascii="Palatino Linotype" w:hAnsi="Palatino Linotype"/>
          <w:bCs/>
          <w:i/>
          <w:noProof/>
          <w:spacing w:val="-2"/>
          <w:sz w:val="18"/>
          <w:szCs w:val="18"/>
        </w:rPr>
        <w:t>23</w:t>
      </w:r>
      <w:r>
        <w:rPr>
          <w:rFonts w:ascii="Palatino Linotype" w:hAnsi="Palatino Linotype"/>
          <w:bCs/>
          <w:noProof/>
          <w:spacing w:val="-2"/>
          <w:sz w:val="18"/>
          <w:szCs w:val="18"/>
        </w:rPr>
        <w:t>, 1294–1298</w:t>
      </w:r>
      <w:r w:rsidRPr="00D847F6">
        <w:rPr>
          <w:rFonts w:ascii="Palatino Linotype" w:hAnsi="Palatino Linotype"/>
          <w:noProof/>
          <w:spacing w:val="-2"/>
          <w:sz w:val="18"/>
          <w:szCs w:val="18"/>
        </w:rPr>
        <w:t>.</w:t>
      </w:r>
    </w:p>
    <w:p w14:paraId="6C63856A" w14:textId="343C9BD7" w:rsidR="00E670EB" w:rsidRPr="00E670EB" w:rsidRDefault="00E670EB" w:rsidP="00E670EB">
      <w:pPr>
        <w:pStyle w:val="ListParagraph"/>
        <w:widowControl w:val="0"/>
        <w:numPr>
          <w:ilvl w:val="0"/>
          <w:numId w:val="8"/>
        </w:numPr>
        <w:autoSpaceDE w:val="0"/>
        <w:autoSpaceDN w:val="0"/>
        <w:adjustRightInd w:val="0"/>
        <w:snapToGrid w:val="0"/>
        <w:spacing w:after="0" w:line="260" w:lineRule="atLeast"/>
        <w:ind w:left="425" w:hanging="425"/>
        <w:contextualSpacing w:val="0"/>
        <w:rPr>
          <w:rFonts w:ascii="Palatino Linotype" w:hAnsi="Palatino Linotype"/>
          <w:noProof/>
          <w:sz w:val="18"/>
          <w:szCs w:val="18"/>
        </w:rPr>
      </w:pPr>
      <w:r w:rsidRPr="0063216A">
        <w:rPr>
          <w:rFonts w:ascii="Palatino Linotype" w:hAnsi="Palatino Linotype"/>
          <w:noProof/>
          <w:sz w:val="18"/>
          <w:szCs w:val="18"/>
        </w:rPr>
        <w:t xml:space="preserve">Wieding, J.; Mick, E.; Wree, A.; Bader, R. Influence of three different preservative techniques on the mechanical properties of the ovine cortical bone. </w:t>
      </w:r>
      <w:r w:rsidRPr="0063216A">
        <w:rPr>
          <w:rFonts w:ascii="Palatino Linotype" w:hAnsi="Palatino Linotype"/>
          <w:i/>
          <w:iCs/>
          <w:noProof/>
          <w:sz w:val="18"/>
          <w:szCs w:val="18"/>
        </w:rPr>
        <w:t>Acta Bioeng. Biomech.</w:t>
      </w:r>
      <w:r w:rsidRPr="0063216A">
        <w:rPr>
          <w:rFonts w:ascii="Palatino Linotype" w:hAnsi="Palatino Linotype"/>
          <w:noProof/>
          <w:sz w:val="18"/>
          <w:szCs w:val="18"/>
        </w:rPr>
        <w:t xml:space="preserve"> </w:t>
      </w:r>
      <w:r>
        <w:rPr>
          <w:rFonts w:ascii="Palatino Linotype" w:hAnsi="Palatino Linotype"/>
          <w:b/>
          <w:bCs/>
          <w:noProof/>
          <w:sz w:val="18"/>
          <w:szCs w:val="18"/>
        </w:rPr>
        <w:t>2015</w:t>
      </w:r>
      <w:r>
        <w:rPr>
          <w:rFonts w:ascii="Palatino Linotype" w:hAnsi="Palatino Linotype"/>
          <w:bCs/>
          <w:noProof/>
          <w:sz w:val="18"/>
          <w:szCs w:val="18"/>
        </w:rPr>
        <w:t xml:space="preserve">, </w:t>
      </w:r>
      <w:r>
        <w:rPr>
          <w:rFonts w:ascii="Palatino Linotype" w:hAnsi="Palatino Linotype"/>
          <w:bCs/>
          <w:i/>
          <w:noProof/>
          <w:sz w:val="18"/>
          <w:szCs w:val="18"/>
        </w:rPr>
        <w:t>17</w:t>
      </w:r>
      <w:r>
        <w:rPr>
          <w:rFonts w:ascii="Palatino Linotype" w:hAnsi="Palatino Linotype"/>
          <w:bCs/>
          <w:noProof/>
          <w:sz w:val="18"/>
          <w:szCs w:val="18"/>
        </w:rPr>
        <w:t>, 137–146</w:t>
      </w:r>
      <w:r w:rsidRPr="0063216A">
        <w:rPr>
          <w:rFonts w:ascii="Palatino Linotype" w:hAnsi="Palatino Linotype"/>
          <w:noProof/>
          <w:sz w:val="18"/>
          <w:szCs w:val="18"/>
        </w:rPr>
        <w:t>.</w:t>
      </w:r>
    </w:p>
    <w:p w14:paraId="64395519" w14:textId="570816E7" w:rsidR="00442467" w:rsidRPr="00166515" w:rsidRDefault="00E670EB" w:rsidP="00E670EB">
      <w:pPr>
        <w:widowControl w:val="0"/>
        <w:autoSpaceDE w:val="0"/>
        <w:autoSpaceDN w:val="0"/>
        <w:adjustRightInd w:val="0"/>
        <w:spacing w:line="240" w:lineRule="atLeast"/>
      </w:pPr>
      <w:r w:rsidRPr="0063216A">
        <w:rPr>
          <w:rFonts w:ascii="Palatino Linotype" w:hAnsi="Palatino Linotype"/>
          <w:sz w:val="18"/>
          <w:szCs w:val="18"/>
        </w:rPr>
        <w:fldChar w:fldCharType="end"/>
      </w:r>
    </w:p>
    <w:tbl>
      <w:tblPr>
        <w:tblW w:w="0" w:type="auto"/>
        <w:jc w:val="center"/>
        <w:tblLook w:val="04A0" w:firstRow="1" w:lastRow="0" w:firstColumn="1" w:lastColumn="0" w:noHBand="0" w:noVBand="1"/>
      </w:tblPr>
      <w:tblGrid>
        <w:gridCol w:w="1721"/>
        <w:gridCol w:w="7123"/>
      </w:tblGrid>
      <w:tr w:rsidR="00442467" w:rsidRPr="00166515" w14:paraId="21AE4B3F" w14:textId="77777777" w:rsidTr="00803444">
        <w:trPr>
          <w:jc w:val="center"/>
        </w:trPr>
        <w:tc>
          <w:tcPr>
            <w:tcW w:w="0" w:type="auto"/>
            <w:shd w:val="clear" w:color="auto" w:fill="auto"/>
            <w:vAlign w:val="center"/>
          </w:tcPr>
          <w:p w14:paraId="06828FCE" w14:textId="77777777" w:rsidR="00442467" w:rsidRPr="00166515" w:rsidRDefault="008E2E15" w:rsidP="00DA5A24">
            <w:pPr>
              <w:pStyle w:val="MDPI71References"/>
              <w:numPr>
                <w:ilvl w:val="0"/>
                <w:numId w:val="0"/>
              </w:numPr>
              <w:ind w:left="-85"/>
              <w:rPr>
                <w:rFonts w:eastAsia="SimSun"/>
                <w:bCs/>
              </w:rPr>
            </w:pPr>
            <w:r w:rsidRPr="00166515">
              <w:rPr>
                <w:rFonts w:eastAsia="SimSun"/>
                <w:bCs/>
                <w:noProof/>
                <w:snapToGrid/>
                <w:lang w:val="en-GB" w:eastAsia="en-GB" w:bidi="ar-SA"/>
              </w:rPr>
              <w:drawing>
                <wp:inline distT="0" distB="0" distL="0" distR="0" wp14:anchorId="0A781E9A" wp14:editId="3D3AC1E1">
                  <wp:extent cx="1004570" cy="360045"/>
                  <wp:effectExtent l="0" t="0" r="5080" b="1905"/>
                  <wp:docPr id="8" name="Picture 8"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pyRig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4570" cy="360045"/>
                          </a:xfrm>
                          <a:prstGeom prst="rect">
                            <a:avLst/>
                          </a:prstGeom>
                          <a:noFill/>
                          <a:ln>
                            <a:noFill/>
                          </a:ln>
                        </pic:spPr>
                      </pic:pic>
                    </a:graphicData>
                  </a:graphic>
                </wp:inline>
              </w:drawing>
            </w:r>
          </w:p>
        </w:tc>
        <w:tc>
          <w:tcPr>
            <w:tcW w:w="7149" w:type="dxa"/>
            <w:shd w:val="clear" w:color="auto" w:fill="auto"/>
            <w:vAlign w:val="center"/>
          </w:tcPr>
          <w:p w14:paraId="59D37EA4" w14:textId="77777777" w:rsidR="00442467" w:rsidRPr="00166515" w:rsidRDefault="002F1C37" w:rsidP="00DA5A24">
            <w:pPr>
              <w:pStyle w:val="MDPI71References"/>
              <w:numPr>
                <w:ilvl w:val="0"/>
                <w:numId w:val="0"/>
              </w:numPr>
              <w:ind w:left="-85"/>
              <w:rPr>
                <w:rFonts w:eastAsia="SimSun"/>
                <w:bCs/>
              </w:rPr>
            </w:pPr>
            <w:r w:rsidRPr="00166515">
              <w:rPr>
                <w:rFonts w:eastAsia="SimSun"/>
                <w:bCs/>
              </w:rPr>
              <w:t>© 2019</w:t>
            </w:r>
            <w:r w:rsidR="00442467" w:rsidRPr="00166515">
              <w:rPr>
                <w:rFonts w:eastAsia="SimSun"/>
                <w:bCs/>
              </w:rPr>
              <w:t xml:space="preserve"> by the authors. Submitted for possible open access publication under the terms and conditions of the Creative Commons Attribution (CC BY) license (http://creativecommons.org/licenses/by/4.0/).</w:t>
            </w:r>
          </w:p>
        </w:tc>
      </w:tr>
      <w:bookmarkEnd w:id="0"/>
    </w:tbl>
    <w:p w14:paraId="3689786B" w14:textId="77777777" w:rsidR="00F42E7B" w:rsidRPr="00166515" w:rsidRDefault="00F42E7B" w:rsidP="00442467">
      <w:pPr>
        <w:pStyle w:val="MDPI71References"/>
        <w:numPr>
          <w:ilvl w:val="0"/>
          <w:numId w:val="0"/>
        </w:numPr>
        <w:spacing w:after="240"/>
        <w:rPr>
          <w:rFonts w:eastAsia="SimSun"/>
        </w:rPr>
      </w:pPr>
    </w:p>
    <w:sectPr w:rsidR="00F42E7B" w:rsidRPr="00166515" w:rsidSect="00166515">
      <w:headerReference w:type="even" r:id="rId17"/>
      <w:headerReference w:type="default" r:id="rId18"/>
      <w:footerReference w:type="default" r:id="rId19"/>
      <w:headerReference w:type="first" r:id="rId20"/>
      <w:footerReference w:type="first" r:id="rId21"/>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3C6D8" w14:textId="77777777" w:rsidR="004B1B60" w:rsidRDefault="004B1B60">
      <w:pPr>
        <w:spacing w:line="240" w:lineRule="auto"/>
      </w:pPr>
      <w:r>
        <w:separator/>
      </w:r>
    </w:p>
  </w:endnote>
  <w:endnote w:type="continuationSeparator" w:id="0">
    <w:p w14:paraId="6D432AC9" w14:textId="77777777" w:rsidR="004B1B60" w:rsidRDefault="004B1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539BF" w14:textId="77777777" w:rsidR="00CB3A70" w:rsidRPr="00EE5642" w:rsidRDefault="00CB3A70" w:rsidP="00975B8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F97EF" w14:textId="77777777" w:rsidR="00CB3A70" w:rsidRPr="008B308E" w:rsidRDefault="00CB3A70" w:rsidP="00975B88">
    <w:pPr>
      <w:pStyle w:val="MDPIfooterfirstpage"/>
      <w:spacing w:line="240" w:lineRule="auto"/>
      <w:jc w:val="both"/>
      <w:rPr>
        <w:lang w:val="fr-CH"/>
      </w:rPr>
    </w:pPr>
    <w:r w:rsidRPr="004C57C3">
      <w:rPr>
        <w:i/>
      </w:rPr>
      <w:t>Materials</w:t>
    </w:r>
    <w:r>
      <w:rPr>
        <w:i/>
      </w:rPr>
      <w:t xml:space="preserve"> </w:t>
    </w:r>
    <w:r w:rsidRPr="00442467">
      <w:rPr>
        <w:b/>
      </w:rPr>
      <w:t>2019</w:t>
    </w:r>
    <w:r w:rsidRPr="00442467">
      <w:t xml:space="preserve">, </w:t>
    </w:r>
    <w:r w:rsidRPr="00442467">
      <w:rPr>
        <w:i/>
      </w:rPr>
      <w:t>12</w:t>
    </w:r>
    <w:r w:rsidRPr="00442467">
      <w:t xml:space="preserve">, </w:t>
    </w:r>
    <w:r>
      <w:t>x; doi: FOR PEER REVIEW</w:t>
    </w:r>
    <w:r w:rsidRPr="008B308E">
      <w:rPr>
        <w:lang w:val="fr-CH"/>
      </w:rPr>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D33FD" w14:textId="77777777" w:rsidR="004B1B60" w:rsidRDefault="004B1B60">
      <w:pPr>
        <w:spacing w:line="240" w:lineRule="auto"/>
      </w:pPr>
      <w:r>
        <w:separator/>
      </w:r>
    </w:p>
  </w:footnote>
  <w:footnote w:type="continuationSeparator" w:id="0">
    <w:p w14:paraId="2EC6E574" w14:textId="77777777" w:rsidR="004B1B60" w:rsidRDefault="004B1B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9B26" w14:textId="77777777" w:rsidR="00CB3A70" w:rsidRDefault="00CB3A70" w:rsidP="00975B8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5B00C" w14:textId="4C455E5B" w:rsidR="00CB3A70" w:rsidRPr="00636F25" w:rsidRDefault="00CB3A70" w:rsidP="00803444">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Materials </w:t>
    </w:r>
    <w:r w:rsidRPr="00442467">
      <w:rPr>
        <w:rFonts w:ascii="Palatino Linotype" w:hAnsi="Palatino Linotype"/>
        <w:b/>
        <w:sz w:val="16"/>
      </w:rPr>
      <w:t>2019</w:t>
    </w:r>
    <w:r w:rsidRPr="00442467">
      <w:rPr>
        <w:rFonts w:ascii="Palatino Linotype" w:hAnsi="Palatino Linotype"/>
        <w:sz w:val="16"/>
      </w:rPr>
      <w:t xml:space="preserve">, </w:t>
    </w:r>
    <w:r w:rsidRPr="00442467">
      <w:rPr>
        <w:rFonts w:ascii="Palatino Linotype" w:hAnsi="Palatino Linotype"/>
        <w:i/>
        <w:sz w:val="16"/>
      </w:rPr>
      <w:t>12</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3C226B">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3C226B">
      <w:rPr>
        <w:rFonts w:ascii="Palatino Linotype" w:hAnsi="Palatino Linotype"/>
        <w:noProof/>
        <w:sz w:val="16"/>
      </w:rPr>
      <w:t>16</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99E40" w14:textId="77777777" w:rsidR="00CB3A70" w:rsidRDefault="00CB3A70" w:rsidP="00975B88">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01E3FF20" wp14:editId="22BF1178">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51402164" w14:textId="77777777" w:rsidR="00CB3A70" w:rsidRDefault="00CB3A70" w:rsidP="00975B88">
                          <w:pPr>
                            <w:pStyle w:val="MDPIheaderjournallogo"/>
                            <w:jc w:val="center"/>
                            <w:textboxTightWrap w:val="allLines"/>
                            <w:rPr>
                              <w:i w:val="0"/>
                              <w:szCs w:val="16"/>
                            </w:rPr>
                          </w:pPr>
                          <w:r>
                            <w:rPr>
                              <w:i w:val="0"/>
                              <w:noProof/>
                              <w:szCs w:val="16"/>
                              <w:lang w:val="en-GB" w:eastAsia="en-GB"/>
                            </w:rPr>
                            <w:drawing>
                              <wp:inline distT="0" distB="0" distL="0" distR="0" wp14:anchorId="029820C8" wp14:editId="212E46E4">
                                <wp:extent cx="540385" cy="353060"/>
                                <wp:effectExtent l="0" t="0" r="0" b="8890"/>
                                <wp:docPr id="12"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E3FF20"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51402164" w14:textId="77777777" w:rsidR="00CB3A70" w:rsidRDefault="00CB3A70" w:rsidP="00975B88">
                    <w:pPr>
                      <w:pStyle w:val="MDPIheaderjournallogo"/>
                      <w:jc w:val="center"/>
                      <w:textboxTightWrap w:val="allLines"/>
                      <w:rPr>
                        <w:i w:val="0"/>
                        <w:szCs w:val="16"/>
                      </w:rPr>
                    </w:pPr>
                    <w:r>
                      <w:rPr>
                        <w:i w:val="0"/>
                        <w:noProof/>
                        <w:szCs w:val="16"/>
                        <w:lang w:eastAsia="zh-CN"/>
                      </w:rPr>
                      <w:drawing>
                        <wp:inline distT="0" distB="0" distL="0" distR="0" wp14:anchorId="029820C8" wp14:editId="212E46E4">
                          <wp:extent cx="540385" cy="353060"/>
                          <wp:effectExtent l="0" t="0" r="0" b="8890"/>
                          <wp:docPr id="12"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xbxContent>
              </v:textbox>
              <w10:wrap anchorx="page" anchory="page"/>
            </v:shape>
          </w:pict>
        </mc:Fallback>
      </mc:AlternateContent>
    </w:r>
    <w:r>
      <w:rPr>
        <w:noProof/>
        <w:lang w:val="en-GB" w:eastAsia="en-GB"/>
      </w:rPr>
      <w:drawing>
        <wp:inline distT="0" distB="0" distL="0" distR="0" wp14:anchorId="170DEDD5" wp14:editId="0C69C891">
          <wp:extent cx="1628140" cy="429260"/>
          <wp:effectExtent l="0" t="0" r="0" b="8890"/>
          <wp:docPr id="1" name="Picture 7" descr="materials-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rials-logo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FA2"/>
    <w:multiLevelType w:val="multilevel"/>
    <w:tmpl w:val="513A8468"/>
    <w:lvl w:ilvl="0">
      <w:start w:val="1"/>
      <w:numFmt w:val="decimal"/>
      <w:lvlText w:val="%1."/>
      <w:lvlJc w:val="left"/>
      <w:pPr>
        <w:ind w:left="360" w:hanging="360"/>
      </w:pPr>
    </w:lvl>
    <w:lvl w:ilvl="1">
      <w:start w:val="1"/>
      <w:numFmt w:val="decimal"/>
      <w:lvlText w:val="%1.%2."/>
      <w:lvlJc w:val="left"/>
      <w:pPr>
        <w:ind w:left="43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4CE0865"/>
    <w:multiLevelType w:val="hybridMultilevel"/>
    <w:tmpl w:val="5C04921A"/>
    <w:lvl w:ilvl="0" w:tplc="1F3CB49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BBA507C"/>
    <w:multiLevelType w:val="hybridMultilevel"/>
    <w:tmpl w:val="DDC20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66D6A"/>
    <w:multiLevelType w:val="hybridMultilevel"/>
    <w:tmpl w:val="7900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59"/>
    <w:rsid w:val="00002DEF"/>
    <w:rsid w:val="00012D15"/>
    <w:rsid w:val="00026DCC"/>
    <w:rsid w:val="00032FB8"/>
    <w:rsid w:val="00036C6C"/>
    <w:rsid w:val="00041F31"/>
    <w:rsid w:val="0004374A"/>
    <w:rsid w:val="00062140"/>
    <w:rsid w:val="000630C7"/>
    <w:rsid w:val="00080E9D"/>
    <w:rsid w:val="000844BF"/>
    <w:rsid w:val="0008616C"/>
    <w:rsid w:val="00091722"/>
    <w:rsid w:val="000B4BBF"/>
    <w:rsid w:val="000B5E01"/>
    <w:rsid w:val="000C05AD"/>
    <w:rsid w:val="000F124F"/>
    <w:rsid w:val="000F5859"/>
    <w:rsid w:val="00113C77"/>
    <w:rsid w:val="00116653"/>
    <w:rsid w:val="00131B3F"/>
    <w:rsid w:val="001366DD"/>
    <w:rsid w:val="001411B0"/>
    <w:rsid w:val="00146D47"/>
    <w:rsid w:val="00166515"/>
    <w:rsid w:val="001723E4"/>
    <w:rsid w:val="001725F4"/>
    <w:rsid w:val="00173CC0"/>
    <w:rsid w:val="001A2DAD"/>
    <w:rsid w:val="001E2AEB"/>
    <w:rsid w:val="001E3BA0"/>
    <w:rsid w:val="001E5547"/>
    <w:rsid w:val="00202030"/>
    <w:rsid w:val="00214BE6"/>
    <w:rsid w:val="002167C7"/>
    <w:rsid w:val="0022095F"/>
    <w:rsid w:val="002211E0"/>
    <w:rsid w:val="00224359"/>
    <w:rsid w:val="002304C7"/>
    <w:rsid w:val="0024276C"/>
    <w:rsid w:val="00246159"/>
    <w:rsid w:val="00262E33"/>
    <w:rsid w:val="002736DB"/>
    <w:rsid w:val="002B3650"/>
    <w:rsid w:val="002D2630"/>
    <w:rsid w:val="002F1C37"/>
    <w:rsid w:val="002F57BE"/>
    <w:rsid w:val="003017FA"/>
    <w:rsid w:val="003161EE"/>
    <w:rsid w:val="00323CE2"/>
    <w:rsid w:val="00326141"/>
    <w:rsid w:val="0036656E"/>
    <w:rsid w:val="003815B9"/>
    <w:rsid w:val="003A1793"/>
    <w:rsid w:val="003A4ED6"/>
    <w:rsid w:val="003B0CBC"/>
    <w:rsid w:val="003B1171"/>
    <w:rsid w:val="003C226B"/>
    <w:rsid w:val="003C7549"/>
    <w:rsid w:val="00401D30"/>
    <w:rsid w:val="00402657"/>
    <w:rsid w:val="00415AB5"/>
    <w:rsid w:val="00415B31"/>
    <w:rsid w:val="004201C7"/>
    <w:rsid w:val="004409DC"/>
    <w:rsid w:val="00442467"/>
    <w:rsid w:val="00457A31"/>
    <w:rsid w:val="00474483"/>
    <w:rsid w:val="004903F6"/>
    <w:rsid w:val="004B1B60"/>
    <w:rsid w:val="004C0307"/>
    <w:rsid w:val="004C4845"/>
    <w:rsid w:val="004D61B2"/>
    <w:rsid w:val="004E7822"/>
    <w:rsid w:val="00503D54"/>
    <w:rsid w:val="00510F23"/>
    <w:rsid w:val="00524F59"/>
    <w:rsid w:val="005440CB"/>
    <w:rsid w:val="0054726D"/>
    <w:rsid w:val="005527B4"/>
    <w:rsid w:val="00553F92"/>
    <w:rsid w:val="00561A11"/>
    <w:rsid w:val="00571190"/>
    <w:rsid w:val="00580512"/>
    <w:rsid w:val="00591E34"/>
    <w:rsid w:val="005A0EEF"/>
    <w:rsid w:val="005B27AD"/>
    <w:rsid w:val="00620980"/>
    <w:rsid w:val="00634417"/>
    <w:rsid w:val="006369E9"/>
    <w:rsid w:val="006375F3"/>
    <w:rsid w:val="00637B26"/>
    <w:rsid w:val="00656609"/>
    <w:rsid w:val="00657B31"/>
    <w:rsid w:val="00662233"/>
    <w:rsid w:val="00683D05"/>
    <w:rsid w:val="00692393"/>
    <w:rsid w:val="00692F12"/>
    <w:rsid w:val="006A5828"/>
    <w:rsid w:val="006A6538"/>
    <w:rsid w:val="006B30D2"/>
    <w:rsid w:val="006B6491"/>
    <w:rsid w:val="006C0B9D"/>
    <w:rsid w:val="006C2927"/>
    <w:rsid w:val="006C3BDB"/>
    <w:rsid w:val="006C6493"/>
    <w:rsid w:val="006D0BE8"/>
    <w:rsid w:val="006E0CDD"/>
    <w:rsid w:val="006E4318"/>
    <w:rsid w:val="006F438F"/>
    <w:rsid w:val="00741743"/>
    <w:rsid w:val="007418BF"/>
    <w:rsid w:val="00745A4D"/>
    <w:rsid w:val="00750DBC"/>
    <w:rsid w:val="007633BE"/>
    <w:rsid w:val="007707F0"/>
    <w:rsid w:val="007A5051"/>
    <w:rsid w:val="007B31F4"/>
    <w:rsid w:val="007C353E"/>
    <w:rsid w:val="007C4352"/>
    <w:rsid w:val="00800EEA"/>
    <w:rsid w:val="00803444"/>
    <w:rsid w:val="00804F18"/>
    <w:rsid w:val="00812FAE"/>
    <w:rsid w:val="00814613"/>
    <w:rsid w:val="00817B9E"/>
    <w:rsid w:val="008201FA"/>
    <w:rsid w:val="00825910"/>
    <w:rsid w:val="00831FA2"/>
    <w:rsid w:val="00832398"/>
    <w:rsid w:val="00832912"/>
    <w:rsid w:val="008430DC"/>
    <w:rsid w:val="00852080"/>
    <w:rsid w:val="00853A88"/>
    <w:rsid w:val="00870BBB"/>
    <w:rsid w:val="008823D5"/>
    <w:rsid w:val="00884EEA"/>
    <w:rsid w:val="008A1465"/>
    <w:rsid w:val="008A2009"/>
    <w:rsid w:val="008A669C"/>
    <w:rsid w:val="008B1333"/>
    <w:rsid w:val="008B5E9E"/>
    <w:rsid w:val="008D69F8"/>
    <w:rsid w:val="008E2E15"/>
    <w:rsid w:val="008E37B6"/>
    <w:rsid w:val="008F2389"/>
    <w:rsid w:val="008F55FC"/>
    <w:rsid w:val="008F6D99"/>
    <w:rsid w:val="00932230"/>
    <w:rsid w:val="009362B2"/>
    <w:rsid w:val="009431E5"/>
    <w:rsid w:val="009725CB"/>
    <w:rsid w:val="00975B88"/>
    <w:rsid w:val="0099195D"/>
    <w:rsid w:val="00992072"/>
    <w:rsid w:val="00994BDB"/>
    <w:rsid w:val="00997FDB"/>
    <w:rsid w:val="009A094E"/>
    <w:rsid w:val="009B0379"/>
    <w:rsid w:val="009B7AFD"/>
    <w:rsid w:val="009D45AA"/>
    <w:rsid w:val="009D5A75"/>
    <w:rsid w:val="009E3D54"/>
    <w:rsid w:val="009F20C1"/>
    <w:rsid w:val="009F63E6"/>
    <w:rsid w:val="009F70E6"/>
    <w:rsid w:val="00A010C5"/>
    <w:rsid w:val="00A05AA8"/>
    <w:rsid w:val="00A1308B"/>
    <w:rsid w:val="00A1382B"/>
    <w:rsid w:val="00A214F8"/>
    <w:rsid w:val="00A22ECC"/>
    <w:rsid w:val="00A26316"/>
    <w:rsid w:val="00A32243"/>
    <w:rsid w:val="00A51DD4"/>
    <w:rsid w:val="00A62DFA"/>
    <w:rsid w:val="00A723F4"/>
    <w:rsid w:val="00AA0C2A"/>
    <w:rsid w:val="00AA63DC"/>
    <w:rsid w:val="00AD6BB3"/>
    <w:rsid w:val="00AE62E3"/>
    <w:rsid w:val="00AE72D4"/>
    <w:rsid w:val="00B0283B"/>
    <w:rsid w:val="00B545FF"/>
    <w:rsid w:val="00B548E2"/>
    <w:rsid w:val="00B5610A"/>
    <w:rsid w:val="00B61552"/>
    <w:rsid w:val="00B71DDF"/>
    <w:rsid w:val="00B93F62"/>
    <w:rsid w:val="00BA10AF"/>
    <w:rsid w:val="00BB0771"/>
    <w:rsid w:val="00BE1BC6"/>
    <w:rsid w:val="00BE5097"/>
    <w:rsid w:val="00BF58E3"/>
    <w:rsid w:val="00BF76E0"/>
    <w:rsid w:val="00C5103B"/>
    <w:rsid w:val="00C87D39"/>
    <w:rsid w:val="00CA0B79"/>
    <w:rsid w:val="00CA7645"/>
    <w:rsid w:val="00CB3A70"/>
    <w:rsid w:val="00CC42D3"/>
    <w:rsid w:val="00CF53A6"/>
    <w:rsid w:val="00CF6700"/>
    <w:rsid w:val="00D14047"/>
    <w:rsid w:val="00D22C32"/>
    <w:rsid w:val="00D277BE"/>
    <w:rsid w:val="00D46BCE"/>
    <w:rsid w:val="00D7264C"/>
    <w:rsid w:val="00D75011"/>
    <w:rsid w:val="00D900CE"/>
    <w:rsid w:val="00DA3E80"/>
    <w:rsid w:val="00DA5A24"/>
    <w:rsid w:val="00DA6387"/>
    <w:rsid w:val="00DC37F2"/>
    <w:rsid w:val="00DE0BDE"/>
    <w:rsid w:val="00DE3510"/>
    <w:rsid w:val="00E11B9B"/>
    <w:rsid w:val="00E12ECB"/>
    <w:rsid w:val="00E17D10"/>
    <w:rsid w:val="00E3272C"/>
    <w:rsid w:val="00E3283F"/>
    <w:rsid w:val="00E45A72"/>
    <w:rsid w:val="00E52996"/>
    <w:rsid w:val="00E65CDF"/>
    <w:rsid w:val="00E670EB"/>
    <w:rsid w:val="00E94043"/>
    <w:rsid w:val="00EA2F45"/>
    <w:rsid w:val="00EA6D52"/>
    <w:rsid w:val="00EB2CAC"/>
    <w:rsid w:val="00EC7762"/>
    <w:rsid w:val="00ED2454"/>
    <w:rsid w:val="00ED6334"/>
    <w:rsid w:val="00ED7FCD"/>
    <w:rsid w:val="00F04B03"/>
    <w:rsid w:val="00F06759"/>
    <w:rsid w:val="00F25CA1"/>
    <w:rsid w:val="00F324A8"/>
    <w:rsid w:val="00F42E7B"/>
    <w:rsid w:val="00F57E58"/>
    <w:rsid w:val="00F73043"/>
    <w:rsid w:val="00F742A9"/>
    <w:rsid w:val="00F77B30"/>
    <w:rsid w:val="00F95960"/>
    <w:rsid w:val="00FA5E31"/>
    <w:rsid w:val="00FB5D9B"/>
    <w:rsid w:val="00FD091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809039"/>
  <w15:docId w15:val="{6C3C6C50-48F6-438D-8040-F714763FE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E7B"/>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F42E7B"/>
    <w:pPr>
      <w:spacing w:before="240" w:line="240" w:lineRule="auto"/>
      <w:ind w:firstLine="0"/>
      <w:jc w:val="left"/>
    </w:pPr>
    <w:rPr>
      <w:i/>
    </w:rPr>
  </w:style>
  <w:style w:type="paragraph" w:customStyle="1" w:styleId="MDPI12title">
    <w:name w:val="MDPI_1.2_title"/>
    <w:next w:val="MDPI13authornames"/>
    <w:qFormat/>
    <w:rsid w:val="00F42E7B"/>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F42E7B"/>
    <w:pPr>
      <w:spacing w:after="120"/>
      <w:ind w:firstLine="0"/>
      <w:jc w:val="left"/>
    </w:pPr>
    <w:rPr>
      <w:b/>
      <w:snapToGrid/>
    </w:rPr>
  </w:style>
  <w:style w:type="paragraph" w:customStyle="1" w:styleId="MDPI14history">
    <w:name w:val="MDPI_1.4_history"/>
    <w:basedOn w:val="MDPI62Acknowledgments"/>
    <w:next w:val="Normal"/>
    <w:qFormat/>
    <w:rsid w:val="00F42E7B"/>
    <w:pPr>
      <w:ind w:left="113"/>
      <w:jc w:val="left"/>
    </w:pPr>
    <w:rPr>
      <w:snapToGrid/>
    </w:rPr>
  </w:style>
  <w:style w:type="paragraph" w:customStyle="1" w:styleId="MDPI16affiliation">
    <w:name w:val="MDPI_1.6_affiliation"/>
    <w:basedOn w:val="MDPI62Acknowledgments"/>
    <w:qFormat/>
    <w:rsid w:val="00F42E7B"/>
    <w:pPr>
      <w:spacing w:before="0"/>
      <w:ind w:left="311" w:hanging="198"/>
      <w:jc w:val="left"/>
    </w:pPr>
    <w:rPr>
      <w:snapToGrid/>
      <w:szCs w:val="18"/>
    </w:rPr>
  </w:style>
  <w:style w:type="paragraph" w:customStyle="1" w:styleId="MDPI17abstract">
    <w:name w:val="MDPI_1.7_abstract"/>
    <w:basedOn w:val="MDPI31text"/>
    <w:next w:val="MDPI18keywords"/>
    <w:qFormat/>
    <w:rsid w:val="00F42E7B"/>
    <w:pPr>
      <w:spacing w:before="240"/>
      <w:ind w:left="113" w:firstLine="0"/>
    </w:pPr>
    <w:rPr>
      <w:snapToGrid/>
    </w:rPr>
  </w:style>
  <w:style w:type="paragraph" w:customStyle="1" w:styleId="MDPI18keywords">
    <w:name w:val="MDPI_1.8_keywords"/>
    <w:basedOn w:val="MDPI31text"/>
    <w:next w:val="Normal"/>
    <w:qFormat/>
    <w:rsid w:val="00F42E7B"/>
    <w:pPr>
      <w:spacing w:before="240"/>
      <w:ind w:left="113" w:firstLine="0"/>
    </w:pPr>
  </w:style>
  <w:style w:type="paragraph" w:customStyle="1" w:styleId="MDPI19line">
    <w:name w:val="MDPI_1.9_line"/>
    <w:basedOn w:val="MDPI31text"/>
    <w:qFormat/>
    <w:rsid w:val="00F42E7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F42E7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42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42E7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42E7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42E7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42E7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F42E7B"/>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F42E7B"/>
    <w:pPr>
      <w:ind w:firstLine="0"/>
    </w:pPr>
  </w:style>
  <w:style w:type="paragraph" w:customStyle="1" w:styleId="MDPI33textspaceafter">
    <w:name w:val="MDPI_3.3_text_space_after"/>
    <w:basedOn w:val="MDPI31text"/>
    <w:qFormat/>
    <w:rsid w:val="00F42E7B"/>
    <w:pPr>
      <w:spacing w:after="240"/>
    </w:pPr>
  </w:style>
  <w:style w:type="paragraph" w:customStyle="1" w:styleId="MDPI34textspacebefore">
    <w:name w:val="MDPI_3.4_text_space_before"/>
    <w:basedOn w:val="MDPI31text"/>
    <w:qFormat/>
    <w:rsid w:val="00F42E7B"/>
    <w:pPr>
      <w:spacing w:before="240"/>
    </w:pPr>
  </w:style>
  <w:style w:type="paragraph" w:customStyle="1" w:styleId="MDPI35textbeforelist">
    <w:name w:val="MDPI_3.5_text_before_list"/>
    <w:basedOn w:val="MDPI31text"/>
    <w:qFormat/>
    <w:rsid w:val="00F42E7B"/>
    <w:pPr>
      <w:spacing w:after="120"/>
    </w:pPr>
  </w:style>
  <w:style w:type="paragraph" w:customStyle="1" w:styleId="MDPI36textafterlist">
    <w:name w:val="MDPI_3.6_text_after_list"/>
    <w:basedOn w:val="MDPI31text"/>
    <w:qFormat/>
    <w:rsid w:val="00F42E7B"/>
    <w:pPr>
      <w:spacing w:before="120"/>
    </w:pPr>
  </w:style>
  <w:style w:type="paragraph" w:customStyle="1" w:styleId="MDPI37itemize">
    <w:name w:val="MDPI_3.7_itemize"/>
    <w:basedOn w:val="MDPI31text"/>
    <w:qFormat/>
    <w:rsid w:val="00F42E7B"/>
    <w:pPr>
      <w:numPr>
        <w:numId w:val="1"/>
      </w:numPr>
      <w:ind w:left="425" w:hanging="425"/>
    </w:pPr>
  </w:style>
  <w:style w:type="paragraph" w:customStyle="1" w:styleId="MDPI38bullet">
    <w:name w:val="MDPI_3.8_bullet"/>
    <w:basedOn w:val="MDPI31text"/>
    <w:qFormat/>
    <w:rsid w:val="00F42E7B"/>
    <w:pPr>
      <w:numPr>
        <w:numId w:val="2"/>
      </w:numPr>
      <w:ind w:left="425" w:hanging="425"/>
    </w:pPr>
  </w:style>
  <w:style w:type="paragraph" w:customStyle="1" w:styleId="MDPI39equation">
    <w:name w:val="MDPI_3.9_equation"/>
    <w:basedOn w:val="MDPI31text"/>
    <w:qFormat/>
    <w:rsid w:val="00F42E7B"/>
    <w:pPr>
      <w:spacing w:before="120" w:after="120"/>
      <w:ind w:left="709" w:firstLine="0"/>
      <w:jc w:val="center"/>
    </w:pPr>
  </w:style>
  <w:style w:type="paragraph" w:customStyle="1" w:styleId="MDPI3aequationnumber">
    <w:name w:val="MDPI_3.a_equation_number"/>
    <w:basedOn w:val="MDPI31text"/>
    <w:qFormat/>
    <w:rsid w:val="00F42E7B"/>
    <w:pPr>
      <w:spacing w:before="120" w:after="120" w:line="240" w:lineRule="auto"/>
      <w:ind w:firstLine="0"/>
      <w:jc w:val="right"/>
    </w:pPr>
  </w:style>
  <w:style w:type="paragraph" w:customStyle="1" w:styleId="MDPI62Acknowledgments">
    <w:name w:val="MDPI_6.2_Acknowledgments"/>
    <w:qFormat/>
    <w:rsid w:val="00F42E7B"/>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F42E7B"/>
    <w:pPr>
      <w:spacing w:before="240" w:after="120" w:line="260" w:lineRule="atLeast"/>
      <w:ind w:left="425" w:right="425"/>
    </w:pPr>
    <w:rPr>
      <w:snapToGrid/>
      <w:szCs w:val="22"/>
    </w:rPr>
  </w:style>
  <w:style w:type="paragraph" w:customStyle="1" w:styleId="MDPI42tablebody">
    <w:name w:val="MDPI_4.2_table_body"/>
    <w:qFormat/>
    <w:rsid w:val="00A010C5"/>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F42E7B"/>
    <w:pPr>
      <w:spacing w:before="0"/>
      <w:ind w:left="0" w:right="0"/>
    </w:pPr>
  </w:style>
  <w:style w:type="paragraph" w:customStyle="1" w:styleId="MDPI51figurecaption">
    <w:name w:val="MDPI_5.1_figure_caption"/>
    <w:basedOn w:val="MDPI62Acknowledgments"/>
    <w:qFormat/>
    <w:rsid w:val="00F42E7B"/>
    <w:pPr>
      <w:spacing w:after="240" w:line="260" w:lineRule="atLeast"/>
      <w:ind w:left="425" w:right="425"/>
    </w:pPr>
    <w:rPr>
      <w:snapToGrid/>
    </w:rPr>
  </w:style>
  <w:style w:type="paragraph" w:customStyle="1" w:styleId="MDPI52figure">
    <w:name w:val="MDPI_5.2_figure"/>
    <w:qFormat/>
    <w:rsid w:val="00F42E7B"/>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F42E7B"/>
    <w:pPr>
      <w:spacing w:before="240"/>
    </w:pPr>
    <w:rPr>
      <w:lang w:eastAsia="en-US"/>
    </w:rPr>
  </w:style>
  <w:style w:type="paragraph" w:customStyle="1" w:styleId="MDPI63AuthorContributions">
    <w:name w:val="MDPI_6.3_AuthorContributions"/>
    <w:basedOn w:val="MDPI62Acknowledgments"/>
    <w:qFormat/>
    <w:rsid w:val="00F42E7B"/>
    <w:rPr>
      <w:rFonts w:eastAsia="SimSun"/>
      <w:color w:val="auto"/>
      <w:lang w:eastAsia="en-US"/>
    </w:rPr>
  </w:style>
  <w:style w:type="paragraph" w:customStyle="1" w:styleId="MDPI64CoI">
    <w:name w:val="MDPI_6.4_CoI"/>
    <w:basedOn w:val="MDPI62Acknowledgments"/>
    <w:qFormat/>
    <w:rsid w:val="00F42E7B"/>
  </w:style>
  <w:style w:type="paragraph" w:customStyle="1" w:styleId="MDPI81theorem">
    <w:name w:val="MDPI_8.1_theorem"/>
    <w:basedOn w:val="MDPI32textnoindent"/>
    <w:qFormat/>
    <w:rsid w:val="00F42E7B"/>
    <w:rPr>
      <w:i/>
    </w:rPr>
  </w:style>
  <w:style w:type="paragraph" w:customStyle="1" w:styleId="MDPI82proof">
    <w:name w:val="MDPI_8.2_proof"/>
    <w:basedOn w:val="MDPI32textnoindent"/>
    <w:qFormat/>
    <w:rsid w:val="00F42E7B"/>
  </w:style>
  <w:style w:type="paragraph" w:customStyle="1" w:styleId="MDPIfooterfirstpage">
    <w:name w:val="MDPI_footer_firstpage"/>
    <w:basedOn w:val="Normal"/>
    <w:qFormat/>
    <w:rsid w:val="00F42E7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F42E7B"/>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F42E7B"/>
    <w:pPr>
      <w:spacing w:before="240" w:after="120"/>
      <w:ind w:firstLine="0"/>
      <w:jc w:val="left"/>
      <w:outlineLvl w:val="2"/>
    </w:pPr>
  </w:style>
  <w:style w:type="paragraph" w:customStyle="1" w:styleId="MDPI21heading1">
    <w:name w:val="MDPI_2.1_heading1"/>
    <w:basedOn w:val="MDPI23heading3"/>
    <w:qFormat/>
    <w:rsid w:val="00F42E7B"/>
    <w:pPr>
      <w:outlineLvl w:val="0"/>
    </w:pPr>
    <w:rPr>
      <w:b/>
    </w:rPr>
  </w:style>
  <w:style w:type="paragraph" w:customStyle="1" w:styleId="MDPI22heading2">
    <w:name w:val="MDPI_2.2_heading2"/>
    <w:basedOn w:val="Normal"/>
    <w:qFormat/>
    <w:rsid w:val="00F42E7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F42E7B"/>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F42E7B"/>
    <w:pPr>
      <w:spacing w:line="240" w:lineRule="auto"/>
    </w:pPr>
    <w:rPr>
      <w:sz w:val="18"/>
      <w:szCs w:val="18"/>
    </w:rPr>
  </w:style>
  <w:style w:type="character" w:customStyle="1" w:styleId="BalloonTextChar">
    <w:name w:val="Balloon Text Char"/>
    <w:link w:val="BalloonText"/>
    <w:uiPriority w:val="99"/>
    <w:semiHidden/>
    <w:rsid w:val="00F42E7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42E7B"/>
  </w:style>
  <w:style w:type="table" w:customStyle="1" w:styleId="MDPI41threelinetable">
    <w:name w:val="MDPI_4.1_three_line_table"/>
    <w:basedOn w:val="TableNormal"/>
    <w:uiPriority w:val="99"/>
    <w:rsid w:val="00A010C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99195D"/>
    <w:rPr>
      <w:color w:val="0563C1"/>
      <w:u w:val="single"/>
    </w:rPr>
  </w:style>
  <w:style w:type="character" w:customStyle="1" w:styleId="UnresolvedMention1">
    <w:name w:val="Unresolved Mention1"/>
    <w:uiPriority w:val="99"/>
    <w:semiHidden/>
    <w:unhideWhenUsed/>
    <w:rsid w:val="00474483"/>
    <w:rPr>
      <w:color w:val="605E5C"/>
      <w:shd w:val="clear" w:color="auto" w:fill="E1DFDD"/>
    </w:rPr>
  </w:style>
  <w:style w:type="table" w:customStyle="1" w:styleId="PlainTable41">
    <w:name w:val="Plain Table 41"/>
    <w:basedOn w:val="TableNormal"/>
    <w:uiPriority w:val="44"/>
    <w:rsid w:val="004424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591E34"/>
    <w:pPr>
      <w:spacing w:after="240" w:line="276" w:lineRule="auto"/>
      <w:ind w:left="720"/>
      <w:contextualSpacing/>
    </w:pPr>
    <w:rPr>
      <w:rFonts w:ascii="Calibri" w:eastAsia="Calibri" w:hAnsi="Calibri" w:cs="Arial"/>
      <w:color w:val="auto"/>
      <w:sz w:val="22"/>
      <w:szCs w:val="22"/>
      <w:lang w:val="en-GB" w:eastAsia="en-US"/>
    </w:rPr>
  </w:style>
  <w:style w:type="paragraph" w:styleId="Caption">
    <w:name w:val="caption"/>
    <w:basedOn w:val="Normal"/>
    <w:next w:val="Normal"/>
    <w:uiPriority w:val="35"/>
    <w:unhideWhenUsed/>
    <w:qFormat/>
    <w:rsid w:val="00591E34"/>
    <w:pPr>
      <w:spacing w:after="200" w:line="240" w:lineRule="auto"/>
    </w:pPr>
    <w:rPr>
      <w:rFonts w:ascii="Calibri" w:eastAsia="Calibri" w:hAnsi="Calibri" w:cs="Arial"/>
      <w:i/>
      <w:iCs/>
      <w:color w:val="44546A"/>
      <w:sz w:val="18"/>
      <w:szCs w:val="18"/>
      <w:lang w:val="en-GB" w:eastAsia="en-US"/>
    </w:rPr>
  </w:style>
  <w:style w:type="paragraph" w:styleId="NormalWeb">
    <w:name w:val="Normal (Web)"/>
    <w:basedOn w:val="Normal"/>
    <w:uiPriority w:val="99"/>
    <w:semiHidden/>
    <w:unhideWhenUsed/>
    <w:rsid w:val="00AA0C2A"/>
    <w:pPr>
      <w:spacing w:before="100" w:beforeAutospacing="1" w:after="100" w:afterAutospacing="1" w:line="240" w:lineRule="auto"/>
      <w:jc w:val="left"/>
    </w:pPr>
    <w:rPr>
      <w:color w:val="auto"/>
      <w:szCs w:val="24"/>
      <w:lang w:val="en-GB" w:eastAsia="en-GB"/>
    </w:rPr>
  </w:style>
  <w:style w:type="table" w:customStyle="1" w:styleId="ListTable1Light1">
    <w:name w:val="List Table 1 Light1"/>
    <w:basedOn w:val="TableNormal"/>
    <w:uiPriority w:val="46"/>
    <w:rsid w:val="00AA0C2A"/>
    <w:rPr>
      <w:rFonts w:eastAsia="Calibri" w:cs="Arial"/>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FollowedHyperlink">
    <w:name w:val="FollowedHyperlink"/>
    <w:basedOn w:val="DefaultParagraphFont"/>
    <w:uiPriority w:val="99"/>
    <w:semiHidden/>
    <w:unhideWhenUsed/>
    <w:rsid w:val="00146D47"/>
    <w:rPr>
      <w:color w:val="954F72" w:themeColor="followedHyperlink"/>
      <w:u w:val="single"/>
    </w:rPr>
  </w:style>
  <w:style w:type="character" w:styleId="CommentReference">
    <w:name w:val="annotation reference"/>
    <w:basedOn w:val="DefaultParagraphFont"/>
    <w:uiPriority w:val="99"/>
    <w:semiHidden/>
    <w:unhideWhenUsed/>
    <w:rsid w:val="00B61552"/>
    <w:rPr>
      <w:sz w:val="16"/>
      <w:szCs w:val="16"/>
    </w:rPr>
  </w:style>
  <w:style w:type="paragraph" w:styleId="CommentText">
    <w:name w:val="annotation text"/>
    <w:basedOn w:val="Normal"/>
    <w:link w:val="CommentTextChar"/>
    <w:uiPriority w:val="99"/>
    <w:unhideWhenUsed/>
    <w:rsid w:val="00B61552"/>
    <w:pPr>
      <w:spacing w:line="240" w:lineRule="auto"/>
    </w:pPr>
    <w:rPr>
      <w:sz w:val="20"/>
    </w:rPr>
  </w:style>
  <w:style w:type="character" w:customStyle="1" w:styleId="CommentTextChar">
    <w:name w:val="Comment Text Char"/>
    <w:basedOn w:val="DefaultParagraphFont"/>
    <w:link w:val="CommentText"/>
    <w:uiPriority w:val="99"/>
    <w:rsid w:val="00B61552"/>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B61552"/>
    <w:rPr>
      <w:b/>
      <w:bCs/>
    </w:rPr>
  </w:style>
  <w:style w:type="character" w:customStyle="1" w:styleId="CommentSubjectChar">
    <w:name w:val="Comment Subject Char"/>
    <w:basedOn w:val="CommentTextChar"/>
    <w:link w:val="CommentSubject"/>
    <w:uiPriority w:val="99"/>
    <w:semiHidden/>
    <w:rsid w:val="00B61552"/>
    <w:rPr>
      <w:rFonts w:ascii="Times New Roman" w:eastAsia="Times New Roman" w:hAnsi="Times New Roman"/>
      <w:b/>
      <w:bCs/>
      <w:color w:val="000000"/>
      <w:lang w:val="en-US" w:eastAsia="de-DE"/>
    </w:rPr>
  </w:style>
  <w:style w:type="character" w:customStyle="1" w:styleId="st">
    <w:name w:val="st"/>
    <w:basedOn w:val="DefaultParagraphFont"/>
    <w:rsid w:val="006E0CDD"/>
  </w:style>
  <w:style w:type="paragraph" w:styleId="Revision">
    <w:name w:val="Revision"/>
    <w:hidden/>
    <w:uiPriority w:val="99"/>
    <w:semiHidden/>
    <w:rsid w:val="00A214F8"/>
    <w:rPr>
      <w:rFonts w:ascii="Times New Roman" w:eastAsia="Times New Roman" w:hAnsi="Times New Roman"/>
      <w:color w:val="000000"/>
      <w:sz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75845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doi.org/10.1111/jmi.12844" TargetMode="External"/><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TC%20Xray%20Lab\Downloads\materi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22FC2-2EA7-47C6-90D1-25BAFBDF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materials-template.dot</Template>
  <TotalTime>0</TotalTime>
  <Pages>16</Pages>
  <Words>36838</Words>
  <Characters>209982</Characters>
  <Application>Microsoft Office Word</Application>
  <DocSecurity>4</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246328</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FTC Xray Lab</dc:creator>
  <cp:lastModifiedBy>Budd J.C.</cp:lastModifiedBy>
  <cp:revision>2</cp:revision>
  <cp:lastPrinted>2020-01-06T20:06:00Z</cp:lastPrinted>
  <dcterms:created xsi:type="dcterms:W3CDTF">2020-01-08T09:42:00Z</dcterms:created>
  <dcterms:modified xsi:type="dcterms:W3CDTF">2020-01-08T09:42:00Z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http://www.zotero.org/styles/journal-of-biomechanics</vt:lpwstr>
  </property>
  <property fmtid="{D5CDD505-2E9C-101B-9397-08002B2CF9AE}" pid="14" name="Mendeley Recent Style Name 5_1">
    <vt:lpwstr>Journal of Biomechanics</vt:lpwstr>
  </property>
  <property fmtid="{D5CDD505-2E9C-101B-9397-08002B2CF9AE}" pid="15" name="Mendeley Recent Style Id 6_1">
    <vt:lpwstr>http://csl.mendeley.com/styles/20448741/minimal-grant-proposals</vt:lpwstr>
  </property>
  <property fmtid="{D5CDD505-2E9C-101B-9397-08002B2CF9AE}" pid="16" name="Mendeley Recent Style Name 6_1">
    <vt:lpwstr>Minimal style for grant proposals</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http://www.zotero.org/styles/polymers</vt:lpwstr>
  </property>
  <property fmtid="{D5CDD505-2E9C-101B-9397-08002B2CF9AE}" pid="20" name="Mendeley Recent Style Name 8_1">
    <vt:lpwstr>Polymers</vt:lpwstr>
  </property>
  <property fmtid="{D5CDD505-2E9C-101B-9397-08002B2CF9AE}" pid="21" name="Mendeley Recent Style Id 9_1">
    <vt:lpwstr>http://www.zotero.org/styles/scientific-reports</vt:lpwstr>
  </property>
  <property fmtid="{D5CDD505-2E9C-101B-9397-08002B2CF9AE}" pid="22" name="Mendeley Recent Style Name 9_1">
    <vt:lpwstr>Scientific Reports</vt:lpwstr>
  </property>
  <property fmtid="{D5CDD505-2E9C-101B-9397-08002B2CF9AE}" pid="23" name="Mendeley Citation Style_1">
    <vt:lpwstr>http://www.zotero.org/styles/polymers</vt:lpwstr>
  </property>
  <property fmtid="{D5CDD505-2E9C-101B-9397-08002B2CF9AE}" pid="24" name="Mendeley Unique User Id_1">
    <vt:lpwstr>507d7f29-6895-3412-9a9f-2c3794bf2785</vt:lpwstr>
  </property>
</Properties>
</file>